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1B2E1BC8" w14:textId="77777777" w:rsidTr="00DF074B">
        <w:tc>
          <w:tcPr>
            <w:tcW w:w="8828" w:type="dxa"/>
          </w:tcPr>
          <w:p w14:paraId="5E631BCB" w14:textId="36D5D823" w:rsidR="006166DB" w:rsidRPr="0008429B" w:rsidRDefault="0008429B" w:rsidP="0008429B">
            <w:pPr>
              <w:pStyle w:val="Texto"/>
              <w:spacing w:after="92"/>
              <w:ind w:firstLine="0"/>
              <w:rPr>
                <w:rFonts w:ascii="ITC Avant Garde Std Bk" w:hAnsi="ITC Avant Garde Std Bk"/>
                <w:szCs w:val="18"/>
                <w:lang w:val="es-ES_tradnl"/>
              </w:rPr>
            </w:pPr>
            <w:bookmarkStart w:id="0" w:name="_Hlk120873618"/>
            <w:r w:rsidRPr="0008429B">
              <w:rPr>
                <w:rFonts w:ascii="ITC Avant Garde Std Bk" w:hAnsi="ITC Avant Garde Std Bk"/>
                <w:szCs w:val="18"/>
                <w:lang w:val="es-ES_tradnl"/>
              </w:rPr>
              <w:t xml:space="preserve">Metodología </w:t>
            </w:r>
            <w:bookmarkStart w:id="1" w:name="_Hlk120876965"/>
            <w:r w:rsidRPr="0008429B">
              <w:rPr>
                <w:rFonts w:ascii="ITC Avant Garde Std Bk" w:hAnsi="ITC Avant Garde Std Bk"/>
                <w:szCs w:val="18"/>
                <w:lang w:val="es-ES_tradnl"/>
              </w:rPr>
              <w:t>para la Definición y Entrega de Información Relativa a los Contadores de Desempeño Establecida en los Lineamientos que Fijan los Índices y Parámetros de Calidad a que Deberán Sujetarse los Prestadores del Servicio Fijo</w:t>
            </w:r>
            <w:bookmarkEnd w:id="1"/>
            <w:r w:rsidRPr="0008429B">
              <w:rPr>
                <w:rFonts w:ascii="ITC Avant Garde Std Bk" w:hAnsi="ITC Avant Garde Std Bk"/>
                <w:szCs w:val="18"/>
                <w:lang w:val="es-ES_tradnl"/>
              </w:rPr>
              <w:t>, publicados en el Diario Oficial de la Federación el 25 de febrero de 2020.</w:t>
            </w:r>
            <w:bookmarkEnd w:id="0"/>
          </w:p>
        </w:tc>
      </w:tr>
    </w:tbl>
    <w:p w14:paraId="52EC83BF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454C3A95" w14:textId="77777777" w:rsidTr="00DF074B">
        <w:tc>
          <w:tcPr>
            <w:tcW w:w="8828" w:type="dxa"/>
          </w:tcPr>
          <w:p w14:paraId="1A68E5FF" w14:textId="03B69325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2-11-0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08429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09/11/2022</w:t>
                </w:r>
              </w:sdtContent>
            </w:sdt>
          </w:p>
        </w:tc>
      </w:tr>
      <w:tr w:rsidR="003F1D7B" w:rsidRPr="0002355D" w14:paraId="098151CF" w14:textId="77777777" w:rsidTr="00DF074B">
        <w:tc>
          <w:tcPr>
            <w:tcW w:w="8828" w:type="dxa"/>
          </w:tcPr>
          <w:p w14:paraId="07D4CB20" w14:textId="5A53A15F" w:rsidR="003F1D7B" w:rsidRPr="0002355D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2-12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8429B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01/12/2022</w:t>
                </w:r>
              </w:sdtContent>
            </w:sdt>
          </w:p>
        </w:tc>
      </w:tr>
      <w:tr w:rsidR="00DF074B" w:rsidRPr="0002355D" w14:paraId="784A8897" w14:textId="77777777" w:rsidTr="00DF074B">
        <w:tc>
          <w:tcPr>
            <w:tcW w:w="8828" w:type="dxa"/>
          </w:tcPr>
          <w:p w14:paraId="335C558B" w14:textId="464AC0DC" w:rsidR="00DF074B" w:rsidRPr="0002355D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08429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02355D" w14:paraId="25C2F9B9" w14:textId="77777777" w:rsidTr="00DF074B">
        <w:tc>
          <w:tcPr>
            <w:tcW w:w="8828" w:type="dxa"/>
          </w:tcPr>
          <w:p w14:paraId="187042E5" w14:textId="09DB17D6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3-01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F7C4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01/01/2023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02355D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465A4D39" w:rsidR="00DF074B" w:rsidRPr="0002355D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:showingPlcHdr/>
                <w15:color w:val="99CC00"/>
                <w:date w:fullDate="2023-12-3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F7C46" w:rsidRPr="00BB6A43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E594784" w14:textId="77777777" w:rsidTr="00DF074B">
        <w:tc>
          <w:tcPr>
            <w:tcW w:w="8828" w:type="dxa"/>
          </w:tcPr>
          <w:p w14:paraId="6C41AB66" w14:textId="0BCE7A1C" w:rsidR="003522AC" w:rsidRPr="0002355D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FEE5916" w14:textId="77777777" w:rsidTr="00DF074B">
        <w:tc>
          <w:tcPr>
            <w:tcW w:w="8828" w:type="dxa"/>
          </w:tcPr>
          <w:p w14:paraId="043F6ABC" w14:textId="2CC754DE" w:rsidR="006166DB" w:rsidRPr="0002355D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749D808B" w14:textId="77777777" w:rsidTr="00DF074B">
        <w:tc>
          <w:tcPr>
            <w:tcW w:w="8828" w:type="dxa"/>
          </w:tcPr>
          <w:p w14:paraId="07FF9FAE" w14:textId="285A1F99" w:rsidR="00DC3A1A" w:rsidRPr="0002355D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5D" w:rsidRPr="0002355D" w14:paraId="1FAE6F5E" w14:textId="77777777" w:rsidTr="00893819">
        <w:trPr>
          <w:trHeight w:val="65"/>
        </w:trPr>
        <w:tc>
          <w:tcPr>
            <w:tcW w:w="8828" w:type="dxa"/>
          </w:tcPr>
          <w:p w14:paraId="205CB592" w14:textId="0B36860B" w:rsidR="0002355D" w:rsidRPr="0002355D" w:rsidRDefault="00E0500D" w:rsidP="0089381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26/12/2023</w:t>
            </w:r>
          </w:p>
        </w:tc>
      </w:tr>
    </w:tbl>
    <w:p w14:paraId="51DC39EC" w14:textId="77777777" w:rsidR="0002355D" w:rsidRPr="0002355D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0840257" w14:textId="77777777" w:rsidTr="00DF074B">
        <w:tc>
          <w:tcPr>
            <w:tcW w:w="8828" w:type="dxa"/>
          </w:tcPr>
          <w:p w14:paraId="5DFAFB35" w14:textId="16657D2D" w:rsidR="006166DB" w:rsidRPr="0002355D" w:rsidRDefault="00737964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AD1A3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Metodología </w:t>
                </w:r>
              </w:sdtContent>
            </w:sdt>
          </w:p>
        </w:tc>
      </w:tr>
    </w:tbl>
    <w:p w14:paraId="635A852A" w14:textId="77777777" w:rsidR="006166DB" w:rsidRPr="0002355D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188B339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2355D">
        <w:rPr>
          <w:rFonts w:ascii="ITC Avant Garde" w:hAnsi="ITC Avant Garde"/>
          <w:sz w:val="21"/>
          <w:szCs w:val="21"/>
        </w:rPr>
        <w:t xml:space="preserve"> 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pPr w:leftFromText="141" w:rightFromText="141" w:horzAnchor="margin" w:tblpY="43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40BA959" w14:textId="77777777" w:rsidTr="00737964">
        <w:trPr>
          <w:trHeight w:val="65"/>
        </w:trPr>
        <w:tc>
          <w:tcPr>
            <w:tcW w:w="8828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/>
              </w:rPr>
              <w:id w:val="1016040878"/>
              <w:docPartObj>
                <w:docPartGallery w:val="Table of Contents"/>
                <w:docPartUnique/>
              </w:docPartObj>
            </w:sdtPr>
            <w:sdtEnd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MX" w:eastAsia="en-US"/>
              </w:rPr>
            </w:sdtEndPr>
            <w:sdtContent>
              <w:p w14:paraId="70AC302C" w14:textId="77777777" w:rsidR="00737964" w:rsidRDefault="00737964" w:rsidP="00737964">
                <w:pPr>
                  <w:pStyle w:val="TtuloTDC"/>
                </w:pPr>
                <w:r>
                  <w:rPr>
                    <w:lang w:val="es-ES"/>
                  </w:rPr>
                  <w:t>Tabla de contenido</w:t>
                </w:r>
              </w:p>
              <w:p w14:paraId="18C100B2" w14:textId="77777777" w:rsidR="00737964" w:rsidRDefault="00737964" w:rsidP="00737964">
                <w:pPr>
                  <w:pStyle w:val="TDC1"/>
                  <w:tabs>
                    <w:tab w:val="right" w:leader="dot" w:pos="8832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156404971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Metodología para la Definición y Entrega de Información Relativa a los Contadores de Desempeño Establecida en los Lineamientos que Fijan los Índices y Parámetros de Calidad a que Deberán Sujetarse los Prestadores del Servicio Fijo, publicados en el Diario Oficial de la Federación el 25 de febrero de 2020.</w:t>
                  </w:r>
                  <w:r>
                    <w:rPr>
                      <w:noProof/>
                      <w:webHidden/>
                    </w:rPr>
                    <w:tab/>
                  </w:r>
                  <w:r w:rsidRPr="009B5EF9">
                    <w:rPr>
                      <w:noProof/>
                      <w:webHidden/>
                      <w:color w:val="FFFFFF" w:themeColor="background1"/>
                    </w:rPr>
                    <w:fldChar w:fldCharType="begin"/>
                  </w:r>
                  <w:r w:rsidRPr="009B5EF9">
                    <w:rPr>
                      <w:noProof/>
                      <w:webHidden/>
                      <w:color w:val="FFFFFF" w:themeColor="background1"/>
                    </w:rPr>
                    <w:instrText xml:space="preserve"> PAGEREF _Toc156404971 \h </w:instrText>
                  </w:r>
                  <w:r w:rsidRPr="009B5EF9">
                    <w:rPr>
                      <w:noProof/>
                      <w:webHidden/>
                      <w:color w:val="FFFFFF" w:themeColor="background1"/>
                    </w:rPr>
                  </w:r>
                  <w:r w:rsidRPr="009B5EF9">
                    <w:rPr>
                      <w:noProof/>
                      <w:webHidden/>
                      <w:color w:val="FFFFFF" w:themeColor="background1"/>
                    </w:rPr>
                    <w:fldChar w:fldCharType="separate"/>
                  </w:r>
                  <w:r w:rsidRPr="009B5EF9">
                    <w:rPr>
                      <w:noProof/>
                      <w:webHidden/>
                      <w:color w:val="FFFFFF" w:themeColor="background1"/>
                    </w:rPr>
                    <w:t>1</w:t>
                  </w:r>
                  <w:r w:rsidRPr="009B5EF9">
                    <w:rPr>
                      <w:noProof/>
                      <w:webHidden/>
                      <w:color w:val="FFFFFF" w:themeColor="background1"/>
                    </w:rPr>
                    <w:fldChar w:fldCharType="end"/>
                  </w:r>
                </w:hyperlink>
              </w:p>
              <w:p w14:paraId="3F44781E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72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CAPITULO 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_Toc156404972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0C0ED5E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73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SUJETOS OBLIGADOS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_Toc156404973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45EFA27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74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CAPITULO II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_Toc156404974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AAF7D31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75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DEFINICIONES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_Toc156404975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9627E2C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76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CAPITULO III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_Toc156404976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28F0865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77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DISPOSICIONES GENERALES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_Toc156404977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441DD30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78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CAPITULO IV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_Toc156404978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DCF53C0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79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REPORTE AUDITADO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_Toc156404979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5CCDA5F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80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CAPITULO V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_Toc156404980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EE23E63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81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METODOLOGÍA PARA EL CÁLCULO DE LA HORA PICO SEMANAL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_Toc156404981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8802792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82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CAPITULO VI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_Toc156404982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7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77ACA15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83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CONSERVACIÓN DE INFORMACIÓN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_Toc156404983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7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CA74A63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84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CAPITULO VII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_Toc156404984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8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8DDB219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85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VERIFICACIÓN DE LA INTEGRIDAD DE LA INFORMACIÓN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_Toc156404985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8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C0645EB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86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TRANSITORIOS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_Toc156404986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8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7B5243D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87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ANEXO 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_Toc156404987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9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B3BDFCC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88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FORMATO FÓRMULAS KPI DEL SERVICIO DE ACCESO A INTERNET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_Toc156404988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9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3057252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89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ANEXO II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_Toc156404989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2FF8C22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90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FORMATO DEL REPORTE AUDITADO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_Toc156404990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0AFADBE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91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ANEXO III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_Toc156404991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EA95779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92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FORMATO DEL INFORME DEL AUDITOR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_Toc156404992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18D83C3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93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ANEXO IV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_Toc156404993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17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D04C2A2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94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FORMATO PARA ARCHIVOS DE CONSERVACIÓN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_Toc156404994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17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AAB7ED2" w14:textId="77777777" w:rsidR="00737964" w:rsidRDefault="00737964" w:rsidP="00737964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kern w:val="2"/>
                    <w:szCs w:val="22"/>
                    <w:lang w:val="es-MX"/>
                    <w14:ligatures w14:val="standardContextual"/>
                  </w:rPr>
                </w:pPr>
                <w:hyperlink w:anchor="_Toc156404995" w:history="1">
                  <w:r w:rsidRPr="00923D91">
                    <w:rPr>
                      <w:rStyle w:val="Hipervnculo"/>
                      <w:rFonts w:eastAsiaTheme="majorEastAsia"/>
                      <w:noProof/>
                    </w:rPr>
                    <w:t>ANEXO V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_Toc156404995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02CFA14" w14:textId="77777777" w:rsidR="00737964" w:rsidRDefault="00737964" w:rsidP="00737964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14:paraId="13E05356" w14:textId="7F1556B4" w:rsidR="00703C14" w:rsidRDefault="00703C14" w:rsidP="00737964">
            <w:pPr>
              <w:shd w:val="clear" w:color="auto" w:fill="FFFFFF"/>
              <w:ind w:left="284"/>
              <w:jc w:val="both"/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</w:pPr>
          </w:p>
          <w:p w14:paraId="5F275C45" w14:textId="09C18B32" w:rsidR="00AD1A30" w:rsidRPr="003522AC" w:rsidRDefault="00AD1A30" w:rsidP="00737964">
            <w:pPr>
              <w:shd w:val="clear" w:color="auto" w:fill="FFFFFF"/>
              <w:jc w:val="both"/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</w:pPr>
          </w:p>
        </w:tc>
      </w:tr>
    </w:tbl>
    <w:p w14:paraId="4E6C6C7C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45093DC" w:rsidR="00F73022" w:rsidRPr="0002355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9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2355D">
        <w:rPr>
          <w:rFonts w:ascii="ITC Avant Garde" w:hAnsi="ITC Avant Garde"/>
          <w:sz w:val="21"/>
          <w:szCs w:val="21"/>
        </w:rPr>
        <w:t xml:space="preserve"> 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2355D" w14:paraId="373C675C" w14:textId="77777777" w:rsidTr="00DF074B">
        <w:tc>
          <w:tcPr>
            <w:tcW w:w="8828" w:type="dxa"/>
          </w:tcPr>
          <w:p w14:paraId="53B08DCA" w14:textId="77BD95A1" w:rsidR="00F73022" w:rsidRPr="0002355D" w:rsidRDefault="00893819" w:rsidP="00B01DC5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9381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Establecer </w:t>
            </w:r>
            <w:r w:rsidR="00AD1A30" w:rsidRPr="00AD1A3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el procedimiento de la entrega de información a partir de los Contadores de Desempeño en cumplimiento a las obligaciones establecidas en los lineamientos Décimo Octavo y Décimo Noveno de los Lineamientos que fijan los índices y parámetros de calidad a que deberán sujetarse los prestadores del servicio fijo.</w:t>
            </w:r>
          </w:p>
        </w:tc>
      </w:tr>
    </w:tbl>
    <w:p w14:paraId="2355FA42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36A134C5" w14:textId="77777777" w:rsidTr="00DF074B">
        <w:tc>
          <w:tcPr>
            <w:tcW w:w="8828" w:type="dxa"/>
          </w:tcPr>
          <w:p w14:paraId="0C79C5AD" w14:textId="0B10E8F6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21378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</w:p>
        </w:tc>
      </w:tr>
      <w:tr w:rsidR="006166DB" w:rsidRPr="0002355D" w14:paraId="78629502" w14:textId="77777777" w:rsidTr="00DF074B">
        <w:tc>
          <w:tcPr>
            <w:tcW w:w="8828" w:type="dxa"/>
          </w:tcPr>
          <w:p w14:paraId="617248E0" w14:textId="7C7F8B8C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21378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213787" w:rsidRPr="0002355D" w14:paraId="380D841C" w14:textId="77777777" w:rsidTr="00DF074B">
        <w:tc>
          <w:tcPr>
            <w:tcW w:w="8828" w:type="dxa"/>
          </w:tcPr>
          <w:p w14:paraId="6C9F585B" w14:textId="2F2A8F3F" w:rsidR="00213787" w:rsidRPr="0002355D" w:rsidRDefault="00213787" w:rsidP="00AD1A30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AD1A30">
              <w:rPr>
                <w:rFonts w:ascii="ITC Avant Garde" w:hAnsi="ITC Avant Garde"/>
                <w:sz w:val="21"/>
                <w:szCs w:val="21"/>
              </w:rPr>
              <w:t>C</w:t>
            </w:r>
            <w:r w:rsidR="00AD1A30" w:rsidRPr="00AD1A30">
              <w:rPr>
                <w:rFonts w:ascii="ITC Avant Garde" w:hAnsi="ITC Avant Garde"/>
                <w:sz w:val="21"/>
                <w:szCs w:val="21"/>
              </w:rPr>
              <w:t xml:space="preserve">oncesionarios y concesionarios mayoristas que brindan el servicio de acceso a </w:t>
            </w:r>
            <w:r w:rsidR="00AD1A30" w:rsidRPr="00983A73">
              <w:rPr>
                <w:rFonts w:ascii="ITC Avant Garde" w:hAnsi="ITC Avant Garde"/>
                <w:sz w:val="21"/>
                <w:szCs w:val="21"/>
              </w:rPr>
              <w:t xml:space="preserve">Internet a través de </w:t>
            </w:r>
            <w:r w:rsidR="00B357ED" w:rsidRPr="00983A73">
              <w:rPr>
                <w:rFonts w:ascii="ITC Avant Garde" w:hAnsi="ITC Avant Garde"/>
                <w:sz w:val="21"/>
                <w:szCs w:val="21"/>
              </w:rPr>
              <w:t>fibra óptica</w:t>
            </w:r>
            <w:r w:rsidR="00B357ED" w:rsidRPr="00B357ED">
              <w:rPr>
                <w:rFonts w:ascii="ITC Avant Garde" w:hAnsi="ITC Avant Garde"/>
                <w:sz w:val="21"/>
                <w:szCs w:val="21"/>
              </w:rPr>
              <w:t>, cobre</w:t>
            </w:r>
            <w:r w:rsidR="00B357ED">
              <w:rPr>
                <w:rFonts w:ascii="ITC Avant Garde" w:hAnsi="ITC Avant Garde"/>
                <w:sz w:val="21"/>
                <w:szCs w:val="21"/>
              </w:rPr>
              <w:t xml:space="preserve"> y </w:t>
            </w:r>
            <w:r w:rsidR="00B357ED" w:rsidRPr="00B357ED">
              <w:rPr>
                <w:rFonts w:ascii="ITC Avant Garde" w:hAnsi="ITC Avant Garde"/>
                <w:sz w:val="21"/>
                <w:szCs w:val="21"/>
              </w:rPr>
              <w:t>cable coaxial</w:t>
            </w:r>
            <w:r w:rsidR="00AD1A30" w:rsidRPr="00AD1A30">
              <w:rPr>
                <w:rFonts w:ascii="ITC Avant Garde" w:hAnsi="ITC Avant Garde"/>
                <w:sz w:val="21"/>
                <w:szCs w:val="21"/>
              </w:rPr>
              <w:t>, que cuenten con más de un millón de accesos del servicio de acceso a Internet y que operen sus propios Sistemas de Gestión que generen archivos de Contadores de Desempeño.</w:t>
            </w:r>
          </w:p>
        </w:tc>
      </w:tr>
    </w:tbl>
    <w:p w14:paraId="6F28DB01" w14:textId="5DEA0AD1" w:rsidR="001D0BED" w:rsidRPr="0002355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0977E504" w14:textId="77777777" w:rsidTr="00DF074B">
        <w:trPr>
          <w:trHeight w:val="65"/>
        </w:trPr>
        <w:tc>
          <w:tcPr>
            <w:tcW w:w="8828" w:type="dxa"/>
          </w:tcPr>
          <w:p w14:paraId="43C7A65A" w14:textId="77777777" w:rsidR="00F631B5" w:rsidRDefault="00640CB0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  <w:r w:rsidR="00F631B5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0830432E" w14:textId="77777777" w:rsidR="00213787" w:rsidRDefault="00AD1A30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 xml:space="preserve">Lineamientos </w:t>
            </w:r>
            <w:r w:rsidRPr="00AD1A30">
              <w:rPr>
                <w:rFonts w:ascii="ITC Avant Garde" w:hAnsi="ITC Avant Garde"/>
                <w:sz w:val="21"/>
                <w:szCs w:val="21"/>
              </w:rPr>
              <w:t>que Fijan los Índices y Parámetros de Calidad a que Deberán Sujetarse los Prestadores del Servicio Fijo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5D4A60FE" w14:textId="14AE0BDE" w:rsidR="00AD1A30" w:rsidRPr="00213787" w:rsidRDefault="00D715B8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D715B8">
              <w:rPr>
                <w:rFonts w:ascii="ITC Avant Garde" w:hAnsi="ITC Avant Garde"/>
                <w:sz w:val="21"/>
                <w:szCs w:val="21"/>
              </w:rPr>
              <w:t>Lineamientos para la sustanciación de los trámites y servicios que se realicen ante el Instituto Federal de Telecomunicaciones, a través de la Ventanilla Electrónica.</w:t>
            </w:r>
          </w:p>
        </w:tc>
      </w:tr>
    </w:tbl>
    <w:p w14:paraId="03FABE9B" w14:textId="45F8751D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096E5FBB" w14:textId="77777777" w:rsidTr="007D2FD6">
        <w:tc>
          <w:tcPr>
            <w:tcW w:w="8828" w:type="dxa"/>
          </w:tcPr>
          <w:p w14:paraId="1E0A3A61" w14:textId="5C9AAD72" w:rsidR="00E81B12" w:rsidRPr="00D715B8" w:rsidRDefault="00D715B8" w:rsidP="00D715B8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1683D7BD" w14:textId="77777777" w:rsidTr="007D2FD6">
        <w:tc>
          <w:tcPr>
            <w:tcW w:w="8828" w:type="dxa"/>
          </w:tcPr>
          <w:p w14:paraId="5F0929BF" w14:textId="7386583A" w:rsidR="00D715B8" w:rsidRPr="00D715B8" w:rsidRDefault="00D715B8" w:rsidP="00D715B8">
            <w:pPr>
              <w:pStyle w:val="Prrafodelista"/>
              <w:numPr>
                <w:ilvl w:val="0"/>
                <w:numId w:val="18"/>
              </w:numPr>
              <w:ind w:left="316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715B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CAPITULO VII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, </w:t>
            </w:r>
            <w:r w:rsidRPr="00D715B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VERIFICACIÓN DE LA INTEGRIDAD DE LA INFORMACIÓN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de la Metodología </w:t>
            </w:r>
            <w:r w:rsidRPr="00D715B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para la Definición y Entrega de Información Relativa a los Contadores de Desempeño Establecida en los Lineamientos que Fijan los Índices y Parámetros de Calidad a que Deberán Sujetarse los Prestadores del Servicio Fijo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6A09D6D7" w14:textId="403226D9" w:rsidR="00A82407" w:rsidRPr="00D715B8" w:rsidRDefault="006232EE" w:rsidP="00D715B8">
            <w:pPr>
              <w:pStyle w:val="Prrafodelista"/>
              <w:numPr>
                <w:ilvl w:val="0"/>
                <w:numId w:val="18"/>
              </w:numPr>
              <w:ind w:left="316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715B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Artículos 291 de la Ley Federal de Telecomunicaciones y Radiodifusión </w:t>
            </w:r>
          </w:p>
        </w:tc>
      </w:tr>
    </w:tbl>
    <w:p w14:paraId="6B64E51A" w14:textId="063DA17B" w:rsidR="004B7538" w:rsidRPr="0002355D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02355D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983A73" w:rsidRDefault="00983A73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983A73" w:rsidRDefault="00983A73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983A73" w:rsidRDefault="00983A73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983A73" w:rsidRDefault="00983A73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4109C595" w:rsidR="00983A73" w:rsidRPr="00AC574F" w:rsidRDefault="00983A73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7381E1E3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TC Avant Garde Std Bk" w:hAnsi="ITC Avant Garde Std Bk"/>
        <w:b/>
        <w:sz w:val="21"/>
        <w:szCs w:val="21"/>
      </w:rPr>
      <w:t xml:space="preserve">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1151"/>
    <w:multiLevelType w:val="hybridMultilevel"/>
    <w:tmpl w:val="160AE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5532D"/>
    <w:multiLevelType w:val="hybridMultilevel"/>
    <w:tmpl w:val="3B604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97678">
    <w:abstractNumId w:val="5"/>
  </w:num>
  <w:num w:numId="2" w16cid:durableId="1109542656">
    <w:abstractNumId w:val="4"/>
  </w:num>
  <w:num w:numId="3" w16cid:durableId="2118409466">
    <w:abstractNumId w:val="1"/>
  </w:num>
  <w:num w:numId="4" w16cid:durableId="470024988">
    <w:abstractNumId w:val="2"/>
  </w:num>
  <w:num w:numId="5" w16cid:durableId="1026176944">
    <w:abstractNumId w:val="8"/>
  </w:num>
  <w:num w:numId="6" w16cid:durableId="1777872705">
    <w:abstractNumId w:val="16"/>
  </w:num>
  <w:num w:numId="7" w16cid:durableId="1972978265">
    <w:abstractNumId w:val="14"/>
  </w:num>
  <w:num w:numId="8" w16cid:durableId="309290204">
    <w:abstractNumId w:val="9"/>
  </w:num>
  <w:num w:numId="9" w16cid:durableId="516115805">
    <w:abstractNumId w:val="10"/>
  </w:num>
  <w:num w:numId="10" w16cid:durableId="792216487">
    <w:abstractNumId w:val="13"/>
  </w:num>
  <w:num w:numId="11" w16cid:durableId="2136218197">
    <w:abstractNumId w:val="11"/>
  </w:num>
  <w:num w:numId="12" w16cid:durableId="1959558734">
    <w:abstractNumId w:val="6"/>
  </w:num>
  <w:num w:numId="13" w16cid:durableId="1517764441">
    <w:abstractNumId w:val="0"/>
  </w:num>
  <w:num w:numId="14" w16cid:durableId="1788818968">
    <w:abstractNumId w:val="17"/>
  </w:num>
  <w:num w:numId="15" w16cid:durableId="2054766215">
    <w:abstractNumId w:val="12"/>
  </w:num>
  <w:num w:numId="16" w16cid:durableId="638611945">
    <w:abstractNumId w:val="3"/>
  </w:num>
  <w:num w:numId="17" w16cid:durableId="1278179212">
    <w:abstractNumId w:val="15"/>
  </w:num>
  <w:num w:numId="18" w16cid:durableId="733504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0ADE"/>
    <w:rsid w:val="0002355D"/>
    <w:rsid w:val="00046B8B"/>
    <w:rsid w:val="0008429B"/>
    <w:rsid w:val="00085CAE"/>
    <w:rsid w:val="000911B6"/>
    <w:rsid w:val="00160C02"/>
    <w:rsid w:val="001A0D96"/>
    <w:rsid w:val="001A12A2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912EB"/>
    <w:rsid w:val="002B0B24"/>
    <w:rsid w:val="002D534C"/>
    <w:rsid w:val="002E37B6"/>
    <w:rsid w:val="002E7B33"/>
    <w:rsid w:val="002F39A1"/>
    <w:rsid w:val="00307840"/>
    <w:rsid w:val="00326275"/>
    <w:rsid w:val="00332FE9"/>
    <w:rsid w:val="003522AC"/>
    <w:rsid w:val="00366E21"/>
    <w:rsid w:val="00384692"/>
    <w:rsid w:val="003A162A"/>
    <w:rsid w:val="003C2D2C"/>
    <w:rsid w:val="003F1D7B"/>
    <w:rsid w:val="003F50B6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85BD4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911B3"/>
    <w:rsid w:val="006F7E1D"/>
    <w:rsid w:val="00703626"/>
    <w:rsid w:val="00703C14"/>
    <w:rsid w:val="00720D02"/>
    <w:rsid w:val="00730E59"/>
    <w:rsid w:val="00737964"/>
    <w:rsid w:val="007466F1"/>
    <w:rsid w:val="00774D3F"/>
    <w:rsid w:val="0078318D"/>
    <w:rsid w:val="007A1022"/>
    <w:rsid w:val="007D2FD6"/>
    <w:rsid w:val="007E0355"/>
    <w:rsid w:val="007F5106"/>
    <w:rsid w:val="008017FB"/>
    <w:rsid w:val="00802508"/>
    <w:rsid w:val="00810332"/>
    <w:rsid w:val="00815D92"/>
    <w:rsid w:val="008428DC"/>
    <w:rsid w:val="008549FA"/>
    <w:rsid w:val="0089205E"/>
    <w:rsid w:val="00893819"/>
    <w:rsid w:val="00894294"/>
    <w:rsid w:val="008D6F5A"/>
    <w:rsid w:val="008F6582"/>
    <w:rsid w:val="0092333A"/>
    <w:rsid w:val="009323CB"/>
    <w:rsid w:val="009701A3"/>
    <w:rsid w:val="00977ED5"/>
    <w:rsid w:val="00983A73"/>
    <w:rsid w:val="009918CF"/>
    <w:rsid w:val="00993225"/>
    <w:rsid w:val="009A6722"/>
    <w:rsid w:val="009D567D"/>
    <w:rsid w:val="009E7D91"/>
    <w:rsid w:val="00A3392B"/>
    <w:rsid w:val="00A70F6B"/>
    <w:rsid w:val="00A82407"/>
    <w:rsid w:val="00A93C7F"/>
    <w:rsid w:val="00AC079F"/>
    <w:rsid w:val="00AC574F"/>
    <w:rsid w:val="00AD1A30"/>
    <w:rsid w:val="00AD4846"/>
    <w:rsid w:val="00AF71CC"/>
    <w:rsid w:val="00AF7C46"/>
    <w:rsid w:val="00B018E8"/>
    <w:rsid w:val="00B01DC5"/>
    <w:rsid w:val="00B032C3"/>
    <w:rsid w:val="00B13673"/>
    <w:rsid w:val="00B30E6B"/>
    <w:rsid w:val="00B340B6"/>
    <w:rsid w:val="00B357ED"/>
    <w:rsid w:val="00B8531B"/>
    <w:rsid w:val="00BE45D0"/>
    <w:rsid w:val="00BF2093"/>
    <w:rsid w:val="00C61F7E"/>
    <w:rsid w:val="00C76443"/>
    <w:rsid w:val="00C8049B"/>
    <w:rsid w:val="00C965CE"/>
    <w:rsid w:val="00CA43C3"/>
    <w:rsid w:val="00CB1C8D"/>
    <w:rsid w:val="00CB353A"/>
    <w:rsid w:val="00CE57F9"/>
    <w:rsid w:val="00CF5F25"/>
    <w:rsid w:val="00D14569"/>
    <w:rsid w:val="00D258BF"/>
    <w:rsid w:val="00D715B8"/>
    <w:rsid w:val="00D93EA9"/>
    <w:rsid w:val="00DB3C65"/>
    <w:rsid w:val="00DC3142"/>
    <w:rsid w:val="00DC3A1A"/>
    <w:rsid w:val="00DE0F83"/>
    <w:rsid w:val="00DF074B"/>
    <w:rsid w:val="00DF1654"/>
    <w:rsid w:val="00E0500D"/>
    <w:rsid w:val="00E44BF0"/>
    <w:rsid w:val="00E70994"/>
    <w:rsid w:val="00E81B12"/>
    <w:rsid w:val="00EB53E4"/>
    <w:rsid w:val="00EF614E"/>
    <w:rsid w:val="00F014C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TDC2">
    <w:name w:val="toc 2"/>
    <w:basedOn w:val="Normal"/>
    <w:next w:val="Normal"/>
    <w:uiPriority w:val="39"/>
    <w:rsid w:val="00737964"/>
    <w:pPr>
      <w:tabs>
        <w:tab w:val="right" w:leader="dot" w:pos="8630"/>
      </w:tabs>
      <w:spacing w:after="100" w:line="259" w:lineRule="atLeast"/>
      <w:ind w:left="142"/>
    </w:pPr>
    <w:rPr>
      <w:rFonts w:ascii="HeAvetica" w:eastAsia="Times New Roman" w:hAnsi="HeAvetica" w:cs="HeAvetica"/>
      <w:szCs w:val="20"/>
      <w:lang w:val="es-ES_tradnl" w:eastAsia="es-MX"/>
    </w:rPr>
  </w:style>
  <w:style w:type="paragraph" w:styleId="TDC1">
    <w:name w:val="toc 1"/>
    <w:basedOn w:val="Normal"/>
    <w:next w:val="Normal"/>
    <w:uiPriority w:val="39"/>
    <w:rsid w:val="00737964"/>
    <w:pPr>
      <w:spacing w:after="100" w:line="259" w:lineRule="atLeast"/>
    </w:pPr>
    <w:rPr>
      <w:rFonts w:ascii="HeAvetica" w:eastAsia="Times New Roman" w:hAnsi="HeAvetica" w:cs="HeAvetica"/>
      <w:szCs w:val="20"/>
      <w:lang w:val="es-ES_tradnl"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737964"/>
    <w:pPr>
      <w:outlineLvl w:val="9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A4C7D"/>
    <w:rsid w:val="001327D6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B51F2"/>
    <w:rsid w:val="00AF6C7D"/>
    <w:rsid w:val="00B01F8A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2611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9CE66B-2D4C-45A1-B76D-18047BA4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las Condiciones Técnicas Mínimas para la interconexión</vt:lpstr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 Metodología para la Definición y Entrega de Información Relativa a los Contadores de Desempeño</dc:title>
  <dc:subject/>
  <dc:creator>Luis Fernando Rosas Yanez</dc:creator>
  <cp:keywords/>
  <dc:description/>
  <cp:lastModifiedBy>Carolina Sanchez Alquicira</cp:lastModifiedBy>
  <cp:revision>5</cp:revision>
  <dcterms:created xsi:type="dcterms:W3CDTF">2024-01-17T23:09:00Z</dcterms:created>
  <dcterms:modified xsi:type="dcterms:W3CDTF">2024-01-17T23:33:00Z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