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1B2E1BC8" w14:textId="77777777" w:rsidTr="00DF074B">
        <w:tc>
          <w:tcPr>
            <w:tcW w:w="8828" w:type="dxa"/>
          </w:tcPr>
          <w:p w14:paraId="5E631BCB" w14:textId="3C529A0D" w:rsidR="006166DB" w:rsidRPr="0002355D" w:rsidRDefault="00CA43C3" w:rsidP="00CA43C3">
            <w:pPr>
              <w:pStyle w:val="ANOTACION"/>
              <w:jc w:val="both"/>
              <w:rPr>
                <w:rFonts w:ascii="ITC Avant Garde" w:hAnsi="ITC Avant Garde"/>
                <w:b w:val="0"/>
                <w:bCs/>
                <w:sz w:val="21"/>
                <w:szCs w:val="21"/>
              </w:rPr>
            </w:pPr>
            <w:r w:rsidRPr="0002355D">
              <w:rPr>
                <w:rFonts w:ascii="ITC Avant Garde" w:hAnsi="ITC Avant Garde"/>
                <w:b w:val="0"/>
                <w:bCs/>
                <w:sz w:val="21"/>
                <w:szCs w:val="21"/>
              </w:rPr>
              <w:t xml:space="preserve">Acuerdo </w:t>
            </w:r>
            <w:r w:rsidR="003522AC" w:rsidRPr="003522AC">
              <w:rPr>
                <w:rFonts w:ascii="ITC Avant Garde" w:hAnsi="ITC Avant Garde"/>
                <w:b w:val="0"/>
                <w:bCs/>
                <w:sz w:val="21"/>
                <w:szCs w:val="21"/>
              </w:rPr>
              <w:t>mediante el cual el Pleno del Instituto Federal de Telecomunicaciones expide la Disposición Técnica IFT-011-2022: Especificaciones Técnicas de los Equipos Terminales Móviles que puedan hacer uso del espectro radioeléctrico o ser conectados a redes de telecomunicaciones. Parte 3. Servicio de Radiodifusión Celular para la notificación por Riesgo o situaciones de Emergencia.</w:t>
            </w:r>
          </w:p>
        </w:tc>
      </w:tr>
    </w:tbl>
    <w:p w14:paraId="52EC83BF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454C3A95" w14:textId="77777777" w:rsidTr="00DF074B">
        <w:tc>
          <w:tcPr>
            <w:tcW w:w="8828" w:type="dxa"/>
          </w:tcPr>
          <w:p w14:paraId="1A68E5FF" w14:textId="60E445A5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22-08-2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3522A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22/08/2022</w:t>
                </w:r>
              </w:sdtContent>
            </w:sdt>
          </w:p>
        </w:tc>
      </w:tr>
      <w:tr w:rsidR="003F1D7B" w:rsidRPr="0002355D" w14:paraId="098151CF" w14:textId="77777777" w:rsidTr="00DF074B">
        <w:tc>
          <w:tcPr>
            <w:tcW w:w="8828" w:type="dxa"/>
          </w:tcPr>
          <w:p w14:paraId="07D4CB20" w14:textId="24F8CE5A" w:rsidR="003F1D7B" w:rsidRPr="0002355D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sdt>
              <w:sdtPr>
                <w:rPr>
                  <w:rFonts w:ascii="ITC Avant Garde" w:hAnsi="ITC Avant Garde"/>
                  <w:color w:val="000000" w:themeColor="text1"/>
                  <w:sz w:val="21"/>
                  <w:szCs w:val="21"/>
                </w:rPr>
                <w:alias w:val="Eliga la fecha de expedición "/>
                <w:tag w:val="Eliga la fecha de expedición "/>
                <w:id w:val="556125928"/>
                <w:placeholder>
                  <w:docPart w:val="3726EE3B8568444D90388555AE61BB3C"/>
                </w:placeholder>
                <w15:color w:val="99CC00"/>
                <w:date w:fullDate="2022-09-13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3522AC">
                  <w:rPr>
                    <w:rFonts w:ascii="ITC Avant Garde" w:hAnsi="ITC Avant Garde"/>
                    <w:color w:val="000000" w:themeColor="text1"/>
                    <w:sz w:val="21"/>
                    <w:szCs w:val="21"/>
                  </w:rPr>
                  <w:t>13/09/2022</w:t>
                </w:r>
              </w:sdtContent>
            </w:sdt>
          </w:p>
        </w:tc>
      </w:tr>
      <w:tr w:rsidR="00DF074B" w:rsidRPr="0002355D" w14:paraId="784A8897" w14:textId="77777777" w:rsidTr="00DF074B">
        <w:tc>
          <w:tcPr>
            <w:tcW w:w="8828" w:type="dxa"/>
          </w:tcPr>
          <w:p w14:paraId="335C558B" w14:textId="1D11F48B" w:rsidR="00DF074B" w:rsidRPr="0002355D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="00A3392B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02355D" w14:paraId="25C2F9B9" w14:textId="77777777" w:rsidTr="00DF074B">
        <w:tc>
          <w:tcPr>
            <w:tcW w:w="8828" w:type="dxa"/>
          </w:tcPr>
          <w:p w14:paraId="187042E5" w14:textId="40ECEEBC" w:rsidR="006166DB" w:rsidRPr="0002355D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23-03-11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3522A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11/03/2023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02355D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7BCB3F6B" w:rsidR="00DF074B" w:rsidRPr="0002355D" w:rsidRDefault="00DF074B" w:rsidP="00DF074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A3392B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2E594784" w14:textId="77777777" w:rsidTr="00DF074B">
        <w:tc>
          <w:tcPr>
            <w:tcW w:w="8828" w:type="dxa"/>
          </w:tcPr>
          <w:p w14:paraId="6C41AB66" w14:textId="0BCE7A1C" w:rsidR="003522AC" w:rsidRPr="0002355D" w:rsidRDefault="00A3392B" w:rsidP="00A3392B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02355D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FEE5916" w14:textId="77777777" w:rsidTr="00DF074B">
        <w:tc>
          <w:tcPr>
            <w:tcW w:w="8828" w:type="dxa"/>
          </w:tcPr>
          <w:p w14:paraId="043F6ABC" w14:textId="2CC754DE" w:rsidR="006166DB" w:rsidRPr="0002355D" w:rsidRDefault="00A3392B" w:rsidP="00A3392B">
            <w:pPr>
              <w:tabs>
                <w:tab w:val="left" w:pos="2565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749D808B" w14:textId="77777777" w:rsidTr="00DF074B">
        <w:tc>
          <w:tcPr>
            <w:tcW w:w="8828" w:type="dxa"/>
          </w:tcPr>
          <w:p w14:paraId="07FF9FAE" w14:textId="285A1F99" w:rsidR="00DC3A1A" w:rsidRPr="0002355D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02355D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="00A82407" w:rsidRPr="0002355D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355D" w:rsidRPr="0002355D" w14:paraId="1FAE6F5E" w14:textId="77777777" w:rsidTr="001F74F0">
        <w:trPr>
          <w:trHeight w:val="65"/>
        </w:trPr>
        <w:tc>
          <w:tcPr>
            <w:tcW w:w="8828" w:type="dxa"/>
          </w:tcPr>
          <w:p w14:paraId="205CB592" w14:textId="1AF36F13" w:rsidR="0002355D" w:rsidRPr="0002355D" w:rsidRDefault="001F74F0" w:rsidP="001F74F0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20/09/2023</w:t>
            </w:r>
            <w:bookmarkStart w:id="0" w:name="_GoBack"/>
            <w:bookmarkEnd w:id="0"/>
          </w:p>
        </w:tc>
      </w:tr>
    </w:tbl>
    <w:p w14:paraId="51DC39EC" w14:textId="77777777" w:rsidR="0002355D" w:rsidRPr="0002355D" w:rsidRDefault="0002355D" w:rsidP="0002355D">
      <w:pPr>
        <w:spacing w:after="0" w:line="240" w:lineRule="auto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0840257" w14:textId="77777777" w:rsidTr="00DF074B">
        <w:tc>
          <w:tcPr>
            <w:tcW w:w="8828" w:type="dxa"/>
          </w:tcPr>
          <w:p w14:paraId="5DFAFB35" w14:textId="4E35E579" w:rsidR="006166DB" w:rsidRPr="0002355D" w:rsidRDefault="001F74F0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3522AC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02355D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188B339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02355D">
        <w:rPr>
          <w:rFonts w:ascii="ITC Avant Garde" w:hAnsi="ITC Avant Garde"/>
          <w:sz w:val="21"/>
          <w:szCs w:val="21"/>
        </w:rPr>
        <w:t xml:space="preserve"> 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040BA959" w14:textId="77777777" w:rsidTr="00F73022">
        <w:trPr>
          <w:trHeight w:val="65"/>
        </w:trPr>
        <w:tc>
          <w:tcPr>
            <w:tcW w:w="8828" w:type="dxa"/>
          </w:tcPr>
          <w:p w14:paraId="2D261659" w14:textId="77777777" w:rsidR="003522AC" w:rsidRDefault="003522AC" w:rsidP="003522AC">
            <w:pPr>
              <w:shd w:val="clear" w:color="auto" w:fill="FFFFFF"/>
              <w:ind w:firstLine="288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ÍNDICE.</w:t>
            </w:r>
          </w:p>
          <w:p w14:paraId="29341812" w14:textId="77777777" w:rsidR="003522AC" w:rsidRPr="0037316B" w:rsidRDefault="003522AC" w:rsidP="003522AC">
            <w:pPr>
              <w:shd w:val="clear" w:color="auto" w:fill="FFFFFF"/>
              <w:ind w:firstLine="288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  <w:lang w:eastAsia="es-MX"/>
              </w:rPr>
            </w:pPr>
          </w:p>
          <w:p w14:paraId="4E8C25CF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1.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OBJETIVO.</w:t>
            </w:r>
          </w:p>
          <w:p w14:paraId="719343AC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2.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CAMPO DE APLICACIÓN.</w:t>
            </w:r>
          </w:p>
          <w:p w14:paraId="399816A5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3.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DEFINICIONES Y ABREVIATURAS.</w:t>
            </w:r>
          </w:p>
          <w:p w14:paraId="1AA986D8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3.1.    Definiciones.</w:t>
            </w:r>
          </w:p>
          <w:p w14:paraId="74A6CA35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3.2.    Abreviaturas.</w:t>
            </w:r>
          </w:p>
          <w:p w14:paraId="3DA846DE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4.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ESPECIFICACIONES TÉCNICAS.</w:t>
            </w:r>
          </w:p>
          <w:p w14:paraId="7BB396F9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4.1.    Soporte del Servicio de Radiodifusión Celular en el Equipo Terminal Móvil.</w:t>
            </w:r>
          </w:p>
          <w:p w14:paraId="33B3D6FA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4.2.    Canales para la recepción de los Mensajes de Alerta en el Equipo Terminal Móvil.</w:t>
            </w:r>
          </w:p>
          <w:p w14:paraId="154B0CDD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4.3.    Formato de visualización del Mensaje de Alerta en el Equipo Terminal Móvil.</w:t>
            </w:r>
          </w:p>
          <w:p w14:paraId="7B393E2B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4.4.    Señal Audible y cadencia de vibración del Mensaje de Alerta en el Equipo Terminal Móvil.</w:t>
            </w:r>
          </w:p>
          <w:p w14:paraId="5E12E730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4.5.    Manual del Equipo Terminal Móvil.</w:t>
            </w:r>
          </w:p>
          <w:p w14:paraId="163C081D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5.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MÉTODOS DE PRUEBA.</w:t>
            </w:r>
          </w:p>
          <w:p w14:paraId="180FF4B0" w14:textId="77777777" w:rsidR="003522AC" w:rsidRPr="0037316B" w:rsidRDefault="003522AC" w:rsidP="003522AC">
            <w:pPr>
              <w:shd w:val="clear" w:color="auto" w:fill="FFFFFF"/>
              <w:ind w:left="993" w:hanging="567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5.1.    Instrumentos de medición.</w:t>
            </w:r>
          </w:p>
          <w:p w14:paraId="372AC799" w14:textId="77777777" w:rsidR="003522AC" w:rsidRPr="0037316B" w:rsidRDefault="003522AC" w:rsidP="003522AC">
            <w:pPr>
              <w:shd w:val="clear" w:color="auto" w:fill="FFFFFF"/>
              <w:ind w:left="993" w:hanging="567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5.2.    Configuración de prueba con el simulador digital de radiocomunicaciones.</w:t>
            </w:r>
          </w:p>
          <w:p w14:paraId="7F38133E" w14:textId="77777777" w:rsidR="003522AC" w:rsidRPr="0037316B" w:rsidRDefault="003522AC" w:rsidP="003522AC">
            <w:pPr>
              <w:shd w:val="clear" w:color="auto" w:fill="FFFFFF"/>
              <w:ind w:left="993" w:hanging="567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lastRenderedPageBreak/>
              <w:t>5.3.    Método de prueba para constatar el soporte del Servicio de Radiodifusión Celular en el Equipo Terminal Móvil.</w:t>
            </w:r>
          </w:p>
          <w:p w14:paraId="2547297C" w14:textId="77777777" w:rsidR="003522AC" w:rsidRPr="0037316B" w:rsidRDefault="003522AC" w:rsidP="003522AC">
            <w:pPr>
              <w:shd w:val="clear" w:color="auto" w:fill="FFFFFF"/>
              <w:ind w:left="993" w:hanging="567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5.4.    Método de prueba para constatar los canales para la recepción de los Mensajes de Alerta en el Equipo Terminal Móvil.</w:t>
            </w:r>
          </w:p>
          <w:p w14:paraId="360F4C8B" w14:textId="77777777" w:rsidR="003522AC" w:rsidRPr="0037316B" w:rsidRDefault="003522AC" w:rsidP="003522AC">
            <w:pPr>
              <w:shd w:val="clear" w:color="auto" w:fill="FFFFFF"/>
              <w:ind w:left="993" w:hanging="567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5.5.    Método de prueba para constatar el Formato de visualización de los Mensajes de Alerta en el Equipo Terminal Móvil.</w:t>
            </w:r>
          </w:p>
          <w:p w14:paraId="03F849D1" w14:textId="77777777" w:rsidR="003522AC" w:rsidRPr="0037316B" w:rsidRDefault="003522AC" w:rsidP="003522AC">
            <w:pPr>
              <w:shd w:val="clear" w:color="auto" w:fill="FFFFFF"/>
              <w:ind w:left="993" w:hanging="567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5.6.    Método de prueba para constatar la Señal Audible y cadencia de vibración de los Mensajes de Alerta en el Equipo Terminal Móvil.</w:t>
            </w:r>
          </w:p>
          <w:p w14:paraId="673477D1" w14:textId="77777777" w:rsidR="003522AC" w:rsidRPr="0037316B" w:rsidRDefault="003522AC" w:rsidP="003522AC">
            <w:pPr>
              <w:shd w:val="clear" w:color="auto" w:fill="FFFFFF"/>
              <w:ind w:left="993" w:hanging="567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5.7.    Revisión del Manual del Equipo Terminal Móvil.</w:t>
            </w:r>
          </w:p>
          <w:p w14:paraId="62E58329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6.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CONCORDANCIA CON NORMAS INTERNACIONALES.</w:t>
            </w:r>
          </w:p>
          <w:p w14:paraId="19E5ADDD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7.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BIBLIOGRAFÍA.</w:t>
            </w:r>
          </w:p>
          <w:p w14:paraId="1B4BB554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8.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EVALUACIÓN DE LA CONFORMIDAD.</w:t>
            </w:r>
          </w:p>
          <w:p w14:paraId="42781A47" w14:textId="77777777" w:rsidR="003522AC" w:rsidRPr="0037316B" w:rsidRDefault="003522AC" w:rsidP="003522AC">
            <w:pPr>
              <w:shd w:val="clear" w:color="auto" w:fill="FFFFFF"/>
              <w:ind w:left="284" w:firstLine="142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8.1.    Vigilancia del cumplimiento de la certificación.</w:t>
            </w:r>
          </w:p>
          <w:p w14:paraId="1494E991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9.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VERIFICACIÓN Y VIGILANCIA DEL CUMPLIMIENTO DE LA DISPOSICIÓN TÉCNICA.</w:t>
            </w:r>
          </w:p>
          <w:p w14:paraId="2FD11600" w14:textId="77777777" w:rsidR="003522AC" w:rsidRPr="0037316B" w:rsidRDefault="003522AC" w:rsidP="003522AC">
            <w:pPr>
              <w:shd w:val="clear" w:color="auto" w:fill="FFFFFF"/>
              <w:ind w:left="284" w:hanging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10.</w:t>
            </w: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CONTRASEÑA DEL PRODUCTO.</w:t>
            </w:r>
          </w:p>
          <w:p w14:paraId="0345CBEE" w14:textId="77777777" w:rsidR="003522AC" w:rsidRPr="0037316B" w:rsidRDefault="003522AC" w:rsidP="003522AC">
            <w:pPr>
              <w:shd w:val="clear" w:color="auto" w:fill="FFFFFF"/>
              <w:ind w:left="284"/>
              <w:jc w:val="both"/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TRANSITORIOS.</w:t>
            </w:r>
          </w:p>
          <w:p w14:paraId="5F275C45" w14:textId="3733FC26" w:rsidR="00703C14" w:rsidRPr="003522AC" w:rsidRDefault="003522AC" w:rsidP="003522AC">
            <w:pPr>
              <w:shd w:val="clear" w:color="auto" w:fill="FFFFFF"/>
              <w:ind w:left="284"/>
              <w:jc w:val="both"/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</w:pPr>
            <w:r w:rsidRPr="0037316B">
              <w:rPr>
                <w:rFonts w:ascii="ITC Avant Garde Std Bk" w:hAnsi="ITC Avant Garde Std Bk" w:cs="Arial"/>
                <w:color w:val="2F2F2F"/>
                <w:sz w:val="18"/>
                <w:szCs w:val="18"/>
              </w:rPr>
              <w:t>   </w:t>
            </w:r>
            <w:r w:rsidRPr="0037316B">
              <w:rPr>
                <w:rFonts w:ascii="ITC Avant Garde Std Bk" w:hAnsi="ITC Avant Garde Std Bk" w:cs="Arial"/>
                <w:b/>
                <w:bCs/>
                <w:color w:val="2F2F2F"/>
                <w:sz w:val="18"/>
                <w:szCs w:val="18"/>
              </w:rPr>
              <w:t>ANEXO A. FORMATO DE REPORTE DE PRUEBAS</w:t>
            </w:r>
          </w:p>
        </w:tc>
      </w:tr>
    </w:tbl>
    <w:p w14:paraId="4E6C6C7C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245093DC" w:rsidR="00F73022" w:rsidRPr="0002355D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02355D" w:rsidRPr="0002355D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02355D">
        <w:rPr>
          <w:rFonts w:ascii="ITC Avant Garde" w:hAnsi="ITC Avant Garde"/>
          <w:sz w:val="21"/>
          <w:szCs w:val="21"/>
        </w:rPr>
        <w:t xml:space="preserve"> </w:t>
      </w:r>
      <w:r w:rsidR="00F73022" w:rsidRPr="0002355D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02355D" w14:paraId="373C675C" w14:textId="77777777" w:rsidTr="00DF074B">
        <w:tc>
          <w:tcPr>
            <w:tcW w:w="8828" w:type="dxa"/>
          </w:tcPr>
          <w:p w14:paraId="53B08DCA" w14:textId="1DF0A015" w:rsidR="00F73022" w:rsidRPr="0002355D" w:rsidRDefault="00046B8B" w:rsidP="00B01DC5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</w:t>
            </w:r>
            <w:r w:rsidR="003522AC" w:rsidRPr="003522A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stablece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r</w:t>
            </w:r>
            <w:r w:rsidR="003522AC" w:rsidRPr="003522AC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 las especificaciones técnicas de los Equipos Terminales Móviles que puedan hacer uso del espectro radioeléctrico o ser conectados a redes de telecomunicaciones, para la recepción y procesamiento de Mensajes de Alerta por Riesgo o Situaciones de Emergencia, mediante el Servicio de Radiodifusión Celular. Asimismo, establece los métodos de prueba para demostrar el cumplimiento de dichas especificaciones.</w:t>
            </w:r>
          </w:p>
        </w:tc>
      </w:tr>
    </w:tbl>
    <w:p w14:paraId="2355FA42" w14:textId="77777777" w:rsidR="00F73022" w:rsidRPr="0002355D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02355D" w14:paraId="36A134C5" w14:textId="77777777" w:rsidTr="00DF074B">
        <w:tc>
          <w:tcPr>
            <w:tcW w:w="8828" w:type="dxa"/>
          </w:tcPr>
          <w:p w14:paraId="0C79C5AD" w14:textId="77C307C9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45063E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02355D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6166DB" w:rsidRPr="0002355D" w14:paraId="78629502" w14:textId="77777777" w:rsidTr="00DF074B">
        <w:tc>
          <w:tcPr>
            <w:tcW w:w="8828" w:type="dxa"/>
          </w:tcPr>
          <w:p w14:paraId="617248E0" w14:textId="55EA8661" w:rsidR="006166DB" w:rsidRPr="0002355D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046B8B"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640CB0" w:rsidRPr="0002355D" w14:paraId="380D841C" w14:textId="77777777" w:rsidTr="00DF074B">
        <w:tc>
          <w:tcPr>
            <w:tcW w:w="8828" w:type="dxa"/>
          </w:tcPr>
          <w:p w14:paraId="6C9F585B" w14:textId="3F02DCB1" w:rsidR="00640CB0" w:rsidRPr="0002355D" w:rsidRDefault="00640CB0" w:rsidP="00640CB0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E44BF0">
              <w:rPr>
                <w:rFonts w:ascii="ITC Avant Garde" w:hAnsi="ITC Avant Garde"/>
                <w:sz w:val="21"/>
                <w:szCs w:val="21"/>
              </w:rPr>
              <w:t>Fabricantes de Equipos Terminales Móviles</w:t>
            </w:r>
            <w:r w:rsidRPr="0002355D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02355D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02355D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02355D" w14:paraId="0977E504" w14:textId="77777777" w:rsidTr="00DF074B">
        <w:trPr>
          <w:trHeight w:val="65"/>
        </w:trPr>
        <w:tc>
          <w:tcPr>
            <w:tcW w:w="8828" w:type="dxa"/>
          </w:tcPr>
          <w:p w14:paraId="522A65E1" w14:textId="039B2090" w:rsidR="00640CB0" w:rsidRDefault="00640CB0" w:rsidP="00F631B5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  <w:r w:rsidR="00F631B5"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589E0D40" w14:textId="77777777" w:rsidR="002E7B33" w:rsidRDefault="00F631B5" w:rsidP="002E7B33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631B5">
              <w:rPr>
                <w:rFonts w:ascii="ITC Avant Garde" w:hAnsi="ITC Avant Garde"/>
                <w:sz w:val="21"/>
                <w:szCs w:val="21"/>
              </w:rPr>
              <w:t>Lineamientos para la Homologación de productos, equipos, dispositivos o aparatos destinados a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  <w:p w14:paraId="0F55FF23" w14:textId="0E83D36E" w:rsidR="002E7B33" w:rsidRPr="002E7B33" w:rsidRDefault="002E7B33" w:rsidP="00F631B5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2E7B33">
              <w:rPr>
                <w:rFonts w:ascii="ITC Avant Garde" w:hAnsi="ITC Avant Garde"/>
                <w:sz w:val="21"/>
                <w:szCs w:val="21"/>
              </w:rPr>
              <w:t>Lineamientos que establecen el Protocolo de Alerta Común conforme al lineamiento cuadragésimo noveno de los Lineamientos de Colaboración en Materia de Seguridad y Justicia.</w:t>
            </w:r>
          </w:p>
          <w:p w14:paraId="5D4A60FE" w14:textId="13D593FE" w:rsidR="00F631B5" w:rsidRPr="00E44BF0" w:rsidRDefault="00F631B5" w:rsidP="00F631B5">
            <w:pPr>
              <w:pStyle w:val="Prrafodelista"/>
              <w:numPr>
                <w:ilvl w:val="0"/>
                <w:numId w:val="15"/>
              </w:numPr>
              <w:ind w:left="319" w:hanging="284"/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F631B5">
              <w:rPr>
                <w:rFonts w:ascii="ITC Avant Garde" w:hAnsi="ITC Avant Garde"/>
                <w:sz w:val="21"/>
                <w:szCs w:val="21"/>
              </w:rPr>
              <w:t>Procedimiento de evaluación de la conformidad en materia de telecomunicaciones y radiodifusión</w:t>
            </w:r>
            <w:r>
              <w:rPr>
                <w:rFonts w:ascii="ITC Avant Garde" w:hAnsi="ITC Avant Garde"/>
                <w:sz w:val="21"/>
                <w:szCs w:val="21"/>
              </w:rPr>
              <w:t>.</w:t>
            </w:r>
          </w:p>
        </w:tc>
      </w:tr>
    </w:tbl>
    <w:p w14:paraId="03FABE9B" w14:textId="45F8751D" w:rsidR="00DC3A1A" w:rsidRPr="0002355D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02355D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02355D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096E5FBB" w14:textId="77777777" w:rsidTr="007D2FD6">
        <w:tc>
          <w:tcPr>
            <w:tcW w:w="8828" w:type="dxa"/>
          </w:tcPr>
          <w:p w14:paraId="1E0A3A61" w14:textId="1A7953DA" w:rsidR="007D2FD6" w:rsidRPr="0002355D" w:rsidRDefault="00A82407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02355D">
              <w:rPr>
                <w:rFonts w:ascii="ITC Avant Garde" w:hAnsi="ITC Avant Garde"/>
                <w:sz w:val="21"/>
                <w:szCs w:val="21"/>
              </w:rPr>
              <w:t>No aplica.</w:t>
            </w:r>
          </w:p>
        </w:tc>
      </w:tr>
    </w:tbl>
    <w:p w14:paraId="37E6B748" w14:textId="77777777" w:rsidR="006166DB" w:rsidRPr="0002355D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02355D" w14:paraId="1683D7BD" w14:textId="77777777" w:rsidTr="007D2FD6">
        <w:tc>
          <w:tcPr>
            <w:tcW w:w="8828" w:type="dxa"/>
          </w:tcPr>
          <w:p w14:paraId="6A09D6D7" w14:textId="699C82E8" w:rsidR="00A82407" w:rsidRPr="0002355D" w:rsidRDefault="00F631B5" w:rsidP="00640CB0">
            <w:p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Numeral </w:t>
            </w:r>
            <w:r w:rsidRPr="00F631B5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9. VERIFICACIÓN Y VIGILANCIA DEL CUMPLIMIENTO DE LA DISPOSICIÓN TÉCNICA.</w:t>
            </w:r>
          </w:p>
        </w:tc>
      </w:tr>
    </w:tbl>
    <w:p w14:paraId="6B64E51A" w14:textId="063DA17B" w:rsidR="004B7538" w:rsidRPr="0002355D" w:rsidRDefault="00DC3A1A" w:rsidP="008428DC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02355D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sectPr w:rsidR="004B7538" w:rsidRPr="0002355D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1F74F0" w:rsidRDefault="001F74F0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1F74F0" w:rsidRDefault="001F74F0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1F74F0" w:rsidRDefault="001F74F0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1F74F0" w:rsidRDefault="001F74F0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225E11FC" w:rsidR="001F74F0" w:rsidRPr="00AC574F" w:rsidRDefault="001F74F0" w:rsidP="007D2FD6">
    <w:pPr>
      <w:pStyle w:val="Encabezado"/>
      <w:tabs>
        <w:tab w:val="left" w:pos="2748"/>
      </w:tabs>
      <w:rPr>
        <w:rFonts w:ascii="ITC Avant Garde Std Bk" w:hAnsi="ITC Avant Garde Std Bk"/>
      </w:rPr>
    </w:pPr>
    <w:r w:rsidRPr="00AC574F">
      <w:rPr>
        <w:rFonts w:ascii="ITC Avant Garde Std Bk" w:hAnsi="ITC Avant Garde Std Bk"/>
        <w:noProof/>
        <w:lang w:eastAsia="es-MX"/>
      </w:rPr>
      <w:drawing>
        <wp:inline distT="0" distB="0" distL="0" distR="0" wp14:anchorId="62D493CC" wp14:editId="7381E1E3">
          <wp:extent cx="1000125" cy="695325"/>
          <wp:effectExtent l="0" t="0" r="0" b="0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574F">
      <w:rPr>
        <w:rFonts w:ascii="ITC Avant Garde Std Bk" w:eastAsia="Calibri" w:hAnsi="ITC Avant Garde Std Bk" w:cs="Times New Roman"/>
        <w:b/>
        <w:sz w:val="18"/>
        <w:szCs w:val="18"/>
      </w:rPr>
      <w:t xml:space="preserve">                                       </w:t>
    </w:r>
    <w:r w:rsidRPr="00AC574F">
      <w:rPr>
        <w:rFonts w:ascii="ITC Avant Garde Std Bk" w:hAnsi="ITC Avant Garde Std Bk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C3441"/>
    <w:multiLevelType w:val="hybridMultilevel"/>
    <w:tmpl w:val="DFBE13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63E44"/>
    <w:multiLevelType w:val="hybridMultilevel"/>
    <w:tmpl w:val="134E14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1DAB"/>
    <w:multiLevelType w:val="hybridMultilevel"/>
    <w:tmpl w:val="78224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529"/>
    <w:multiLevelType w:val="hybridMultilevel"/>
    <w:tmpl w:val="4DEA71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E5F41"/>
    <w:multiLevelType w:val="hybridMultilevel"/>
    <w:tmpl w:val="39086C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96C6C"/>
    <w:multiLevelType w:val="hybridMultilevel"/>
    <w:tmpl w:val="32D6A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3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2355D"/>
    <w:rsid w:val="00046B8B"/>
    <w:rsid w:val="00085CAE"/>
    <w:rsid w:val="000911B6"/>
    <w:rsid w:val="00160C02"/>
    <w:rsid w:val="001A0D96"/>
    <w:rsid w:val="001A12A2"/>
    <w:rsid w:val="001C36BF"/>
    <w:rsid w:val="001D0BED"/>
    <w:rsid w:val="001E21AC"/>
    <w:rsid w:val="001F3494"/>
    <w:rsid w:val="001F5E47"/>
    <w:rsid w:val="001F74F0"/>
    <w:rsid w:val="00207BA8"/>
    <w:rsid w:val="00223B0B"/>
    <w:rsid w:val="002434FF"/>
    <w:rsid w:val="00250D5A"/>
    <w:rsid w:val="002B0B24"/>
    <w:rsid w:val="002D534C"/>
    <w:rsid w:val="002E37B6"/>
    <w:rsid w:val="002E7B33"/>
    <w:rsid w:val="00307840"/>
    <w:rsid w:val="00326275"/>
    <w:rsid w:val="00332FE9"/>
    <w:rsid w:val="003522AC"/>
    <w:rsid w:val="00366E21"/>
    <w:rsid w:val="00384692"/>
    <w:rsid w:val="003A162A"/>
    <w:rsid w:val="003C2D2C"/>
    <w:rsid w:val="003F1D7B"/>
    <w:rsid w:val="003F50B6"/>
    <w:rsid w:val="00446F0C"/>
    <w:rsid w:val="0045063E"/>
    <w:rsid w:val="00493E6E"/>
    <w:rsid w:val="004B7538"/>
    <w:rsid w:val="004C31A6"/>
    <w:rsid w:val="004C3FAC"/>
    <w:rsid w:val="004C75E5"/>
    <w:rsid w:val="004D6D14"/>
    <w:rsid w:val="004E552A"/>
    <w:rsid w:val="005034EB"/>
    <w:rsid w:val="00520991"/>
    <w:rsid w:val="00585BD4"/>
    <w:rsid w:val="005E34D0"/>
    <w:rsid w:val="005F0181"/>
    <w:rsid w:val="0061003C"/>
    <w:rsid w:val="006166DB"/>
    <w:rsid w:val="00640CB0"/>
    <w:rsid w:val="006441CF"/>
    <w:rsid w:val="0065492B"/>
    <w:rsid w:val="00673233"/>
    <w:rsid w:val="006911B3"/>
    <w:rsid w:val="006F7E1D"/>
    <w:rsid w:val="00703626"/>
    <w:rsid w:val="00703C14"/>
    <w:rsid w:val="00720D02"/>
    <w:rsid w:val="00730E59"/>
    <w:rsid w:val="007466F1"/>
    <w:rsid w:val="00774D3F"/>
    <w:rsid w:val="0078318D"/>
    <w:rsid w:val="007A1022"/>
    <w:rsid w:val="007D2FD6"/>
    <w:rsid w:val="007F5106"/>
    <w:rsid w:val="008017FB"/>
    <w:rsid w:val="00802508"/>
    <w:rsid w:val="00810332"/>
    <w:rsid w:val="00815D92"/>
    <w:rsid w:val="008428DC"/>
    <w:rsid w:val="0089205E"/>
    <w:rsid w:val="00894294"/>
    <w:rsid w:val="008D6F5A"/>
    <w:rsid w:val="0092333A"/>
    <w:rsid w:val="009701A3"/>
    <w:rsid w:val="00977ED5"/>
    <w:rsid w:val="009918CF"/>
    <w:rsid w:val="00993225"/>
    <w:rsid w:val="009A6722"/>
    <w:rsid w:val="009D567D"/>
    <w:rsid w:val="009E7D91"/>
    <w:rsid w:val="00A3392B"/>
    <w:rsid w:val="00A70F6B"/>
    <w:rsid w:val="00A82407"/>
    <w:rsid w:val="00A93C7F"/>
    <w:rsid w:val="00AC079F"/>
    <w:rsid w:val="00AC574F"/>
    <w:rsid w:val="00AD4846"/>
    <w:rsid w:val="00AF71CC"/>
    <w:rsid w:val="00B018E8"/>
    <w:rsid w:val="00B01DC5"/>
    <w:rsid w:val="00B13673"/>
    <w:rsid w:val="00B30E6B"/>
    <w:rsid w:val="00B340B6"/>
    <w:rsid w:val="00B8531B"/>
    <w:rsid w:val="00BE45D0"/>
    <w:rsid w:val="00BF2093"/>
    <w:rsid w:val="00C61F7E"/>
    <w:rsid w:val="00C76443"/>
    <w:rsid w:val="00C8049B"/>
    <w:rsid w:val="00C965CE"/>
    <w:rsid w:val="00CA43C3"/>
    <w:rsid w:val="00CB1C8D"/>
    <w:rsid w:val="00CB353A"/>
    <w:rsid w:val="00CF5F25"/>
    <w:rsid w:val="00D14569"/>
    <w:rsid w:val="00D258BF"/>
    <w:rsid w:val="00D93EA9"/>
    <w:rsid w:val="00DA28C4"/>
    <w:rsid w:val="00DB3C65"/>
    <w:rsid w:val="00DC3142"/>
    <w:rsid w:val="00DC3A1A"/>
    <w:rsid w:val="00DF074B"/>
    <w:rsid w:val="00DF1654"/>
    <w:rsid w:val="00E44BF0"/>
    <w:rsid w:val="00E70994"/>
    <w:rsid w:val="00EB53E4"/>
    <w:rsid w:val="00EF614E"/>
    <w:rsid w:val="00F014C6"/>
    <w:rsid w:val="00F30AF6"/>
    <w:rsid w:val="00F42CB3"/>
    <w:rsid w:val="00F52381"/>
    <w:rsid w:val="00F54CB3"/>
    <w:rsid w:val="00F62AAD"/>
    <w:rsid w:val="00F631B5"/>
    <w:rsid w:val="00F71208"/>
    <w:rsid w:val="00F73022"/>
    <w:rsid w:val="00F8678C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ANOTACION">
    <w:name w:val="ANOTACION"/>
    <w:basedOn w:val="Normal"/>
    <w:link w:val="ANOTACIONCar"/>
    <w:rsid w:val="00C61F7E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C61F7E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726EE3B8568444D90388555AE61B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95DC-93C1-41FA-B252-ED48A1F84E90}"/>
      </w:docPartPr>
      <w:docPartBody>
        <w:p w:rsidR="00B351E5" w:rsidRDefault="00A23889" w:rsidP="00A23889">
          <w:pPr>
            <w:pStyle w:val="3726EE3B8568444D90388555AE61BB3C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A4C7D"/>
    <w:rsid w:val="001327D6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37790F"/>
    <w:rsid w:val="004E3322"/>
    <w:rsid w:val="00530D59"/>
    <w:rsid w:val="005D084C"/>
    <w:rsid w:val="00687FEB"/>
    <w:rsid w:val="006D779E"/>
    <w:rsid w:val="007313BB"/>
    <w:rsid w:val="007866FE"/>
    <w:rsid w:val="008E6773"/>
    <w:rsid w:val="009149B3"/>
    <w:rsid w:val="00977C64"/>
    <w:rsid w:val="009F2A3C"/>
    <w:rsid w:val="00A23889"/>
    <w:rsid w:val="00A52267"/>
    <w:rsid w:val="00A60F5B"/>
    <w:rsid w:val="00A72DE6"/>
    <w:rsid w:val="00AF6C7D"/>
    <w:rsid w:val="00B01F8A"/>
    <w:rsid w:val="00B31374"/>
    <w:rsid w:val="00B351E5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4C7D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3726EE3B8568444D90388555AE61BB3C">
    <w:name w:val="3726EE3B8568444D90388555AE61BB3C"/>
    <w:rsid w:val="00A23889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2080AF-5046-4493-9BED-6F3C2B0A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la Disposición Técnica IFT-011-2022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la Disposición Técnica IFT-011-2022</dc:title>
  <dc:subject/>
  <dc:creator>Luis Fernando Rosas Yanez</dc:creator>
  <cp:keywords/>
  <dc:description/>
  <cp:lastModifiedBy>DAJMR</cp:lastModifiedBy>
  <cp:revision>2</cp:revision>
  <dcterms:created xsi:type="dcterms:W3CDTF">2023-09-25T20:10:00Z</dcterms:created>
  <dcterms:modified xsi:type="dcterms:W3CDTF">2023-09-25T20:10:00Z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