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2D9F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6EA78EF5" w14:textId="77777777" w:rsidTr="00431AAE">
        <w:trPr>
          <w:trHeight w:val="433"/>
        </w:trPr>
        <w:tc>
          <w:tcPr>
            <w:tcW w:w="8828" w:type="dxa"/>
            <w:shd w:val="clear" w:color="auto" w:fill="auto"/>
          </w:tcPr>
          <w:p w14:paraId="4BAE094C" w14:textId="12AC0EB5" w:rsidR="006166DB" w:rsidRPr="00431AAE" w:rsidRDefault="00E14B99" w:rsidP="0008429B">
            <w:pPr>
              <w:pStyle w:val="Texto"/>
              <w:spacing w:after="92"/>
              <w:ind w:firstLine="0"/>
              <w:rPr>
                <w:rFonts w:ascii="ITC Avant Garde Std Bk" w:hAnsi="ITC Avant Garde Std Bk"/>
                <w:szCs w:val="18"/>
              </w:rPr>
            </w:pPr>
            <w:r w:rsidRPr="00E14B99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Metodología para la definición y entrega de información relativa a los Contadores de Desempeño, establecida en los Lineamientos que fijan los índices y parámetros de calidad a que deberán sujetarse los prestadores del servicio móvil.</w:t>
            </w:r>
          </w:p>
        </w:tc>
      </w:tr>
    </w:tbl>
    <w:p w14:paraId="2D2451DA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564F3FB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6DA4FC18" w14:textId="77777777" w:rsidTr="00DF074B">
        <w:tc>
          <w:tcPr>
            <w:tcW w:w="8828" w:type="dxa"/>
          </w:tcPr>
          <w:p w14:paraId="6CF0D194" w14:textId="548EAD67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9-12-0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E14B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04/12/2019</w:t>
                </w:r>
              </w:sdtContent>
            </w:sdt>
          </w:p>
        </w:tc>
      </w:tr>
      <w:tr w:rsidR="003F1D7B" w:rsidRPr="0002355D" w14:paraId="4F184696" w14:textId="77777777" w:rsidTr="00DF074B">
        <w:tc>
          <w:tcPr>
            <w:tcW w:w="8828" w:type="dxa"/>
          </w:tcPr>
          <w:p w14:paraId="6D68231F" w14:textId="2AB25D3C" w:rsidR="003F1D7B" w:rsidRPr="0002355D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0-01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14B99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30/01/2020</w:t>
                </w:r>
              </w:sdtContent>
            </w:sdt>
          </w:p>
        </w:tc>
      </w:tr>
      <w:tr w:rsidR="00DF074B" w:rsidRPr="0002355D" w14:paraId="73B4191A" w14:textId="77777777" w:rsidTr="00DF074B">
        <w:tc>
          <w:tcPr>
            <w:tcW w:w="8828" w:type="dxa"/>
          </w:tcPr>
          <w:p w14:paraId="7158B8BD" w14:textId="77777777" w:rsidR="00DF074B" w:rsidRPr="0002355D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08429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02355D" w14:paraId="66A8151F" w14:textId="77777777" w:rsidTr="00DF074B">
        <w:tc>
          <w:tcPr>
            <w:tcW w:w="8828" w:type="dxa"/>
          </w:tcPr>
          <w:p w14:paraId="5F33F0C1" w14:textId="1CA78138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0-03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E14B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29/03/2020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3079E9" w:rsidRPr="0002355D" w14:paraId="4BC60486" w14:textId="77777777" w:rsidTr="00DF074B">
        <w:tc>
          <w:tcPr>
            <w:tcW w:w="8828" w:type="dxa"/>
          </w:tcPr>
          <w:p w14:paraId="758A0A9C" w14:textId="66EA76C1" w:rsidR="003079E9" w:rsidRPr="0002355D" w:rsidRDefault="003079E9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Término de la vigencia</w:t>
            </w: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:</w:t>
            </w:r>
            <w:r w:rsidRPr="003079E9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No aplica</w:t>
            </w:r>
          </w:p>
        </w:tc>
      </w:tr>
    </w:tbl>
    <w:p w14:paraId="13B9FDB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1474067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638C8D53" w14:textId="77777777" w:rsidTr="00DF074B">
        <w:tc>
          <w:tcPr>
            <w:tcW w:w="8828" w:type="dxa"/>
          </w:tcPr>
          <w:p w14:paraId="057E90FA" w14:textId="77777777" w:rsidR="003522AC" w:rsidRPr="0002355D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2216A66F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9FBBEC6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E4E6A79" w14:textId="77777777" w:rsidTr="00DF074B">
        <w:tc>
          <w:tcPr>
            <w:tcW w:w="8828" w:type="dxa"/>
          </w:tcPr>
          <w:p w14:paraId="29D29297" w14:textId="77777777" w:rsidR="006166DB" w:rsidRPr="0002355D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71575F99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FFB60E6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752EAEBD" w14:textId="77777777" w:rsidTr="00DF074B">
        <w:tc>
          <w:tcPr>
            <w:tcW w:w="8828" w:type="dxa"/>
          </w:tcPr>
          <w:p w14:paraId="29C13C2F" w14:textId="77777777" w:rsidR="00DC3A1A" w:rsidRPr="0002355D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1AF2766F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2B637D8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5D" w:rsidRPr="0002355D" w14:paraId="44EEE7ED" w14:textId="77777777" w:rsidTr="00893819">
        <w:trPr>
          <w:trHeight w:val="65"/>
        </w:trPr>
        <w:tc>
          <w:tcPr>
            <w:tcW w:w="8828" w:type="dxa"/>
          </w:tcPr>
          <w:p w14:paraId="03894A2A" w14:textId="771B9E6D" w:rsidR="0002355D" w:rsidRPr="0002355D" w:rsidRDefault="00E14B99" w:rsidP="0089381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04/01/2024</w:t>
            </w:r>
          </w:p>
        </w:tc>
      </w:tr>
    </w:tbl>
    <w:p w14:paraId="1C44518E" w14:textId="77777777" w:rsidR="0002355D" w:rsidRPr="0002355D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F981FE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15962F9C" w14:textId="77777777" w:rsidTr="00DF074B">
        <w:tc>
          <w:tcPr>
            <w:tcW w:w="8828" w:type="dxa"/>
          </w:tcPr>
          <w:p w14:paraId="15FC92BE" w14:textId="1988ABF7" w:rsidR="006166DB" w:rsidRPr="0002355D" w:rsidRDefault="00AA3181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E14B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Metodología </w:t>
                </w:r>
              </w:sdtContent>
            </w:sdt>
          </w:p>
        </w:tc>
      </w:tr>
    </w:tbl>
    <w:p w14:paraId="3DAD2A12" w14:textId="77777777" w:rsidR="006166DB" w:rsidRPr="0002355D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6C9430A" w14:textId="121D980C" w:rsidR="00685805" w:rsidRPr="000E3EF4" w:rsidRDefault="00DC3A1A" w:rsidP="000E3EF4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2355D">
        <w:rPr>
          <w:rFonts w:ascii="ITC Avant Garde" w:hAnsi="ITC Avant Garde"/>
          <w:sz w:val="21"/>
          <w:szCs w:val="21"/>
        </w:rPr>
        <w:t xml:space="preserve"> 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5805" w14:paraId="57F3C446" w14:textId="77777777" w:rsidTr="00685805">
        <w:tc>
          <w:tcPr>
            <w:tcW w:w="8828" w:type="dxa"/>
          </w:tcPr>
          <w:p w14:paraId="6794F123" w14:textId="77777777" w:rsidR="00685805" w:rsidRDefault="00685805" w:rsidP="00E14B99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407200FB" w14:textId="77777777" w:rsidR="00F73022" w:rsidRDefault="00F73022" w:rsidP="000E3EF4">
      <w:pPr>
        <w:tabs>
          <w:tab w:val="left" w:pos="1500"/>
        </w:tabs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14099886" w14:textId="77777777" w:rsidR="00685805" w:rsidRPr="0002355D" w:rsidRDefault="00685805" w:rsidP="000E3EF4">
      <w:pPr>
        <w:tabs>
          <w:tab w:val="left" w:pos="1500"/>
        </w:tabs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709C7585" w14:textId="77777777" w:rsidR="00F73022" w:rsidRPr="0002355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2355D">
        <w:rPr>
          <w:rFonts w:ascii="ITC Avant Garde" w:hAnsi="ITC Avant Garde"/>
          <w:sz w:val="21"/>
          <w:szCs w:val="21"/>
        </w:rPr>
        <w:t xml:space="preserve"> 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2355D" w14:paraId="128728ED" w14:textId="77777777" w:rsidTr="00DF074B">
        <w:tc>
          <w:tcPr>
            <w:tcW w:w="8828" w:type="dxa"/>
          </w:tcPr>
          <w:p w14:paraId="3D557570" w14:textId="01F05EC9" w:rsidR="00F73022" w:rsidRPr="00547E74" w:rsidRDefault="00E14B99" w:rsidP="00547E74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E14B9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La presente metodología tiene por objeto establecer la definición y entrega de información a partir de los Contadores de Desempeño en cumplimiento a las obligaciones establecidas en los lineamientos VIGÉSIMO PRIMERO y VIGÉSIMO SEGUNDO de los Lineamientos que fijan los índices y parámetros de calidad a que deberán sujetarse los prestadores del servicio móvil.</w:t>
            </w:r>
          </w:p>
        </w:tc>
      </w:tr>
    </w:tbl>
    <w:p w14:paraId="6639BA67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FB0E4FF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5990337B" w14:textId="77777777" w:rsidTr="00DF074B">
        <w:tc>
          <w:tcPr>
            <w:tcW w:w="8828" w:type="dxa"/>
          </w:tcPr>
          <w:p w14:paraId="504DF3D6" w14:textId="77777777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21378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</w:p>
        </w:tc>
      </w:tr>
      <w:tr w:rsidR="00BE74CA" w:rsidRPr="0002355D" w14:paraId="0392C068" w14:textId="77777777" w:rsidTr="00DF074B">
        <w:tc>
          <w:tcPr>
            <w:tcW w:w="8828" w:type="dxa"/>
          </w:tcPr>
          <w:p w14:paraId="64073540" w14:textId="1C35935F" w:rsidR="00BE74CA" w:rsidRPr="0002355D" w:rsidRDefault="00BE74CA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415762230"/>
                <w:placeholder>
                  <w:docPart w:val="C7DFC212493A43C197A71A80A6850237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BE74CA" w:rsidRPr="0002355D" w14:paraId="561184C7" w14:textId="77777777" w:rsidTr="00DF074B">
        <w:tc>
          <w:tcPr>
            <w:tcW w:w="8828" w:type="dxa"/>
          </w:tcPr>
          <w:p w14:paraId="0A2F5D0D" w14:textId="5B6E0851" w:rsidR="00BE74CA" w:rsidRPr="0002355D" w:rsidRDefault="00BE74CA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328607875"/>
                <w:placeholder>
                  <w:docPart w:val="53364CF30ED04FA9882A6830C9E5004F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BE74CA" w:rsidRPr="0002355D" w14:paraId="2811A5C6" w14:textId="77777777" w:rsidTr="00DF074B">
        <w:tc>
          <w:tcPr>
            <w:tcW w:w="8828" w:type="dxa"/>
          </w:tcPr>
          <w:p w14:paraId="3843DEEE" w14:textId="77777777" w:rsidR="00E14B99" w:rsidRPr="00E14B99" w:rsidRDefault="00E14B99" w:rsidP="00E14B99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E14B99">
              <w:rPr>
                <w:rFonts w:ascii="ITC Avant Garde" w:hAnsi="ITC Avant Garde"/>
                <w:sz w:val="21"/>
                <w:szCs w:val="21"/>
              </w:rPr>
              <w:t>Regulado: Concesionarios que presten el servicio móvil, concesionarios mayoristas</w:t>
            </w:r>
          </w:p>
          <w:p w14:paraId="1ECC22E2" w14:textId="77777777" w:rsidR="00E14B99" w:rsidRPr="00E14B99" w:rsidRDefault="00E14B99" w:rsidP="00E14B99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E14B99">
              <w:rPr>
                <w:rFonts w:ascii="ITC Avant Garde" w:hAnsi="ITC Avant Garde"/>
                <w:sz w:val="21"/>
                <w:szCs w:val="21"/>
              </w:rPr>
              <w:t>móviles y, en lo aplicable, para los operadores móviles virtuales que proporcionan</w:t>
            </w:r>
          </w:p>
          <w:p w14:paraId="11E562F2" w14:textId="18630A73" w:rsidR="00BE74CA" w:rsidRPr="0002355D" w:rsidRDefault="00E14B99" w:rsidP="00E14B99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E14B99">
              <w:rPr>
                <w:rFonts w:ascii="ITC Avant Garde" w:hAnsi="ITC Avant Garde"/>
                <w:sz w:val="21"/>
                <w:szCs w:val="21"/>
              </w:rPr>
              <w:t>dicho servicio.</w:t>
            </w:r>
          </w:p>
        </w:tc>
      </w:tr>
    </w:tbl>
    <w:p w14:paraId="481157D3" w14:textId="77777777" w:rsidR="001D0BED" w:rsidRPr="0002355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C630AA6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5AABA506" w14:textId="77777777" w:rsidTr="00DF074B">
        <w:trPr>
          <w:trHeight w:val="65"/>
        </w:trPr>
        <w:tc>
          <w:tcPr>
            <w:tcW w:w="8828" w:type="dxa"/>
          </w:tcPr>
          <w:p w14:paraId="7838EB5A" w14:textId="77777777" w:rsidR="00E14B99" w:rsidRPr="00E14B99" w:rsidRDefault="00E14B99" w:rsidP="00E14B9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E14B99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</w:p>
          <w:p w14:paraId="3B2CA54F" w14:textId="77777777" w:rsidR="00F226DB" w:rsidRDefault="00E14B99" w:rsidP="00E14B9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E14B99">
              <w:rPr>
                <w:rFonts w:ascii="ITC Avant Garde" w:hAnsi="ITC Avant Garde"/>
                <w:sz w:val="21"/>
                <w:szCs w:val="21"/>
              </w:rPr>
              <w:t>Ley Federal de Protección al Consumidor</w:t>
            </w:r>
          </w:p>
          <w:p w14:paraId="559268E6" w14:textId="7BA93815" w:rsidR="00E14B99" w:rsidRPr="00E14B99" w:rsidRDefault="00E60730" w:rsidP="00E14B9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L</w:t>
            </w:r>
            <w:r w:rsidR="00E14B99" w:rsidRPr="00E14B99">
              <w:rPr>
                <w:rFonts w:ascii="ITC Avant Garde" w:hAnsi="ITC Avant Garde"/>
                <w:sz w:val="21"/>
                <w:szCs w:val="21"/>
              </w:rPr>
              <w:t>ineamientos que fijan los índices y parámetros de calidad a</w:t>
            </w:r>
          </w:p>
          <w:p w14:paraId="7F041522" w14:textId="2C0F8E4E" w:rsidR="00E14B99" w:rsidRPr="00E14B99" w:rsidRDefault="00E14B99" w:rsidP="00E14B99">
            <w:pPr>
              <w:pStyle w:val="Prrafodelista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E14B99">
              <w:rPr>
                <w:rFonts w:ascii="ITC Avant Garde" w:hAnsi="ITC Avant Garde"/>
                <w:sz w:val="21"/>
                <w:szCs w:val="21"/>
              </w:rPr>
              <w:t>que deberán sujetarse los prestadores del servicio móvil y se abroga el Plan Técnico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14B99">
              <w:rPr>
                <w:rFonts w:ascii="ITC Avant Garde" w:hAnsi="ITC Avant Garde"/>
                <w:sz w:val="21"/>
                <w:szCs w:val="21"/>
              </w:rPr>
              <w:t>Fundamental de Calidad del Servicio Local Móvil publicado el 30 de agosto de 2011,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14B99">
              <w:rPr>
                <w:rFonts w:ascii="ITC Avant Garde" w:hAnsi="ITC Avant Garde"/>
                <w:sz w:val="21"/>
                <w:szCs w:val="21"/>
              </w:rPr>
              <w:t>así como la metodología de mediciones del Plan Técnico Fundamental de Calidad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14B99">
              <w:rPr>
                <w:rFonts w:ascii="ITC Avant Garde" w:hAnsi="ITC Avant Garde"/>
                <w:sz w:val="21"/>
                <w:szCs w:val="21"/>
              </w:rPr>
              <w:t>del Servicio Local Móvil publicada el 27 de junio de 2012.</w:t>
            </w:r>
          </w:p>
        </w:tc>
      </w:tr>
    </w:tbl>
    <w:p w14:paraId="05E6B1C6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E3E9D31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7214BACC" w14:textId="77777777" w:rsidTr="007D2FD6">
        <w:tc>
          <w:tcPr>
            <w:tcW w:w="8828" w:type="dxa"/>
          </w:tcPr>
          <w:p w14:paraId="26EB51E2" w14:textId="53FC9580" w:rsidR="00AA3181" w:rsidRPr="00AA3181" w:rsidRDefault="00AA3181" w:rsidP="00AA3181">
            <w:pPr>
              <w:spacing w:after="0" w:line="240" w:lineRule="auto"/>
              <w:mirrorIndents/>
              <w:rPr>
                <w:rFonts w:ascii="ITC Avant Garde" w:hAnsi="ITC Avant Garde"/>
                <w:sz w:val="21"/>
                <w:szCs w:val="21"/>
              </w:rPr>
            </w:pPr>
            <w:hyperlink r:id="rId11" w:anchor="!/tramite/UC-01-037-B" w:history="1">
              <w:r w:rsidRPr="00AA3181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UC-01-037-B</w:t>
              </w:r>
              <w:r w:rsidRPr="00AA3181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>:</w:t>
              </w:r>
            </w:hyperlink>
            <w:r w:rsidRPr="00AA3181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AA3181">
              <w:rPr>
                <w:rFonts w:ascii="ITC Avant Garde" w:hAnsi="ITC Avant Garde"/>
                <w:sz w:val="21"/>
                <w:szCs w:val="21"/>
              </w:rPr>
              <w:t>Presentación del Reporte de información relativa a los Contadores de Desempeño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3215DB5" w14:textId="24E2ABF3" w:rsidR="00E81B12" w:rsidRPr="00D715B8" w:rsidRDefault="00E81B12" w:rsidP="00D715B8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204F205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27C7AA33" w14:textId="77777777" w:rsidTr="007D2FD6">
        <w:tc>
          <w:tcPr>
            <w:tcW w:w="8828" w:type="dxa"/>
          </w:tcPr>
          <w:p w14:paraId="128B6C41" w14:textId="77777777" w:rsidR="00E14B99" w:rsidRPr="00E14B99" w:rsidRDefault="00E14B99" w:rsidP="00E14B99">
            <w:pPr>
              <w:pStyle w:val="Prrafodelista"/>
              <w:numPr>
                <w:ilvl w:val="0"/>
                <w:numId w:val="18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4B9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</w:t>
            </w:r>
          </w:p>
          <w:p w14:paraId="09C4A59A" w14:textId="77777777" w:rsidR="00E14B99" w:rsidRPr="00E14B99" w:rsidRDefault="00E14B99" w:rsidP="00E14B99">
            <w:pPr>
              <w:pStyle w:val="Prrafodelista"/>
              <w:numPr>
                <w:ilvl w:val="0"/>
                <w:numId w:val="18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4B9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Radiodifusión, artículos 291, 292, 293, 294, 295 y 296.</w:t>
            </w:r>
          </w:p>
          <w:p w14:paraId="5811A9F5" w14:textId="7B15BE93" w:rsidR="00E14B99" w:rsidRPr="00E14B99" w:rsidRDefault="00E14B99" w:rsidP="00E14B99">
            <w:pPr>
              <w:pStyle w:val="Prrafodelista"/>
              <w:numPr>
                <w:ilvl w:val="0"/>
                <w:numId w:val="18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4B9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Décimo Primero</w:t>
            </w:r>
          </w:p>
          <w:p w14:paraId="74E8F338" w14:textId="19829033" w:rsidR="00A82407" w:rsidRPr="00D715B8" w:rsidRDefault="00E14B99" w:rsidP="00E14B99">
            <w:pPr>
              <w:pStyle w:val="Prrafodelista"/>
              <w:numPr>
                <w:ilvl w:val="0"/>
                <w:numId w:val="18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4B9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Vigésimo Quinto</w:t>
            </w:r>
          </w:p>
        </w:tc>
      </w:tr>
    </w:tbl>
    <w:p w14:paraId="31D92DEF" w14:textId="77777777" w:rsidR="004B7538" w:rsidRPr="0002355D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02355D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002F" w14:textId="77777777" w:rsidR="000A76AE" w:rsidRDefault="000A76AE" w:rsidP="006166DB">
      <w:pPr>
        <w:spacing w:after="0" w:line="240" w:lineRule="auto"/>
      </w:pPr>
      <w:r>
        <w:separator/>
      </w:r>
    </w:p>
  </w:endnote>
  <w:endnote w:type="continuationSeparator" w:id="0">
    <w:p w14:paraId="106010CF" w14:textId="77777777" w:rsidR="000A76AE" w:rsidRDefault="000A76AE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9889" w14:textId="77777777" w:rsidR="000A76AE" w:rsidRDefault="000A76AE" w:rsidP="006166DB">
      <w:pPr>
        <w:spacing w:after="0" w:line="240" w:lineRule="auto"/>
      </w:pPr>
      <w:r>
        <w:separator/>
      </w:r>
    </w:p>
  </w:footnote>
  <w:footnote w:type="continuationSeparator" w:id="0">
    <w:p w14:paraId="24885BA2" w14:textId="77777777" w:rsidR="000A76AE" w:rsidRDefault="000A76AE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5237" w14:textId="77777777" w:rsidR="00983A73" w:rsidRPr="00AC574F" w:rsidRDefault="00983A73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F201225" wp14:editId="3C64FE6B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TC Avant Garde Std Bk" w:hAnsi="ITC Avant Garde Std Bk"/>
        <w:b/>
        <w:sz w:val="21"/>
        <w:szCs w:val="21"/>
      </w:rPr>
      <w:t xml:space="preserve">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1151"/>
    <w:multiLevelType w:val="hybridMultilevel"/>
    <w:tmpl w:val="160AE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5532D"/>
    <w:multiLevelType w:val="hybridMultilevel"/>
    <w:tmpl w:val="3B604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47418">
    <w:abstractNumId w:val="5"/>
  </w:num>
  <w:num w:numId="2" w16cid:durableId="741685472">
    <w:abstractNumId w:val="4"/>
  </w:num>
  <w:num w:numId="3" w16cid:durableId="1894542450">
    <w:abstractNumId w:val="1"/>
  </w:num>
  <w:num w:numId="4" w16cid:durableId="1249801705">
    <w:abstractNumId w:val="2"/>
  </w:num>
  <w:num w:numId="5" w16cid:durableId="190539095">
    <w:abstractNumId w:val="8"/>
  </w:num>
  <w:num w:numId="6" w16cid:durableId="531114063">
    <w:abstractNumId w:val="16"/>
  </w:num>
  <w:num w:numId="7" w16cid:durableId="1897736783">
    <w:abstractNumId w:val="14"/>
  </w:num>
  <w:num w:numId="8" w16cid:durableId="1715227757">
    <w:abstractNumId w:val="9"/>
  </w:num>
  <w:num w:numId="9" w16cid:durableId="2112968297">
    <w:abstractNumId w:val="10"/>
  </w:num>
  <w:num w:numId="10" w16cid:durableId="990061257">
    <w:abstractNumId w:val="13"/>
  </w:num>
  <w:num w:numId="11" w16cid:durableId="1963342670">
    <w:abstractNumId w:val="11"/>
  </w:num>
  <w:num w:numId="12" w16cid:durableId="162208310">
    <w:abstractNumId w:val="6"/>
  </w:num>
  <w:num w:numId="13" w16cid:durableId="1314220454">
    <w:abstractNumId w:val="0"/>
  </w:num>
  <w:num w:numId="14" w16cid:durableId="1439376427">
    <w:abstractNumId w:val="17"/>
  </w:num>
  <w:num w:numId="15" w16cid:durableId="1149982636">
    <w:abstractNumId w:val="12"/>
  </w:num>
  <w:num w:numId="16" w16cid:durableId="748422598">
    <w:abstractNumId w:val="3"/>
  </w:num>
  <w:num w:numId="17" w16cid:durableId="1781945796">
    <w:abstractNumId w:val="15"/>
  </w:num>
  <w:num w:numId="18" w16cid:durableId="440149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0ADE"/>
    <w:rsid w:val="0002355D"/>
    <w:rsid w:val="00046B8B"/>
    <w:rsid w:val="0008429B"/>
    <w:rsid w:val="00085CAE"/>
    <w:rsid w:val="000911B6"/>
    <w:rsid w:val="000A76AE"/>
    <w:rsid w:val="000E3EF4"/>
    <w:rsid w:val="00160C02"/>
    <w:rsid w:val="001A0D96"/>
    <w:rsid w:val="001A12A2"/>
    <w:rsid w:val="001B1E01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912EB"/>
    <w:rsid w:val="002B0B24"/>
    <w:rsid w:val="002D534C"/>
    <w:rsid w:val="002E37B6"/>
    <w:rsid w:val="002E7B33"/>
    <w:rsid w:val="002F39A1"/>
    <w:rsid w:val="00307840"/>
    <w:rsid w:val="003079E9"/>
    <w:rsid w:val="00326275"/>
    <w:rsid w:val="00332FE9"/>
    <w:rsid w:val="003522AC"/>
    <w:rsid w:val="00366E21"/>
    <w:rsid w:val="00384692"/>
    <w:rsid w:val="003A162A"/>
    <w:rsid w:val="003C2D2C"/>
    <w:rsid w:val="003F1D7B"/>
    <w:rsid w:val="003F50B6"/>
    <w:rsid w:val="00431AAE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47E74"/>
    <w:rsid w:val="00585BD4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85805"/>
    <w:rsid w:val="006911B3"/>
    <w:rsid w:val="00692CF4"/>
    <w:rsid w:val="006F7E1D"/>
    <w:rsid w:val="00703626"/>
    <w:rsid w:val="00703C14"/>
    <w:rsid w:val="00720D02"/>
    <w:rsid w:val="00730E59"/>
    <w:rsid w:val="00737964"/>
    <w:rsid w:val="007466F1"/>
    <w:rsid w:val="00774D3F"/>
    <w:rsid w:val="0078318D"/>
    <w:rsid w:val="00787325"/>
    <w:rsid w:val="007A1022"/>
    <w:rsid w:val="007D2FD6"/>
    <w:rsid w:val="007E0355"/>
    <w:rsid w:val="007F5106"/>
    <w:rsid w:val="008017FB"/>
    <w:rsid w:val="00802508"/>
    <w:rsid w:val="00810332"/>
    <w:rsid w:val="00815D92"/>
    <w:rsid w:val="008428DC"/>
    <w:rsid w:val="008549FA"/>
    <w:rsid w:val="0089205E"/>
    <w:rsid w:val="00893819"/>
    <w:rsid w:val="00894294"/>
    <w:rsid w:val="008D6F5A"/>
    <w:rsid w:val="008F6582"/>
    <w:rsid w:val="0092333A"/>
    <w:rsid w:val="009323CB"/>
    <w:rsid w:val="009701A3"/>
    <w:rsid w:val="00977ED5"/>
    <w:rsid w:val="00983A73"/>
    <w:rsid w:val="009918CF"/>
    <w:rsid w:val="00993225"/>
    <w:rsid w:val="009A6722"/>
    <w:rsid w:val="009D567D"/>
    <w:rsid w:val="009E7D91"/>
    <w:rsid w:val="00A3392B"/>
    <w:rsid w:val="00A70F6B"/>
    <w:rsid w:val="00A82407"/>
    <w:rsid w:val="00A93C7F"/>
    <w:rsid w:val="00AA3181"/>
    <w:rsid w:val="00AC079F"/>
    <w:rsid w:val="00AC574F"/>
    <w:rsid w:val="00AD1A30"/>
    <w:rsid w:val="00AD4846"/>
    <w:rsid w:val="00AF71CC"/>
    <w:rsid w:val="00AF7C46"/>
    <w:rsid w:val="00B018E8"/>
    <w:rsid w:val="00B01DC5"/>
    <w:rsid w:val="00B032C3"/>
    <w:rsid w:val="00B13673"/>
    <w:rsid w:val="00B30E6B"/>
    <w:rsid w:val="00B340B6"/>
    <w:rsid w:val="00B357ED"/>
    <w:rsid w:val="00B8531B"/>
    <w:rsid w:val="00BE45D0"/>
    <w:rsid w:val="00BE74CA"/>
    <w:rsid w:val="00BF2093"/>
    <w:rsid w:val="00C05DD8"/>
    <w:rsid w:val="00C61F7E"/>
    <w:rsid w:val="00C76443"/>
    <w:rsid w:val="00C8049B"/>
    <w:rsid w:val="00C965CE"/>
    <w:rsid w:val="00CA43C3"/>
    <w:rsid w:val="00CB1C8D"/>
    <w:rsid w:val="00CB353A"/>
    <w:rsid w:val="00CE57F9"/>
    <w:rsid w:val="00CF5F25"/>
    <w:rsid w:val="00D14569"/>
    <w:rsid w:val="00D258BF"/>
    <w:rsid w:val="00D25942"/>
    <w:rsid w:val="00D715B8"/>
    <w:rsid w:val="00D93EA9"/>
    <w:rsid w:val="00DA2808"/>
    <w:rsid w:val="00DB3C65"/>
    <w:rsid w:val="00DC3142"/>
    <w:rsid w:val="00DC3A1A"/>
    <w:rsid w:val="00DE0F83"/>
    <w:rsid w:val="00DF074B"/>
    <w:rsid w:val="00DF1654"/>
    <w:rsid w:val="00E0500D"/>
    <w:rsid w:val="00E13F11"/>
    <w:rsid w:val="00E14B99"/>
    <w:rsid w:val="00E22817"/>
    <w:rsid w:val="00E44BF0"/>
    <w:rsid w:val="00E60730"/>
    <w:rsid w:val="00E70994"/>
    <w:rsid w:val="00E81B12"/>
    <w:rsid w:val="00EB53E4"/>
    <w:rsid w:val="00EF614E"/>
    <w:rsid w:val="00F014C6"/>
    <w:rsid w:val="00F226DB"/>
    <w:rsid w:val="00F2439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70231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TDC2">
    <w:name w:val="toc 2"/>
    <w:basedOn w:val="Normal"/>
    <w:next w:val="Normal"/>
    <w:uiPriority w:val="39"/>
    <w:rsid w:val="00737964"/>
    <w:pPr>
      <w:tabs>
        <w:tab w:val="right" w:leader="dot" w:pos="8630"/>
      </w:tabs>
      <w:spacing w:after="100" w:line="259" w:lineRule="atLeast"/>
      <w:ind w:left="142"/>
    </w:pPr>
    <w:rPr>
      <w:rFonts w:ascii="HeAvetica" w:eastAsia="Times New Roman" w:hAnsi="HeAvetica" w:cs="HeAvetica"/>
      <w:szCs w:val="20"/>
      <w:lang w:val="es-ES_tradnl" w:eastAsia="es-MX"/>
    </w:rPr>
  </w:style>
  <w:style w:type="paragraph" w:styleId="TDC1">
    <w:name w:val="toc 1"/>
    <w:basedOn w:val="Normal"/>
    <w:next w:val="Normal"/>
    <w:uiPriority w:val="39"/>
    <w:rsid w:val="00737964"/>
    <w:pPr>
      <w:spacing w:after="100" w:line="259" w:lineRule="atLeast"/>
    </w:pPr>
    <w:rPr>
      <w:rFonts w:ascii="HeAvetica" w:eastAsia="Times New Roman" w:hAnsi="HeAvetica" w:cs="HeAvetica"/>
      <w:szCs w:val="20"/>
      <w:lang w:val="es-ES_tradnl"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737964"/>
    <w:pPr>
      <w:outlineLvl w:val="9"/>
    </w:pPr>
    <w:rPr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A3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7DFC212493A43C197A71A80A685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26FB-FC4E-45CF-8699-9FAFDECC1339}"/>
      </w:docPartPr>
      <w:docPartBody>
        <w:p w:rsidR="00034EE1" w:rsidRDefault="00034EE1" w:rsidP="00034EE1">
          <w:pPr>
            <w:pStyle w:val="C7DFC212493A43C197A71A80A6850237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53364CF30ED04FA9882A6830C9E5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5FF0-BA2D-4101-8F41-7457503B3BB3}"/>
      </w:docPartPr>
      <w:docPartBody>
        <w:p w:rsidR="00034EE1" w:rsidRDefault="00034EE1" w:rsidP="00034EE1">
          <w:pPr>
            <w:pStyle w:val="53364CF30ED04FA9882A6830C9E5004F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34EE1"/>
    <w:rsid w:val="000A040B"/>
    <w:rsid w:val="000A4C7D"/>
    <w:rsid w:val="001327D6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B51F2"/>
    <w:rsid w:val="00AF6C7D"/>
    <w:rsid w:val="00B01F8A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EA1637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4EE1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C7DFC212493A43C197A71A80A6850237">
    <w:name w:val="C7DFC212493A43C197A71A80A6850237"/>
    <w:rsid w:val="00034EE1"/>
    <w:rPr>
      <w:kern w:val="2"/>
      <w14:ligatures w14:val="standardContextual"/>
    </w:rPr>
  </w:style>
  <w:style w:type="paragraph" w:customStyle="1" w:styleId="53364CF30ED04FA9882A6830C9E5004F">
    <w:name w:val="53364CF30ED04FA9882A6830C9E5004F"/>
    <w:rsid w:val="00034EE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475B0-00EB-4B30-BEA9-272809B0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 Metodología para la Definición y Entrega de Información Relativa a los Contadores de Desempeño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 Metodología para la Definición y Entrega de Información Relativa a los Contadores de Desempeño</dc:title>
  <dc:subject/>
  <dc:creator>Alinne Fuentes Trujillo</dc:creator>
  <cp:keywords/>
  <dc:description/>
  <cp:lastModifiedBy>Carolina Sanchez Alquicira</cp:lastModifiedBy>
  <cp:revision>4</cp:revision>
  <dcterms:created xsi:type="dcterms:W3CDTF">2024-01-22T20:56:00Z</dcterms:created>
  <dcterms:modified xsi:type="dcterms:W3CDTF">2024-06-13T23:55:00Z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