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1F50" w14:textId="77777777" w:rsidR="006166DB" w:rsidRPr="0002355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02355D" w14:paraId="5979EBFC" w14:textId="77777777" w:rsidTr="00DF074B">
        <w:tc>
          <w:tcPr>
            <w:tcW w:w="8828" w:type="dxa"/>
          </w:tcPr>
          <w:p w14:paraId="33DDA7C4" w14:textId="14A43A50" w:rsidR="006166DB" w:rsidRPr="0074184D" w:rsidRDefault="00BE4739" w:rsidP="001162E7">
            <w:pPr>
              <w:pStyle w:val="Ttulo3"/>
              <w:jc w:val="both"/>
              <w:rPr>
                <w:rFonts w:ascii="ITC Avant Garde Std Bk" w:hAnsi="ITC Avant Garde Std Bk"/>
                <w:color w:val="auto"/>
                <w:sz w:val="21"/>
                <w:szCs w:val="21"/>
              </w:rPr>
            </w:pPr>
            <w:r w:rsidRPr="0074184D">
              <w:rPr>
                <w:rFonts w:ascii="ITC Avant Garde" w:hAnsi="ITC Avant Garde"/>
                <w:color w:val="000000" w:themeColor="text1"/>
                <w:sz w:val="21"/>
                <w:szCs w:val="21"/>
              </w:rPr>
              <w:t>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r w:rsidRPr="0074184D">
              <w:rPr>
                <w:color w:val="000000" w:themeColor="text1"/>
                <w:sz w:val="21"/>
                <w:szCs w:val="21"/>
              </w:rPr>
              <w:t>.</w:t>
            </w:r>
          </w:p>
        </w:tc>
      </w:tr>
    </w:tbl>
    <w:p w14:paraId="355EFDF6" w14:textId="77777777" w:rsidR="006166DB" w:rsidRPr="0002355D" w:rsidRDefault="006166DB" w:rsidP="002434FF">
      <w:pPr>
        <w:spacing w:after="0" w:line="240" w:lineRule="auto"/>
        <w:contextualSpacing/>
        <w:mirrorIndents/>
        <w:rPr>
          <w:rFonts w:ascii="ITC Avant Garde" w:hAnsi="ITC Avant Garde"/>
          <w:color w:val="000000" w:themeColor="text1"/>
          <w:sz w:val="21"/>
          <w:szCs w:val="21"/>
        </w:rPr>
      </w:pPr>
    </w:p>
    <w:p w14:paraId="184190EC" w14:textId="77777777" w:rsidR="006166DB" w:rsidRPr="0002355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02355D" w14:paraId="051115CC" w14:textId="77777777" w:rsidTr="00DF074B">
        <w:tc>
          <w:tcPr>
            <w:tcW w:w="8828" w:type="dxa"/>
          </w:tcPr>
          <w:p w14:paraId="26617D4F" w14:textId="436E1F14" w:rsidR="006166DB" w:rsidRPr="0002355D" w:rsidRDefault="006166DB" w:rsidP="002434FF">
            <w:pPr>
              <w:contextualSpacing/>
              <w:mirrorIndents/>
              <w:rPr>
                <w:rStyle w:val="Estilo4"/>
                <w:rFonts w:ascii="ITC Avant Garde" w:hAnsi="ITC Avant Garde"/>
                <w:sz w:val="21"/>
                <w:szCs w:val="21"/>
              </w:rPr>
            </w:pPr>
            <w:r w:rsidRPr="0002355D">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4-03-20T00:00:00Z">
                  <w:dateFormat w:val="dd/MM/yyyy"/>
                  <w:lid w:val="es-MX"/>
                  <w:storeMappedDataAs w:val="dateTime"/>
                  <w:calendar w:val="gregorian"/>
                </w:date>
              </w:sdtPr>
              <w:sdtEndPr>
                <w:rPr>
                  <w:rStyle w:val="Estilo4"/>
                </w:rPr>
              </w:sdtEndPr>
              <w:sdtContent>
                <w:r w:rsidR="00BE4739">
                  <w:rPr>
                    <w:rStyle w:val="Estilo4"/>
                    <w:rFonts w:ascii="ITC Avant Garde" w:hAnsi="ITC Avant Garde"/>
                    <w:sz w:val="21"/>
                    <w:szCs w:val="21"/>
                  </w:rPr>
                  <w:t>20</w:t>
                </w:r>
                <w:r w:rsidR="004D0837">
                  <w:rPr>
                    <w:rStyle w:val="Estilo4"/>
                    <w:rFonts w:ascii="ITC Avant Garde" w:hAnsi="ITC Avant Garde"/>
                    <w:sz w:val="21"/>
                    <w:szCs w:val="21"/>
                  </w:rPr>
                  <w:t>/03/2024</w:t>
                </w:r>
              </w:sdtContent>
            </w:sdt>
          </w:p>
        </w:tc>
      </w:tr>
      <w:tr w:rsidR="003F1D7B" w:rsidRPr="0002355D" w14:paraId="2651CDB2" w14:textId="77777777" w:rsidTr="00DF074B">
        <w:tc>
          <w:tcPr>
            <w:tcW w:w="8828" w:type="dxa"/>
          </w:tcPr>
          <w:p w14:paraId="7B7DDB45" w14:textId="75D86047" w:rsidR="003F1D7B" w:rsidRPr="0002355D" w:rsidRDefault="003F1D7B" w:rsidP="003F1D7B">
            <w:pPr>
              <w:contextualSpacing/>
              <w:mirrorIndents/>
              <w:rPr>
                <w:rStyle w:val="Estilo4"/>
                <w:rFonts w:ascii="ITC Avant Garde" w:hAnsi="ITC Avant Garde"/>
                <w:sz w:val="21"/>
                <w:szCs w:val="21"/>
              </w:rPr>
            </w:pPr>
            <w:r w:rsidRPr="0002355D">
              <w:rPr>
                <w:rStyle w:val="Estilo4"/>
                <w:rFonts w:ascii="ITC Avant Garde" w:hAnsi="ITC Avant Garde"/>
                <w:sz w:val="21"/>
                <w:szCs w:val="21"/>
              </w:rPr>
              <w:t xml:space="preserve">Fecha de publicación en el DOF: </w:t>
            </w:r>
            <w:sdt>
              <w:sdtPr>
                <w:rPr>
                  <w:rFonts w:ascii="ITC Avant Garde" w:hAnsi="ITC Avant Garde"/>
                  <w:color w:val="000000" w:themeColor="text1"/>
                  <w:sz w:val="21"/>
                  <w:szCs w:val="21"/>
                </w:rPr>
                <w:alias w:val="Eliga la fecha de expedición "/>
                <w:tag w:val="Eliga la fecha de expedición "/>
                <w:id w:val="556125928"/>
                <w:placeholder>
                  <w:docPart w:val="3726EE3B8568444D90388555AE61BB3C"/>
                </w:placeholder>
                <w15:color w:val="99CC00"/>
                <w:date w:fullDate="2024-04-11T00:00:00Z">
                  <w:dateFormat w:val="dd/MM/yyyy"/>
                  <w:lid w:val="es-MX"/>
                  <w:storeMappedDataAs w:val="dateTime"/>
                  <w:calendar w:val="gregorian"/>
                </w:date>
              </w:sdtPr>
              <w:sdtEndPr/>
              <w:sdtContent>
                <w:r w:rsidR="00BE4739">
                  <w:rPr>
                    <w:rFonts w:ascii="ITC Avant Garde" w:hAnsi="ITC Avant Garde"/>
                    <w:color w:val="000000" w:themeColor="text1"/>
                    <w:sz w:val="21"/>
                    <w:szCs w:val="21"/>
                  </w:rPr>
                  <w:t>11</w:t>
                </w:r>
                <w:r w:rsidR="00AD5FF5">
                  <w:rPr>
                    <w:rFonts w:ascii="ITC Avant Garde" w:hAnsi="ITC Avant Garde"/>
                    <w:color w:val="000000" w:themeColor="text1"/>
                    <w:sz w:val="21"/>
                    <w:szCs w:val="21"/>
                  </w:rPr>
                  <w:t>/0</w:t>
                </w:r>
                <w:r w:rsidR="00BE4739">
                  <w:rPr>
                    <w:rFonts w:ascii="ITC Avant Garde" w:hAnsi="ITC Avant Garde"/>
                    <w:color w:val="000000" w:themeColor="text1"/>
                    <w:sz w:val="21"/>
                    <w:szCs w:val="21"/>
                  </w:rPr>
                  <w:t>4</w:t>
                </w:r>
                <w:r w:rsidR="00AD5FF5">
                  <w:rPr>
                    <w:rFonts w:ascii="ITC Avant Garde" w:hAnsi="ITC Avant Garde"/>
                    <w:color w:val="000000" w:themeColor="text1"/>
                    <w:sz w:val="21"/>
                    <w:szCs w:val="21"/>
                  </w:rPr>
                  <w:t>/2024</w:t>
                </w:r>
              </w:sdtContent>
            </w:sdt>
          </w:p>
        </w:tc>
      </w:tr>
      <w:tr w:rsidR="00DF074B" w:rsidRPr="0002355D" w14:paraId="3F697DC8" w14:textId="77777777" w:rsidTr="00DF074B">
        <w:tc>
          <w:tcPr>
            <w:tcW w:w="8828" w:type="dxa"/>
          </w:tcPr>
          <w:p w14:paraId="2B4CE13C" w14:textId="77777777" w:rsidR="00DF074B" w:rsidRPr="0002355D" w:rsidRDefault="004C31A6" w:rsidP="003F1D7B">
            <w:pPr>
              <w:contextualSpacing/>
              <w:mirrorIndents/>
              <w:rPr>
                <w:rStyle w:val="Estilo4"/>
                <w:rFonts w:ascii="ITC Avant Garde" w:hAnsi="ITC Avant Garde"/>
                <w:sz w:val="21"/>
                <w:szCs w:val="21"/>
              </w:rPr>
            </w:pPr>
            <w:r w:rsidRPr="0002355D">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126B40">
                  <w:rPr>
                    <w:rStyle w:val="Estilo4"/>
                    <w:rFonts w:ascii="ITC Avant Garde" w:hAnsi="ITC Avant Garde"/>
                    <w:sz w:val="21"/>
                    <w:szCs w:val="21"/>
                  </w:rPr>
                  <w:t xml:space="preserve">Indefinida </w:t>
                </w:r>
              </w:sdtContent>
            </w:sdt>
          </w:p>
        </w:tc>
      </w:tr>
      <w:tr w:rsidR="006166DB" w:rsidRPr="0002355D" w14:paraId="452F6F34" w14:textId="77777777" w:rsidTr="00DF074B">
        <w:tc>
          <w:tcPr>
            <w:tcW w:w="8828" w:type="dxa"/>
          </w:tcPr>
          <w:p w14:paraId="4D0B4A55" w14:textId="14C90948" w:rsidR="006166DB" w:rsidRPr="0002355D" w:rsidRDefault="006166DB" w:rsidP="002434FF">
            <w:pPr>
              <w:contextualSpacing/>
              <w:mirrorIndents/>
              <w:rPr>
                <w:rStyle w:val="Estilo4"/>
                <w:rFonts w:ascii="ITC Avant Garde" w:hAnsi="ITC Avant Garde"/>
                <w:sz w:val="21"/>
                <w:szCs w:val="21"/>
              </w:rPr>
            </w:pPr>
            <w:r w:rsidRPr="0002355D">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4-05-10T00:00:00Z">
                  <w:dateFormat w:val="dd/MM/yyyy"/>
                  <w:lid w:val="es-MX"/>
                  <w:storeMappedDataAs w:val="dateTime"/>
                  <w:calendar w:val="gregorian"/>
                </w:date>
              </w:sdtPr>
              <w:sdtEndPr>
                <w:rPr>
                  <w:rStyle w:val="Estilo4"/>
                </w:rPr>
              </w:sdtEndPr>
              <w:sdtContent>
                <w:r w:rsidR="00BE4739">
                  <w:rPr>
                    <w:rStyle w:val="Estilo4"/>
                    <w:rFonts w:ascii="ITC Avant Garde" w:hAnsi="ITC Avant Garde"/>
                    <w:sz w:val="21"/>
                    <w:szCs w:val="21"/>
                  </w:rPr>
                  <w:t>10</w:t>
                </w:r>
                <w:r w:rsidR="00AD5FF5">
                  <w:rPr>
                    <w:rStyle w:val="Estilo4"/>
                    <w:rFonts w:ascii="ITC Avant Garde" w:hAnsi="ITC Avant Garde"/>
                    <w:sz w:val="21"/>
                    <w:szCs w:val="21"/>
                  </w:rPr>
                  <w:t>/0</w:t>
                </w:r>
                <w:r w:rsidR="00BE4739">
                  <w:rPr>
                    <w:rStyle w:val="Estilo4"/>
                    <w:rFonts w:ascii="ITC Avant Garde" w:hAnsi="ITC Avant Garde"/>
                    <w:sz w:val="21"/>
                    <w:szCs w:val="21"/>
                  </w:rPr>
                  <w:t>5</w:t>
                </w:r>
                <w:r w:rsidR="00AD5FF5">
                  <w:rPr>
                    <w:rStyle w:val="Estilo4"/>
                    <w:rFonts w:ascii="ITC Avant Garde" w:hAnsi="ITC Avant Garde"/>
                    <w:sz w:val="21"/>
                    <w:szCs w:val="21"/>
                  </w:rPr>
                  <w:t>/2024</w:t>
                </w:r>
              </w:sdtContent>
            </w:sdt>
            <w:r w:rsidRPr="0002355D">
              <w:rPr>
                <w:rStyle w:val="Estilo4"/>
                <w:rFonts w:ascii="ITC Avant Garde" w:hAnsi="ITC Avant Garde"/>
                <w:sz w:val="21"/>
                <w:szCs w:val="21"/>
              </w:rPr>
              <w:t xml:space="preserve"> </w:t>
            </w:r>
          </w:p>
        </w:tc>
      </w:tr>
    </w:tbl>
    <w:p w14:paraId="47C9ECF1" w14:textId="77777777" w:rsidR="006166DB" w:rsidRPr="0002355D" w:rsidRDefault="006166DB" w:rsidP="002434FF">
      <w:pPr>
        <w:spacing w:after="0" w:line="240" w:lineRule="auto"/>
        <w:contextualSpacing/>
        <w:mirrorIndents/>
        <w:rPr>
          <w:rFonts w:ascii="ITC Avant Garde" w:hAnsi="ITC Avant Garde"/>
          <w:color w:val="000000" w:themeColor="text1"/>
          <w:sz w:val="21"/>
          <w:szCs w:val="21"/>
        </w:rPr>
      </w:pPr>
    </w:p>
    <w:p w14:paraId="2893A53B" w14:textId="77777777" w:rsidR="006166DB" w:rsidRPr="0002355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02355D" w14:paraId="1EDD0D0E" w14:textId="77777777" w:rsidTr="00DF074B">
        <w:tc>
          <w:tcPr>
            <w:tcW w:w="8828" w:type="dxa"/>
          </w:tcPr>
          <w:p w14:paraId="43368D71" w14:textId="77777777" w:rsidR="003522AC" w:rsidRPr="0002355D" w:rsidRDefault="00A3392B" w:rsidP="00A3392B">
            <w:pPr>
              <w:mirrorIndents/>
              <w:jc w:val="both"/>
              <w:rPr>
                <w:rFonts w:ascii="ITC Avant Garde" w:hAnsi="ITC Avant Garde"/>
                <w:color w:val="000000" w:themeColor="text1"/>
                <w:sz w:val="21"/>
                <w:szCs w:val="21"/>
              </w:rPr>
            </w:pPr>
            <w:r w:rsidRPr="0002355D">
              <w:rPr>
                <w:rFonts w:ascii="ITC Avant Garde" w:hAnsi="ITC Avant Garde"/>
                <w:color w:val="000000" w:themeColor="text1"/>
                <w:sz w:val="21"/>
                <w:szCs w:val="21"/>
              </w:rPr>
              <w:t>Instituto Federal de Telecomunicaciones</w:t>
            </w:r>
          </w:p>
        </w:tc>
      </w:tr>
    </w:tbl>
    <w:p w14:paraId="214AA63C" w14:textId="77777777" w:rsidR="006166DB" w:rsidRPr="0002355D" w:rsidRDefault="006166DB" w:rsidP="002434FF">
      <w:pPr>
        <w:spacing w:after="0" w:line="240" w:lineRule="auto"/>
        <w:contextualSpacing/>
        <w:mirrorIndents/>
        <w:rPr>
          <w:rFonts w:ascii="ITC Avant Garde" w:hAnsi="ITC Avant Garde"/>
          <w:color w:val="000000" w:themeColor="text1"/>
          <w:sz w:val="21"/>
          <w:szCs w:val="21"/>
        </w:rPr>
      </w:pPr>
    </w:p>
    <w:p w14:paraId="47D7FE99" w14:textId="77777777" w:rsidR="006166DB" w:rsidRPr="0002355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02355D" w14:paraId="28A2EFD2" w14:textId="77777777" w:rsidTr="00DF074B">
        <w:tc>
          <w:tcPr>
            <w:tcW w:w="8828" w:type="dxa"/>
          </w:tcPr>
          <w:p w14:paraId="444F1344" w14:textId="77777777" w:rsidR="006166DB" w:rsidRPr="0002355D" w:rsidRDefault="00A3392B" w:rsidP="00A3392B">
            <w:pPr>
              <w:tabs>
                <w:tab w:val="left" w:pos="2565"/>
              </w:tabs>
              <w:contextualSpacing/>
              <w:mirrorIndents/>
              <w:jc w:val="both"/>
              <w:rPr>
                <w:rFonts w:ascii="ITC Avant Garde" w:hAnsi="ITC Avant Garde"/>
                <w:color w:val="000000" w:themeColor="text1"/>
                <w:sz w:val="21"/>
                <w:szCs w:val="21"/>
              </w:rPr>
            </w:pPr>
            <w:r w:rsidRPr="0002355D">
              <w:rPr>
                <w:rFonts w:ascii="ITC Avant Garde" w:hAnsi="ITC Avant Garde"/>
                <w:color w:val="000000" w:themeColor="text1"/>
                <w:sz w:val="21"/>
                <w:szCs w:val="21"/>
              </w:rPr>
              <w:t>Instituto Federal de Telecomunicaciones</w:t>
            </w:r>
          </w:p>
        </w:tc>
      </w:tr>
    </w:tbl>
    <w:p w14:paraId="0DD71625" w14:textId="77777777" w:rsidR="006166DB" w:rsidRPr="0002355D" w:rsidRDefault="006166DB" w:rsidP="002434FF">
      <w:pPr>
        <w:spacing w:after="0" w:line="240" w:lineRule="auto"/>
        <w:contextualSpacing/>
        <w:mirrorIndents/>
        <w:rPr>
          <w:rFonts w:ascii="ITC Avant Garde" w:hAnsi="ITC Avant Garde"/>
          <w:color w:val="000000" w:themeColor="text1"/>
          <w:sz w:val="21"/>
          <w:szCs w:val="21"/>
        </w:rPr>
      </w:pPr>
    </w:p>
    <w:p w14:paraId="0F794E87" w14:textId="77777777" w:rsidR="00DC3A1A" w:rsidRPr="0002355D"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02355D" w14:paraId="42F714B1" w14:textId="77777777" w:rsidTr="00DF074B">
        <w:tc>
          <w:tcPr>
            <w:tcW w:w="8828" w:type="dxa"/>
          </w:tcPr>
          <w:p w14:paraId="3BC656A7" w14:textId="77777777" w:rsidR="00DC3A1A" w:rsidRPr="0002355D" w:rsidRDefault="00C76443" w:rsidP="00DF074B">
            <w:pPr>
              <w:contextualSpacing/>
              <w:mirrorIndents/>
              <w:rPr>
                <w:rFonts w:ascii="ITC Avant Garde" w:hAnsi="ITC Avant Garde"/>
                <w:color w:val="000000" w:themeColor="text1"/>
                <w:sz w:val="21"/>
                <w:szCs w:val="21"/>
              </w:rPr>
            </w:pPr>
            <w:r w:rsidRPr="0002355D">
              <w:rPr>
                <w:rStyle w:val="Estilo4"/>
                <w:rFonts w:ascii="ITC Avant Garde" w:hAnsi="ITC Avant Garde"/>
                <w:sz w:val="21"/>
                <w:szCs w:val="21"/>
              </w:rPr>
              <w:t>Ámbito de Aplicación</w:t>
            </w:r>
            <w:r w:rsidR="00366E21" w:rsidRPr="0002355D">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A82407" w:rsidRPr="0002355D">
                  <w:rPr>
                    <w:rStyle w:val="Estilo4"/>
                    <w:rFonts w:ascii="ITC Avant Garde" w:hAnsi="ITC Avant Garde"/>
                    <w:sz w:val="21"/>
                    <w:szCs w:val="21"/>
                  </w:rPr>
                  <w:t>Federal</w:t>
                </w:r>
              </w:sdtContent>
            </w:sdt>
          </w:p>
        </w:tc>
      </w:tr>
    </w:tbl>
    <w:p w14:paraId="1BE1A3D8" w14:textId="77777777" w:rsidR="00DC3A1A" w:rsidRPr="0002355D" w:rsidRDefault="00DC3A1A" w:rsidP="002434FF">
      <w:pPr>
        <w:spacing w:after="0" w:line="240" w:lineRule="auto"/>
        <w:contextualSpacing/>
        <w:mirrorIndents/>
        <w:rPr>
          <w:rFonts w:ascii="ITC Avant Garde" w:hAnsi="ITC Avant Garde"/>
          <w:color w:val="000000" w:themeColor="text1"/>
          <w:sz w:val="21"/>
          <w:szCs w:val="21"/>
        </w:rPr>
      </w:pPr>
    </w:p>
    <w:p w14:paraId="3A574B45" w14:textId="77777777" w:rsidR="006166DB" w:rsidRPr="0002355D"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6</w:t>
      </w:r>
      <w:r w:rsidR="006166DB" w:rsidRPr="0002355D">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02355D" w:rsidRPr="0002355D" w14:paraId="164C4F7F" w14:textId="77777777" w:rsidTr="00893819">
        <w:trPr>
          <w:trHeight w:val="65"/>
        </w:trPr>
        <w:tc>
          <w:tcPr>
            <w:tcW w:w="8828" w:type="dxa"/>
          </w:tcPr>
          <w:p w14:paraId="41EF5994" w14:textId="77777777" w:rsidR="0002355D" w:rsidRPr="0002355D" w:rsidRDefault="0002355D" w:rsidP="00893819">
            <w:pPr>
              <w:mirrorIndents/>
              <w:rPr>
                <w:rFonts w:ascii="ITC Avant Garde" w:hAnsi="ITC Avant Garde"/>
                <w:color w:val="000000" w:themeColor="text1"/>
                <w:sz w:val="21"/>
                <w:szCs w:val="21"/>
              </w:rPr>
            </w:pPr>
            <w:r w:rsidRPr="0002355D">
              <w:rPr>
                <w:rFonts w:ascii="ITC Avant Garde" w:hAnsi="ITC Avant Garde"/>
                <w:color w:val="000000" w:themeColor="text1"/>
                <w:sz w:val="21"/>
                <w:szCs w:val="21"/>
              </w:rPr>
              <w:t>No Aplica</w:t>
            </w:r>
          </w:p>
        </w:tc>
      </w:tr>
    </w:tbl>
    <w:p w14:paraId="08926E9E" w14:textId="77777777" w:rsidR="0002355D" w:rsidRPr="0002355D" w:rsidRDefault="0002355D" w:rsidP="0002355D">
      <w:pPr>
        <w:spacing w:after="0" w:line="240" w:lineRule="auto"/>
        <w:contextualSpacing/>
        <w:mirrorIndents/>
        <w:jc w:val="both"/>
        <w:rPr>
          <w:rFonts w:ascii="ITC Avant Garde" w:hAnsi="ITC Avant Garde"/>
          <w:color w:val="000000" w:themeColor="text1"/>
          <w:sz w:val="21"/>
          <w:szCs w:val="21"/>
        </w:rPr>
      </w:pPr>
    </w:p>
    <w:p w14:paraId="74AA4EB4" w14:textId="77777777" w:rsidR="006166DB" w:rsidRPr="0002355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7</w:t>
      </w:r>
      <w:r w:rsidR="006166DB" w:rsidRPr="0002355D">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02355D" w14:paraId="6EDB0CBD" w14:textId="77777777" w:rsidTr="00DF074B">
        <w:tc>
          <w:tcPr>
            <w:tcW w:w="8828" w:type="dxa"/>
          </w:tcPr>
          <w:p w14:paraId="449A4F25" w14:textId="666D535B" w:rsidR="006166DB" w:rsidRPr="0002355D" w:rsidRDefault="0074184D"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BE4739">
                  <w:rPr>
                    <w:rStyle w:val="Estilo4"/>
                    <w:rFonts w:ascii="ITC Avant Garde" w:hAnsi="ITC Avant Garde"/>
                    <w:sz w:val="21"/>
                    <w:szCs w:val="21"/>
                  </w:rPr>
                  <w:t>Acuerdo</w:t>
                </w:r>
              </w:sdtContent>
            </w:sdt>
          </w:p>
        </w:tc>
      </w:tr>
    </w:tbl>
    <w:p w14:paraId="6484A7BE" w14:textId="77777777" w:rsidR="006166DB" w:rsidRPr="0002355D" w:rsidRDefault="006166DB" w:rsidP="002434FF">
      <w:pPr>
        <w:spacing w:after="0" w:line="240" w:lineRule="auto"/>
        <w:contextualSpacing/>
        <w:mirrorIndents/>
        <w:jc w:val="both"/>
        <w:rPr>
          <w:rFonts w:ascii="ITC Avant Garde" w:hAnsi="ITC Avant Garde"/>
          <w:i/>
          <w:color w:val="000000" w:themeColor="text1"/>
          <w:sz w:val="21"/>
          <w:szCs w:val="21"/>
        </w:rPr>
      </w:pPr>
    </w:p>
    <w:p w14:paraId="5024123E" w14:textId="77777777" w:rsidR="006166DB" w:rsidRPr="0002355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8</w:t>
      </w:r>
      <w:r w:rsidR="006166DB" w:rsidRPr="0002355D">
        <w:rPr>
          <w:rFonts w:ascii="ITC Avant Garde" w:hAnsi="ITC Avant Garde"/>
          <w:b/>
          <w:color w:val="000000" w:themeColor="text1"/>
          <w:sz w:val="21"/>
          <w:szCs w:val="21"/>
        </w:rPr>
        <w:t>.</w:t>
      </w:r>
      <w:r w:rsidR="0002355D" w:rsidRPr="0002355D">
        <w:rPr>
          <w:rFonts w:ascii="ITC Avant Garde" w:hAnsi="ITC Avant Garde"/>
          <w:b/>
          <w:color w:val="000000" w:themeColor="text1"/>
          <w:sz w:val="21"/>
          <w:szCs w:val="21"/>
        </w:rPr>
        <w:t>-</w:t>
      </w:r>
      <w:r w:rsidR="006166DB" w:rsidRPr="0002355D">
        <w:rPr>
          <w:rFonts w:ascii="ITC Avant Garde" w:hAnsi="ITC Avant Garde"/>
          <w:sz w:val="21"/>
          <w:szCs w:val="21"/>
        </w:rPr>
        <w:t xml:space="preserve"> </w:t>
      </w:r>
      <w:r w:rsidR="006166DB" w:rsidRPr="0002355D">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02355D" w14:paraId="38368AA8" w14:textId="77777777" w:rsidTr="00F73022">
        <w:trPr>
          <w:trHeight w:val="65"/>
        </w:trPr>
        <w:tc>
          <w:tcPr>
            <w:tcW w:w="8828" w:type="dxa"/>
          </w:tcPr>
          <w:p w14:paraId="12DCB5C9" w14:textId="77777777" w:rsidR="00703C14" w:rsidRPr="003522AC" w:rsidRDefault="00E22C50" w:rsidP="00E22C50">
            <w:pPr>
              <w:shd w:val="clear" w:color="auto" w:fill="FFFFFF"/>
              <w:jc w:val="both"/>
              <w:rPr>
                <w:rFonts w:ascii="ITC Avant Garde Std Bk" w:hAnsi="ITC Avant Garde Std Bk" w:cs="Arial"/>
                <w:b/>
                <w:bCs/>
                <w:color w:val="2F2F2F"/>
                <w:sz w:val="18"/>
                <w:szCs w:val="18"/>
              </w:rPr>
            </w:pPr>
            <w:r w:rsidRPr="0002355D">
              <w:rPr>
                <w:rFonts w:ascii="ITC Avant Garde" w:hAnsi="ITC Avant Garde"/>
                <w:color w:val="000000" w:themeColor="text1"/>
                <w:sz w:val="21"/>
                <w:szCs w:val="21"/>
              </w:rPr>
              <w:t>No Aplica</w:t>
            </w:r>
          </w:p>
        </w:tc>
      </w:tr>
    </w:tbl>
    <w:p w14:paraId="1F721012" w14:textId="77777777" w:rsidR="00F73022" w:rsidRPr="0002355D" w:rsidRDefault="00F73022" w:rsidP="002434FF">
      <w:pPr>
        <w:spacing w:after="0" w:line="240" w:lineRule="auto"/>
        <w:contextualSpacing/>
        <w:mirrorIndents/>
        <w:rPr>
          <w:rFonts w:ascii="ITC Avant Garde" w:hAnsi="ITC Avant Garde"/>
          <w:color w:val="000000" w:themeColor="text1"/>
          <w:sz w:val="21"/>
          <w:szCs w:val="21"/>
        </w:rPr>
      </w:pPr>
    </w:p>
    <w:p w14:paraId="75DF4F7D" w14:textId="77777777" w:rsidR="00F73022" w:rsidRPr="0002355D"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2355D">
        <w:rPr>
          <w:rFonts w:ascii="ITC Avant Garde" w:hAnsi="ITC Avant Garde"/>
          <w:b/>
          <w:color w:val="000000" w:themeColor="text1"/>
          <w:sz w:val="21"/>
          <w:szCs w:val="21"/>
        </w:rPr>
        <w:t>9</w:t>
      </w:r>
      <w:r w:rsidR="00F73022" w:rsidRPr="0002355D">
        <w:rPr>
          <w:rFonts w:ascii="ITC Avant Garde" w:hAnsi="ITC Avant Garde"/>
          <w:b/>
          <w:color w:val="000000" w:themeColor="text1"/>
          <w:sz w:val="21"/>
          <w:szCs w:val="21"/>
        </w:rPr>
        <w:t>.</w:t>
      </w:r>
      <w:r w:rsidR="0002355D" w:rsidRPr="0002355D">
        <w:rPr>
          <w:rFonts w:ascii="ITC Avant Garde" w:hAnsi="ITC Avant Garde"/>
          <w:b/>
          <w:color w:val="000000" w:themeColor="text1"/>
          <w:sz w:val="21"/>
          <w:szCs w:val="21"/>
        </w:rPr>
        <w:t>-</w:t>
      </w:r>
      <w:r w:rsidR="00F73022" w:rsidRPr="0002355D">
        <w:rPr>
          <w:rFonts w:ascii="ITC Avant Garde" w:hAnsi="ITC Avant Garde"/>
          <w:sz w:val="21"/>
          <w:szCs w:val="21"/>
        </w:rPr>
        <w:t xml:space="preserve"> </w:t>
      </w:r>
      <w:r w:rsidR="00F73022" w:rsidRPr="0002355D">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02355D" w14:paraId="03778CFE" w14:textId="77777777" w:rsidTr="009E7BAA">
        <w:tc>
          <w:tcPr>
            <w:tcW w:w="8828" w:type="dxa"/>
            <w:vAlign w:val="center"/>
          </w:tcPr>
          <w:p w14:paraId="55DA84CD" w14:textId="0AD83241" w:rsidR="00BE4739" w:rsidRPr="00BE4739" w:rsidRDefault="00BE4739" w:rsidP="00BE4739">
            <w:pPr>
              <w:shd w:val="clear" w:color="auto" w:fill="FFFFFF"/>
              <w:jc w:val="both"/>
              <w:rPr>
                <w:rFonts w:ascii="ITC Avant Garde" w:hAnsi="ITC Avant Garde"/>
                <w:color w:val="000000" w:themeColor="text1"/>
                <w:sz w:val="21"/>
                <w:szCs w:val="21"/>
              </w:rPr>
            </w:pPr>
            <w:r>
              <w:rPr>
                <w:rFonts w:ascii="ITC Avant Garde" w:hAnsi="ITC Avant Garde"/>
                <w:color w:val="000000" w:themeColor="text1"/>
                <w:sz w:val="21"/>
                <w:szCs w:val="21"/>
              </w:rPr>
              <w:t>M</w:t>
            </w:r>
            <w:r w:rsidRPr="00BE4739">
              <w:rPr>
                <w:rFonts w:ascii="ITC Avant Garde" w:hAnsi="ITC Avant Garde"/>
                <w:color w:val="000000" w:themeColor="text1"/>
                <w:sz w:val="21"/>
                <w:szCs w:val="21"/>
              </w:rPr>
              <w:t>antener la operación continua de los servicios de seguridad de la vida actualmente implementados, así como dar paso a su adaptación y desarrollo tecnológico, es necesario implementar un cambio de bandas de frecuencias que tenga como objetivo liberar los recursos espectrales necesarios para la provisión exclusiva de los servicios de seguridad de la vida humana. Por otro lado, a fin de buscar la continuidad de los servicios que operan actualmente en las frecuencias que han sido clasificadas como espectro protegido y que no están relacionadas con aplicaciones para salvaguardar la vida humana, se propone el reordenamiento buscando ubicar a estos servicios en otros segmentos de frecuencias que sean propicios para su operación.</w:t>
            </w:r>
          </w:p>
          <w:p w14:paraId="12F95D28" w14:textId="3B258B68" w:rsidR="00F73022" w:rsidRPr="00E22C50" w:rsidRDefault="00BE4739" w:rsidP="00BE4739">
            <w:pPr>
              <w:shd w:val="clear" w:color="auto" w:fill="FFFFFF"/>
              <w:jc w:val="both"/>
              <w:rPr>
                <w:rFonts w:ascii="ITC Avant Garde Std Bk" w:hAnsi="ITC Avant Garde Std Bk"/>
              </w:rPr>
            </w:pPr>
            <w:r w:rsidRPr="00BE4739">
              <w:rPr>
                <w:rFonts w:ascii="ITC Avant Garde" w:hAnsi="ITC Avant Garde"/>
                <w:color w:val="000000" w:themeColor="text1"/>
                <w:sz w:val="21"/>
                <w:szCs w:val="21"/>
              </w:rPr>
              <w:t xml:space="preserve">Por consiguiente, se actualiza la fracción VII del artículo 105 de la Ley, que prevé la continuidad de un servicio público como una causa por la cual el Instituto podrá </w:t>
            </w:r>
            <w:r w:rsidRPr="00BE4739">
              <w:rPr>
                <w:rFonts w:ascii="ITC Avant Garde" w:hAnsi="ITC Avant Garde"/>
                <w:color w:val="000000" w:themeColor="text1"/>
                <w:sz w:val="21"/>
                <w:szCs w:val="21"/>
              </w:rPr>
              <w:lastRenderedPageBreak/>
              <w:t>realizar el cambio de bandas de las frecuencias 162.400 MHz, 162.425 MHz, 162.450 MHz, 162.475 MHz, 162.500 MHz, 162.525 MHz y 162.550 MHz.</w:t>
            </w:r>
          </w:p>
        </w:tc>
      </w:tr>
    </w:tbl>
    <w:p w14:paraId="1C68AE5D" w14:textId="77777777" w:rsidR="00F73022" w:rsidRPr="0002355D" w:rsidRDefault="00F73022" w:rsidP="002434FF">
      <w:pPr>
        <w:spacing w:after="0" w:line="240" w:lineRule="auto"/>
        <w:contextualSpacing/>
        <w:mirrorIndents/>
        <w:rPr>
          <w:rFonts w:ascii="ITC Avant Garde" w:hAnsi="ITC Avant Garde"/>
          <w:color w:val="000000" w:themeColor="text1"/>
          <w:sz w:val="21"/>
          <w:szCs w:val="21"/>
        </w:rPr>
      </w:pPr>
    </w:p>
    <w:p w14:paraId="76F5E133" w14:textId="77777777" w:rsidR="006166DB" w:rsidRPr="0002355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10</w:t>
      </w:r>
      <w:r w:rsidR="006166DB" w:rsidRPr="0002355D">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02355D" w14:paraId="4F6771E4" w14:textId="77777777" w:rsidTr="00DF074B">
        <w:tc>
          <w:tcPr>
            <w:tcW w:w="8828" w:type="dxa"/>
          </w:tcPr>
          <w:p w14:paraId="51CD634D" w14:textId="77777777" w:rsidR="006166DB" w:rsidRPr="0002355D" w:rsidRDefault="006166DB" w:rsidP="002434FF">
            <w:pPr>
              <w:contextualSpacing/>
              <w:mirrorIndents/>
              <w:rPr>
                <w:rFonts w:ascii="ITC Avant Garde" w:hAnsi="ITC Avant Garde"/>
                <w:sz w:val="21"/>
                <w:szCs w:val="21"/>
              </w:rPr>
            </w:pPr>
            <w:r w:rsidRPr="0002355D">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E22C50">
                  <w:rPr>
                    <w:rFonts w:ascii="ITC Avant Garde" w:hAnsi="ITC Avant Garde"/>
                    <w:sz w:val="21"/>
                    <w:szCs w:val="21"/>
                  </w:rPr>
                  <w:t xml:space="preserve">Telecomunicaciones y Radiodifusión </w:t>
                </w:r>
              </w:sdtContent>
            </w:sdt>
          </w:p>
        </w:tc>
      </w:tr>
      <w:tr w:rsidR="006166DB" w:rsidRPr="0002355D" w14:paraId="79EDD082" w14:textId="77777777" w:rsidTr="004D0837">
        <w:tc>
          <w:tcPr>
            <w:tcW w:w="8828" w:type="dxa"/>
            <w:shd w:val="clear" w:color="auto" w:fill="FFFFFF" w:themeFill="background1"/>
          </w:tcPr>
          <w:p w14:paraId="4E890767" w14:textId="36F9D06B" w:rsidR="006166DB" w:rsidRPr="0002355D" w:rsidRDefault="006166DB" w:rsidP="002434FF">
            <w:pPr>
              <w:contextualSpacing/>
              <w:mirrorIndents/>
              <w:rPr>
                <w:rFonts w:ascii="ITC Avant Garde" w:hAnsi="ITC Avant Garde"/>
                <w:sz w:val="21"/>
                <w:szCs w:val="21"/>
              </w:rPr>
            </w:pPr>
            <w:r w:rsidRPr="004D0837">
              <w:rPr>
                <w:rFonts w:ascii="ITC Avant Garde" w:hAnsi="ITC Avant Garde"/>
                <w:sz w:val="21"/>
                <w:szCs w:val="21"/>
              </w:rPr>
              <w:t>Sector:</w:t>
            </w:r>
            <w:r w:rsidRPr="0002355D">
              <w:rPr>
                <w:rFonts w:ascii="ITC Avant Garde" w:hAnsi="ITC Avant Garde"/>
                <w:sz w:val="21"/>
                <w:szCs w:val="21"/>
              </w:rPr>
              <w:t xml:space="preserve"> </w:t>
            </w:r>
            <w:r w:rsidR="00BE4739" w:rsidRPr="00BE4739">
              <w:rPr>
                <w:rFonts w:ascii="ITC Avant Garde" w:hAnsi="ITC Avant Garde"/>
                <w:sz w:val="21"/>
                <w:szCs w:val="21"/>
              </w:rPr>
              <w:t>Otros servicios de telecomunicaciones</w:t>
            </w:r>
          </w:p>
        </w:tc>
      </w:tr>
      <w:tr w:rsidR="00213787" w:rsidRPr="0002355D" w14:paraId="44C24029" w14:textId="77777777" w:rsidTr="00DF074B">
        <w:tc>
          <w:tcPr>
            <w:tcW w:w="8828" w:type="dxa"/>
          </w:tcPr>
          <w:p w14:paraId="3365001E" w14:textId="26D71190" w:rsidR="00213787" w:rsidRPr="0002355D" w:rsidRDefault="00213787" w:rsidP="009E7BAA">
            <w:pPr>
              <w:contextualSpacing/>
              <w:mirrorIndents/>
              <w:jc w:val="both"/>
              <w:rPr>
                <w:rFonts w:ascii="ITC Avant Garde" w:hAnsi="ITC Avant Garde"/>
                <w:sz w:val="21"/>
                <w:szCs w:val="21"/>
              </w:rPr>
            </w:pPr>
            <w:proofErr w:type="gramStart"/>
            <w:r w:rsidRPr="0002355D">
              <w:rPr>
                <w:rFonts w:ascii="ITC Avant Garde" w:hAnsi="ITC Avant Garde"/>
                <w:sz w:val="21"/>
                <w:szCs w:val="21"/>
              </w:rPr>
              <w:t>Regulado:</w:t>
            </w:r>
            <w:r w:rsidR="00BE4739">
              <w:rPr>
                <w:rFonts w:ascii="ITC Avant Garde" w:hAnsi="ITC Avant Garde"/>
                <w:sz w:val="21"/>
                <w:szCs w:val="21"/>
              </w:rPr>
              <w:t>P</w:t>
            </w:r>
            <w:r w:rsidR="00BE4739" w:rsidRPr="00BE4739">
              <w:rPr>
                <w:rFonts w:ascii="ITC Avant Garde" w:hAnsi="ITC Avant Garde"/>
                <w:sz w:val="21"/>
                <w:szCs w:val="21"/>
              </w:rPr>
              <w:t>ersonas</w:t>
            </w:r>
            <w:proofErr w:type="gramEnd"/>
            <w:r w:rsidR="00BE4739" w:rsidRPr="00BE4739">
              <w:rPr>
                <w:rFonts w:ascii="ITC Avant Garde" w:hAnsi="ITC Avant Garde"/>
                <w:sz w:val="21"/>
                <w:szCs w:val="21"/>
              </w:rPr>
              <w:t> físicas o morales que cuenten con un título habilitante para hacer uso, aprovechamiento y/o explotación de las frecuencias 162.400 MHz, 162.425 MHz, 162.450 MHz, 162.475 MHz, 162.500 MHz, 162.525 MHz y 162.550 MHz</w:t>
            </w:r>
            <w:r w:rsidR="00BE4739">
              <w:rPr>
                <w:rFonts w:ascii="ITC Avant Garde" w:hAnsi="ITC Avant Garde"/>
                <w:sz w:val="21"/>
                <w:szCs w:val="21"/>
              </w:rPr>
              <w:t>.</w:t>
            </w:r>
          </w:p>
        </w:tc>
      </w:tr>
    </w:tbl>
    <w:p w14:paraId="6B2446C0" w14:textId="77777777" w:rsidR="001D0BED" w:rsidRDefault="001D0BED" w:rsidP="002434FF">
      <w:pPr>
        <w:spacing w:after="0" w:line="240" w:lineRule="auto"/>
        <w:contextualSpacing/>
        <w:mirrorIndents/>
        <w:rPr>
          <w:rFonts w:ascii="ITC Avant Garde" w:hAnsi="ITC Avant Garde"/>
          <w:color w:val="000000" w:themeColor="text1"/>
          <w:sz w:val="21"/>
          <w:szCs w:val="21"/>
        </w:rPr>
      </w:pPr>
    </w:p>
    <w:p w14:paraId="69BB1621" w14:textId="77777777" w:rsidR="004D0837" w:rsidRPr="0002355D" w:rsidRDefault="004D0837" w:rsidP="002434FF">
      <w:pPr>
        <w:spacing w:after="0" w:line="240" w:lineRule="auto"/>
        <w:contextualSpacing/>
        <w:mirrorIndents/>
        <w:rPr>
          <w:rFonts w:ascii="ITC Avant Garde" w:hAnsi="ITC Avant Garde"/>
          <w:color w:val="000000" w:themeColor="text1"/>
          <w:sz w:val="21"/>
          <w:szCs w:val="21"/>
        </w:rPr>
      </w:pPr>
    </w:p>
    <w:p w14:paraId="494CDCDC" w14:textId="77777777" w:rsidR="00DC3A1A" w:rsidRPr="0002355D"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33"/>
      </w:tblGrid>
      <w:tr w:rsidR="00DC3A1A" w:rsidRPr="0002355D" w14:paraId="7538E081" w14:textId="77777777" w:rsidTr="0032356C">
        <w:trPr>
          <w:trHeight w:val="65"/>
        </w:trPr>
        <w:tc>
          <w:tcPr>
            <w:tcW w:w="8828" w:type="dxa"/>
            <w:shd w:val="clear" w:color="auto" w:fill="auto"/>
          </w:tcPr>
          <w:p w14:paraId="24C1BAD7" w14:textId="77777777" w:rsidR="00213787" w:rsidRDefault="00316F31" w:rsidP="00780FD6">
            <w:pPr>
              <w:pStyle w:val="Prrafodelista"/>
              <w:numPr>
                <w:ilvl w:val="0"/>
                <w:numId w:val="24"/>
              </w:numPr>
              <w:mirrorIndents/>
              <w:jc w:val="both"/>
              <w:rPr>
                <w:rFonts w:ascii="ITC Avant Garde" w:hAnsi="ITC Avant Garde"/>
                <w:sz w:val="21"/>
                <w:szCs w:val="21"/>
              </w:rPr>
            </w:pPr>
            <w:r>
              <w:br w:type="page"/>
            </w:r>
            <w:r w:rsidR="00640CB0" w:rsidRPr="0032356C">
              <w:rPr>
                <w:rFonts w:ascii="ITC Avant Garde" w:hAnsi="ITC Avant Garde"/>
                <w:sz w:val="21"/>
                <w:szCs w:val="21"/>
              </w:rPr>
              <w:t>Ley Federal de Telecomunicaciones y Radiodifusión</w:t>
            </w:r>
            <w:r w:rsidR="00780FD6">
              <w:rPr>
                <w:rFonts w:ascii="ITC Avant Garde" w:hAnsi="ITC Avant Garde"/>
                <w:sz w:val="21"/>
                <w:szCs w:val="21"/>
              </w:rPr>
              <w:t>.</w:t>
            </w:r>
          </w:p>
          <w:p w14:paraId="3A58A299" w14:textId="77777777" w:rsidR="004D0837" w:rsidRDefault="00BE4739" w:rsidP="00DA4074">
            <w:pPr>
              <w:pStyle w:val="Prrafodelista"/>
              <w:numPr>
                <w:ilvl w:val="0"/>
                <w:numId w:val="20"/>
              </w:numPr>
              <w:mirrorIndents/>
              <w:jc w:val="both"/>
              <w:rPr>
                <w:rFonts w:ascii="ITC Avant Garde" w:hAnsi="ITC Avant Garde"/>
                <w:sz w:val="21"/>
                <w:szCs w:val="21"/>
              </w:rPr>
            </w:pPr>
            <w:r w:rsidRPr="00BE4739">
              <w:rPr>
                <w:rFonts w:ascii="ITC Avant Garde" w:hAnsi="ITC Avant Garde"/>
                <w:sz w:val="21"/>
                <w:szCs w:val="21"/>
              </w:rPr>
              <w:t>Acuerdo mediante el cual el Pleno del Instituto Federal de Telecomunicaciones aprueba el Cuadro Nacional de Atribución de Frecuencias</w:t>
            </w:r>
            <w:r>
              <w:rPr>
                <w:rFonts w:ascii="ITC Avant Garde" w:hAnsi="ITC Avant Garde"/>
                <w:sz w:val="21"/>
                <w:szCs w:val="21"/>
              </w:rPr>
              <w:t>.</w:t>
            </w:r>
          </w:p>
          <w:p w14:paraId="01D21B39" w14:textId="77777777" w:rsidR="0074184D" w:rsidRDefault="0074184D" w:rsidP="00DA4074">
            <w:pPr>
              <w:pStyle w:val="Prrafodelista"/>
              <w:numPr>
                <w:ilvl w:val="0"/>
                <w:numId w:val="20"/>
              </w:numPr>
              <w:mirrorIndents/>
              <w:jc w:val="both"/>
              <w:rPr>
                <w:rFonts w:ascii="ITC Avant Garde" w:hAnsi="ITC Avant Garde"/>
                <w:sz w:val="21"/>
                <w:szCs w:val="21"/>
              </w:rPr>
            </w:pPr>
            <w:r w:rsidRPr="0074184D">
              <w:rPr>
                <w:rFonts w:ascii="ITC Avant Garde" w:hAnsi="ITC Avant Garde"/>
                <w:sz w:val="21"/>
                <w:szCs w:val="21"/>
              </w:rPr>
              <w:t>Acuerdo mediante el cual el Pleno del Instituto Federal de Telecomunicaciones clasifica las frecuencias 162.400 MHz, 162.425 MHz, 162.450 MHz, 162.475 MHz, 162.500 MHz, 162.525 MHz y 162.550 MHz como espectro protegido para la difusión de alertas tempranas</w:t>
            </w:r>
            <w:r>
              <w:rPr>
                <w:rFonts w:ascii="ITC Avant Garde" w:hAnsi="ITC Avant Garde"/>
                <w:sz w:val="21"/>
                <w:szCs w:val="21"/>
              </w:rPr>
              <w:t>.</w:t>
            </w:r>
          </w:p>
          <w:p w14:paraId="754F107F" w14:textId="4407FFE2" w:rsidR="0074184D" w:rsidRPr="00316F31" w:rsidRDefault="0074184D" w:rsidP="00DA4074">
            <w:pPr>
              <w:pStyle w:val="Prrafodelista"/>
              <w:numPr>
                <w:ilvl w:val="0"/>
                <w:numId w:val="20"/>
              </w:numPr>
              <w:mirrorIndents/>
              <w:jc w:val="both"/>
              <w:rPr>
                <w:rFonts w:ascii="ITC Avant Garde" w:hAnsi="ITC Avant Garde"/>
                <w:sz w:val="21"/>
                <w:szCs w:val="21"/>
              </w:rPr>
            </w:pPr>
            <w:r w:rsidRPr="0074184D">
              <w:rPr>
                <w:rFonts w:ascii="ITC Avant Garde" w:hAnsi="ITC Avant Garde"/>
                <w:sz w:val="21"/>
                <w:szCs w:val="21"/>
              </w:rPr>
              <w:t>A</w:t>
            </w:r>
            <w:r>
              <w:rPr>
                <w:rFonts w:ascii="ITC Avant Garde" w:hAnsi="ITC Avant Garde"/>
                <w:sz w:val="21"/>
                <w:szCs w:val="21"/>
              </w:rPr>
              <w:t>cuerdo</w:t>
            </w:r>
            <w:r w:rsidRPr="0074184D">
              <w:rPr>
                <w:rFonts w:ascii="ITC Avant Garde" w:hAnsi="ITC Avant Garde"/>
                <w:sz w:val="21"/>
                <w:szCs w:val="21"/>
              </w:rPr>
              <w:t> mediante el cual el Pleno del Instituto Federal de Telecomunicaciones clasifica las frecuencias 162.400 MHz, 162.425 MHz, 162.450 MHz, 162.475 MHz, 162.500 MHz, 162.525 MHz y 162.550 MHz como espectro protegido para la difusión de alertas tempranas</w:t>
            </w:r>
            <w:r>
              <w:rPr>
                <w:rFonts w:ascii="ITC Avant Garde" w:hAnsi="ITC Avant Garde"/>
                <w:sz w:val="21"/>
                <w:szCs w:val="21"/>
              </w:rPr>
              <w:t>.</w:t>
            </w:r>
          </w:p>
        </w:tc>
      </w:tr>
    </w:tbl>
    <w:p w14:paraId="2209A52F" w14:textId="77777777" w:rsidR="00DC3A1A" w:rsidRPr="0002355D" w:rsidRDefault="00DC3A1A" w:rsidP="002434FF">
      <w:pPr>
        <w:spacing w:after="0" w:line="240" w:lineRule="auto"/>
        <w:contextualSpacing/>
        <w:mirrorIndents/>
        <w:rPr>
          <w:rFonts w:ascii="ITC Avant Garde" w:hAnsi="ITC Avant Garde"/>
          <w:color w:val="000000" w:themeColor="text1"/>
          <w:sz w:val="21"/>
          <w:szCs w:val="21"/>
        </w:rPr>
      </w:pPr>
    </w:p>
    <w:p w14:paraId="6712BA56" w14:textId="77777777" w:rsidR="006166DB" w:rsidRPr="0002355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12</w:t>
      </w:r>
      <w:r w:rsidR="006166DB" w:rsidRPr="0002355D">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02355D" w14:paraId="51EA0BD6" w14:textId="77777777" w:rsidTr="007D2FD6">
        <w:tc>
          <w:tcPr>
            <w:tcW w:w="8828" w:type="dxa"/>
          </w:tcPr>
          <w:p w14:paraId="54837345" w14:textId="77777777" w:rsidR="007D2FD6" w:rsidRPr="0002355D" w:rsidRDefault="002C63C0"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1AD4EE8E" w14:textId="77777777" w:rsidR="006166DB" w:rsidRPr="0002355D"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02355D" w14:paraId="5AEFA911" w14:textId="77777777" w:rsidTr="007D2FD6">
        <w:tc>
          <w:tcPr>
            <w:tcW w:w="8828" w:type="dxa"/>
          </w:tcPr>
          <w:p w14:paraId="75D080F2" w14:textId="77777777" w:rsidR="00A82407" w:rsidRPr="0002355D" w:rsidRDefault="004D0837" w:rsidP="00640CB0">
            <w:pPr>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3735D368" w14:textId="77777777" w:rsidR="004B7538" w:rsidRPr="0002355D" w:rsidRDefault="00DC3A1A" w:rsidP="008428DC">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2355D">
        <w:rPr>
          <w:rFonts w:ascii="ITC Avant Garde" w:hAnsi="ITC Avant Garde"/>
          <w:b/>
          <w:color w:val="000000" w:themeColor="text1"/>
          <w:sz w:val="21"/>
          <w:szCs w:val="21"/>
        </w:rPr>
        <w:t>13.- Inspecciones, verificaciones o visitas domiciliarias relacionadas con la regulación y su fundamento legal:</w:t>
      </w:r>
    </w:p>
    <w:sectPr w:rsidR="004B7538" w:rsidRPr="0002355D" w:rsidSect="003F1D7B">
      <w:headerReference w:type="default" r:id="rId10"/>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2CF0" w14:textId="77777777" w:rsidR="00BE4739" w:rsidRDefault="00BE4739" w:rsidP="006166DB">
      <w:pPr>
        <w:spacing w:after="0" w:line="240" w:lineRule="auto"/>
      </w:pPr>
      <w:r>
        <w:separator/>
      </w:r>
    </w:p>
  </w:endnote>
  <w:endnote w:type="continuationSeparator" w:id="0">
    <w:p w14:paraId="44EC9768" w14:textId="77777777" w:rsidR="00BE4739" w:rsidRDefault="00BE4739"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3AC5" w14:textId="77777777" w:rsidR="00BE4739" w:rsidRDefault="00BE4739" w:rsidP="006166DB">
      <w:pPr>
        <w:spacing w:after="0" w:line="240" w:lineRule="auto"/>
      </w:pPr>
      <w:r>
        <w:separator/>
      </w:r>
    </w:p>
  </w:footnote>
  <w:footnote w:type="continuationSeparator" w:id="0">
    <w:p w14:paraId="00CBE24C" w14:textId="77777777" w:rsidR="00BE4739" w:rsidRDefault="00BE4739"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EE16" w14:textId="77777777" w:rsidR="007E0355" w:rsidRPr="00AC574F" w:rsidRDefault="007E0355" w:rsidP="007D2FD6">
    <w:pPr>
      <w:pStyle w:val="Encabezado"/>
      <w:tabs>
        <w:tab w:val="left" w:pos="2748"/>
      </w:tabs>
      <w:rPr>
        <w:rFonts w:ascii="ITC Avant Garde Std Bk" w:hAnsi="ITC Avant Garde Std Bk"/>
      </w:rPr>
    </w:pPr>
    <w:r w:rsidRPr="00AC574F">
      <w:rPr>
        <w:rFonts w:ascii="ITC Avant Garde Std Bk" w:hAnsi="ITC Avant Garde Std Bk"/>
        <w:noProof/>
        <w:lang w:eastAsia="es-MX"/>
      </w:rPr>
      <w:drawing>
        <wp:inline distT="0" distB="0" distL="0" distR="0" wp14:anchorId="21E517D5" wp14:editId="6CD007DD">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AC574F">
      <w:rPr>
        <w:rFonts w:ascii="ITC Avant Garde Std Bk" w:eastAsia="Calibri" w:hAnsi="ITC Avant Garde Std Bk" w:cs="Times New Roman"/>
        <w:b/>
        <w:sz w:val="18"/>
        <w:szCs w:val="18"/>
      </w:rPr>
      <w:t xml:space="preserve">                                       </w:t>
    </w:r>
    <w:r w:rsidRPr="00AC574F">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C3441"/>
    <w:multiLevelType w:val="hybridMultilevel"/>
    <w:tmpl w:val="DFBE1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63E44"/>
    <w:multiLevelType w:val="hybridMultilevel"/>
    <w:tmpl w:val="134E14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743522"/>
    <w:multiLevelType w:val="hybridMultilevel"/>
    <w:tmpl w:val="0E4A9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F31DAB"/>
    <w:multiLevelType w:val="hybridMultilevel"/>
    <w:tmpl w:val="782240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C77C50"/>
    <w:multiLevelType w:val="hybridMultilevel"/>
    <w:tmpl w:val="D4265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6F3DD7"/>
    <w:multiLevelType w:val="hybridMultilevel"/>
    <w:tmpl w:val="5D5CE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AE3529"/>
    <w:multiLevelType w:val="hybridMultilevel"/>
    <w:tmpl w:val="4DEA7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E5F41"/>
    <w:multiLevelType w:val="hybridMultilevel"/>
    <w:tmpl w:val="39086C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56E0C"/>
    <w:multiLevelType w:val="hybridMultilevel"/>
    <w:tmpl w:val="016E3D22"/>
    <w:lvl w:ilvl="0" w:tplc="080A0001">
      <w:start w:val="1"/>
      <w:numFmt w:val="bullet"/>
      <w:lvlText w:val=""/>
      <w:lvlJc w:val="left"/>
      <w:pPr>
        <w:ind w:left="1039" w:hanging="360"/>
      </w:pPr>
      <w:rPr>
        <w:rFonts w:ascii="Symbol" w:hAnsi="Symbol" w:hint="default"/>
      </w:rPr>
    </w:lvl>
    <w:lvl w:ilvl="1" w:tplc="080A0003" w:tentative="1">
      <w:start w:val="1"/>
      <w:numFmt w:val="bullet"/>
      <w:lvlText w:val="o"/>
      <w:lvlJc w:val="left"/>
      <w:pPr>
        <w:ind w:left="1759" w:hanging="360"/>
      </w:pPr>
      <w:rPr>
        <w:rFonts w:ascii="Courier New" w:hAnsi="Courier New" w:cs="Courier New" w:hint="default"/>
      </w:rPr>
    </w:lvl>
    <w:lvl w:ilvl="2" w:tplc="080A0005" w:tentative="1">
      <w:start w:val="1"/>
      <w:numFmt w:val="bullet"/>
      <w:lvlText w:val=""/>
      <w:lvlJc w:val="left"/>
      <w:pPr>
        <w:ind w:left="2479" w:hanging="360"/>
      </w:pPr>
      <w:rPr>
        <w:rFonts w:ascii="Wingdings" w:hAnsi="Wingdings" w:hint="default"/>
      </w:rPr>
    </w:lvl>
    <w:lvl w:ilvl="3" w:tplc="080A0001" w:tentative="1">
      <w:start w:val="1"/>
      <w:numFmt w:val="bullet"/>
      <w:lvlText w:val=""/>
      <w:lvlJc w:val="left"/>
      <w:pPr>
        <w:ind w:left="3199" w:hanging="360"/>
      </w:pPr>
      <w:rPr>
        <w:rFonts w:ascii="Symbol" w:hAnsi="Symbol" w:hint="default"/>
      </w:rPr>
    </w:lvl>
    <w:lvl w:ilvl="4" w:tplc="080A0003" w:tentative="1">
      <w:start w:val="1"/>
      <w:numFmt w:val="bullet"/>
      <w:lvlText w:val="o"/>
      <w:lvlJc w:val="left"/>
      <w:pPr>
        <w:ind w:left="3919" w:hanging="360"/>
      </w:pPr>
      <w:rPr>
        <w:rFonts w:ascii="Courier New" w:hAnsi="Courier New" w:cs="Courier New" w:hint="default"/>
      </w:rPr>
    </w:lvl>
    <w:lvl w:ilvl="5" w:tplc="080A0005" w:tentative="1">
      <w:start w:val="1"/>
      <w:numFmt w:val="bullet"/>
      <w:lvlText w:val=""/>
      <w:lvlJc w:val="left"/>
      <w:pPr>
        <w:ind w:left="4639" w:hanging="360"/>
      </w:pPr>
      <w:rPr>
        <w:rFonts w:ascii="Wingdings" w:hAnsi="Wingdings" w:hint="default"/>
      </w:rPr>
    </w:lvl>
    <w:lvl w:ilvl="6" w:tplc="080A0001" w:tentative="1">
      <w:start w:val="1"/>
      <w:numFmt w:val="bullet"/>
      <w:lvlText w:val=""/>
      <w:lvlJc w:val="left"/>
      <w:pPr>
        <w:ind w:left="5359" w:hanging="360"/>
      </w:pPr>
      <w:rPr>
        <w:rFonts w:ascii="Symbol" w:hAnsi="Symbol" w:hint="default"/>
      </w:rPr>
    </w:lvl>
    <w:lvl w:ilvl="7" w:tplc="080A0003" w:tentative="1">
      <w:start w:val="1"/>
      <w:numFmt w:val="bullet"/>
      <w:lvlText w:val="o"/>
      <w:lvlJc w:val="left"/>
      <w:pPr>
        <w:ind w:left="6079" w:hanging="360"/>
      </w:pPr>
      <w:rPr>
        <w:rFonts w:ascii="Courier New" w:hAnsi="Courier New" w:cs="Courier New" w:hint="default"/>
      </w:rPr>
    </w:lvl>
    <w:lvl w:ilvl="8" w:tplc="080A0005" w:tentative="1">
      <w:start w:val="1"/>
      <w:numFmt w:val="bullet"/>
      <w:lvlText w:val=""/>
      <w:lvlJc w:val="left"/>
      <w:pPr>
        <w:ind w:left="6799" w:hanging="360"/>
      </w:pPr>
      <w:rPr>
        <w:rFonts w:ascii="Wingdings" w:hAnsi="Wingdings" w:hint="default"/>
      </w:rPr>
    </w:lvl>
  </w:abstractNum>
  <w:abstractNum w:abstractNumId="16" w15:restartNumberingAfterBreak="0">
    <w:nsid w:val="60380F2E"/>
    <w:multiLevelType w:val="hybridMultilevel"/>
    <w:tmpl w:val="098808C8"/>
    <w:lvl w:ilvl="0" w:tplc="080A0001">
      <w:start w:val="1"/>
      <w:numFmt w:val="bullet"/>
      <w:lvlText w:val=""/>
      <w:lvlJc w:val="left"/>
      <w:pPr>
        <w:ind w:left="1039" w:hanging="360"/>
      </w:pPr>
      <w:rPr>
        <w:rFonts w:ascii="Symbol" w:hAnsi="Symbol" w:hint="default"/>
      </w:rPr>
    </w:lvl>
    <w:lvl w:ilvl="1" w:tplc="080A0003" w:tentative="1">
      <w:start w:val="1"/>
      <w:numFmt w:val="bullet"/>
      <w:lvlText w:val="o"/>
      <w:lvlJc w:val="left"/>
      <w:pPr>
        <w:ind w:left="1759" w:hanging="360"/>
      </w:pPr>
      <w:rPr>
        <w:rFonts w:ascii="Courier New" w:hAnsi="Courier New" w:cs="Courier New" w:hint="default"/>
      </w:rPr>
    </w:lvl>
    <w:lvl w:ilvl="2" w:tplc="080A0005" w:tentative="1">
      <w:start w:val="1"/>
      <w:numFmt w:val="bullet"/>
      <w:lvlText w:val=""/>
      <w:lvlJc w:val="left"/>
      <w:pPr>
        <w:ind w:left="2479" w:hanging="360"/>
      </w:pPr>
      <w:rPr>
        <w:rFonts w:ascii="Wingdings" w:hAnsi="Wingdings" w:hint="default"/>
      </w:rPr>
    </w:lvl>
    <w:lvl w:ilvl="3" w:tplc="080A0001" w:tentative="1">
      <w:start w:val="1"/>
      <w:numFmt w:val="bullet"/>
      <w:lvlText w:val=""/>
      <w:lvlJc w:val="left"/>
      <w:pPr>
        <w:ind w:left="3199" w:hanging="360"/>
      </w:pPr>
      <w:rPr>
        <w:rFonts w:ascii="Symbol" w:hAnsi="Symbol" w:hint="default"/>
      </w:rPr>
    </w:lvl>
    <w:lvl w:ilvl="4" w:tplc="080A0003" w:tentative="1">
      <w:start w:val="1"/>
      <w:numFmt w:val="bullet"/>
      <w:lvlText w:val="o"/>
      <w:lvlJc w:val="left"/>
      <w:pPr>
        <w:ind w:left="3919" w:hanging="360"/>
      </w:pPr>
      <w:rPr>
        <w:rFonts w:ascii="Courier New" w:hAnsi="Courier New" w:cs="Courier New" w:hint="default"/>
      </w:rPr>
    </w:lvl>
    <w:lvl w:ilvl="5" w:tplc="080A0005" w:tentative="1">
      <w:start w:val="1"/>
      <w:numFmt w:val="bullet"/>
      <w:lvlText w:val=""/>
      <w:lvlJc w:val="left"/>
      <w:pPr>
        <w:ind w:left="4639" w:hanging="360"/>
      </w:pPr>
      <w:rPr>
        <w:rFonts w:ascii="Wingdings" w:hAnsi="Wingdings" w:hint="default"/>
      </w:rPr>
    </w:lvl>
    <w:lvl w:ilvl="6" w:tplc="080A0001" w:tentative="1">
      <w:start w:val="1"/>
      <w:numFmt w:val="bullet"/>
      <w:lvlText w:val=""/>
      <w:lvlJc w:val="left"/>
      <w:pPr>
        <w:ind w:left="5359" w:hanging="360"/>
      </w:pPr>
      <w:rPr>
        <w:rFonts w:ascii="Symbol" w:hAnsi="Symbol" w:hint="default"/>
      </w:rPr>
    </w:lvl>
    <w:lvl w:ilvl="7" w:tplc="080A0003" w:tentative="1">
      <w:start w:val="1"/>
      <w:numFmt w:val="bullet"/>
      <w:lvlText w:val="o"/>
      <w:lvlJc w:val="left"/>
      <w:pPr>
        <w:ind w:left="6079" w:hanging="360"/>
      </w:pPr>
      <w:rPr>
        <w:rFonts w:ascii="Courier New" w:hAnsi="Courier New" w:cs="Courier New" w:hint="default"/>
      </w:rPr>
    </w:lvl>
    <w:lvl w:ilvl="8" w:tplc="080A0005" w:tentative="1">
      <w:start w:val="1"/>
      <w:numFmt w:val="bullet"/>
      <w:lvlText w:val=""/>
      <w:lvlJc w:val="left"/>
      <w:pPr>
        <w:ind w:left="6799" w:hanging="360"/>
      </w:pPr>
      <w:rPr>
        <w:rFonts w:ascii="Wingdings" w:hAnsi="Wingdings" w:hint="default"/>
      </w:rPr>
    </w:lvl>
  </w:abstractNum>
  <w:abstractNum w:abstractNumId="1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136602"/>
    <w:multiLevelType w:val="hybridMultilevel"/>
    <w:tmpl w:val="4E987568"/>
    <w:lvl w:ilvl="0" w:tplc="080A0001">
      <w:start w:val="1"/>
      <w:numFmt w:val="bullet"/>
      <w:lvlText w:val=""/>
      <w:lvlJc w:val="left"/>
      <w:pPr>
        <w:ind w:left="1039" w:hanging="360"/>
      </w:pPr>
      <w:rPr>
        <w:rFonts w:ascii="Symbol" w:hAnsi="Symbol" w:hint="default"/>
      </w:rPr>
    </w:lvl>
    <w:lvl w:ilvl="1" w:tplc="080A0003" w:tentative="1">
      <w:start w:val="1"/>
      <w:numFmt w:val="bullet"/>
      <w:lvlText w:val="o"/>
      <w:lvlJc w:val="left"/>
      <w:pPr>
        <w:ind w:left="1759" w:hanging="360"/>
      </w:pPr>
      <w:rPr>
        <w:rFonts w:ascii="Courier New" w:hAnsi="Courier New" w:cs="Courier New" w:hint="default"/>
      </w:rPr>
    </w:lvl>
    <w:lvl w:ilvl="2" w:tplc="080A0005" w:tentative="1">
      <w:start w:val="1"/>
      <w:numFmt w:val="bullet"/>
      <w:lvlText w:val=""/>
      <w:lvlJc w:val="left"/>
      <w:pPr>
        <w:ind w:left="2479" w:hanging="360"/>
      </w:pPr>
      <w:rPr>
        <w:rFonts w:ascii="Wingdings" w:hAnsi="Wingdings" w:hint="default"/>
      </w:rPr>
    </w:lvl>
    <w:lvl w:ilvl="3" w:tplc="080A0001" w:tentative="1">
      <w:start w:val="1"/>
      <w:numFmt w:val="bullet"/>
      <w:lvlText w:val=""/>
      <w:lvlJc w:val="left"/>
      <w:pPr>
        <w:ind w:left="3199" w:hanging="360"/>
      </w:pPr>
      <w:rPr>
        <w:rFonts w:ascii="Symbol" w:hAnsi="Symbol" w:hint="default"/>
      </w:rPr>
    </w:lvl>
    <w:lvl w:ilvl="4" w:tplc="080A0003" w:tentative="1">
      <w:start w:val="1"/>
      <w:numFmt w:val="bullet"/>
      <w:lvlText w:val="o"/>
      <w:lvlJc w:val="left"/>
      <w:pPr>
        <w:ind w:left="3919" w:hanging="360"/>
      </w:pPr>
      <w:rPr>
        <w:rFonts w:ascii="Courier New" w:hAnsi="Courier New" w:cs="Courier New" w:hint="default"/>
      </w:rPr>
    </w:lvl>
    <w:lvl w:ilvl="5" w:tplc="080A0005" w:tentative="1">
      <w:start w:val="1"/>
      <w:numFmt w:val="bullet"/>
      <w:lvlText w:val=""/>
      <w:lvlJc w:val="left"/>
      <w:pPr>
        <w:ind w:left="4639" w:hanging="360"/>
      </w:pPr>
      <w:rPr>
        <w:rFonts w:ascii="Wingdings" w:hAnsi="Wingdings" w:hint="default"/>
      </w:rPr>
    </w:lvl>
    <w:lvl w:ilvl="6" w:tplc="080A0001" w:tentative="1">
      <w:start w:val="1"/>
      <w:numFmt w:val="bullet"/>
      <w:lvlText w:val=""/>
      <w:lvlJc w:val="left"/>
      <w:pPr>
        <w:ind w:left="5359" w:hanging="360"/>
      </w:pPr>
      <w:rPr>
        <w:rFonts w:ascii="Symbol" w:hAnsi="Symbol" w:hint="default"/>
      </w:rPr>
    </w:lvl>
    <w:lvl w:ilvl="7" w:tplc="080A0003" w:tentative="1">
      <w:start w:val="1"/>
      <w:numFmt w:val="bullet"/>
      <w:lvlText w:val="o"/>
      <w:lvlJc w:val="left"/>
      <w:pPr>
        <w:ind w:left="6079" w:hanging="360"/>
      </w:pPr>
      <w:rPr>
        <w:rFonts w:ascii="Courier New" w:hAnsi="Courier New" w:cs="Courier New" w:hint="default"/>
      </w:rPr>
    </w:lvl>
    <w:lvl w:ilvl="8" w:tplc="080A0005" w:tentative="1">
      <w:start w:val="1"/>
      <w:numFmt w:val="bullet"/>
      <w:lvlText w:val=""/>
      <w:lvlJc w:val="left"/>
      <w:pPr>
        <w:ind w:left="6799" w:hanging="360"/>
      </w:pPr>
      <w:rPr>
        <w:rFonts w:ascii="Wingdings" w:hAnsi="Wingdings" w:hint="default"/>
      </w:rPr>
    </w:lvl>
  </w:abstractNum>
  <w:abstractNum w:abstractNumId="1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673EC3"/>
    <w:multiLevelType w:val="hybridMultilevel"/>
    <w:tmpl w:val="25E8A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696C6C"/>
    <w:multiLevelType w:val="hybridMultilevel"/>
    <w:tmpl w:val="32D6A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5D7914"/>
    <w:multiLevelType w:val="hybridMultilevel"/>
    <w:tmpl w:val="8FB0F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8393577">
    <w:abstractNumId w:val="6"/>
  </w:num>
  <w:num w:numId="2" w16cid:durableId="364674702">
    <w:abstractNumId w:val="4"/>
  </w:num>
  <w:num w:numId="3" w16cid:durableId="466624904">
    <w:abstractNumId w:val="1"/>
  </w:num>
  <w:num w:numId="4" w16cid:durableId="210465627">
    <w:abstractNumId w:val="2"/>
  </w:num>
  <w:num w:numId="5" w16cid:durableId="730495970">
    <w:abstractNumId w:val="8"/>
  </w:num>
  <w:num w:numId="6" w16cid:durableId="1137186191">
    <w:abstractNumId w:val="20"/>
  </w:num>
  <w:num w:numId="7" w16cid:durableId="1365979533">
    <w:abstractNumId w:val="19"/>
  </w:num>
  <w:num w:numId="8" w16cid:durableId="1062682052">
    <w:abstractNumId w:val="10"/>
  </w:num>
  <w:num w:numId="9" w16cid:durableId="1460488864">
    <w:abstractNumId w:val="12"/>
  </w:num>
  <w:num w:numId="10" w16cid:durableId="408582259">
    <w:abstractNumId w:val="17"/>
  </w:num>
  <w:num w:numId="11" w16cid:durableId="1882475395">
    <w:abstractNumId w:val="13"/>
  </w:num>
  <w:num w:numId="12" w16cid:durableId="668486142">
    <w:abstractNumId w:val="7"/>
  </w:num>
  <w:num w:numId="13" w16cid:durableId="869991228">
    <w:abstractNumId w:val="0"/>
  </w:num>
  <w:num w:numId="14" w16cid:durableId="549222558">
    <w:abstractNumId w:val="22"/>
  </w:num>
  <w:num w:numId="15" w16cid:durableId="1559626408">
    <w:abstractNumId w:val="14"/>
  </w:num>
  <w:num w:numId="16" w16cid:durableId="1861553039">
    <w:abstractNumId w:val="3"/>
  </w:num>
  <w:num w:numId="17" w16cid:durableId="222721070">
    <w:abstractNumId w:val="15"/>
  </w:num>
  <w:num w:numId="18" w16cid:durableId="959994074">
    <w:abstractNumId w:val="23"/>
  </w:num>
  <w:num w:numId="19" w16cid:durableId="380331172">
    <w:abstractNumId w:val="5"/>
  </w:num>
  <w:num w:numId="20" w16cid:durableId="71238665">
    <w:abstractNumId w:val="21"/>
  </w:num>
  <w:num w:numId="21" w16cid:durableId="2093699309">
    <w:abstractNumId w:val="18"/>
  </w:num>
  <w:num w:numId="22" w16cid:durableId="630793963">
    <w:abstractNumId w:val="11"/>
  </w:num>
  <w:num w:numId="23" w16cid:durableId="710154633">
    <w:abstractNumId w:val="16"/>
  </w:num>
  <w:num w:numId="24" w16cid:durableId="685714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00ADE"/>
    <w:rsid w:val="0002355D"/>
    <w:rsid w:val="00046B8B"/>
    <w:rsid w:val="00074A2C"/>
    <w:rsid w:val="00085CAE"/>
    <w:rsid w:val="000911B6"/>
    <w:rsid w:val="000D078A"/>
    <w:rsid w:val="000E6127"/>
    <w:rsid w:val="001162E7"/>
    <w:rsid w:val="001237FA"/>
    <w:rsid w:val="00126B40"/>
    <w:rsid w:val="00145127"/>
    <w:rsid w:val="00160C02"/>
    <w:rsid w:val="0019399C"/>
    <w:rsid w:val="001A0D96"/>
    <w:rsid w:val="001A12A2"/>
    <w:rsid w:val="001C36BF"/>
    <w:rsid w:val="001D0BED"/>
    <w:rsid w:val="001E21AC"/>
    <w:rsid w:val="001F3494"/>
    <w:rsid w:val="001F5E47"/>
    <w:rsid w:val="00207BA8"/>
    <w:rsid w:val="00213787"/>
    <w:rsid w:val="00223B0B"/>
    <w:rsid w:val="002434FF"/>
    <w:rsid w:val="00250D5A"/>
    <w:rsid w:val="002A2BA6"/>
    <w:rsid w:val="002B0B24"/>
    <w:rsid w:val="002C63C0"/>
    <w:rsid w:val="002D534C"/>
    <w:rsid w:val="002E37B6"/>
    <w:rsid w:val="002E7B33"/>
    <w:rsid w:val="002F39A1"/>
    <w:rsid w:val="00307840"/>
    <w:rsid w:val="00316199"/>
    <w:rsid w:val="00316F31"/>
    <w:rsid w:val="0032356C"/>
    <w:rsid w:val="00326275"/>
    <w:rsid w:val="00332FE9"/>
    <w:rsid w:val="003522AC"/>
    <w:rsid w:val="00366E21"/>
    <w:rsid w:val="003741E5"/>
    <w:rsid w:val="00384692"/>
    <w:rsid w:val="003A162A"/>
    <w:rsid w:val="003C2D2C"/>
    <w:rsid w:val="003F1D7B"/>
    <w:rsid w:val="003F50B6"/>
    <w:rsid w:val="004264DA"/>
    <w:rsid w:val="00446F0C"/>
    <w:rsid w:val="0045063E"/>
    <w:rsid w:val="00493E6E"/>
    <w:rsid w:val="004B7538"/>
    <w:rsid w:val="004C31A6"/>
    <w:rsid w:val="004C3FAC"/>
    <w:rsid w:val="004C75E5"/>
    <w:rsid w:val="004D0837"/>
    <w:rsid w:val="004D6D14"/>
    <w:rsid w:val="004E552A"/>
    <w:rsid w:val="005034EB"/>
    <w:rsid w:val="00520991"/>
    <w:rsid w:val="00585BD4"/>
    <w:rsid w:val="005E34D0"/>
    <w:rsid w:val="005F0181"/>
    <w:rsid w:val="0061003C"/>
    <w:rsid w:val="006166DB"/>
    <w:rsid w:val="006232EE"/>
    <w:rsid w:val="00640CB0"/>
    <w:rsid w:val="006441CF"/>
    <w:rsid w:val="0065492B"/>
    <w:rsid w:val="00673233"/>
    <w:rsid w:val="006911B3"/>
    <w:rsid w:val="006F7E1D"/>
    <w:rsid w:val="00703626"/>
    <w:rsid w:val="00703C14"/>
    <w:rsid w:val="00715EF2"/>
    <w:rsid w:val="00720D02"/>
    <w:rsid w:val="00730C22"/>
    <w:rsid w:val="00730E59"/>
    <w:rsid w:val="0074184D"/>
    <w:rsid w:val="007466F1"/>
    <w:rsid w:val="00774D3F"/>
    <w:rsid w:val="00780FD6"/>
    <w:rsid w:val="0078318D"/>
    <w:rsid w:val="007936F8"/>
    <w:rsid w:val="007A1022"/>
    <w:rsid w:val="007D2FD6"/>
    <w:rsid w:val="007E0355"/>
    <w:rsid w:val="007F5106"/>
    <w:rsid w:val="008017FB"/>
    <w:rsid w:val="00802508"/>
    <w:rsid w:val="00810332"/>
    <w:rsid w:val="00815D92"/>
    <w:rsid w:val="00831AFC"/>
    <w:rsid w:val="008428DC"/>
    <w:rsid w:val="008549FA"/>
    <w:rsid w:val="00865047"/>
    <w:rsid w:val="0089205E"/>
    <w:rsid w:val="00893819"/>
    <w:rsid w:val="00894294"/>
    <w:rsid w:val="008D6F5A"/>
    <w:rsid w:val="0092333A"/>
    <w:rsid w:val="009701A3"/>
    <w:rsid w:val="00977ED5"/>
    <w:rsid w:val="009918CF"/>
    <w:rsid w:val="00993225"/>
    <w:rsid w:val="009A6722"/>
    <w:rsid w:val="009D1CE5"/>
    <w:rsid w:val="009D567D"/>
    <w:rsid w:val="009E7BAA"/>
    <w:rsid w:val="009E7D91"/>
    <w:rsid w:val="00A3392B"/>
    <w:rsid w:val="00A70F6B"/>
    <w:rsid w:val="00A82407"/>
    <w:rsid w:val="00A93C7F"/>
    <w:rsid w:val="00AC079F"/>
    <w:rsid w:val="00AC574F"/>
    <w:rsid w:val="00AD4846"/>
    <w:rsid w:val="00AD5FF5"/>
    <w:rsid w:val="00AF71CC"/>
    <w:rsid w:val="00B018E8"/>
    <w:rsid w:val="00B01DC5"/>
    <w:rsid w:val="00B13673"/>
    <w:rsid w:val="00B30E6B"/>
    <w:rsid w:val="00B340B6"/>
    <w:rsid w:val="00B71C41"/>
    <w:rsid w:val="00B8531B"/>
    <w:rsid w:val="00BE45D0"/>
    <w:rsid w:val="00BE4739"/>
    <w:rsid w:val="00BF2093"/>
    <w:rsid w:val="00C61F7E"/>
    <w:rsid w:val="00C71ED9"/>
    <w:rsid w:val="00C76443"/>
    <w:rsid w:val="00C8049B"/>
    <w:rsid w:val="00C965CE"/>
    <w:rsid w:val="00CA43C3"/>
    <w:rsid w:val="00CB1C8D"/>
    <w:rsid w:val="00CB353A"/>
    <w:rsid w:val="00CD13F0"/>
    <w:rsid w:val="00CD419E"/>
    <w:rsid w:val="00CE57F9"/>
    <w:rsid w:val="00CF5F25"/>
    <w:rsid w:val="00D0257B"/>
    <w:rsid w:val="00D13F85"/>
    <w:rsid w:val="00D14569"/>
    <w:rsid w:val="00D258BF"/>
    <w:rsid w:val="00D63DD8"/>
    <w:rsid w:val="00D7293A"/>
    <w:rsid w:val="00D93EA9"/>
    <w:rsid w:val="00DA4074"/>
    <w:rsid w:val="00DB3C65"/>
    <w:rsid w:val="00DC3142"/>
    <w:rsid w:val="00DC3A1A"/>
    <w:rsid w:val="00DC7123"/>
    <w:rsid w:val="00DF074B"/>
    <w:rsid w:val="00DF1654"/>
    <w:rsid w:val="00E0038E"/>
    <w:rsid w:val="00E22C50"/>
    <w:rsid w:val="00E44BF0"/>
    <w:rsid w:val="00E66886"/>
    <w:rsid w:val="00E70994"/>
    <w:rsid w:val="00EB53E4"/>
    <w:rsid w:val="00EF614E"/>
    <w:rsid w:val="00F014C6"/>
    <w:rsid w:val="00F30AF6"/>
    <w:rsid w:val="00F42CB3"/>
    <w:rsid w:val="00F52381"/>
    <w:rsid w:val="00F54CB3"/>
    <w:rsid w:val="00F62AAD"/>
    <w:rsid w:val="00F631B5"/>
    <w:rsid w:val="00F71208"/>
    <w:rsid w:val="00F73022"/>
    <w:rsid w:val="00F8678C"/>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C27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ANOTACION">
    <w:name w:val="ANOTACION"/>
    <w:basedOn w:val="Normal"/>
    <w:link w:val="ANOTACIONCar"/>
    <w:rsid w:val="00C61F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C61F7E"/>
    <w:rPr>
      <w:rFonts w:ascii="Times New Roman" w:eastAsia="Times New Roman" w:hAnsi="Times New Roman" w:cs="Times New Roman"/>
      <w:b/>
      <w:sz w:val="18"/>
      <w:szCs w:val="20"/>
      <w:lang w:val="es-ES_tradnl" w:eastAsia="es-ES"/>
    </w:rPr>
  </w:style>
  <w:style w:type="paragraph" w:styleId="NormalWeb">
    <w:name w:val="Normal (Web)"/>
    <w:basedOn w:val="Normal"/>
    <w:uiPriority w:val="99"/>
    <w:semiHidden/>
    <w:unhideWhenUsed/>
    <w:rsid w:val="002C63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0402">
      <w:bodyDiv w:val="1"/>
      <w:marLeft w:val="0"/>
      <w:marRight w:val="0"/>
      <w:marTop w:val="0"/>
      <w:marBottom w:val="0"/>
      <w:divBdr>
        <w:top w:val="none" w:sz="0" w:space="0" w:color="auto"/>
        <w:left w:val="none" w:sz="0" w:space="0" w:color="auto"/>
        <w:bottom w:val="none" w:sz="0" w:space="0" w:color="auto"/>
        <w:right w:val="none" w:sz="0" w:space="0" w:color="auto"/>
      </w:divBdr>
    </w:div>
    <w:div w:id="1183281109">
      <w:bodyDiv w:val="1"/>
      <w:marLeft w:val="0"/>
      <w:marRight w:val="0"/>
      <w:marTop w:val="0"/>
      <w:marBottom w:val="0"/>
      <w:divBdr>
        <w:top w:val="none" w:sz="0" w:space="0" w:color="auto"/>
        <w:left w:val="none" w:sz="0" w:space="0" w:color="auto"/>
        <w:bottom w:val="none" w:sz="0" w:space="0" w:color="auto"/>
        <w:right w:val="none" w:sz="0" w:space="0" w:color="auto"/>
      </w:divBdr>
    </w:div>
    <w:div w:id="1379865082">
      <w:bodyDiv w:val="1"/>
      <w:marLeft w:val="0"/>
      <w:marRight w:val="0"/>
      <w:marTop w:val="0"/>
      <w:marBottom w:val="0"/>
      <w:divBdr>
        <w:top w:val="none" w:sz="0" w:space="0" w:color="auto"/>
        <w:left w:val="none" w:sz="0" w:space="0" w:color="auto"/>
        <w:bottom w:val="none" w:sz="0" w:space="0" w:color="auto"/>
        <w:right w:val="none" w:sz="0" w:space="0" w:color="auto"/>
      </w:divBdr>
      <w:divsChild>
        <w:div w:id="1878812621">
          <w:marLeft w:val="0"/>
          <w:marRight w:val="0"/>
          <w:marTop w:val="0"/>
          <w:marBottom w:val="101"/>
          <w:divBdr>
            <w:top w:val="none" w:sz="0" w:space="0" w:color="auto"/>
            <w:left w:val="none" w:sz="0" w:space="0" w:color="auto"/>
            <w:bottom w:val="none" w:sz="0" w:space="0" w:color="auto"/>
            <w:right w:val="none" w:sz="0" w:space="0" w:color="auto"/>
          </w:divBdr>
        </w:div>
        <w:div w:id="1226254714">
          <w:marLeft w:val="0"/>
          <w:marRight w:val="0"/>
          <w:marTop w:val="0"/>
          <w:marBottom w:val="101"/>
          <w:divBdr>
            <w:top w:val="none" w:sz="0" w:space="0" w:color="auto"/>
            <w:left w:val="none" w:sz="0" w:space="0" w:color="auto"/>
            <w:bottom w:val="none" w:sz="0" w:space="0" w:color="auto"/>
            <w:right w:val="none" w:sz="0" w:space="0" w:color="auto"/>
          </w:divBdr>
        </w:div>
      </w:divsChild>
    </w:div>
    <w:div w:id="1547255166">
      <w:bodyDiv w:val="1"/>
      <w:marLeft w:val="0"/>
      <w:marRight w:val="0"/>
      <w:marTop w:val="0"/>
      <w:marBottom w:val="0"/>
      <w:divBdr>
        <w:top w:val="none" w:sz="0" w:space="0" w:color="auto"/>
        <w:left w:val="none" w:sz="0" w:space="0" w:color="auto"/>
        <w:bottom w:val="none" w:sz="0" w:space="0" w:color="auto"/>
        <w:right w:val="none" w:sz="0" w:space="0" w:color="auto"/>
      </w:divBdr>
    </w:div>
    <w:div w:id="16512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3726EE3B8568444D90388555AE61BB3C"/>
        <w:category>
          <w:name w:val="General"/>
          <w:gallery w:val="placeholder"/>
        </w:category>
        <w:types>
          <w:type w:val="bbPlcHdr"/>
        </w:types>
        <w:behaviors>
          <w:behavior w:val="content"/>
        </w:behaviors>
        <w:guid w:val="{058095DC-93C1-41FA-B252-ED48A1F84E90}"/>
      </w:docPartPr>
      <w:docPartBody>
        <w:p w:rsidR="00B351E5" w:rsidRDefault="00A23889" w:rsidP="00A23889">
          <w:pPr>
            <w:pStyle w:val="3726EE3B8568444D90388555AE61BB3C"/>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0A4C7D"/>
    <w:rsid w:val="001237FA"/>
    <w:rsid w:val="001327D6"/>
    <w:rsid w:val="00145127"/>
    <w:rsid w:val="001842EB"/>
    <w:rsid w:val="001B5A4B"/>
    <w:rsid w:val="001E27AC"/>
    <w:rsid w:val="00216649"/>
    <w:rsid w:val="00247CE4"/>
    <w:rsid w:val="002607A3"/>
    <w:rsid w:val="0026494F"/>
    <w:rsid w:val="002852A0"/>
    <w:rsid w:val="002B7F38"/>
    <w:rsid w:val="002F0812"/>
    <w:rsid w:val="00303EA8"/>
    <w:rsid w:val="003741E5"/>
    <w:rsid w:val="0037790F"/>
    <w:rsid w:val="004E3322"/>
    <w:rsid w:val="00530D59"/>
    <w:rsid w:val="005D084C"/>
    <w:rsid w:val="00687FEB"/>
    <w:rsid w:val="006D779E"/>
    <w:rsid w:val="007313BB"/>
    <w:rsid w:val="007866FE"/>
    <w:rsid w:val="00831AFC"/>
    <w:rsid w:val="008E6773"/>
    <w:rsid w:val="009149B3"/>
    <w:rsid w:val="00956EF1"/>
    <w:rsid w:val="00977C64"/>
    <w:rsid w:val="009F2A3C"/>
    <w:rsid w:val="00A23889"/>
    <w:rsid w:val="00A52267"/>
    <w:rsid w:val="00A60F5B"/>
    <w:rsid w:val="00A72DE6"/>
    <w:rsid w:val="00AF6C7D"/>
    <w:rsid w:val="00B01F8A"/>
    <w:rsid w:val="00B21A49"/>
    <w:rsid w:val="00B351E5"/>
    <w:rsid w:val="00BD1645"/>
    <w:rsid w:val="00BF7C0D"/>
    <w:rsid w:val="00C2228D"/>
    <w:rsid w:val="00D0257B"/>
    <w:rsid w:val="00D31C9E"/>
    <w:rsid w:val="00D57942"/>
    <w:rsid w:val="00D57A8B"/>
    <w:rsid w:val="00D63DD8"/>
    <w:rsid w:val="00D83928"/>
    <w:rsid w:val="00DF3746"/>
    <w:rsid w:val="00F946B4"/>
    <w:rsid w:val="00FA2611"/>
    <w:rsid w:val="00FD7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A49"/>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3726EE3B8568444D90388555AE61BB3C">
    <w:name w:val="3726EE3B8568444D90388555AE61BB3C"/>
    <w:rsid w:val="00A23889"/>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3D7CB68AFD7548219D4D849F65819997">
    <w:name w:val="3D7CB68AFD7548219D4D849F65819997"/>
    <w:rsid w:val="00B21A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103DC27F-5EA7-4C0D-A3E3-DC7558DF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Cédula de información de las Condiciones Técnicas Mínimas para la interconexión</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 las Condiciones Técnicas Mínimas para la interconexión</dc:title>
  <dc:subject/>
  <dc:creator>DAJMR-CGMR</dc:creator>
  <cp:keywords/>
  <dc:description/>
  <cp:lastModifiedBy>Carolina Sanchez Alquicira</cp:lastModifiedBy>
  <cp:revision>1</cp:revision>
  <dcterms:created xsi:type="dcterms:W3CDTF">2024-06-21T00:08:00Z</dcterms:created>
  <dcterms:modified xsi:type="dcterms:W3CDTF">2024-06-21T00:28:00Z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