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E42" w:rsidRPr="000533F7" w:rsidRDefault="00F32E42" w:rsidP="00603EE4">
      <w:pPr>
        <w:pStyle w:val="estilo30"/>
        <w:spacing w:before="120" w:beforeAutospacing="0" w:after="0" w:afterAutospacing="0"/>
        <w:jc w:val="right"/>
        <w:rPr>
          <w:rFonts w:ascii="ITC Avant Garde" w:hAnsi="ITC Avant Garde"/>
          <w:b/>
          <w:bCs/>
          <w:color w:val="000000"/>
          <w:sz w:val="22"/>
          <w:szCs w:val="22"/>
        </w:rPr>
      </w:pPr>
      <w:r w:rsidRPr="000533F7">
        <w:rPr>
          <w:rFonts w:ascii="ITC Avant Garde" w:hAnsi="ITC Avant Garde"/>
          <w:b/>
          <w:bCs/>
          <w:color w:val="000000"/>
          <w:sz w:val="22"/>
          <w:szCs w:val="22"/>
        </w:rPr>
        <w:t xml:space="preserve">México, Distrito Federal, a </w:t>
      </w:r>
      <w:r w:rsidR="00603EE4">
        <w:rPr>
          <w:rFonts w:ascii="ITC Avant Garde" w:hAnsi="ITC Avant Garde"/>
          <w:b/>
          <w:bCs/>
          <w:color w:val="000000"/>
          <w:sz w:val="22"/>
          <w:szCs w:val="22"/>
        </w:rPr>
        <w:t>8</w:t>
      </w:r>
      <w:r w:rsidRPr="000533F7">
        <w:rPr>
          <w:rFonts w:ascii="ITC Avant Garde" w:hAnsi="ITC Avant Garde"/>
          <w:b/>
          <w:bCs/>
          <w:color w:val="000000"/>
          <w:sz w:val="22"/>
          <w:szCs w:val="22"/>
        </w:rPr>
        <w:t xml:space="preserve"> de </w:t>
      </w:r>
      <w:r>
        <w:rPr>
          <w:rFonts w:ascii="ITC Avant Garde" w:hAnsi="ITC Avant Garde"/>
          <w:b/>
          <w:bCs/>
          <w:color w:val="000000"/>
          <w:sz w:val="22"/>
          <w:szCs w:val="22"/>
        </w:rPr>
        <w:t>julio de 2015.</w:t>
      </w:r>
    </w:p>
    <w:p w:rsidR="00F32E42" w:rsidRPr="000533F7" w:rsidRDefault="00F32E42" w:rsidP="00F32E42">
      <w:pPr>
        <w:pStyle w:val="estilo30"/>
        <w:spacing w:before="0" w:beforeAutospacing="0" w:after="0" w:afterAutospacing="0"/>
        <w:jc w:val="both"/>
        <w:rPr>
          <w:rFonts w:ascii="ITC Avant Garde" w:hAnsi="ITC Avant Garde"/>
          <w:b/>
          <w:bCs/>
          <w:color w:val="000000"/>
          <w:sz w:val="22"/>
          <w:szCs w:val="22"/>
        </w:rPr>
      </w:pPr>
    </w:p>
    <w:p w:rsidR="00F32E42" w:rsidRPr="000533F7" w:rsidRDefault="00F32E42" w:rsidP="00F32E42">
      <w:pPr>
        <w:pStyle w:val="estilo30"/>
        <w:spacing w:before="0" w:beforeAutospacing="0" w:after="0" w:afterAutospacing="0"/>
        <w:jc w:val="both"/>
        <w:rPr>
          <w:rFonts w:ascii="ITC Avant Garde" w:hAnsi="ITC Avant Garde"/>
          <w:b/>
          <w:bCs/>
          <w:color w:val="000000"/>
          <w:sz w:val="22"/>
          <w:szCs w:val="22"/>
        </w:rPr>
      </w:pPr>
      <w:r w:rsidRPr="000533F7">
        <w:rPr>
          <w:rFonts w:ascii="ITC Avant Garde" w:hAnsi="ITC Avant Garde"/>
          <w:b/>
          <w:bCs/>
          <w:color w:val="000000"/>
          <w:sz w:val="22"/>
          <w:szCs w:val="22"/>
        </w:rPr>
        <w:t xml:space="preserve">LIC. </w:t>
      </w:r>
      <w:r w:rsidR="000E19D4">
        <w:rPr>
          <w:rFonts w:ascii="ITC Avant Garde" w:hAnsi="ITC Avant Garde"/>
          <w:b/>
          <w:bCs/>
          <w:color w:val="000000"/>
          <w:sz w:val="22"/>
          <w:szCs w:val="22"/>
        </w:rPr>
        <w:t>EDUARDO ÁLVAREZ PONCE</w:t>
      </w:r>
    </w:p>
    <w:p w:rsidR="00F32E42" w:rsidRPr="000533F7" w:rsidRDefault="00F32E42" w:rsidP="00F32E42">
      <w:pPr>
        <w:pStyle w:val="estilo30"/>
        <w:spacing w:before="0" w:beforeAutospacing="0" w:after="0" w:afterAutospacing="0"/>
        <w:jc w:val="both"/>
        <w:rPr>
          <w:rFonts w:ascii="ITC Avant Garde" w:hAnsi="ITC Avant Garde"/>
          <w:b/>
          <w:bCs/>
          <w:color w:val="000000"/>
          <w:sz w:val="22"/>
          <w:szCs w:val="22"/>
        </w:rPr>
      </w:pPr>
      <w:r>
        <w:rPr>
          <w:rFonts w:ascii="ITC Avant Garde" w:hAnsi="ITC Avant Garde"/>
          <w:b/>
          <w:bCs/>
          <w:color w:val="000000"/>
          <w:sz w:val="22"/>
          <w:szCs w:val="22"/>
        </w:rPr>
        <w:t xml:space="preserve">TITULAR DE LA UNIDAD DE </w:t>
      </w:r>
      <w:r w:rsidR="000E19D4">
        <w:rPr>
          <w:rFonts w:ascii="ITC Avant Garde" w:hAnsi="ITC Avant Garde"/>
          <w:b/>
          <w:bCs/>
          <w:color w:val="000000"/>
          <w:sz w:val="22"/>
          <w:szCs w:val="22"/>
        </w:rPr>
        <w:t>TRANSPARENCIA</w:t>
      </w:r>
    </w:p>
    <w:p w:rsidR="00F32E42" w:rsidRPr="000533F7" w:rsidRDefault="00F32E42" w:rsidP="00F32E42">
      <w:pPr>
        <w:pStyle w:val="estilo30"/>
        <w:spacing w:before="0" w:beforeAutospacing="0" w:after="0" w:afterAutospacing="0"/>
        <w:jc w:val="both"/>
        <w:rPr>
          <w:rFonts w:ascii="ITC Avant Garde" w:hAnsi="ITC Avant Garde"/>
          <w:b/>
          <w:bCs/>
          <w:color w:val="000000"/>
          <w:sz w:val="22"/>
          <w:szCs w:val="22"/>
        </w:rPr>
      </w:pPr>
      <w:r w:rsidRPr="000533F7">
        <w:rPr>
          <w:rFonts w:ascii="ITC Avant Garde" w:hAnsi="ITC Avant Garde"/>
          <w:b/>
          <w:bCs/>
          <w:color w:val="000000"/>
          <w:sz w:val="22"/>
          <w:szCs w:val="22"/>
        </w:rPr>
        <w:t>PRESENTE</w:t>
      </w:r>
    </w:p>
    <w:p w:rsidR="00F32E42" w:rsidRPr="000533F7" w:rsidRDefault="00F32E42" w:rsidP="00F32E42">
      <w:pPr>
        <w:pStyle w:val="estilo30"/>
        <w:spacing w:before="0" w:beforeAutospacing="0" w:after="0" w:afterAutospacing="0"/>
        <w:jc w:val="both"/>
        <w:rPr>
          <w:rFonts w:ascii="ITC Avant Garde" w:hAnsi="ITC Avant Garde"/>
          <w:bCs/>
          <w:color w:val="000000"/>
          <w:sz w:val="22"/>
          <w:szCs w:val="22"/>
        </w:rPr>
      </w:pPr>
    </w:p>
    <w:p w:rsidR="00F32E42" w:rsidRPr="00D732FE" w:rsidRDefault="00F32E42" w:rsidP="00F32E42">
      <w:pPr>
        <w:spacing w:after="120" w:line="240" w:lineRule="auto"/>
        <w:jc w:val="both"/>
        <w:rPr>
          <w:rFonts w:ascii="ITC Avant Garde" w:hAnsi="ITC Avant Garde"/>
        </w:rPr>
      </w:pPr>
      <w:r>
        <w:rPr>
          <w:rFonts w:ascii="ITC Avant Garde" w:hAnsi="ITC Avant Garde"/>
        </w:rPr>
        <w:t>Hago referencia a su oficio IFT/212/CGVI/UETAI/1141/2015 de fecha dos de julio de dos mil quince</w:t>
      </w:r>
      <w:r w:rsidRPr="000533F7">
        <w:rPr>
          <w:rFonts w:ascii="ITC Avant Garde" w:hAnsi="ITC Avant Garde"/>
          <w:color w:val="222222"/>
          <w:shd w:val="clear" w:color="auto" w:fill="FFFFFF"/>
        </w:rPr>
        <w:t>,</w:t>
      </w:r>
      <w:r>
        <w:rPr>
          <w:rFonts w:ascii="ITC Avant Garde" w:hAnsi="ITC Avant Garde"/>
          <w:color w:val="222222"/>
          <w:shd w:val="clear" w:color="auto" w:fill="FFFFFF"/>
        </w:rPr>
        <w:t xml:space="preserve"> por el que se requirió lo siguiente: </w:t>
      </w:r>
    </w:p>
    <w:p w:rsidR="00F32E42" w:rsidRPr="00F32E42" w:rsidRDefault="00F32E42" w:rsidP="00F32E42">
      <w:pPr>
        <w:spacing w:after="120" w:line="240" w:lineRule="auto"/>
        <w:ind w:left="567" w:right="567"/>
        <w:jc w:val="both"/>
        <w:rPr>
          <w:rFonts w:ascii="ITC Avant Garde" w:eastAsia="Times New Roman" w:hAnsi="ITC Avant Garde" w:cs="Arial"/>
          <w:i/>
          <w:color w:val="000000"/>
          <w:sz w:val="20"/>
          <w:szCs w:val="18"/>
          <w:lang w:eastAsia="es-MX"/>
        </w:rPr>
      </w:pPr>
      <w:r w:rsidRPr="00F32E42">
        <w:rPr>
          <w:rFonts w:ascii="ITC Avant Garde" w:eastAsia="Times New Roman" w:hAnsi="ITC Avant Garde" w:cs="Arial"/>
          <w:i/>
          <w:color w:val="000000"/>
          <w:sz w:val="20"/>
          <w:szCs w:val="18"/>
          <w:lang w:eastAsia="es-MX"/>
        </w:rPr>
        <w:t xml:space="preserve">“Hago referencia al artículo 17 de la Ley Federal de Transparencia y Acceso a la Información Pública Gubernamental, el cual, en su </w:t>
      </w:r>
      <w:r>
        <w:rPr>
          <w:rFonts w:ascii="ITC Avant Garde" w:eastAsia="Times New Roman" w:hAnsi="ITC Avant Garde" w:cs="Arial"/>
          <w:i/>
          <w:color w:val="000000"/>
          <w:sz w:val="20"/>
          <w:szCs w:val="18"/>
          <w:lang w:eastAsia="es-MX"/>
        </w:rPr>
        <w:t>primer párrafo, señala que las U</w:t>
      </w:r>
      <w:r w:rsidRPr="00F32E42">
        <w:rPr>
          <w:rFonts w:ascii="ITC Avant Garde" w:eastAsia="Times New Roman" w:hAnsi="ITC Avant Garde" w:cs="Arial"/>
          <w:i/>
          <w:color w:val="000000"/>
          <w:sz w:val="20"/>
          <w:szCs w:val="18"/>
          <w:lang w:eastAsia="es-MX"/>
        </w:rPr>
        <w:t xml:space="preserve">nidades </w:t>
      </w:r>
      <w:r>
        <w:rPr>
          <w:rFonts w:ascii="ITC Avant Garde" w:eastAsia="Times New Roman" w:hAnsi="ITC Avant Garde" w:cs="Arial"/>
          <w:i/>
          <w:color w:val="000000"/>
          <w:sz w:val="20"/>
          <w:szCs w:val="18"/>
          <w:lang w:eastAsia="es-MX"/>
        </w:rPr>
        <w:t>A</w:t>
      </w:r>
      <w:r w:rsidRPr="00F32E42">
        <w:rPr>
          <w:rFonts w:ascii="ITC Avant Garde" w:eastAsia="Times New Roman" w:hAnsi="ITC Avant Garde" w:cs="Arial"/>
          <w:i/>
          <w:color w:val="000000"/>
          <w:sz w:val="20"/>
          <w:szCs w:val="18"/>
          <w:lang w:eastAsia="es-MX"/>
        </w:rPr>
        <w:t xml:space="preserve">dministrativas elaborarán semestralmente y por rubros temáticos, un índice de los expedientes clasificados como reservados y que dicho índice debe indicar la </w:t>
      </w:r>
      <w:r>
        <w:rPr>
          <w:rFonts w:ascii="ITC Avant Garde" w:eastAsia="Times New Roman" w:hAnsi="ITC Avant Garde" w:cs="Arial"/>
          <w:i/>
          <w:color w:val="000000"/>
          <w:sz w:val="20"/>
          <w:szCs w:val="18"/>
          <w:lang w:eastAsia="es-MX"/>
        </w:rPr>
        <w:t>U</w:t>
      </w:r>
      <w:r w:rsidRPr="00F32E42">
        <w:rPr>
          <w:rFonts w:ascii="ITC Avant Garde" w:eastAsia="Times New Roman" w:hAnsi="ITC Avant Garde" w:cs="Arial"/>
          <w:i/>
          <w:color w:val="000000"/>
          <w:sz w:val="20"/>
          <w:szCs w:val="18"/>
          <w:lang w:eastAsia="es-MX"/>
        </w:rPr>
        <w:t xml:space="preserve">nidad </w:t>
      </w:r>
      <w:r>
        <w:rPr>
          <w:rFonts w:ascii="ITC Avant Garde" w:eastAsia="Times New Roman" w:hAnsi="ITC Avant Garde" w:cs="Arial"/>
          <w:i/>
          <w:color w:val="000000"/>
          <w:sz w:val="20"/>
          <w:szCs w:val="18"/>
          <w:lang w:eastAsia="es-MX"/>
        </w:rPr>
        <w:t>A</w:t>
      </w:r>
      <w:r w:rsidRPr="00F32E42">
        <w:rPr>
          <w:rFonts w:ascii="ITC Avant Garde" w:eastAsia="Times New Roman" w:hAnsi="ITC Avant Garde" w:cs="Arial"/>
          <w:i/>
          <w:color w:val="000000"/>
          <w:sz w:val="20"/>
          <w:szCs w:val="18"/>
          <w:lang w:eastAsia="es-MX"/>
        </w:rPr>
        <w:t>dministrativa que generó la información, la fecha de clasificación, su fundamento, plazo de reserva y, en su caso, las partes de los documentos que se reservan.</w:t>
      </w:r>
    </w:p>
    <w:p w:rsidR="00F32E42" w:rsidRDefault="00F32E42" w:rsidP="00F32E42">
      <w:pPr>
        <w:spacing w:after="120" w:line="240" w:lineRule="auto"/>
        <w:ind w:left="567" w:right="567"/>
        <w:jc w:val="both"/>
        <w:rPr>
          <w:rFonts w:ascii="ITC Avant Garde" w:eastAsia="Times New Roman" w:hAnsi="ITC Avant Garde" w:cs="Arial"/>
          <w:i/>
          <w:color w:val="000000"/>
          <w:sz w:val="20"/>
          <w:szCs w:val="18"/>
          <w:lang w:eastAsia="es-MX"/>
        </w:rPr>
      </w:pPr>
      <w:r>
        <w:rPr>
          <w:rFonts w:ascii="ITC Avant Garde" w:eastAsia="Times New Roman" w:hAnsi="ITC Avant Garde" w:cs="Arial"/>
          <w:i/>
          <w:color w:val="000000"/>
          <w:sz w:val="20"/>
          <w:szCs w:val="18"/>
          <w:lang w:eastAsia="es-MX"/>
        </w:rPr>
        <w:t>A mayor abundamiento</w:t>
      </w:r>
      <w:r w:rsidRPr="00F32E42">
        <w:rPr>
          <w:rFonts w:ascii="ITC Avant Garde" w:eastAsia="Times New Roman" w:hAnsi="ITC Avant Garde" w:cs="Arial"/>
          <w:i/>
          <w:color w:val="000000"/>
          <w:sz w:val="20"/>
          <w:szCs w:val="18"/>
          <w:lang w:eastAsia="es-MX"/>
        </w:rPr>
        <w:t xml:space="preserve">, el artículo 31 del Reglamento de Ley </w:t>
      </w:r>
      <w:r>
        <w:rPr>
          <w:rFonts w:ascii="ITC Avant Garde" w:eastAsia="Times New Roman" w:hAnsi="ITC Avant Garde" w:cs="Arial"/>
          <w:i/>
          <w:color w:val="000000"/>
          <w:sz w:val="20"/>
          <w:szCs w:val="18"/>
          <w:lang w:eastAsia="es-MX"/>
        </w:rPr>
        <w:t>en cita, utilizado por este Instituto de manera supletoria, establece que los T</w:t>
      </w:r>
      <w:r w:rsidRPr="00F32E42">
        <w:rPr>
          <w:rFonts w:ascii="ITC Avant Garde" w:eastAsia="Times New Roman" w:hAnsi="ITC Avant Garde" w:cs="Arial"/>
          <w:i/>
          <w:color w:val="000000"/>
          <w:sz w:val="20"/>
          <w:szCs w:val="18"/>
          <w:lang w:eastAsia="es-MX"/>
        </w:rPr>
        <w:t xml:space="preserve">itulares de las </w:t>
      </w:r>
      <w:r>
        <w:rPr>
          <w:rFonts w:ascii="ITC Avant Garde" w:eastAsia="Times New Roman" w:hAnsi="ITC Avant Garde" w:cs="Arial"/>
          <w:i/>
          <w:color w:val="000000"/>
          <w:sz w:val="20"/>
          <w:szCs w:val="18"/>
          <w:lang w:eastAsia="es-MX"/>
        </w:rPr>
        <w:t>U</w:t>
      </w:r>
      <w:r w:rsidRPr="00F32E42">
        <w:rPr>
          <w:rFonts w:ascii="ITC Avant Garde" w:eastAsia="Times New Roman" w:hAnsi="ITC Avant Garde" w:cs="Arial"/>
          <w:i/>
          <w:color w:val="000000"/>
          <w:sz w:val="20"/>
          <w:szCs w:val="18"/>
          <w:lang w:eastAsia="es-MX"/>
        </w:rPr>
        <w:t xml:space="preserve">nidades </w:t>
      </w:r>
      <w:r>
        <w:rPr>
          <w:rFonts w:ascii="ITC Avant Garde" w:eastAsia="Times New Roman" w:hAnsi="ITC Avant Garde" w:cs="Arial"/>
          <w:i/>
          <w:color w:val="000000"/>
          <w:sz w:val="20"/>
          <w:szCs w:val="18"/>
          <w:lang w:eastAsia="es-MX"/>
        </w:rPr>
        <w:t>A</w:t>
      </w:r>
      <w:r w:rsidRPr="00F32E42">
        <w:rPr>
          <w:rFonts w:ascii="ITC Avant Garde" w:eastAsia="Times New Roman" w:hAnsi="ITC Avant Garde" w:cs="Arial"/>
          <w:i/>
          <w:color w:val="000000"/>
          <w:sz w:val="20"/>
          <w:szCs w:val="18"/>
          <w:lang w:eastAsia="es-MX"/>
        </w:rPr>
        <w:t xml:space="preserve">dministrativas </w:t>
      </w:r>
      <w:r>
        <w:rPr>
          <w:rFonts w:ascii="ITC Avant Garde" w:eastAsia="Times New Roman" w:hAnsi="ITC Avant Garde" w:cs="Arial"/>
          <w:i/>
          <w:color w:val="000000"/>
          <w:sz w:val="20"/>
          <w:szCs w:val="18"/>
          <w:lang w:eastAsia="es-MX"/>
        </w:rPr>
        <w:t>elaborarán un Índice de los E</w:t>
      </w:r>
      <w:r w:rsidRPr="00F32E42">
        <w:rPr>
          <w:rFonts w:ascii="ITC Avant Garde" w:eastAsia="Times New Roman" w:hAnsi="ITC Avant Garde" w:cs="Arial"/>
          <w:i/>
          <w:color w:val="000000"/>
          <w:sz w:val="20"/>
          <w:szCs w:val="18"/>
          <w:lang w:eastAsia="es-MX"/>
        </w:rPr>
        <w:t>xpedientes clasificados como reservados y que, a efecto de mantene</w:t>
      </w:r>
      <w:r>
        <w:rPr>
          <w:rFonts w:ascii="ITC Avant Garde" w:eastAsia="Times New Roman" w:hAnsi="ITC Avant Garde" w:cs="Arial"/>
          <w:i/>
          <w:color w:val="000000"/>
          <w:sz w:val="20"/>
          <w:szCs w:val="18"/>
          <w:lang w:eastAsia="es-MX"/>
        </w:rPr>
        <w:t>r dicho índice actualizado, la U</w:t>
      </w:r>
      <w:r w:rsidRPr="00F32E42">
        <w:rPr>
          <w:rFonts w:ascii="ITC Avant Garde" w:eastAsia="Times New Roman" w:hAnsi="ITC Avant Garde" w:cs="Arial"/>
          <w:i/>
          <w:color w:val="000000"/>
          <w:sz w:val="20"/>
          <w:szCs w:val="18"/>
          <w:lang w:eastAsia="es-MX"/>
        </w:rPr>
        <w:t xml:space="preserve">nidad </w:t>
      </w:r>
      <w:r>
        <w:rPr>
          <w:rFonts w:ascii="ITC Avant Garde" w:eastAsia="Times New Roman" w:hAnsi="ITC Avant Garde" w:cs="Arial"/>
          <w:i/>
          <w:color w:val="000000"/>
          <w:sz w:val="20"/>
          <w:szCs w:val="18"/>
          <w:lang w:eastAsia="es-MX"/>
        </w:rPr>
        <w:t>A</w:t>
      </w:r>
      <w:r w:rsidRPr="00F32E42">
        <w:rPr>
          <w:rFonts w:ascii="ITC Avant Garde" w:eastAsia="Times New Roman" w:hAnsi="ITC Avant Garde" w:cs="Arial"/>
          <w:i/>
          <w:color w:val="000000"/>
          <w:sz w:val="20"/>
          <w:szCs w:val="18"/>
          <w:lang w:eastAsia="es-MX"/>
        </w:rPr>
        <w:t>dministrativa lo enviará al Comité de Información</w:t>
      </w:r>
      <w:r>
        <w:rPr>
          <w:rFonts w:ascii="ITC Avant Garde" w:eastAsia="Times New Roman" w:hAnsi="ITC Avant Garde" w:cs="Arial"/>
          <w:i/>
          <w:color w:val="000000"/>
          <w:sz w:val="20"/>
          <w:szCs w:val="18"/>
          <w:lang w:eastAsia="es-MX"/>
        </w:rPr>
        <w:t>, ahora Comité de Transparencia,</w:t>
      </w:r>
      <w:r w:rsidRPr="00F32E42">
        <w:rPr>
          <w:rFonts w:ascii="ITC Avant Garde" w:eastAsia="Times New Roman" w:hAnsi="ITC Avant Garde" w:cs="Arial"/>
          <w:i/>
          <w:color w:val="000000"/>
          <w:sz w:val="20"/>
          <w:szCs w:val="18"/>
          <w:lang w:eastAsia="es-MX"/>
        </w:rPr>
        <w:t xml:space="preserve"> dentro de los primeros diez días hábiles de enero y julio de cada año</w:t>
      </w:r>
      <w:r>
        <w:rPr>
          <w:rFonts w:ascii="ITC Avant Garde" w:eastAsia="Times New Roman" w:hAnsi="ITC Avant Garde" w:cs="Arial"/>
          <w:i/>
          <w:color w:val="000000"/>
          <w:sz w:val="20"/>
          <w:szCs w:val="18"/>
          <w:lang w:eastAsia="es-MX"/>
        </w:rPr>
        <w:t>.</w:t>
      </w:r>
    </w:p>
    <w:p w:rsidR="00F32E42" w:rsidRPr="00F32E42" w:rsidRDefault="00F32E42" w:rsidP="00F32E42">
      <w:pPr>
        <w:spacing w:after="120" w:line="240" w:lineRule="auto"/>
        <w:ind w:left="567" w:right="567"/>
        <w:jc w:val="both"/>
        <w:rPr>
          <w:rFonts w:ascii="ITC Avant Garde" w:eastAsia="Times New Roman" w:hAnsi="ITC Avant Garde" w:cs="Arial"/>
          <w:i/>
          <w:color w:val="000000"/>
          <w:sz w:val="20"/>
          <w:szCs w:val="18"/>
          <w:lang w:eastAsia="es-MX"/>
        </w:rPr>
      </w:pPr>
      <w:r>
        <w:rPr>
          <w:rFonts w:ascii="ITC Avant Garde" w:eastAsia="Times New Roman" w:hAnsi="ITC Avant Garde" w:cs="Arial"/>
          <w:i/>
          <w:color w:val="000000"/>
          <w:sz w:val="20"/>
          <w:szCs w:val="18"/>
          <w:lang w:eastAsia="es-MX"/>
        </w:rPr>
        <w:t>A su vez, el numeral 102 de la Ley General de Transparencia y Acceso a la Información Pública, establece que cada Área (Unidad Administrativa) del sujeto obligado elaborará un índice de los Expedientes clasificados como reservados, por tema. Asimismo, dicho precepto establece que el Índice deberá elaborarse semestralmente en datos abiertos y deberá indicar el Área (Unidad Administrativa) que generó la información, el nombre del Documento, si se trata de una reserva completa o parcial, su justificación o motivación y, en su caso, si se encuentra en prórroga o ampliaci</w:t>
      </w:r>
      <w:r w:rsidR="00AB2DB4">
        <w:rPr>
          <w:rFonts w:ascii="ITC Avant Garde" w:eastAsia="Times New Roman" w:hAnsi="ITC Avant Garde" w:cs="Arial"/>
          <w:i/>
          <w:color w:val="000000"/>
          <w:sz w:val="20"/>
          <w:szCs w:val="18"/>
          <w:lang w:eastAsia="es-MX"/>
        </w:rPr>
        <w:t>ón del perí</w:t>
      </w:r>
      <w:r>
        <w:rPr>
          <w:rFonts w:ascii="ITC Avant Garde" w:eastAsia="Times New Roman" w:hAnsi="ITC Avant Garde" w:cs="Arial"/>
          <w:i/>
          <w:color w:val="000000"/>
          <w:sz w:val="20"/>
          <w:szCs w:val="18"/>
          <w:lang w:eastAsia="es-MX"/>
        </w:rPr>
        <w:t>odo de clasificación. ”</w:t>
      </w:r>
    </w:p>
    <w:p w:rsidR="000E19D4" w:rsidRDefault="00F32E42" w:rsidP="002931AE">
      <w:pPr>
        <w:spacing w:after="120" w:line="240" w:lineRule="auto"/>
        <w:jc w:val="both"/>
        <w:rPr>
          <w:rFonts w:ascii="ITC Avant Garde" w:hAnsi="ITC Avant Garde"/>
          <w:b/>
        </w:rPr>
      </w:pPr>
      <w:r>
        <w:rPr>
          <w:rFonts w:ascii="ITC Avant Garde" w:hAnsi="ITC Avant Garde"/>
        </w:rPr>
        <w:t xml:space="preserve">En atención </w:t>
      </w:r>
      <w:r w:rsidR="000E19D4">
        <w:rPr>
          <w:rFonts w:ascii="ITC Avant Garde" w:hAnsi="ITC Avant Garde"/>
        </w:rPr>
        <w:t>al oficio referido</w:t>
      </w:r>
      <w:r>
        <w:rPr>
          <w:rFonts w:ascii="ITC Avant Garde" w:hAnsi="ITC Avant Garde"/>
        </w:rPr>
        <w:t xml:space="preserve"> y a fin </w:t>
      </w:r>
      <w:r w:rsidR="006D7F3E">
        <w:rPr>
          <w:rFonts w:ascii="ITC Avant Garde" w:hAnsi="ITC Avant Garde"/>
        </w:rPr>
        <w:t>de dar cumplimiento a lo ordenado por la normatividad aplicable, se remite en tiempo y forma el índice de expedientes</w:t>
      </w:r>
      <w:r>
        <w:rPr>
          <w:rFonts w:ascii="ITC Avant Garde" w:hAnsi="ITC Avant Garde"/>
        </w:rPr>
        <w:t xml:space="preserve"> clasificados como reservados </w:t>
      </w:r>
      <w:r w:rsidR="006D7F3E">
        <w:rPr>
          <w:rFonts w:ascii="ITC Avant Garde" w:hAnsi="ITC Avant Garde"/>
        </w:rPr>
        <w:t>por</w:t>
      </w:r>
      <w:r>
        <w:rPr>
          <w:rFonts w:ascii="ITC Avant Garde" w:hAnsi="ITC Avant Garde"/>
        </w:rPr>
        <w:t xml:space="preserve"> esta Unidad</w:t>
      </w:r>
      <w:r w:rsidR="006D7F3E">
        <w:rPr>
          <w:rFonts w:ascii="ITC Avant Garde" w:hAnsi="ITC Avant Garde"/>
        </w:rPr>
        <w:t xml:space="preserve"> de Competencia Económica</w:t>
      </w:r>
      <w:r>
        <w:rPr>
          <w:rFonts w:ascii="ITC Avant Garde" w:hAnsi="ITC Avant Garde"/>
        </w:rPr>
        <w:t xml:space="preserve">, correspondiente al periodo de </w:t>
      </w:r>
      <w:r w:rsidR="00AB2DB4">
        <w:rPr>
          <w:rFonts w:ascii="ITC Avant Garde" w:hAnsi="ITC Avant Garde"/>
        </w:rPr>
        <w:t>enero</w:t>
      </w:r>
      <w:r>
        <w:rPr>
          <w:rFonts w:ascii="ITC Avant Garde" w:hAnsi="ITC Avant Garde"/>
        </w:rPr>
        <w:t xml:space="preserve"> a </w:t>
      </w:r>
      <w:r w:rsidR="00AB2DB4">
        <w:rPr>
          <w:rFonts w:ascii="ITC Avant Garde" w:hAnsi="ITC Avant Garde"/>
        </w:rPr>
        <w:t>julio</w:t>
      </w:r>
      <w:r>
        <w:rPr>
          <w:rFonts w:ascii="ITC Avant Garde" w:hAnsi="ITC Avant Garde"/>
        </w:rPr>
        <w:t xml:space="preserve"> de dos mil </w:t>
      </w:r>
      <w:r w:rsidR="00AB2DB4">
        <w:rPr>
          <w:rFonts w:ascii="ITC Avant Garde" w:hAnsi="ITC Avant Garde"/>
        </w:rPr>
        <w:t>quince</w:t>
      </w:r>
      <w:r>
        <w:rPr>
          <w:rFonts w:ascii="ITC Avant Garde" w:hAnsi="ITC Avant Garde"/>
        </w:rPr>
        <w:t>.</w:t>
      </w:r>
      <w:r w:rsidR="002931AE">
        <w:rPr>
          <w:rFonts w:ascii="ITC Avant Garde" w:hAnsi="ITC Avant Garde"/>
        </w:rPr>
        <w:t xml:space="preserve"> A fin de facilitar la lectura del mismo, se utilizarán los siguientes acrónimos.</w:t>
      </w:r>
    </w:p>
    <w:p w:rsidR="00F32E42" w:rsidRDefault="00F32E42" w:rsidP="00F32E42">
      <w:pPr>
        <w:spacing w:after="0" w:line="240" w:lineRule="auto"/>
        <w:jc w:val="center"/>
        <w:rPr>
          <w:rFonts w:ascii="ITC Avant Garde" w:hAnsi="ITC Avant Garde"/>
          <w:b/>
        </w:rPr>
      </w:pPr>
      <w:r w:rsidRPr="00741CA1">
        <w:rPr>
          <w:rFonts w:ascii="ITC Avant Garde" w:hAnsi="ITC Avant Garde"/>
          <w:b/>
        </w:rPr>
        <w:t>GLOSARIO</w:t>
      </w:r>
    </w:p>
    <w:p w:rsidR="000D28A2" w:rsidRPr="00741CA1" w:rsidRDefault="000D28A2" w:rsidP="00F32E42">
      <w:pPr>
        <w:spacing w:after="0" w:line="240" w:lineRule="auto"/>
        <w:jc w:val="center"/>
        <w:rPr>
          <w:rFonts w:ascii="ITC Avant Garde" w:hAnsi="ITC Avant Garde"/>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losario"/>
        <w:tblDescription w:val="Glosario"/>
      </w:tblPr>
      <w:tblGrid>
        <w:gridCol w:w="8080"/>
        <w:gridCol w:w="1542"/>
      </w:tblGrid>
      <w:tr w:rsidR="00F32E42" w:rsidRPr="0007677C" w:rsidTr="00B31044">
        <w:trPr>
          <w:tblHeader/>
        </w:trPr>
        <w:tc>
          <w:tcPr>
            <w:tcW w:w="8080" w:type="dxa"/>
          </w:tcPr>
          <w:p w:rsidR="00F32E42" w:rsidRPr="0007677C" w:rsidRDefault="00F32E42" w:rsidP="00C42054">
            <w:pPr>
              <w:jc w:val="both"/>
              <w:rPr>
                <w:rFonts w:ascii="ITC Avant Garde" w:hAnsi="ITC Avant Garde"/>
                <w:sz w:val="22"/>
              </w:rPr>
            </w:pPr>
            <w:r w:rsidRPr="0007677C">
              <w:rPr>
                <w:rFonts w:ascii="ITC Avant Garde" w:hAnsi="ITC Avant Garde"/>
                <w:sz w:val="22"/>
              </w:rPr>
              <w:t>Estatuto Orgánico del I</w:t>
            </w:r>
            <w:r w:rsidR="00074F0B">
              <w:rPr>
                <w:rFonts w:ascii="ITC Avant Garde" w:hAnsi="ITC Avant Garde"/>
                <w:sz w:val="22"/>
              </w:rPr>
              <w:t xml:space="preserve">nstituto </w:t>
            </w:r>
            <w:r w:rsidRPr="0007677C">
              <w:rPr>
                <w:rFonts w:ascii="ITC Avant Garde" w:hAnsi="ITC Avant Garde"/>
                <w:sz w:val="22"/>
              </w:rPr>
              <w:t>F</w:t>
            </w:r>
            <w:r w:rsidR="00074F0B">
              <w:rPr>
                <w:rFonts w:ascii="ITC Avant Garde" w:hAnsi="ITC Avant Garde"/>
                <w:sz w:val="22"/>
              </w:rPr>
              <w:t xml:space="preserve">ederal de </w:t>
            </w:r>
            <w:r w:rsidRPr="0007677C">
              <w:rPr>
                <w:rFonts w:ascii="ITC Avant Garde" w:hAnsi="ITC Avant Garde"/>
                <w:sz w:val="22"/>
              </w:rPr>
              <w:t>T</w:t>
            </w:r>
            <w:r w:rsidR="00074F0B">
              <w:rPr>
                <w:rFonts w:ascii="ITC Avant Garde" w:hAnsi="ITC Avant Garde"/>
                <w:sz w:val="22"/>
              </w:rPr>
              <w:t>elecomunicaciones</w:t>
            </w:r>
          </w:p>
        </w:tc>
        <w:tc>
          <w:tcPr>
            <w:tcW w:w="1542" w:type="dxa"/>
          </w:tcPr>
          <w:p w:rsidR="00F32E42" w:rsidRPr="0007677C" w:rsidRDefault="002931AE" w:rsidP="00C42054">
            <w:pPr>
              <w:jc w:val="center"/>
              <w:rPr>
                <w:rFonts w:ascii="ITC Avant Garde" w:hAnsi="ITC Avant Garde"/>
                <w:sz w:val="22"/>
              </w:rPr>
            </w:pPr>
            <w:r>
              <w:rPr>
                <w:rFonts w:ascii="ITC Avant Garde" w:hAnsi="ITC Avant Garde"/>
                <w:sz w:val="22"/>
              </w:rPr>
              <w:t>Estatuto</w:t>
            </w:r>
          </w:p>
        </w:tc>
      </w:tr>
      <w:tr w:rsidR="00F32E42" w:rsidRPr="0007677C" w:rsidTr="002931AE">
        <w:tc>
          <w:tcPr>
            <w:tcW w:w="8080" w:type="dxa"/>
          </w:tcPr>
          <w:p w:rsidR="00F32E42" w:rsidRDefault="00F32E42" w:rsidP="00C42054">
            <w:pPr>
              <w:jc w:val="both"/>
              <w:rPr>
                <w:rFonts w:ascii="ITC Avant Garde" w:hAnsi="ITC Avant Garde"/>
                <w:sz w:val="22"/>
              </w:rPr>
            </w:pPr>
            <w:r w:rsidRPr="0007677C">
              <w:rPr>
                <w:rFonts w:ascii="ITC Avant Garde" w:hAnsi="ITC Avant Garde"/>
                <w:sz w:val="22"/>
              </w:rPr>
              <w:t>Ley Federal de Transparencia y Acceso a la Información Pública Gubernamental</w:t>
            </w:r>
          </w:p>
          <w:p w:rsidR="00BB54A9" w:rsidRPr="0007677C" w:rsidRDefault="00BB54A9" w:rsidP="00C42054">
            <w:pPr>
              <w:jc w:val="both"/>
              <w:rPr>
                <w:rFonts w:ascii="ITC Avant Garde" w:hAnsi="ITC Avant Garde"/>
                <w:sz w:val="22"/>
              </w:rPr>
            </w:pPr>
            <w:r>
              <w:rPr>
                <w:rFonts w:ascii="ITC Avant Garde" w:hAnsi="ITC Avant Garde"/>
                <w:sz w:val="22"/>
              </w:rPr>
              <w:t>Ley General de Transparencia y Acceso a la Información Pública</w:t>
            </w:r>
          </w:p>
        </w:tc>
        <w:tc>
          <w:tcPr>
            <w:tcW w:w="1542" w:type="dxa"/>
          </w:tcPr>
          <w:p w:rsidR="00F32E42" w:rsidRDefault="00F32E42" w:rsidP="00C42054">
            <w:pPr>
              <w:jc w:val="center"/>
              <w:rPr>
                <w:rFonts w:ascii="ITC Avant Garde" w:hAnsi="ITC Avant Garde"/>
                <w:sz w:val="22"/>
              </w:rPr>
            </w:pPr>
            <w:r w:rsidRPr="0007677C">
              <w:rPr>
                <w:rFonts w:ascii="ITC Avant Garde" w:hAnsi="ITC Avant Garde"/>
                <w:sz w:val="22"/>
              </w:rPr>
              <w:t>LFTAIPG</w:t>
            </w:r>
          </w:p>
          <w:p w:rsidR="00BB54A9" w:rsidRDefault="00BB54A9" w:rsidP="00C42054">
            <w:pPr>
              <w:jc w:val="center"/>
              <w:rPr>
                <w:rFonts w:ascii="ITC Avant Garde" w:hAnsi="ITC Avant Garde"/>
                <w:sz w:val="22"/>
              </w:rPr>
            </w:pPr>
          </w:p>
          <w:p w:rsidR="00BB54A9" w:rsidRPr="0007677C" w:rsidRDefault="00BB54A9" w:rsidP="00C42054">
            <w:pPr>
              <w:jc w:val="center"/>
              <w:rPr>
                <w:rFonts w:ascii="ITC Avant Garde" w:hAnsi="ITC Avant Garde"/>
                <w:sz w:val="22"/>
              </w:rPr>
            </w:pPr>
            <w:r>
              <w:rPr>
                <w:rFonts w:ascii="ITC Avant Garde" w:hAnsi="ITC Avant Garde"/>
                <w:sz w:val="22"/>
              </w:rPr>
              <w:t>LGTAIP</w:t>
            </w:r>
          </w:p>
        </w:tc>
      </w:tr>
    </w:tbl>
    <w:p w:rsidR="00BB54A9" w:rsidRPr="000273FD" w:rsidRDefault="00BB54A9" w:rsidP="000273FD">
      <w:pPr>
        <w:spacing w:after="0" w:line="240" w:lineRule="auto"/>
        <w:jc w:val="center"/>
        <w:rPr>
          <w:rFonts w:ascii="ITC Avant Garde" w:hAnsi="ITC Avant Garde"/>
        </w:rPr>
        <w:sectPr w:rsidR="00BB54A9" w:rsidRPr="000273FD" w:rsidSect="00651977">
          <w:headerReference w:type="even" r:id="rId6"/>
          <w:headerReference w:type="default" r:id="rId7"/>
          <w:footerReference w:type="even" r:id="rId8"/>
          <w:footerReference w:type="default" r:id="rId9"/>
          <w:headerReference w:type="first" r:id="rId10"/>
          <w:footerReference w:type="first" r:id="rId11"/>
          <w:pgSz w:w="12240" w:h="15840" w:code="1"/>
          <w:pgMar w:top="2268" w:right="1304" w:bottom="567" w:left="1304" w:header="1134" w:footer="283" w:gutter="0"/>
          <w:cols w:space="708"/>
          <w:titlePg/>
          <w:docGrid w:linePitch="360"/>
        </w:sectPr>
      </w:pPr>
    </w:p>
    <w:tbl>
      <w:tblPr>
        <w:tblStyle w:val="Tabladecuadrcula5oscura-nfasis3"/>
        <w:tblpPr w:leftFromText="141" w:rightFromText="141" w:vertAnchor="text" w:horzAnchor="margin" w:tblpY="-87"/>
        <w:tblW w:w="13390" w:type="dxa"/>
        <w:tblLook w:val="04A0" w:firstRow="1" w:lastRow="0" w:firstColumn="1" w:lastColumn="0" w:noHBand="0" w:noVBand="1"/>
        <w:tblCaption w:val="índice de Expedientes Reservados"/>
        <w:tblDescription w:val="índice de Expedientes Reservados"/>
      </w:tblPr>
      <w:tblGrid>
        <w:gridCol w:w="2922"/>
        <w:gridCol w:w="3328"/>
        <w:gridCol w:w="3570"/>
        <w:gridCol w:w="3570"/>
      </w:tblGrid>
      <w:tr w:rsidR="00B31044" w:rsidRPr="000D28A2" w:rsidTr="00AD4A70">
        <w:trPr>
          <w:cnfStyle w:val="100000000000" w:firstRow="1" w:lastRow="0" w:firstColumn="0" w:lastColumn="0" w:oddVBand="0" w:evenVBand="0" w:oddHBand="0" w:evenHBand="0" w:firstRowFirstColumn="0" w:firstRowLastColumn="0" w:lastRowFirstColumn="0" w:lastRowLastColumn="0"/>
          <w:trHeight w:val="420"/>
          <w:tblHeader/>
        </w:trPr>
        <w:tc>
          <w:tcPr>
            <w:cnfStyle w:val="001000000000" w:firstRow="0" w:lastRow="0" w:firstColumn="1" w:lastColumn="0" w:oddVBand="0" w:evenVBand="0" w:oddHBand="0" w:evenHBand="0" w:firstRowFirstColumn="0" w:firstRowLastColumn="0" w:lastRowFirstColumn="0" w:lastRowLastColumn="0"/>
            <w:tcW w:w="2922" w:type="dxa"/>
            <w:shd w:val="clear" w:color="auto" w:fill="A8D08D" w:themeFill="accent6" w:themeFillTint="99"/>
          </w:tcPr>
          <w:p w:rsidR="00B31044" w:rsidRPr="000D28A2" w:rsidRDefault="00B31044" w:rsidP="00E04A02">
            <w:pPr>
              <w:pStyle w:val="Sinespaciado"/>
              <w:jc w:val="center"/>
              <w:rPr>
                <w:rFonts w:ascii="ITC Avant Garde" w:hAnsi="ITC Avant Garde"/>
                <w:color w:val="385623" w:themeColor="accent6" w:themeShade="80"/>
                <w:sz w:val="20"/>
              </w:rPr>
            </w:pPr>
          </w:p>
          <w:p w:rsidR="00B31044" w:rsidRPr="000D28A2" w:rsidRDefault="00B31044" w:rsidP="00E04A02">
            <w:pPr>
              <w:pStyle w:val="Sinespaciado"/>
              <w:jc w:val="center"/>
              <w:rPr>
                <w:rFonts w:ascii="ITC Avant Garde" w:hAnsi="ITC Avant Garde"/>
                <w:color w:val="385623" w:themeColor="accent6" w:themeShade="80"/>
                <w:sz w:val="20"/>
              </w:rPr>
            </w:pPr>
            <w:r w:rsidRPr="000D28A2">
              <w:rPr>
                <w:rFonts w:ascii="ITC Avant Garde" w:hAnsi="ITC Avant Garde"/>
                <w:color w:val="385623" w:themeColor="accent6" w:themeShade="80"/>
                <w:sz w:val="20"/>
              </w:rPr>
              <w:t>CONCEPTO</w:t>
            </w:r>
          </w:p>
        </w:tc>
        <w:tc>
          <w:tcPr>
            <w:tcW w:w="10468" w:type="dxa"/>
            <w:gridSpan w:val="3"/>
            <w:shd w:val="clear" w:color="auto" w:fill="A8D08D" w:themeFill="accent6" w:themeFillTint="99"/>
          </w:tcPr>
          <w:p w:rsidR="00B31044" w:rsidRPr="000D28A2" w:rsidRDefault="00B31044" w:rsidP="00E04A02">
            <w:pPr>
              <w:pStyle w:val="Sinespaciado"/>
              <w:cnfStyle w:val="100000000000" w:firstRow="1" w:lastRow="0" w:firstColumn="0" w:lastColumn="0" w:oddVBand="0" w:evenVBand="0" w:oddHBand="0" w:evenHBand="0" w:firstRowFirstColumn="0" w:firstRowLastColumn="0" w:lastRowFirstColumn="0" w:lastRowLastColumn="0"/>
              <w:rPr>
                <w:rFonts w:ascii="ITC Avant Garde" w:hAnsi="ITC Avant Garde"/>
                <w:b w:val="0"/>
                <w:color w:val="385623" w:themeColor="accent6" w:themeShade="80"/>
                <w:sz w:val="20"/>
              </w:rPr>
            </w:pPr>
          </w:p>
          <w:p w:rsidR="00B31044" w:rsidRPr="000D28A2" w:rsidRDefault="00B31044" w:rsidP="00E04A02">
            <w:pPr>
              <w:pStyle w:val="Sinespaciado"/>
              <w:cnfStyle w:val="100000000000" w:firstRow="1" w:lastRow="0" w:firstColumn="0" w:lastColumn="0" w:oddVBand="0" w:evenVBand="0" w:oddHBand="0" w:evenHBand="0" w:firstRowFirstColumn="0" w:firstRowLastColumn="0" w:lastRowFirstColumn="0" w:lastRowLastColumn="0"/>
              <w:rPr>
                <w:rFonts w:ascii="ITC Avant Garde" w:hAnsi="ITC Avant Garde"/>
                <w:b w:val="0"/>
                <w:color w:val="385623" w:themeColor="accent6" w:themeShade="80"/>
                <w:sz w:val="20"/>
              </w:rPr>
            </w:pPr>
            <w:r w:rsidRPr="000D28A2">
              <w:rPr>
                <w:rFonts w:ascii="ITC Avant Garde" w:hAnsi="ITC Avant Garde"/>
                <w:color w:val="385623" w:themeColor="accent6" w:themeShade="80"/>
                <w:sz w:val="20"/>
              </w:rPr>
              <w:tab/>
            </w:r>
            <w:r w:rsidRPr="000D28A2">
              <w:rPr>
                <w:rFonts w:ascii="ITC Avant Garde" w:hAnsi="ITC Avant Garde"/>
                <w:color w:val="385623" w:themeColor="accent6" w:themeShade="80"/>
                <w:sz w:val="20"/>
              </w:rPr>
              <w:tab/>
              <w:t>DESCRIPCIÓN</w:t>
            </w:r>
          </w:p>
        </w:tc>
      </w:tr>
      <w:tr w:rsidR="00E04A02" w:rsidRPr="000D28A2" w:rsidTr="00E04A0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922" w:type="dxa"/>
            <w:shd w:val="clear" w:color="auto" w:fill="A8D08D" w:themeFill="accent6" w:themeFillTint="99"/>
          </w:tcPr>
          <w:p w:rsidR="00E04A02" w:rsidRPr="000D28A2" w:rsidRDefault="00E04A02" w:rsidP="00E04A02">
            <w:pPr>
              <w:pStyle w:val="Sinespaciado"/>
              <w:rPr>
                <w:rFonts w:ascii="ITC Avant Garde" w:hAnsi="ITC Avant Garde"/>
                <w:color w:val="385623" w:themeColor="accent6" w:themeShade="80"/>
                <w:sz w:val="20"/>
              </w:rPr>
            </w:pPr>
          </w:p>
          <w:p w:rsidR="00E04A02" w:rsidRPr="000D28A2" w:rsidRDefault="00E04A02" w:rsidP="00E04A02">
            <w:pPr>
              <w:pStyle w:val="Sinespaciado"/>
              <w:rPr>
                <w:rFonts w:ascii="ITC Avant Garde" w:hAnsi="ITC Avant Garde"/>
                <w:color w:val="385623" w:themeColor="accent6" w:themeShade="80"/>
                <w:sz w:val="20"/>
              </w:rPr>
            </w:pPr>
            <w:r w:rsidRPr="000D28A2">
              <w:rPr>
                <w:rFonts w:ascii="ITC Avant Garde" w:hAnsi="ITC Avant Garde"/>
                <w:color w:val="385623" w:themeColor="accent6" w:themeShade="80"/>
                <w:sz w:val="20"/>
              </w:rPr>
              <w:t>UNIDAD ADMINISTRATIVA</w:t>
            </w:r>
          </w:p>
        </w:tc>
        <w:tc>
          <w:tcPr>
            <w:tcW w:w="10468" w:type="dxa"/>
            <w:gridSpan w:val="3"/>
          </w:tcPr>
          <w:p w:rsidR="00E04A02" w:rsidRPr="000D28A2" w:rsidRDefault="00E04A02" w:rsidP="00E04A02">
            <w:pPr>
              <w:pStyle w:val="Sinespaciad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sz w:val="20"/>
              </w:rPr>
            </w:pPr>
          </w:p>
          <w:p w:rsidR="00E04A02" w:rsidRPr="000D28A2" w:rsidRDefault="00E04A02" w:rsidP="00E04A02">
            <w:pPr>
              <w:pStyle w:val="Sinespaciad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b/>
                <w:sz w:val="20"/>
              </w:rPr>
            </w:pPr>
            <w:r w:rsidRPr="000D28A2">
              <w:rPr>
                <w:rFonts w:ascii="ITC Avant Garde" w:hAnsi="ITC Avant Garde"/>
                <w:sz w:val="20"/>
              </w:rPr>
              <w:t>Unidad de Competencia Económica</w:t>
            </w:r>
          </w:p>
        </w:tc>
      </w:tr>
      <w:tr w:rsidR="00E04A02" w:rsidRPr="000D28A2" w:rsidTr="00E04A02">
        <w:trPr>
          <w:trHeight w:val="420"/>
        </w:trPr>
        <w:tc>
          <w:tcPr>
            <w:cnfStyle w:val="001000000000" w:firstRow="0" w:lastRow="0" w:firstColumn="1" w:lastColumn="0" w:oddVBand="0" w:evenVBand="0" w:oddHBand="0" w:evenHBand="0" w:firstRowFirstColumn="0" w:firstRowLastColumn="0" w:lastRowFirstColumn="0" w:lastRowLastColumn="0"/>
            <w:tcW w:w="2922" w:type="dxa"/>
            <w:shd w:val="clear" w:color="auto" w:fill="A8D08D" w:themeFill="accent6" w:themeFillTint="99"/>
          </w:tcPr>
          <w:p w:rsidR="00E04A02" w:rsidRPr="000D28A2" w:rsidRDefault="00E04A02" w:rsidP="00E04A02">
            <w:pPr>
              <w:pStyle w:val="Sinespaciado"/>
              <w:rPr>
                <w:rFonts w:ascii="ITC Avant Garde" w:hAnsi="ITC Avant Garde"/>
                <w:color w:val="385623" w:themeColor="accent6" w:themeShade="80"/>
                <w:sz w:val="20"/>
              </w:rPr>
            </w:pPr>
          </w:p>
          <w:p w:rsidR="00E04A02" w:rsidRPr="000D28A2" w:rsidRDefault="00E04A02" w:rsidP="00E04A02">
            <w:pPr>
              <w:pStyle w:val="Sinespaciado"/>
              <w:rPr>
                <w:rFonts w:ascii="ITC Avant Garde" w:hAnsi="ITC Avant Garde"/>
                <w:color w:val="385623" w:themeColor="accent6" w:themeShade="80"/>
                <w:sz w:val="20"/>
              </w:rPr>
            </w:pPr>
            <w:r w:rsidRPr="000D28A2">
              <w:rPr>
                <w:rFonts w:ascii="ITC Avant Garde" w:hAnsi="ITC Avant Garde"/>
                <w:color w:val="385623" w:themeColor="accent6" w:themeShade="80"/>
                <w:sz w:val="20"/>
              </w:rPr>
              <w:t>ATRIBUCIÓN</w:t>
            </w:r>
          </w:p>
        </w:tc>
        <w:tc>
          <w:tcPr>
            <w:tcW w:w="10468" w:type="dxa"/>
            <w:gridSpan w:val="3"/>
          </w:tcPr>
          <w:p w:rsidR="00E04A02" w:rsidRPr="000D28A2" w:rsidRDefault="00E04A02" w:rsidP="00E04A02">
            <w:pPr>
              <w:pStyle w:val="Sinespaciad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p>
          <w:p w:rsidR="00E04A02" w:rsidRPr="000D28A2" w:rsidRDefault="00E04A02" w:rsidP="00E04A02">
            <w:pPr>
              <w:pStyle w:val="Sinespaciad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sidRPr="000D28A2">
              <w:rPr>
                <w:rFonts w:ascii="ITC Avant Garde" w:hAnsi="ITC Avant Garde"/>
                <w:sz w:val="20"/>
              </w:rPr>
              <w:t>Artículos 4, fracción V, inciso vi); 46, primer párrafo; y, 47, fracción VII del Estatuto.</w:t>
            </w:r>
          </w:p>
        </w:tc>
      </w:tr>
      <w:tr w:rsidR="00E04A02" w:rsidRPr="000D28A2" w:rsidTr="00E04A0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922" w:type="dxa"/>
            <w:shd w:val="clear" w:color="auto" w:fill="A8D08D" w:themeFill="accent6" w:themeFillTint="99"/>
          </w:tcPr>
          <w:p w:rsidR="00E04A02" w:rsidRPr="000D28A2" w:rsidRDefault="00E04A02" w:rsidP="00E04A02">
            <w:pPr>
              <w:pStyle w:val="Sinespaciado"/>
              <w:rPr>
                <w:rFonts w:ascii="ITC Avant Garde" w:hAnsi="ITC Avant Garde"/>
                <w:color w:val="385623" w:themeColor="accent6" w:themeShade="80"/>
                <w:sz w:val="20"/>
              </w:rPr>
            </w:pPr>
          </w:p>
          <w:p w:rsidR="00E04A02" w:rsidRPr="000D28A2" w:rsidRDefault="00E04A02" w:rsidP="00E04A02">
            <w:pPr>
              <w:pStyle w:val="Sinespaciado"/>
              <w:rPr>
                <w:rFonts w:ascii="ITC Avant Garde" w:hAnsi="ITC Avant Garde"/>
                <w:color w:val="385623" w:themeColor="accent6" w:themeShade="80"/>
                <w:sz w:val="20"/>
              </w:rPr>
            </w:pPr>
            <w:r w:rsidRPr="000D28A2">
              <w:rPr>
                <w:rFonts w:ascii="ITC Avant Garde" w:hAnsi="ITC Avant Garde"/>
                <w:color w:val="385623" w:themeColor="accent6" w:themeShade="80"/>
                <w:sz w:val="20"/>
              </w:rPr>
              <w:t>RUBRO TEMÁTICO</w:t>
            </w:r>
          </w:p>
        </w:tc>
        <w:tc>
          <w:tcPr>
            <w:tcW w:w="10468" w:type="dxa"/>
            <w:gridSpan w:val="3"/>
          </w:tcPr>
          <w:p w:rsidR="00E04A02" w:rsidRPr="000D28A2" w:rsidRDefault="00E04A02" w:rsidP="00E04A02">
            <w:pPr>
              <w:pStyle w:val="Sinespaciad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p>
          <w:p w:rsidR="00E04A02" w:rsidRPr="000D28A2" w:rsidRDefault="00E04A02" w:rsidP="00E04A02">
            <w:pPr>
              <w:pStyle w:val="Sinespaciad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sidRPr="000D28A2">
              <w:rPr>
                <w:rFonts w:ascii="ITC Avant Garde" w:hAnsi="ITC Avant Garde"/>
                <w:sz w:val="20"/>
              </w:rPr>
              <w:t>Investigación de ilícitos en materia de competencia económica</w:t>
            </w:r>
          </w:p>
        </w:tc>
      </w:tr>
      <w:tr w:rsidR="00EE748A" w:rsidRPr="00B31044" w:rsidTr="00E04A02">
        <w:trPr>
          <w:trHeight w:val="420"/>
        </w:trPr>
        <w:tc>
          <w:tcPr>
            <w:cnfStyle w:val="001000000000" w:firstRow="0" w:lastRow="0" w:firstColumn="1" w:lastColumn="0" w:oddVBand="0" w:evenVBand="0" w:oddHBand="0" w:evenHBand="0" w:firstRowFirstColumn="0" w:firstRowLastColumn="0" w:lastRowFirstColumn="0" w:lastRowLastColumn="0"/>
            <w:tcW w:w="2922" w:type="dxa"/>
            <w:shd w:val="clear" w:color="auto" w:fill="A8D08D" w:themeFill="accent6" w:themeFillTint="99"/>
          </w:tcPr>
          <w:p w:rsidR="00EE748A" w:rsidRPr="000D28A2" w:rsidRDefault="00EE748A" w:rsidP="00E04A02">
            <w:pPr>
              <w:pStyle w:val="Sinespaciado"/>
              <w:rPr>
                <w:rFonts w:ascii="ITC Avant Garde" w:hAnsi="ITC Avant Garde"/>
                <w:color w:val="385623" w:themeColor="accent6" w:themeShade="80"/>
                <w:sz w:val="20"/>
              </w:rPr>
            </w:pPr>
            <w:r w:rsidRPr="000D28A2">
              <w:rPr>
                <w:rFonts w:ascii="ITC Avant Garde" w:hAnsi="ITC Avant Garde"/>
                <w:color w:val="385623" w:themeColor="accent6" w:themeShade="80"/>
                <w:sz w:val="20"/>
              </w:rPr>
              <w:t>EXPEDIENTE</w:t>
            </w:r>
          </w:p>
        </w:tc>
        <w:tc>
          <w:tcPr>
            <w:tcW w:w="3328" w:type="dxa"/>
          </w:tcPr>
          <w:p w:rsidR="00EE748A" w:rsidRPr="000D28A2" w:rsidRDefault="00EE748A" w:rsidP="00E04A02">
            <w:pPr>
              <w:pStyle w:val="Sinespaciad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sidRPr="000D28A2">
              <w:rPr>
                <w:rFonts w:ascii="ITC Avant Garde" w:hAnsi="ITC Avant Garde"/>
                <w:b/>
                <w:sz w:val="20"/>
              </w:rPr>
              <w:t>E-IFT/</w:t>
            </w:r>
            <w:proofErr w:type="spellStart"/>
            <w:r w:rsidRPr="000D28A2">
              <w:rPr>
                <w:rFonts w:ascii="ITC Avant Garde" w:hAnsi="ITC Avant Garde"/>
                <w:b/>
                <w:sz w:val="20"/>
              </w:rPr>
              <w:t>UCE</w:t>
            </w:r>
            <w:proofErr w:type="spellEnd"/>
            <w:r w:rsidRPr="000D28A2">
              <w:rPr>
                <w:rFonts w:ascii="ITC Avant Garde" w:hAnsi="ITC Avant Garde"/>
                <w:b/>
                <w:sz w:val="20"/>
              </w:rPr>
              <w:t>/DE-011-2014-I</w:t>
            </w:r>
          </w:p>
        </w:tc>
        <w:tc>
          <w:tcPr>
            <w:tcW w:w="3570" w:type="dxa"/>
          </w:tcPr>
          <w:p w:rsidR="00EE748A" w:rsidRPr="00EE748A" w:rsidRDefault="00EE748A" w:rsidP="00E04A02">
            <w:pPr>
              <w:pStyle w:val="Sinespaciad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
                <w:sz w:val="20"/>
                <w:lang w:val="en-US"/>
              </w:rPr>
            </w:pPr>
            <w:r w:rsidRPr="00B31044">
              <w:rPr>
                <w:rFonts w:ascii="ITC Avant Garde" w:hAnsi="ITC Avant Garde"/>
                <w:b/>
                <w:sz w:val="20"/>
                <w:lang w:val="en-US"/>
              </w:rPr>
              <w:t>E-IFT/UC/</w:t>
            </w:r>
            <w:proofErr w:type="spellStart"/>
            <w:r w:rsidRPr="00B31044">
              <w:rPr>
                <w:rFonts w:ascii="ITC Avant Garde" w:hAnsi="ITC Avant Garde"/>
                <w:b/>
                <w:sz w:val="20"/>
                <w:lang w:val="en-US"/>
              </w:rPr>
              <w:t>DGIPM</w:t>
            </w:r>
            <w:proofErr w:type="spellEnd"/>
            <w:r w:rsidRPr="00B31044">
              <w:rPr>
                <w:rFonts w:ascii="ITC Avant Garde" w:hAnsi="ITC Avant Garde"/>
                <w:b/>
                <w:sz w:val="20"/>
                <w:lang w:val="en-US"/>
              </w:rPr>
              <w:t>/</w:t>
            </w:r>
            <w:proofErr w:type="spellStart"/>
            <w:r w:rsidRPr="00B31044">
              <w:rPr>
                <w:rFonts w:ascii="ITC Avant Garde" w:hAnsi="ITC Avant Garde"/>
                <w:b/>
                <w:sz w:val="20"/>
                <w:lang w:val="en-US"/>
              </w:rPr>
              <w:t>CP</w:t>
            </w:r>
            <w:proofErr w:type="spellEnd"/>
            <w:r w:rsidRPr="00B31044">
              <w:rPr>
                <w:rFonts w:ascii="ITC Avant Garde" w:hAnsi="ITC Avant Garde"/>
                <w:b/>
                <w:sz w:val="20"/>
                <w:lang w:val="en-US"/>
              </w:rPr>
              <w:t>/0002/2013</w:t>
            </w:r>
          </w:p>
        </w:tc>
        <w:tc>
          <w:tcPr>
            <w:tcW w:w="3570" w:type="dxa"/>
          </w:tcPr>
          <w:p w:rsidR="00EE748A" w:rsidRPr="00B31044" w:rsidRDefault="00EE748A" w:rsidP="00E04A02">
            <w:pPr>
              <w:pStyle w:val="Sinespaciad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
                <w:sz w:val="20"/>
                <w:lang w:val="en-US"/>
              </w:rPr>
            </w:pPr>
            <w:r w:rsidRPr="00B31044">
              <w:rPr>
                <w:rFonts w:ascii="ITC Avant Garde" w:hAnsi="ITC Avant Garde"/>
                <w:b/>
                <w:sz w:val="20"/>
                <w:lang w:val="en-US"/>
              </w:rPr>
              <w:t>E-IFT/UC/</w:t>
            </w:r>
            <w:proofErr w:type="spellStart"/>
            <w:r w:rsidRPr="00B31044">
              <w:rPr>
                <w:rFonts w:ascii="ITC Avant Garde" w:hAnsi="ITC Avant Garde"/>
                <w:b/>
                <w:sz w:val="20"/>
                <w:lang w:val="en-US"/>
              </w:rPr>
              <w:t>DGIPM</w:t>
            </w:r>
            <w:proofErr w:type="spellEnd"/>
            <w:r w:rsidRPr="00B31044">
              <w:rPr>
                <w:rFonts w:ascii="ITC Avant Garde" w:hAnsi="ITC Avant Garde"/>
                <w:b/>
                <w:sz w:val="20"/>
                <w:lang w:val="en-US"/>
              </w:rPr>
              <w:t>/</w:t>
            </w:r>
            <w:proofErr w:type="spellStart"/>
            <w:r w:rsidRPr="00B31044">
              <w:rPr>
                <w:rFonts w:ascii="ITC Avant Garde" w:hAnsi="ITC Avant Garde"/>
                <w:b/>
                <w:sz w:val="20"/>
                <w:lang w:val="en-US"/>
              </w:rPr>
              <w:t>PMR</w:t>
            </w:r>
            <w:proofErr w:type="spellEnd"/>
            <w:r w:rsidRPr="00B31044">
              <w:rPr>
                <w:rFonts w:ascii="ITC Avant Garde" w:hAnsi="ITC Avant Garde"/>
                <w:b/>
                <w:sz w:val="20"/>
                <w:lang w:val="en-US"/>
              </w:rPr>
              <w:t>/0003/2013</w:t>
            </w:r>
          </w:p>
        </w:tc>
      </w:tr>
      <w:tr w:rsidR="00E04A02" w:rsidRPr="000D28A2" w:rsidTr="00E04A0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922" w:type="dxa"/>
            <w:shd w:val="clear" w:color="auto" w:fill="A8D08D" w:themeFill="accent6" w:themeFillTint="99"/>
          </w:tcPr>
          <w:p w:rsidR="00E04A02" w:rsidRPr="00B31044" w:rsidRDefault="00E04A02" w:rsidP="00E04A02">
            <w:pPr>
              <w:pStyle w:val="Sinespaciado"/>
              <w:rPr>
                <w:rFonts w:ascii="ITC Avant Garde" w:hAnsi="ITC Avant Garde"/>
                <w:color w:val="385623" w:themeColor="accent6" w:themeShade="80"/>
                <w:sz w:val="20"/>
                <w:lang w:val="en-US"/>
              </w:rPr>
            </w:pPr>
          </w:p>
          <w:p w:rsidR="00E04A02" w:rsidRPr="000D28A2" w:rsidRDefault="00E04A02" w:rsidP="00E04A02">
            <w:pPr>
              <w:pStyle w:val="Sinespaciado"/>
              <w:rPr>
                <w:rFonts w:ascii="ITC Avant Garde" w:hAnsi="ITC Avant Garde"/>
                <w:color w:val="385623" w:themeColor="accent6" w:themeShade="80"/>
                <w:sz w:val="20"/>
              </w:rPr>
            </w:pPr>
            <w:r w:rsidRPr="000D28A2">
              <w:rPr>
                <w:rFonts w:ascii="ITC Avant Garde" w:hAnsi="ITC Avant Garde"/>
                <w:color w:val="385623" w:themeColor="accent6" w:themeShade="80"/>
                <w:sz w:val="20"/>
              </w:rPr>
              <w:t>FECHA DE CLASIFICACIÓN</w:t>
            </w:r>
          </w:p>
        </w:tc>
        <w:tc>
          <w:tcPr>
            <w:tcW w:w="3328" w:type="dxa"/>
          </w:tcPr>
          <w:p w:rsidR="00E04A02" w:rsidRPr="000D28A2" w:rsidRDefault="00E04A02" w:rsidP="00E04A02">
            <w:pPr>
              <w:pStyle w:val="Sinespaciad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p>
          <w:p w:rsidR="00E04A02" w:rsidRPr="000D28A2" w:rsidRDefault="00E04A02" w:rsidP="00E04A02">
            <w:pPr>
              <w:pStyle w:val="Sinespaciad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sidRPr="000D28A2">
              <w:rPr>
                <w:rFonts w:ascii="ITC Avant Garde" w:hAnsi="ITC Avant Garde"/>
                <w:sz w:val="20"/>
              </w:rPr>
              <w:t>25 de febrero de 2015</w:t>
            </w:r>
          </w:p>
        </w:tc>
        <w:tc>
          <w:tcPr>
            <w:tcW w:w="3570" w:type="dxa"/>
          </w:tcPr>
          <w:p w:rsidR="00E04A02" w:rsidRPr="000D28A2" w:rsidRDefault="00E04A02" w:rsidP="00E04A02">
            <w:pPr>
              <w:pStyle w:val="Sinespaciad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p>
          <w:p w:rsidR="00E04A02" w:rsidRPr="000D28A2" w:rsidRDefault="00E04A02" w:rsidP="00E04A02">
            <w:pPr>
              <w:pStyle w:val="Sinespaciad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sidRPr="000D28A2">
              <w:rPr>
                <w:rFonts w:ascii="ITC Avant Garde" w:hAnsi="ITC Avant Garde"/>
                <w:sz w:val="20"/>
              </w:rPr>
              <w:t>8 de junio de 2015</w:t>
            </w:r>
          </w:p>
        </w:tc>
        <w:tc>
          <w:tcPr>
            <w:tcW w:w="3570" w:type="dxa"/>
          </w:tcPr>
          <w:p w:rsidR="00E04A02" w:rsidRDefault="00E04A02" w:rsidP="00E04A02">
            <w:pPr>
              <w:pStyle w:val="Sinespaciad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p>
          <w:p w:rsidR="00E04A02" w:rsidRPr="000D28A2" w:rsidRDefault="00E04A02" w:rsidP="00E04A02">
            <w:pPr>
              <w:pStyle w:val="Sinespaciad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Pr>
                <w:rFonts w:ascii="ITC Avant Garde" w:hAnsi="ITC Avant Garde"/>
                <w:sz w:val="20"/>
              </w:rPr>
              <w:t>20 de mayo de 2015</w:t>
            </w:r>
          </w:p>
        </w:tc>
      </w:tr>
      <w:tr w:rsidR="00E04A02" w:rsidRPr="000D28A2" w:rsidTr="00E04A02">
        <w:trPr>
          <w:trHeight w:val="420"/>
        </w:trPr>
        <w:tc>
          <w:tcPr>
            <w:cnfStyle w:val="001000000000" w:firstRow="0" w:lastRow="0" w:firstColumn="1" w:lastColumn="0" w:oddVBand="0" w:evenVBand="0" w:oddHBand="0" w:evenHBand="0" w:firstRowFirstColumn="0" w:firstRowLastColumn="0" w:lastRowFirstColumn="0" w:lastRowLastColumn="0"/>
            <w:tcW w:w="2922" w:type="dxa"/>
            <w:shd w:val="clear" w:color="auto" w:fill="A8D08D" w:themeFill="accent6" w:themeFillTint="99"/>
          </w:tcPr>
          <w:p w:rsidR="00E04A02" w:rsidRPr="000D28A2" w:rsidRDefault="00E04A02" w:rsidP="00E04A02">
            <w:pPr>
              <w:pStyle w:val="Sinespaciado"/>
              <w:rPr>
                <w:rFonts w:ascii="ITC Avant Garde" w:hAnsi="ITC Avant Garde"/>
                <w:color w:val="385623" w:themeColor="accent6" w:themeShade="80"/>
                <w:sz w:val="20"/>
              </w:rPr>
            </w:pPr>
          </w:p>
          <w:p w:rsidR="00E04A02" w:rsidRPr="000D28A2" w:rsidRDefault="00E04A02" w:rsidP="00E04A02">
            <w:pPr>
              <w:pStyle w:val="Sinespaciado"/>
              <w:rPr>
                <w:rFonts w:ascii="ITC Avant Garde" w:hAnsi="ITC Avant Garde"/>
                <w:color w:val="385623" w:themeColor="accent6" w:themeShade="80"/>
                <w:sz w:val="20"/>
              </w:rPr>
            </w:pPr>
            <w:r w:rsidRPr="000D28A2">
              <w:rPr>
                <w:rFonts w:ascii="ITC Avant Garde" w:hAnsi="ITC Avant Garde"/>
                <w:color w:val="385623" w:themeColor="accent6" w:themeShade="80"/>
                <w:sz w:val="20"/>
              </w:rPr>
              <w:t>FECHA DE DESCLASIFICACIÓN</w:t>
            </w:r>
          </w:p>
        </w:tc>
        <w:tc>
          <w:tcPr>
            <w:tcW w:w="3328" w:type="dxa"/>
          </w:tcPr>
          <w:p w:rsidR="00E04A02" w:rsidRPr="000D28A2" w:rsidRDefault="00E04A02" w:rsidP="00E04A02">
            <w:pPr>
              <w:pStyle w:val="Sinespaciad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p>
          <w:p w:rsidR="00E04A02" w:rsidRPr="000D28A2" w:rsidRDefault="00E04A02" w:rsidP="00E04A02">
            <w:pPr>
              <w:pStyle w:val="Sinespaciad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sidRPr="000D28A2">
              <w:rPr>
                <w:rFonts w:ascii="ITC Avant Garde" w:hAnsi="ITC Avant Garde"/>
                <w:sz w:val="20"/>
              </w:rPr>
              <w:t>25 de febrero de 2016</w:t>
            </w:r>
          </w:p>
        </w:tc>
        <w:tc>
          <w:tcPr>
            <w:tcW w:w="3570" w:type="dxa"/>
          </w:tcPr>
          <w:p w:rsidR="00E04A02" w:rsidRPr="000D28A2" w:rsidRDefault="00E04A02" w:rsidP="00E04A02">
            <w:pPr>
              <w:pStyle w:val="Sinespaciad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p>
          <w:p w:rsidR="00E04A02" w:rsidRPr="000D28A2" w:rsidRDefault="00E04A02" w:rsidP="00E04A02">
            <w:pPr>
              <w:pStyle w:val="Sinespaciad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sidRPr="000D28A2">
              <w:rPr>
                <w:rFonts w:ascii="ITC Avant Garde" w:hAnsi="ITC Avant Garde"/>
                <w:sz w:val="20"/>
              </w:rPr>
              <w:t>8 de junio de 2020</w:t>
            </w:r>
          </w:p>
        </w:tc>
        <w:tc>
          <w:tcPr>
            <w:tcW w:w="3570" w:type="dxa"/>
          </w:tcPr>
          <w:p w:rsidR="00E04A02" w:rsidRDefault="00E04A02" w:rsidP="00E04A02">
            <w:pPr>
              <w:pStyle w:val="Sinespaciad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p>
          <w:p w:rsidR="00E04A02" w:rsidRPr="000D28A2" w:rsidRDefault="00E04A02" w:rsidP="00E04A02">
            <w:pPr>
              <w:pStyle w:val="Sinespaciad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Pr>
                <w:rFonts w:ascii="ITC Avant Garde" w:hAnsi="ITC Avant Garde"/>
                <w:sz w:val="20"/>
              </w:rPr>
              <w:t>20 de mayo de 2020</w:t>
            </w:r>
          </w:p>
        </w:tc>
      </w:tr>
      <w:tr w:rsidR="00B31044" w:rsidRPr="000D28A2" w:rsidTr="00D14C1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922" w:type="dxa"/>
            <w:shd w:val="clear" w:color="auto" w:fill="A8D08D" w:themeFill="accent6" w:themeFillTint="99"/>
          </w:tcPr>
          <w:p w:rsidR="00B31044" w:rsidRPr="000D28A2" w:rsidRDefault="00B31044" w:rsidP="00E04A02">
            <w:pPr>
              <w:pStyle w:val="Sinespaciado"/>
              <w:rPr>
                <w:rFonts w:ascii="ITC Avant Garde" w:hAnsi="ITC Avant Garde"/>
                <w:color w:val="385623" w:themeColor="accent6" w:themeShade="80"/>
                <w:sz w:val="20"/>
              </w:rPr>
            </w:pPr>
          </w:p>
          <w:p w:rsidR="00B31044" w:rsidRPr="000D28A2" w:rsidRDefault="00B31044" w:rsidP="00E04A02">
            <w:pPr>
              <w:pStyle w:val="Sinespaciado"/>
              <w:rPr>
                <w:rFonts w:ascii="ITC Avant Garde" w:hAnsi="ITC Avant Garde"/>
                <w:color w:val="385623" w:themeColor="accent6" w:themeShade="80"/>
                <w:sz w:val="20"/>
              </w:rPr>
            </w:pPr>
            <w:r w:rsidRPr="000D28A2">
              <w:rPr>
                <w:rFonts w:ascii="ITC Avant Garde" w:hAnsi="ITC Avant Garde"/>
                <w:color w:val="385623" w:themeColor="accent6" w:themeShade="80"/>
                <w:sz w:val="20"/>
              </w:rPr>
              <w:t>PERI</w:t>
            </w:r>
            <w:r>
              <w:rPr>
                <w:rFonts w:ascii="ITC Avant Garde" w:hAnsi="ITC Avant Garde"/>
                <w:color w:val="385623" w:themeColor="accent6" w:themeShade="80"/>
                <w:sz w:val="20"/>
              </w:rPr>
              <w:t>O</w:t>
            </w:r>
            <w:r w:rsidRPr="000D28A2">
              <w:rPr>
                <w:rFonts w:ascii="ITC Avant Garde" w:hAnsi="ITC Avant Garde"/>
                <w:color w:val="385623" w:themeColor="accent6" w:themeShade="80"/>
                <w:sz w:val="20"/>
              </w:rPr>
              <w:t>DO DE RESERVA</w:t>
            </w:r>
          </w:p>
        </w:tc>
        <w:tc>
          <w:tcPr>
            <w:tcW w:w="3328" w:type="dxa"/>
          </w:tcPr>
          <w:p w:rsidR="00B31044" w:rsidRPr="000D28A2" w:rsidRDefault="00B31044" w:rsidP="00E04A02">
            <w:pPr>
              <w:pStyle w:val="Sinespaciad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p>
          <w:p w:rsidR="00B31044" w:rsidRPr="000D28A2" w:rsidRDefault="00B31044" w:rsidP="00E04A02">
            <w:pPr>
              <w:pStyle w:val="Sinespaciad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sidRPr="000D28A2">
              <w:rPr>
                <w:rFonts w:ascii="ITC Avant Garde" w:hAnsi="ITC Avant Garde"/>
                <w:sz w:val="20"/>
              </w:rPr>
              <w:t>1 año</w:t>
            </w:r>
          </w:p>
        </w:tc>
        <w:tc>
          <w:tcPr>
            <w:tcW w:w="3570" w:type="dxa"/>
          </w:tcPr>
          <w:p w:rsidR="00B31044" w:rsidRPr="000D28A2" w:rsidRDefault="00B31044" w:rsidP="00E04A02">
            <w:pPr>
              <w:pStyle w:val="Sinespaciad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sidRPr="000D28A2">
              <w:rPr>
                <w:rFonts w:ascii="ITC Avant Garde" w:hAnsi="ITC Avant Garde"/>
                <w:sz w:val="20"/>
              </w:rPr>
              <w:t>5 años</w:t>
            </w:r>
          </w:p>
        </w:tc>
        <w:tc>
          <w:tcPr>
            <w:tcW w:w="3570" w:type="dxa"/>
          </w:tcPr>
          <w:p w:rsidR="00B31044" w:rsidRPr="000D28A2" w:rsidRDefault="00B31044" w:rsidP="00E04A02">
            <w:pPr>
              <w:pStyle w:val="Sinespaciad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sidRPr="000D28A2">
              <w:rPr>
                <w:rFonts w:ascii="ITC Avant Garde" w:hAnsi="ITC Avant Garde"/>
                <w:sz w:val="20"/>
              </w:rPr>
              <w:t>5 años</w:t>
            </w:r>
          </w:p>
        </w:tc>
      </w:tr>
      <w:tr w:rsidR="00B31044" w:rsidRPr="000D28A2" w:rsidTr="00BD0887">
        <w:trPr>
          <w:trHeight w:val="420"/>
        </w:trPr>
        <w:tc>
          <w:tcPr>
            <w:cnfStyle w:val="001000000000" w:firstRow="0" w:lastRow="0" w:firstColumn="1" w:lastColumn="0" w:oddVBand="0" w:evenVBand="0" w:oddHBand="0" w:evenHBand="0" w:firstRowFirstColumn="0" w:firstRowLastColumn="0" w:lastRowFirstColumn="0" w:lastRowLastColumn="0"/>
            <w:tcW w:w="2922" w:type="dxa"/>
            <w:shd w:val="clear" w:color="auto" w:fill="A8D08D" w:themeFill="accent6" w:themeFillTint="99"/>
          </w:tcPr>
          <w:p w:rsidR="00B31044" w:rsidRPr="000D28A2" w:rsidRDefault="00B31044" w:rsidP="00E04A02">
            <w:pPr>
              <w:pStyle w:val="Sinespaciado"/>
              <w:rPr>
                <w:rFonts w:ascii="ITC Avant Garde" w:hAnsi="ITC Avant Garde"/>
                <w:color w:val="385623" w:themeColor="accent6" w:themeShade="80"/>
                <w:sz w:val="20"/>
              </w:rPr>
            </w:pPr>
          </w:p>
          <w:p w:rsidR="00B31044" w:rsidRPr="000D28A2" w:rsidRDefault="00B31044" w:rsidP="00E04A02">
            <w:pPr>
              <w:pStyle w:val="Sinespaciado"/>
              <w:rPr>
                <w:rFonts w:ascii="ITC Avant Garde" w:hAnsi="ITC Avant Garde"/>
                <w:color w:val="385623" w:themeColor="accent6" w:themeShade="80"/>
                <w:sz w:val="20"/>
              </w:rPr>
            </w:pPr>
            <w:r w:rsidRPr="000D28A2">
              <w:rPr>
                <w:rFonts w:ascii="ITC Avant Garde" w:hAnsi="ITC Avant Garde"/>
                <w:color w:val="385623" w:themeColor="accent6" w:themeShade="80"/>
                <w:sz w:val="20"/>
              </w:rPr>
              <w:t>FUNDAMENTO LEGAL</w:t>
            </w:r>
          </w:p>
        </w:tc>
        <w:tc>
          <w:tcPr>
            <w:tcW w:w="3328" w:type="dxa"/>
          </w:tcPr>
          <w:p w:rsidR="00B31044" w:rsidRPr="000D28A2" w:rsidRDefault="00B31044" w:rsidP="00E04A02">
            <w:pPr>
              <w:pStyle w:val="Sinespaciad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p>
          <w:p w:rsidR="00B31044" w:rsidRPr="000D28A2" w:rsidRDefault="00B31044" w:rsidP="00E04A02">
            <w:pPr>
              <w:pStyle w:val="Sinespaciad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sidRPr="000D28A2">
              <w:rPr>
                <w:rFonts w:ascii="ITC Avant Garde" w:hAnsi="ITC Avant Garde"/>
                <w:sz w:val="20"/>
              </w:rPr>
              <w:t>Artículo 14, fracción IV, de la LFTAIPG</w:t>
            </w:r>
          </w:p>
        </w:tc>
        <w:tc>
          <w:tcPr>
            <w:tcW w:w="3570" w:type="dxa"/>
          </w:tcPr>
          <w:p w:rsidR="00B31044" w:rsidRPr="00B31044" w:rsidRDefault="00B31044" w:rsidP="00B31044">
            <w:pPr>
              <w:cnfStyle w:val="000000000000" w:firstRow="0" w:lastRow="0" w:firstColumn="0" w:lastColumn="0" w:oddVBand="0" w:evenVBand="0" w:oddHBand="0" w:evenHBand="0" w:firstRowFirstColumn="0" w:firstRowLastColumn="0" w:lastRowFirstColumn="0" w:lastRowLastColumn="0"/>
            </w:pPr>
            <w:r w:rsidRPr="000D28A2">
              <w:rPr>
                <w:rFonts w:ascii="ITC Avant Garde" w:hAnsi="ITC Avant Garde"/>
                <w:sz w:val="20"/>
              </w:rPr>
              <w:t xml:space="preserve">Artículo 113, fracción XI de la </w:t>
            </w:r>
            <w:proofErr w:type="spellStart"/>
            <w:r w:rsidRPr="000D28A2">
              <w:rPr>
                <w:rFonts w:ascii="ITC Avant Garde" w:hAnsi="ITC Avant Garde"/>
                <w:sz w:val="20"/>
              </w:rPr>
              <w:t>LGTAIP</w:t>
            </w:r>
            <w:proofErr w:type="spellEnd"/>
          </w:p>
        </w:tc>
        <w:tc>
          <w:tcPr>
            <w:tcW w:w="3570" w:type="dxa"/>
          </w:tcPr>
          <w:p w:rsidR="00B31044" w:rsidRPr="000D28A2" w:rsidRDefault="00B31044" w:rsidP="00E04A02">
            <w:pPr>
              <w:pStyle w:val="Sinespaciad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sidRPr="000D28A2">
              <w:rPr>
                <w:rFonts w:ascii="ITC Avant Garde" w:hAnsi="ITC Avant Garde"/>
                <w:sz w:val="20"/>
              </w:rPr>
              <w:t>Artículo 113, fracción XI de la LGTAIP</w:t>
            </w:r>
          </w:p>
        </w:tc>
      </w:tr>
      <w:tr w:rsidR="00B31044" w:rsidRPr="000D28A2" w:rsidTr="008F0F5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922" w:type="dxa"/>
            <w:shd w:val="clear" w:color="auto" w:fill="A8D08D" w:themeFill="accent6" w:themeFillTint="99"/>
          </w:tcPr>
          <w:p w:rsidR="00B31044" w:rsidRPr="000D28A2" w:rsidRDefault="00B31044" w:rsidP="00E04A02">
            <w:pPr>
              <w:pStyle w:val="Sinespaciado"/>
              <w:rPr>
                <w:rFonts w:ascii="ITC Avant Garde" w:hAnsi="ITC Avant Garde"/>
                <w:color w:val="385623" w:themeColor="accent6" w:themeShade="80"/>
                <w:sz w:val="20"/>
              </w:rPr>
            </w:pPr>
          </w:p>
          <w:p w:rsidR="00B31044" w:rsidRPr="000D28A2" w:rsidRDefault="00B31044" w:rsidP="00E04A02">
            <w:pPr>
              <w:pStyle w:val="Sinespaciado"/>
              <w:rPr>
                <w:rFonts w:ascii="ITC Avant Garde" w:hAnsi="ITC Avant Garde"/>
                <w:color w:val="385623" w:themeColor="accent6" w:themeShade="80"/>
                <w:sz w:val="20"/>
              </w:rPr>
            </w:pPr>
            <w:r w:rsidRPr="000D28A2">
              <w:rPr>
                <w:rFonts w:ascii="ITC Avant Garde" w:hAnsi="ITC Avant Garde"/>
                <w:color w:val="385623" w:themeColor="accent6" w:themeShade="80"/>
                <w:sz w:val="20"/>
              </w:rPr>
              <w:t>NOMBRE DEL DOCUMENTO</w:t>
            </w:r>
          </w:p>
        </w:tc>
        <w:tc>
          <w:tcPr>
            <w:tcW w:w="3328" w:type="dxa"/>
          </w:tcPr>
          <w:p w:rsidR="00B31044" w:rsidRPr="000D28A2" w:rsidRDefault="00B31044" w:rsidP="00E04A02">
            <w:pPr>
              <w:pStyle w:val="Sinespaciad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p>
          <w:p w:rsidR="00B31044" w:rsidRPr="000D28A2" w:rsidRDefault="00B31044" w:rsidP="00E04A02">
            <w:pPr>
              <w:pStyle w:val="Sinespaciad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sidRPr="000D28A2">
              <w:rPr>
                <w:rFonts w:ascii="ITC Avant Garde" w:hAnsi="ITC Avant Garde"/>
                <w:sz w:val="20"/>
              </w:rPr>
              <w:t>Incidente de nulidad de actuaciones</w:t>
            </w:r>
          </w:p>
        </w:tc>
        <w:tc>
          <w:tcPr>
            <w:tcW w:w="3570" w:type="dxa"/>
          </w:tcPr>
          <w:p w:rsidR="00B31044" w:rsidRPr="000D28A2" w:rsidRDefault="00B31044" w:rsidP="00E04A02">
            <w:pPr>
              <w:pStyle w:val="Sinespaciad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sidRPr="00B31044">
              <w:rPr>
                <w:rFonts w:ascii="ITC Avant Garde" w:hAnsi="ITC Avant Garde"/>
                <w:sz w:val="20"/>
              </w:rPr>
              <w:t>Procedimiento Seguido en Forma de Juicio</w:t>
            </w:r>
          </w:p>
        </w:tc>
        <w:tc>
          <w:tcPr>
            <w:tcW w:w="3570" w:type="dxa"/>
          </w:tcPr>
          <w:p w:rsidR="00B31044" w:rsidRPr="000D28A2" w:rsidRDefault="00B31044" w:rsidP="00E04A02">
            <w:pPr>
              <w:pStyle w:val="Sinespaciad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sidRPr="000D28A2">
              <w:rPr>
                <w:rFonts w:ascii="ITC Avant Garde" w:hAnsi="ITC Avant Garde"/>
                <w:sz w:val="20"/>
              </w:rPr>
              <w:t>Procedimiento Seguido en Forma de Juicio</w:t>
            </w:r>
          </w:p>
        </w:tc>
      </w:tr>
      <w:tr w:rsidR="00B31044" w:rsidRPr="000D28A2" w:rsidTr="004566A9">
        <w:trPr>
          <w:trHeight w:val="420"/>
        </w:trPr>
        <w:tc>
          <w:tcPr>
            <w:cnfStyle w:val="001000000000" w:firstRow="0" w:lastRow="0" w:firstColumn="1" w:lastColumn="0" w:oddVBand="0" w:evenVBand="0" w:oddHBand="0" w:evenHBand="0" w:firstRowFirstColumn="0" w:firstRowLastColumn="0" w:lastRowFirstColumn="0" w:lastRowLastColumn="0"/>
            <w:tcW w:w="2922" w:type="dxa"/>
            <w:shd w:val="clear" w:color="auto" w:fill="A8D08D" w:themeFill="accent6" w:themeFillTint="99"/>
          </w:tcPr>
          <w:p w:rsidR="00B31044" w:rsidRPr="000D28A2" w:rsidRDefault="00B31044" w:rsidP="00E04A02">
            <w:pPr>
              <w:pStyle w:val="Sinespaciado"/>
              <w:rPr>
                <w:rFonts w:ascii="ITC Avant Garde" w:hAnsi="ITC Avant Garde"/>
                <w:color w:val="385623" w:themeColor="accent6" w:themeShade="80"/>
                <w:sz w:val="20"/>
              </w:rPr>
            </w:pPr>
          </w:p>
          <w:p w:rsidR="00B31044" w:rsidRPr="000D28A2" w:rsidRDefault="00B31044" w:rsidP="00E04A02">
            <w:pPr>
              <w:pStyle w:val="Sinespaciado"/>
              <w:rPr>
                <w:rFonts w:ascii="ITC Avant Garde" w:hAnsi="ITC Avant Garde"/>
                <w:color w:val="385623" w:themeColor="accent6" w:themeShade="80"/>
                <w:sz w:val="20"/>
              </w:rPr>
            </w:pPr>
            <w:r w:rsidRPr="000D28A2">
              <w:rPr>
                <w:rFonts w:ascii="ITC Avant Garde" w:hAnsi="ITC Avant Garde"/>
                <w:color w:val="385623" w:themeColor="accent6" w:themeShade="80"/>
                <w:sz w:val="20"/>
              </w:rPr>
              <w:t>RESERVA</w:t>
            </w:r>
          </w:p>
        </w:tc>
        <w:tc>
          <w:tcPr>
            <w:tcW w:w="3328" w:type="dxa"/>
          </w:tcPr>
          <w:p w:rsidR="00B31044" w:rsidRPr="000D28A2" w:rsidRDefault="00B31044" w:rsidP="00E04A02">
            <w:pPr>
              <w:pStyle w:val="Sinespaciad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sidRPr="00B31044">
              <w:rPr>
                <w:rFonts w:ascii="ITC Avant Garde" w:hAnsi="ITC Avant Garde"/>
                <w:sz w:val="20"/>
              </w:rPr>
              <w:t>Completa</w:t>
            </w:r>
          </w:p>
        </w:tc>
        <w:tc>
          <w:tcPr>
            <w:tcW w:w="3570" w:type="dxa"/>
          </w:tcPr>
          <w:p w:rsidR="00B31044" w:rsidRPr="000D28A2" w:rsidRDefault="00B31044" w:rsidP="00B31044">
            <w:pPr>
              <w:pStyle w:val="Sinespaciad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sidRPr="000D28A2">
              <w:rPr>
                <w:rFonts w:ascii="ITC Avant Garde" w:hAnsi="ITC Avant Garde"/>
                <w:sz w:val="20"/>
              </w:rPr>
              <w:t>Completa</w:t>
            </w:r>
          </w:p>
        </w:tc>
        <w:tc>
          <w:tcPr>
            <w:tcW w:w="3570" w:type="dxa"/>
          </w:tcPr>
          <w:p w:rsidR="00B31044" w:rsidRPr="000D28A2" w:rsidRDefault="00B31044" w:rsidP="00B31044">
            <w:pPr>
              <w:pStyle w:val="Sinespaciad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sidRPr="000D28A2">
              <w:rPr>
                <w:rFonts w:ascii="ITC Avant Garde" w:hAnsi="ITC Avant Garde"/>
                <w:sz w:val="20"/>
              </w:rPr>
              <w:t>Completa</w:t>
            </w:r>
          </w:p>
        </w:tc>
      </w:tr>
      <w:tr w:rsidR="00B31044" w:rsidRPr="000D28A2" w:rsidTr="009F43F1">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922" w:type="dxa"/>
            <w:shd w:val="clear" w:color="auto" w:fill="A8D08D" w:themeFill="accent6" w:themeFillTint="99"/>
          </w:tcPr>
          <w:p w:rsidR="00B31044" w:rsidRPr="000D28A2" w:rsidRDefault="00B31044" w:rsidP="00E04A02">
            <w:pPr>
              <w:pStyle w:val="Sinespaciado"/>
              <w:rPr>
                <w:rFonts w:ascii="ITC Avant Garde" w:hAnsi="ITC Avant Garde"/>
                <w:color w:val="385623" w:themeColor="accent6" w:themeShade="80"/>
                <w:sz w:val="20"/>
              </w:rPr>
            </w:pPr>
          </w:p>
          <w:p w:rsidR="00B31044" w:rsidRPr="000D28A2" w:rsidRDefault="00B31044" w:rsidP="00E04A02">
            <w:pPr>
              <w:pStyle w:val="Sinespaciado"/>
              <w:rPr>
                <w:rFonts w:ascii="ITC Avant Garde" w:hAnsi="ITC Avant Garde"/>
                <w:color w:val="385623" w:themeColor="accent6" w:themeShade="80"/>
                <w:sz w:val="20"/>
              </w:rPr>
            </w:pPr>
            <w:r w:rsidRPr="000D28A2">
              <w:rPr>
                <w:rFonts w:ascii="ITC Avant Garde" w:hAnsi="ITC Avant Garde"/>
                <w:color w:val="385623" w:themeColor="accent6" w:themeShade="80"/>
                <w:sz w:val="20"/>
              </w:rPr>
              <w:t>MOTIVACIÓN</w:t>
            </w:r>
          </w:p>
        </w:tc>
        <w:tc>
          <w:tcPr>
            <w:tcW w:w="3328" w:type="dxa"/>
          </w:tcPr>
          <w:p w:rsidR="00B31044" w:rsidRDefault="00B31044" w:rsidP="00E04A02">
            <w:pPr>
              <w:pStyle w:val="Sinespaciad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sidRPr="000D28A2">
              <w:rPr>
                <w:rFonts w:ascii="ITC Avant Garde" w:hAnsi="ITC Avant Garde"/>
                <w:sz w:val="20"/>
              </w:rPr>
              <w:t>Procedimientos administrativos seguidos en forma de juicio  que no ha causado estado</w:t>
            </w:r>
          </w:p>
        </w:tc>
        <w:tc>
          <w:tcPr>
            <w:tcW w:w="3570" w:type="dxa"/>
          </w:tcPr>
          <w:p w:rsidR="00B31044" w:rsidRPr="000D28A2" w:rsidRDefault="00B31044" w:rsidP="00B31044">
            <w:pPr>
              <w:pStyle w:val="Sinespaciado"/>
              <w:tabs>
                <w:tab w:val="left" w:pos="1185"/>
              </w:tabs>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sidRPr="000D28A2">
              <w:rPr>
                <w:rFonts w:ascii="ITC Avant Garde" w:hAnsi="ITC Avant Garde"/>
                <w:sz w:val="20"/>
              </w:rPr>
              <w:t>Procedimientos administrativos seguidos en forma de juicio  que no ha causado estado</w:t>
            </w:r>
          </w:p>
        </w:tc>
        <w:tc>
          <w:tcPr>
            <w:tcW w:w="3570" w:type="dxa"/>
          </w:tcPr>
          <w:p w:rsidR="00B31044" w:rsidRPr="000D28A2" w:rsidRDefault="00B31044" w:rsidP="00B31044">
            <w:pPr>
              <w:pStyle w:val="Sinespaciado"/>
              <w:tabs>
                <w:tab w:val="left" w:pos="1185"/>
              </w:tabs>
              <w:cnfStyle w:val="000000100000" w:firstRow="0" w:lastRow="0" w:firstColumn="0" w:lastColumn="0" w:oddVBand="0" w:evenVBand="0" w:oddHBand="1" w:evenHBand="0" w:firstRowFirstColumn="0" w:firstRowLastColumn="0" w:lastRowFirstColumn="0" w:lastRowLastColumn="0"/>
              <w:rPr>
                <w:rFonts w:ascii="ITC Avant Garde" w:hAnsi="ITC Avant Garde"/>
                <w:sz w:val="20"/>
              </w:rPr>
            </w:pPr>
            <w:r w:rsidRPr="000D28A2">
              <w:rPr>
                <w:rFonts w:ascii="ITC Avant Garde" w:hAnsi="ITC Avant Garde"/>
                <w:sz w:val="20"/>
              </w:rPr>
              <w:t>Procedimientos administrativos seguidos en forma de juicio  que no ha causado estado</w:t>
            </w:r>
          </w:p>
        </w:tc>
      </w:tr>
      <w:tr w:rsidR="00B31044" w:rsidRPr="000D28A2" w:rsidTr="00927C36">
        <w:trPr>
          <w:trHeight w:val="420"/>
        </w:trPr>
        <w:tc>
          <w:tcPr>
            <w:cnfStyle w:val="001000000000" w:firstRow="0" w:lastRow="0" w:firstColumn="1" w:lastColumn="0" w:oddVBand="0" w:evenVBand="0" w:oddHBand="0" w:evenHBand="0" w:firstRowFirstColumn="0" w:firstRowLastColumn="0" w:lastRowFirstColumn="0" w:lastRowLastColumn="0"/>
            <w:tcW w:w="2922" w:type="dxa"/>
            <w:shd w:val="clear" w:color="auto" w:fill="A8D08D" w:themeFill="accent6" w:themeFillTint="99"/>
          </w:tcPr>
          <w:p w:rsidR="00B31044" w:rsidRPr="000D28A2" w:rsidRDefault="00B31044" w:rsidP="00E04A02">
            <w:pPr>
              <w:pStyle w:val="Sinespaciado"/>
              <w:rPr>
                <w:rFonts w:ascii="ITC Avant Garde" w:hAnsi="ITC Avant Garde"/>
                <w:color w:val="385623" w:themeColor="accent6" w:themeShade="80"/>
                <w:sz w:val="20"/>
              </w:rPr>
            </w:pPr>
            <w:r w:rsidRPr="000D28A2">
              <w:rPr>
                <w:rFonts w:ascii="ITC Avant Garde" w:hAnsi="ITC Avant Garde"/>
                <w:color w:val="385623" w:themeColor="accent6" w:themeShade="80"/>
                <w:sz w:val="20"/>
              </w:rPr>
              <w:t>AMPLIACIÓN DEL PERIODO DE CLASIFICACIÓN</w:t>
            </w:r>
          </w:p>
        </w:tc>
        <w:tc>
          <w:tcPr>
            <w:tcW w:w="3328" w:type="dxa"/>
          </w:tcPr>
          <w:p w:rsidR="00B31044" w:rsidRDefault="00B31044" w:rsidP="00E04A02">
            <w:pPr>
              <w:pStyle w:val="Sinespaciad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sidRPr="000D28A2">
              <w:rPr>
                <w:rFonts w:ascii="ITC Avant Garde" w:hAnsi="ITC Avant Garde"/>
                <w:sz w:val="20"/>
              </w:rPr>
              <w:t>No Aplica</w:t>
            </w:r>
          </w:p>
        </w:tc>
        <w:tc>
          <w:tcPr>
            <w:tcW w:w="3570" w:type="dxa"/>
          </w:tcPr>
          <w:p w:rsidR="00B31044" w:rsidRPr="000D28A2" w:rsidRDefault="00B31044" w:rsidP="00E04A02">
            <w:pPr>
              <w:pStyle w:val="Sinespaciad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sidRPr="000D28A2">
              <w:rPr>
                <w:rFonts w:ascii="ITC Avant Garde" w:hAnsi="ITC Avant Garde"/>
                <w:sz w:val="20"/>
              </w:rPr>
              <w:t>No Aplica</w:t>
            </w:r>
          </w:p>
        </w:tc>
        <w:tc>
          <w:tcPr>
            <w:tcW w:w="3570" w:type="dxa"/>
          </w:tcPr>
          <w:p w:rsidR="00B31044" w:rsidRPr="000D28A2" w:rsidRDefault="00B31044" w:rsidP="00E04A02">
            <w:pPr>
              <w:pStyle w:val="Sinespaciad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rPr>
            </w:pPr>
            <w:r w:rsidRPr="000D28A2">
              <w:rPr>
                <w:rFonts w:ascii="ITC Avant Garde" w:hAnsi="ITC Avant Garde"/>
                <w:sz w:val="20"/>
              </w:rPr>
              <w:t>No Aplica</w:t>
            </w:r>
          </w:p>
        </w:tc>
      </w:tr>
    </w:tbl>
    <w:p w:rsidR="00F32E42" w:rsidRDefault="00F32E42" w:rsidP="00F32E42">
      <w:pPr>
        <w:pStyle w:val="Sinespaciado"/>
        <w:jc w:val="both"/>
        <w:rPr>
          <w:rFonts w:ascii="ITC Avant Garde" w:hAnsi="ITC Avant Garde"/>
        </w:rPr>
        <w:sectPr w:rsidR="00F32E42" w:rsidSect="00074F0B">
          <w:pgSz w:w="15840" w:h="12240" w:orient="landscape" w:code="1"/>
          <w:pgMar w:top="1304" w:right="2268" w:bottom="1304" w:left="567" w:header="1134" w:footer="284" w:gutter="0"/>
          <w:cols w:space="708"/>
          <w:docGrid w:linePitch="360"/>
        </w:sectPr>
      </w:pPr>
      <w:bookmarkStart w:id="0" w:name="_GoBack"/>
      <w:bookmarkEnd w:id="0"/>
    </w:p>
    <w:p w:rsidR="000D28A2" w:rsidRDefault="000D28A2" w:rsidP="00F32E42">
      <w:pPr>
        <w:pStyle w:val="Sinespaciado"/>
        <w:spacing w:after="120"/>
        <w:jc w:val="both"/>
        <w:rPr>
          <w:rFonts w:ascii="ITC Avant Garde" w:hAnsi="ITC Avant Garde"/>
        </w:rPr>
      </w:pPr>
    </w:p>
    <w:p w:rsidR="00E04A02" w:rsidRDefault="00E04A02" w:rsidP="00F32E42">
      <w:pPr>
        <w:pStyle w:val="Sinespaciado"/>
        <w:spacing w:after="120"/>
        <w:jc w:val="both"/>
        <w:rPr>
          <w:rFonts w:ascii="ITC Avant Garde" w:hAnsi="ITC Avant Garde"/>
        </w:rPr>
      </w:pPr>
      <w:r>
        <w:rPr>
          <w:rFonts w:ascii="ITC Avant Garde" w:hAnsi="ITC Avant Garde"/>
        </w:rPr>
        <w:t xml:space="preserve">No se omite comentar, que en lo tocante a la reserva del </w:t>
      </w:r>
      <w:r w:rsidRPr="00E04A02">
        <w:rPr>
          <w:rFonts w:ascii="ITC Avant Garde" w:hAnsi="ITC Avant Garde"/>
        </w:rPr>
        <w:t xml:space="preserve">expediente </w:t>
      </w:r>
      <w:r w:rsidRPr="00E04A02">
        <w:rPr>
          <w:rFonts w:ascii="ITC Avant Garde" w:hAnsi="ITC Avant Garde"/>
          <w:sz w:val="20"/>
        </w:rPr>
        <w:t>E-IFT/UC/DGIPM/PMR/0003/2013</w:t>
      </w:r>
      <w:r>
        <w:rPr>
          <w:rFonts w:ascii="ITC Avant Garde" w:hAnsi="ITC Avant Garde"/>
        </w:rPr>
        <w:t xml:space="preserve"> el Comité de Transparencia de este Instituto Federal de Telecomunicaciones, mediante sesión extraordinaria de fecha veinte de mayo de dos mil quince, resolvió:</w:t>
      </w:r>
    </w:p>
    <w:p w:rsidR="00180893" w:rsidRPr="00180893" w:rsidRDefault="00E04A02" w:rsidP="00180893">
      <w:pPr>
        <w:pStyle w:val="Sinespaciado"/>
        <w:spacing w:after="120"/>
        <w:ind w:left="567" w:right="567"/>
        <w:jc w:val="both"/>
        <w:rPr>
          <w:rFonts w:ascii="ITC Avant Garde" w:hAnsi="ITC Avant Garde"/>
          <w:i/>
          <w:sz w:val="20"/>
          <w:szCs w:val="20"/>
        </w:rPr>
      </w:pPr>
      <w:r w:rsidRPr="00180893">
        <w:rPr>
          <w:rFonts w:ascii="ITC Avant Garde" w:hAnsi="ITC Avant Garde"/>
          <w:i/>
          <w:sz w:val="20"/>
          <w:szCs w:val="20"/>
        </w:rPr>
        <w:t xml:space="preserve">“(…) el Órgano Colegiado confirma la reserva por un periodo de 5 (cinco) años; toda vez que, forma parte de un procedimiento seguido en forma de juicio en el que no se ha emitido una resolución definitiva que haya causado estado </w:t>
      </w:r>
      <w:r w:rsidR="00180893" w:rsidRPr="00180893">
        <w:rPr>
          <w:rFonts w:ascii="ITC Avant Garde" w:hAnsi="ITC Avant Garde"/>
          <w:i/>
          <w:sz w:val="20"/>
          <w:szCs w:val="20"/>
        </w:rPr>
        <w:t>(…)</w:t>
      </w:r>
    </w:p>
    <w:p w:rsidR="00180893" w:rsidRPr="00180893" w:rsidRDefault="00180893" w:rsidP="00180893">
      <w:pPr>
        <w:pStyle w:val="Sinespaciado"/>
        <w:spacing w:after="120"/>
        <w:ind w:left="567" w:right="567"/>
        <w:jc w:val="both"/>
        <w:rPr>
          <w:rFonts w:ascii="ITC Avant Garde" w:hAnsi="ITC Avant Garde"/>
          <w:i/>
          <w:sz w:val="20"/>
          <w:szCs w:val="20"/>
        </w:rPr>
      </w:pPr>
      <w:r w:rsidRPr="00180893">
        <w:rPr>
          <w:rFonts w:ascii="ITC Avant Garde" w:hAnsi="ITC Avant Garde"/>
          <w:i/>
          <w:sz w:val="20"/>
          <w:szCs w:val="20"/>
        </w:rPr>
        <w:t>(…) si bien es cierto en un momento procesal distinto al actual, el otrora Comité de Información otorgó un plazo de clasificación por un periodo de 10 (diez) años, también lo es, que la Ley General de Transparencia y Acceso a la Información Pública vigente, refiere en su artículo 101 que el plazo máximo de clasificación es de 5 (cinco) años para la reserva; en este sentido, este Comité de Transparencia otorga el plazo de reserva máximo de 5 (cinco) años; haciendo la aclaración que, de ser necesario, podrá ampliarse por uno igual, si subsisten las causas que motivan la excepción a su publicidad (…).”</w:t>
      </w:r>
    </w:p>
    <w:p w:rsidR="00F32E42" w:rsidRDefault="00DC5A55" w:rsidP="00F32E42">
      <w:pPr>
        <w:pStyle w:val="Sinespaciado"/>
        <w:spacing w:after="120"/>
        <w:jc w:val="both"/>
        <w:rPr>
          <w:rFonts w:ascii="ITC Avant Garde" w:hAnsi="ITC Avant Garde"/>
        </w:rPr>
      </w:pPr>
      <w:r>
        <w:rPr>
          <w:rFonts w:ascii="ITC Avant Garde" w:hAnsi="ITC Avant Garde"/>
        </w:rPr>
        <w:t xml:space="preserve">Asimismo, se hace de su conocimiento </w:t>
      </w:r>
      <w:r w:rsidR="00F32E42">
        <w:rPr>
          <w:rFonts w:ascii="ITC Avant Garde" w:hAnsi="ITC Avant Garde"/>
        </w:rPr>
        <w:t xml:space="preserve">que en esta Unidad de Competencia Económica no se desclasificaron expedientes en el periodo comprendido entre </w:t>
      </w:r>
      <w:r w:rsidR="000D28A2">
        <w:rPr>
          <w:rFonts w:ascii="ITC Avant Garde" w:hAnsi="ITC Avant Garde"/>
        </w:rPr>
        <w:t xml:space="preserve">enero </w:t>
      </w:r>
      <w:r w:rsidR="00F32E42">
        <w:rPr>
          <w:rFonts w:ascii="ITC Avant Garde" w:hAnsi="ITC Avant Garde"/>
        </w:rPr>
        <w:t xml:space="preserve">y </w:t>
      </w:r>
      <w:r w:rsidR="000D28A2">
        <w:rPr>
          <w:rFonts w:ascii="ITC Avant Garde" w:hAnsi="ITC Avant Garde"/>
        </w:rPr>
        <w:t>julio</w:t>
      </w:r>
      <w:r w:rsidR="00F32E42">
        <w:rPr>
          <w:rFonts w:ascii="ITC Avant Garde" w:hAnsi="ITC Avant Garde"/>
        </w:rPr>
        <w:t xml:space="preserve"> de dos mil </w:t>
      </w:r>
      <w:r w:rsidR="000D28A2">
        <w:rPr>
          <w:rFonts w:ascii="ITC Avant Garde" w:hAnsi="ITC Avant Garde"/>
        </w:rPr>
        <w:t>quince</w:t>
      </w:r>
      <w:r w:rsidR="00F32E42">
        <w:rPr>
          <w:rFonts w:ascii="ITC Avant Garde" w:hAnsi="ITC Avant Garde"/>
        </w:rPr>
        <w:t xml:space="preserve">. </w:t>
      </w:r>
    </w:p>
    <w:p w:rsidR="00F32E42" w:rsidRPr="000533F7" w:rsidRDefault="00F32E42" w:rsidP="00F32E42">
      <w:pPr>
        <w:pStyle w:val="Sinespaciado"/>
        <w:spacing w:after="120"/>
        <w:jc w:val="both"/>
        <w:rPr>
          <w:rFonts w:ascii="ITC Avant Garde" w:hAnsi="ITC Avant Garde"/>
        </w:rPr>
      </w:pPr>
      <w:r w:rsidRPr="000533F7">
        <w:rPr>
          <w:rFonts w:ascii="ITC Avant Garde" w:hAnsi="ITC Avant Garde"/>
        </w:rPr>
        <w:t xml:space="preserve">El presente oficio se emite con fundamento en los artículos citados a lo largo del mismo, así como en los </w:t>
      </w:r>
      <w:r>
        <w:rPr>
          <w:rFonts w:ascii="ITC Avant Garde" w:hAnsi="ITC Avant Garde"/>
        </w:rPr>
        <w:t>artículos 4, fracción V, inciso vi</w:t>
      </w:r>
      <w:r w:rsidRPr="000533F7">
        <w:rPr>
          <w:rFonts w:ascii="ITC Avant Garde" w:hAnsi="ITC Avant Garde"/>
        </w:rPr>
        <w:t xml:space="preserve">); </w:t>
      </w:r>
      <w:r>
        <w:rPr>
          <w:rFonts w:ascii="ITC Avant Garde" w:hAnsi="ITC Avant Garde"/>
        </w:rPr>
        <w:t>19, 20 fracciones V,VI, VIII, XV, y XXIII</w:t>
      </w:r>
      <w:r w:rsidRPr="000533F7">
        <w:rPr>
          <w:rFonts w:ascii="ITC Avant Garde" w:hAnsi="ITC Avant Garde"/>
        </w:rPr>
        <w:t>,</w:t>
      </w:r>
      <w:r>
        <w:rPr>
          <w:rFonts w:ascii="ITC Avant Garde" w:hAnsi="ITC Avant Garde"/>
        </w:rPr>
        <w:t xml:space="preserve"> 46, párrafo primero, así como el artículo 47 fracción VII</w:t>
      </w:r>
      <w:r w:rsidRPr="000533F7">
        <w:rPr>
          <w:rFonts w:ascii="ITC Avant Garde" w:hAnsi="ITC Avant Garde"/>
        </w:rPr>
        <w:t xml:space="preserve"> del Estatuto Orgánico del Instituto Federal de Telecomunicaciones</w:t>
      </w:r>
      <w:r>
        <w:rPr>
          <w:rFonts w:ascii="ITC Avant Garde" w:hAnsi="ITC Avant Garde"/>
        </w:rPr>
        <w:t>.</w:t>
      </w:r>
    </w:p>
    <w:p w:rsidR="00F32E42" w:rsidRPr="00E03003" w:rsidRDefault="00F32E42" w:rsidP="00B31044">
      <w:pPr>
        <w:spacing w:after="120" w:line="240" w:lineRule="auto"/>
        <w:jc w:val="both"/>
        <w:rPr>
          <w:rFonts w:ascii="ITC Avant Garde" w:hAnsi="ITC Avant Garde"/>
          <w:sz w:val="18"/>
        </w:rPr>
      </w:pPr>
      <w:r w:rsidRPr="000533F7">
        <w:rPr>
          <w:rFonts w:ascii="ITC Avant Garde" w:hAnsi="ITC Avant Garde"/>
        </w:rPr>
        <w:t>Sin otro particular, le envío un cordial saludo.</w:t>
      </w:r>
      <w:r w:rsidR="00B31044" w:rsidRPr="00E03003">
        <w:rPr>
          <w:rFonts w:ascii="ITC Avant Garde" w:hAnsi="ITC Avant Garde"/>
          <w:sz w:val="18"/>
        </w:rPr>
        <w:t xml:space="preserve"> </w:t>
      </w:r>
    </w:p>
    <w:p w:rsidR="00F32E42" w:rsidRPr="000533F7" w:rsidRDefault="00F32E42" w:rsidP="00F32E42">
      <w:pPr>
        <w:spacing w:after="0" w:line="240" w:lineRule="auto"/>
        <w:jc w:val="center"/>
        <w:rPr>
          <w:rFonts w:ascii="ITC Avant Garde" w:hAnsi="ITC Avant Garde"/>
          <w:b/>
        </w:rPr>
      </w:pPr>
      <w:r w:rsidRPr="000533F7">
        <w:rPr>
          <w:rFonts w:ascii="ITC Avant Garde" w:hAnsi="ITC Avant Garde"/>
          <w:b/>
        </w:rPr>
        <w:t>GEORGINA K. SANTIAGO GATICA</w:t>
      </w:r>
    </w:p>
    <w:p w:rsidR="00F32E42" w:rsidRPr="006251A6" w:rsidRDefault="00F32E42" w:rsidP="00F32E42">
      <w:pPr>
        <w:spacing w:after="0" w:line="240" w:lineRule="auto"/>
        <w:jc w:val="center"/>
        <w:rPr>
          <w:rFonts w:ascii="ITC Avant Garde" w:hAnsi="ITC Avant Garde"/>
          <w:bCs/>
          <w:color w:val="000000"/>
        </w:rPr>
      </w:pPr>
      <w:r>
        <w:rPr>
          <w:rFonts w:ascii="ITC Avant Garde" w:hAnsi="ITC Avant Garde"/>
          <w:b/>
        </w:rPr>
        <w:t>TITULAR</w:t>
      </w:r>
      <w:r w:rsidRPr="000533F7">
        <w:rPr>
          <w:rFonts w:ascii="ITC Avant Garde" w:hAnsi="ITC Avant Garde"/>
          <w:b/>
        </w:rPr>
        <w:t xml:space="preserve"> DE LA</w:t>
      </w:r>
      <w:r>
        <w:rPr>
          <w:rFonts w:ascii="ITC Avant Garde" w:hAnsi="ITC Avant Garde"/>
          <w:b/>
        </w:rPr>
        <w:t xml:space="preserve"> UNIDAD DE COMPETENCIA ECONÓMICA</w:t>
      </w:r>
    </w:p>
    <w:p w:rsidR="00BB2A68" w:rsidRDefault="00BB2A68"/>
    <w:sectPr w:rsidR="00BB2A68" w:rsidSect="008B4D1A">
      <w:pgSz w:w="12240" w:h="15840" w:code="1"/>
      <w:pgMar w:top="2268" w:right="1304" w:bottom="567" w:left="1304" w:header="113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AA3" w:rsidRDefault="00056AA3" w:rsidP="00AB2DB4">
      <w:pPr>
        <w:spacing w:after="0" w:line="240" w:lineRule="auto"/>
      </w:pPr>
      <w:r>
        <w:separator/>
      </w:r>
    </w:p>
  </w:endnote>
  <w:endnote w:type="continuationSeparator" w:id="0">
    <w:p w:rsidR="00056AA3" w:rsidRDefault="00056AA3" w:rsidP="00AB2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9D4" w:rsidRDefault="000E19D4" w:rsidP="000E19D4">
    <w:pPr>
      <w:pStyle w:val="Piedepgina"/>
      <w:tabs>
        <w:tab w:val="clear" w:pos="4419"/>
        <w:tab w:val="clear" w:pos="8838"/>
        <w:tab w:val="left" w:pos="5520"/>
      </w:tabs>
    </w:pPr>
    <w:r>
      <w:tab/>
    </w:r>
  </w:p>
  <w:p w:rsidR="000E19D4" w:rsidRPr="000E19D4" w:rsidRDefault="000E19D4" w:rsidP="000E19D4">
    <w:pPr>
      <w:pStyle w:val="Piedepgina"/>
      <w:tabs>
        <w:tab w:val="clear" w:pos="4419"/>
        <w:tab w:val="clear" w:pos="8838"/>
        <w:tab w:val="left" w:pos="5520"/>
      </w:tabs>
      <w:jc w:val="center"/>
    </w:pPr>
    <w:r w:rsidRPr="00F751DD">
      <w:rPr>
        <w:sz w:val="16"/>
        <w:szCs w:val="16"/>
      </w:rPr>
      <w:t>Insurgentes sur 1143, Col. Noche Buena, C.P. 03720, Delegación Benito Juárez, México, D.F.</w:t>
    </w:r>
  </w:p>
  <w:p w:rsidR="000E19D4" w:rsidRDefault="000E19D4" w:rsidP="000E19D4">
    <w:pPr>
      <w:pStyle w:val="Piedepgina"/>
      <w:jc w:val="center"/>
      <w:rPr>
        <w:sz w:val="16"/>
        <w:szCs w:val="16"/>
      </w:rPr>
    </w:pPr>
    <w:r w:rsidRPr="00F751DD">
      <w:rPr>
        <w:sz w:val="16"/>
        <w:szCs w:val="16"/>
      </w:rPr>
      <w:t>Tel.</w:t>
    </w:r>
    <w:r>
      <w:rPr>
        <w:sz w:val="16"/>
        <w:szCs w:val="16"/>
      </w:rPr>
      <w:t xml:space="preserve"> (55) 5015 4000, </w:t>
    </w:r>
    <w:r w:rsidRPr="0070754D">
      <w:rPr>
        <w:sz w:val="16"/>
        <w:szCs w:val="16"/>
      </w:rPr>
      <w:t>www.ift.org.mx</w:t>
    </w:r>
  </w:p>
  <w:p w:rsidR="000E19D4" w:rsidRPr="000D28A2" w:rsidRDefault="000E19D4" w:rsidP="000D28A2">
    <w:pPr>
      <w:pStyle w:val="Piedepgina"/>
      <w:jc w:val="right"/>
      <w:rPr>
        <w:sz w:val="20"/>
        <w:szCs w:val="16"/>
      </w:rPr>
    </w:pPr>
    <w:r w:rsidRPr="0070754D">
      <w:rPr>
        <w:sz w:val="20"/>
        <w:szCs w:val="16"/>
      </w:rPr>
      <w:t>“</w:t>
    </w:r>
    <w:r>
      <w:rPr>
        <w:i/>
        <w:sz w:val="20"/>
        <w:szCs w:val="16"/>
      </w:rPr>
      <w:t>2015, Año del Generalísimo José María Morelos y Pavón</w:t>
    </w:r>
    <w:r w:rsidRPr="0070754D">
      <w:rPr>
        <w:sz w:val="20"/>
        <w:szCs w:val="16"/>
      </w:rPr>
      <w:t>”</w:t>
    </w:r>
    <w:r w:rsidR="000D28A2">
      <w:rPr>
        <w:sz w:val="16"/>
        <w:szCs w:val="16"/>
      </w:rPr>
      <w:t xml:space="preserve"> </w:t>
    </w:r>
    <w:r w:rsidRPr="002108F1">
      <w:rPr>
        <w:sz w:val="16"/>
        <w:szCs w:val="14"/>
        <w:lang w:val="es-ES"/>
      </w:rPr>
      <w:t xml:space="preserve">Página </w:t>
    </w:r>
    <w:r w:rsidRPr="002108F1">
      <w:rPr>
        <w:b/>
        <w:bCs/>
        <w:sz w:val="16"/>
        <w:szCs w:val="14"/>
      </w:rPr>
      <w:fldChar w:fldCharType="begin"/>
    </w:r>
    <w:r w:rsidRPr="002108F1">
      <w:rPr>
        <w:b/>
        <w:bCs/>
        <w:sz w:val="16"/>
        <w:szCs w:val="14"/>
      </w:rPr>
      <w:instrText>PAGE</w:instrText>
    </w:r>
    <w:r w:rsidRPr="002108F1">
      <w:rPr>
        <w:b/>
        <w:bCs/>
        <w:sz w:val="16"/>
        <w:szCs w:val="14"/>
      </w:rPr>
      <w:fldChar w:fldCharType="separate"/>
    </w:r>
    <w:r w:rsidR="00EE748A">
      <w:rPr>
        <w:b/>
        <w:bCs/>
        <w:noProof/>
        <w:sz w:val="16"/>
        <w:szCs w:val="14"/>
      </w:rPr>
      <w:t>2</w:t>
    </w:r>
    <w:r w:rsidRPr="002108F1">
      <w:rPr>
        <w:b/>
        <w:bCs/>
        <w:sz w:val="16"/>
        <w:szCs w:val="14"/>
      </w:rPr>
      <w:fldChar w:fldCharType="end"/>
    </w:r>
    <w:r w:rsidRPr="002108F1">
      <w:rPr>
        <w:sz w:val="16"/>
        <w:szCs w:val="14"/>
        <w:lang w:val="es-ES"/>
      </w:rPr>
      <w:t xml:space="preserve"> de </w:t>
    </w:r>
    <w:r w:rsidRPr="002108F1">
      <w:rPr>
        <w:b/>
        <w:bCs/>
        <w:sz w:val="16"/>
        <w:szCs w:val="14"/>
      </w:rPr>
      <w:fldChar w:fldCharType="begin"/>
    </w:r>
    <w:r w:rsidRPr="002108F1">
      <w:rPr>
        <w:b/>
        <w:bCs/>
        <w:sz w:val="16"/>
        <w:szCs w:val="14"/>
      </w:rPr>
      <w:instrText>NUMPAGES</w:instrText>
    </w:r>
    <w:r w:rsidRPr="002108F1">
      <w:rPr>
        <w:b/>
        <w:bCs/>
        <w:sz w:val="16"/>
        <w:szCs w:val="14"/>
      </w:rPr>
      <w:fldChar w:fldCharType="separate"/>
    </w:r>
    <w:r w:rsidR="00EE748A">
      <w:rPr>
        <w:b/>
        <w:bCs/>
        <w:noProof/>
        <w:sz w:val="16"/>
        <w:szCs w:val="14"/>
      </w:rPr>
      <w:t>3</w:t>
    </w:r>
    <w:r w:rsidRPr="002108F1">
      <w:rPr>
        <w:b/>
        <w:bCs/>
        <w:sz w:val="16"/>
        <w:szCs w:val="14"/>
      </w:rPr>
      <w:fldChar w:fldCharType="end"/>
    </w:r>
  </w:p>
  <w:p w:rsidR="000E19D4" w:rsidRDefault="000E19D4" w:rsidP="000E19D4">
    <w:pPr>
      <w:pStyle w:val="Piedepgina"/>
      <w:tabs>
        <w:tab w:val="clear" w:pos="4419"/>
        <w:tab w:val="clear" w:pos="8838"/>
        <w:tab w:val="left" w:pos="55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54D" w:rsidRDefault="000B6A4F" w:rsidP="0070754D">
    <w:pPr>
      <w:pStyle w:val="Piedepgina"/>
      <w:jc w:val="center"/>
      <w:rPr>
        <w:sz w:val="16"/>
        <w:szCs w:val="16"/>
      </w:rPr>
    </w:pPr>
    <w:r w:rsidRPr="00F751DD">
      <w:rPr>
        <w:sz w:val="16"/>
        <w:szCs w:val="16"/>
      </w:rPr>
      <w:t>Insurgentes sur 1143, Col. Noche Buena, C.P. 03720, Delegación Benito Juárez, México, D.F.</w:t>
    </w:r>
    <w:r w:rsidR="00B31044" w:rsidRPr="00F751DD">
      <w:rPr>
        <w:sz w:val="16"/>
        <w:szCs w:val="16"/>
      </w:rPr>
      <w:t xml:space="preserve"> </w:t>
    </w:r>
    <w:r w:rsidRPr="00F751DD">
      <w:rPr>
        <w:sz w:val="16"/>
        <w:szCs w:val="16"/>
      </w:rPr>
      <w:t>Tel.</w:t>
    </w:r>
    <w:r>
      <w:rPr>
        <w:sz w:val="16"/>
        <w:szCs w:val="16"/>
      </w:rPr>
      <w:t xml:space="preserve"> (55) 5015 4000, </w:t>
    </w:r>
    <w:r w:rsidRPr="0070754D">
      <w:rPr>
        <w:sz w:val="16"/>
        <w:szCs w:val="16"/>
      </w:rPr>
      <w:t>www.ift.org.mx</w:t>
    </w:r>
  </w:p>
  <w:p w:rsidR="00B31044" w:rsidRDefault="000B6A4F" w:rsidP="00B31044">
    <w:pPr>
      <w:pStyle w:val="Piedepgina"/>
      <w:rPr>
        <w:sz w:val="16"/>
        <w:szCs w:val="16"/>
      </w:rPr>
    </w:pPr>
    <w:r w:rsidRPr="0070754D">
      <w:rPr>
        <w:sz w:val="20"/>
        <w:szCs w:val="16"/>
      </w:rPr>
      <w:t>“</w:t>
    </w:r>
    <w:r w:rsidR="000E19D4">
      <w:rPr>
        <w:i/>
        <w:sz w:val="20"/>
        <w:szCs w:val="16"/>
      </w:rPr>
      <w:t>2015, Año del Generalísimo José María Morelos y Pavón</w:t>
    </w:r>
    <w:r w:rsidRPr="0070754D">
      <w:rPr>
        <w:sz w:val="20"/>
        <w:szCs w:val="16"/>
      </w:rPr>
      <w:t>”</w:t>
    </w:r>
  </w:p>
  <w:p w:rsidR="0070754D" w:rsidRPr="0070754D" w:rsidRDefault="000B6A4F" w:rsidP="00B31044">
    <w:pPr>
      <w:pStyle w:val="Piedepgina"/>
      <w:jc w:val="right"/>
      <w:rPr>
        <w:sz w:val="16"/>
        <w:szCs w:val="16"/>
      </w:rPr>
    </w:pPr>
    <w:r>
      <w:rPr>
        <w:sz w:val="16"/>
        <w:szCs w:val="16"/>
      </w:rPr>
      <w:t xml:space="preserve"> </w:t>
    </w:r>
    <w:r w:rsidRPr="002108F1">
      <w:rPr>
        <w:sz w:val="16"/>
        <w:szCs w:val="14"/>
        <w:lang w:val="es-ES"/>
      </w:rPr>
      <w:t xml:space="preserve">Página </w:t>
    </w:r>
    <w:r w:rsidRPr="002108F1">
      <w:rPr>
        <w:b/>
        <w:bCs/>
        <w:sz w:val="16"/>
        <w:szCs w:val="14"/>
      </w:rPr>
      <w:fldChar w:fldCharType="begin"/>
    </w:r>
    <w:r w:rsidRPr="002108F1">
      <w:rPr>
        <w:b/>
        <w:bCs/>
        <w:sz w:val="16"/>
        <w:szCs w:val="14"/>
      </w:rPr>
      <w:instrText>PAGE</w:instrText>
    </w:r>
    <w:r w:rsidRPr="002108F1">
      <w:rPr>
        <w:b/>
        <w:bCs/>
        <w:sz w:val="16"/>
        <w:szCs w:val="14"/>
      </w:rPr>
      <w:fldChar w:fldCharType="separate"/>
    </w:r>
    <w:r w:rsidR="00B31044">
      <w:rPr>
        <w:b/>
        <w:bCs/>
        <w:noProof/>
        <w:sz w:val="16"/>
        <w:szCs w:val="14"/>
      </w:rPr>
      <w:t>3</w:t>
    </w:r>
    <w:r w:rsidRPr="002108F1">
      <w:rPr>
        <w:b/>
        <w:bCs/>
        <w:sz w:val="16"/>
        <w:szCs w:val="14"/>
      </w:rPr>
      <w:fldChar w:fldCharType="end"/>
    </w:r>
    <w:r w:rsidRPr="002108F1">
      <w:rPr>
        <w:sz w:val="16"/>
        <w:szCs w:val="14"/>
        <w:lang w:val="es-ES"/>
      </w:rPr>
      <w:t xml:space="preserve"> de </w:t>
    </w:r>
    <w:r w:rsidRPr="002108F1">
      <w:rPr>
        <w:b/>
        <w:bCs/>
        <w:sz w:val="16"/>
        <w:szCs w:val="14"/>
      </w:rPr>
      <w:fldChar w:fldCharType="begin"/>
    </w:r>
    <w:r w:rsidRPr="002108F1">
      <w:rPr>
        <w:b/>
        <w:bCs/>
        <w:sz w:val="16"/>
        <w:szCs w:val="14"/>
      </w:rPr>
      <w:instrText>NUMPAGES</w:instrText>
    </w:r>
    <w:r w:rsidRPr="002108F1">
      <w:rPr>
        <w:b/>
        <w:bCs/>
        <w:sz w:val="16"/>
        <w:szCs w:val="14"/>
      </w:rPr>
      <w:fldChar w:fldCharType="separate"/>
    </w:r>
    <w:r w:rsidR="00B31044">
      <w:rPr>
        <w:b/>
        <w:bCs/>
        <w:noProof/>
        <w:sz w:val="16"/>
        <w:szCs w:val="14"/>
      </w:rPr>
      <w:t>3</w:t>
    </w:r>
    <w:r w:rsidRPr="002108F1">
      <w:rPr>
        <w:b/>
        <w:bCs/>
        <w:sz w:val="16"/>
        <w:szCs w:val="14"/>
      </w:rPr>
      <w:fldChar w:fldCharType="end"/>
    </w:r>
  </w:p>
  <w:p w:rsidR="0070754D" w:rsidRPr="0070754D" w:rsidRDefault="00EE748A" w:rsidP="0070754D">
    <w:pPr>
      <w:pStyle w:val="Piedepgina"/>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9D4" w:rsidRDefault="000E19D4" w:rsidP="000E19D4">
    <w:pPr>
      <w:pStyle w:val="Piedepgina"/>
      <w:jc w:val="center"/>
    </w:pPr>
  </w:p>
  <w:p w:rsidR="000E19D4" w:rsidRDefault="000E19D4" w:rsidP="000E19D4">
    <w:pPr>
      <w:pStyle w:val="Piedepgina"/>
      <w:jc w:val="center"/>
      <w:rPr>
        <w:sz w:val="16"/>
        <w:szCs w:val="16"/>
      </w:rPr>
    </w:pPr>
    <w:r w:rsidRPr="00F751DD">
      <w:rPr>
        <w:sz w:val="16"/>
        <w:szCs w:val="16"/>
      </w:rPr>
      <w:t>Insurgentes sur 1143, Col. Noche Buena, C.P. 03720, Delegación Benito Juárez, México, D.F.</w:t>
    </w:r>
    <w:r w:rsidR="00B31044" w:rsidRPr="00F751DD">
      <w:rPr>
        <w:sz w:val="16"/>
        <w:szCs w:val="16"/>
      </w:rPr>
      <w:t xml:space="preserve"> </w:t>
    </w:r>
    <w:r w:rsidRPr="00F751DD">
      <w:rPr>
        <w:sz w:val="16"/>
        <w:szCs w:val="16"/>
      </w:rPr>
      <w:t>Tel.</w:t>
    </w:r>
    <w:r>
      <w:rPr>
        <w:sz w:val="16"/>
        <w:szCs w:val="16"/>
      </w:rPr>
      <w:t xml:space="preserve"> (55) 5015 4000, </w:t>
    </w:r>
    <w:r w:rsidRPr="0070754D">
      <w:rPr>
        <w:sz w:val="16"/>
        <w:szCs w:val="16"/>
      </w:rPr>
      <w:t>www.ift.org.mx</w:t>
    </w:r>
  </w:p>
  <w:p w:rsidR="00B31044" w:rsidRDefault="000E19D4" w:rsidP="00B31044">
    <w:pPr>
      <w:pStyle w:val="Piedepgina"/>
      <w:rPr>
        <w:sz w:val="16"/>
        <w:szCs w:val="16"/>
      </w:rPr>
    </w:pPr>
    <w:r w:rsidRPr="0070754D">
      <w:rPr>
        <w:sz w:val="20"/>
        <w:szCs w:val="16"/>
      </w:rPr>
      <w:t>“</w:t>
    </w:r>
    <w:r>
      <w:rPr>
        <w:i/>
        <w:sz w:val="20"/>
        <w:szCs w:val="16"/>
      </w:rPr>
      <w:t>2015, Año del Generalísimo José María Morelos y Pavón</w:t>
    </w:r>
    <w:r w:rsidRPr="0070754D">
      <w:rPr>
        <w:sz w:val="20"/>
        <w:szCs w:val="16"/>
      </w:rPr>
      <w:t>”</w:t>
    </w:r>
  </w:p>
  <w:p w:rsidR="000E19D4" w:rsidRPr="006251A6" w:rsidRDefault="000E19D4" w:rsidP="000E19D4">
    <w:pPr>
      <w:pStyle w:val="Piedepgina"/>
      <w:jc w:val="right"/>
      <w:rPr>
        <w:sz w:val="16"/>
        <w:szCs w:val="16"/>
      </w:rPr>
    </w:pPr>
    <w:r>
      <w:rPr>
        <w:sz w:val="16"/>
        <w:szCs w:val="16"/>
      </w:rPr>
      <w:t xml:space="preserve"> </w:t>
    </w:r>
    <w:r w:rsidRPr="002108F1">
      <w:rPr>
        <w:sz w:val="16"/>
        <w:szCs w:val="14"/>
        <w:lang w:val="es-ES"/>
      </w:rPr>
      <w:t xml:space="preserve">Página </w:t>
    </w:r>
    <w:r w:rsidRPr="002108F1">
      <w:rPr>
        <w:b/>
        <w:bCs/>
        <w:sz w:val="16"/>
        <w:szCs w:val="14"/>
      </w:rPr>
      <w:fldChar w:fldCharType="begin"/>
    </w:r>
    <w:r w:rsidRPr="002108F1">
      <w:rPr>
        <w:b/>
        <w:bCs/>
        <w:sz w:val="16"/>
        <w:szCs w:val="14"/>
      </w:rPr>
      <w:instrText>PAGE</w:instrText>
    </w:r>
    <w:r w:rsidRPr="002108F1">
      <w:rPr>
        <w:b/>
        <w:bCs/>
        <w:sz w:val="16"/>
        <w:szCs w:val="14"/>
      </w:rPr>
      <w:fldChar w:fldCharType="separate"/>
    </w:r>
    <w:r w:rsidR="00EE748A">
      <w:rPr>
        <w:b/>
        <w:bCs/>
        <w:noProof/>
        <w:sz w:val="16"/>
        <w:szCs w:val="14"/>
      </w:rPr>
      <w:t>1</w:t>
    </w:r>
    <w:r w:rsidRPr="002108F1">
      <w:rPr>
        <w:b/>
        <w:bCs/>
        <w:sz w:val="16"/>
        <w:szCs w:val="14"/>
      </w:rPr>
      <w:fldChar w:fldCharType="end"/>
    </w:r>
    <w:r w:rsidRPr="002108F1">
      <w:rPr>
        <w:sz w:val="16"/>
        <w:szCs w:val="14"/>
        <w:lang w:val="es-ES"/>
      </w:rPr>
      <w:t xml:space="preserve"> de </w:t>
    </w:r>
    <w:r w:rsidRPr="002108F1">
      <w:rPr>
        <w:b/>
        <w:bCs/>
        <w:sz w:val="16"/>
        <w:szCs w:val="14"/>
      </w:rPr>
      <w:fldChar w:fldCharType="begin"/>
    </w:r>
    <w:r w:rsidRPr="002108F1">
      <w:rPr>
        <w:b/>
        <w:bCs/>
        <w:sz w:val="16"/>
        <w:szCs w:val="14"/>
      </w:rPr>
      <w:instrText>NUMPAGES</w:instrText>
    </w:r>
    <w:r w:rsidRPr="002108F1">
      <w:rPr>
        <w:b/>
        <w:bCs/>
        <w:sz w:val="16"/>
        <w:szCs w:val="14"/>
      </w:rPr>
      <w:fldChar w:fldCharType="separate"/>
    </w:r>
    <w:r w:rsidR="00EE748A">
      <w:rPr>
        <w:b/>
        <w:bCs/>
        <w:noProof/>
        <w:sz w:val="16"/>
        <w:szCs w:val="14"/>
      </w:rPr>
      <w:t>3</w:t>
    </w:r>
    <w:r w:rsidRPr="002108F1">
      <w:rPr>
        <w:b/>
        <w:bCs/>
        <w:sz w:val="16"/>
        <w:szCs w:val="14"/>
      </w:rPr>
      <w:fldChar w:fldCharType="end"/>
    </w:r>
    <w:r>
      <w:rPr>
        <w:sz w:val="18"/>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AA3" w:rsidRDefault="00056AA3" w:rsidP="00AB2DB4">
      <w:pPr>
        <w:spacing w:after="0" w:line="240" w:lineRule="auto"/>
      </w:pPr>
      <w:r>
        <w:separator/>
      </w:r>
    </w:p>
  </w:footnote>
  <w:footnote w:type="continuationSeparator" w:id="0">
    <w:p w:rsidR="00056AA3" w:rsidRDefault="00056AA3" w:rsidP="00AB2D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9D4" w:rsidRPr="00CC3431" w:rsidRDefault="00EE748A" w:rsidP="000E19D4">
    <w:pPr>
      <w:pStyle w:val="estilo30"/>
      <w:spacing w:before="0" w:beforeAutospacing="0" w:after="0" w:afterAutospacing="0"/>
      <w:ind w:right="-46"/>
      <w:jc w:val="right"/>
      <w:rPr>
        <w:rFonts w:ascii="ITC Avant Garde" w:hAnsi="ITC Avant Garde"/>
        <w:b/>
        <w:bCs/>
        <w:smallCaps/>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left:0;text-align:left;margin-left:66.9pt;margin-top:-159.15pt;width:612pt;height:11in;z-index:-251657216;mso-position-horizontal-relative:margin;mso-position-vertical-relative:margin" o:allowincell="f">
          <v:imagedata r:id="rId1" o:title="hoja membretada s dir-01"/>
          <w10:wrap anchorx="margin" anchory="margin"/>
        </v:shape>
      </w:pict>
    </w:r>
    <w:r w:rsidR="000E19D4">
      <w:rPr>
        <w:rFonts w:ascii="ITC Avant Garde" w:hAnsi="ITC Avant Garde"/>
        <w:b/>
        <w:bCs/>
        <w:smallCaps/>
        <w:color w:val="000000"/>
      </w:rPr>
      <w:t xml:space="preserve">Unidad de Competencia </w:t>
    </w:r>
    <w:r w:rsidR="000E19D4" w:rsidRPr="00CC3431">
      <w:rPr>
        <w:rFonts w:ascii="ITC Avant Garde" w:hAnsi="ITC Avant Garde"/>
        <w:b/>
        <w:bCs/>
        <w:smallCaps/>
        <w:color w:val="000000"/>
      </w:rPr>
      <w:t>Económica</w:t>
    </w:r>
  </w:p>
  <w:p w:rsidR="000E19D4" w:rsidRDefault="00603EE4" w:rsidP="000E19D4">
    <w:pPr>
      <w:pStyle w:val="estilo30"/>
      <w:spacing w:before="0" w:beforeAutospacing="0" w:after="0" w:afterAutospacing="0"/>
      <w:ind w:left="1530" w:right="-46"/>
      <w:jc w:val="right"/>
    </w:pPr>
    <w:r w:rsidRPr="00603EE4">
      <w:rPr>
        <w:rFonts w:ascii="ITC Avant Garde" w:hAnsi="ITC Avant Garde"/>
        <w:b/>
        <w:smallCaps/>
      </w:rPr>
      <w:t>IFT/226/UCE/ 342</w:t>
    </w:r>
    <w:r w:rsidR="000E19D4" w:rsidRPr="00603EE4">
      <w:rPr>
        <w:rFonts w:ascii="ITC Avant Garde" w:hAnsi="ITC Avant Garde"/>
        <w:b/>
        <w:smallCaps/>
      </w:rPr>
      <w:t>/2015</w:t>
    </w:r>
  </w:p>
  <w:p w:rsidR="00B43121" w:rsidRDefault="00EE74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8A2" w:rsidRDefault="00EE748A" w:rsidP="00B31044">
    <w:pPr>
      <w:pStyle w:val="Encabezado"/>
      <w:tabs>
        <w:tab w:val="clear" w:pos="4419"/>
        <w:tab w:val="clear" w:pos="8838"/>
        <w:tab w:val="right" w:pos="9632"/>
      </w:tabs>
      <w:rPr>
        <w:rFonts w:ascii="ITC Avant Garde" w:hAnsi="ITC Avant Garde"/>
        <w:b/>
        <w:bCs/>
        <w:smallCaps/>
        <w:color w:val="000000"/>
      </w:rPr>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0" type="#_x0000_t75" style="position:absolute;margin-left:-78.15pt;margin-top:-156.7pt;width:609.45pt;height:788.7pt;z-index:-251656192;mso-position-horizontal-relative:margin;mso-position-vertical-relative:margin" o:allowincell="f">
          <v:imagedata r:id="rId1" o:title="hoja membretada s dir-01"/>
          <w10:wrap anchorx="margin" anchory="margin"/>
        </v:shape>
      </w:pict>
    </w:r>
  </w:p>
  <w:p w:rsidR="00356AAB" w:rsidRPr="00CC3431" w:rsidRDefault="000B6A4F" w:rsidP="000273FD">
    <w:pPr>
      <w:pStyle w:val="estilo30"/>
      <w:spacing w:before="0" w:beforeAutospacing="0" w:after="0" w:afterAutospacing="0"/>
      <w:ind w:right="-46"/>
      <w:jc w:val="right"/>
      <w:rPr>
        <w:rFonts w:ascii="ITC Avant Garde" w:hAnsi="ITC Avant Garde"/>
        <w:b/>
        <w:bCs/>
        <w:smallCaps/>
        <w:color w:val="000000"/>
      </w:rPr>
    </w:pPr>
    <w:r>
      <w:rPr>
        <w:rFonts w:ascii="ITC Avant Garde" w:hAnsi="ITC Avant Garde"/>
        <w:b/>
        <w:bCs/>
        <w:smallCaps/>
        <w:color w:val="000000"/>
      </w:rPr>
      <w:t xml:space="preserve">Unidad de Competencia </w:t>
    </w:r>
    <w:r w:rsidRPr="00CC3431">
      <w:rPr>
        <w:rFonts w:ascii="ITC Avant Garde" w:hAnsi="ITC Avant Garde"/>
        <w:b/>
        <w:bCs/>
        <w:smallCaps/>
        <w:color w:val="000000"/>
      </w:rPr>
      <w:t>Económica</w:t>
    </w:r>
  </w:p>
  <w:p w:rsidR="00B43121" w:rsidRDefault="00603EE4" w:rsidP="00AB2DB4">
    <w:pPr>
      <w:pStyle w:val="estilo30"/>
      <w:spacing w:before="0" w:beforeAutospacing="0" w:after="0" w:afterAutospacing="0"/>
      <w:ind w:left="1530" w:right="-46"/>
      <w:jc w:val="right"/>
    </w:pPr>
    <w:r w:rsidRPr="00603EE4">
      <w:rPr>
        <w:rFonts w:ascii="ITC Avant Garde" w:hAnsi="ITC Avant Garde"/>
        <w:b/>
        <w:smallCaps/>
      </w:rPr>
      <w:t>IFT/226/UCE/ 342</w:t>
    </w:r>
    <w:r w:rsidR="000B6A4F" w:rsidRPr="00603EE4">
      <w:rPr>
        <w:rFonts w:ascii="ITC Avant Garde" w:hAnsi="ITC Avant Garde"/>
        <w:b/>
        <w:smallCaps/>
      </w:rPr>
      <w:t xml:space="preserve">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9D4" w:rsidRDefault="00EE748A" w:rsidP="00B31044">
    <w:pPr>
      <w:pStyle w:val="estilo30"/>
      <w:spacing w:before="0" w:beforeAutospacing="0" w:after="0" w:afterAutospacing="0"/>
      <w:ind w:right="-46"/>
      <w:jc w:val="right"/>
      <w:rPr>
        <w:rFonts w:ascii="ITC Avant Garde" w:hAnsi="ITC Avant Garde"/>
        <w:b/>
        <w:bCs/>
        <w:smallCaps/>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left:0;text-align:left;margin-left:-104.95pt;margin-top:-166.65pt;width:628.8pt;height:813.75pt;z-index:-251655168;mso-position-horizontal-relative:margin;mso-position-vertical-relative:margin" o:allowincell="f">
          <v:imagedata r:id="rId1" o:title="hoja membretada s dir-01"/>
          <w10:wrap anchorx="margin" anchory="margin"/>
        </v:shape>
      </w:pict>
    </w:r>
  </w:p>
  <w:p w:rsidR="000E19D4" w:rsidRPr="00CC3431" w:rsidRDefault="000E19D4" w:rsidP="000E19D4">
    <w:pPr>
      <w:pStyle w:val="estilo30"/>
      <w:spacing w:before="0" w:beforeAutospacing="0" w:after="0" w:afterAutospacing="0"/>
      <w:ind w:right="-46"/>
      <w:jc w:val="right"/>
      <w:rPr>
        <w:rFonts w:ascii="ITC Avant Garde" w:hAnsi="ITC Avant Garde"/>
        <w:b/>
        <w:bCs/>
        <w:smallCaps/>
        <w:color w:val="000000"/>
      </w:rPr>
    </w:pPr>
    <w:r>
      <w:rPr>
        <w:rFonts w:ascii="ITC Avant Garde" w:hAnsi="ITC Avant Garde"/>
        <w:b/>
        <w:bCs/>
        <w:smallCaps/>
        <w:color w:val="000000"/>
      </w:rPr>
      <w:t xml:space="preserve">Unidad de Competencia </w:t>
    </w:r>
    <w:r w:rsidRPr="00CC3431">
      <w:rPr>
        <w:rFonts w:ascii="ITC Avant Garde" w:hAnsi="ITC Avant Garde"/>
        <w:b/>
        <w:bCs/>
        <w:smallCaps/>
        <w:color w:val="000000"/>
      </w:rPr>
      <w:t>Económica</w:t>
    </w:r>
  </w:p>
  <w:p w:rsidR="000E19D4" w:rsidRDefault="00603EE4" w:rsidP="000E19D4">
    <w:pPr>
      <w:pStyle w:val="estilo30"/>
      <w:spacing w:before="0" w:beforeAutospacing="0" w:after="0" w:afterAutospacing="0"/>
      <w:ind w:left="1530" w:right="-46"/>
      <w:jc w:val="right"/>
    </w:pPr>
    <w:r w:rsidRPr="00603EE4">
      <w:rPr>
        <w:rFonts w:ascii="ITC Avant Garde" w:hAnsi="ITC Avant Garde"/>
        <w:b/>
        <w:smallCaps/>
      </w:rPr>
      <w:t>IFT/226/UCE/342</w:t>
    </w:r>
    <w:r w:rsidR="000E19D4" w:rsidRPr="00603EE4">
      <w:rPr>
        <w:rFonts w:ascii="ITC Avant Garde" w:hAnsi="ITC Avant Garde"/>
        <w:b/>
        <w:smallCaps/>
      </w:rPr>
      <w:t>/2015</w:t>
    </w:r>
  </w:p>
  <w:p w:rsidR="00B43121" w:rsidRDefault="00EE748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42"/>
    <w:rsid w:val="000273FD"/>
    <w:rsid w:val="00056AA3"/>
    <w:rsid w:val="00074F0B"/>
    <w:rsid w:val="000B6A4F"/>
    <w:rsid w:val="000D28A2"/>
    <w:rsid w:val="000E19D4"/>
    <w:rsid w:val="00180893"/>
    <w:rsid w:val="002931AE"/>
    <w:rsid w:val="002D0AC9"/>
    <w:rsid w:val="002F4F22"/>
    <w:rsid w:val="00324D56"/>
    <w:rsid w:val="005951B2"/>
    <w:rsid w:val="00603EE4"/>
    <w:rsid w:val="00651977"/>
    <w:rsid w:val="0069733C"/>
    <w:rsid w:val="006D7F3E"/>
    <w:rsid w:val="00810DF8"/>
    <w:rsid w:val="00AB2DB4"/>
    <w:rsid w:val="00AB4EEB"/>
    <w:rsid w:val="00B31044"/>
    <w:rsid w:val="00BB2A68"/>
    <w:rsid w:val="00BB54A9"/>
    <w:rsid w:val="00DC55B7"/>
    <w:rsid w:val="00DC5A55"/>
    <w:rsid w:val="00E04A02"/>
    <w:rsid w:val="00E93902"/>
    <w:rsid w:val="00EE748A"/>
    <w:rsid w:val="00F32E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90AB000-D11A-448F-88B9-0548AF83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E4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2E42"/>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F32E42"/>
    <w:rPr>
      <w:rFonts w:ascii="Calibri" w:eastAsia="Calibri" w:hAnsi="Calibri" w:cs="Times New Roman"/>
    </w:rPr>
  </w:style>
  <w:style w:type="paragraph" w:styleId="Piedepgina">
    <w:name w:val="footer"/>
    <w:basedOn w:val="Normal"/>
    <w:link w:val="PiedepginaCar"/>
    <w:uiPriority w:val="99"/>
    <w:unhideWhenUsed/>
    <w:rsid w:val="00F32E42"/>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F32E42"/>
    <w:rPr>
      <w:rFonts w:ascii="Calibri" w:eastAsia="Calibri" w:hAnsi="Calibri" w:cs="Times New Roman"/>
    </w:rPr>
  </w:style>
  <w:style w:type="paragraph" w:customStyle="1" w:styleId="estilo30">
    <w:name w:val="estilo30"/>
    <w:basedOn w:val="Normal"/>
    <w:rsid w:val="00F32E4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F32E42"/>
    <w:pPr>
      <w:spacing w:after="0" w:line="240" w:lineRule="auto"/>
    </w:pPr>
    <w:rPr>
      <w:rFonts w:ascii="Calibri" w:eastAsia="Calibri" w:hAnsi="Calibri" w:cs="Times New Roman"/>
    </w:rPr>
  </w:style>
  <w:style w:type="table" w:styleId="Tablaconcuadrcula">
    <w:name w:val="Table Grid"/>
    <w:basedOn w:val="Tablanormal"/>
    <w:uiPriority w:val="59"/>
    <w:rsid w:val="00F32E4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54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54A9"/>
    <w:rPr>
      <w:rFonts w:ascii="Segoe UI" w:hAnsi="Segoe UI" w:cs="Segoe UI"/>
      <w:sz w:val="18"/>
      <w:szCs w:val="18"/>
    </w:rPr>
  </w:style>
  <w:style w:type="paragraph" w:styleId="Textonotapie">
    <w:name w:val="footnote text"/>
    <w:basedOn w:val="Normal"/>
    <w:link w:val="TextonotapieCar"/>
    <w:uiPriority w:val="99"/>
    <w:semiHidden/>
    <w:unhideWhenUsed/>
    <w:rsid w:val="005951B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51B2"/>
    <w:rPr>
      <w:sz w:val="20"/>
      <w:szCs w:val="20"/>
    </w:rPr>
  </w:style>
  <w:style w:type="character" w:styleId="Refdenotaalpie">
    <w:name w:val="footnote reference"/>
    <w:basedOn w:val="Fuentedeprrafopredeter"/>
    <w:uiPriority w:val="99"/>
    <w:semiHidden/>
    <w:unhideWhenUsed/>
    <w:rsid w:val="005951B2"/>
    <w:rPr>
      <w:vertAlign w:val="superscript"/>
    </w:rPr>
  </w:style>
  <w:style w:type="table" w:styleId="Tabladelista4-nfasis6">
    <w:name w:val="List Table 4 Accent 6"/>
    <w:basedOn w:val="Tablanormal"/>
    <w:uiPriority w:val="49"/>
    <w:rsid w:val="0065197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5oscura-nfasis6">
    <w:name w:val="Grid Table 5 Dark Accent 6"/>
    <w:basedOn w:val="Tablanormal"/>
    <w:uiPriority w:val="50"/>
    <w:rsid w:val="006519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7concolores-nfasis6">
    <w:name w:val="Grid Table 7 Colorful Accent 6"/>
    <w:basedOn w:val="Tablanormal"/>
    <w:uiPriority w:val="52"/>
    <w:rsid w:val="0065197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5oscura-nfasis3">
    <w:name w:val="Grid Table 5 Dark Accent 3"/>
    <w:basedOn w:val="Tablanormal"/>
    <w:uiPriority w:val="50"/>
    <w:rsid w:val="006519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830</Words>
  <Characters>4569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Lissette Carrillo Martinez</dc:creator>
  <cp:keywords/>
  <dc:description/>
  <cp:lastModifiedBy>Luis Garcia</cp:lastModifiedBy>
  <cp:revision>4</cp:revision>
  <cp:lastPrinted>2015-07-08T22:21:00Z</cp:lastPrinted>
  <dcterms:created xsi:type="dcterms:W3CDTF">2015-07-08T22:26:00Z</dcterms:created>
  <dcterms:modified xsi:type="dcterms:W3CDTF">2016-03-28T23:19:00Z</dcterms:modified>
</cp:coreProperties>
</file>