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430F8" w14:textId="77777777" w:rsidR="00A42AB9" w:rsidRDefault="00A42AB9" w:rsidP="00A42AB9">
      <w:pPr>
        <w:spacing w:after="0"/>
        <w:jc w:val="center"/>
        <w:rPr>
          <w:rFonts w:ascii="Century Gothic" w:hAnsi="Century Gothic"/>
          <w:b/>
        </w:rPr>
      </w:pPr>
      <w:bookmarkStart w:id="0" w:name="_GoBack"/>
      <w:bookmarkEnd w:id="0"/>
      <w:r>
        <w:rPr>
          <w:rFonts w:ascii="Century Gothic" w:hAnsi="Century Gothic"/>
          <w:b/>
        </w:rPr>
        <w:t>FORMATO PARA PARTICIPAR EN LA CONSULTA PÚBLICA</w:t>
      </w:r>
    </w:p>
    <w:p w14:paraId="1F37992D" w14:textId="77777777" w:rsidR="00A42AB9" w:rsidRDefault="00A42AB9" w:rsidP="00A42AB9">
      <w:pPr>
        <w:spacing w:after="0"/>
        <w:rPr>
          <w:rFonts w:ascii="Century Gothic" w:hAnsi="Century Gothic"/>
          <w:b/>
        </w:rPr>
      </w:pPr>
    </w:p>
    <w:p w14:paraId="32FC0939" w14:textId="77777777" w:rsidR="00A42AB9" w:rsidRDefault="00A42AB9" w:rsidP="00A42AB9">
      <w:pPr>
        <w:spacing w:after="0"/>
        <w:rPr>
          <w:rFonts w:ascii="Century Gothic" w:hAnsi="Century Gothic"/>
          <w:b/>
          <w:sz w:val="16"/>
        </w:rPr>
      </w:pPr>
      <w:r>
        <w:rPr>
          <w:rFonts w:ascii="Century Gothic" w:hAnsi="Century Gothic"/>
          <w:b/>
          <w:sz w:val="16"/>
        </w:rPr>
        <w:t>Instrucciones para su llenado y participación:</w:t>
      </w:r>
    </w:p>
    <w:p w14:paraId="09FA9A30" w14:textId="77777777" w:rsidR="00A42AB9" w:rsidRDefault="00A42AB9" w:rsidP="00A42AB9">
      <w:pPr>
        <w:spacing w:after="0"/>
        <w:rPr>
          <w:rFonts w:ascii="Century Gothic" w:hAnsi="Century Gothic"/>
          <w:b/>
          <w:sz w:val="16"/>
        </w:rPr>
      </w:pPr>
    </w:p>
    <w:p w14:paraId="6DF9EC0A" w14:textId="77777777"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Las opiniones, comentarios y propuestas deberán ser remitidas a la siguiente dirección de correo electrónico: </w:t>
      </w:r>
      <w:hyperlink r:id="rId11" w:history="1">
        <w:r w:rsidR="0077434E" w:rsidRPr="00B92DDB">
          <w:rPr>
            <w:rStyle w:val="Hipervnculo"/>
            <w:rFonts w:ascii="Century Gothic" w:hAnsi="Century Gothic"/>
            <w:sz w:val="14"/>
            <w:szCs w:val="14"/>
          </w:rPr>
          <w:t>consultadisposicionesregulatorias@ift.org.mx</w:t>
        </w:r>
      </w:hyperlink>
      <w:hyperlink r:id="rId12" w:history="1"/>
      <w:r>
        <w:rPr>
          <w:rFonts w:ascii="Century Gothic" w:hAnsi="Century Gothic"/>
          <w:sz w:val="14"/>
          <w:szCs w:val="14"/>
        </w:rPr>
        <w:t>, en donde se deberá considerar que la capacidad límite para la recepción de archivos es de 25 Mb.</w:t>
      </w:r>
    </w:p>
    <w:p w14:paraId="68E39759" w14:textId="0E919255"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Vierta sus comentarios conforme a la estructura de la Sección I del presente formato.</w:t>
      </w:r>
    </w:p>
    <w:p w14:paraId="7E3227CA" w14:textId="7C9528DA"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De contar con observaciones generales o alguna aportación adicional </w:t>
      </w:r>
      <w:r w:rsidR="001F47A6">
        <w:rPr>
          <w:rFonts w:ascii="Century Gothic" w:hAnsi="Century Gothic"/>
          <w:sz w:val="14"/>
          <w:szCs w:val="14"/>
        </w:rPr>
        <w:t>proporciónelos en la Sección II</w:t>
      </w:r>
      <w:r>
        <w:rPr>
          <w:rFonts w:ascii="Century Gothic" w:hAnsi="Century Gothic"/>
          <w:sz w:val="14"/>
          <w:szCs w:val="14"/>
        </w:rPr>
        <w:t>.</w:t>
      </w:r>
    </w:p>
    <w:p w14:paraId="652D7740" w14:textId="77777777" w:rsidR="000257E9" w:rsidRDefault="00A42AB9" w:rsidP="000257E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En caso de que sea de su interés, podrá adjuntar a su correo electrónico la documentación que estime conveniente.</w:t>
      </w:r>
    </w:p>
    <w:p w14:paraId="1C44D0A8" w14:textId="2D98831A" w:rsidR="00A42AB9" w:rsidRPr="000257E9" w:rsidRDefault="00A42AB9" w:rsidP="000257E9">
      <w:pPr>
        <w:pStyle w:val="Listavistosa-nfasis11"/>
        <w:numPr>
          <w:ilvl w:val="0"/>
          <w:numId w:val="16"/>
        </w:numPr>
        <w:spacing w:after="0" w:line="256" w:lineRule="auto"/>
        <w:ind w:left="426" w:right="49" w:hanging="426"/>
        <w:jc w:val="both"/>
        <w:rPr>
          <w:rFonts w:ascii="Century Gothic" w:hAnsi="Century Gothic"/>
          <w:sz w:val="14"/>
          <w:szCs w:val="14"/>
        </w:rPr>
      </w:pPr>
      <w:r w:rsidRPr="000257E9">
        <w:rPr>
          <w:rFonts w:ascii="Century Gothic" w:hAnsi="Century Gothic"/>
          <w:sz w:val="14"/>
          <w:szCs w:val="14"/>
        </w:rPr>
        <w:t>El período de consulta pública será del</w:t>
      </w:r>
      <w:r w:rsidR="000257E9" w:rsidRPr="000257E9">
        <w:rPr>
          <w:rFonts w:ascii="Century Gothic" w:hAnsi="Century Gothic"/>
          <w:sz w:val="14"/>
          <w:szCs w:val="14"/>
        </w:rPr>
        <w:t xml:space="preserve"> </w:t>
      </w:r>
      <w:r w:rsidR="002D6E3D">
        <w:rPr>
          <w:rFonts w:ascii="Century Gothic" w:hAnsi="Century Gothic"/>
          <w:sz w:val="14"/>
          <w:szCs w:val="14"/>
        </w:rPr>
        <w:t>2</w:t>
      </w:r>
      <w:r w:rsidR="007236A7">
        <w:rPr>
          <w:rFonts w:ascii="Century Gothic" w:hAnsi="Century Gothic"/>
          <w:sz w:val="14"/>
          <w:szCs w:val="14"/>
        </w:rPr>
        <w:t xml:space="preserve"> de octubre al </w:t>
      </w:r>
      <w:r w:rsidR="002D6E3D">
        <w:rPr>
          <w:rFonts w:ascii="Century Gothic" w:hAnsi="Century Gothic"/>
          <w:sz w:val="14"/>
          <w:szCs w:val="14"/>
        </w:rPr>
        <w:t>12</w:t>
      </w:r>
      <w:r w:rsidR="007236A7">
        <w:rPr>
          <w:rFonts w:ascii="Century Gothic" w:hAnsi="Century Gothic"/>
          <w:sz w:val="14"/>
          <w:szCs w:val="14"/>
        </w:rPr>
        <w:t xml:space="preserve"> de noviembre de 2018</w:t>
      </w:r>
      <w:r w:rsidR="00F71C67">
        <w:rPr>
          <w:rFonts w:ascii="Century Gothic" w:hAnsi="Century Gothic"/>
          <w:sz w:val="14"/>
          <w:szCs w:val="14"/>
        </w:rPr>
        <w:t xml:space="preserve"> (i.e. 30 días hábiles)</w:t>
      </w:r>
      <w:r w:rsidRPr="00E24510">
        <w:rPr>
          <w:rFonts w:ascii="Century Gothic" w:hAnsi="Century Gothic"/>
          <w:sz w:val="14"/>
          <w:szCs w:val="14"/>
        </w:rPr>
        <w:t>.</w:t>
      </w:r>
      <w:r w:rsidRPr="000257E9">
        <w:rPr>
          <w:rFonts w:ascii="Century Gothic" w:hAnsi="Century Gothic"/>
          <w:sz w:val="14"/>
          <w:szCs w:val="14"/>
        </w:rPr>
        <w:t xml:space="preserve"> Una vez concluido dicho periodo, se podrán continuar visualizando los comentarios vertidos, así como los documentos adjuntos en la siguiente dirección electrónica: </w:t>
      </w:r>
      <w:hyperlink r:id="rId13" w:tooltip="Liga directa a la seccióndel  portal del IFT en la que se encuentran todas las consultas públicas" w:history="1">
        <w:r w:rsidRPr="000257E9">
          <w:rPr>
            <w:rStyle w:val="Hipervnculo"/>
            <w:rFonts w:ascii="Century Gothic" w:hAnsi="Century Gothic"/>
            <w:sz w:val="14"/>
            <w:szCs w:val="14"/>
          </w:rPr>
          <w:t>http://www.ift.org.mx/industria/consultas-publicas</w:t>
        </w:r>
      </w:hyperlink>
      <w:r w:rsidRPr="000257E9">
        <w:rPr>
          <w:rFonts w:ascii="Century Gothic" w:hAnsi="Century Gothic"/>
          <w:sz w:val="14"/>
          <w:szCs w:val="14"/>
        </w:rPr>
        <w:t xml:space="preserve"> </w:t>
      </w:r>
    </w:p>
    <w:p w14:paraId="170580EB" w14:textId="77777777" w:rsidR="00A42AB9" w:rsidRDefault="00A42AB9" w:rsidP="00A42AB9">
      <w:pPr>
        <w:pStyle w:val="Listavistosa-nfasis11"/>
        <w:numPr>
          <w:ilvl w:val="0"/>
          <w:numId w:val="16"/>
        </w:numPr>
        <w:spacing w:after="0" w:line="256" w:lineRule="auto"/>
        <w:ind w:left="426" w:right="49" w:hanging="426"/>
        <w:jc w:val="both"/>
        <w:rPr>
          <w:rFonts w:ascii="Century Gothic" w:hAnsi="Century Gothic"/>
          <w:sz w:val="14"/>
          <w:szCs w:val="14"/>
        </w:rPr>
      </w:pPr>
      <w:r>
        <w:rPr>
          <w:rFonts w:ascii="Century Gothic" w:hAnsi="Century Gothic"/>
          <w:sz w:val="14"/>
          <w:szCs w:val="14"/>
        </w:rPr>
        <w:t xml:space="preserve">Para cualquier duda, comentario o inquietud sobre el presente proceso consultivo, el Instituto pone a su disposición el siguiente punto de contacto: Jonathan López Torres, Director de Investigación de Prácticas Monopólicas y Concentraciones Ilícitas “C” del Instituto, correo electrónico: </w:t>
      </w:r>
      <w:hyperlink r:id="rId14" w:history="1">
        <w:r w:rsidRPr="007B2C89">
          <w:rPr>
            <w:rStyle w:val="Hipervnculo"/>
            <w:rFonts w:ascii="Century Gothic" w:hAnsi="Century Gothic"/>
            <w:sz w:val="14"/>
            <w:szCs w:val="14"/>
          </w:rPr>
          <w:t>jonathan.lopez@ift.org.mx</w:t>
        </w:r>
      </w:hyperlink>
      <w:r>
        <w:rPr>
          <w:rFonts w:ascii="Century Gothic" w:hAnsi="Century Gothic"/>
          <w:sz w:val="14"/>
        </w:rPr>
        <w:t>,</w:t>
      </w:r>
      <w:r>
        <w:rPr>
          <w:rFonts w:ascii="Century Gothic" w:hAnsi="Century Gothic"/>
          <w:sz w:val="12"/>
          <w:szCs w:val="14"/>
        </w:rPr>
        <w:t xml:space="preserve"> </w:t>
      </w:r>
      <w:r>
        <w:rPr>
          <w:rFonts w:ascii="Century Gothic" w:hAnsi="Century Gothic"/>
          <w:sz w:val="14"/>
          <w:szCs w:val="14"/>
        </w:rPr>
        <w:t>o bien, a través del número telefónico (55) 5015</w:t>
      </w:r>
      <w:r w:rsidR="001C37DB">
        <w:rPr>
          <w:rFonts w:ascii="Century Gothic" w:hAnsi="Century Gothic"/>
          <w:sz w:val="14"/>
          <w:szCs w:val="14"/>
        </w:rPr>
        <w:t xml:space="preserve"> </w:t>
      </w:r>
      <w:r>
        <w:rPr>
          <w:rFonts w:ascii="Century Gothic" w:hAnsi="Century Gothic"/>
          <w:sz w:val="14"/>
          <w:szCs w:val="14"/>
        </w:rPr>
        <w:t>4000, extensión 4075.</w:t>
      </w:r>
    </w:p>
    <w:p w14:paraId="61D2F31F" w14:textId="77777777" w:rsidR="00DA7945" w:rsidRDefault="00DA7945" w:rsidP="00F71C67">
      <w:pPr>
        <w:pStyle w:val="Listavistosa-nfasis11"/>
        <w:spacing w:after="120" w:line="240" w:lineRule="auto"/>
        <w:ind w:left="0" w:right="49"/>
        <w:contextualSpacing w:val="0"/>
        <w:jc w:val="center"/>
        <w:rPr>
          <w:rFonts w:ascii="Century Gothic" w:hAnsi="Century Gothic"/>
          <w:b/>
          <w:sz w:val="14"/>
          <w:szCs w:val="14"/>
        </w:rPr>
      </w:pPr>
      <w:r w:rsidRPr="00391642">
        <w:rPr>
          <w:rFonts w:ascii="Century Gothic" w:hAnsi="Century Gothic"/>
          <w:b/>
          <w:sz w:val="14"/>
          <w:szCs w:val="14"/>
        </w:rPr>
        <w:t>AVISO</w:t>
      </w:r>
    </w:p>
    <w:p w14:paraId="0E1A64C5" w14:textId="77777777" w:rsidR="00E72B09" w:rsidRPr="00797AFB" w:rsidRDefault="00E72B09" w:rsidP="00E72B09">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 xml:space="preserve">Para participar en la Consulta Pública no se requiere presentar información de identificación de los participantes, relativos a nombre completo o razón social, o algún otro dato personal. Por tanto, en el formato de participación no se establecen apartados en donde se requiera tal información. </w:t>
      </w:r>
    </w:p>
    <w:p w14:paraId="2598A146" w14:textId="77777777" w:rsidR="00E72B09" w:rsidRPr="00797AFB" w:rsidRDefault="00E72B09" w:rsidP="00E72B09">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Asimismo, se solicita a los participantes que se abstengan de proporcionar cualquier tipo de dato personal.</w:t>
      </w:r>
    </w:p>
    <w:p w14:paraId="6B6FCDBF" w14:textId="77777777" w:rsidR="00E72B09" w:rsidRPr="00797AFB" w:rsidRDefault="00E72B09" w:rsidP="00E72B09">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No obstante, en caso de que se presente información relativa a datos personales en los apartados del formato de participación correspondientes a comentarios, opiniones y aportaciones, esta autoridad realizará la versión pública del formato de participación correspondiente, a efecto de omitirlos.</w:t>
      </w:r>
    </w:p>
    <w:p w14:paraId="3B3517FD" w14:textId="77777777" w:rsidR="00E72B09" w:rsidRPr="00797AFB" w:rsidRDefault="00E72B09" w:rsidP="00E72B09">
      <w:pPr>
        <w:pStyle w:val="Listavistosa-nfasis11"/>
        <w:spacing w:after="120" w:line="240" w:lineRule="auto"/>
        <w:ind w:left="0" w:right="51"/>
        <w:contextualSpacing w:val="0"/>
        <w:jc w:val="both"/>
        <w:rPr>
          <w:rFonts w:ascii="Century Gothic" w:hAnsi="Century Gothic"/>
          <w:sz w:val="14"/>
          <w:szCs w:val="14"/>
        </w:rPr>
      </w:pPr>
      <w:r w:rsidRPr="00797AFB">
        <w:rPr>
          <w:rFonts w:ascii="Century Gothic" w:hAnsi="Century Gothic"/>
          <w:sz w:val="14"/>
          <w:szCs w:val="14"/>
        </w:rPr>
        <w:t xml:space="preserve">Los comentarios, opiniones y aportaciones que reciba el Instituto con relación a la presente Consulta Pública, se identificarán únicamente como “Participante 1”, “Participante 2”, “Participante 3”, y así sucesivamente, conforme al orden cronológico en que se reciban. </w:t>
      </w:r>
    </w:p>
    <w:p w14:paraId="694B4050" w14:textId="7EE62BA2" w:rsidR="00DA7945" w:rsidRPr="00DA7945" w:rsidRDefault="00E72B09" w:rsidP="00E72B09">
      <w:pPr>
        <w:pStyle w:val="Prrafodelista"/>
        <w:spacing w:after="120" w:line="240" w:lineRule="auto"/>
        <w:ind w:left="0"/>
        <w:jc w:val="both"/>
        <w:rPr>
          <w:rFonts w:ascii="Century Gothic" w:hAnsi="Century Gothic"/>
          <w:sz w:val="14"/>
        </w:rPr>
      </w:pPr>
      <w:r w:rsidRPr="00797AFB">
        <w:rPr>
          <w:rFonts w:ascii="Century Gothic" w:hAnsi="Century Gothic"/>
          <w:sz w:val="14"/>
          <w:szCs w:val="14"/>
        </w:rPr>
        <w:t>Aunado a lo anterior, los comentarios, opiniones, y aportaciones que reciba el Instituto con relación a la presente Consulta Pública, serán publicados íntegramente en su portal de Internet de conformidad con lo previsto en el Octavo de los Lineamientos de Consulta Pública y Análisis de Impacto Regulatorio del Instituto Federal de Telecomunicaciones y, en ese sentido, serán considerados invariablemente públicos salvo por lo dispuesto en los párrafos anteriores, en la Ley Federal de Transparencia y Acceso a la Información Pública, la Ley General de Transparencia y Acceso a la Información Pública, así como en la Ley General de Protección de Datos Personales en Posesión de Sujetos Obligados y los Lineamientos Generales de Protección de Datos Personales del Sector Público.</w:t>
      </w:r>
    </w:p>
    <w:p w14:paraId="1DFB0BCE" w14:textId="77777777" w:rsidR="00A42AB9" w:rsidRDefault="00A42AB9" w:rsidP="00A42AB9">
      <w:pPr>
        <w:spacing w:after="0"/>
        <w:rPr>
          <w:rFonts w:ascii="Century Gothic" w:hAnsi="Century Gothic"/>
          <w:vanish/>
        </w:rPr>
      </w:pPr>
    </w:p>
    <w:tbl>
      <w:tblPr>
        <w:tblpPr w:leftFromText="141" w:rightFromText="141" w:vertAnchor="text" w:tblpXSpec="center" w:tblpY="10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4"/>
        <w:gridCol w:w="6893"/>
      </w:tblGrid>
      <w:tr w:rsidR="00A42AB9" w14:paraId="07CDBBFF" w14:textId="77777777" w:rsidTr="00541678">
        <w:trPr>
          <w:trHeight w:val="581"/>
        </w:trPr>
        <w:tc>
          <w:tcPr>
            <w:tcW w:w="864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3009129" w14:textId="77777777" w:rsidR="00A42AB9" w:rsidRDefault="00A42AB9" w:rsidP="00A42AB9">
            <w:pPr>
              <w:pStyle w:val="Listavistosa-nfasis11"/>
              <w:numPr>
                <w:ilvl w:val="0"/>
                <w:numId w:val="17"/>
              </w:numPr>
              <w:spacing w:after="0" w:line="240" w:lineRule="auto"/>
              <w:ind w:left="1485" w:right="1069" w:hanging="709"/>
              <w:jc w:val="center"/>
              <w:rPr>
                <w:rFonts w:ascii="Century Gothic" w:eastAsia="Times New Roman" w:hAnsi="Century Gothic"/>
                <w:b/>
                <w:bCs/>
                <w:color w:val="FFFFFF"/>
                <w:lang w:eastAsia="es-MX"/>
              </w:rPr>
            </w:pPr>
            <w:r>
              <w:rPr>
                <w:rFonts w:ascii="Century Gothic" w:eastAsia="Times New Roman" w:hAnsi="Century Gothic"/>
                <w:b/>
                <w:bCs/>
                <w:color w:val="000000"/>
                <w:lang w:eastAsia="es-MX"/>
              </w:rPr>
              <w:t xml:space="preserve">Comentarios, opiniones </w:t>
            </w:r>
            <w:r>
              <w:rPr>
                <w:rFonts w:ascii="Century Gothic" w:eastAsia="Times New Roman" w:hAnsi="Century Gothic"/>
                <w:b/>
                <w:bCs/>
                <w:lang w:eastAsia="es-MX"/>
              </w:rPr>
              <w:t>y aportaciones específicos del participante sobre el asunto en consulta pública</w:t>
            </w:r>
          </w:p>
        </w:tc>
      </w:tr>
      <w:tr w:rsidR="00A42AB9" w14:paraId="5300726C" w14:textId="77777777" w:rsidTr="00541678">
        <w:trPr>
          <w:trHeight w:val="678"/>
        </w:trPr>
        <w:tc>
          <w:tcPr>
            <w:tcW w:w="1754"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7AB1E0E7" w14:textId="77777777" w:rsidR="00A42AB9" w:rsidRDefault="00A42AB9">
            <w:pPr>
              <w:spacing w:after="0" w:line="240" w:lineRule="auto"/>
              <w:jc w:val="center"/>
              <w:rPr>
                <w:rFonts w:ascii="Century Gothic" w:eastAsia="Times New Roman" w:hAnsi="Century Gothic"/>
                <w:color w:val="000000"/>
                <w:sz w:val="14"/>
                <w:szCs w:val="14"/>
                <w:lang w:eastAsia="es-MX"/>
              </w:rPr>
            </w:pPr>
            <w:r>
              <w:rPr>
                <w:rFonts w:ascii="Century Gothic" w:eastAsia="Times New Roman" w:hAnsi="Century Gothic"/>
                <w:color w:val="000000"/>
                <w:sz w:val="14"/>
                <w:szCs w:val="14"/>
                <w:lang w:eastAsia="es-MX"/>
              </w:rPr>
              <w:t>Artículo o apartado</w:t>
            </w:r>
          </w:p>
        </w:tc>
        <w:tc>
          <w:tcPr>
            <w:tcW w:w="6893"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150DF1C3" w14:textId="77777777" w:rsidR="00A42AB9" w:rsidRDefault="00A42AB9">
            <w:pPr>
              <w:spacing w:after="0" w:line="240" w:lineRule="auto"/>
              <w:jc w:val="center"/>
              <w:rPr>
                <w:rFonts w:ascii="Century Gothic" w:eastAsia="Times New Roman" w:hAnsi="Century Gothic"/>
                <w:color w:val="000000"/>
                <w:sz w:val="14"/>
                <w:szCs w:val="14"/>
                <w:lang w:eastAsia="es-MX"/>
              </w:rPr>
            </w:pPr>
            <w:r>
              <w:rPr>
                <w:rFonts w:ascii="Century Gothic" w:eastAsia="Times New Roman" w:hAnsi="Century Gothic"/>
                <w:color w:val="000000"/>
                <w:sz w:val="14"/>
                <w:szCs w:val="14"/>
                <w:lang w:eastAsia="es-MX"/>
              </w:rPr>
              <w:t>Comentario, opiniones o aportaciones</w:t>
            </w:r>
          </w:p>
        </w:tc>
      </w:tr>
      <w:tr w:rsidR="00456030" w14:paraId="4F15B49F"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092A89D0" w14:textId="11278FDF" w:rsidR="00456030" w:rsidRPr="00EA64FC" w:rsidRDefault="00456030">
            <w:pPr>
              <w:spacing w:after="0" w:line="240" w:lineRule="auto"/>
              <w:jc w:val="center"/>
              <w:rPr>
                <w:rFonts w:ascii="Times New Roman" w:eastAsia="Times New Roman" w:hAnsi="Times New Roman"/>
                <w:color w:val="000000"/>
                <w:lang w:eastAsia="es-MX"/>
              </w:rPr>
            </w:pPr>
            <w:r w:rsidRPr="00EA64FC">
              <w:rPr>
                <w:rFonts w:ascii="Times New Roman" w:eastAsia="Times New Roman" w:hAnsi="Times New Roman"/>
                <w:color w:val="000000"/>
                <w:lang w:eastAsia="es-MX"/>
              </w:rPr>
              <w:t>Artículo 124-B fracciones II, III y IV del Anteproyecto</w:t>
            </w:r>
          </w:p>
        </w:tc>
        <w:tc>
          <w:tcPr>
            <w:tcW w:w="6893" w:type="dxa"/>
            <w:tcBorders>
              <w:top w:val="single" w:sz="4" w:space="0" w:color="auto"/>
              <w:left w:val="single" w:sz="4" w:space="0" w:color="auto"/>
              <w:bottom w:val="single" w:sz="4" w:space="0" w:color="auto"/>
              <w:right w:val="single" w:sz="4" w:space="0" w:color="auto"/>
            </w:tcBorders>
            <w:vAlign w:val="center"/>
          </w:tcPr>
          <w:p w14:paraId="77B4D139" w14:textId="77777777" w:rsidR="00456030" w:rsidRPr="00EA64FC" w:rsidRDefault="00456030" w:rsidP="00EA64FC">
            <w:pPr>
              <w:spacing w:after="0" w:line="240" w:lineRule="auto"/>
              <w:jc w:val="both"/>
              <w:rPr>
                <w:rFonts w:ascii="Times New Roman" w:eastAsia="Times New Roman" w:hAnsi="Times New Roman"/>
                <w:color w:val="000000"/>
                <w:lang w:eastAsia="es-MX"/>
              </w:rPr>
            </w:pPr>
            <w:r w:rsidRPr="00EA64FC">
              <w:rPr>
                <w:rFonts w:ascii="Times New Roman" w:eastAsia="Times New Roman" w:hAnsi="Times New Roman"/>
                <w:color w:val="000000"/>
                <w:lang w:eastAsia="es-MX"/>
              </w:rPr>
              <w:t>Dicho precepto y fracciones refieren lo siguiente:</w:t>
            </w:r>
          </w:p>
          <w:p w14:paraId="458BCDF6" w14:textId="77777777" w:rsidR="00456030" w:rsidRPr="00EA64FC" w:rsidRDefault="00456030" w:rsidP="00EA64FC">
            <w:pPr>
              <w:pStyle w:val="Cita"/>
              <w:rPr>
                <w:rStyle w:val="Textoennegrita"/>
                <w:rFonts w:ascii="Times New Roman" w:hAnsi="Times New Roman"/>
                <w:b w:val="0"/>
                <w:bCs w:val="0"/>
              </w:rPr>
            </w:pPr>
            <w:r w:rsidRPr="00EA64FC">
              <w:rPr>
                <w:rStyle w:val="Textoennegrita"/>
                <w:rFonts w:ascii="Times New Roman" w:hAnsi="Times New Roman"/>
                <w:b w:val="0"/>
              </w:rPr>
              <w:t>“Artículo 124-B. El procedimiento previsto en los artículos 100 a 102 de la Ley para solicitar el beneficio de dispensa o reducción del importe de las multas establecidas como sanción por la comisión de prácticas monopólicas relativas o concentraciones ilícitas, se tramitará conforme a lo siguiente:</w:t>
            </w:r>
          </w:p>
          <w:p w14:paraId="1F6931B5" w14:textId="77777777" w:rsidR="00456030" w:rsidRPr="00EA64FC" w:rsidRDefault="00456030" w:rsidP="00EA64FC">
            <w:pPr>
              <w:pStyle w:val="Cita"/>
              <w:rPr>
                <w:rStyle w:val="Textoennegrita"/>
                <w:rFonts w:ascii="Times New Roman" w:hAnsi="Times New Roman"/>
                <w:b w:val="0"/>
                <w:bCs w:val="0"/>
                <w:i w:val="0"/>
              </w:rPr>
            </w:pPr>
            <w:r w:rsidRPr="00EA64FC">
              <w:rPr>
                <w:rStyle w:val="Textoennegrita"/>
                <w:rFonts w:ascii="Times New Roman" w:hAnsi="Times New Roman"/>
                <w:b w:val="0"/>
                <w:i w:val="0"/>
              </w:rPr>
              <w:t>[…]</w:t>
            </w:r>
          </w:p>
          <w:p w14:paraId="21A4B057" w14:textId="77777777" w:rsidR="00456030" w:rsidRPr="00EA64FC" w:rsidRDefault="00456030" w:rsidP="00EA64FC">
            <w:pPr>
              <w:pStyle w:val="Cita"/>
              <w:rPr>
                <w:rStyle w:val="Textoennegrita"/>
                <w:rFonts w:ascii="Times New Roman" w:hAnsi="Times New Roman"/>
                <w:b w:val="0"/>
                <w:bCs w:val="0"/>
              </w:rPr>
            </w:pPr>
            <w:r w:rsidRPr="00EA64FC">
              <w:rPr>
                <w:rStyle w:val="Textoennegrita"/>
                <w:rFonts w:ascii="Times New Roman" w:hAnsi="Times New Roman"/>
                <w:b w:val="0"/>
              </w:rPr>
              <w:t>II. La solicitud deberá presentarse en la oficialía de partes del Instituto, dirigida a la Autoridad Investigadora;</w:t>
            </w:r>
          </w:p>
          <w:p w14:paraId="460DCD4D" w14:textId="77777777" w:rsidR="00456030" w:rsidRPr="00EA64FC" w:rsidRDefault="00456030" w:rsidP="00EA64FC">
            <w:pPr>
              <w:pStyle w:val="Cita"/>
              <w:rPr>
                <w:rStyle w:val="Textoennegrita"/>
                <w:rFonts w:ascii="Times New Roman" w:hAnsi="Times New Roman"/>
                <w:b w:val="0"/>
                <w:bCs w:val="0"/>
              </w:rPr>
            </w:pPr>
            <w:r w:rsidRPr="00EA64FC">
              <w:rPr>
                <w:rStyle w:val="Textoennegrita"/>
                <w:rFonts w:ascii="Times New Roman" w:hAnsi="Times New Roman"/>
                <w:b w:val="0"/>
              </w:rPr>
              <w:t xml:space="preserve">III. </w:t>
            </w:r>
            <w:r w:rsidRPr="00EA64FC">
              <w:rPr>
                <w:rStyle w:val="CitaN"/>
                <w:rFonts w:ascii="Times New Roman" w:hAnsi="Times New Roman"/>
                <w:b w:val="0"/>
              </w:rPr>
              <w:t>Si la solicitud es omisa respecto a los requisitos establecidos en las fracciones I o II del artículo 100 de la Ley</w:t>
            </w:r>
            <w:r w:rsidRPr="00EA64FC">
              <w:rPr>
                <w:rStyle w:val="Textoennegrita"/>
                <w:rFonts w:ascii="Times New Roman" w:hAnsi="Times New Roman"/>
                <w:b w:val="0"/>
              </w:rPr>
              <w:t xml:space="preserve">, no contiene nombre o firma del solicitante, no se presenta en idioma español o no adjunta el instrumento con el que acredite </w:t>
            </w:r>
            <w:r w:rsidRPr="00EA64FC">
              <w:rPr>
                <w:rStyle w:val="Textoennegrita"/>
                <w:rFonts w:ascii="Times New Roman" w:hAnsi="Times New Roman"/>
                <w:b w:val="0"/>
              </w:rPr>
              <w:lastRenderedPageBreak/>
              <w:t xml:space="preserve">la representación con la que se ostenta, </w:t>
            </w:r>
            <w:r w:rsidRPr="00EA64FC">
              <w:rPr>
                <w:rStyle w:val="CitaN"/>
                <w:rFonts w:ascii="Times New Roman" w:hAnsi="Times New Roman"/>
                <w:b w:val="0"/>
              </w:rPr>
              <w:t>la Autoridad Investigadora emitirá</w:t>
            </w:r>
            <w:r w:rsidRPr="00EA64FC">
              <w:rPr>
                <w:rStyle w:val="Textoennegrita"/>
                <w:rFonts w:ascii="Times New Roman" w:hAnsi="Times New Roman"/>
                <w:b w:val="0"/>
              </w:rPr>
              <w:t xml:space="preserve"> dentro de los cinco días hábiles siguientes a su recepción, </w:t>
            </w:r>
            <w:r w:rsidRPr="00EA64FC">
              <w:rPr>
                <w:rStyle w:val="CitaN"/>
                <w:rFonts w:ascii="Times New Roman" w:hAnsi="Times New Roman"/>
                <w:b w:val="0"/>
              </w:rPr>
              <w:t>un acuerdo por el que prevenga al solicitante para que subsane las omisiones mencionadas</w:t>
            </w:r>
            <w:r w:rsidRPr="00EA64FC">
              <w:rPr>
                <w:rStyle w:val="Textoennegrita"/>
                <w:rFonts w:ascii="Times New Roman" w:hAnsi="Times New Roman"/>
                <w:b w:val="0"/>
              </w:rPr>
              <w:t>.</w:t>
            </w:r>
          </w:p>
          <w:p w14:paraId="1A89D8B1" w14:textId="77777777" w:rsidR="00456030" w:rsidRPr="00EA64FC" w:rsidRDefault="00456030" w:rsidP="00EA64FC">
            <w:pPr>
              <w:pStyle w:val="Cita"/>
              <w:rPr>
                <w:rStyle w:val="Textoennegrita"/>
                <w:rFonts w:ascii="Times New Roman" w:hAnsi="Times New Roman"/>
                <w:b w:val="0"/>
                <w:bCs w:val="0"/>
              </w:rPr>
            </w:pPr>
            <w:r w:rsidRPr="00EA64FC">
              <w:rPr>
                <w:rStyle w:val="Textoennegrita"/>
                <w:rFonts w:ascii="Times New Roman" w:hAnsi="Times New Roman"/>
                <w:b w:val="0"/>
              </w:rPr>
              <w:t>El solicitante contará con un plazo de cinco días hábiles para desahogar la prevención por las omisiones señaladas en el párrafo anterior, en cuyo caso deberá adjuntar la versión reservada correspondiente.</w:t>
            </w:r>
          </w:p>
          <w:p w14:paraId="354AD059" w14:textId="77777777" w:rsidR="00456030" w:rsidRPr="00EA64FC" w:rsidRDefault="00456030" w:rsidP="00EA64FC">
            <w:pPr>
              <w:pStyle w:val="Cita"/>
              <w:rPr>
                <w:rStyle w:val="Textoennegrita"/>
                <w:rFonts w:ascii="Times New Roman" w:hAnsi="Times New Roman"/>
                <w:b w:val="0"/>
                <w:bCs w:val="0"/>
              </w:rPr>
            </w:pPr>
            <w:r w:rsidRPr="00EA64FC">
              <w:rPr>
                <w:rStyle w:val="Textoennegrita"/>
                <w:rFonts w:ascii="Times New Roman" w:hAnsi="Times New Roman"/>
                <w:b w:val="0"/>
              </w:rPr>
              <w:t>Si el solicitante desahoga la prevención por las omisiones señaladas, la Autoridad Investigadora emitirá dentro de los cinco días hábiles siguientes, el acuerdo por el que tenga por presentada la solicitud y suspenda la investigación, sin perjuicio de que pueda solicitar aclaraciones en términos de la fracción IV siguiente.</w:t>
            </w:r>
          </w:p>
          <w:p w14:paraId="1227BC34" w14:textId="77777777" w:rsidR="00456030" w:rsidRPr="00EA64FC" w:rsidRDefault="00456030" w:rsidP="00EA64FC">
            <w:pPr>
              <w:pStyle w:val="Cita"/>
              <w:rPr>
                <w:rStyle w:val="Textoennegrita"/>
                <w:rFonts w:ascii="Times New Roman" w:hAnsi="Times New Roman"/>
                <w:b w:val="0"/>
                <w:bCs w:val="0"/>
              </w:rPr>
            </w:pPr>
            <w:r w:rsidRPr="00EA64FC">
              <w:rPr>
                <w:rStyle w:val="Textoennegrita"/>
                <w:rFonts w:ascii="Times New Roman" w:hAnsi="Times New Roman"/>
                <w:b w:val="0"/>
              </w:rPr>
              <w:t>En caso de que el solicitante no desahogue la prevención por omisión ya sea por no presentar el escrito de desahogo en el plazo otorgado para tal efecto o cuando habiéndolo presentado no satisfaga lo requerido en el acuerdo de prevención, la solicitud se tendrá por no presentada, sin perjuicio de que pueda presentarla nuevamente;</w:t>
            </w:r>
          </w:p>
          <w:p w14:paraId="69370B55" w14:textId="48ACB80D" w:rsidR="00456030" w:rsidRPr="00EA64FC" w:rsidRDefault="00456030" w:rsidP="00EA64FC">
            <w:pPr>
              <w:pStyle w:val="Cita"/>
              <w:rPr>
                <w:rStyle w:val="Textoennegrita"/>
                <w:rFonts w:ascii="Times New Roman" w:hAnsi="Times New Roman"/>
                <w:b w:val="0"/>
              </w:rPr>
            </w:pPr>
            <w:r w:rsidRPr="00EA64FC">
              <w:rPr>
                <w:rStyle w:val="Textoennegrita"/>
                <w:rFonts w:ascii="Times New Roman" w:hAnsi="Times New Roman"/>
                <w:b w:val="0"/>
              </w:rPr>
              <w:t xml:space="preserve">IV. </w:t>
            </w:r>
            <w:r w:rsidRPr="00EA64FC">
              <w:rPr>
                <w:rStyle w:val="CitaN"/>
                <w:rFonts w:ascii="Times New Roman" w:hAnsi="Times New Roman"/>
                <w:b w:val="0"/>
              </w:rPr>
              <w:t>Si la solicitud cumple con los requisitos establecidos en la Ley y en las presentes Disposiciones Regulatorias</w:t>
            </w:r>
            <w:r w:rsidRPr="00EA64FC">
              <w:rPr>
                <w:rStyle w:val="Textoennegrita"/>
                <w:rFonts w:ascii="Times New Roman" w:hAnsi="Times New Roman"/>
                <w:b w:val="0"/>
              </w:rPr>
              <w:t xml:space="preserve">, la Autoridad Investigadora emitirá dentro de los cinco días hábiles siguientes a su recepción, </w:t>
            </w:r>
            <w:r w:rsidRPr="00EA64FC">
              <w:rPr>
                <w:rStyle w:val="CitaN"/>
                <w:rFonts w:ascii="Times New Roman" w:hAnsi="Times New Roman"/>
                <w:b w:val="0"/>
              </w:rPr>
              <w:t>el acuerdo por el que la tenga por presentada y suspenda la investigación</w:t>
            </w:r>
            <w:r w:rsidRPr="00EA64FC">
              <w:rPr>
                <w:rStyle w:val="Textoennegrita"/>
                <w:rFonts w:ascii="Times New Roman" w:hAnsi="Times New Roman"/>
                <w:b w:val="0"/>
              </w:rPr>
              <w:t xml:space="preserve">, en el que podrá prevenir al solicitante para que presente las aclaraciones correspondientes. </w:t>
            </w:r>
            <w:r w:rsidRPr="00EA64FC">
              <w:rPr>
                <w:rStyle w:val="Textoennegrita"/>
                <w:rFonts w:ascii="Times New Roman" w:hAnsi="Times New Roman"/>
                <w:b w:val="0"/>
                <w:i w:val="0"/>
              </w:rPr>
              <w:t>[…]</w:t>
            </w:r>
            <w:r w:rsidRPr="00EA64FC">
              <w:rPr>
                <w:rStyle w:val="Textoennegrita"/>
                <w:rFonts w:ascii="Times New Roman" w:hAnsi="Times New Roman"/>
                <w:b w:val="0"/>
              </w:rPr>
              <w:t>”</w:t>
            </w:r>
          </w:p>
          <w:p w14:paraId="7D4F5D95" w14:textId="4FCD1F1B" w:rsidR="00456030" w:rsidRPr="00EA64FC" w:rsidRDefault="00456030" w:rsidP="00EA64FC">
            <w:pPr>
              <w:jc w:val="both"/>
              <w:rPr>
                <w:rFonts w:ascii="Times New Roman" w:hAnsi="Times New Roman"/>
              </w:rPr>
            </w:pPr>
            <w:r w:rsidRPr="00EA64FC">
              <w:rPr>
                <w:rFonts w:ascii="Times New Roman" w:hAnsi="Times New Roman"/>
              </w:rPr>
              <w:t>Como puede observarse, el Anteproyecto propone que la investigación sea suspendida cuando:</w:t>
            </w:r>
          </w:p>
          <w:p w14:paraId="68C62439" w14:textId="4861E8F6" w:rsidR="00456030" w:rsidRPr="00EA64FC" w:rsidRDefault="00456030" w:rsidP="00EA64FC">
            <w:pPr>
              <w:pStyle w:val="Prrafodelista"/>
              <w:numPr>
                <w:ilvl w:val="0"/>
                <w:numId w:val="21"/>
              </w:numPr>
              <w:spacing w:before="120" w:after="120" w:line="240" w:lineRule="auto"/>
              <w:contextualSpacing/>
              <w:jc w:val="both"/>
              <w:rPr>
                <w:rFonts w:ascii="Times New Roman" w:hAnsi="Times New Roman"/>
              </w:rPr>
            </w:pPr>
            <w:r w:rsidRPr="00EA64FC">
              <w:rPr>
                <w:rFonts w:ascii="Times New Roman" w:hAnsi="Times New Roman"/>
              </w:rPr>
              <w:t>el escrito de solicitud cumpla con los requisitos establecidos en las fracciones I y II de la Ley Federal de Competencia Económica, o bien,</w:t>
            </w:r>
          </w:p>
          <w:p w14:paraId="14688BBB" w14:textId="15959478" w:rsidR="00456030" w:rsidRPr="00EA64FC" w:rsidRDefault="00456030" w:rsidP="00EA64FC">
            <w:pPr>
              <w:pStyle w:val="Prrafodelista"/>
              <w:numPr>
                <w:ilvl w:val="0"/>
                <w:numId w:val="21"/>
              </w:numPr>
              <w:spacing w:before="120" w:after="120" w:line="240" w:lineRule="auto"/>
              <w:contextualSpacing/>
              <w:jc w:val="both"/>
              <w:rPr>
                <w:rFonts w:ascii="Times New Roman" w:hAnsi="Times New Roman"/>
              </w:rPr>
            </w:pPr>
            <w:r w:rsidRPr="00EA64FC">
              <w:rPr>
                <w:rFonts w:ascii="Times New Roman" w:hAnsi="Times New Roman"/>
              </w:rPr>
              <w:t>cuando al no cumplir en la presentación del escrito con los requisitos de las fracciones I y II de la Ley Federal de Competencia Económica, estos requisitos son cumplimentados luego de desahogada la prevención que propone el artículo 124-B del Anteproyecto.</w:t>
            </w:r>
          </w:p>
          <w:p w14:paraId="09C5436D" w14:textId="48F9C8D7" w:rsidR="00456030" w:rsidRPr="00EA64FC" w:rsidRDefault="00456030" w:rsidP="00EA64FC">
            <w:pPr>
              <w:jc w:val="both"/>
              <w:rPr>
                <w:rFonts w:ascii="Times New Roman" w:hAnsi="Times New Roman"/>
              </w:rPr>
            </w:pPr>
            <w:r w:rsidRPr="00EA64FC">
              <w:rPr>
                <w:rFonts w:ascii="Times New Roman" w:hAnsi="Times New Roman"/>
              </w:rPr>
              <w:t>No obstante, contraviene lo dispuesto en el artículo 101 de la Ley Federal de Competencia Económica, que a la letra establece:</w:t>
            </w:r>
          </w:p>
          <w:p w14:paraId="6FB872CE" w14:textId="77777777" w:rsidR="00456030" w:rsidRPr="00EA64FC" w:rsidRDefault="00456030" w:rsidP="00EA64FC">
            <w:pPr>
              <w:pStyle w:val="Cita"/>
              <w:rPr>
                <w:rFonts w:ascii="Times New Roman" w:hAnsi="Times New Roman"/>
              </w:rPr>
            </w:pPr>
            <w:r w:rsidRPr="00EA64FC">
              <w:rPr>
                <w:rFonts w:ascii="Times New Roman" w:hAnsi="Times New Roman"/>
              </w:rPr>
              <w:t xml:space="preserve">“Artículo 101. Dentro de los cinco días siguientes a la recepción del escrito al que se refiere el primer párrafo del artículo anterior, la Autoridad Investigadora suspenderá la investigación, podrá prevenir al Agente Económico sujeto a la investigación para que en su caso, en un plazo de cinco días presente las aclaraciones correspondientes </w:t>
            </w:r>
            <w:r w:rsidRPr="00EA64FC">
              <w:rPr>
                <w:rFonts w:ascii="Times New Roman" w:hAnsi="Times New Roman"/>
                <w:i w:val="0"/>
              </w:rPr>
              <w:t>[…]”</w:t>
            </w:r>
          </w:p>
          <w:p w14:paraId="6A766B75" w14:textId="733E1695" w:rsidR="00456030" w:rsidRPr="00EA64FC" w:rsidRDefault="00EA64FC" w:rsidP="00EA64FC">
            <w:pPr>
              <w:jc w:val="both"/>
              <w:rPr>
                <w:rFonts w:ascii="Times New Roman" w:hAnsi="Times New Roman"/>
              </w:rPr>
            </w:pPr>
            <w:r w:rsidRPr="00EA64FC">
              <w:rPr>
                <w:rFonts w:ascii="Times New Roman" w:hAnsi="Times New Roman"/>
              </w:rPr>
              <w:t>En este tenor</w:t>
            </w:r>
            <w:r w:rsidR="00456030" w:rsidRPr="00EA64FC">
              <w:rPr>
                <w:rFonts w:ascii="Times New Roman" w:hAnsi="Times New Roman"/>
              </w:rPr>
              <w:t xml:space="preserve">, de acuerdo con la </w:t>
            </w:r>
            <w:r w:rsidRPr="00EA64FC">
              <w:rPr>
                <w:rFonts w:ascii="Times New Roman" w:hAnsi="Times New Roman"/>
              </w:rPr>
              <w:t>Ley Federal de Competencia Económica</w:t>
            </w:r>
            <w:r w:rsidR="00456030" w:rsidRPr="00EA64FC">
              <w:rPr>
                <w:rFonts w:ascii="Times New Roman" w:hAnsi="Times New Roman"/>
              </w:rPr>
              <w:t xml:space="preserve">, el procedimiento de investigación debe suspenderse dentro de los cinco días </w:t>
            </w:r>
            <w:r w:rsidR="00456030" w:rsidRPr="00EA64FC">
              <w:rPr>
                <w:rFonts w:ascii="Times New Roman" w:hAnsi="Times New Roman"/>
              </w:rPr>
              <w:lastRenderedPageBreak/>
              <w:t xml:space="preserve">posteriores a la presentación del escrito por parte del solicitante, y no a partir de que la </w:t>
            </w:r>
            <w:r w:rsidRPr="00EA64FC">
              <w:rPr>
                <w:rFonts w:ascii="Times New Roman" w:hAnsi="Times New Roman"/>
              </w:rPr>
              <w:t>Autoridad Investigadora</w:t>
            </w:r>
            <w:r w:rsidR="00456030" w:rsidRPr="00EA64FC">
              <w:rPr>
                <w:rFonts w:ascii="Times New Roman" w:hAnsi="Times New Roman"/>
              </w:rPr>
              <w:t xml:space="preserve"> emite el acuerdo por medio del cual tiene por presentado el escrito o algún otro plazo. </w:t>
            </w:r>
          </w:p>
          <w:p w14:paraId="36BE4029" w14:textId="77777777" w:rsidR="00EA64FC" w:rsidRPr="00EA64FC" w:rsidRDefault="00456030" w:rsidP="00EA64FC">
            <w:pPr>
              <w:jc w:val="both"/>
              <w:rPr>
                <w:rFonts w:ascii="Times New Roman" w:hAnsi="Times New Roman"/>
              </w:rPr>
            </w:pPr>
            <w:r w:rsidRPr="00EA64FC">
              <w:rPr>
                <w:rFonts w:ascii="Times New Roman" w:hAnsi="Times New Roman"/>
              </w:rPr>
              <w:t xml:space="preserve">También debe observarse que conforme al artículo 101 de la </w:t>
            </w:r>
            <w:r w:rsidR="00EA64FC" w:rsidRPr="00EA64FC">
              <w:rPr>
                <w:rFonts w:ascii="Times New Roman" w:hAnsi="Times New Roman"/>
              </w:rPr>
              <w:t>Ley Federal de Competencia Económica</w:t>
            </w:r>
            <w:r w:rsidRPr="00EA64FC">
              <w:rPr>
                <w:rFonts w:ascii="Times New Roman" w:hAnsi="Times New Roman"/>
              </w:rPr>
              <w:t>, la prevención debería realizarse una vez suspendido el procedimiento de investigación, y que esta prevención corresponde a las aclaraciones que el Instituto</w:t>
            </w:r>
            <w:r w:rsidR="00EA64FC" w:rsidRPr="00EA64FC">
              <w:rPr>
                <w:rFonts w:ascii="Times New Roman" w:hAnsi="Times New Roman"/>
              </w:rPr>
              <w:t xml:space="preserve"> Federal de Telecomunicaciones</w:t>
            </w:r>
            <w:r w:rsidRPr="00EA64FC">
              <w:rPr>
                <w:rFonts w:ascii="Times New Roman" w:hAnsi="Times New Roman"/>
              </w:rPr>
              <w:t xml:space="preserve"> considere. </w:t>
            </w:r>
          </w:p>
          <w:p w14:paraId="3FF5ADB4" w14:textId="3D409CE9" w:rsidR="00456030" w:rsidRPr="00EA64FC" w:rsidRDefault="00456030" w:rsidP="00EA64FC">
            <w:pPr>
              <w:jc w:val="both"/>
              <w:rPr>
                <w:rFonts w:ascii="Times New Roman" w:hAnsi="Times New Roman"/>
              </w:rPr>
            </w:pPr>
            <w:r w:rsidRPr="00EA64FC">
              <w:rPr>
                <w:rFonts w:ascii="Times New Roman" w:hAnsi="Times New Roman"/>
              </w:rPr>
              <w:t xml:space="preserve">En consecuencia, las dos prevenciones contempladas por el </w:t>
            </w:r>
            <w:r w:rsidR="00EA64FC" w:rsidRPr="00EA64FC">
              <w:rPr>
                <w:rFonts w:ascii="Times New Roman" w:hAnsi="Times New Roman"/>
              </w:rPr>
              <w:t>Antep</w:t>
            </w:r>
            <w:r w:rsidRPr="00EA64FC">
              <w:rPr>
                <w:rFonts w:ascii="Times New Roman" w:hAnsi="Times New Roman"/>
              </w:rPr>
              <w:t xml:space="preserve">royecto resultan inadecuadas y contravienen lo establecido por la </w:t>
            </w:r>
            <w:r w:rsidR="00EA64FC" w:rsidRPr="00EA64FC">
              <w:rPr>
                <w:rFonts w:ascii="Times New Roman" w:hAnsi="Times New Roman"/>
              </w:rPr>
              <w:t>Ley Federal de Competencia Económica.</w:t>
            </w:r>
          </w:p>
        </w:tc>
      </w:tr>
      <w:tr w:rsidR="00A42AB9" w14:paraId="6E4D0F86"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533275FF" w14:textId="1BB801E5" w:rsidR="00A42AB9" w:rsidRPr="00EA64FC" w:rsidRDefault="002B56BC">
            <w:pPr>
              <w:spacing w:after="0" w:line="240" w:lineRule="auto"/>
              <w:jc w:val="center"/>
              <w:rPr>
                <w:rFonts w:ascii="Times New Roman" w:eastAsia="Times New Roman" w:hAnsi="Times New Roman"/>
                <w:color w:val="000000"/>
                <w:lang w:eastAsia="es-MX"/>
              </w:rPr>
            </w:pPr>
            <w:r w:rsidRPr="00EA64FC">
              <w:rPr>
                <w:rFonts w:ascii="Times New Roman" w:eastAsia="Times New Roman" w:hAnsi="Times New Roman"/>
                <w:color w:val="000000"/>
                <w:lang w:eastAsia="es-MX"/>
              </w:rPr>
              <w:lastRenderedPageBreak/>
              <w:t>Artículo 124-B, fracción III, párrafo III del Anteproyecto</w:t>
            </w:r>
          </w:p>
        </w:tc>
        <w:tc>
          <w:tcPr>
            <w:tcW w:w="6893" w:type="dxa"/>
            <w:tcBorders>
              <w:top w:val="single" w:sz="4" w:space="0" w:color="auto"/>
              <w:left w:val="single" w:sz="4" w:space="0" w:color="auto"/>
              <w:bottom w:val="single" w:sz="4" w:space="0" w:color="auto"/>
              <w:right w:val="single" w:sz="4" w:space="0" w:color="auto"/>
            </w:tcBorders>
            <w:vAlign w:val="center"/>
          </w:tcPr>
          <w:p w14:paraId="3ABDDC24" w14:textId="78CEBADD" w:rsidR="002B56BC" w:rsidRPr="00EA64FC" w:rsidRDefault="002B56BC" w:rsidP="00EA64FC">
            <w:pPr>
              <w:spacing w:after="0" w:line="240" w:lineRule="auto"/>
              <w:jc w:val="both"/>
              <w:rPr>
                <w:rFonts w:ascii="Times New Roman" w:eastAsia="Times New Roman" w:hAnsi="Times New Roman"/>
                <w:color w:val="000000"/>
                <w:lang w:eastAsia="es-MX"/>
              </w:rPr>
            </w:pPr>
            <w:r w:rsidRPr="00EA64FC">
              <w:rPr>
                <w:rFonts w:ascii="Times New Roman" w:eastAsia="Times New Roman" w:hAnsi="Times New Roman"/>
                <w:color w:val="000000"/>
                <w:lang w:eastAsia="es-MX"/>
              </w:rPr>
              <w:t>Dicho precepto refiere en su parte específica lo siguiente:</w:t>
            </w:r>
            <w:r w:rsidR="00EA64FC">
              <w:rPr>
                <w:rFonts w:ascii="Times New Roman" w:eastAsia="Times New Roman" w:hAnsi="Times New Roman"/>
                <w:color w:val="000000"/>
                <w:lang w:eastAsia="es-MX"/>
              </w:rPr>
              <w:t xml:space="preserve"> </w:t>
            </w:r>
            <w:r w:rsidRPr="00EA64FC">
              <w:rPr>
                <w:rFonts w:ascii="Times New Roman" w:eastAsia="Times New Roman" w:hAnsi="Times New Roman"/>
                <w:color w:val="000000"/>
                <w:lang w:eastAsia="es-MX"/>
              </w:rPr>
              <w:t>“</w:t>
            </w:r>
            <w:r w:rsidRPr="00EA64FC">
              <w:rPr>
                <w:rFonts w:ascii="Times New Roman" w:hAnsi="Times New Roman"/>
                <w:i/>
                <w:sz w:val="20"/>
              </w:rPr>
              <w:t>Si el solicitante desahoga la prevención por las omisiones señaladas, la Autoridad Investigadora emitirá dentro de los cinco días hábiles siguientes, el acuerdo por el que tenga por presentada la solicitud y suspenda la investigación, sin perjuicio de que pueda solicitar aclaraciones en términos de la fracción IV siguiente</w:t>
            </w:r>
            <w:r w:rsidRPr="00EA64FC">
              <w:rPr>
                <w:rFonts w:ascii="Times New Roman" w:hAnsi="Times New Roman"/>
              </w:rPr>
              <w:t>”.</w:t>
            </w:r>
          </w:p>
          <w:p w14:paraId="1A0D60AA" w14:textId="77777777" w:rsidR="002B56BC" w:rsidRPr="00EA64FC" w:rsidRDefault="002B56BC" w:rsidP="00EA64FC">
            <w:pPr>
              <w:spacing w:after="0" w:line="240" w:lineRule="auto"/>
              <w:jc w:val="both"/>
              <w:rPr>
                <w:rFonts w:ascii="Times New Roman" w:hAnsi="Times New Roman"/>
              </w:rPr>
            </w:pPr>
          </w:p>
          <w:p w14:paraId="63907FC5" w14:textId="77777777" w:rsidR="002B56BC" w:rsidRPr="00EA64FC" w:rsidRDefault="002B56BC" w:rsidP="00EA64FC">
            <w:pPr>
              <w:spacing w:after="0" w:line="240" w:lineRule="auto"/>
              <w:jc w:val="both"/>
              <w:rPr>
                <w:rFonts w:ascii="Times New Roman" w:hAnsi="Times New Roman"/>
              </w:rPr>
            </w:pPr>
            <w:r w:rsidRPr="00EA64FC">
              <w:rPr>
                <w:rFonts w:ascii="Times New Roman" w:hAnsi="Times New Roman"/>
              </w:rPr>
              <w:t>Se sugiere aclarar que en ese mismo acuerdo la Autoridad Investigadora dará vista, en su caso, al denunciante de la versión reservada de los escritos presentados por el denunciante para que en un plazo de 5 días hábiles manifieste lo que a su derecho convenga.</w:t>
            </w:r>
          </w:p>
          <w:p w14:paraId="1755B3AB" w14:textId="77777777" w:rsidR="002B56BC" w:rsidRPr="00EA64FC" w:rsidRDefault="002B56BC" w:rsidP="00EA64FC">
            <w:pPr>
              <w:spacing w:after="0" w:line="240" w:lineRule="auto"/>
              <w:jc w:val="both"/>
              <w:rPr>
                <w:rFonts w:ascii="Times New Roman" w:hAnsi="Times New Roman"/>
              </w:rPr>
            </w:pPr>
          </w:p>
          <w:p w14:paraId="58EA6B46" w14:textId="77777777" w:rsidR="002B56BC" w:rsidRPr="00EA64FC" w:rsidRDefault="002B56BC" w:rsidP="00EA64FC">
            <w:pPr>
              <w:spacing w:after="0" w:line="240" w:lineRule="auto"/>
              <w:jc w:val="both"/>
              <w:rPr>
                <w:rFonts w:ascii="Times New Roman" w:hAnsi="Times New Roman"/>
              </w:rPr>
            </w:pPr>
            <w:r w:rsidRPr="00EA64FC">
              <w:rPr>
                <w:rFonts w:ascii="Times New Roman" w:hAnsi="Times New Roman"/>
              </w:rPr>
              <w:t>Asimismo, se solicita aclare el Anteproyecto la forma en que se dará vista al denunciante de dichos escritos, ya sea por notificación personal o por listas.</w:t>
            </w:r>
          </w:p>
          <w:p w14:paraId="4DBA000A" w14:textId="77777777" w:rsidR="002B56BC" w:rsidRPr="00EA64FC" w:rsidRDefault="002B56BC" w:rsidP="00EA64FC">
            <w:pPr>
              <w:spacing w:after="0" w:line="240" w:lineRule="auto"/>
              <w:jc w:val="both"/>
              <w:rPr>
                <w:rFonts w:ascii="Times New Roman" w:hAnsi="Times New Roman"/>
              </w:rPr>
            </w:pPr>
          </w:p>
          <w:p w14:paraId="51E58C88" w14:textId="0721A1ED" w:rsidR="002B56BC" w:rsidRPr="00EA64FC" w:rsidRDefault="002B56BC" w:rsidP="00EA64FC">
            <w:pPr>
              <w:spacing w:after="0" w:line="240" w:lineRule="auto"/>
              <w:jc w:val="both"/>
              <w:rPr>
                <w:rFonts w:ascii="Times New Roman" w:eastAsia="Times New Roman" w:hAnsi="Times New Roman"/>
                <w:color w:val="000000"/>
                <w:lang w:eastAsia="es-MX"/>
              </w:rPr>
            </w:pPr>
            <w:r w:rsidRPr="00EA64FC">
              <w:rPr>
                <w:rFonts w:ascii="Times New Roman" w:hAnsi="Times New Roman"/>
              </w:rPr>
              <w:t>Finalmente, se solicita se aclare en el Anteproyecto qué procederá en caso de que el Agente Económico sujeto a la investigación no presente la versión reservada de los escritos referidos, o bien, si dicha versión clasificó la información como confidencial en exceso, situación que le impediría al denunciante pronunciarse respecto a lo que su derecho convenga.</w:t>
            </w:r>
          </w:p>
        </w:tc>
      </w:tr>
      <w:tr w:rsidR="00A42AB9" w14:paraId="011382D2"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1D598AE2" w14:textId="24DF437A" w:rsidR="00A42AB9" w:rsidRPr="00EA64FC" w:rsidRDefault="00AD68D3">
            <w:pPr>
              <w:spacing w:after="0" w:line="240" w:lineRule="auto"/>
              <w:jc w:val="center"/>
              <w:rPr>
                <w:rFonts w:ascii="Times New Roman" w:eastAsia="Times New Roman" w:hAnsi="Times New Roman"/>
                <w:color w:val="000000"/>
                <w:lang w:eastAsia="es-MX"/>
              </w:rPr>
            </w:pPr>
            <w:r w:rsidRPr="00EA64FC">
              <w:rPr>
                <w:rFonts w:ascii="Times New Roman" w:eastAsia="Times New Roman" w:hAnsi="Times New Roman"/>
                <w:color w:val="000000"/>
                <w:lang w:eastAsia="es-MX"/>
              </w:rPr>
              <w:t>Artículo 124-B, fracción VII del Anteproyecto</w:t>
            </w:r>
          </w:p>
        </w:tc>
        <w:tc>
          <w:tcPr>
            <w:tcW w:w="6893" w:type="dxa"/>
            <w:tcBorders>
              <w:top w:val="single" w:sz="4" w:space="0" w:color="auto"/>
              <w:left w:val="single" w:sz="4" w:space="0" w:color="auto"/>
              <w:bottom w:val="single" w:sz="4" w:space="0" w:color="auto"/>
              <w:right w:val="single" w:sz="4" w:space="0" w:color="auto"/>
            </w:tcBorders>
            <w:vAlign w:val="center"/>
          </w:tcPr>
          <w:p w14:paraId="1A9D7693" w14:textId="5F1AC11E" w:rsidR="00AD68D3" w:rsidRPr="00EA64FC" w:rsidRDefault="00AD68D3" w:rsidP="00EA64FC">
            <w:pPr>
              <w:spacing w:after="0" w:line="240" w:lineRule="auto"/>
              <w:jc w:val="both"/>
              <w:rPr>
                <w:rFonts w:ascii="Times New Roman" w:hAnsi="Times New Roman"/>
              </w:rPr>
            </w:pPr>
            <w:r w:rsidRPr="00EA64FC">
              <w:rPr>
                <w:rFonts w:ascii="Times New Roman" w:eastAsia="Times New Roman" w:hAnsi="Times New Roman"/>
                <w:color w:val="000000"/>
                <w:lang w:eastAsia="es-MX"/>
              </w:rPr>
              <w:t>Dicho precepto refiere lo siguiente:</w:t>
            </w:r>
            <w:r w:rsidR="00EA64FC">
              <w:rPr>
                <w:rFonts w:ascii="Times New Roman" w:eastAsia="Times New Roman" w:hAnsi="Times New Roman"/>
                <w:color w:val="000000"/>
                <w:lang w:eastAsia="es-MX"/>
              </w:rPr>
              <w:t xml:space="preserve"> </w:t>
            </w:r>
            <w:r w:rsidRPr="00EA64FC">
              <w:rPr>
                <w:rFonts w:ascii="Times New Roman" w:eastAsia="Times New Roman" w:hAnsi="Times New Roman"/>
                <w:color w:val="000000"/>
                <w:lang w:eastAsia="es-MX"/>
              </w:rPr>
              <w:t>“</w:t>
            </w:r>
            <w:r w:rsidRPr="00EA64FC">
              <w:rPr>
                <w:rFonts w:ascii="Times New Roman" w:hAnsi="Times New Roman"/>
                <w:b/>
                <w:i/>
                <w:sz w:val="20"/>
              </w:rPr>
              <w:t>VII.</w:t>
            </w:r>
            <w:r w:rsidRPr="00EA64FC">
              <w:rPr>
                <w:rFonts w:ascii="Times New Roman" w:hAnsi="Times New Roman"/>
                <w:i/>
                <w:sz w:val="20"/>
              </w:rPr>
              <w:t xml:space="preserve"> El Pleno contará con un plazo de veinte días hábiles para emitir la resolución</w:t>
            </w:r>
            <w:r w:rsidRPr="00EA64FC">
              <w:rPr>
                <w:rFonts w:ascii="Times New Roman" w:hAnsi="Times New Roman"/>
              </w:rPr>
              <w:t>”; sin embargo, no refiere a partir de cuándo se computará dicho plazo.</w:t>
            </w:r>
          </w:p>
          <w:p w14:paraId="78C6C39F" w14:textId="77777777" w:rsidR="00FC1507" w:rsidRPr="00EA64FC" w:rsidRDefault="00FC1507" w:rsidP="00EA64FC">
            <w:pPr>
              <w:spacing w:after="0" w:line="240" w:lineRule="auto"/>
              <w:jc w:val="both"/>
              <w:rPr>
                <w:rFonts w:ascii="Times New Roman" w:hAnsi="Times New Roman"/>
              </w:rPr>
            </w:pPr>
          </w:p>
          <w:p w14:paraId="1E631E52" w14:textId="77777777" w:rsidR="00A649EF" w:rsidRPr="00EA64FC" w:rsidRDefault="00FC1507" w:rsidP="00EA64FC">
            <w:pPr>
              <w:spacing w:after="0" w:line="240" w:lineRule="auto"/>
              <w:jc w:val="both"/>
              <w:rPr>
                <w:rFonts w:ascii="Times New Roman" w:hAnsi="Times New Roman"/>
              </w:rPr>
            </w:pPr>
            <w:r w:rsidRPr="00EA64FC">
              <w:rPr>
                <w:rFonts w:ascii="Times New Roman" w:hAnsi="Times New Roman"/>
              </w:rPr>
              <w:t>Asimismo, se sugiere que dicho plazo incluya la notificación de dicha determinación, ya que se trata de un procedimiento con plazos cortos y que requieren celeridad en su desahogo, ya que media la suspensión de una investigación de orden público e interés general.</w:t>
            </w:r>
            <w:r w:rsidR="00A649EF" w:rsidRPr="00EA64FC">
              <w:rPr>
                <w:rFonts w:ascii="Times New Roman" w:hAnsi="Times New Roman"/>
              </w:rPr>
              <w:t xml:space="preserve"> </w:t>
            </w:r>
          </w:p>
          <w:p w14:paraId="5B0A8B36" w14:textId="77777777" w:rsidR="00A649EF" w:rsidRPr="00EA64FC" w:rsidRDefault="00A649EF" w:rsidP="00EA64FC">
            <w:pPr>
              <w:spacing w:after="0" w:line="240" w:lineRule="auto"/>
              <w:jc w:val="both"/>
              <w:rPr>
                <w:rFonts w:ascii="Times New Roman" w:hAnsi="Times New Roman"/>
              </w:rPr>
            </w:pPr>
          </w:p>
          <w:p w14:paraId="0F31B5AE" w14:textId="4AD1F623" w:rsidR="00FC1507" w:rsidRPr="00EA64FC" w:rsidRDefault="00A649EF" w:rsidP="00EA64FC">
            <w:pPr>
              <w:spacing w:after="0" w:line="240" w:lineRule="auto"/>
              <w:jc w:val="both"/>
              <w:rPr>
                <w:rFonts w:ascii="Times New Roman" w:eastAsia="Times New Roman" w:hAnsi="Times New Roman"/>
                <w:color w:val="000000"/>
                <w:lang w:eastAsia="es-MX"/>
              </w:rPr>
            </w:pPr>
            <w:r w:rsidRPr="00EA64FC">
              <w:rPr>
                <w:rFonts w:ascii="Times New Roman" w:hAnsi="Times New Roman"/>
              </w:rPr>
              <w:t xml:space="preserve">En consecuencia, se sugiere eliminar </w:t>
            </w:r>
            <w:r w:rsidR="005026EC" w:rsidRPr="00EA64FC">
              <w:rPr>
                <w:rFonts w:ascii="Times New Roman" w:hAnsi="Times New Roman"/>
              </w:rPr>
              <w:t>los</w:t>
            </w:r>
            <w:r w:rsidRPr="00EA64FC">
              <w:rPr>
                <w:rFonts w:ascii="Times New Roman" w:hAnsi="Times New Roman"/>
              </w:rPr>
              <w:t xml:space="preserve"> artículo</w:t>
            </w:r>
            <w:r w:rsidR="005026EC" w:rsidRPr="00EA64FC">
              <w:rPr>
                <w:rFonts w:ascii="Times New Roman" w:hAnsi="Times New Roman"/>
              </w:rPr>
              <w:t>s</w:t>
            </w:r>
            <w:r w:rsidRPr="00EA64FC">
              <w:rPr>
                <w:rFonts w:ascii="Times New Roman" w:hAnsi="Times New Roman"/>
              </w:rPr>
              <w:t xml:space="preserve"> 124-E</w:t>
            </w:r>
            <w:r w:rsidR="005026EC" w:rsidRPr="00EA64FC">
              <w:rPr>
                <w:rFonts w:ascii="Times New Roman" w:hAnsi="Times New Roman"/>
              </w:rPr>
              <w:t xml:space="preserve"> y 124-G</w:t>
            </w:r>
            <w:r w:rsidRPr="00EA64FC">
              <w:rPr>
                <w:rFonts w:ascii="Times New Roman" w:hAnsi="Times New Roman"/>
              </w:rPr>
              <w:t xml:space="preserve"> del Anteproyecto, ya que no se establece un plazo para que la Secretaría Técnica del Pleno le notifique a la Autoridad Investigadora dicha resolución, situación que crea un espacio para dilatar un procedimiento especial, con reglas y plazos procesales extraordinarios.</w:t>
            </w:r>
          </w:p>
        </w:tc>
      </w:tr>
      <w:tr w:rsidR="00A42AB9" w14:paraId="5D401052"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648E6503" w14:textId="4537C2CE" w:rsidR="00A42AB9" w:rsidRPr="00EA64FC" w:rsidRDefault="00FC1507">
            <w:pPr>
              <w:spacing w:after="0" w:line="240" w:lineRule="auto"/>
              <w:jc w:val="center"/>
              <w:rPr>
                <w:rFonts w:ascii="Times New Roman" w:eastAsia="Times New Roman" w:hAnsi="Times New Roman"/>
                <w:color w:val="000000"/>
                <w:lang w:eastAsia="es-MX"/>
              </w:rPr>
            </w:pPr>
            <w:r w:rsidRPr="00EA64FC">
              <w:rPr>
                <w:rFonts w:ascii="Times New Roman" w:eastAsia="Times New Roman" w:hAnsi="Times New Roman"/>
                <w:color w:val="000000"/>
                <w:lang w:eastAsia="es-MX"/>
              </w:rPr>
              <w:lastRenderedPageBreak/>
              <w:t>Artículo 124-C, fracción I del Anteproyecto</w:t>
            </w:r>
          </w:p>
        </w:tc>
        <w:tc>
          <w:tcPr>
            <w:tcW w:w="6893" w:type="dxa"/>
            <w:tcBorders>
              <w:top w:val="single" w:sz="4" w:space="0" w:color="auto"/>
              <w:left w:val="single" w:sz="4" w:space="0" w:color="auto"/>
              <w:bottom w:val="single" w:sz="4" w:space="0" w:color="auto"/>
              <w:right w:val="single" w:sz="4" w:space="0" w:color="auto"/>
            </w:tcBorders>
            <w:vAlign w:val="center"/>
          </w:tcPr>
          <w:p w14:paraId="5F678297" w14:textId="77777777" w:rsidR="00A42AB9" w:rsidRPr="00EA64FC" w:rsidRDefault="00FC1507" w:rsidP="00EA64FC">
            <w:pPr>
              <w:spacing w:after="0" w:line="240" w:lineRule="auto"/>
              <w:jc w:val="both"/>
              <w:rPr>
                <w:rFonts w:ascii="Times New Roman" w:eastAsia="Times New Roman" w:hAnsi="Times New Roman"/>
                <w:color w:val="000000"/>
                <w:lang w:eastAsia="es-MX"/>
              </w:rPr>
            </w:pPr>
            <w:r w:rsidRPr="00EA64FC">
              <w:rPr>
                <w:rFonts w:ascii="Times New Roman" w:eastAsia="Times New Roman" w:hAnsi="Times New Roman"/>
                <w:color w:val="000000"/>
                <w:lang w:eastAsia="es-MX"/>
              </w:rPr>
              <w:t>La redacción de precepto resulta un tanto confuso, ya que el enunciado hace alusión en dos ocasiones a la “solicitud”. Se sugiere revisar redacción.</w:t>
            </w:r>
          </w:p>
          <w:p w14:paraId="41179DF9" w14:textId="77777777" w:rsidR="00FC1507" w:rsidRPr="00EA64FC" w:rsidRDefault="00FC1507" w:rsidP="00EA64FC">
            <w:pPr>
              <w:spacing w:after="0" w:line="240" w:lineRule="auto"/>
              <w:jc w:val="both"/>
              <w:rPr>
                <w:rFonts w:ascii="Times New Roman" w:eastAsia="Times New Roman" w:hAnsi="Times New Roman"/>
                <w:color w:val="000000"/>
                <w:lang w:eastAsia="es-MX"/>
              </w:rPr>
            </w:pPr>
          </w:p>
          <w:p w14:paraId="7493DC46" w14:textId="77777777" w:rsidR="00FC1507" w:rsidRPr="00EA64FC" w:rsidRDefault="00FC1507" w:rsidP="00EA64FC">
            <w:pPr>
              <w:spacing w:after="0" w:line="240" w:lineRule="auto"/>
              <w:jc w:val="both"/>
              <w:rPr>
                <w:rFonts w:ascii="Times New Roman" w:eastAsia="Times New Roman" w:hAnsi="Times New Roman"/>
                <w:color w:val="000000"/>
                <w:lang w:eastAsia="es-MX"/>
              </w:rPr>
            </w:pPr>
            <w:r w:rsidRPr="00EA64FC">
              <w:rPr>
                <w:rFonts w:ascii="Times New Roman" w:eastAsia="Times New Roman" w:hAnsi="Times New Roman"/>
                <w:color w:val="000000"/>
                <w:lang w:eastAsia="es-MX"/>
              </w:rPr>
              <w:t>Ahora bien, el hecho de que una solicitud se haya presentado y resuelto por el Pleno, ello no quiere decir que proceda su desechamiento por notoria improcedencia.</w:t>
            </w:r>
          </w:p>
          <w:p w14:paraId="69BDD8FA" w14:textId="77777777" w:rsidR="00FC1507" w:rsidRPr="00EA64FC" w:rsidRDefault="00FC1507" w:rsidP="00EA64FC">
            <w:pPr>
              <w:spacing w:after="0" w:line="240" w:lineRule="auto"/>
              <w:jc w:val="both"/>
              <w:rPr>
                <w:rFonts w:ascii="Times New Roman" w:eastAsia="Times New Roman" w:hAnsi="Times New Roman"/>
                <w:color w:val="000000"/>
                <w:lang w:eastAsia="es-MX"/>
              </w:rPr>
            </w:pPr>
          </w:p>
          <w:p w14:paraId="2F221FD1" w14:textId="77777777" w:rsidR="00FC1507" w:rsidRPr="00EA64FC" w:rsidRDefault="00FC1507" w:rsidP="00EA64FC">
            <w:pPr>
              <w:spacing w:after="0" w:line="240" w:lineRule="auto"/>
              <w:jc w:val="both"/>
              <w:rPr>
                <w:rFonts w:ascii="Times New Roman" w:eastAsia="Times New Roman" w:hAnsi="Times New Roman"/>
                <w:color w:val="000000"/>
                <w:lang w:eastAsia="es-MX"/>
              </w:rPr>
            </w:pPr>
            <w:r w:rsidRPr="00EA64FC">
              <w:rPr>
                <w:rFonts w:ascii="Times New Roman" w:eastAsia="Times New Roman" w:hAnsi="Times New Roman"/>
                <w:color w:val="000000"/>
                <w:lang w:eastAsia="es-MX"/>
              </w:rPr>
              <w:t>En efecto, si la solicitud fue resuelta de manera favorable no tiene sentido la presentación de una nueva solicitud, ya que el expediente estaría sujeto a compromisos, o bien, concluido.</w:t>
            </w:r>
          </w:p>
          <w:p w14:paraId="42283F21" w14:textId="77777777" w:rsidR="00FC1507" w:rsidRPr="00EA64FC" w:rsidRDefault="00FC1507" w:rsidP="00EA64FC">
            <w:pPr>
              <w:spacing w:after="0" w:line="240" w:lineRule="auto"/>
              <w:jc w:val="both"/>
              <w:rPr>
                <w:rFonts w:ascii="Times New Roman" w:eastAsia="Times New Roman" w:hAnsi="Times New Roman"/>
                <w:color w:val="000000"/>
                <w:lang w:eastAsia="es-MX"/>
              </w:rPr>
            </w:pPr>
          </w:p>
          <w:p w14:paraId="10E16C9F" w14:textId="77777777" w:rsidR="00FC1507" w:rsidRPr="00EA64FC" w:rsidRDefault="00FC1507" w:rsidP="00EA64FC">
            <w:pPr>
              <w:spacing w:after="0" w:line="240" w:lineRule="auto"/>
              <w:jc w:val="both"/>
              <w:rPr>
                <w:rFonts w:ascii="Times New Roman" w:eastAsia="Times New Roman" w:hAnsi="Times New Roman"/>
                <w:color w:val="000000"/>
                <w:lang w:eastAsia="es-MX"/>
              </w:rPr>
            </w:pPr>
            <w:r w:rsidRPr="00EA64FC">
              <w:rPr>
                <w:rFonts w:ascii="Times New Roman" w:eastAsia="Times New Roman" w:hAnsi="Times New Roman"/>
                <w:color w:val="000000"/>
                <w:lang w:eastAsia="es-MX"/>
              </w:rPr>
              <w:t>Si la solicitud es rechazada por el Pleno pero se trata de un Agente Económico sujeto a investigación diverso, esta nueva solicitud debe ser atendida por el Instituto Federal de Telecomunicaciones y para ello deberá fundar y motivar los razonamientos que atiendan, en lo particular, las pretensiones de dicho solicitante.</w:t>
            </w:r>
          </w:p>
          <w:p w14:paraId="58EA95CD" w14:textId="77777777" w:rsidR="00FC1507" w:rsidRPr="00EA64FC" w:rsidRDefault="00FC1507" w:rsidP="00EA64FC">
            <w:pPr>
              <w:spacing w:after="0" w:line="240" w:lineRule="auto"/>
              <w:jc w:val="both"/>
              <w:rPr>
                <w:rFonts w:ascii="Times New Roman" w:eastAsia="Times New Roman" w:hAnsi="Times New Roman"/>
                <w:color w:val="000000"/>
                <w:lang w:eastAsia="es-MX"/>
              </w:rPr>
            </w:pPr>
          </w:p>
          <w:p w14:paraId="45C6232B" w14:textId="318B1D99" w:rsidR="00FC1507" w:rsidRPr="00EA64FC" w:rsidRDefault="00FC1507" w:rsidP="00EA64FC">
            <w:pPr>
              <w:spacing w:after="0" w:line="240" w:lineRule="auto"/>
              <w:jc w:val="both"/>
              <w:rPr>
                <w:rFonts w:ascii="Times New Roman" w:eastAsia="Times New Roman" w:hAnsi="Times New Roman"/>
                <w:color w:val="000000"/>
                <w:lang w:eastAsia="es-MX"/>
              </w:rPr>
            </w:pPr>
            <w:r w:rsidRPr="00EA64FC">
              <w:rPr>
                <w:rFonts w:ascii="Times New Roman" w:eastAsia="Times New Roman" w:hAnsi="Times New Roman"/>
                <w:color w:val="000000"/>
                <w:lang w:eastAsia="es-MX"/>
              </w:rPr>
              <w:t>En consecuencia, se sugiere revisar el alcance de dicha disposición.</w:t>
            </w:r>
          </w:p>
        </w:tc>
      </w:tr>
      <w:tr w:rsidR="00A42AB9" w14:paraId="1BC16D92"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7DBF029C" w14:textId="2213F0B4" w:rsidR="00A42AB9" w:rsidRPr="00EA64FC" w:rsidRDefault="00FC1507">
            <w:pPr>
              <w:spacing w:after="0" w:line="240" w:lineRule="auto"/>
              <w:jc w:val="center"/>
              <w:rPr>
                <w:rFonts w:ascii="Times New Roman" w:eastAsia="Times New Roman" w:hAnsi="Times New Roman"/>
                <w:color w:val="000000"/>
                <w:lang w:eastAsia="es-MX"/>
              </w:rPr>
            </w:pPr>
            <w:r w:rsidRPr="00EA64FC">
              <w:rPr>
                <w:rFonts w:ascii="Times New Roman" w:eastAsia="Times New Roman" w:hAnsi="Times New Roman"/>
                <w:color w:val="000000"/>
                <w:lang w:eastAsia="es-MX"/>
              </w:rPr>
              <w:t>Artículo 124-C, fracción II del Anteproyecto</w:t>
            </w:r>
          </w:p>
        </w:tc>
        <w:tc>
          <w:tcPr>
            <w:tcW w:w="6893" w:type="dxa"/>
            <w:tcBorders>
              <w:top w:val="single" w:sz="4" w:space="0" w:color="auto"/>
              <w:left w:val="single" w:sz="4" w:space="0" w:color="auto"/>
              <w:bottom w:val="single" w:sz="4" w:space="0" w:color="auto"/>
              <w:right w:val="single" w:sz="4" w:space="0" w:color="auto"/>
            </w:tcBorders>
            <w:vAlign w:val="center"/>
          </w:tcPr>
          <w:p w14:paraId="23D41F4C" w14:textId="44002B6F" w:rsidR="00A42AB9" w:rsidRPr="00EA64FC" w:rsidRDefault="00FC1507" w:rsidP="00EA64FC">
            <w:pPr>
              <w:spacing w:after="0" w:line="240" w:lineRule="auto"/>
              <w:jc w:val="both"/>
              <w:rPr>
                <w:rFonts w:ascii="Times New Roman" w:eastAsia="Times New Roman" w:hAnsi="Times New Roman"/>
                <w:color w:val="000000"/>
                <w:lang w:eastAsia="es-MX"/>
              </w:rPr>
            </w:pPr>
            <w:r w:rsidRPr="00EA64FC">
              <w:rPr>
                <w:rFonts w:ascii="Times New Roman" w:eastAsia="Times New Roman" w:hAnsi="Times New Roman"/>
                <w:color w:val="000000"/>
                <w:lang w:eastAsia="es-MX"/>
              </w:rPr>
              <w:t>Se solicita aclarar si el alcance de dicha disposición lo tendrán las empresas que formen parte del mismo Grupo de Interés Econ</w:t>
            </w:r>
            <w:r w:rsidR="00A649EF" w:rsidRPr="00EA64FC">
              <w:rPr>
                <w:rFonts w:ascii="Times New Roman" w:eastAsia="Times New Roman" w:hAnsi="Times New Roman"/>
                <w:color w:val="000000"/>
                <w:lang w:eastAsia="es-MX"/>
              </w:rPr>
              <w:t>ómico.</w:t>
            </w:r>
          </w:p>
        </w:tc>
      </w:tr>
      <w:tr w:rsidR="00F71C67" w14:paraId="7B325745"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6C2A38D4" w14:textId="19B99BC6" w:rsidR="00F71C67" w:rsidRPr="00EA64FC" w:rsidRDefault="00A649EF">
            <w:pPr>
              <w:spacing w:after="0" w:line="240" w:lineRule="auto"/>
              <w:jc w:val="center"/>
              <w:rPr>
                <w:rFonts w:ascii="Times New Roman" w:eastAsia="Times New Roman" w:hAnsi="Times New Roman"/>
                <w:color w:val="000000"/>
                <w:lang w:eastAsia="es-MX"/>
              </w:rPr>
            </w:pPr>
            <w:r w:rsidRPr="00EA64FC">
              <w:rPr>
                <w:rFonts w:ascii="Times New Roman" w:eastAsia="Times New Roman" w:hAnsi="Times New Roman"/>
                <w:color w:val="000000"/>
                <w:lang w:eastAsia="es-MX"/>
              </w:rPr>
              <w:t>Artículo 124-F del Anteproyecto</w:t>
            </w:r>
          </w:p>
        </w:tc>
        <w:tc>
          <w:tcPr>
            <w:tcW w:w="6893" w:type="dxa"/>
            <w:tcBorders>
              <w:top w:val="single" w:sz="4" w:space="0" w:color="auto"/>
              <w:left w:val="single" w:sz="4" w:space="0" w:color="auto"/>
              <w:bottom w:val="single" w:sz="4" w:space="0" w:color="auto"/>
              <w:right w:val="single" w:sz="4" w:space="0" w:color="auto"/>
            </w:tcBorders>
            <w:vAlign w:val="center"/>
          </w:tcPr>
          <w:p w14:paraId="08B4D8BA" w14:textId="77777777" w:rsidR="00F71C67" w:rsidRPr="00EA64FC" w:rsidRDefault="00A649EF" w:rsidP="00EA64FC">
            <w:pPr>
              <w:spacing w:after="0" w:line="240" w:lineRule="auto"/>
              <w:jc w:val="both"/>
              <w:rPr>
                <w:rFonts w:ascii="Times New Roman" w:eastAsia="Times New Roman" w:hAnsi="Times New Roman"/>
                <w:color w:val="000000"/>
                <w:lang w:eastAsia="es-MX"/>
              </w:rPr>
            </w:pPr>
            <w:r w:rsidRPr="00EA64FC">
              <w:rPr>
                <w:rFonts w:ascii="Times New Roman" w:eastAsia="Times New Roman" w:hAnsi="Times New Roman"/>
                <w:color w:val="000000"/>
                <w:lang w:eastAsia="es-MX"/>
              </w:rPr>
              <w:t xml:space="preserve">Dicho precepto no se justifica a la luz de la naturaleza de las prácticas que atiende el programa de dispensa, ya que la finalidad de dicho programa especial es que se dé por concluida una investigación. </w:t>
            </w:r>
          </w:p>
          <w:p w14:paraId="104B802D" w14:textId="77777777" w:rsidR="00A649EF" w:rsidRPr="00EA64FC" w:rsidRDefault="00A649EF" w:rsidP="00EA64FC">
            <w:pPr>
              <w:spacing w:after="0" w:line="240" w:lineRule="auto"/>
              <w:jc w:val="both"/>
              <w:rPr>
                <w:rFonts w:ascii="Times New Roman" w:eastAsia="Times New Roman" w:hAnsi="Times New Roman"/>
                <w:color w:val="000000"/>
                <w:lang w:eastAsia="es-MX"/>
              </w:rPr>
            </w:pPr>
          </w:p>
          <w:p w14:paraId="58C2A266" w14:textId="56DCEB32" w:rsidR="00A649EF" w:rsidRPr="00EA64FC" w:rsidRDefault="00A649EF" w:rsidP="00EA64FC">
            <w:pPr>
              <w:spacing w:after="0" w:line="240" w:lineRule="auto"/>
              <w:jc w:val="both"/>
              <w:rPr>
                <w:rFonts w:ascii="Times New Roman" w:eastAsia="Times New Roman" w:hAnsi="Times New Roman"/>
                <w:color w:val="000000"/>
                <w:lang w:eastAsia="es-MX"/>
              </w:rPr>
            </w:pPr>
            <w:r w:rsidRPr="00EA64FC">
              <w:rPr>
                <w:rFonts w:ascii="Times New Roman" w:eastAsia="Times New Roman" w:hAnsi="Times New Roman"/>
                <w:color w:val="000000"/>
                <w:lang w:eastAsia="es-MX"/>
              </w:rPr>
              <w:t xml:space="preserve">En este sentido, en caso de que un Agente Económico sujeto a una investigación de prácticas monopólicas relativas se acoja a dicho programa de dispensa, y el mismo le resulte favorable, no existe posibilidad de que haya otros Agentes Económicos investigados </w:t>
            </w:r>
            <w:r w:rsidR="001A12C8" w:rsidRPr="00EA64FC">
              <w:rPr>
                <w:rFonts w:ascii="Times New Roman" w:eastAsia="Times New Roman" w:hAnsi="Times New Roman"/>
                <w:color w:val="000000"/>
                <w:lang w:eastAsia="es-MX"/>
              </w:rPr>
              <w:t xml:space="preserve">que se encuentren </w:t>
            </w:r>
            <w:r w:rsidRPr="00EA64FC">
              <w:rPr>
                <w:rFonts w:ascii="Times New Roman" w:eastAsia="Times New Roman" w:hAnsi="Times New Roman"/>
                <w:color w:val="000000"/>
                <w:lang w:eastAsia="es-MX"/>
              </w:rPr>
              <w:t>relacionados con la práctica monopólica relativ</w:t>
            </w:r>
            <w:r w:rsidR="001A12C8" w:rsidRPr="00EA64FC">
              <w:rPr>
                <w:rFonts w:ascii="Times New Roman" w:eastAsia="Times New Roman" w:hAnsi="Times New Roman"/>
                <w:color w:val="000000"/>
                <w:lang w:eastAsia="es-MX"/>
              </w:rPr>
              <w:t>a analizada bajo dicho programa, a menos que se trate de un Grupo de Interés Económico, en cuyo caso no se trata de otro agente económico, sino del mismo.</w:t>
            </w:r>
          </w:p>
          <w:p w14:paraId="0841B03A" w14:textId="77777777" w:rsidR="001A12C8" w:rsidRPr="00EA64FC" w:rsidRDefault="001A12C8" w:rsidP="00EA64FC">
            <w:pPr>
              <w:spacing w:after="0" w:line="240" w:lineRule="auto"/>
              <w:jc w:val="both"/>
              <w:rPr>
                <w:rFonts w:ascii="Times New Roman" w:eastAsia="Times New Roman" w:hAnsi="Times New Roman"/>
                <w:color w:val="000000"/>
                <w:lang w:eastAsia="es-MX"/>
              </w:rPr>
            </w:pPr>
          </w:p>
          <w:p w14:paraId="7195197D" w14:textId="77777777" w:rsidR="00A649EF" w:rsidRPr="00EA64FC" w:rsidRDefault="00A649EF" w:rsidP="00EA64FC">
            <w:pPr>
              <w:spacing w:after="0" w:line="240" w:lineRule="auto"/>
              <w:jc w:val="both"/>
              <w:rPr>
                <w:rFonts w:ascii="Times New Roman" w:eastAsia="Times New Roman" w:hAnsi="Times New Roman"/>
                <w:color w:val="000000"/>
                <w:lang w:eastAsia="es-MX"/>
              </w:rPr>
            </w:pPr>
            <w:r w:rsidRPr="00EA64FC">
              <w:rPr>
                <w:rFonts w:ascii="Times New Roman" w:eastAsia="Times New Roman" w:hAnsi="Times New Roman"/>
                <w:color w:val="000000"/>
                <w:lang w:eastAsia="es-MX"/>
              </w:rPr>
              <w:t>Aún en el caso de un boicot</w:t>
            </w:r>
            <w:r w:rsidR="001A12C8" w:rsidRPr="00EA64FC">
              <w:rPr>
                <w:rFonts w:ascii="Times New Roman" w:eastAsia="Times New Roman" w:hAnsi="Times New Roman"/>
                <w:color w:val="000000"/>
                <w:lang w:eastAsia="es-MX"/>
              </w:rPr>
              <w:t>, al existir un agente económico que se haya acogido a dicho programa de dispensa, la Autoridad Investigadora y el Pleno contaría con evidencia suficiente para emplazar al Agente Económico que no se acogió a dicho programa, con la finalidad de que manifieste lo que a su derecho convenga.</w:t>
            </w:r>
          </w:p>
          <w:p w14:paraId="53D354F3" w14:textId="77777777" w:rsidR="001A12C8" w:rsidRPr="00EA64FC" w:rsidRDefault="001A12C8" w:rsidP="00EA64FC">
            <w:pPr>
              <w:spacing w:after="0" w:line="240" w:lineRule="auto"/>
              <w:jc w:val="both"/>
              <w:rPr>
                <w:rFonts w:ascii="Times New Roman" w:eastAsia="Times New Roman" w:hAnsi="Times New Roman"/>
                <w:color w:val="000000"/>
                <w:lang w:eastAsia="es-MX"/>
              </w:rPr>
            </w:pPr>
          </w:p>
          <w:p w14:paraId="24FF1307" w14:textId="77777777" w:rsidR="001A12C8" w:rsidRPr="00EA64FC" w:rsidRDefault="001A12C8" w:rsidP="00EA64FC">
            <w:pPr>
              <w:spacing w:after="0" w:line="240" w:lineRule="auto"/>
              <w:jc w:val="both"/>
              <w:rPr>
                <w:rFonts w:ascii="Times New Roman" w:eastAsia="Times New Roman" w:hAnsi="Times New Roman"/>
                <w:color w:val="000000"/>
                <w:lang w:eastAsia="es-MX"/>
              </w:rPr>
            </w:pPr>
            <w:r w:rsidRPr="00EA64FC">
              <w:rPr>
                <w:rFonts w:ascii="Times New Roman" w:eastAsia="Times New Roman" w:hAnsi="Times New Roman"/>
                <w:color w:val="000000"/>
                <w:lang w:eastAsia="es-MX"/>
              </w:rPr>
              <w:t>Lo mismo ocurre para el caso de concentraciones ilícitas, en donde la conducta que se persigue al ser reconocida por uno de los Agentes Económicos sujetos a la investigación, a nada se llegaría seguir investigando respecto de los mismos hechos a diversos agentes económicos.</w:t>
            </w:r>
          </w:p>
          <w:p w14:paraId="2016B83F" w14:textId="77777777" w:rsidR="001A12C8" w:rsidRPr="00EA64FC" w:rsidRDefault="001A12C8" w:rsidP="00EA64FC">
            <w:pPr>
              <w:spacing w:after="0" w:line="240" w:lineRule="auto"/>
              <w:jc w:val="both"/>
              <w:rPr>
                <w:rFonts w:ascii="Times New Roman" w:eastAsia="Times New Roman" w:hAnsi="Times New Roman"/>
                <w:color w:val="000000"/>
                <w:lang w:eastAsia="es-MX"/>
              </w:rPr>
            </w:pPr>
          </w:p>
          <w:p w14:paraId="5DBD2E0C" w14:textId="490ADC67" w:rsidR="001A12C8" w:rsidRPr="00EA64FC" w:rsidRDefault="001A12C8" w:rsidP="00EA64FC">
            <w:pPr>
              <w:spacing w:after="0" w:line="240" w:lineRule="auto"/>
              <w:jc w:val="both"/>
              <w:rPr>
                <w:rFonts w:ascii="Times New Roman" w:eastAsia="Times New Roman" w:hAnsi="Times New Roman"/>
                <w:color w:val="000000"/>
                <w:lang w:eastAsia="es-MX"/>
              </w:rPr>
            </w:pPr>
            <w:r w:rsidRPr="00EA64FC">
              <w:rPr>
                <w:rFonts w:ascii="Times New Roman" w:eastAsia="Times New Roman" w:hAnsi="Times New Roman"/>
                <w:color w:val="000000"/>
                <w:lang w:eastAsia="es-MX"/>
              </w:rPr>
              <w:t xml:space="preserve">Ahora bien, si lo que la Autoridad Investigadora investiga son varias prácticas monopólicas o concentraciones ilícitas con efectos en mercados relevantes o relacionados diversos a los que formaron parte de la solicitud materia del programa de dispensa, lo procedente es que se </w:t>
            </w:r>
            <w:r w:rsidR="005026EC" w:rsidRPr="00EA64FC">
              <w:rPr>
                <w:rFonts w:ascii="Times New Roman" w:eastAsia="Times New Roman" w:hAnsi="Times New Roman"/>
                <w:color w:val="000000"/>
                <w:lang w:eastAsia="es-MX"/>
              </w:rPr>
              <w:t>aclare</w:t>
            </w:r>
            <w:r w:rsidRPr="00EA64FC">
              <w:rPr>
                <w:rFonts w:ascii="Times New Roman" w:eastAsia="Times New Roman" w:hAnsi="Times New Roman"/>
                <w:color w:val="000000"/>
                <w:lang w:eastAsia="es-MX"/>
              </w:rPr>
              <w:t xml:space="preserve"> en el Anteproyecto que, </w:t>
            </w:r>
            <w:r w:rsidRPr="00EA64FC">
              <w:rPr>
                <w:rFonts w:ascii="Times New Roman" w:eastAsia="Times New Roman" w:hAnsi="Times New Roman"/>
                <w:color w:val="000000"/>
                <w:lang w:eastAsia="es-MX"/>
              </w:rPr>
              <w:lastRenderedPageBreak/>
              <w:t>ante tal situación o supuesto, dicha Autoridad Investigadora podrá ordenar la separación del expediente en una</w:t>
            </w:r>
            <w:r w:rsidR="005026EC" w:rsidRPr="00EA64FC">
              <w:rPr>
                <w:rFonts w:ascii="Times New Roman" w:eastAsia="Times New Roman" w:hAnsi="Times New Roman"/>
                <w:color w:val="000000"/>
                <w:lang w:eastAsia="es-MX"/>
              </w:rPr>
              <w:t xml:space="preserve"> cuerda diversa, fundando y motivando tal determinación.</w:t>
            </w:r>
          </w:p>
          <w:p w14:paraId="3FA4EDF7" w14:textId="77777777" w:rsidR="005026EC" w:rsidRPr="00EA64FC" w:rsidRDefault="005026EC" w:rsidP="00EA64FC">
            <w:pPr>
              <w:spacing w:after="0" w:line="240" w:lineRule="auto"/>
              <w:jc w:val="both"/>
              <w:rPr>
                <w:rFonts w:ascii="Times New Roman" w:eastAsia="Times New Roman" w:hAnsi="Times New Roman"/>
                <w:color w:val="000000"/>
                <w:lang w:eastAsia="es-MX"/>
              </w:rPr>
            </w:pPr>
          </w:p>
          <w:p w14:paraId="2AD2FCA0" w14:textId="62D582E3" w:rsidR="005026EC" w:rsidRPr="00EA64FC" w:rsidRDefault="005026EC" w:rsidP="00EA64FC">
            <w:pPr>
              <w:spacing w:after="0" w:line="240" w:lineRule="auto"/>
              <w:jc w:val="both"/>
              <w:rPr>
                <w:rFonts w:ascii="Times New Roman" w:eastAsia="Times New Roman" w:hAnsi="Times New Roman"/>
                <w:color w:val="000000"/>
                <w:lang w:eastAsia="es-MX"/>
              </w:rPr>
            </w:pPr>
            <w:r w:rsidRPr="00EA64FC">
              <w:rPr>
                <w:rFonts w:ascii="Times New Roman" w:eastAsia="Times New Roman" w:hAnsi="Times New Roman"/>
                <w:color w:val="000000"/>
                <w:lang w:eastAsia="es-MX"/>
              </w:rPr>
              <w:t>Finalmente, resulta innecesario y carece de sentido jurídico que la Autoridad Investigadora haga del conocimiento del Pleno tal situación, ya que dicha separación se funda y motiva con las atribuciones que le confiere la Ley Federal de Competencia Económica y con base en la separación entre la autoridad que conoce de la etapa de investigación y la que resuelve los procedimientos que se sustancien en forma de juicio, reconocida en el artículo 28 de la Constitución Política de los Estados Unidos Mexicanos.</w:t>
            </w:r>
          </w:p>
        </w:tc>
      </w:tr>
      <w:tr w:rsidR="00A42AB9" w14:paraId="10F8A2C1" w14:textId="77777777" w:rsidTr="00541678">
        <w:trPr>
          <w:trHeight w:val="290"/>
        </w:trPr>
        <w:tc>
          <w:tcPr>
            <w:tcW w:w="1754" w:type="dxa"/>
            <w:tcBorders>
              <w:top w:val="single" w:sz="4" w:space="0" w:color="auto"/>
              <w:left w:val="single" w:sz="4" w:space="0" w:color="auto"/>
              <w:bottom w:val="single" w:sz="4" w:space="0" w:color="auto"/>
              <w:right w:val="single" w:sz="4" w:space="0" w:color="auto"/>
            </w:tcBorders>
            <w:vAlign w:val="center"/>
          </w:tcPr>
          <w:p w14:paraId="66952E0A" w14:textId="2D87D1CE" w:rsidR="00A42AB9" w:rsidRPr="00EA64FC" w:rsidRDefault="005026EC">
            <w:pPr>
              <w:spacing w:after="0" w:line="240" w:lineRule="auto"/>
              <w:jc w:val="center"/>
              <w:rPr>
                <w:rFonts w:ascii="Times New Roman" w:eastAsia="Times New Roman" w:hAnsi="Times New Roman"/>
                <w:color w:val="000000"/>
                <w:lang w:eastAsia="es-MX"/>
              </w:rPr>
            </w:pPr>
            <w:r w:rsidRPr="00EA64FC">
              <w:rPr>
                <w:rFonts w:ascii="Times New Roman" w:eastAsia="Times New Roman" w:hAnsi="Times New Roman"/>
                <w:color w:val="000000"/>
                <w:lang w:eastAsia="es-MX"/>
              </w:rPr>
              <w:lastRenderedPageBreak/>
              <w:t>Artículo 124-H del Anteproyecto</w:t>
            </w:r>
          </w:p>
        </w:tc>
        <w:tc>
          <w:tcPr>
            <w:tcW w:w="6893" w:type="dxa"/>
            <w:tcBorders>
              <w:top w:val="single" w:sz="4" w:space="0" w:color="auto"/>
              <w:left w:val="single" w:sz="4" w:space="0" w:color="auto"/>
              <w:bottom w:val="single" w:sz="4" w:space="0" w:color="auto"/>
              <w:right w:val="single" w:sz="4" w:space="0" w:color="auto"/>
            </w:tcBorders>
            <w:vAlign w:val="center"/>
          </w:tcPr>
          <w:p w14:paraId="041411B9" w14:textId="7F6C6477" w:rsidR="00A42AB9" w:rsidRPr="00EA64FC" w:rsidRDefault="005026EC" w:rsidP="00456030">
            <w:pPr>
              <w:spacing w:after="0" w:line="240" w:lineRule="auto"/>
              <w:jc w:val="both"/>
              <w:rPr>
                <w:rFonts w:ascii="Times New Roman" w:eastAsia="Times New Roman" w:hAnsi="Times New Roman"/>
                <w:color w:val="000000"/>
                <w:lang w:eastAsia="es-MX"/>
              </w:rPr>
            </w:pPr>
            <w:r w:rsidRPr="00EA64FC">
              <w:rPr>
                <w:rFonts w:ascii="Times New Roman" w:eastAsia="Times New Roman" w:hAnsi="Times New Roman"/>
                <w:color w:val="000000"/>
                <w:lang w:eastAsia="es-MX"/>
              </w:rPr>
              <w:t>Se sugiere que se establezca qué tratamiento le dará la Autoridad Investigadora a la información presentada por el Agente Económico solicitante de dicho programa</w:t>
            </w:r>
            <w:r w:rsidR="00456030" w:rsidRPr="00EA64FC">
              <w:rPr>
                <w:rFonts w:ascii="Times New Roman" w:eastAsia="Times New Roman" w:hAnsi="Times New Roman"/>
                <w:color w:val="000000"/>
                <w:lang w:eastAsia="es-MX"/>
              </w:rPr>
              <w:t>, ya que en el caso del programa de inmunidad dicha información en caso de que no resulte exitoso el programa le es devuelta al interesado. Por certeza y seguridad jurídicas, un caso similar tendría que aplicar en el supuesto de que el Agente Económico solicitante no acepte la resolución o condicionamientos del Pleno del Instituto Federal de Telecomunicaciones.</w:t>
            </w:r>
          </w:p>
        </w:tc>
      </w:tr>
      <w:tr w:rsidR="00A42AB9" w14:paraId="57A0A5E7" w14:textId="77777777" w:rsidTr="00541678">
        <w:trPr>
          <w:trHeight w:val="290"/>
        </w:trPr>
        <w:tc>
          <w:tcPr>
            <w:tcW w:w="8647" w:type="dxa"/>
            <w:gridSpan w:val="2"/>
            <w:tcBorders>
              <w:top w:val="single" w:sz="4" w:space="0" w:color="auto"/>
              <w:left w:val="single" w:sz="4" w:space="0" w:color="auto"/>
              <w:bottom w:val="single" w:sz="4" w:space="0" w:color="auto"/>
              <w:right w:val="single" w:sz="4" w:space="0" w:color="auto"/>
            </w:tcBorders>
            <w:shd w:val="clear" w:color="auto" w:fill="C5E0B3"/>
            <w:vAlign w:val="center"/>
            <w:hideMark/>
          </w:tcPr>
          <w:p w14:paraId="2CA8826F" w14:textId="77777777" w:rsidR="00A42AB9" w:rsidRDefault="00A42AB9">
            <w:pPr>
              <w:spacing w:after="0" w:line="240" w:lineRule="auto"/>
              <w:rPr>
                <w:rFonts w:ascii="Century Gothic" w:eastAsia="Times New Roman" w:hAnsi="Century Gothic"/>
                <w:color w:val="000000"/>
                <w:sz w:val="16"/>
                <w:szCs w:val="16"/>
                <w:lang w:eastAsia="es-MX"/>
              </w:rPr>
            </w:pPr>
            <w:r>
              <w:rPr>
                <w:rFonts w:ascii="Century Gothic" w:eastAsia="Times New Roman" w:hAnsi="Century Gothic"/>
                <w:b/>
                <w:color w:val="000000"/>
                <w:sz w:val="14"/>
                <w:szCs w:val="16"/>
                <w:lang w:eastAsia="es-MX"/>
              </w:rPr>
              <w:t xml:space="preserve">Nota: </w:t>
            </w:r>
            <w:r>
              <w:rPr>
                <w:rFonts w:ascii="Century Gothic" w:eastAsia="Times New Roman" w:hAnsi="Century Gothic"/>
                <w:color w:val="000000"/>
                <w:sz w:val="14"/>
                <w:szCs w:val="16"/>
                <w:lang w:eastAsia="es-MX"/>
              </w:rPr>
              <w:t>añadir cuantas filas considere necesarias.</w:t>
            </w:r>
          </w:p>
        </w:tc>
      </w:tr>
    </w:tbl>
    <w:p w14:paraId="490976FE" w14:textId="77777777" w:rsidR="00A42AB9" w:rsidRDefault="00A42AB9" w:rsidP="00A42AB9">
      <w:pPr>
        <w:spacing w:after="0"/>
        <w:jc w:val="both"/>
        <w:rPr>
          <w:rFonts w:ascii="Century Gothic" w:hAnsi="Century Gothic"/>
          <w:sz w:val="12"/>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A42AB9" w14:paraId="6B8F9E6B" w14:textId="77777777" w:rsidTr="00A42AB9">
        <w:trPr>
          <w:trHeight w:val="600"/>
          <w:jc w:val="center"/>
        </w:trPr>
        <w:tc>
          <w:tcPr>
            <w:tcW w:w="8642" w:type="dxa"/>
            <w:tcBorders>
              <w:top w:val="single" w:sz="4" w:space="0" w:color="auto"/>
              <w:left w:val="single" w:sz="4" w:space="0" w:color="auto"/>
              <w:bottom w:val="single" w:sz="4" w:space="0" w:color="auto"/>
              <w:right w:val="single" w:sz="4" w:space="0" w:color="auto"/>
            </w:tcBorders>
            <w:shd w:val="clear" w:color="auto" w:fill="D9D9D9"/>
            <w:hideMark/>
          </w:tcPr>
          <w:p w14:paraId="0B26D394" w14:textId="77777777" w:rsidR="00A42AB9" w:rsidRDefault="00A42AB9" w:rsidP="00A42AB9">
            <w:pPr>
              <w:pStyle w:val="Listavistosa-nfasis11"/>
              <w:numPr>
                <w:ilvl w:val="0"/>
                <w:numId w:val="17"/>
              </w:numPr>
              <w:spacing w:after="0" w:line="240" w:lineRule="auto"/>
              <w:ind w:left="1485" w:right="1489" w:hanging="851"/>
              <w:jc w:val="center"/>
              <w:rPr>
                <w:rFonts w:ascii="Century Gothic" w:eastAsia="Times New Roman" w:hAnsi="Century Gothic"/>
                <w:b/>
                <w:bCs/>
                <w:lang w:eastAsia="es-MX"/>
              </w:rPr>
            </w:pPr>
            <w:r>
              <w:rPr>
                <w:rFonts w:ascii="Century Gothic" w:eastAsia="Times New Roman" w:hAnsi="Century Gothic"/>
                <w:b/>
                <w:bCs/>
                <w:lang w:eastAsia="es-MX"/>
              </w:rPr>
              <w:t>Comentarios, opiniones y aportaciones generales del participante sobre el asunto en consulta pública</w:t>
            </w:r>
          </w:p>
        </w:tc>
      </w:tr>
      <w:tr w:rsidR="00A42AB9" w14:paraId="1EC8BB58" w14:textId="77777777" w:rsidTr="00A42AB9">
        <w:trPr>
          <w:trHeight w:val="720"/>
          <w:jc w:val="center"/>
        </w:trPr>
        <w:tc>
          <w:tcPr>
            <w:tcW w:w="8642" w:type="dxa"/>
            <w:tcBorders>
              <w:top w:val="single" w:sz="4" w:space="0" w:color="auto"/>
              <w:left w:val="single" w:sz="4" w:space="0" w:color="auto"/>
              <w:bottom w:val="single" w:sz="4" w:space="0" w:color="auto"/>
              <w:right w:val="single" w:sz="4" w:space="0" w:color="auto"/>
            </w:tcBorders>
            <w:shd w:val="clear" w:color="auto" w:fill="FFFFFF"/>
            <w:noWrap/>
            <w:hideMark/>
          </w:tcPr>
          <w:p w14:paraId="7FBD5DE9" w14:textId="57DF115D" w:rsidR="003122D9" w:rsidRPr="00EA64FC" w:rsidRDefault="00951EB4" w:rsidP="002B56BC">
            <w:pPr>
              <w:jc w:val="both"/>
              <w:rPr>
                <w:rFonts w:ascii="Times New Roman" w:eastAsia="Times New Roman" w:hAnsi="Times New Roman"/>
                <w:bCs/>
                <w:lang w:eastAsia="es-MX"/>
              </w:rPr>
            </w:pPr>
            <w:r w:rsidRPr="00EA64FC">
              <w:rPr>
                <w:rFonts w:ascii="Times New Roman" w:eastAsia="Times New Roman" w:hAnsi="Times New Roman"/>
                <w:bCs/>
                <w:lang w:eastAsia="es-MX"/>
              </w:rPr>
              <w:t>Por cuestiones de técnica legislativa</w:t>
            </w:r>
            <w:r w:rsidR="00EA64FC" w:rsidRPr="00EA64FC">
              <w:rPr>
                <w:rFonts w:ascii="Times New Roman" w:eastAsia="Times New Roman" w:hAnsi="Times New Roman"/>
                <w:bCs/>
                <w:lang w:eastAsia="es-MX"/>
              </w:rPr>
              <w:t xml:space="preserve"> (regulatoria)</w:t>
            </w:r>
            <w:r w:rsidRPr="00EA64FC">
              <w:rPr>
                <w:rFonts w:ascii="Times New Roman" w:eastAsia="Times New Roman" w:hAnsi="Times New Roman"/>
                <w:bCs/>
                <w:lang w:eastAsia="es-MX"/>
              </w:rPr>
              <w:t xml:space="preserve"> se recomienda que los artículos adicionados con su letra correspondiente, sea con referencia posterior al artículo 125, ya que dicho numeral corresponde efectivamente a la Sección novena relativa a “Del procedimiento para solicitar </w:t>
            </w:r>
            <w:r w:rsidR="002B56BC" w:rsidRPr="00EA64FC">
              <w:rPr>
                <w:rFonts w:ascii="Times New Roman" w:eastAsia="Times New Roman" w:hAnsi="Times New Roman"/>
                <w:bCs/>
                <w:lang w:eastAsia="es-MX"/>
              </w:rPr>
              <w:t xml:space="preserve">los beneficios </w:t>
            </w:r>
            <w:r w:rsidRPr="00EA64FC">
              <w:rPr>
                <w:rFonts w:ascii="Times New Roman" w:eastAsia="Times New Roman" w:hAnsi="Times New Roman"/>
                <w:bCs/>
                <w:lang w:eastAsia="es-MX"/>
              </w:rPr>
              <w:t>establecido</w:t>
            </w:r>
            <w:r w:rsidR="002B56BC" w:rsidRPr="00EA64FC">
              <w:rPr>
                <w:rFonts w:ascii="Times New Roman" w:eastAsia="Times New Roman" w:hAnsi="Times New Roman"/>
                <w:bCs/>
                <w:lang w:eastAsia="es-MX"/>
              </w:rPr>
              <w:t>s</w:t>
            </w:r>
            <w:r w:rsidRPr="00EA64FC">
              <w:rPr>
                <w:rFonts w:ascii="Times New Roman" w:eastAsia="Times New Roman" w:hAnsi="Times New Roman"/>
                <w:bCs/>
                <w:lang w:eastAsia="es-MX"/>
              </w:rPr>
              <w:t xml:space="preserve"> en </w:t>
            </w:r>
            <w:r w:rsidR="002B56BC" w:rsidRPr="00EA64FC">
              <w:rPr>
                <w:rFonts w:ascii="Times New Roman" w:eastAsia="Times New Roman" w:hAnsi="Times New Roman"/>
                <w:bCs/>
                <w:lang w:eastAsia="es-MX"/>
              </w:rPr>
              <w:t>los</w:t>
            </w:r>
            <w:r w:rsidRPr="00EA64FC">
              <w:rPr>
                <w:rFonts w:ascii="Times New Roman" w:eastAsia="Times New Roman" w:hAnsi="Times New Roman"/>
                <w:bCs/>
                <w:lang w:eastAsia="es-MX"/>
              </w:rPr>
              <w:t xml:space="preserve"> artículo</w:t>
            </w:r>
            <w:r w:rsidR="002B56BC" w:rsidRPr="00EA64FC">
              <w:rPr>
                <w:rFonts w:ascii="Times New Roman" w:eastAsia="Times New Roman" w:hAnsi="Times New Roman"/>
                <w:bCs/>
                <w:lang w:eastAsia="es-MX"/>
              </w:rPr>
              <w:t>s 100 y</w:t>
            </w:r>
            <w:r w:rsidRPr="00EA64FC">
              <w:rPr>
                <w:rFonts w:ascii="Times New Roman" w:eastAsia="Times New Roman" w:hAnsi="Times New Roman"/>
                <w:bCs/>
                <w:lang w:eastAsia="es-MX"/>
              </w:rPr>
              <w:t xml:space="preserve"> 103 de la Ley” de las Disposiciones Regulatorias de la Ley Federal de Competencia Económica para los sectores de tel</w:t>
            </w:r>
            <w:r w:rsidR="009A2210">
              <w:rPr>
                <w:rFonts w:ascii="Times New Roman" w:eastAsia="Times New Roman" w:hAnsi="Times New Roman"/>
                <w:bCs/>
                <w:lang w:eastAsia="es-MX"/>
              </w:rPr>
              <w:t>ecomunicaciones y radiodifusión.</w:t>
            </w:r>
          </w:p>
        </w:tc>
      </w:tr>
      <w:tr w:rsidR="00A42AB9" w14:paraId="2D9C3431" w14:textId="77777777" w:rsidTr="00A42AB9">
        <w:trPr>
          <w:trHeight w:val="300"/>
          <w:jc w:val="center"/>
        </w:trPr>
        <w:tc>
          <w:tcPr>
            <w:tcW w:w="8642" w:type="dxa"/>
            <w:tcBorders>
              <w:top w:val="single" w:sz="4" w:space="0" w:color="auto"/>
              <w:left w:val="single" w:sz="4" w:space="0" w:color="auto"/>
              <w:bottom w:val="single" w:sz="4" w:space="0" w:color="auto"/>
              <w:right w:val="single" w:sz="4" w:space="0" w:color="auto"/>
            </w:tcBorders>
            <w:shd w:val="clear" w:color="auto" w:fill="C5E0B3"/>
            <w:noWrap/>
            <w:vAlign w:val="center"/>
            <w:hideMark/>
          </w:tcPr>
          <w:p w14:paraId="15C7D0A6" w14:textId="77777777" w:rsidR="00A42AB9" w:rsidRDefault="00A42AB9">
            <w:pPr>
              <w:spacing w:after="0" w:line="240" w:lineRule="auto"/>
              <w:jc w:val="both"/>
              <w:rPr>
                <w:rFonts w:ascii="Century Gothic" w:eastAsia="Times New Roman" w:hAnsi="Century Gothic"/>
                <w:color w:val="000000"/>
                <w:sz w:val="14"/>
                <w:szCs w:val="14"/>
                <w:lang w:eastAsia="es-MX"/>
              </w:rPr>
            </w:pPr>
            <w:r>
              <w:rPr>
                <w:rFonts w:ascii="Century Gothic" w:eastAsia="Times New Roman" w:hAnsi="Century Gothic"/>
                <w:b/>
                <w:color w:val="000000"/>
                <w:sz w:val="14"/>
                <w:szCs w:val="14"/>
                <w:lang w:eastAsia="es-MX"/>
              </w:rPr>
              <w:t xml:space="preserve">Nota: </w:t>
            </w:r>
            <w:r>
              <w:rPr>
                <w:rFonts w:ascii="Century Gothic" w:eastAsia="Times New Roman" w:hAnsi="Century Gothic"/>
                <w:color w:val="000000"/>
                <w:sz w:val="14"/>
                <w:szCs w:val="14"/>
                <w:lang w:eastAsia="es-MX"/>
              </w:rPr>
              <w:t>añadir cuantas filas considere necesarias.</w:t>
            </w:r>
          </w:p>
        </w:tc>
      </w:tr>
    </w:tbl>
    <w:p w14:paraId="5C8B0501" w14:textId="77777777" w:rsidR="00A42AB9" w:rsidRDefault="00A42AB9" w:rsidP="00A42AB9">
      <w:pPr>
        <w:spacing w:after="0"/>
        <w:jc w:val="both"/>
        <w:rPr>
          <w:rFonts w:ascii="Century Gothic" w:hAnsi="Century Gothic"/>
          <w:sz w:val="16"/>
        </w:rPr>
      </w:pPr>
    </w:p>
    <w:p w14:paraId="5C4BE2F5" w14:textId="77777777" w:rsidR="00DF154A" w:rsidRPr="00A42AB9" w:rsidRDefault="00DF154A" w:rsidP="00A42AB9"/>
    <w:sectPr w:rsidR="00DF154A" w:rsidRPr="00A42AB9" w:rsidSect="0086154B">
      <w:headerReference w:type="default" r:id="rId15"/>
      <w:footerReference w:type="default" r:id="rId16"/>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0E5C0" w14:textId="77777777" w:rsidR="001431A7" w:rsidRDefault="001431A7" w:rsidP="0038199D">
      <w:pPr>
        <w:spacing w:after="0" w:line="240" w:lineRule="auto"/>
      </w:pPr>
      <w:r>
        <w:separator/>
      </w:r>
    </w:p>
  </w:endnote>
  <w:endnote w:type="continuationSeparator" w:id="0">
    <w:p w14:paraId="7452524D" w14:textId="77777777" w:rsidR="001431A7" w:rsidRDefault="001431A7"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6D1BA" w14:textId="4F0123FB"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2130" w:rsidRPr="004B2130">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2130" w:rsidRPr="004B2130">
      <w:rPr>
        <w:rFonts w:ascii="ITC Avant Garde" w:hAnsi="ITC Avant Garde"/>
        <w:noProof/>
        <w:color w:val="323E4F"/>
        <w:sz w:val="14"/>
        <w:szCs w:val="24"/>
        <w:lang w:val="es-ES"/>
      </w:rPr>
      <w:t>5</w:t>
    </w:r>
    <w:r w:rsidRPr="00DF5B3F">
      <w:rPr>
        <w:rFonts w:ascii="ITC Avant Garde" w:hAnsi="ITC Avant Garde"/>
        <w:color w:val="323E4F"/>
        <w:sz w:val="14"/>
        <w:szCs w:val="24"/>
      </w:rPr>
      <w:fldChar w:fldCharType="end"/>
    </w:r>
  </w:p>
  <w:p w14:paraId="56A89972"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A6D52" w14:textId="77777777" w:rsidR="001431A7" w:rsidRDefault="001431A7" w:rsidP="0038199D">
      <w:pPr>
        <w:spacing w:after="0" w:line="240" w:lineRule="auto"/>
      </w:pPr>
      <w:r>
        <w:separator/>
      </w:r>
    </w:p>
  </w:footnote>
  <w:footnote w:type="continuationSeparator" w:id="0">
    <w:p w14:paraId="412630A7" w14:textId="77777777" w:rsidR="001431A7" w:rsidRDefault="001431A7" w:rsidP="0038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B3B9A" w14:textId="77777777" w:rsidR="0038199D" w:rsidRPr="007A6974" w:rsidRDefault="00C43AEF"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14:anchorId="23735093" wp14:editId="19E6DE96">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E7A89F7" w14:textId="6BF91146" w:rsidR="004D7960" w:rsidRPr="00D909BE" w:rsidRDefault="00005DB7" w:rsidP="004D5EAB">
    <w:pPr>
      <w:pStyle w:val="Encabezado"/>
      <w:ind w:left="3119"/>
      <w:jc w:val="both"/>
      <w:rPr>
        <w:rFonts w:ascii="ITC Avant Garde" w:hAnsi="ITC Avant Garde"/>
        <w:sz w:val="20"/>
      </w:rPr>
    </w:pPr>
    <w:r w:rsidRPr="00D909BE">
      <w:rPr>
        <w:rFonts w:ascii="ITC Avant Garde" w:hAnsi="ITC Avant Garde"/>
        <w:sz w:val="20"/>
      </w:rPr>
      <w:t xml:space="preserve">Consulta Pública sobre </w:t>
    </w:r>
    <w:r w:rsidR="00797CDD" w:rsidRPr="00D909BE">
      <w:rPr>
        <w:rFonts w:ascii="ITC Avant Garde" w:hAnsi="ITC Avant Garde"/>
        <w:sz w:val="20"/>
      </w:rPr>
      <w:t>el “</w:t>
    </w:r>
    <w:r w:rsidR="00850AE9" w:rsidRPr="00850AE9">
      <w:rPr>
        <w:rFonts w:ascii="ITC Avant Garde" w:hAnsi="ITC Avant Garde" w:cstheme="majorBidi"/>
        <w:b/>
        <w:bCs/>
        <w:sz w:val="20"/>
      </w:rPr>
      <w:t>Anteproyecto de modificaciones a las Disposiciones Regulatorias de la Ley Federal de Competencia Económica para los sectores de telecomunicaciones y radiodifusión</w:t>
    </w:r>
    <w:r w:rsidR="00797CDD" w:rsidRPr="00D909BE">
      <w:rPr>
        <w:rFonts w:ascii="ITC Avant Garde" w:hAnsi="ITC Avant Garde"/>
        <w:sz w:val="20"/>
      </w:rPr>
      <w:t>”</w:t>
    </w:r>
  </w:p>
  <w:p w14:paraId="7E0BAEDB" w14:textId="77777777" w:rsidR="0038199D" w:rsidRPr="007A6974" w:rsidRDefault="00C43AEF"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14:anchorId="48F5E966" wp14:editId="1D07BDC8">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39DB05"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827B6C"/>
    <w:multiLevelType w:val="hybridMultilevel"/>
    <w:tmpl w:val="B1A8265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83B5C2C"/>
    <w:multiLevelType w:val="hybridMultilevel"/>
    <w:tmpl w:val="DC60FF20"/>
    <w:lvl w:ilvl="0" w:tplc="257AFB4A">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8"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4"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8"/>
  </w:num>
  <w:num w:numId="2">
    <w:abstractNumId w:val="0"/>
  </w:num>
  <w:num w:numId="3">
    <w:abstractNumId w:val="2"/>
  </w:num>
  <w:num w:numId="4">
    <w:abstractNumId w:val="6"/>
  </w:num>
  <w:num w:numId="5">
    <w:abstractNumId w:val="12"/>
  </w:num>
  <w:num w:numId="6">
    <w:abstractNumId w:val="5"/>
  </w:num>
  <w:num w:numId="7">
    <w:abstractNumId w:val="10"/>
  </w:num>
  <w:num w:numId="8">
    <w:abstractNumId w:val="11"/>
  </w:num>
  <w:num w:numId="9">
    <w:abstractNumId w:val="4"/>
  </w:num>
  <w:num w:numId="10">
    <w:abstractNumId w:val="1"/>
  </w:num>
  <w:num w:numId="11">
    <w:abstractNumId w:val="14"/>
  </w:num>
  <w:num w:numId="12">
    <w:abstractNumId w:val="7"/>
  </w:num>
  <w:num w:numId="13">
    <w:abstractNumId w:val="15"/>
  </w:num>
  <w:num w:numId="14">
    <w:abstractNumId w:val="9"/>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1946"/>
    <w:rsid w:val="000049D9"/>
    <w:rsid w:val="000055EA"/>
    <w:rsid w:val="00005DB7"/>
    <w:rsid w:val="000253EE"/>
    <w:rsid w:val="00025623"/>
    <w:rsid w:val="000257E9"/>
    <w:rsid w:val="00026723"/>
    <w:rsid w:val="00030E6E"/>
    <w:rsid w:val="000356DE"/>
    <w:rsid w:val="000558C8"/>
    <w:rsid w:val="000850BE"/>
    <w:rsid w:val="000865C1"/>
    <w:rsid w:val="00092755"/>
    <w:rsid w:val="000931D8"/>
    <w:rsid w:val="00097B00"/>
    <w:rsid w:val="000A0F69"/>
    <w:rsid w:val="000A5CFB"/>
    <w:rsid w:val="000A6255"/>
    <w:rsid w:val="000D2838"/>
    <w:rsid w:val="000D4A6C"/>
    <w:rsid w:val="000D4DB4"/>
    <w:rsid w:val="000E41EA"/>
    <w:rsid w:val="000E41F3"/>
    <w:rsid w:val="000E54B6"/>
    <w:rsid w:val="000E55B0"/>
    <w:rsid w:val="000F4A03"/>
    <w:rsid w:val="00100C9C"/>
    <w:rsid w:val="001124B6"/>
    <w:rsid w:val="00113398"/>
    <w:rsid w:val="00120D05"/>
    <w:rsid w:val="001331D8"/>
    <w:rsid w:val="001431A7"/>
    <w:rsid w:val="00160352"/>
    <w:rsid w:val="00170916"/>
    <w:rsid w:val="00174196"/>
    <w:rsid w:val="001A12C8"/>
    <w:rsid w:val="001A7B44"/>
    <w:rsid w:val="001C37DB"/>
    <w:rsid w:val="001E0388"/>
    <w:rsid w:val="001E1D4D"/>
    <w:rsid w:val="001F47A6"/>
    <w:rsid w:val="002131FB"/>
    <w:rsid w:val="00266BE0"/>
    <w:rsid w:val="00267A8A"/>
    <w:rsid w:val="002771ED"/>
    <w:rsid w:val="00297840"/>
    <w:rsid w:val="002B4BB2"/>
    <w:rsid w:val="002B56BC"/>
    <w:rsid w:val="002D27CA"/>
    <w:rsid w:val="002D34FE"/>
    <w:rsid w:val="002D6E3D"/>
    <w:rsid w:val="002F59B7"/>
    <w:rsid w:val="002F747D"/>
    <w:rsid w:val="00307092"/>
    <w:rsid w:val="003122D9"/>
    <w:rsid w:val="00317C72"/>
    <w:rsid w:val="00323F3A"/>
    <w:rsid w:val="003560F3"/>
    <w:rsid w:val="003613DA"/>
    <w:rsid w:val="00364004"/>
    <w:rsid w:val="0038199D"/>
    <w:rsid w:val="00395ED2"/>
    <w:rsid w:val="003B524B"/>
    <w:rsid w:val="003D1CAC"/>
    <w:rsid w:val="003D5CD7"/>
    <w:rsid w:val="0041087B"/>
    <w:rsid w:val="004141B1"/>
    <w:rsid w:val="004317BC"/>
    <w:rsid w:val="00433E87"/>
    <w:rsid w:val="00450FCD"/>
    <w:rsid w:val="00456030"/>
    <w:rsid w:val="00456A2B"/>
    <w:rsid w:val="00461A06"/>
    <w:rsid w:val="00464849"/>
    <w:rsid w:val="00464AE1"/>
    <w:rsid w:val="004970C4"/>
    <w:rsid w:val="004A1FE1"/>
    <w:rsid w:val="004A4CD1"/>
    <w:rsid w:val="004B053F"/>
    <w:rsid w:val="004B2130"/>
    <w:rsid w:val="004C4695"/>
    <w:rsid w:val="004D5EAB"/>
    <w:rsid w:val="004D64DD"/>
    <w:rsid w:val="004D7960"/>
    <w:rsid w:val="004E2A3A"/>
    <w:rsid w:val="004F4C27"/>
    <w:rsid w:val="005005A1"/>
    <w:rsid w:val="005026EC"/>
    <w:rsid w:val="00505B9C"/>
    <w:rsid w:val="00507EA9"/>
    <w:rsid w:val="00511788"/>
    <w:rsid w:val="00511FAE"/>
    <w:rsid w:val="0052296A"/>
    <w:rsid w:val="00541678"/>
    <w:rsid w:val="00546F00"/>
    <w:rsid w:val="00553E64"/>
    <w:rsid w:val="00555B10"/>
    <w:rsid w:val="005B3E9A"/>
    <w:rsid w:val="005B7B15"/>
    <w:rsid w:val="005C0435"/>
    <w:rsid w:val="005C06DB"/>
    <w:rsid w:val="005E00BA"/>
    <w:rsid w:val="005F0265"/>
    <w:rsid w:val="005F76BF"/>
    <w:rsid w:val="00603B41"/>
    <w:rsid w:val="00605BD9"/>
    <w:rsid w:val="00623761"/>
    <w:rsid w:val="006601AF"/>
    <w:rsid w:val="00670385"/>
    <w:rsid w:val="00672219"/>
    <w:rsid w:val="00684EA3"/>
    <w:rsid w:val="006A6D93"/>
    <w:rsid w:val="006B0B12"/>
    <w:rsid w:val="006D3281"/>
    <w:rsid w:val="006F3FDD"/>
    <w:rsid w:val="006F5989"/>
    <w:rsid w:val="00703850"/>
    <w:rsid w:val="00703B1B"/>
    <w:rsid w:val="007236A7"/>
    <w:rsid w:val="00724612"/>
    <w:rsid w:val="00735DEE"/>
    <w:rsid w:val="00751456"/>
    <w:rsid w:val="00762996"/>
    <w:rsid w:val="007644BA"/>
    <w:rsid w:val="0077357C"/>
    <w:rsid w:val="0077434E"/>
    <w:rsid w:val="007843CF"/>
    <w:rsid w:val="007978CB"/>
    <w:rsid w:val="00797CDD"/>
    <w:rsid w:val="007A6974"/>
    <w:rsid w:val="007A7755"/>
    <w:rsid w:val="007B2097"/>
    <w:rsid w:val="007D4A23"/>
    <w:rsid w:val="007E04FB"/>
    <w:rsid w:val="007E2138"/>
    <w:rsid w:val="007F575E"/>
    <w:rsid w:val="00800852"/>
    <w:rsid w:val="00804BB7"/>
    <w:rsid w:val="008200BE"/>
    <w:rsid w:val="00850AE9"/>
    <w:rsid w:val="00856A90"/>
    <w:rsid w:val="0086154B"/>
    <w:rsid w:val="008658B5"/>
    <w:rsid w:val="008711D6"/>
    <w:rsid w:val="00871AC0"/>
    <w:rsid w:val="0087596E"/>
    <w:rsid w:val="008843FB"/>
    <w:rsid w:val="008A5565"/>
    <w:rsid w:val="008C679D"/>
    <w:rsid w:val="008D106B"/>
    <w:rsid w:val="008F2B1A"/>
    <w:rsid w:val="00903C94"/>
    <w:rsid w:val="00915460"/>
    <w:rsid w:val="00915CEA"/>
    <w:rsid w:val="009160D3"/>
    <w:rsid w:val="00942344"/>
    <w:rsid w:val="009426CC"/>
    <w:rsid w:val="00951EB4"/>
    <w:rsid w:val="00975C25"/>
    <w:rsid w:val="00983D45"/>
    <w:rsid w:val="00987B91"/>
    <w:rsid w:val="00993E95"/>
    <w:rsid w:val="009A2210"/>
    <w:rsid w:val="009B5ADA"/>
    <w:rsid w:val="009C6C17"/>
    <w:rsid w:val="009D3DDA"/>
    <w:rsid w:val="009E197F"/>
    <w:rsid w:val="00A11685"/>
    <w:rsid w:val="00A1372C"/>
    <w:rsid w:val="00A2508E"/>
    <w:rsid w:val="00A25465"/>
    <w:rsid w:val="00A348D8"/>
    <w:rsid w:val="00A407AB"/>
    <w:rsid w:val="00A42AB9"/>
    <w:rsid w:val="00A454F4"/>
    <w:rsid w:val="00A57E13"/>
    <w:rsid w:val="00A60361"/>
    <w:rsid w:val="00A62629"/>
    <w:rsid w:val="00A62E59"/>
    <w:rsid w:val="00A649EF"/>
    <w:rsid w:val="00A7050F"/>
    <w:rsid w:val="00A74360"/>
    <w:rsid w:val="00A751A5"/>
    <w:rsid w:val="00A75A67"/>
    <w:rsid w:val="00A917C8"/>
    <w:rsid w:val="00A92B29"/>
    <w:rsid w:val="00AA70C3"/>
    <w:rsid w:val="00AD024D"/>
    <w:rsid w:val="00AD0D63"/>
    <w:rsid w:val="00AD68D3"/>
    <w:rsid w:val="00AE778E"/>
    <w:rsid w:val="00AF224D"/>
    <w:rsid w:val="00B07A61"/>
    <w:rsid w:val="00B15115"/>
    <w:rsid w:val="00B17D0B"/>
    <w:rsid w:val="00B20E15"/>
    <w:rsid w:val="00B30FE6"/>
    <w:rsid w:val="00B533DC"/>
    <w:rsid w:val="00B97BF9"/>
    <w:rsid w:val="00BB25F2"/>
    <w:rsid w:val="00BF644D"/>
    <w:rsid w:val="00C01314"/>
    <w:rsid w:val="00C13147"/>
    <w:rsid w:val="00C15B49"/>
    <w:rsid w:val="00C35A85"/>
    <w:rsid w:val="00C41536"/>
    <w:rsid w:val="00C42DD1"/>
    <w:rsid w:val="00C43AEF"/>
    <w:rsid w:val="00C53026"/>
    <w:rsid w:val="00C56B77"/>
    <w:rsid w:val="00C60ADB"/>
    <w:rsid w:val="00C63CEB"/>
    <w:rsid w:val="00C74717"/>
    <w:rsid w:val="00C83664"/>
    <w:rsid w:val="00C900FF"/>
    <w:rsid w:val="00C90C5B"/>
    <w:rsid w:val="00CA32F5"/>
    <w:rsid w:val="00CB7035"/>
    <w:rsid w:val="00CB7780"/>
    <w:rsid w:val="00CC382A"/>
    <w:rsid w:val="00CC53F7"/>
    <w:rsid w:val="00D13998"/>
    <w:rsid w:val="00D13CA5"/>
    <w:rsid w:val="00D22B9D"/>
    <w:rsid w:val="00D230A3"/>
    <w:rsid w:val="00D334B0"/>
    <w:rsid w:val="00D46029"/>
    <w:rsid w:val="00D472B6"/>
    <w:rsid w:val="00D47A99"/>
    <w:rsid w:val="00D50117"/>
    <w:rsid w:val="00D76089"/>
    <w:rsid w:val="00D909BE"/>
    <w:rsid w:val="00D94F82"/>
    <w:rsid w:val="00DA7945"/>
    <w:rsid w:val="00DB357E"/>
    <w:rsid w:val="00DC3C6C"/>
    <w:rsid w:val="00DF154A"/>
    <w:rsid w:val="00DF5B3F"/>
    <w:rsid w:val="00DF5CB5"/>
    <w:rsid w:val="00E1671B"/>
    <w:rsid w:val="00E24510"/>
    <w:rsid w:val="00E26739"/>
    <w:rsid w:val="00E64007"/>
    <w:rsid w:val="00E72B09"/>
    <w:rsid w:val="00E944B2"/>
    <w:rsid w:val="00EA64FC"/>
    <w:rsid w:val="00EA6ACC"/>
    <w:rsid w:val="00EB0594"/>
    <w:rsid w:val="00EB1D99"/>
    <w:rsid w:val="00EC09BC"/>
    <w:rsid w:val="00EC32C5"/>
    <w:rsid w:val="00EC4901"/>
    <w:rsid w:val="00F212B2"/>
    <w:rsid w:val="00F362D7"/>
    <w:rsid w:val="00F36A5D"/>
    <w:rsid w:val="00F45EB4"/>
    <w:rsid w:val="00F56CCA"/>
    <w:rsid w:val="00F71C67"/>
    <w:rsid w:val="00F76299"/>
    <w:rsid w:val="00F812E3"/>
    <w:rsid w:val="00FA17DF"/>
    <w:rsid w:val="00FA5CF8"/>
    <w:rsid w:val="00FA68DD"/>
    <w:rsid w:val="00FC1507"/>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DB96F"/>
  <w15:chartTrackingRefBased/>
  <w15:docId w15:val="{AF1DE158-F2F5-4862-9112-64408FD3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aliases w:val="Numeración 1,Cuadrícula media 1 - Énfasis 21,prueba1,List Paragraph"/>
    <w:basedOn w:val="Normal"/>
    <w:link w:val="PrrafodelistaCar"/>
    <w:uiPriority w:val="34"/>
    <w:qFormat/>
    <w:rsid w:val="00F36A5D"/>
    <w:pPr>
      <w:ind w:left="708"/>
    </w:pPr>
  </w:style>
  <w:style w:type="character" w:styleId="Textodelmarcadordeposicin">
    <w:name w:val="Placeholder Text"/>
    <w:basedOn w:val="Fuentedeprrafopredeter"/>
    <w:uiPriority w:val="99"/>
    <w:rsid w:val="000D4A6C"/>
    <w:rPr>
      <w:color w:val="808080"/>
    </w:rPr>
  </w:style>
  <w:style w:type="character" w:styleId="Textoennegrita">
    <w:name w:val="Strong"/>
    <w:basedOn w:val="Fuentedeprrafopredeter"/>
    <w:uiPriority w:val="22"/>
    <w:qFormat/>
    <w:rsid w:val="00456030"/>
    <w:rPr>
      <w:b/>
      <w:bCs/>
    </w:rPr>
  </w:style>
  <w:style w:type="paragraph" w:styleId="Cita">
    <w:name w:val="Quote"/>
    <w:link w:val="CitaCar"/>
    <w:uiPriority w:val="73"/>
    <w:rsid w:val="00456030"/>
    <w:pPr>
      <w:spacing w:before="120" w:after="120"/>
      <w:ind w:left="862" w:right="862"/>
      <w:jc w:val="both"/>
    </w:pPr>
    <w:rPr>
      <w:rFonts w:ascii="Arial" w:eastAsia="Times New Roman" w:hAnsi="Arial"/>
      <w:i/>
      <w:iCs/>
      <w:szCs w:val="22"/>
    </w:rPr>
  </w:style>
  <w:style w:type="character" w:customStyle="1" w:styleId="CitaCar">
    <w:name w:val="Cita Car"/>
    <w:basedOn w:val="Fuentedeprrafopredeter"/>
    <w:link w:val="Cita"/>
    <w:uiPriority w:val="73"/>
    <w:rsid w:val="00456030"/>
    <w:rPr>
      <w:rFonts w:ascii="Arial" w:eastAsia="Times New Roman" w:hAnsi="Arial"/>
      <w:i/>
      <w:iCs/>
      <w:szCs w:val="22"/>
    </w:rPr>
  </w:style>
  <w:style w:type="character" w:customStyle="1" w:styleId="CitaN">
    <w:name w:val="Cita N"/>
    <w:uiPriority w:val="1"/>
    <w:qFormat/>
    <w:rsid w:val="00456030"/>
    <w:rPr>
      <w:rFonts w:ascii="Arial" w:hAnsi="Arial"/>
      <w:b/>
      <w:i w:val="0"/>
      <w:sz w:val="20"/>
    </w:rPr>
  </w:style>
  <w:style w:type="character" w:customStyle="1" w:styleId="PrrafodelistaCar">
    <w:name w:val="Párrafo de lista Car"/>
    <w:aliases w:val="Numeración 1 Car,Cuadrícula media 1 - Énfasis 21 Car,prueba1 Car,List Paragraph Car"/>
    <w:link w:val="Prrafodelista"/>
    <w:uiPriority w:val="34"/>
    <w:qFormat/>
    <w:rsid w:val="00456030"/>
    <w:rPr>
      <w:sz w:val="22"/>
      <w:szCs w:val="22"/>
      <w:lang w:eastAsia="en-US"/>
    </w:rPr>
  </w:style>
  <w:style w:type="character" w:customStyle="1" w:styleId="ParrafoAcronimo">
    <w:name w:val="Parrafo Acronimo"/>
    <w:uiPriority w:val="1"/>
    <w:rsid w:val="00456030"/>
    <w:rPr>
      <w:rFonts w:ascii="Arial" w:hAnsi="Arial"/>
      <w:caps w:val="0"/>
      <w:smallCaps/>
      <w:strike w:val="0"/>
      <w:dstrike w:val="0"/>
      <w:vanish w:val="0"/>
      <w:sz w:val="2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413817">
      <w:bodyDiv w:val="1"/>
      <w:marLeft w:val="0"/>
      <w:marRight w:val="0"/>
      <w:marTop w:val="0"/>
      <w:marBottom w:val="0"/>
      <w:divBdr>
        <w:top w:val="none" w:sz="0" w:space="0" w:color="auto"/>
        <w:left w:val="none" w:sz="0" w:space="0" w:color="auto"/>
        <w:bottom w:val="none" w:sz="0" w:space="0" w:color="auto"/>
        <w:right w:val="none" w:sz="0" w:space="0" w:color="auto"/>
      </w:divBdr>
    </w:div>
    <w:div w:id="1202669684">
      <w:bodyDiv w:val="1"/>
      <w:marLeft w:val="0"/>
      <w:marRight w:val="0"/>
      <w:marTop w:val="0"/>
      <w:marBottom w:val="0"/>
      <w:divBdr>
        <w:top w:val="none" w:sz="0" w:space="0" w:color="auto"/>
        <w:left w:val="none" w:sz="0" w:space="0" w:color="auto"/>
        <w:bottom w:val="none" w:sz="0" w:space="0" w:color="auto"/>
        <w:right w:val="none" w:sz="0" w:space="0" w:color="auto"/>
      </w:divBdr>
    </w:div>
    <w:div w:id="132331846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industria/consultas-publica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ultapublica.denunciasai@ift.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disposicionesregulatorias@ift.org.m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nathan.lopez@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5f1cab7a4ba1c7762724640a12c26d0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AD97C-ABCA-4B60-B9BD-1B8642A96F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BB7E80-46C7-4638-AD2A-920C8E797109}">
  <ds:schemaRefs>
    <ds:schemaRef ds:uri="http://schemas.microsoft.com/sharepoint/v3/contenttype/forms"/>
  </ds:schemaRefs>
</ds:datastoreItem>
</file>

<file path=customXml/itemProps3.xml><?xml version="1.0" encoding="utf-8"?>
<ds:datastoreItem xmlns:ds="http://schemas.openxmlformats.org/officeDocument/2006/customXml" ds:itemID="{A6836183-3EB9-46F0-9A9E-BC8058E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8A45EA-BCC5-49AF-B506-7E8A80E3A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2214</Words>
  <Characters>12177</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14363</CharactersWithSpaces>
  <SharedDoc>false</SharedDoc>
  <HLinks>
    <vt:vector size="36" baseType="variant">
      <vt:variant>
        <vt:i4>2687026</vt:i4>
      </vt:variant>
      <vt:variant>
        <vt:i4>15</vt:i4>
      </vt:variant>
      <vt:variant>
        <vt:i4>0</vt:i4>
      </vt:variant>
      <vt:variant>
        <vt:i4>5</vt:i4>
      </vt:variant>
      <vt:variant>
        <vt:lpwstr>http://www.inai.org.mx/</vt:lpwstr>
      </vt:variant>
      <vt:variant>
        <vt:lpwstr/>
      </vt:variant>
      <vt:variant>
        <vt:i4>4522014</vt:i4>
      </vt:variant>
      <vt:variant>
        <vt:i4>12</vt:i4>
      </vt:variant>
      <vt:variant>
        <vt:i4>0</vt:i4>
      </vt:variant>
      <vt:variant>
        <vt:i4>5</vt:i4>
      </vt:variant>
      <vt:variant>
        <vt:lpwstr>mailto:_____________@ift.org.mx</vt:lpwstr>
      </vt:variant>
      <vt:variant>
        <vt:lpwstr/>
      </vt:variant>
      <vt:variant>
        <vt:i4>4522014</vt:i4>
      </vt:variant>
      <vt:variant>
        <vt:i4>9</vt:i4>
      </vt:variant>
      <vt:variant>
        <vt:i4>0</vt:i4>
      </vt:variant>
      <vt:variant>
        <vt:i4>5</vt:i4>
      </vt:variant>
      <vt:variant>
        <vt:lpwstr>mailto:_____________@ift.org.mx</vt:lpwstr>
      </vt:variant>
      <vt:variant>
        <vt:lpwstr/>
      </vt:variant>
      <vt:variant>
        <vt:i4>5111858</vt:i4>
      </vt:variant>
      <vt:variant>
        <vt:i4>6</vt:i4>
      </vt:variant>
      <vt:variant>
        <vt:i4>0</vt:i4>
      </vt:variant>
      <vt:variant>
        <vt:i4>5</vt:i4>
      </vt:variant>
      <vt:variant>
        <vt:lpwstr>mailto:________________@ift.org.mx</vt:lpwstr>
      </vt:variant>
      <vt:variant>
        <vt:lpwstr/>
      </vt:variant>
      <vt:variant>
        <vt:i4>6291508</vt:i4>
      </vt:variant>
      <vt:variant>
        <vt:i4>3</vt:i4>
      </vt:variant>
      <vt:variant>
        <vt:i4>0</vt:i4>
      </vt:variant>
      <vt:variant>
        <vt:i4>5</vt:i4>
      </vt:variant>
      <vt:variant>
        <vt:lpwstr>http://www.ift.org.mx/industria/consultas-publicas</vt:lpwstr>
      </vt:variant>
      <vt:variant>
        <vt:lpwstr/>
      </vt:variant>
      <vt:variant>
        <vt:i4>1114221</vt:i4>
      </vt:variant>
      <vt:variant>
        <vt:i4>0</vt:i4>
      </vt:variant>
      <vt:variant>
        <vt:i4>0</vt:i4>
      </vt:variant>
      <vt:variant>
        <vt:i4>5</vt:i4>
      </vt:variant>
      <vt:variant>
        <vt:lpwstr>mailto:______@ift.org.mx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Jonathan Lopez Torres</cp:lastModifiedBy>
  <cp:revision>2</cp:revision>
  <cp:lastPrinted>2018-09-13T18:29:00Z</cp:lastPrinted>
  <dcterms:created xsi:type="dcterms:W3CDTF">2018-11-13T14:44:00Z</dcterms:created>
  <dcterms:modified xsi:type="dcterms:W3CDTF">2018-11-13T14:44:00Z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