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430F8" w14:textId="77777777" w:rsidR="00A42AB9" w:rsidRDefault="00A42AB9" w:rsidP="00A42AB9">
      <w:pPr>
        <w:spacing w:after="0"/>
        <w:jc w:val="center"/>
        <w:rPr>
          <w:rFonts w:ascii="Century Gothic" w:hAnsi="Century Gothic"/>
          <w:b/>
        </w:rPr>
      </w:pPr>
      <w:bookmarkStart w:id="0" w:name="_GoBack"/>
      <w:bookmarkEnd w:id="0"/>
      <w:r>
        <w:rPr>
          <w:rFonts w:ascii="Century Gothic" w:hAnsi="Century Gothic"/>
          <w:b/>
        </w:rPr>
        <w:t>FORMATO PARA PARTICIPAR EN LA CONSULTA PÚBLICA</w:t>
      </w:r>
    </w:p>
    <w:p w14:paraId="1F37992D" w14:textId="77777777" w:rsidR="00A42AB9" w:rsidRDefault="00A42AB9" w:rsidP="00A42AB9">
      <w:pPr>
        <w:spacing w:after="0"/>
        <w:rPr>
          <w:rFonts w:ascii="Century Gothic" w:hAnsi="Century Gothic"/>
          <w:b/>
        </w:rPr>
      </w:pPr>
    </w:p>
    <w:p w14:paraId="32FC0939" w14:textId="77777777" w:rsidR="00A42AB9" w:rsidRDefault="00A42AB9" w:rsidP="00A42AB9">
      <w:pPr>
        <w:spacing w:after="0"/>
        <w:rPr>
          <w:rFonts w:ascii="Century Gothic" w:hAnsi="Century Gothic"/>
          <w:b/>
          <w:sz w:val="16"/>
        </w:rPr>
      </w:pPr>
      <w:r>
        <w:rPr>
          <w:rFonts w:ascii="Century Gothic" w:hAnsi="Century Gothic"/>
          <w:b/>
          <w:sz w:val="16"/>
        </w:rPr>
        <w:t>Instrucciones para su llenado y participación:</w:t>
      </w:r>
    </w:p>
    <w:p w14:paraId="09FA9A30" w14:textId="77777777" w:rsidR="00A42AB9" w:rsidRDefault="00A42AB9" w:rsidP="00A42AB9">
      <w:pPr>
        <w:spacing w:after="0"/>
        <w:rPr>
          <w:rFonts w:ascii="Century Gothic" w:hAnsi="Century Gothic"/>
          <w:b/>
          <w:sz w:val="16"/>
        </w:rPr>
      </w:pPr>
    </w:p>
    <w:p w14:paraId="6DF9EC0A"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Las opiniones, comentarios y propuestas deberán ser remitidas a la siguiente dirección de correo electrónico: </w:t>
      </w:r>
      <w:hyperlink r:id="rId11" w:history="1">
        <w:r w:rsidR="0077434E" w:rsidRPr="00B92DDB">
          <w:rPr>
            <w:rStyle w:val="Hipervnculo"/>
            <w:rFonts w:ascii="Century Gothic" w:hAnsi="Century Gothic"/>
            <w:sz w:val="14"/>
            <w:szCs w:val="14"/>
          </w:rPr>
          <w:t>consultadisposicionesregulatorias@ift.org.mx</w:t>
        </w:r>
      </w:hyperlink>
      <w:hyperlink r:id="rId12" w:history="1"/>
      <w:r>
        <w:rPr>
          <w:rFonts w:ascii="Century Gothic" w:hAnsi="Century Gothic"/>
          <w:sz w:val="14"/>
          <w:szCs w:val="14"/>
        </w:rPr>
        <w:t>, en donde se deberá considerar que la capacidad límite para la recepción de archivos es de 25 Mb.</w:t>
      </w:r>
    </w:p>
    <w:p w14:paraId="68E39759" w14:textId="0E919255"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 del presente formato.</w:t>
      </w:r>
    </w:p>
    <w:p w14:paraId="7E3227CA" w14:textId="7C9528DA"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De contar con observaciones generales o alguna aportación adicional </w:t>
      </w:r>
      <w:r w:rsidR="001F47A6">
        <w:rPr>
          <w:rFonts w:ascii="Century Gothic" w:hAnsi="Century Gothic"/>
          <w:sz w:val="14"/>
          <w:szCs w:val="14"/>
        </w:rPr>
        <w:t>proporciónelos en la Sección II</w:t>
      </w:r>
      <w:r>
        <w:rPr>
          <w:rFonts w:ascii="Century Gothic" w:hAnsi="Century Gothic"/>
          <w:sz w:val="14"/>
          <w:szCs w:val="14"/>
        </w:rPr>
        <w:t>.</w:t>
      </w:r>
    </w:p>
    <w:p w14:paraId="652D7740" w14:textId="77777777" w:rsid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En caso de que sea de su interés, podrá adjuntar a su correo electrónico la documentación que estime conveniente.</w:t>
      </w:r>
    </w:p>
    <w:p w14:paraId="1C44D0A8" w14:textId="2D98831A" w:rsidR="00A42AB9" w:rsidRP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sidRPr="000257E9">
        <w:rPr>
          <w:rFonts w:ascii="Century Gothic" w:hAnsi="Century Gothic"/>
          <w:sz w:val="14"/>
          <w:szCs w:val="14"/>
        </w:rPr>
        <w:t>El período de consulta pública será del</w:t>
      </w:r>
      <w:r w:rsidR="000257E9" w:rsidRPr="000257E9">
        <w:rPr>
          <w:rFonts w:ascii="Century Gothic" w:hAnsi="Century Gothic"/>
          <w:sz w:val="14"/>
          <w:szCs w:val="14"/>
        </w:rPr>
        <w:t xml:space="preserve"> </w:t>
      </w:r>
      <w:r w:rsidR="002D6E3D">
        <w:rPr>
          <w:rFonts w:ascii="Century Gothic" w:hAnsi="Century Gothic"/>
          <w:sz w:val="14"/>
          <w:szCs w:val="14"/>
        </w:rPr>
        <w:t>2</w:t>
      </w:r>
      <w:r w:rsidR="007236A7">
        <w:rPr>
          <w:rFonts w:ascii="Century Gothic" w:hAnsi="Century Gothic"/>
          <w:sz w:val="14"/>
          <w:szCs w:val="14"/>
        </w:rPr>
        <w:t xml:space="preserve"> de octubre al </w:t>
      </w:r>
      <w:r w:rsidR="002D6E3D">
        <w:rPr>
          <w:rFonts w:ascii="Century Gothic" w:hAnsi="Century Gothic"/>
          <w:sz w:val="14"/>
          <w:szCs w:val="14"/>
        </w:rPr>
        <w:t>12</w:t>
      </w:r>
      <w:r w:rsidR="007236A7">
        <w:rPr>
          <w:rFonts w:ascii="Century Gothic" w:hAnsi="Century Gothic"/>
          <w:sz w:val="14"/>
          <w:szCs w:val="14"/>
        </w:rPr>
        <w:t xml:space="preserve"> de noviembre de 2018</w:t>
      </w:r>
      <w:r w:rsidR="00F71C67">
        <w:rPr>
          <w:rFonts w:ascii="Century Gothic" w:hAnsi="Century Gothic"/>
          <w:sz w:val="14"/>
          <w:szCs w:val="14"/>
        </w:rPr>
        <w:t xml:space="preserve"> (i.e. 30 días hábiles)</w:t>
      </w:r>
      <w:r w:rsidRPr="00E24510">
        <w:rPr>
          <w:rFonts w:ascii="Century Gothic" w:hAnsi="Century Gothic"/>
          <w:sz w:val="14"/>
          <w:szCs w:val="14"/>
        </w:rPr>
        <w:t>.</w:t>
      </w:r>
      <w:r w:rsidRPr="000257E9">
        <w:rPr>
          <w:rFonts w:ascii="Century Gothic" w:hAnsi="Century Gothic"/>
          <w:sz w:val="14"/>
          <w:szCs w:val="14"/>
        </w:rPr>
        <w:t xml:space="preserve"> Una vez concluido dicho periodo, se podrán continuar visualizando los comentarios vertidos, así como los documentos adjuntos en la siguiente dirección electrónica: </w:t>
      </w:r>
      <w:hyperlink r:id="rId13" w:tooltip="Liga directa a la seccióndel  portal del IFT en la que se encuentran todas las consultas públicas" w:history="1">
        <w:r w:rsidRPr="000257E9">
          <w:rPr>
            <w:rStyle w:val="Hipervnculo"/>
            <w:rFonts w:ascii="Century Gothic" w:hAnsi="Century Gothic"/>
            <w:sz w:val="14"/>
            <w:szCs w:val="14"/>
          </w:rPr>
          <w:t>http://www.ift.org.mx/industria/consultas-publicas</w:t>
        </w:r>
      </w:hyperlink>
      <w:r w:rsidRPr="000257E9">
        <w:rPr>
          <w:rFonts w:ascii="Century Gothic" w:hAnsi="Century Gothic"/>
          <w:sz w:val="14"/>
          <w:szCs w:val="14"/>
        </w:rPr>
        <w:t xml:space="preserve"> </w:t>
      </w:r>
    </w:p>
    <w:p w14:paraId="170580EB"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Para cualquier duda, comentario o inquietud sobre el presente proceso consultivo, el Instituto pone a su disposición el siguiente punto de contacto: Jonathan López Torres, Director de Investigación de Prácticas Monopólicas y Concentraciones Ilícitas “C” del Instituto, correo electrónico: </w:t>
      </w:r>
      <w:hyperlink r:id="rId14" w:history="1">
        <w:r w:rsidRPr="007B2C89">
          <w:rPr>
            <w:rStyle w:val="Hipervnculo"/>
            <w:rFonts w:ascii="Century Gothic" w:hAnsi="Century Gothic"/>
            <w:sz w:val="14"/>
            <w:szCs w:val="14"/>
          </w:rPr>
          <w:t>jonathan.lopez@ift.org.mx</w:t>
        </w:r>
      </w:hyperlink>
      <w:r>
        <w:rPr>
          <w:rFonts w:ascii="Century Gothic" w:hAnsi="Century Gothic"/>
          <w:sz w:val="14"/>
        </w:rPr>
        <w:t>,</w:t>
      </w:r>
      <w:r>
        <w:rPr>
          <w:rFonts w:ascii="Century Gothic" w:hAnsi="Century Gothic"/>
          <w:sz w:val="12"/>
          <w:szCs w:val="14"/>
        </w:rPr>
        <w:t xml:space="preserve"> </w:t>
      </w:r>
      <w:r>
        <w:rPr>
          <w:rFonts w:ascii="Century Gothic" w:hAnsi="Century Gothic"/>
          <w:sz w:val="14"/>
          <w:szCs w:val="14"/>
        </w:rPr>
        <w:t>o bien, a través del número telefónico (55) 5015</w:t>
      </w:r>
      <w:r w:rsidR="001C37DB">
        <w:rPr>
          <w:rFonts w:ascii="Century Gothic" w:hAnsi="Century Gothic"/>
          <w:sz w:val="14"/>
          <w:szCs w:val="14"/>
        </w:rPr>
        <w:t xml:space="preserve"> </w:t>
      </w:r>
      <w:r>
        <w:rPr>
          <w:rFonts w:ascii="Century Gothic" w:hAnsi="Century Gothic"/>
          <w:sz w:val="14"/>
          <w:szCs w:val="14"/>
        </w:rPr>
        <w:t>4000, extensión 4075.</w:t>
      </w:r>
    </w:p>
    <w:p w14:paraId="61D2F31F" w14:textId="77777777" w:rsidR="00DA7945" w:rsidRDefault="00DA7945" w:rsidP="00F71C67">
      <w:pPr>
        <w:pStyle w:val="Listavistosa-nfasis11"/>
        <w:spacing w:after="120" w:line="240" w:lineRule="auto"/>
        <w:ind w:left="0" w:right="49"/>
        <w:contextualSpacing w:val="0"/>
        <w:jc w:val="center"/>
        <w:rPr>
          <w:rFonts w:ascii="Century Gothic" w:hAnsi="Century Gothic"/>
          <w:b/>
          <w:sz w:val="14"/>
          <w:szCs w:val="14"/>
        </w:rPr>
      </w:pPr>
      <w:r w:rsidRPr="00391642">
        <w:rPr>
          <w:rFonts w:ascii="Century Gothic" w:hAnsi="Century Gothic"/>
          <w:b/>
          <w:sz w:val="14"/>
          <w:szCs w:val="14"/>
        </w:rPr>
        <w:t>AVISO</w:t>
      </w:r>
    </w:p>
    <w:p w14:paraId="0E1A64C5"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Para participar en la Consulta Pública no se requiere presentar información de identificación de los participantes, relativos a nombre completo o razón social, o algún otro dato personal. Por tanto, en el formato de participación no se establecen apartados en donde se requiera tal información. </w:t>
      </w:r>
    </w:p>
    <w:p w14:paraId="2598A146"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Asimismo, se solicita a los participantes que se abstengan de proporcionar cualquier tipo de dato personal.</w:t>
      </w:r>
    </w:p>
    <w:p w14:paraId="6B6FCDBF"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No obstante, en caso de que se presente información relativa a datos personales en los apartados del formato de participación correspondientes a comentarios, opiniones y aportaciones, esta autoridad realizará la versión pública del formato de participación correspondiente, a efecto de omitirlos.</w:t>
      </w:r>
    </w:p>
    <w:p w14:paraId="3B3517FD"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Los comentarios, opiniones y aportaciones que reciba el Instituto con relación a la presente Consulta Pública, se identificarán únicamente como “Participante 1”, “Participante 2”, “Participante 3”, y así sucesivamente, conforme al orden cronológico en que se reciban. </w:t>
      </w:r>
    </w:p>
    <w:p w14:paraId="694B4050" w14:textId="7EE62BA2" w:rsidR="00DA7945" w:rsidRPr="00DA7945" w:rsidRDefault="00E72B09" w:rsidP="00E72B09">
      <w:pPr>
        <w:pStyle w:val="Prrafodelista"/>
        <w:spacing w:after="120" w:line="240" w:lineRule="auto"/>
        <w:ind w:left="0"/>
        <w:jc w:val="both"/>
        <w:rPr>
          <w:rFonts w:ascii="Century Gothic" w:hAnsi="Century Gothic"/>
          <w:sz w:val="14"/>
        </w:rPr>
      </w:pPr>
      <w:r w:rsidRPr="00797AFB">
        <w:rPr>
          <w:rFonts w:ascii="Century Gothic" w:hAnsi="Century Gothic"/>
          <w:sz w:val="14"/>
          <w:szCs w:val="14"/>
        </w:rPr>
        <w:t>Aunado a lo anterior, los comentarios, opiniones, y aportaciones que reciba el Instituto con relación a la presente Consulta Pública, serán publicados íntegramente en su portal de Internet de conformidad con lo previsto en el Octavo de los Lineamientos de Consulta Pública y Análisis de Impacto Regulatorio del Instituto Federal de Telecomunicaciones y, en ese sentido, serán considerados invariablemente públicos salvo por lo dispuesto en los párrafos anteriores,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1DFB0BCE" w14:textId="77777777" w:rsidR="00A42AB9" w:rsidRDefault="00A42AB9" w:rsidP="00A42AB9">
      <w:pPr>
        <w:spacing w:after="0"/>
        <w:rPr>
          <w:rFonts w:ascii="Century Gothic" w:hAnsi="Century Gothic"/>
          <w:vanish/>
        </w:rPr>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6893"/>
      </w:tblGrid>
      <w:tr w:rsidR="00A42AB9" w14:paraId="07CDBBFF" w14:textId="77777777" w:rsidTr="00541678">
        <w:trPr>
          <w:trHeight w:val="581"/>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009129" w14:textId="77777777" w:rsidR="00A42AB9" w:rsidRDefault="00A42AB9" w:rsidP="00A42AB9">
            <w:pPr>
              <w:pStyle w:val="Listavistosa-nfasis11"/>
              <w:numPr>
                <w:ilvl w:val="0"/>
                <w:numId w:val="17"/>
              </w:numPr>
              <w:spacing w:after="0" w:line="240" w:lineRule="auto"/>
              <w:ind w:left="1485" w:right="1069" w:hanging="709"/>
              <w:jc w:val="center"/>
              <w:rPr>
                <w:rFonts w:ascii="Century Gothic" w:eastAsia="Times New Roman" w:hAnsi="Century Gothic"/>
                <w:b/>
                <w:bCs/>
                <w:color w:val="FFFFFF"/>
                <w:lang w:eastAsia="es-MX"/>
              </w:rPr>
            </w:pPr>
            <w:r>
              <w:rPr>
                <w:rFonts w:ascii="Century Gothic" w:eastAsia="Times New Roman" w:hAnsi="Century Gothic"/>
                <w:b/>
                <w:bCs/>
                <w:color w:val="000000"/>
                <w:lang w:eastAsia="es-MX"/>
              </w:rPr>
              <w:t xml:space="preserve">Comentarios, opiniones </w:t>
            </w:r>
            <w:r>
              <w:rPr>
                <w:rFonts w:ascii="Century Gothic" w:eastAsia="Times New Roman" w:hAnsi="Century Gothic"/>
                <w:b/>
                <w:bCs/>
                <w:lang w:eastAsia="es-MX"/>
              </w:rPr>
              <w:t>y aportaciones específicos del participante sobre el asunto en consulta pública</w:t>
            </w:r>
          </w:p>
        </w:tc>
      </w:tr>
      <w:tr w:rsidR="00A42AB9" w14:paraId="5300726C" w14:textId="77777777" w:rsidTr="00541678">
        <w:trPr>
          <w:trHeight w:val="678"/>
        </w:trPr>
        <w:tc>
          <w:tcPr>
            <w:tcW w:w="175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AB1E0E7"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Artículo o apartado</w:t>
            </w:r>
          </w:p>
        </w:tc>
        <w:tc>
          <w:tcPr>
            <w:tcW w:w="689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50DF1C3"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Comentario, opiniones o aportaciones</w:t>
            </w:r>
          </w:p>
        </w:tc>
      </w:tr>
      <w:tr w:rsidR="00A42AB9" w14:paraId="6E4D0F86"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533275FF"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51E58C88" w14:textId="77777777" w:rsidR="00A42AB9" w:rsidRDefault="00A42AB9">
            <w:pPr>
              <w:spacing w:after="0" w:line="240" w:lineRule="auto"/>
              <w:rPr>
                <w:rFonts w:ascii="Century Gothic" w:eastAsia="Times New Roman" w:hAnsi="Century Gothic"/>
                <w:color w:val="000000"/>
                <w:lang w:eastAsia="es-MX"/>
              </w:rPr>
            </w:pPr>
          </w:p>
        </w:tc>
      </w:tr>
      <w:tr w:rsidR="00A42AB9" w14:paraId="011382D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1D598AE2"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0F31B5AE" w14:textId="77777777" w:rsidR="00A42AB9" w:rsidRDefault="00A42AB9">
            <w:pPr>
              <w:spacing w:after="0" w:line="240" w:lineRule="auto"/>
              <w:rPr>
                <w:rFonts w:ascii="Century Gothic" w:eastAsia="Times New Roman" w:hAnsi="Century Gothic"/>
                <w:color w:val="000000"/>
                <w:lang w:eastAsia="es-MX"/>
              </w:rPr>
            </w:pPr>
          </w:p>
        </w:tc>
      </w:tr>
      <w:tr w:rsidR="00A42AB9" w14:paraId="5D40105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48E6503"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45C6232B" w14:textId="77777777" w:rsidR="00A42AB9" w:rsidRDefault="00A42AB9">
            <w:pPr>
              <w:spacing w:after="0" w:line="240" w:lineRule="auto"/>
              <w:rPr>
                <w:rFonts w:ascii="Century Gothic" w:eastAsia="Times New Roman" w:hAnsi="Century Gothic"/>
                <w:color w:val="000000"/>
                <w:lang w:eastAsia="es-MX"/>
              </w:rPr>
            </w:pPr>
          </w:p>
        </w:tc>
      </w:tr>
      <w:tr w:rsidR="00A42AB9" w14:paraId="1BC16D9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7DBF029C"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23D41F4C" w14:textId="77777777" w:rsidR="00A42AB9" w:rsidRDefault="00A42AB9">
            <w:pPr>
              <w:spacing w:after="0" w:line="240" w:lineRule="auto"/>
              <w:rPr>
                <w:rFonts w:ascii="Century Gothic" w:eastAsia="Times New Roman" w:hAnsi="Century Gothic"/>
                <w:color w:val="000000"/>
                <w:lang w:eastAsia="es-MX"/>
              </w:rPr>
            </w:pPr>
          </w:p>
        </w:tc>
      </w:tr>
      <w:tr w:rsidR="00F71C67" w14:paraId="7B325745"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C2A38D4" w14:textId="77777777" w:rsidR="00F71C67" w:rsidRDefault="00F71C67">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2AD2FCA0" w14:textId="77777777" w:rsidR="00F71C67" w:rsidRDefault="00F71C67">
            <w:pPr>
              <w:spacing w:after="0" w:line="240" w:lineRule="auto"/>
              <w:rPr>
                <w:rFonts w:ascii="Century Gothic" w:eastAsia="Times New Roman" w:hAnsi="Century Gothic"/>
                <w:color w:val="000000"/>
                <w:lang w:eastAsia="es-MX"/>
              </w:rPr>
            </w:pPr>
          </w:p>
        </w:tc>
      </w:tr>
      <w:tr w:rsidR="00A42AB9" w14:paraId="10F8A2C1"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6952E0A"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041411B9" w14:textId="77777777" w:rsidR="00A42AB9" w:rsidRDefault="00A42AB9">
            <w:pPr>
              <w:spacing w:after="0" w:line="240" w:lineRule="auto"/>
              <w:rPr>
                <w:rFonts w:ascii="Century Gothic" w:eastAsia="Times New Roman" w:hAnsi="Century Gothic"/>
                <w:color w:val="000000"/>
                <w:lang w:eastAsia="es-MX"/>
              </w:rPr>
            </w:pPr>
          </w:p>
        </w:tc>
      </w:tr>
      <w:tr w:rsidR="00A42AB9" w14:paraId="5167DC8D"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2D887099"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6654770B" w14:textId="77777777" w:rsidR="00A42AB9" w:rsidRDefault="00A42AB9">
            <w:pPr>
              <w:spacing w:after="0" w:line="240" w:lineRule="auto"/>
              <w:rPr>
                <w:rFonts w:ascii="Century Gothic" w:eastAsia="Times New Roman" w:hAnsi="Century Gothic"/>
                <w:color w:val="000000"/>
                <w:lang w:eastAsia="es-MX"/>
              </w:rPr>
            </w:pPr>
          </w:p>
        </w:tc>
      </w:tr>
      <w:tr w:rsidR="00A42AB9" w14:paraId="49B20D06"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1884FB38"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40A65FB2" w14:textId="77777777" w:rsidR="00A42AB9" w:rsidRDefault="00A42AB9">
            <w:pPr>
              <w:spacing w:after="0" w:line="240" w:lineRule="auto"/>
              <w:rPr>
                <w:rFonts w:ascii="Century Gothic" w:eastAsia="Times New Roman" w:hAnsi="Century Gothic"/>
                <w:color w:val="000000"/>
                <w:lang w:eastAsia="es-MX"/>
              </w:rPr>
            </w:pPr>
          </w:p>
        </w:tc>
      </w:tr>
      <w:tr w:rsidR="00A42AB9" w14:paraId="5A69ECA6"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4EAA8575"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7ECEB104" w14:textId="77777777" w:rsidR="00A42AB9" w:rsidRDefault="00A42AB9">
            <w:pPr>
              <w:spacing w:after="0" w:line="240" w:lineRule="auto"/>
              <w:rPr>
                <w:rFonts w:ascii="Century Gothic" w:eastAsia="Times New Roman" w:hAnsi="Century Gothic"/>
                <w:color w:val="000000"/>
                <w:lang w:eastAsia="es-MX"/>
              </w:rPr>
            </w:pPr>
          </w:p>
        </w:tc>
      </w:tr>
      <w:tr w:rsidR="00A42AB9" w14:paraId="57A0A5E7" w14:textId="77777777" w:rsidTr="00541678">
        <w:trPr>
          <w:trHeight w:val="290"/>
        </w:trPr>
        <w:tc>
          <w:tcPr>
            <w:tcW w:w="8647"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2CA8826F" w14:textId="77777777" w:rsidR="00A42AB9" w:rsidRDefault="00A42AB9">
            <w:pPr>
              <w:spacing w:after="0" w:line="240" w:lineRule="auto"/>
              <w:rPr>
                <w:rFonts w:ascii="Century Gothic" w:eastAsia="Times New Roman" w:hAnsi="Century Gothic"/>
                <w:color w:val="000000"/>
                <w:sz w:val="16"/>
                <w:szCs w:val="16"/>
                <w:lang w:eastAsia="es-MX"/>
              </w:rPr>
            </w:pPr>
            <w:r>
              <w:rPr>
                <w:rFonts w:ascii="Century Gothic" w:eastAsia="Times New Roman" w:hAnsi="Century Gothic"/>
                <w:b/>
                <w:color w:val="000000"/>
                <w:sz w:val="14"/>
                <w:szCs w:val="16"/>
                <w:lang w:eastAsia="es-MX"/>
              </w:rPr>
              <w:t xml:space="preserve">Nota: </w:t>
            </w:r>
            <w:r>
              <w:rPr>
                <w:rFonts w:ascii="Century Gothic" w:eastAsia="Times New Roman" w:hAnsi="Century Gothic"/>
                <w:color w:val="000000"/>
                <w:sz w:val="14"/>
                <w:szCs w:val="16"/>
                <w:lang w:eastAsia="es-MX"/>
              </w:rPr>
              <w:t>añadir cuantas filas considere necesarias.</w:t>
            </w:r>
          </w:p>
        </w:tc>
      </w:tr>
    </w:tbl>
    <w:p w14:paraId="490976FE" w14:textId="77777777" w:rsidR="00A42AB9" w:rsidRDefault="00A42AB9" w:rsidP="00A42AB9">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A42AB9" w14:paraId="6B8F9E6B" w14:textId="77777777" w:rsidTr="00A42AB9">
        <w:trPr>
          <w:trHeight w:val="600"/>
          <w:jc w:val="center"/>
        </w:trPr>
        <w:tc>
          <w:tcPr>
            <w:tcW w:w="8642" w:type="dxa"/>
            <w:tcBorders>
              <w:top w:val="single" w:sz="4" w:space="0" w:color="auto"/>
              <w:left w:val="single" w:sz="4" w:space="0" w:color="auto"/>
              <w:bottom w:val="single" w:sz="4" w:space="0" w:color="auto"/>
              <w:right w:val="single" w:sz="4" w:space="0" w:color="auto"/>
            </w:tcBorders>
            <w:shd w:val="clear" w:color="auto" w:fill="D9D9D9"/>
            <w:hideMark/>
          </w:tcPr>
          <w:p w14:paraId="0B26D394" w14:textId="77777777" w:rsidR="00A42AB9" w:rsidRDefault="00A42AB9" w:rsidP="00A42AB9">
            <w:pPr>
              <w:pStyle w:val="Listavistosa-nfasis11"/>
              <w:numPr>
                <w:ilvl w:val="0"/>
                <w:numId w:val="17"/>
              </w:numPr>
              <w:spacing w:after="0" w:line="240" w:lineRule="auto"/>
              <w:ind w:left="1485" w:right="1489" w:hanging="851"/>
              <w:jc w:val="center"/>
              <w:rPr>
                <w:rFonts w:ascii="Century Gothic" w:eastAsia="Times New Roman" w:hAnsi="Century Gothic"/>
                <w:b/>
                <w:bCs/>
                <w:lang w:eastAsia="es-MX"/>
              </w:rPr>
            </w:pPr>
            <w:r>
              <w:rPr>
                <w:rFonts w:ascii="Century Gothic" w:eastAsia="Times New Roman" w:hAnsi="Century Gothic"/>
                <w:b/>
                <w:bCs/>
                <w:lang w:eastAsia="es-MX"/>
              </w:rPr>
              <w:lastRenderedPageBreak/>
              <w:t>Comentarios, opiniones y aportaciones generales del participante sobre el asunto en consulta pública</w:t>
            </w:r>
          </w:p>
        </w:tc>
      </w:tr>
      <w:tr w:rsidR="00A42AB9" w14:paraId="1EC8BB58" w14:textId="77777777" w:rsidTr="00A42AB9">
        <w:trPr>
          <w:trHeight w:val="720"/>
          <w:jc w:val="center"/>
        </w:trPr>
        <w:tc>
          <w:tcPr>
            <w:tcW w:w="8642" w:type="dxa"/>
            <w:tcBorders>
              <w:top w:val="single" w:sz="4" w:space="0" w:color="auto"/>
              <w:left w:val="single" w:sz="4" w:space="0" w:color="auto"/>
              <w:bottom w:val="single" w:sz="4" w:space="0" w:color="auto"/>
              <w:right w:val="single" w:sz="4" w:space="0" w:color="auto"/>
            </w:tcBorders>
            <w:shd w:val="clear" w:color="auto" w:fill="FFFFFF"/>
            <w:noWrap/>
            <w:hideMark/>
          </w:tcPr>
          <w:p w14:paraId="15C6DF88" w14:textId="032A3543" w:rsidR="00A42AB9" w:rsidRDefault="00063569" w:rsidP="00063569">
            <w:pPr>
              <w:jc w:val="both"/>
              <w:rPr>
                <w:rFonts w:ascii="Century Gothic" w:eastAsia="Times New Roman" w:hAnsi="Century Gothic"/>
                <w:b/>
                <w:bCs/>
                <w:lang w:eastAsia="es-MX"/>
              </w:rPr>
            </w:pPr>
            <w:r>
              <w:rPr>
                <w:rFonts w:ascii="Century Gothic" w:eastAsia="Times New Roman" w:hAnsi="Century Gothic"/>
                <w:b/>
                <w:bCs/>
                <w:lang w:eastAsia="es-MX"/>
              </w:rPr>
              <w:t xml:space="preserve">Conforme al artículo 12, fracción XXII, párrafo tercero, de la Ley Federal de Competencia Económica (LFCE), el medio idóneo para regular en materia del </w:t>
            </w:r>
            <w:r>
              <w:rPr>
                <w:rFonts w:ascii="Century Gothic" w:eastAsia="Times New Roman" w:hAnsi="Century Gothic"/>
                <w:b/>
                <w:bCs/>
                <w:i/>
                <w:lang w:eastAsia="es-MX"/>
              </w:rPr>
              <w:t>beneficio de dispensa y reducción del importe de multas</w:t>
            </w:r>
            <w:r>
              <w:rPr>
                <w:rFonts w:ascii="Century Gothic" w:eastAsia="Times New Roman" w:hAnsi="Century Gothic"/>
                <w:b/>
                <w:bCs/>
                <w:lang w:eastAsia="es-MX"/>
              </w:rPr>
              <w:t>, previsto en el artículo 100 de ese ordenamiento, es una directriz, guía, lineamiento o criterio técnico, y no así las Disposiciones Regulatorias de la LFCE para los sectores de telecomunicaciones y radiodifusión</w:t>
            </w:r>
            <w:r w:rsidR="009A0716">
              <w:rPr>
                <w:rFonts w:ascii="Century Gothic" w:eastAsia="Times New Roman" w:hAnsi="Century Gothic"/>
                <w:b/>
                <w:bCs/>
                <w:lang w:eastAsia="es-MX"/>
              </w:rPr>
              <w:t xml:space="preserve"> (DRLFCE)</w:t>
            </w:r>
            <w:r>
              <w:rPr>
                <w:rFonts w:ascii="Century Gothic" w:eastAsia="Times New Roman" w:hAnsi="Century Gothic"/>
                <w:b/>
                <w:bCs/>
                <w:lang w:eastAsia="es-MX"/>
              </w:rPr>
              <w:t>.</w:t>
            </w:r>
          </w:p>
          <w:p w14:paraId="276ED318" w14:textId="77777777" w:rsidR="00063569" w:rsidRDefault="00063569">
            <w:pPr>
              <w:rPr>
                <w:rFonts w:ascii="Century Gothic" w:eastAsia="Times New Roman" w:hAnsi="Century Gothic"/>
                <w:b/>
                <w:bCs/>
                <w:lang w:eastAsia="es-MX"/>
              </w:rPr>
            </w:pPr>
            <w:r>
              <w:rPr>
                <w:rFonts w:ascii="Century Gothic" w:eastAsia="Times New Roman" w:hAnsi="Century Gothic"/>
                <w:b/>
                <w:bCs/>
                <w:lang w:eastAsia="es-MX"/>
              </w:rPr>
              <w:t>Lo anterior, se desprende de lo siguiente:</w:t>
            </w:r>
          </w:p>
          <w:p w14:paraId="453FF137" w14:textId="77777777" w:rsidR="00063569" w:rsidRDefault="00063569" w:rsidP="009A0716">
            <w:pPr>
              <w:ind w:left="284" w:right="284"/>
              <w:jc w:val="both"/>
              <w:rPr>
                <w:rFonts w:ascii="Century Gothic" w:eastAsia="Times New Roman" w:hAnsi="Century Gothic"/>
                <w:bCs/>
                <w:i/>
                <w:sz w:val="20"/>
                <w:lang w:eastAsia="es-MX"/>
              </w:rPr>
            </w:pPr>
            <w:r>
              <w:rPr>
                <w:rFonts w:ascii="Century Gothic" w:eastAsia="Times New Roman" w:hAnsi="Century Gothic"/>
                <w:b/>
                <w:bCs/>
                <w:lang w:eastAsia="es-MX"/>
              </w:rPr>
              <w:t>“</w:t>
            </w:r>
            <w:r w:rsidRPr="00063569">
              <w:rPr>
                <w:rFonts w:ascii="Century Gothic" w:eastAsia="Times New Roman" w:hAnsi="Century Gothic"/>
                <w:bCs/>
                <w:i/>
                <w:sz w:val="20"/>
                <w:lang w:eastAsia="es-MX"/>
              </w:rPr>
              <w:t>Artículo 12. La Comisión tendrá las siguientes atribuciones:</w:t>
            </w:r>
          </w:p>
          <w:p w14:paraId="5AD7FCED" w14:textId="77777777" w:rsidR="00063569" w:rsidRPr="00063569" w:rsidRDefault="00063569" w:rsidP="009A0716">
            <w:pPr>
              <w:ind w:left="284" w:right="284"/>
              <w:jc w:val="both"/>
              <w:rPr>
                <w:rFonts w:ascii="Century Gothic" w:eastAsia="Times New Roman" w:hAnsi="Century Gothic"/>
                <w:bCs/>
                <w:lang w:eastAsia="es-MX"/>
              </w:rPr>
            </w:pPr>
            <w:r w:rsidRPr="00063569">
              <w:rPr>
                <w:rFonts w:ascii="Century Gothic" w:eastAsia="Times New Roman" w:hAnsi="Century Gothic"/>
                <w:bCs/>
                <w:lang w:eastAsia="es-MX"/>
              </w:rPr>
              <w:t>[…]</w:t>
            </w:r>
          </w:p>
          <w:p w14:paraId="2B93D094" w14:textId="77777777" w:rsidR="00063569" w:rsidRDefault="00063569" w:rsidP="009A0716">
            <w:pPr>
              <w:ind w:left="284" w:right="284"/>
              <w:jc w:val="both"/>
              <w:rPr>
                <w:rFonts w:ascii="Century Gothic" w:eastAsia="Times New Roman" w:hAnsi="Century Gothic"/>
                <w:bCs/>
                <w:i/>
                <w:sz w:val="20"/>
                <w:lang w:eastAsia="es-MX"/>
              </w:rPr>
            </w:pPr>
            <w:r w:rsidRPr="00063569">
              <w:rPr>
                <w:rFonts w:ascii="Century Gothic" w:eastAsia="Times New Roman" w:hAnsi="Century Gothic"/>
                <w:bCs/>
                <w:i/>
                <w:sz w:val="20"/>
                <w:lang w:eastAsia="es-MX"/>
              </w:rPr>
              <w:t>XXII. Publicar las Disposiciones Regulatorias que sean necesarias para el cumplimiento de sus</w:t>
            </w:r>
            <w:r>
              <w:rPr>
                <w:rFonts w:ascii="Century Gothic" w:eastAsia="Times New Roman" w:hAnsi="Century Gothic"/>
                <w:bCs/>
                <w:i/>
                <w:sz w:val="20"/>
                <w:lang w:eastAsia="es-MX"/>
              </w:rPr>
              <w:t xml:space="preserve"> </w:t>
            </w:r>
            <w:r w:rsidRPr="00063569">
              <w:rPr>
                <w:rFonts w:ascii="Century Gothic" w:eastAsia="Times New Roman" w:hAnsi="Century Gothic"/>
                <w:bCs/>
                <w:i/>
                <w:sz w:val="20"/>
                <w:lang w:eastAsia="es-MX"/>
              </w:rPr>
              <w:t>atribuciones, entre las que deberán comprenderse las siguientes materias:</w:t>
            </w:r>
          </w:p>
          <w:p w14:paraId="2D78D970" w14:textId="77777777" w:rsidR="00063569" w:rsidRPr="00063569" w:rsidRDefault="00063569" w:rsidP="009A0716">
            <w:pPr>
              <w:ind w:left="284" w:right="284"/>
              <w:jc w:val="both"/>
              <w:rPr>
                <w:rFonts w:ascii="Century Gothic" w:eastAsia="Times New Roman" w:hAnsi="Century Gothic"/>
                <w:bCs/>
                <w:lang w:eastAsia="es-MX"/>
              </w:rPr>
            </w:pPr>
            <w:r w:rsidRPr="00063569">
              <w:rPr>
                <w:rFonts w:ascii="Century Gothic" w:eastAsia="Times New Roman" w:hAnsi="Century Gothic"/>
                <w:bCs/>
                <w:lang w:eastAsia="es-MX"/>
              </w:rPr>
              <w:t>[…]</w:t>
            </w:r>
          </w:p>
          <w:p w14:paraId="128E5F96" w14:textId="77777777" w:rsidR="00063569" w:rsidRDefault="00063569" w:rsidP="009A0716">
            <w:pPr>
              <w:ind w:left="284" w:right="284"/>
              <w:jc w:val="both"/>
              <w:rPr>
                <w:rFonts w:ascii="Century Gothic" w:eastAsia="Times New Roman" w:hAnsi="Century Gothic"/>
                <w:bCs/>
                <w:i/>
                <w:sz w:val="20"/>
                <w:lang w:eastAsia="es-MX"/>
              </w:rPr>
            </w:pPr>
            <w:r w:rsidRPr="009A0716">
              <w:rPr>
                <w:rFonts w:ascii="Century Gothic" w:eastAsia="Times New Roman" w:hAnsi="Century Gothic"/>
                <w:b/>
                <w:bCs/>
                <w:i/>
                <w:sz w:val="20"/>
                <w:u w:val="single"/>
                <w:lang w:eastAsia="es-MX"/>
              </w:rPr>
              <w:t>Con independencia</w:t>
            </w:r>
            <w:r w:rsidRPr="00063569">
              <w:rPr>
                <w:rFonts w:ascii="Century Gothic" w:eastAsia="Times New Roman" w:hAnsi="Century Gothic"/>
                <w:bCs/>
                <w:i/>
                <w:sz w:val="20"/>
                <w:lang w:eastAsia="es-MX"/>
              </w:rPr>
              <w:t xml:space="preserve"> de la publicación de las disposiciones regulatorias a que se refiere esta Ley,</w:t>
            </w:r>
            <w:r>
              <w:rPr>
                <w:rFonts w:ascii="Century Gothic" w:eastAsia="Times New Roman" w:hAnsi="Century Gothic"/>
                <w:bCs/>
                <w:i/>
                <w:sz w:val="20"/>
                <w:lang w:eastAsia="es-MX"/>
              </w:rPr>
              <w:t xml:space="preserve"> </w:t>
            </w:r>
            <w:r w:rsidRPr="00063569">
              <w:rPr>
                <w:rFonts w:ascii="Century Gothic" w:eastAsia="Times New Roman" w:hAnsi="Century Gothic"/>
                <w:bCs/>
                <w:i/>
                <w:sz w:val="20"/>
                <w:lang w:eastAsia="es-MX"/>
              </w:rPr>
              <w:t xml:space="preserve">la Comisión </w:t>
            </w:r>
            <w:r w:rsidRPr="009A0716">
              <w:rPr>
                <w:rFonts w:ascii="Century Gothic" w:eastAsia="Times New Roman" w:hAnsi="Century Gothic"/>
                <w:b/>
                <w:bCs/>
                <w:i/>
                <w:sz w:val="20"/>
                <w:u w:val="single"/>
                <w:lang w:eastAsia="es-MX"/>
              </w:rPr>
              <w:t>deberá</w:t>
            </w:r>
            <w:r w:rsidRPr="00063569">
              <w:rPr>
                <w:rFonts w:ascii="Century Gothic" w:eastAsia="Times New Roman" w:hAnsi="Century Gothic"/>
                <w:bCs/>
                <w:i/>
                <w:sz w:val="20"/>
                <w:lang w:eastAsia="es-MX"/>
              </w:rPr>
              <w:t xml:space="preserve"> expedir </w:t>
            </w:r>
            <w:r w:rsidRPr="009A0716">
              <w:rPr>
                <w:rFonts w:ascii="Century Gothic" w:eastAsia="Times New Roman" w:hAnsi="Century Gothic"/>
                <w:b/>
                <w:bCs/>
                <w:i/>
                <w:sz w:val="20"/>
                <w:u w:val="single"/>
                <w:lang w:eastAsia="es-MX"/>
              </w:rPr>
              <w:t>directrices, guías, lineamientos y criterios técnicos</w:t>
            </w:r>
            <w:r w:rsidRPr="00063569">
              <w:rPr>
                <w:rFonts w:ascii="Century Gothic" w:eastAsia="Times New Roman" w:hAnsi="Century Gothic"/>
                <w:bCs/>
                <w:i/>
                <w:sz w:val="20"/>
                <w:lang w:eastAsia="es-MX"/>
              </w:rPr>
              <w:t>, previa consulta</w:t>
            </w:r>
            <w:r>
              <w:rPr>
                <w:rFonts w:ascii="Century Gothic" w:eastAsia="Times New Roman" w:hAnsi="Century Gothic"/>
                <w:bCs/>
                <w:i/>
                <w:sz w:val="20"/>
                <w:lang w:eastAsia="es-MX"/>
              </w:rPr>
              <w:t xml:space="preserve"> </w:t>
            </w:r>
            <w:r w:rsidRPr="00063569">
              <w:rPr>
                <w:rFonts w:ascii="Century Gothic" w:eastAsia="Times New Roman" w:hAnsi="Century Gothic"/>
                <w:bCs/>
                <w:i/>
                <w:sz w:val="20"/>
                <w:lang w:eastAsia="es-MX"/>
              </w:rPr>
              <w:t xml:space="preserve">pública, en los términos del artículo 138 de esta Ley, </w:t>
            </w:r>
            <w:r w:rsidRPr="009A0716">
              <w:rPr>
                <w:rFonts w:ascii="Century Gothic" w:eastAsia="Times New Roman" w:hAnsi="Century Gothic"/>
                <w:b/>
                <w:bCs/>
                <w:i/>
                <w:sz w:val="20"/>
                <w:u w:val="single"/>
                <w:lang w:eastAsia="es-MX"/>
              </w:rPr>
              <w:t>en materia de</w:t>
            </w:r>
            <w:r w:rsidRPr="00063569">
              <w:rPr>
                <w:rFonts w:ascii="Century Gothic" w:eastAsia="Times New Roman" w:hAnsi="Century Gothic"/>
                <w:bCs/>
                <w:i/>
                <w:sz w:val="20"/>
                <w:lang w:eastAsia="es-MX"/>
              </w:rPr>
              <w:t>:</w:t>
            </w:r>
          </w:p>
          <w:p w14:paraId="6EC60F0F" w14:textId="77777777" w:rsidR="00063569" w:rsidRPr="00063569" w:rsidRDefault="00063569" w:rsidP="009A0716">
            <w:pPr>
              <w:ind w:left="284" w:right="284"/>
              <w:jc w:val="both"/>
              <w:rPr>
                <w:rFonts w:ascii="Century Gothic" w:eastAsia="Times New Roman" w:hAnsi="Century Gothic"/>
                <w:bCs/>
                <w:lang w:eastAsia="es-MX"/>
              </w:rPr>
            </w:pPr>
            <w:r w:rsidRPr="00063569">
              <w:rPr>
                <w:rFonts w:ascii="Century Gothic" w:eastAsia="Times New Roman" w:hAnsi="Century Gothic"/>
                <w:bCs/>
                <w:lang w:eastAsia="es-MX"/>
              </w:rPr>
              <w:t>[…]</w:t>
            </w:r>
          </w:p>
          <w:p w14:paraId="2DC8CCD4" w14:textId="77777777" w:rsidR="00063569" w:rsidRDefault="00063569" w:rsidP="009A0716">
            <w:pPr>
              <w:ind w:left="284" w:right="284"/>
              <w:jc w:val="both"/>
              <w:rPr>
                <w:rFonts w:ascii="Century Gothic" w:eastAsia="Times New Roman" w:hAnsi="Century Gothic"/>
                <w:bCs/>
                <w:i/>
                <w:sz w:val="20"/>
                <w:lang w:eastAsia="es-MX"/>
              </w:rPr>
            </w:pPr>
            <w:r w:rsidRPr="00063569">
              <w:rPr>
                <w:rFonts w:ascii="Century Gothic" w:eastAsia="Times New Roman" w:hAnsi="Century Gothic"/>
                <w:bCs/>
                <w:i/>
                <w:sz w:val="20"/>
                <w:lang w:eastAsia="es-MX"/>
              </w:rPr>
              <w:t xml:space="preserve">c) </w:t>
            </w:r>
            <w:r w:rsidRPr="009A0716">
              <w:rPr>
                <w:rFonts w:ascii="Century Gothic" w:eastAsia="Times New Roman" w:hAnsi="Century Gothic"/>
                <w:b/>
                <w:bCs/>
                <w:i/>
                <w:sz w:val="20"/>
                <w:u w:val="single"/>
                <w:lang w:eastAsia="es-MX"/>
              </w:rPr>
              <w:t>Beneficio de dispensa y reducción del importe de las multas</w:t>
            </w:r>
            <w:r w:rsidRPr="00063569">
              <w:rPr>
                <w:rFonts w:ascii="Century Gothic" w:eastAsia="Times New Roman" w:hAnsi="Century Gothic"/>
                <w:bCs/>
                <w:i/>
                <w:sz w:val="20"/>
                <w:lang w:eastAsia="es-MX"/>
              </w:rPr>
              <w:t>;</w:t>
            </w:r>
          </w:p>
          <w:p w14:paraId="6437F542" w14:textId="77777777" w:rsidR="00063569" w:rsidRDefault="00063569" w:rsidP="009A0716">
            <w:pPr>
              <w:ind w:left="284" w:right="284"/>
              <w:jc w:val="both"/>
              <w:rPr>
                <w:rFonts w:ascii="Century Gothic" w:eastAsia="Times New Roman" w:hAnsi="Century Gothic"/>
                <w:bCs/>
                <w:lang w:eastAsia="es-MX"/>
              </w:rPr>
            </w:pPr>
            <w:r w:rsidRPr="00063569">
              <w:rPr>
                <w:rFonts w:ascii="Century Gothic" w:eastAsia="Times New Roman" w:hAnsi="Century Gothic"/>
                <w:bCs/>
                <w:lang w:eastAsia="es-MX"/>
              </w:rPr>
              <w:t>[…]”.</w:t>
            </w:r>
            <w:r w:rsidR="009A0716">
              <w:rPr>
                <w:rFonts w:ascii="Century Gothic" w:eastAsia="Times New Roman" w:hAnsi="Century Gothic"/>
                <w:bCs/>
                <w:lang w:eastAsia="es-MX"/>
              </w:rPr>
              <w:t xml:space="preserve"> [Énfasis añadido].</w:t>
            </w:r>
          </w:p>
          <w:p w14:paraId="00EF4E21" w14:textId="77777777" w:rsidR="009A0716" w:rsidRDefault="009A0716" w:rsidP="00063569">
            <w:pPr>
              <w:jc w:val="both"/>
              <w:rPr>
                <w:rFonts w:ascii="Century Gothic" w:eastAsia="Times New Roman" w:hAnsi="Century Gothic"/>
                <w:b/>
                <w:bCs/>
                <w:lang w:eastAsia="es-MX"/>
              </w:rPr>
            </w:pPr>
            <w:r>
              <w:rPr>
                <w:rFonts w:ascii="Century Gothic" w:eastAsia="Times New Roman" w:hAnsi="Century Gothic"/>
                <w:b/>
                <w:bCs/>
                <w:lang w:eastAsia="es-MX"/>
              </w:rPr>
              <w:t>Así, el legislador previó, de manera expresa, que el Instituto Federal de Telecomunicaciones se abstuviera de regular el procedimiento especial comprendido en el artículo 100 de la LFCE en las DRLFCE, imponiendo el mandato de regularlo mediante directrices, guías, lineamientos o criterios técnicos.</w:t>
            </w:r>
          </w:p>
          <w:p w14:paraId="62DD7435" w14:textId="77777777" w:rsidR="009A0716" w:rsidRDefault="009A0716" w:rsidP="00063569">
            <w:pPr>
              <w:jc w:val="both"/>
              <w:rPr>
                <w:rFonts w:ascii="Century Gothic" w:eastAsia="Times New Roman" w:hAnsi="Century Gothic"/>
                <w:b/>
                <w:bCs/>
                <w:lang w:eastAsia="es-MX"/>
              </w:rPr>
            </w:pPr>
            <w:r>
              <w:rPr>
                <w:rFonts w:ascii="Century Gothic" w:eastAsia="Times New Roman" w:hAnsi="Century Gothic"/>
                <w:b/>
                <w:bCs/>
                <w:lang w:eastAsia="es-MX"/>
              </w:rPr>
              <w:t>De lo contrario, el legislador hubiera incluido, en el artículo 12, fracción XXII, párrafo primero, la hipótesis referente al procedimiento especial en comento o, en su caso, hubiera optado por una palabra distinta a “</w:t>
            </w:r>
            <w:r w:rsidRPr="009A0716">
              <w:rPr>
                <w:rFonts w:ascii="Century Gothic" w:eastAsia="Times New Roman" w:hAnsi="Century Gothic"/>
                <w:bCs/>
                <w:i/>
                <w:lang w:eastAsia="es-MX"/>
              </w:rPr>
              <w:t>deberá</w:t>
            </w:r>
            <w:r>
              <w:rPr>
                <w:rFonts w:ascii="Century Gothic" w:eastAsia="Times New Roman" w:hAnsi="Century Gothic"/>
                <w:b/>
                <w:bCs/>
                <w:lang w:eastAsia="es-MX"/>
              </w:rPr>
              <w:t xml:space="preserve">”, en el caso que anteriormente se transcribió. </w:t>
            </w:r>
          </w:p>
          <w:p w14:paraId="7FBD5DE9" w14:textId="2B91055A" w:rsidR="009A0716" w:rsidRPr="009A0716" w:rsidRDefault="009A0716" w:rsidP="00063569">
            <w:pPr>
              <w:jc w:val="both"/>
              <w:rPr>
                <w:rFonts w:ascii="Century Gothic" w:eastAsia="Times New Roman" w:hAnsi="Century Gothic"/>
                <w:b/>
                <w:bCs/>
                <w:lang w:eastAsia="es-MX"/>
              </w:rPr>
            </w:pPr>
            <w:r>
              <w:rPr>
                <w:rFonts w:ascii="Century Gothic" w:eastAsia="Times New Roman" w:hAnsi="Century Gothic"/>
                <w:b/>
                <w:bCs/>
                <w:lang w:eastAsia="es-MX"/>
              </w:rPr>
              <w:t xml:space="preserve">De esta manera, se concluye que el presente procedimiento de consulta pública para modificar las DRLFCE con motivo del </w:t>
            </w:r>
            <w:r>
              <w:rPr>
                <w:rFonts w:ascii="Century Gothic" w:eastAsia="Times New Roman" w:hAnsi="Century Gothic"/>
                <w:b/>
                <w:bCs/>
                <w:i/>
                <w:lang w:eastAsia="es-MX"/>
              </w:rPr>
              <w:t>beneficio de dispensa y reducción del importe de las multas</w:t>
            </w:r>
            <w:r>
              <w:rPr>
                <w:rFonts w:ascii="Century Gothic" w:eastAsia="Times New Roman" w:hAnsi="Century Gothic"/>
                <w:b/>
                <w:bCs/>
                <w:lang w:eastAsia="es-MX"/>
              </w:rPr>
              <w:t xml:space="preserve">, resulta contrario al mandato reglado </w:t>
            </w:r>
            <w:r>
              <w:rPr>
                <w:rFonts w:ascii="Century Gothic" w:eastAsia="Times New Roman" w:hAnsi="Century Gothic"/>
                <w:b/>
                <w:bCs/>
                <w:lang w:eastAsia="es-MX"/>
              </w:rPr>
              <w:lastRenderedPageBreak/>
              <w:t xml:space="preserve">contenido en la LFCE, y que el medio idóneo para </w:t>
            </w:r>
            <w:r w:rsidR="00007CFF">
              <w:rPr>
                <w:rFonts w:ascii="Century Gothic" w:eastAsia="Times New Roman" w:hAnsi="Century Gothic"/>
                <w:b/>
                <w:bCs/>
                <w:lang w:eastAsia="es-MX"/>
              </w:rPr>
              <w:t>regularlo es mediante directrices, guías, lineamientos o criterios técnicos.</w:t>
            </w:r>
          </w:p>
        </w:tc>
      </w:tr>
      <w:tr w:rsidR="00A42AB9" w14:paraId="2D9C3431" w14:textId="77777777" w:rsidTr="00A42AB9">
        <w:trPr>
          <w:trHeight w:val="300"/>
          <w:jc w:val="center"/>
        </w:trPr>
        <w:tc>
          <w:tcPr>
            <w:tcW w:w="8642"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5C7D0A6" w14:textId="77777777" w:rsidR="00A42AB9" w:rsidRDefault="00A42AB9">
            <w:pPr>
              <w:spacing w:after="0" w:line="240" w:lineRule="auto"/>
              <w:jc w:val="both"/>
              <w:rPr>
                <w:rFonts w:ascii="Century Gothic" w:eastAsia="Times New Roman" w:hAnsi="Century Gothic"/>
                <w:color w:val="000000"/>
                <w:sz w:val="14"/>
                <w:szCs w:val="14"/>
                <w:lang w:eastAsia="es-MX"/>
              </w:rPr>
            </w:pPr>
            <w:r>
              <w:rPr>
                <w:rFonts w:ascii="Century Gothic" w:eastAsia="Times New Roman" w:hAnsi="Century Gothic"/>
                <w:b/>
                <w:color w:val="000000"/>
                <w:sz w:val="14"/>
                <w:szCs w:val="14"/>
                <w:lang w:eastAsia="es-MX"/>
              </w:rPr>
              <w:lastRenderedPageBreak/>
              <w:t xml:space="preserve">Nota: </w:t>
            </w:r>
            <w:r>
              <w:rPr>
                <w:rFonts w:ascii="Century Gothic" w:eastAsia="Times New Roman" w:hAnsi="Century Gothic"/>
                <w:color w:val="000000"/>
                <w:sz w:val="14"/>
                <w:szCs w:val="14"/>
                <w:lang w:eastAsia="es-MX"/>
              </w:rPr>
              <w:t>añadir cuantas filas considere necesarias.</w:t>
            </w:r>
          </w:p>
        </w:tc>
      </w:tr>
    </w:tbl>
    <w:p w14:paraId="5C8B0501" w14:textId="77777777" w:rsidR="00A42AB9" w:rsidRDefault="00A42AB9" w:rsidP="00A42AB9">
      <w:pPr>
        <w:spacing w:after="0"/>
        <w:jc w:val="both"/>
        <w:rPr>
          <w:rFonts w:ascii="Century Gothic" w:hAnsi="Century Gothic"/>
          <w:sz w:val="16"/>
        </w:rPr>
      </w:pPr>
    </w:p>
    <w:p w14:paraId="5C4BE2F5" w14:textId="77777777" w:rsidR="00DF154A" w:rsidRPr="00A42AB9" w:rsidRDefault="00DF154A" w:rsidP="00A42AB9"/>
    <w:sectPr w:rsidR="00DF154A" w:rsidRPr="00A42AB9"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6E63" w14:textId="77777777" w:rsidR="002D6116" w:rsidRDefault="002D6116" w:rsidP="0038199D">
      <w:pPr>
        <w:spacing w:after="0" w:line="240" w:lineRule="auto"/>
      </w:pPr>
      <w:r>
        <w:separator/>
      </w:r>
    </w:p>
  </w:endnote>
  <w:endnote w:type="continuationSeparator" w:id="0">
    <w:p w14:paraId="2A024219" w14:textId="77777777" w:rsidR="002D6116" w:rsidRDefault="002D611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D1BA" w14:textId="6F3A0A06"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E67E4B" w:rsidRPr="00E67E4B">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E67E4B" w:rsidRPr="00E67E4B">
      <w:rPr>
        <w:rFonts w:ascii="ITC Avant Garde" w:hAnsi="ITC Avant Garde"/>
        <w:noProof/>
        <w:color w:val="323E4F"/>
        <w:sz w:val="14"/>
        <w:szCs w:val="24"/>
        <w:lang w:val="es-ES"/>
      </w:rPr>
      <w:t>3</w:t>
    </w:r>
    <w:r w:rsidRPr="00DF5B3F">
      <w:rPr>
        <w:rFonts w:ascii="ITC Avant Garde" w:hAnsi="ITC Avant Garde"/>
        <w:color w:val="323E4F"/>
        <w:sz w:val="14"/>
        <w:szCs w:val="24"/>
      </w:rPr>
      <w:fldChar w:fldCharType="end"/>
    </w:r>
  </w:p>
  <w:p w14:paraId="56A8997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BCE3F" w14:textId="77777777" w:rsidR="002D6116" w:rsidRDefault="002D6116" w:rsidP="0038199D">
      <w:pPr>
        <w:spacing w:after="0" w:line="240" w:lineRule="auto"/>
      </w:pPr>
      <w:r>
        <w:separator/>
      </w:r>
    </w:p>
  </w:footnote>
  <w:footnote w:type="continuationSeparator" w:id="0">
    <w:p w14:paraId="13A6A632" w14:textId="77777777" w:rsidR="002D6116" w:rsidRDefault="002D6116"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3B9A" w14:textId="77777777" w:rsidR="0038199D" w:rsidRPr="007A6974" w:rsidRDefault="00C43AEF"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23735093" wp14:editId="19E6DE96">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E7A89F7" w14:textId="6BF91146" w:rsidR="004D7960" w:rsidRPr="00D909BE" w:rsidRDefault="00005DB7" w:rsidP="004D5EAB">
    <w:pPr>
      <w:pStyle w:val="Encabezado"/>
      <w:ind w:left="3119"/>
      <w:jc w:val="both"/>
      <w:rPr>
        <w:rFonts w:ascii="ITC Avant Garde" w:hAnsi="ITC Avant Garde"/>
        <w:sz w:val="20"/>
      </w:rPr>
    </w:pPr>
    <w:r w:rsidRPr="00D909BE">
      <w:rPr>
        <w:rFonts w:ascii="ITC Avant Garde" w:hAnsi="ITC Avant Garde"/>
        <w:sz w:val="20"/>
      </w:rPr>
      <w:t xml:space="preserve">Consulta Pública sobre </w:t>
    </w:r>
    <w:r w:rsidR="00797CDD" w:rsidRPr="00D909BE">
      <w:rPr>
        <w:rFonts w:ascii="ITC Avant Garde" w:hAnsi="ITC Avant Garde"/>
        <w:sz w:val="20"/>
      </w:rPr>
      <w:t>el “</w:t>
    </w:r>
    <w:r w:rsidR="00850AE9" w:rsidRPr="00850AE9">
      <w:rPr>
        <w:rFonts w:ascii="ITC Avant Garde" w:hAnsi="ITC Avant Garde" w:cstheme="majorBidi"/>
        <w:b/>
        <w:bCs/>
        <w:sz w:val="20"/>
      </w:rPr>
      <w:t>Anteproyecto de modificaciones a las Disposiciones Regulatorias de la Ley Federal de Competencia Económica para los sectores de telecomunicaciones y radiodifusión</w:t>
    </w:r>
    <w:r w:rsidR="00797CDD" w:rsidRPr="00D909BE">
      <w:rPr>
        <w:rFonts w:ascii="ITC Avant Garde" w:hAnsi="ITC Avant Garde"/>
        <w:sz w:val="20"/>
      </w:rPr>
      <w:t>”</w:t>
    </w:r>
  </w:p>
  <w:p w14:paraId="7E0BAEDB" w14:textId="77777777" w:rsidR="0038199D" w:rsidRPr="007A6974" w:rsidRDefault="00C43AEF"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48F5E966" wp14:editId="1D07BDC8">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39DB05"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DC60FF20"/>
    <w:lvl w:ilvl="0" w:tplc="257AF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946"/>
    <w:rsid w:val="000049D9"/>
    <w:rsid w:val="000055EA"/>
    <w:rsid w:val="00005DB7"/>
    <w:rsid w:val="00007CFF"/>
    <w:rsid w:val="000253EE"/>
    <w:rsid w:val="00025623"/>
    <w:rsid w:val="000257E9"/>
    <w:rsid w:val="00026723"/>
    <w:rsid w:val="00030E6E"/>
    <w:rsid w:val="000356DE"/>
    <w:rsid w:val="000558C8"/>
    <w:rsid w:val="00063569"/>
    <w:rsid w:val="000865C1"/>
    <w:rsid w:val="00092755"/>
    <w:rsid w:val="000931D8"/>
    <w:rsid w:val="00097B00"/>
    <w:rsid w:val="000A0F69"/>
    <w:rsid w:val="000A5CFB"/>
    <w:rsid w:val="000A6255"/>
    <w:rsid w:val="000D2838"/>
    <w:rsid w:val="000D4A6C"/>
    <w:rsid w:val="000E41EA"/>
    <w:rsid w:val="000E41F3"/>
    <w:rsid w:val="000E54B6"/>
    <w:rsid w:val="000E55B0"/>
    <w:rsid w:val="000F4A03"/>
    <w:rsid w:val="00100C9C"/>
    <w:rsid w:val="001124B6"/>
    <w:rsid w:val="00113398"/>
    <w:rsid w:val="00120D05"/>
    <w:rsid w:val="001331D8"/>
    <w:rsid w:val="00160352"/>
    <w:rsid w:val="00170916"/>
    <w:rsid w:val="00174196"/>
    <w:rsid w:val="001A7B44"/>
    <w:rsid w:val="001C37DB"/>
    <w:rsid w:val="001E0388"/>
    <w:rsid w:val="001E1D4D"/>
    <w:rsid w:val="001F47A6"/>
    <w:rsid w:val="002131FB"/>
    <w:rsid w:val="00266BE0"/>
    <w:rsid w:val="00267A8A"/>
    <w:rsid w:val="002771ED"/>
    <w:rsid w:val="00297840"/>
    <w:rsid w:val="002B4BB2"/>
    <w:rsid w:val="002D27CA"/>
    <w:rsid w:val="002D34FE"/>
    <w:rsid w:val="002D6116"/>
    <w:rsid w:val="002D6E3D"/>
    <w:rsid w:val="002F747D"/>
    <w:rsid w:val="00307092"/>
    <w:rsid w:val="00317C72"/>
    <w:rsid w:val="00323F3A"/>
    <w:rsid w:val="003560F3"/>
    <w:rsid w:val="003613DA"/>
    <w:rsid w:val="00364004"/>
    <w:rsid w:val="0038199D"/>
    <w:rsid w:val="00395ED2"/>
    <w:rsid w:val="003B524B"/>
    <w:rsid w:val="003D1CAC"/>
    <w:rsid w:val="003D5CD7"/>
    <w:rsid w:val="0041087B"/>
    <w:rsid w:val="004141B1"/>
    <w:rsid w:val="004317BC"/>
    <w:rsid w:val="00433E87"/>
    <w:rsid w:val="00450FCD"/>
    <w:rsid w:val="00456A2B"/>
    <w:rsid w:val="00461A06"/>
    <w:rsid w:val="00464849"/>
    <w:rsid w:val="00464AE1"/>
    <w:rsid w:val="004970C4"/>
    <w:rsid w:val="004A1FE1"/>
    <w:rsid w:val="004B053F"/>
    <w:rsid w:val="004C4695"/>
    <w:rsid w:val="004D5EAB"/>
    <w:rsid w:val="004D64DD"/>
    <w:rsid w:val="004D7960"/>
    <w:rsid w:val="004E2A3A"/>
    <w:rsid w:val="004F4C27"/>
    <w:rsid w:val="005005A1"/>
    <w:rsid w:val="00505B9C"/>
    <w:rsid w:val="00507EA9"/>
    <w:rsid w:val="00511788"/>
    <w:rsid w:val="00511FAE"/>
    <w:rsid w:val="0052296A"/>
    <w:rsid w:val="00541678"/>
    <w:rsid w:val="00546F00"/>
    <w:rsid w:val="00553E64"/>
    <w:rsid w:val="00555B10"/>
    <w:rsid w:val="00595ADE"/>
    <w:rsid w:val="005B3E9A"/>
    <w:rsid w:val="005B7B15"/>
    <w:rsid w:val="005C0435"/>
    <w:rsid w:val="005C06DB"/>
    <w:rsid w:val="005E00BA"/>
    <w:rsid w:val="005F0265"/>
    <w:rsid w:val="005F76BF"/>
    <w:rsid w:val="00603B41"/>
    <w:rsid w:val="00605BD9"/>
    <w:rsid w:val="00623761"/>
    <w:rsid w:val="006601AF"/>
    <w:rsid w:val="00670385"/>
    <w:rsid w:val="00672219"/>
    <w:rsid w:val="00684EA3"/>
    <w:rsid w:val="006A6D93"/>
    <w:rsid w:val="006B0B12"/>
    <w:rsid w:val="006D3281"/>
    <w:rsid w:val="006F3FDD"/>
    <w:rsid w:val="006F5989"/>
    <w:rsid w:val="00703850"/>
    <w:rsid w:val="00703B1B"/>
    <w:rsid w:val="007236A7"/>
    <w:rsid w:val="00724612"/>
    <w:rsid w:val="00735DEE"/>
    <w:rsid w:val="00751456"/>
    <w:rsid w:val="00762996"/>
    <w:rsid w:val="007644BA"/>
    <w:rsid w:val="0077357C"/>
    <w:rsid w:val="0077434E"/>
    <w:rsid w:val="007843CF"/>
    <w:rsid w:val="007978CB"/>
    <w:rsid w:val="00797CDD"/>
    <w:rsid w:val="007A6974"/>
    <w:rsid w:val="007A7755"/>
    <w:rsid w:val="007B2097"/>
    <w:rsid w:val="007D4A23"/>
    <w:rsid w:val="007E04FB"/>
    <w:rsid w:val="007E2138"/>
    <w:rsid w:val="007F575E"/>
    <w:rsid w:val="00800852"/>
    <w:rsid w:val="00804BB7"/>
    <w:rsid w:val="008200BE"/>
    <w:rsid w:val="00850AE9"/>
    <w:rsid w:val="00856A90"/>
    <w:rsid w:val="0086154B"/>
    <w:rsid w:val="008658B5"/>
    <w:rsid w:val="008711D6"/>
    <w:rsid w:val="00871AC0"/>
    <w:rsid w:val="0087596E"/>
    <w:rsid w:val="008843FB"/>
    <w:rsid w:val="008A5565"/>
    <w:rsid w:val="008C679D"/>
    <w:rsid w:val="008D106B"/>
    <w:rsid w:val="008F2B1A"/>
    <w:rsid w:val="00903C94"/>
    <w:rsid w:val="00915460"/>
    <w:rsid w:val="00915CEA"/>
    <w:rsid w:val="009160D3"/>
    <w:rsid w:val="00942344"/>
    <w:rsid w:val="009426CC"/>
    <w:rsid w:val="00975C25"/>
    <w:rsid w:val="00987B91"/>
    <w:rsid w:val="00993E95"/>
    <w:rsid w:val="009A0716"/>
    <w:rsid w:val="009B5ADA"/>
    <w:rsid w:val="009C6C17"/>
    <w:rsid w:val="009D3DDA"/>
    <w:rsid w:val="009E197F"/>
    <w:rsid w:val="00A11685"/>
    <w:rsid w:val="00A1372C"/>
    <w:rsid w:val="00A2508E"/>
    <w:rsid w:val="00A25465"/>
    <w:rsid w:val="00A348D8"/>
    <w:rsid w:val="00A407AB"/>
    <w:rsid w:val="00A42AB9"/>
    <w:rsid w:val="00A454F4"/>
    <w:rsid w:val="00A57E13"/>
    <w:rsid w:val="00A60361"/>
    <w:rsid w:val="00A62629"/>
    <w:rsid w:val="00A62E59"/>
    <w:rsid w:val="00A7050F"/>
    <w:rsid w:val="00A74360"/>
    <w:rsid w:val="00A751A5"/>
    <w:rsid w:val="00A75A67"/>
    <w:rsid w:val="00A917C8"/>
    <w:rsid w:val="00A92B29"/>
    <w:rsid w:val="00AA70C3"/>
    <w:rsid w:val="00AD024D"/>
    <w:rsid w:val="00AD0D63"/>
    <w:rsid w:val="00AE778E"/>
    <w:rsid w:val="00AF224D"/>
    <w:rsid w:val="00B07A61"/>
    <w:rsid w:val="00B15115"/>
    <w:rsid w:val="00B17D0B"/>
    <w:rsid w:val="00B20E15"/>
    <w:rsid w:val="00B30FE6"/>
    <w:rsid w:val="00B533DC"/>
    <w:rsid w:val="00B97BF9"/>
    <w:rsid w:val="00BB25F2"/>
    <w:rsid w:val="00BF644D"/>
    <w:rsid w:val="00C01314"/>
    <w:rsid w:val="00C13147"/>
    <w:rsid w:val="00C35A85"/>
    <w:rsid w:val="00C41536"/>
    <w:rsid w:val="00C42DD1"/>
    <w:rsid w:val="00C43AEF"/>
    <w:rsid w:val="00C53026"/>
    <w:rsid w:val="00C56B77"/>
    <w:rsid w:val="00C60ADB"/>
    <w:rsid w:val="00C63CEB"/>
    <w:rsid w:val="00C74717"/>
    <w:rsid w:val="00C83664"/>
    <w:rsid w:val="00C900FF"/>
    <w:rsid w:val="00C90C5B"/>
    <w:rsid w:val="00CA32F5"/>
    <w:rsid w:val="00CB7035"/>
    <w:rsid w:val="00CB7780"/>
    <w:rsid w:val="00CC382A"/>
    <w:rsid w:val="00CC53F7"/>
    <w:rsid w:val="00D13998"/>
    <w:rsid w:val="00D13CA5"/>
    <w:rsid w:val="00D22B9D"/>
    <w:rsid w:val="00D230A3"/>
    <w:rsid w:val="00D334B0"/>
    <w:rsid w:val="00D46029"/>
    <w:rsid w:val="00D472B6"/>
    <w:rsid w:val="00D47A99"/>
    <w:rsid w:val="00D50117"/>
    <w:rsid w:val="00D76089"/>
    <w:rsid w:val="00D909BE"/>
    <w:rsid w:val="00D94F82"/>
    <w:rsid w:val="00DA7945"/>
    <w:rsid w:val="00DB357E"/>
    <w:rsid w:val="00DC3C6C"/>
    <w:rsid w:val="00DF154A"/>
    <w:rsid w:val="00DF5B3F"/>
    <w:rsid w:val="00DF5CB5"/>
    <w:rsid w:val="00E1671B"/>
    <w:rsid w:val="00E24510"/>
    <w:rsid w:val="00E26739"/>
    <w:rsid w:val="00E64007"/>
    <w:rsid w:val="00E67E4B"/>
    <w:rsid w:val="00E72B09"/>
    <w:rsid w:val="00E944B2"/>
    <w:rsid w:val="00EA6ACC"/>
    <w:rsid w:val="00EB0594"/>
    <w:rsid w:val="00EB1D99"/>
    <w:rsid w:val="00EC09BC"/>
    <w:rsid w:val="00EC32C5"/>
    <w:rsid w:val="00EC4901"/>
    <w:rsid w:val="00F212B2"/>
    <w:rsid w:val="00F362D7"/>
    <w:rsid w:val="00F36A5D"/>
    <w:rsid w:val="00F45EB4"/>
    <w:rsid w:val="00F56CCA"/>
    <w:rsid w:val="00F71C67"/>
    <w:rsid w:val="00F76299"/>
    <w:rsid w:val="00F812E3"/>
    <w:rsid w:val="00FA17DF"/>
    <w:rsid w:val="00FA5CF8"/>
    <w:rsid w:val="00FA68DD"/>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DB96F"/>
  <w15:chartTrackingRefBased/>
  <w15:docId w15:val="{AF1DE158-F2F5-4862-9112-64408FD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0D4A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69684">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publica.denunciasai@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disposicionesregulatoria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lop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8AD97C-ABCA-4B60-B9BD-1B8642A96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7ED0B566-BE18-4CBF-A842-F555B8A7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4522014</vt:i4>
      </vt:variant>
      <vt:variant>
        <vt:i4>12</vt:i4>
      </vt:variant>
      <vt:variant>
        <vt:i4>0</vt:i4>
      </vt:variant>
      <vt:variant>
        <vt:i4>5</vt:i4>
      </vt:variant>
      <vt:variant>
        <vt:lpwstr>mailto:_____________@ift.org.mx</vt:lpwstr>
      </vt:variant>
      <vt:variant>
        <vt:lpwstr/>
      </vt:variant>
      <vt:variant>
        <vt:i4>4522014</vt:i4>
      </vt:variant>
      <vt:variant>
        <vt:i4>9</vt:i4>
      </vt:variant>
      <vt:variant>
        <vt:i4>0</vt:i4>
      </vt:variant>
      <vt:variant>
        <vt:i4>5</vt:i4>
      </vt:variant>
      <vt:variant>
        <vt:lpwstr>mailto:_____________@ift.org.mx</vt:lpwstr>
      </vt:variant>
      <vt:variant>
        <vt:lpwstr/>
      </vt:variant>
      <vt:variant>
        <vt:i4>5111858</vt:i4>
      </vt:variant>
      <vt:variant>
        <vt:i4>6</vt:i4>
      </vt:variant>
      <vt:variant>
        <vt:i4>0</vt:i4>
      </vt:variant>
      <vt:variant>
        <vt:i4>5</vt:i4>
      </vt:variant>
      <vt:variant>
        <vt:lpwstr>mailto:________________@ift.org.mx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1114221</vt:i4>
      </vt:variant>
      <vt:variant>
        <vt:i4>0</vt:i4>
      </vt:variant>
      <vt:variant>
        <vt:i4>0</vt:i4>
      </vt:variant>
      <vt:variant>
        <vt:i4>5</vt:i4>
      </vt:variant>
      <vt:variant>
        <vt:lpwstr>mailto:______@ift.org.mx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Jonathan Lopez Torres</cp:lastModifiedBy>
  <cp:revision>2</cp:revision>
  <cp:lastPrinted>2018-09-13T18:29:00Z</cp:lastPrinted>
  <dcterms:created xsi:type="dcterms:W3CDTF">2018-11-13T13:33:00Z</dcterms:created>
  <dcterms:modified xsi:type="dcterms:W3CDTF">2018-11-13T13:33:00Z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