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D5E19" w14:textId="77777777" w:rsidR="0038199D" w:rsidRPr="00F36A5D" w:rsidRDefault="0038199D" w:rsidP="007A6974">
      <w:pPr>
        <w:spacing w:after="0"/>
        <w:jc w:val="center"/>
        <w:rPr>
          <w:rFonts w:ascii="ITC Avant Garde" w:hAnsi="ITC Avant Garde"/>
          <w:b/>
        </w:rPr>
      </w:pPr>
      <w:bookmarkStart w:id="0" w:name="_GoBack"/>
      <w:bookmarkEnd w:id="0"/>
      <w:r w:rsidRPr="00F36A5D">
        <w:rPr>
          <w:rFonts w:ascii="ITC Avant Garde" w:hAnsi="ITC Avant Garde"/>
          <w:b/>
        </w:rPr>
        <w:t>FORMATO PARA PARTICIPAR EN LA CONSULTA PÚBLICA</w:t>
      </w:r>
    </w:p>
    <w:p w14:paraId="508FBF5F" w14:textId="77777777" w:rsidR="006601AF" w:rsidRPr="00F36A5D" w:rsidRDefault="006601AF" w:rsidP="00C900FF">
      <w:pPr>
        <w:spacing w:after="0"/>
        <w:rPr>
          <w:rFonts w:ascii="ITC Avant Garde" w:hAnsi="ITC Avant Garde"/>
          <w:b/>
        </w:rPr>
      </w:pPr>
    </w:p>
    <w:p w14:paraId="35AD74A2"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A602B83" w14:textId="77777777" w:rsidR="004970C4" w:rsidRPr="00F36A5D" w:rsidRDefault="004970C4" w:rsidP="007A6974">
      <w:pPr>
        <w:spacing w:after="0"/>
        <w:rPr>
          <w:rFonts w:ascii="ITC Avant Garde" w:hAnsi="ITC Avant Garde"/>
          <w:b/>
          <w:sz w:val="16"/>
        </w:rPr>
      </w:pPr>
    </w:p>
    <w:p w14:paraId="3672376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296362" w:rsidRPr="00D251D6">
          <w:rPr>
            <w:rStyle w:val="Hipervnculo"/>
            <w:rFonts w:ascii="ITC Avant Garde" w:hAnsi="ITC Avant Garde"/>
            <w:sz w:val="14"/>
            <w:szCs w:val="14"/>
          </w:rPr>
          <w:t>consulta.trámites.electrónicos@ift.org.mx</w:t>
        </w:r>
      </w:hyperlink>
      <w:r w:rsidR="00296362">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56C52D95"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57296ED"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7814EE37"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603B84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67C259C8"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25FB3882" w14:textId="314E5CE2"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C12EE6">
        <w:rPr>
          <w:rFonts w:ascii="ITC Avant Garde" w:hAnsi="ITC Avant Garde"/>
          <w:sz w:val="14"/>
          <w:szCs w:val="14"/>
        </w:rPr>
        <w:t>del</w:t>
      </w:r>
      <w:r w:rsidR="000D2838" w:rsidRPr="00C12EE6">
        <w:rPr>
          <w:rFonts w:ascii="ITC Avant Garde" w:hAnsi="ITC Avant Garde"/>
          <w:sz w:val="14"/>
          <w:szCs w:val="14"/>
        </w:rPr>
        <w:t xml:space="preserve"> </w:t>
      </w:r>
      <w:r w:rsidR="00C12EE6" w:rsidRPr="00C12EE6">
        <w:rPr>
          <w:rFonts w:ascii="ITC Avant Garde" w:hAnsi="ITC Avant Garde"/>
          <w:sz w:val="14"/>
          <w:szCs w:val="14"/>
        </w:rPr>
        <w:t>12</w:t>
      </w:r>
      <w:r w:rsidR="008C679D" w:rsidRPr="00C12EE6">
        <w:rPr>
          <w:rFonts w:ascii="ITC Avant Garde" w:hAnsi="ITC Avant Garde"/>
          <w:sz w:val="14"/>
          <w:szCs w:val="14"/>
        </w:rPr>
        <w:t xml:space="preserve"> de </w:t>
      </w:r>
      <w:r w:rsidR="00D46A41">
        <w:rPr>
          <w:rFonts w:ascii="ITC Avant Garde" w:hAnsi="ITC Avant Garde"/>
          <w:sz w:val="14"/>
          <w:szCs w:val="14"/>
        </w:rPr>
        <w:t>abril</w:t>
      </w:r>
      <w:r w:rsidR="000D2838" w:rsidRPr="00C12EE6">
        <w:rPr>
          <w:rFonts w:ascii="ITC Avant Garde" w:hAnsi="ITC Avant Garde"/>
          <w:sz w:val="14"/>
          <w:szCs w:val="14"/>
        </w:rPr>
        <w:t xml:space="preserve"> al </w:t>
      </w:r>
      <w:r w:rsidR="00C12EE6" w:rsidRPr="00C12EE6">
        <w:rPr>
          <w:rFonts w:ascii="ITC Avant Garde" w:hAnsi="ITC Avant Garde"/>
          <w:sz w:val="14"/>
          <w:szCs w:val="14"/>
        </w:rPr>
        <w:t>17</w:t>
      </w:r>
      <w:r w:rsidR="000D2838" w:rsidRPr="00C12EE6">
        <w:rPr>
          <w:rFonts w:ascii="ITC Avant Garde" w:hAnsi="ITC Avant Garde"/>
          <w:sz w:val="14"/>
          <w:szCs w:val="14"/>
        </w:rPr>
        <w:t xml:space="preserve"> de </w:t>
      </w:r>
      <w:r w:rsidR="00C12EE6" w:rsidRPr="00C12EE6">
        <w:rPr>
          <w:rFonts w:ascii="ITC Avant Garde" w:hAnsi="ITC Avant Garde"/>
          <w:sz w:val="14"/>
          <w:szCs w:val="14"/>
        </w:rPr>
        <w:t xml:space="preserve">mayo </w:t>
      </w:r>
      <w:r w:rsidR="000D2838" w:rsidRPr="00C12EE6">
        <w:rPr>
          <w:rFonts w:ascii="ITC Avant Garde" w:hAnsi="ITC Avant Garde"/>
          <w:sz w:val="14"/>
          <w:szCs w:val="14"/>
        </w:rPr>
        <w:t>de 20</w:t>
      </w:r>
      <w:r w:rsidR="00B533DC" w:rsidRPr="00C12EE6">
        <w:rPr>
          <w:rFonts w:ascii="ITC Avant Garde" w:hAnsi="ITC Avant Garde"/>
          <w:sz w:val="14"/>
          <w:szCs w:val="14"/>
        </w:rPr>
        <w:t>1</w:t>
      </w:r>
      <w:r w:rsidR="00232B72" w:rsidRPr="00C12EE6">
        <w:rPr>
          <w:rFonts w:ascii="ITC Avant Garde" w:hAnsi="ITC Avant Garde"/>
          <w:sz w:val="14"/>
          <w:szCs w:val="14"/>
        </w:rPr>
        <w:t>9</w:t>
      </w:r>
      <w:r w:rsidR="00A40D1D">
        <w:rPr>
          <w:rFonts w:ascii="ITC Avant Garde" w:hAnsi="ITC Avant Garde"/>
          <w:sz w:val="14"/>
          <w:szCs w:val="14"/>
        </w:rPr>
        <w:t xml:space="preserve"> (i.e</w:t>
      </w:r>
      <w:r w:rsidR="00F1691A">
        <w:rPr>
          <w:rFonts w:ascii="ITC Avant Garde" w:hAnsi="ITC Avant Garde"/>
          <w:sz w:val="14"/>
          <w:szCs w:val="14"/>
        </w:rPr>
        <w:t>.</w:t>
      </w:r>
      <w:r w:rsidR="00A40D1D">
        <w:rPr>
          <w:rFonts w:ascii="ITC Avant Garde" w:hAnsi="ITC Avant Garde"/>
          <w:sz w:val="14"/>
          <w:szCs w:val="14"/>
        </w:rPr>
        <w:t xml:space="preserv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31B38774" w14:textId="798D4D04" w:rsidR="00025E89" w:rsidRPr="00296362" w:rsidRDefault="000D2838" w:rsidP="000462FB">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025E89">
        <w:rPr>
          <w:rFonts w:ascii="ITC Avant Garde" w:hAnsi="ITC Avant Garde"/>
          <w:sz w:val="14"/>
          <w:szCs w:val="14"/>
        </w:rPr>
        <w:t xml:space="preserve">los </w:t>
      </w:r>
      <w:r w:rsidRPr="00F36A5D">
        <w:rPr>
          <w:rFonts w:ascii="ITC Avant Garde" w:hAnsi="ITC Avant Garde"/>
          <w:sz w:val="14"/>
          <w:szCs w:val="14"/>
        </w:rPr>
        <w:t>siguiente</w:t>
      </w:r>
      <w:r w:rsidR="00025E89">
        <w:rPr>
          <w:rFonts w:ascii="ITC Avant Garde" w:hAnsi="ITC Avant Garde"/>
          <w:sz w:val="14"/>
          <w:szCs w:val="14"/>
        </w:rPr>
        <w:t>s</w:t>
      </w:r>
      <w:r w:rsidRPr="00F36A5D">
        <w:rPr>
          <w:rFonts w:ascii="ITC Avant Garde" w:hAnsi="ITC Avant Garde"/>
          <w:sz w:val="14"/>
          <w:szCs w:val="14"/>
        </w:rPr>
        <w:t xml:space="preserve"> punto</w:t>
      </w:r>
      <w:r w:rsidR="00025E89">
        <w:rPr>
          <w:rFonts w:ascii="ITC Avant Garde" w:hAnsi="ITC Avant Garde"/>
          <w:sz w:val="14"/>
          <w:szCs w:val="14"/>
        </w:rPr>
        <w:t>s</w:t>
      </w:r>
      <w:r w:rsidRPr="00F36A5D">
        <w:rPr>
          <w:rFonts w:ascii="ITC Avant Garde" w:hAnsi="ITC Avant Garde"/>
          <w:sz w:val="14"/>
          <w:szCs w:val="14"/>
        </w:rPr>
        <w:t xml:space="preserve"> de contacto:</w:t>
      </w:r>
      <w:r w:rsidR="00232B72">
        <w:rPr>
          <w:rFonts w:ascii="ITC Avant Garde" w:hAnsi="ITC Avant Garde"/>
          <w:sz w:val="14"/>
          <w:szCs w:val="14"/>
        </w:rPr>
        <w:t xml:space="preserve"> </w:t>
      </w:r>
      <w:r w:rsidR="00025E89" w:rsidRPr="00296362">
        <w:rPr>
          <w:rFonts w:ascii="ITC Avant Garde" w:hAnsi="ITC Avant Garde"/>
          <w:sz w:val="14"/>
          <w:szCs w:val="14"/>
        </w:rPr>
        <w:t xml:space="preserve">Luis Fernando Rosas Yáñez, Coordinador General de Mejora Regulatoria, correo electrónico: </w:t>
      </w:r>
      <w:hyperlink r:id="rId13" w:history="1">
        <w:r w:rsidR="00025E89" w:rsidRPr="00296362">
          <w:rPr>
            <w:rStyle w:val="Hipervnculo"/>
            <w:rFonts w:ascii="ITC Avant Garde" w:hAnsi="ITC Avant Garde"/>
            <w:sz w:val="14"/>
            <w:szCs w:val="14"/>
          </w:rPr>
          <w:t>luis.rosas@ift.org.mx</w:t>
        </w:r>
      </w:hyperlink>
      <w:r w:rsidR="00025E89" w:rsidRPr="00296362">
        <w:rPr>
          <w:rFonts w:ascii="ITC Avant Garde" w:hAnsi="ITC Avant Garde"/>
          <w:sz w:val="14"/>
          <w:szCs w:val="14"/>
        </w:rPr>
        <w:t xml:space="preserve"> y número telefónico (55) 5015 4</w:t>
      </w:r>
      <w:r w:rsidR="00FF502D">
        <w:rPr>
          <w:rFonts w:ascii="ITC Avant Garde" w:hAnsi="ITC Avant Garde"/>
          <w:sz w:val="14"/>
          <w:szCs w:val="14"/>
        </w:rPr>
        <w:t>725</w:t>
      </w:r>
      <w:r w:rsidR="00025E89" w:rsidRPr="00296362">
        <w:rPr>
          <w:rFonts w:ascii="ITC Avant Garde" w:hAnsi="ITC Avant Garde"/>
          <w:sz w:val="14"/>
          <w:szCs w:val="14"/>
        </w:rPr>
        <w:t>;</w:t>
      </w:r>
      <w:r w:rsidR="00FF502D">
        <w:rPr>
          <w:rFonts w:ascii="ITC Avant Garde" w:hAnsi="ITC Avant Garde"/>
          <w:sz w:val="14"/>
          <w:szCs w:val="14"/>
        </w:rPr>
        <w:t xml:space="preserve"> </w:t>
      </w:r>
      <w:r w:rsidR="00025E89" w:rsidRPr="00296362">
        <w:rPr>
          <w:rFonts w:ascii="ITC Avant Garde" w:hAnsi="ITC Avant Garde"/>
          <w:sz w:val="14"/>
          <w:szCs w:val="14"/>
        </w:rPr>
        <w:t>y Alejandra Mart</w:t>
      </w:r>
      <w:r w:rsidR="00FF502D">
        <w:rPr>
          <w:rFonts w:ascii="ITC Avant Garde" w:hAnsi="ITC Avant Garde"/>
          <w:sz w:val="14"/>
          <w:szCs w:val="14"/>
        </w:rPr>
        <w:t>í</w:t>
      </w:r>
      <w:r w:rsidR="00025E89" w:rsidRPr="00296362">
        <w:rPr>
          <w:rFonts w:ascii="ITC Avant Garde" w:hAnsi="ITC Avant Garde"/>
          <w:sz w:val="14"/>
          <w:szCs w:val="14"/>
        </w:rPr>
        <w:t xml:space="preserve">nez Morales, Directora de Seguimiento, correo electrónico: </w:t>
      </w:r>
      <w:hyperlink r:id="rId14" w:history="1">
        <w:r w:rsidR="00025E89" w:rsidRPr="00296362">
          <w:rPr>
            <w:rStyle w:val="Hipervnculo"/>
            <w:rFonts w:ascii="ITC Avant Garde" w:hAnsi="ITC Avant Garde"/>
            <w:sz w:val="14"/>
            <w:szCs w:val="14"/>
          </w:rPr>
          <w:t>alejandra.martinez@ift.org.mx</w:t>
        </w:r>
      </w:hyperlink>
      <w:r w:rsidR="00025E89" w:rsidRPr="00296362">
        <w:rPr>
          <w:rFonts w:ascii="ITC Avant Garde" w:hAnsi="ITC Avant Garde"/>
          <w:sz w:val="14"/>
          <w:szCs w:val="14"/>
        </w:rPr>
        <w:t xml:space="preserve"> y número telefónico (55) 5015 4</w:t>
      </w:r>
      <w:r w:rsidR="00FF502D">
        <w:rPr>
          <w:rFonts w:ascii="ITC Avant Garde" w:hAnsi="ITC Avant Garde"/>
          <w:sz w:val="14"/>
          <w:szCs w:val="14"/>
        </w:rPr>
        <w:t>478</w:t>
      </w:r>
      <w:r w:rsidR="00025E89" w:rsidRPr="00296362">
        <w:rPr>
          <w:rFonts w:ascii="ITC Avant Garde" w:hAnsi="ITC Avant Garde"/>
          <w:sz w:val="14"/>
          <w:szCs w:val="14"/>
        </w:rPr>
        <w:t>, quienes estarán disponibles en los mismos horarios de atención que la Oficialía de Partes Común del Instituto.</w:t>
      </w:r>
    </w:p>
    <w:p w14:paraId="4F6037C5" w14:textId="77777777" w:rsidR="006601AF" w:rsidRPr="00296362" w:rsidRDefault="006601AF" w:rsidP="00296362">
      <w:pPr>
        <w:pStyle w:val="Listavistosa-nfasis11"/>
        <w:spacing w:after="0"/>
        <w:ind w:left="0" w:right="49"/>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7429F25" w14:textId="77777777" w:rsidTr="00297840">
        <w:trPr>
          <w:trHeight w:val="600"/>
          <w:jc w:val="center"/>
        </w:trPr>
        <w:tc>
          <w:tcPr>
            <w:tcW w:w="8742" w:type="dxa"/>
            <w:gridSpan w:val="2"/>
            <w:shd w:val="clear" w:color="auto" w:fill="D9D9D9"/>
            <w:vAlign w:val="center"/>
            <w:hideMark/>
          </w:tcPr>
          <w:p w14:paraId="3948571C"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1E20F15F" w14:textId="77777777" w:rsidTr="00297840">
        <w:trPr>
          <w:trHeight w:val="509"/>
          <w:jc w:val="center"/>
        </w:trPr>
        <w:tc>
          <w:tcPr>
            <w:tcW w:w="4679" w:type="dxa"/>
            <w:shd w:val="clear" w:color="auto" w:fill="C5E0B3"/>
            <w:vAlign w:val="center"/>
            <w:hideMark/>
          </w:tcPr>
          <w:p w14:paraId="41E01D57"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DD276B6" w14:textId="25DF122E" w:rsidR="00DF154A" w:rsidRPr="00F36A5D" w:rsidRDefault="003A1E01">
            <w:pPr>
              <w:spacing w:after="0" w:line="240" w:lineRule="auto"/>
              <w:jc w:val="center"/>
              <w:rPr>
                <w:rFonts w:ascii="ITC Avant Garde" w:eastAsia="Times New Roman" w:hAnsi="ITC Avant Garde"/>
                <w:color w:val="000000"/>
                <w:sz w:val="20"/>
                <w:lang w:eastAsia="es-MX"/>
              </w:rPr>
            </w:pPr>
            <w:r>
              <w:rPr>
                <w:rFonts w:ascii="ITC Avant Garde" w:eastAsia="Times New Roman" w:hAnsi="ITC Avant Garde"/>
                <w:color w:val="000000"/>
                <w:sz w:val="20"/>
                <w:lang w:eastAsia="es-MX"/>
              </w:rPr>
              <w:t>Altán Redes, S.A.P.I. de C.V.</w:t>
            </w:r>
            <w:r w:rsidR="00DF154A" w:rsidRPr="00F36A5D">
              <w:rPr>
                <w:rFonts w:ascii="ITC Avant Garde" w:eastAsia="Times New Roman" w:hAnsi="ITC Avant Garde"/>
                <w:color w:val="000000"/>
                <w:sz w:val="20"/>
                <w:lang w:eastAsia="es-MX"/>
              </w:rPr>
              <w:t> </w:t>
            </w:r>
          </w:p>
        </w:tc>
      </w:tr>
      <w:tr w:rsidR="00DF154A" w:rsidRPr="00F36A5D" w14:paraId="5613F765" w14:textId="77777777" w:rsidTr="00297840">
        <w:trPr>
          <w:trHeight w:val="403"/>
          <w:jc w:val="center"/>
        </w:trPr>
        <w:tc>
          <w:tcPr>
            <w:tcW w:w="4679" w:type="dxa"/>
            <w:shd w:val="clear" w:color="auto" w:fill="E2EFD9"/>
            <w:vAlign w:val="center"/>
            <w:hideMark/>
          </w:tcPr>
          <w:p w14:paraId="70D88766"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3DCF559B" w14:textId="70FA51B4" w:rsidR="00DF154A" w:rsidRPr="00F36A5D" w:rsidRDefault="003A1E01">
            <w:pPr>
              <w:spacing w:after="0" w:line="240" w:lineRule="auto"/>
              <w:jc w:val="center"/>
              <w:rPr>
                <w:rFonts w:ascii="ITC Avant Garde" w:eastAsia="Times New Roman" w:hAnsi="ITC Avant Garde"/>
                <w:color w:val="808080"/>
                <w:sz w:val="20"/>
                <w:lang w:eastAsia="es-MX"/>
              </w:rPr>
            </w:pPr>
            <w:r>
              <w:rPr>
                <w:rFonts w:ascii="ITC Avant Garde" w:eastAsia="Times New Roman" w:hAnsi="ITC Avant Garde"/>
                <w:color w:val="808080"/>
                <w:sz w:val="20"/>
                <w:lang w:eastAsia="es-MX"/>
              </w:rPr>
              <w:t>Javier Salgado Leirado</w:t>
            </w:r>
          </w:p>
        </w:tc>
      </w:tr>
      <w:tr w:rsidR="00FF502D" w:rsidRPr="00F36A5D" w14:paraId="7CDAF9CA" w14:textId="77777777" w:rsidTr="00F70EEE">
        <w:trPr>
          <w:trHeight w:val="523"/>
          <w:jc w:val="center"/>
        </w:trPr>
        <w:tc>
          <w:tcPr>
            <w:tcW w:w="4679" w:type="dxa"/>
            <w:shd w:val="clear" w:color="auto" w:fill="C5E0B3"/>
            <w:vAlign w:val="center"/>
            <w:hideMark/>
          </w:tcPr>
          <w:p w14:paraId="5706C098"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9177E6E"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tcPr>
          <w:p w14:paraId="555A1B6D" w14:textId="558BCE48" w:rsidR="00FF502D" w:rsidRPr="00F36A5D" w:rsidRDefault="001E4E74" w:rsidP="00FF502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08566CB0846844EDADE8DDE66F464509"/>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3A1E01">
                  <w:rPr>
                    <w:rFonts w:ascii="Century Gothic" w:eastAsia="Times New Roman" w:hAnsi="Century Gothic"/>
                    <w:color w:val="000000"/>
                    <w:sz w:val="20"/>
                    <w:lang w:eastAsia="es-MX"/>
                  </w:rPr>
                  <w:t>Poder Notarial</w:t>
                </w:r>
              </w:sdtContent>
            </w:sdt>
          </w:p>
        </w:tc>
      </w:tr>
      <w:tr w:rsidR="0095730D" w:rsidRPr="00F36A5D" w14:paraId="5C215D97" w14:textId="77777777" w:rsidTr="00297840">
        <w:trPr>
          <w:trHeight w:val="300"/>
          <w:jc w:val="center"/>
        </w:trPr>
        <w:tc>
          <w:tcPr>
            <w:tcW w:w="8742" w:type="dxa"/>
            <w:gridSpan w:val="2"/>
            <w:shd w:val="clear" w:color="auto" w:fill="D9D9D9"/>
            <w:noWrap/>
            <w:vAlign w:val="center"/>
            <w:hideMark/>
          </w:tcPr>
          <w:p w14:paraId="77ADA860" w14:textId="77777777" w:rsidR="0095730D" w:rsidRPr="00F36A5D" w:rsidRDefault="0095730D" w:rsidP="0095730D">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95730D" w:rsidRPr="00F36A5D" w14:paraId="37CEB5F8" w14:textId="77777777" w:rsidTr="00297840">
        <w:trPr>
          <w:trHeight w:val="274"/>
          <w:jc w:val="center"/>
        </w:trPr>
        <w:tc>
          <w:tcPr>
            <w:tcW w:w="8742" w:type="dxa"/>
            <w:gridSpan w:val="2"/>
            <w:shd w:val="clear" w:color="auto" w:fill="auto"/>
            <w:vAlign w:val="center"/>
            <w:hideMark/>
          </w:tcPr>
          <w:p w14:paraId="0710474B"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168BCF22"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0C95F863"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7066A7CF"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2D4092BB"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149E461" w14:textId="68693BF8"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FF502D">
              <w:rPr>
                <w:rFonts w:ascii="ITC Avant Garde" w:eastAsia="Times New Roman" w:hAnsi="ITC Avant Garde"/>
                <w:color w:val="000000"/>
                <w:sz w:val="14"/>
                <w:szCs w:val="16"/>
                <w:lang w:eastAsia="es-MX"/>
              </w:rPr>
              <w:t>Demarcación Territorial</w:t>
            </w:r>
            <w:r w:rsidR="00FF502D"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Benito Juárez, C. P. 03720, Ciudad de México, México. </w:t>
            </w:r>
          </w:p>
          <w:p w14:paraId="2ACB2BE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F607F35"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w:t>
            </w:r>
            <w:proofErr w:type="gramStart"/>
            <w:r w:rsidRPr="00F36A5D">
              <w:rPr>
                <w:rFonts w:ascii="ITC Avant Garde" w:eastAsia="Times New Roman" w:hAnsi="ITC Avant Garde"/>
                <w:color w:val="000000"/>
                <w:sz w:val="14"/>
                <w:szCs w:val="16"/>
                <w:lang w:eastAsia="es-MX"/>
              </w:rPr>
              <w:t>los mismos</w:t>
            </w:r>
            <w:proofErr w:type="gramEnd"/>
            <w:r w:rsidRPr="00F36A5D">
              <w:rPr>
                <w:rFonts w:ascii="ITC Avant Garde" w:eastAsia="Times New Roman" w:hAnsi="ITC Avant Garde"/>
                <w:color w:val="000000"/>
                <w:sz w:val="14"/>
                <w:szCs w:val="16"/>
                <w:lang w:eastAsia="es-MX"/>
              </w:rPr>
              <w:t xml:space="preserve">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43FCEDD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93E40C7" w14:textId="77777777"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4447F80C"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1803B177" w14:textId="77777777"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60BBD22F"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207B3882" w14:textId="670956B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w:t>
            </w:r>
            <w:r>
              <w:rPr>
                <w:rFonts w:ascii="ITC Avant Garde" w:eastAsia="Times New Roman" w:hAnsi="ITC Avant Garde"/>
                <w:color w:val="000000"/>
                <w:sz w:val="14"/>
                <w:szCs w:val="16"/>
                <w:lang w:eastAsia="es-MX"/>
              </w:rPr>
              <w:t xml:space="preserve">el </w:t>
            </w:r>
            <w:r w:rsidRPr="00F36A5D">
              <w:rPr>
                <w:rFonts w:ascii="ITC Avant Garde" w:eastAsia="Times New Roman" w:hAnsi="ITC Avant Garde"/>
                <w:color w:val="000000"/>
                <w:sz w:val="14"/>
                <w:szCs w:val="16"/>
                <w:lang w:eastAsia="es-MX"/>
              </w:rPr>
              <w:t xml:space="preserve">siguiente punto de contacto: </w:t>
            </w:r>
            <w:r w:rsidRPr="00025E89">
              <w:rPr>
                <w:rFonts w:ascii="ITC Avant Garde" w:eastAsia="Times New Roman" w:hAnsi="ITC Avant Garde"/>
                <w:color w:val="000000"/>
                <w:sz w:val="14"/>
                <w:szCs w:val="16"/>
                <w:lang w:eastAsia="es-MX"/>
              </w:rPr>
              <w:t>Alejandra Mart</w:t>
            </w:r>
            <w:r w:rsidR="00FF502D">
              <w:rPr>
                <w:rFonts w:ascii="ITC Avant Garde" w:eastAsia="Times New Roman" w:hAnsi="ITC Avant Garde"/>
                <w:color w:val="000000"/>
                <w:sz w:val="14"/>
                <w:szCs w:val="16"/>
                <w:lang w:eastAsia="es-MX"/>
              </w:rPr>
              <w:t>í</w:t>
            </w:r>
            <w:r w:rsidRPr="00025E89">
              <w:rPr>
                <w:rFonts w:ascii="ITC Avant Garde" w:eastAsia="Times New Roman" w:hAnsi="ITC Avant Garde"/>
                <w:color w:val="000000"/>
                <w:sz w:val="14"/>
                <w:szCs w:val="16"/>
                <w:lang w:eastAsia="es-MX"/>
              </w:rPr>
              <w:t xml:space="preserve">nez Morales, Directora de Seguimiento, correo electrónico: </w:t>
            </w:r>
            <w:hyperlink r:id="rId15" w:history="1">
              <w:r w:rsidRPr="00025E89">
                <w:rPr>
                  <w:rStyle w:val="Hipervnculo"/>
                  <w:rFonts w:ascii="ITC Avant Garde" w:eastAsia="Times New Roman" w:hAnsi="ITC Avant Garde"/>
                  <w:sz w:val="14"/>
                  <w:szCs w:val="16"/>
                  <w:lang w:eastAsia="es-MX"/>
                </w:rPr>
                <w:t>alejandra.martinez@ift.org.mx</w:t>
              </w:r>
            </w:hyperlink>
            <w:r w:rsidRPr="00025E89">
              <w:rPr>
                <w:rFonts w:ascii="ITC Avant Garde" w:eastAsia="Times New Roman" w:hAnsi="ITC Avant Garde"/>
                <w:color w:val="000000"/>
                <w:sz w:val="14"/>
                <w:szCs w:val="16"/>
                <w:lang w:eastAsia="es-MX"/>
              </w:rPr>
              <w:t xml:space="preserve"> y número telefónico (55) 5015 4</w:t>
            </w:r>
            <w:r w:rsidR="00FF502D">
              <w:rPr>
                <w:rFonts w:ascii="ITC Avant Garde" w:eastAsia="Times New Roman" w:hAnsi="ITC Avant Garde"/>
                <w:color w:val="000000"/>
                <w:sz w:val="14"/>
                <w:szCs w:val="16"/>
                <w:lang w:eastAsia="es-MX"/>
              </w:rPr>
              <w:t>478</w:t>
            </w:r>
            <w:r w:rsidRPr="00025E89">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 xml:space="preserve">con </w:t>
            </w:r>
            <w:r w:rsidRPr="00F36A5D">
              <w:rPr>
                <w:rFonts w:ascii="ITC Avant Garde" w:eastAsia="Times New Roman" w:hAnsi="ITC Avant Garde"/>
                <w:color w:val="000000"/>
                <w:sz w:val="14"/>
                <w:szCs w:val="16"/>
                <w:lang w:eastAsia="es-MX"/>
              </w:rPr>
              <w:t>quien</w:t>
            </w:r>
            <w:r>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el titular de los datos personales podrá comunicarse para cualquier manifestación o inquietud al respecto. </w:t>
            </w:r>
          </w:p>
          <w:p w14:paraId="3233882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FA169A" w14:textId="77777777"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7E42101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7170F8" w14:textId="77777777" w:rsidR="0095730D" w:rsidRDefault="0095730D" w:rsidP="0095730D">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607AFBC" w14:textId="77777777" w:rsidR="0095730D" w:rsidRPr="00F36A5D" w:rsidRDefault="0095730D" w:rsidP="0095730D">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FEDB0BD"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CA21CA6"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2231EBEA"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0344127"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FB46A82"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766C215"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6C309D0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00624D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26BFFE3C"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2E890B21"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A7CC7D4"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000AFDDD"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40B9C5B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1E249A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12F98A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001F7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61C458D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4923CC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93268F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F2DC2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48F46BA8"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3D2DB4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2B341FE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9B9596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26A6C45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6C813B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24A9AEA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C9DD53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6E0A9B8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FDEC2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35A5BA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7BFA2D"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B3973A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615B4D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39C67AC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E61482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51A304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8B9DB8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2D284A9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C2A70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F8E6A0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587125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9D6A3F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5CFBD8"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4C36616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42FD9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E074F8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9833820"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A0CF91F"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BDD767" w14:textId="3A5DDC6B"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sidR="00FF502D">
              <w:rPr>
                <w:rFonts w:ascii="ITC Avant Garde" w:eastAsia="Times New Roman" w:hAnsi="ITC Avant Garde"/>
                <w:color w:val="000000"/>
                <w:sz w:val="14"/>
                <w:szCs w:val="16"/>
                <w:lang w:eastAsia="es-MX"/>
              </w:rPr>
              <w:t>Demarcación Territorial</w:t>
            </w:r>
            <w:r w:rsidR="00FF502D"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 xml:space="preserve">Benito Juárez, C. P. 03720, Ciudad de México, México. Planta Baja, </w:t>
            </w:r>
            <w:r>
              <w:rPr>
                <w:rFonts w:ascii="ITC Avant Garde" w:eastAsia="Times New Roman" w:hAnsi="ITC Avant Garde"/>
                <w:color w:val="000000"/>
                <w:sz w:val="14"/>
                <w:szCs w:val="16"/>
                <w:lang w:eastAsia="es-MX"/>
              </w:rPr>
              <w:t>teléfono 50154000, extensión 4267.</w:t>
            </w:r>
          </w:p>
          <w:p w14:paraId="63FD6CA6" w14:textId="77777777" w:rsidR="0095730D" w:rsidRPr="00EC144A"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C3DFB2B"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40D95273"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6C3CD799"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7527EFE8"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182B83B5"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86863EF" w14:textId="77777777" w:rsidR="0095730D" w:rsidRPr="00F36A5D"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1027C563"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106A1AE0" w14:textId="77777777" w:rsidTr="000462FB">
        <w:trPr>
          <w:trHeight w:val="581"/>
        </w:trPr>
        <w:tc>
          <w:tcPr>
            <w:tcW w:w="8859" w:type="dxa"/>
            <w:gridSpan w:val="2"/>
            <w:shd w:val="clear" w:color="auto" w:fill="D9D9D9"/>
            <w:vAlign w:val="center"/>
            <w:hideMark/>
          </w:tcPr>
          <w:p w14:paraId="60CC15B8"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42A45BB5" w14:textId="77777777" w:rsidTr="000462FB">
        <w:trPr>
          <w:trHeight w:val="399"/>
        </w:trPr>
        <w:tc>
          <w:tcPr>
            <w:tcW w:w="1684" w:type="dxa"/>
            <w:shd w:val="clear" w:color="auto" w:fill="C5E0B3"/>
            <w:vAlign w:val="center"/>
            <w:hideMark/>
          </w:tcPr>
          <w:p w14:paraId="5195AD7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762D4B08"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31603F" w14:paraId="1F7BA986" w14:textId="77777777" w:rsidTr="000462FB">
        <w:trPr>
          <w:trHeight w:val="290"/>
        </w:trPr>
        <w:tc>
          <w:tcPr>
            <w:tcW w:w="1684" w:type="dxa"/>
            <w:shd w:val="clear" w:color="auto" w:fill="auto"/>
            <w:vAlign w:val="center"/>
          </w:tcPr>
          <w:p w14:paraId="365EF483" w14:textId="30AE9B2E" w:rsidR="000E55B0" w:rsidRPr="0031603F" w:rsidRDefault="00CA6EA5" w:rsidP="00297840">
            <w:pPr>
              <w:spacing w:after="0" w:line="240" w:lineRule="auto"/>
              <w:jc w:val="cente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Lineamiento SEGUNDO; fracciones I, VI y VII.</w:t>
            </w:r>
          </w:p>
        </w:tc>
        <w:tc>
          <w:tcPr>
            <w:tcW w:w="7175" w:type="dxa"/>
            <w:shd w:val="clear" w:color="auto" w:fill="auto"/>
            <w:vAlign w:val="center"/>
          </w:tcPr>
          <w:p w14:paraId="6A96EDF9" w14:textId="77777777" w:rsidR="00CA6EA5" w:rsidRPr="0031603F" w:rsidRDefault="00CA6EA5" w:rsidP="00CA6EA5">
            <w:pPr>
              <w:pStyle w:val="Prrafodelista"/>
              <w:spacing w:after="0" w:line="240" w:lineRule="auto"/>
              <w:ind w:left="720"/>
              <w:rPr>
                <w:rFonts w:asciiTheme="minorHAnsi" w:eastAsia="Times New Roman" w:hAnsiTheme="minorHAnsi" w:cstheme="minorHAnsi"/>
                <w:color w:val="000000"/>
                <w:lang w:eastAsia="es-MX"/>
              </w:rPr>
            </w:pPr>
          </w:p>
          <w:p w14:paraId="77FED4C6" w14:textId="318C3340" w:rsidR="00CA6EA5" w:rsidRPr="0031603F" w:rsidRDefault="00CA6EA5" w:rsidP="00CA6EA5">
            <w:pPr>
              <w:pStyle w:val="Prrafodelista"/>
              <w:numPr>
                <w:ilvl w:val="0"/>
                <w:numId w:val="17"/>
              </w:numPr>
              <w:spacing w:after="0" w:line="240" w:lineRule="auto"/>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El concepto de “</w:t>
            </w:r>
            <w:r w:rsidRPr="0031603F">
              <w:rPr>
                <w:rFonts w:asciiTheme="minorHAnsi" w:eastAsia="Times New Roman" w:hAnsiTheme="minorHAnsi" w:cstheme="minorHAnsi"/>
                <w:color w:val="000000"/>
                <w:u w:val="single"/>
                <w:lang w:eastAsia="es-MX"/>
              </w:rPr>
              <w:t>Actos Administrativos Electrónicos”,</w:t>
            </w:r>
            <w:r w:rsidRPr="0031603F">
              <w:rPr>
                <w:rFonts w:asciiTheme="minorHAnsi" w:eastAsia="Times New Roman" w:hAnsiTheme="minorHAnsi" w:cstheme="minorHAnsi"/>
                <w:color w:val="000000"/>
                <w:lang w:eastAsia="es-MX"/>
              </w:rPr>
              <w:t xml:space="preserve"> contempla que los emplazamientos serán realizados mediante esta vía, lo cual genera inseguridad jurídica a los involucrados. Un emplazamiento debe ser mediante notificación personal y después el procedimiento podría sustanciarse vía electrónica.</w:t>
            </w:r>
          </w:p>
          <w:p w14:paraId="0635A306" w14:textId="77777777" w:rsidR="00CA6EA5" w:rsidRPr="0031603F" w:rsidRDefault="00CA6EA5" w:rsidP="00CA6EA5">
            <w:pPr>
              <w:spacing w:after="0" w:line="240" w:lineRule="auto"/>
              <w:rPr>
                <w:rFonts w:asciiTheme="minorHAnsi" w:eastAsia="Times New Roman" w:hAnsiTheme="minorHAnsi" w:cstheme="minorHAnsi"/>
                <w:color w:val="000000"/>
                <w:lang w:eastAsia="es-MX"/>
              </w:rPr>
            </w:pPr>
          </w:p>
          <w:p w14:paraId="52BBD0A8" w14:textId="57EBF9B9" w:rsidR="00CA6EA5" w:rsidRPr="0031603F" w:rsidRDefault="00CA6EA5" w:rsidP="00CA6EA5">
            <w:pPr>
              <w:pStyle w:val="Prrafodelista"/>
              <w:spacing w:after="0" w:line="240" w:lineRule="auto"/>
              <w:ind w:left="720"/>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Lo anterior tiene fundamento en los artículos 305 y 306 del Código Federal de Procedimientos Civiles, de aplicación supletoria a la Ley Federal de Telecomunicaciones y Radiodifusión, los emplazamientos o primeras notificaciones del asunto de que se trate deben ser mediante notificación personal. Por tanto, no pueden llevarse a cabo de forma electrónica.</w:t>
            </w:r>
          </w:p>
          <w:p w14:paraId="12D81337" w14:textId="0665D2C4" w:rsidR="00CA6EA5" w:rsidRPr="0031603F" w:rsidRDefault="00CA6EA5" w:rsidP="00CA6EA5">
            <w:pPr>
              <w:pStyle w:val="Prrafodelista"/>
              <w:spacing w:after="0" w:line="240" w:lineRule="auto"/>
              <w:ind w:left="720"/>
              <w:rPr>
                <w:rFonts w:asciiTheme="minorHAnsi" w:eastAsia="Times New Roman" w:hAnsiTheme="minorHAnsi" w:cstheme="minorHAnsi"/>
                <w:color w:val="000000"/>
                <w:lang w:eastAsia="es-MX"/>
              </w:rPr>
            </w:pPr>
          </w:p>
          <w:p w14:paraId="4D5DF17B" w14:textId="30DAE84B" w:rsidR="00CA6EA5" w:rsidRPr="0031603F" w:rsidRDefault="00CA6EA5" w:rsidP="00CA6EA5">
            <w:pPr>
              <w:pStyle w:val="Prrafodelista"/>
              <w:numPr>
                <w:ilvl w:val="0"/>
                <w:numId w:val="17"/>
              </w:numP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 xml:space="preserve">Sobre la definición de </w:t>
            </w:r>
            <w:r w:rsidRPr="0031603F">
              <w:rPr>
                <w:rFonts w:asciiTheme="minorHAnsi" w:eastAsia="Times New Roman" w:hAnsiTheme="minorHAnsi" w:cstheme="minorHAnsi"/>
                <w:color w:val="000000"/>
                <w:u w:val="single"/>
                <w:lang w:eastAsia="es-MX"/>
              </w:rPr>
              <w:t>“Cédula de Información”</w:t>
            </w:r>
            <w:r w:rsidRPr="0031603F">
              <w:rPr>
                <w:rFonts w:asciiTheme="minorHAnsi" w:eastAsia="Times New Roman" w:hAnsiTheme="minorHAnsi" w:cstheme="minorHAnsi"/>
                <w:color w:val="000000"/>
                <w:lang w:eastAsia="es-MX"/>
              </w:rPr>
              <w:t>, se deben señalar los costos que el trámite tenga, en caso de ser aplicable, de conformidad con la Ley Federal de Derechos.</w:t>
            </w:r>
          </w:p>
          <w:p w14:paraId="0616BE39" w14:textId="77777777" w:rsidR="00CA6EA5" w:rsidRPr="0031603F" w:rsidRDefault="00CA6EA5" w:rsidP="00CA6EA5">
            <w:pPr>
              <w:pStyle w:val="Prrafodelista"/>
              <w:ind w:left="720"/>
              <w:rPr>
                <w:rFonts w:asciiTheme="minorHAnsi" w:eastAsia="Times New Roman" w:hAnsiTheme="minorHAnsi" w:cstheme="minorHAnsi"/>
                <w:color w:val="000000"/>
                <w:lang w:eastAsia="es-MX"/>
              </w:rPr>
            </w:pPr>
          </w:p>
          <w:p w14:paraId="0D202BB6" w14:textId="60C09B9A" w:rsidR="008E4783" w:rsidRPr="0031603F" w:rsidRDefault="00CA6EA5" w:rsidP="008E4783">
            <w:pPr>
              <w:pStyle w:val="Prrafodelista"/>
              <w:numPr>
                <w:ilvl w:val="0"/>
                <w:numId w:val="17"/>
              </w:numP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 xml:space="preserve">Respecto del concepto </w:t>
            </w:r>
            <w:r w:rsidRPr="0031603F">
              <w:rPr>
                <w:rFonts w:asciiTheme="minorHAnsi" w:eastAsia="Times New Roman" w:hAnsiTheme="minorHAnsi" w:cstheme="minorHAnsi"/>
                <w:color w:val="000000"/>
                <w:u w:val="single"/>
                <w:lang w:eastAsia="es-MX"/>
              </w:rPr>
              <w:t>“Documento Digitalizado”</w:t>
            </w:r>
            <w:r w:rsidRPr="0031603F">
              <w:rPr>
                <w:rFonts w:asciiTheme="minorHAnsi" w:eastAsia="Times New Roman" w:hAnsiTheme="minorHAnsi" w:cstheme="minorHAnsi"/>
                <w:color w:val="000000"/>
                <w:lang w:eastAsia="es-MX"/>
              </w:rPr>
              <w:t xml:space="preserve"> destaca que el IFT pretende aminorar el manejo de documentos originales, lo cual representa un aspecto positivo para los concesionarios, sin embargo, estos Lineamientos contemplan también la facultad del Instituto para requerir en todo momento el original del “Documento Digitalizado” para realizar un cotejo. </w:t>
            </w:r>
          </w:p>
          <w:p w14:paraId="38FCCBE2" w14:textId="103896CA" w:rsidR="007A218E" w:rsidRPr="0031603F" w:rsidRDefault="007A218E" w:rsidP="007A218E">
            <w:pPr>
              <w:pStyle w:val="Prrafodelista"/>
              <w:ind w:left="720"/>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Por seguridad Jurídica, se sugiere permitir la entrega en Oficialía de Partes, dentro de los 5 días hábiles siguientes al inicio del trámite vía electrónica, de los documentos originales de aquellos trámites que por su naturaleza así lo requieran p. ej. “Acreditación de Representante Legal”. Lo anterior sin perjuicio de que el inicio y gestión del trámite sea a través de la Ventanilla Electrónica.</w:t>
            </w:r>
          </w:p>
          <w:p w14:paraId="73D7238C" w14:textId="77777777" w:rsidR="000E55B0" w:rsidRPr="0031603F" w:rsidRDefault="000E55B0" w:rsidP="00297840">
            <w:pPr>
              <w:spacing w:after="0" w:line="240" w:lineRule="auto"/>
              <w:rPr>
                <w:rFonts w:asciiTheme="minorHAnsi" w:eastAsia="Times New Roman" w:hAnsiTheme="minorHAnsi" w:cstheme="minorHAnsi"/>
                <w:color w:val="000000"/>
                <w:lang w:eastAsia="es-MX"/>
              </w:rPr>
            </w:pPr>
          </w:p>
        </w:tc>
      </w:tr>
      <w:tr w:rsidR="000E55B0" w:rsidRPr="0031603F" w14:paraId="102EE8B1" w14:textId="77777777" w:rsidTr="000462FB">
        <w:trPr>
          <w:trHeight w:val="290"/>
        </w:trPr>
        <w:tc>
          <w:tcPr>
            <w:tcW w:w="1684" w:type="dxa"/>
            <w:shd w:val="clear" w:color="auto" w:fill="auto"/>
            <w:vAlign w:val="center"/>
          </w:tcPr>
          <w:p w14:paraId="6623304D" w14:textId="519CFB76" w:rsidR="000E55B0" w:rsidRPr="0031603F" w:rsidRDefault="00CA6EA5" w:rsidP="00297840">
            <w:pPr>
              <w:spacing w:after="0" w:line="240" w:lineRule="auto"/>
              <w:jc w:val="cente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Lineamiento CUARTO</w:t>
            </w:r>
          </w:p>
        </w:tc>
        <w:tc>
          <w:tcPr>
            <w:tcW w:w="7175" w:type="dxa"/>
            <w:shd w:val="clear" w:color="auto" w:fill="auto"/>
            <w:vAlign w:val="center"/>
          </w:tcPr>
          <w:p w14:paraId="65E8595E" w14:textId="77777777" w:rsidR="00CA6EA5" w:rsidRPr="0031603F" w:rsidRDefault="00CA6EA5" w:rsidP="00CA6EA5">
            <w:pPr>
              <w:pStyle w:val="Prrafodelista"/>
              <w:spacing w:after="0" w:line="240" w:lineRule="auto"/>
              <w:ind w:left="720"/>
              <w:rPr>
                <w:rFonts w:asciiTheme="minorHAnsi" w:eastAsia="Times New Roman" w:hAnsiTheme="minorHAnsi" w:cstheme="minorHAnsi"/>
                <w:color w:val="000000"/>
                <w:lang w:eastAsia="es-MX"/>
              </w:rPr>
            </w:pPr>
          </w:p>
          <w:p w14:paraId="46DA65E4" w14:textId="2436D078" w:rsidR="00CA6EA5" w:rsidRPr="0031603F" w:rsidRDefault="00CA6EA5" w:rsidP="00CA6EA5">
            <w:pPr>
              <w:pStyle w:val="Prrafodelista"/>
              <w:numPr>
                <w:ilvl w:val="0"/>
                <w:numId w:val="17"/>
              </w:numPr>
              <w:spacing w:after="0" w:line="240" w:lineRule="auto"/>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Modificar redacción de la siguiente manera:</w:t>
            </w:r>
          </w:p>
          <w:p w14:paraId="510E148A" w14:textId="77777777" w:rsidR="000E55B0" w:rsidRPr="0031603F" w:rsidRDefault="00CA6EA5" w:rsidP="00CA6EA5">
            <w:pPr>
              <w:pStyle w:val="Prrafodelista"/>
              <w:spacing w:after="0" w:line="240" w:lineRule="auto"/>
              <w:ind w:left="720"/>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“La Ventanilla Electrónica tendrá por objeto”</w:t>
            </w:r>
          </w:p>
          <w:p w14:paraId="6F00E3C5" w14:textId="72B2D123" w:rsidR="00CA6EA5" w:rsidRPr="0031603F" w:rsidRDefault="00CA6EA5" w:rsidP="00CA6EA5">
            <w:pPr>
              <w:pStyle w:val="Prrafodelista"/>
              <w:spacing w:after="0" w:line="240" w:lineRule="auto"/>
              <w:ind w:left="720"/>
              <w:rPr>
                <w:rFonts w:asciiTheme="minorHAnsi" w:eastAsia="Times New Roman" w:hAnsiTheme="minorHAnsi" w:cstheme="minorHAnsi"/>
                <w:color w:val="000000"/>
                <w:lang w:eastAsia="es-MX"/>
              </w:rPr>
            </w:pPr>
          </w:p>
        </w:tc>
      </w:tr>
      <w:tr w:rsidR="000E55B0" w:rsidRPr="0031603F" w14:paraId="69538725" w14:textId="77777777" w:rsidTr="000462FB">
        <w:trPr>
          <w:trHeight w:val="290"/>
        </w:trPr>
        <w:tc>
          <w:tcPr>
            <w:tcW w:w="1684" w:type="dxa"/>
            <w:shd w:val="clear" w:color="auto" w:fill="auto"/>
            <w:vAlign w:val="center"/>
          </w:tcPr>
          <w:p w14:paraId="72A185F8" w14:textId="034AF230" w:rsidR="000E55B0" w:rsidRPr="0031603F" w:rsidRDefault="00CA6EA5" w:rsidP="00297840">
            <w:pPr>
              <w:spacing w:after="0" w:line="240" w:lineRule="auto"/>
              <w:jc w:val="cente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Lineamiento OCTAVO</w:t>
            </w:r>
          </w:p>
        </w:tc>
        <w:tc>
          <w:tcPr>
            <w:tcW w:w="7175" w:type="dxa"/>
            <w:shd w:val="clear" w:color="auto" w:fill="auto"/>
            <w:vAlign w:val="center"/>
          </w:tcPr>
          <w:p w14:paraId="63B6A956" w14:textId="77777777" w:rsidR="00CA6EA5" w:rsidRPr="0031603F" w:rsidRDefault="00CA6EA5" w:rsidP="00CA6EA5">
            <w:pPr>
              <w:spacing w:after="0" w:line="240" w:lineRule="auto"/>
              <w:ind w:left="720"/>
              <w:rPr>
                <w:rFonts w:asciiTheme="minorHAnsi" w:eastAsia="Times New Roman" w:hAnsiTheme="minorHAnsi" w:cstheme="minorHAnsi"/>
                <w:color w:val="000000"/>
                <w:lang w:eastAsia="es-MX"/>
              </w:rPr>
            </w:pPr>
          </w:p>
          <w:p w14:paraId="304F16E7" w14:textId="68D58E08" w:rsidR="00CA6EA5" w:rsidRPr="0031603F" w:rsidRDefault="00CA6EA5" w:rsidP="00CA6EA5">
            <w:pPr>
              <w:numPr>
                <w:ilvl w:val="0"/>
                <w:numId w:val="16"/>
              </w:numPr>
              <w:spacing w:after="0" w:line="240" w:lineRule="auto"/>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Respecto de la restricción de la presentación de trámites en Oficialía de Partes, es importante señalar que esta limitante es ilegal, toda vez que el párrafo segundo del artículo 42 de la Ley Federal de Procedimiento Administrativo, establece que aquel escrito presentado ante un órgano incompetente de la Administración Pública Federal, aquel deberá remitirlo al órgano competente en el plazo de cinco días.</w:t>
            </w:r>
          </w:p>
          <w:p w14:paraId="4B9F992E" w14:textId="44C4677B" w:rsidR="00CA6EA5" w:rsidRPr="0031603F" w:rsidRDefault="00CA6EA5" w:rsidP="00CA6EA5">
            <w:pPr>
              <w:spacing w:after="0" w:line="240" w:lineRule="auto"/>
              <w:ind w:left="720"/>
              <w:rPr>
                <w:rFonts w:asciiTheme="minorHAnsi" w:eastAsia="Times New Roman" w:hAnsiTheme="minorHAnsi" w:cstheme="minorHAnsi"/>
                <w:color w:val="000000"/>
                <w:lang w:eastAsia="es-MX"/>
              </w:rPr>
            </w:pPr>
          </w:p>
          <w:p w14:paraId="7206467F" w14:textId="339171EA" w:rsidR="00CA6EA5" w:rsidRPr="0031603F" w:rsidRDefault="00CA6EA5" w:rsidP="00CA6EA5">
            <w:pPr>
              <w:pStyle w:val="Prrafodelista"/>
              <w:spacing w:after="0" w:line="240" w:lineRule="auto"/>
              <w:ind w:left="720"/>
              <w:rPr>
                <w:rFonts w:asciiTheme="minorHAnsi" w:hAnsiTheme="minorHAnsi" w:cstheme="minorHAnsi"/>
              </w:rPr>
            </w:pPr>
            <w:r w:rsidRPr="0031603F">
              <w:rPr>
                <w:rFonts w:asciiTheme="minorHAnsi" w:hAnsiTheme="minorHAnsi" w:cstheme="minorHAnsi"/>
              </w:rPr>
              <w:t xml:space="preserve">En virtud de lo anterior, los interesados podrán presentar su trámite en Oficialía de Partes del </w:t>
            </w:r>
            <w:r w:rsidR="00A453FB" w:rsidRPr="0031603F">
              <w:rPr>
                <w:rFonts w:asciiTheme="minorHAnsi" w:hAnsiTheme="minorHAnsi" w:cstheme="minorHAnsi"/>
              </w:rPr>
              <w:t>Instituto,</w:t>
            </w:r>
            <w:r w:rsidRPr="0031603F">
              <w:rPr>
                <w:rFonts w:asciiTheme="minorHAnsi" w:hAnsiTheme="minorHAnsi" w:cstheme="minorHAnsi"/>
              </w:rPr>
              <w:t xml:space="preserve"> aunque dicho trámite esté previsto en la Ventanilla Electrónica.</w:t>
            </w:r>
          </w:p>
          <w:p w14:paraId="3DC2B77F" w14:textId="62CEC265" w:rsidR="00CA6EA5" w:rsidRPr="0031603F" w:rsidRDefault="00CA6EA5" w:rsidP="00CA6EA5">
            <w:pPr>
              <w:spacing w:after="0" w:line="240" w:lineRule="auto"/>
              <w:rPr>
                <w:rFonts w:asciiTheme="minorHAnsi" w:eastAsia="Times New Roman" w:hAnsiTheme="minorHAnsi" w:cstheme="minorHAnsi"/>
                <w:color w:val="000000"/>
                <w:lang w:eastAsia="es-MX"/>
              </w:rPr>
            </w:pPr>
          </w:p>
          <w:p w14:paraId="141E8741" w14:textId="77777777" w:rsidR="00CA6EA5" w:rsidRPr="0031603F" w:rsidRDefault="00CA6EA5" w:rsidP="00CA6EA5">
            <w:pPr>
              <w:pStyle w:val="Prrafodelista"/>
              <w:numPr>
                <w:ilvl w:val="0"/>
                <w:numId w:val="16"/>
              </w:numPr>
              <w:spacing w:after="0" w:line="240" w:lineRule="auto"/>
              <w:contextualSpacing/>
              <w:rPr>
                <w:rFonts w:asciiTheme="minorHAnsi" w:hAnsiTheme="minorHAnsi" w:cstheme="minorHAnsi"/>
              </w:rPr>
            </w:pPr>
            <w:r w:rsidRPr="0031603F">
              <w:rPr>
                <w:rFonts w:asciiTheme="minorHAnsi" w:hAnsiTheme="minorHAnsi" w:cstheme="minorHAnsi"/>
              </w:rPr>
              <w:t>El término correcto es interrupción del plazo mas no extensión, pues la causa es ajena al interesado y no está siendo solicitado por la parte interesada. Se propone cambiar la palabra y que dicha interrupción sea notificada mediante alerta al usuario de la plataforma.</w:t>
            </w:r>
          </w:p>
          <w:p w14:paraId="31047C3A" w14:textId="77777777" w:rsidR="00CA6EA5" w:rsidRPr="0031603F" w:rsidRDefault="00CA6EA5" w:rsidP="00CA6EA5">
            <w:pPr>
              <w:spacing w:after="0" w:line="240" w:lineRule="auto"/>
              <w:rPr>
                <w:rFonts w:asciiTheme="minorHAnsi" w:eastAsia="Times New Roman" w:hAnsiTheme="minorHAnsi" w:cstheme="minorHAnsi"/>
                <w:color w:val="000000"/>
                <w:lang w:eastAsia="es-MX"/>
              </w:rPr>
            </w:pPr>
          </w:p>
          <w:p w14:paraId="399D79B9" w14:textId="77777777" w:rsidR="000E55B0" w:rsidRPr="0031603F" w:rsidRDefault="000E55B0" w:rsidP="00297840">
            <w:pPr>
              <w:spacing w:after="0" w:line="240" w:lineRule="auto"/>
              <w:rPr>
                <w:rFonts w:asciiTheme="minorHAnsi" w:eastAsia="Times New Roman" w:hAnsiTheme="minorHAnsi" w:cstheme="minorHAnsi"/>
                <w:color w:val="000000"/>
                <w:lang w:eastAsia="es-MX"/>
              </w:rPr>
            </w:pPr>
          </w:p>
        </w:tc>
      </w:tr>
      <w:tr w:rsidR="000E55B0" w:rsidRPr="0031603F" w14:paraId="31688167" w14:textId="77777777" w:rsidTr="000462FB">
        <w:trPr>
          <w:trHeight w:val="290"/>
        </w:trPr>
        <w:tc>
          <w:tcPr>
            <w:tcW w:w="1684" w:type="dxa"/>
            <w:shd w:val="clear" w:color="auto" w:fill="auto"/>
            <w:vAlign w:val="center"/>
          </w:tcPr>
          <w:p w14:paraId="44748795" w14:textId="3BDFC535" w:rsidR="000E55B0" w:rsidRPr="0031603F" w:rsidRDefault="00CA6EA5" w:rsidP="00297840">
            <w:pPr>
              <w:spacing w:after="0" w:line="240" w:lineRule="auto"/>
              <w:jc w:val="cente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Lineamiento DÉCIMO PRIMERO</w:t>
            </w:r>
          </w:p>
        </w:tc>
        <w:tc>
          <w:tcPr>
            <w:tcW w:w="7175" w:type="dxa"/>
            <w:shd w:val="clear" w:color="auto" w:fill="auto"/>
            <w:vAlign w:val="center"/>
          </w:tcPr>
          <w:p w14:paraId="1BBDA6E0" w14:textId="77777777" w:rsidR="00CA6EA5" w:rsidRPr="0031603F" w:rsidRDefault="00CA6EA5" w:rsidP="00CA6EA5">
            <w:pPr>
              <w:pStyle w:val="Prrafodelista"/>
              <w:spacing w:after="0" w:line="240" w:lineRule="auto"/>
              <w:ind w:left="720"/>
              <w:contextualSpacing/>
              <w:rPr>
                <w:rFonts w:asciiTheme="minorHAnsi" w:hAnsiTheme="minorHAnsi" w:cstheme="minorHAnsi"/>
              </w:rPr>
            </w:pPr>
          </w:p>
          <w:p w14:paraId="0565DEAC" w14:textId="1C174A35" w:rsidR="008E4783" w:rsidRPr="0031603F" w:rsidRDefault="007A218E" w:rsidP="008E4783">
            <w:pPr>
              <w:pStyle w:val="Prrafodelista"/>
              <w:numPr>
                <w:ilvl w:val="0"/>
                <w:numId w:val="17"/>
              </w:numP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Por seguridad jurídica, s</w:t>
            </w:r>
            <w:r w:rsidR="008E4783" w:rsidRPr="0031603F">
              <w:rPr>
                <w:rFonts w:asciiTheme="minorHAnsi" w:eastAsia="Times New Roman" w:hAnsiTheme="minorHAnsi" w:cstheme="minorHAnsi"/>
                <w:color w:val="000000"/>
                <w:lang w:eastAsia="es-MX"/>
              </w:rPr>
              <w:t>e sugiere permitir la entrega en Oficialía de Partes</w:t>
            </w:r>
            <w:r w:rsidRPr="0031603F">
              <w:rPr>
                <w:rFonts w:asciiTheme="minorHAnsi" w:eastAsia="Times New Roman" w:hAnsiTheme="minorHAnsi" w:cstheme="minorHAnsi"/>
                <w:color w:val="000000"/>
                <w:lang w:eastAsia="es-MX"/>
              </w:rPr>
              <w:t>, dentro de los 5 días hábiles siguientes al inicio del trámite vía electrónica,</w:t>
            </w:r>
            <w:r w:rsidR="008E4783" w:rsidRPr="0031603F">
              <w:rPr>
                <w:rFonts w:asciiTheme="minorHAnsi" w:eastAsia="Times New Roman" w:hAnsiTheme="minorHAnsi" w:cstheme="minorHAnsi"/>
                <w:color w:val="000000"/>
                <w:lang w:eastAsia="es-MX"/>
              </w:rPr>
              <w:t xml:space="preserve"> de los documentos originales de aquellos trámites que por su naturaleza así lo requieran p. ej. “Acreditación de Representante Legal”. Lo anterior sin perjuicio de que el inicio y gestión del trámite sea a través de la Ventanilla Electrónica.</w:t>
            </w:r>
          </w:p>
          <w:p w14:paraId="44B7B2DF" w14:textId="0D99D730" w:rsidR="008E4783" w:rsidRPr="0031603F" w:rsidRDefault="008E4783" w:rsidP="008E4783">
            <w:pPr>
              <w:pStyle w:val="Prrafodelista"/>
              <w:numPr>
                <w:ilvl w:val="0"/>
                <w:numId w:val="17"/>
              </w:numP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 xml:space="preserve">Asimismo, </w:t>
            </w:r>
            <w:r w:rsidR="007A218E" w:rsidRPr="0031603F">
              <w:rPr>
                <w:rFonts w:asciiTheme="minorHAnsi" w:eastAsia="Times New Roman" w:hAnsiTheme="minorHAnsi" w:cstheme="minorHAnsi"/>
                <w:color w:val="000000"/>
                <w:lang w:eastAsia="es-MX"/>
              </w:rPr>
              <w:t xml:space="preserve">se solicita que el Instituto estipule en los Lineamientos </w:t>
            </w:r>
            <w:proofErr w:type="gramStart"/>
            <w:r w:rsidR="007A218E" w:rsidRPr="0031603F">
              <w:rPr>
                <w:rFonts w:asciiTheme="minorHAnsi" w:eastAsia="Times New Roman" w:hAnsiTheme="minorHAnsi" w:cstheme="minorHAnsi"/>
                <w:color w:val="000000"/>
                <w:lang w:eastAsia="es-MX"/>
              </w:rPr>
              <w:t>que</w:t>
            </w:r>
            <w:proofErr w:type="gramEnd"/>
            <w:r w:rsidR="007A218E" w:rsidRPr="0031603F">
              <w:rPr>
                <w:rFonts w:asciiTheme="minorHAnsi" w:eastAsia="Times New Roman" w:hAnsiTheme="minorHAnsi" w:cstheme="minorHAnsi"/>
                <w:color w:val="000000"/>
                <w:lang w:eastAsia="es-MX"/>
              </w:rPr>
              <w:t xml:space="preserve"> por excepción</w:t>
            </w:r>
            <w:r w:rsidR="0000020E" w:rsidRPr="0031603F">
              <w:rPr>
                <w:rFonts w:asciiTheme="minorHAnsi" w:eastAsia="Times New Roman" w:hAnsiTheme="minorHAnsi" w:cstheme="minorHAnsi"/>
                <w:color w:val="000000"/>
                <w:lang w:eastAsia="es-MX"/>
              </w:rPr>
              <w:t>,</w:t>
            </w:r>
            <w:r w:rsidR="007A218E" w:rsidRPr="0031603F">
              <w:rPr>
                <w:rFonts w:asciiTheme="minorHAnsi" w:eastAsia="Times New Roman" w:hAnsiTheme="minorHAnsi" w:cstheme="minorHAnsi"/>
                <w:color w:val="000000"/>
                <w:lang w:eastAsia="es-MX"/>
              </w:rPr>
              <w:t xml:space="preserve"> en aquellos </w:t>
            </w:r>
            <w:r w:rsidRPr="0031603F">
              <w:rPr>
                <w:rFonts w:asciiTheme="minorHAnsi" w:eastAsia="Times New Roman" w:hAnsiTheme="minorHAnsi" w:cstheme="minorHAnsi"/>
                <w:color w:val="000000"/>
                <w:lang w:eastAsia="es-MX"/>
              </w:rPr>
              <w:t xml:space="preserve">trámites </w:t>
            </w:r>
            <w:r w:rsidR="007A218E" w:rsidRPr="0031603F">
              <w:rPr>
                <w:rFonts w:asciiTheme="minorHAnsi" w:eastAsia="Times New Roman" w:hAnsiTheme="minorHAnsi" w:cstheme="minorHAnsi"/>
                <w:color w:val="000000"/>
                <w:lang w:eastAsia="es-MX"/>
              </w:rPr>
              <w:t xml:space="preserve">que resulte aplicable, </w:t>
            </w:r>
            <w:r w:rsidRPr="0031603F">
              <w:rPr>
                <w:rFonts w:asciiTheme="minorHAnsi" w:eastAsia="Times New Roman" w:hAnsiTheme="minorHAnsi" w:cstheme="minorHAnsi"/>
                <w:color w:val="000000"/>
                <w:lang w:eastAsia="es-MX"/>
              </w:rPr>
              <w:t>la documentación en original</w:t>
            </w:r>
            <w:r w:rsidR="007A218E" w:rsidRPr="0031603F">
              <w:rPr>
                <w:rFonts w:asciiTheme="minorHAnsi" w:eastAsia="Times New Roman" w:hAnsiTheme="minorHAnsi" w:cstheme="minorHAnsi"/>
                <w:color w:val="000000"/>
                <w:lang w:eastAsia="es-MX"/>
              </w:rPr>
              <w:t xml:space="preserve"> deberá ser entregada en Oficialía de Partes </w:t>
            </w:r>
            <w:r w:rsidR="0000020E" w:rsidRPr="0031603F">
              <w:rPr>
                <w:rFonts w:asciiTheme="minorHAnsi" w:eastAsia="Times New Roman" w:hAnsiTheme="minorHAnsi" w:cstheme="minorHAnsi"/>
                <w:color w:val="000000"/>
                <w:lang w:eastAsia="es-MX"/>
              </w:rPr>
              <w:t xml:space="preserve">de términos de los establecido en el </w:t>
            </w:r>
            <w:proofErr w:type="spellStart"/>
            <w:r w:rsidR="0000020E" w:rsidRPr="0031603F">
              <w:rPr>
                <w:rFonts w:asciiTheme="minorHAnsi" w:eastAsia="Times New Roman" w:hAnsiTheme="minorHAnsi" w:cstheme="minorHAnsi"/>
                <w:color w:val="000000"/>
                <w:lang w:eastAsia="es-MX"/>
              </w:rPr>
              <w:t>e</w:t>
            </w:r>
            <w:r w:rsidR="0031603F">
              <w:rPr>
                <w:rFonts w:asciiTheme="minorHAnsi" w:eastAsia="Times New Roman" w:hAnsiTheme="minorHAnsi" w:cstheme="minorHAnsi"/>
                <w:color w:val="000000"/>
                <w:lang w:eastAsia="es-MX"/>
              </w:rPr>
              <w:t>F</w:t>
            </w:r>
            <w:r w:rsidR="0000020E" w:rsidRPr="0031603F">
              <w:rPr>
                <w:rFonts w:asciiTheme="minorHAnsi" w:eastAsia="Times New Roman" w:hAnsiTheme="minorHAnsi" w:cstheme="minorHAnsi"/>
                <w:color w:val="000000"/>
                <w:lang w:eastAsia="es-MX"/>
              </w:rPr>
              <w:t>ormato</w:t>
            </w:r>
            <w:proofErr w:type="spellEnd"/>
            <w:r w:rsidR="0000020E" w:rsidRPr="0031603F">
              <w:rPr>
                <w:rFonts w:asciiTheme="minorHAnsi" w:eastAsia="Times New Roman" w:hAnsiTheme="minorHAnsi" w:cstheme="minorHAnsi"/>
                <w:color w:val="000000"/>
                <w:lang w:eastAsia="es-MX"/>
              </w:rPr>
              <w:t xml:space="preserve"> de que se trate.</w:t>
            </w:r>
          </w:p>
          <w:p w14:paraId="5779B763" w14:textId="476D2E78" w:rsidR="0000020E" w:rsidRPr="0031603F" w:rsidRDefault="0000020E" w:rsidP="0000020E">
            <w:pPr>
              <w:pStyle w:val="Prrafodelista"/>
              <w:ind w:left="720"/>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 xml:space="preserve">En consecuencia, en los </w:t>
            </w:r>
            <w:proofErr w:type="spellStart"/>
            <w:r w:rsidRPr="0031603F">
              <w:rPr>
                <w:rFonts w:asciiTheme="minorHAnsi" w:eastAsia="Times New Roman" w:hAnsiTheme="minorHAnsi" w:cstheme="minorHAnsi"/>
                <w:color w:val="000000"/>
                <w:lang w:eastAsia="es-MX"/>
              </w:rPr>
              <w:t>eFormatos</w:t>
            </w:r>
            <w:proofErr w:type="spellEnd"/>
            <w:r w:rsidRPr="0031603F">
              <w:rPr>
                <w:rFonts w:asciiTheme="minorHAnsi" w:eastAsia="Times New Roman" w:hAnsiTheme="minorHAnsi" w:cstheme="minorHAnsi"/>
                <w:color w:val="000000"/>
                <w:lang w:eastAsia="es-MX"/>
              </w:rPr>
              <w:t xml:space="preserve"> de los trámites que requieran la entrega de documentación original, se sugiere, señalar en sus instrucciones, que el solicitante cuenta con 5 días hábiles a partir del ingreso de su solicitud electrónica, para en</w:t>
            </w:r>
            <w:r w:rsidR="00A453FB" w:rsidRPr="0031603F">
              <w:rPr>
                <w:rFonts w:asciiTheme="minorHAnsi" w:eastAsia="Times New Roman" w:hAnsiTheme="minorHAnsi" w:cstheme="minorHAnsi"/>
                <w:color w:val="000000"/>
                <w:lang w:eastAsia="es-MX"/>
              </w:rPr>
              <w:t>t</w:t>
            </w:r>
            <w:r w:rsidRPr="0031603F">
              <w:rPr>
                <w:rFonts w:asciiTheme="minorHAnsi" w:eastAsia="Times New Roman" w:hAnsiTheme="minorHAnsi" w:cstheme="minorHAnsi"/>
                <w:color w:val="000000"/>
                <w:lang w:eastAsia="es-MX"/>
              </w:rPr>
              <w:t>regar la documentación original en Ofi</w:t>
            </w:r>
            <w:r w:rsidR="00A453FB" w:rsidRPr="0031603F">
              <w:rPr>
                <w:rFonts w:asciiTheme="minorHAnsi" w:eastAsia="Times New Roman" w:hAnsiTheme="minorHAnsi" w:cstheme="minorHAnsi"/>
                <w:color w:val="000000"/>
                <w:lang w:eastAsia="es-MX"/>
              </w:rPr>
              <w:t>c</w:t>
            </w:r>
            <w:r w:rsidRPr="0031603F">
              <w:rPr>
                <w:rFonts w:asciiTheme="minorHAnsi" w:eastAsia="Times New Roman" w:hAnsiTheme="minorHAnsi" w:cstheme="minorHAnsi"/>
                <w:color w:val="000000"/>
                <w:lang w:eastAsia="es-MX"/>
              </w:rPr>
              <w:t>i</w:t>
            </w:r>
            <w:r w:rsidR="00A453FB" w:rsidRPr="0031603F">
              <w:rPr>
                <w:rFonts w:asciiTheme="minorHAnsi" w:eastAsia="Times New Roman" w:hAnsiTheme="minorHAnsi" w:cstheme="minorHAnsi"/>
                <w:color w:val="000000"/>
                <w:lang w:eastAsia="es-MX"/>
              </w:rPr>
              <w:t>a</w:t>
            </w:r>
            <w:r w:rsidRPr="0031603F">
              <w:rPr>
                <w:rFonts w:asciiTheme="minorHAnsi" w:eastAsia="Times New Roman" w:hAnsiTheme="minorHAnsi" w:cstheme="minorHAnsi"/>
                <w:color w:val="000000"/>
                <w:lang w:eastAsia="es-MX"/>
              </w:rPr>
              <w:t>lía de Partes.</w:t>
            </w:r>
          </w:p>
          <w:p w14:paraId="4582439C" w14:textId="77777777" w:rsidR="000E55B0" w:rsidRPr="0031603F" w:rsidRDefault="000E55B0" w:rsidP="00297840">
            <w:pPr>
              <w:spacing w:after="0" w:line="240" w:lineRule="auto"/>
              <w:rPr>
                <w:rFonts w:asciiTheme="minorHAnsi" w:eastAsia="Times New Roman" w:hAnsiTheme="minorHAnsi" w:cstheme="minorHAnsi"/>
                <w:color w:val="000000"/>
                <w:lang w:eastAsia="es-MX"/>
              </w:rPr>
            </w:pPr>
          </w:p>
        </w:tc>
      </w:tr>
      <w:tr w:rsidR="000E55B0" w:rsidRPr="0031603F" w14:paraId="4CC80F90" w14:textId="77777777" w:rsidTr="000462FB">
        <w:trPr>
          <w:trHeight w:val="290"/>
        </w:trPr>
        <w:tc>
          <w:tcPr>
            <w:tcW w:w="1684" w:type="dxa"/>
            <w:shd w:val="clear" w:color="auto" w:fill="auto"/>
            <w:vAlign w:val="center"/>
          </w:tcPr>
          <w:p w14:paraId="0D36DBF2" w14:textId="77777777" w:rsidR="00CA6EA5" w:rsidRPr="0031603F" w:rsidRDefault="00CA6EA5" w:rsidP="00297840">
            <w:pPr>
              <w:spacing w:after="0" w:line="240" w:lineRule="auto"/>
              <w:jc w:val="center"/>
              <w:rPr>
                <w:rFonts w:asciiTheme="minorHAnsi" w:eastAsia="Times New Roman" w:hAnsiTheme="minorHAnsi" w:cstheme="minorHAnsi"/>
                <w:color w:val="000000"/>
                <w:lang w:eastAsia="es-MX"/>
              </w:rPr>
            </w:pPr>
          </w:p>
          <w:p w14:paraId="22BE71CA" w14:textId="7F20179D" w:rsidR="000E55B0" w:rsidRPr="0031603F" w:rsidRDefault="00CA6EA5" w:rsidP="00297840">
            <w:pPr>
              <w:spacing w:after="0" w:line="240" w:lineRule="auto"/>
              <w:jc w:val="cente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Lineamiento DÉCIMO SEGUNDO</w:t>
            </w:r>
          </w:p>
          <w:p w14:paraId="11391C12" w14:textId="3583F799" w:rsidR="00CA6EA5" w:rsidRPr="0031603F" w:rsidRDefault="00CA6EA5" w:rsidP="00297840">
            <w:pPr>
              <w:spacing w:after="0" w:line="240" w:lineRule="auto"/>
              <w:jc w:val="center"/>
              <w:rPr>
                <w:rFonts w:asciiTheme="minorHAnsi" w:eastAsia="Times New Roman" w:hAnsiTheme="minorHAnsi" w:cstheme="minorHAnsi"/>
                <w:color w:val="000000"/>
                <w:lang w:eastAsia="es-MX"/>
              </w:rPr>
            </w:pPr>
          </w:p>
        </w:tc>
        <w:tc>
          <w:tcPr>
            <w:tcW w:w="7175" w:type="dxa"/>
            <w:shd w:val="clear" w:color="auto" w:fill="auto"/>
            <w:vAlign w:val="center"/>
          </w:tcPr>
          <w:p w14:paraId="56F6953C" w14:textId="19286E7D" w:rsidR="000E55B0" w:rsidRPr="0031603F" w:rsidRDefault="00CA6EA5" w:rsidP="00CA6EA5">
            <w:pPr>
              <w:pStyle w:val="Prrafodelista"/>
              <w:numPr>
                <w:ilvl w:val="0"/>
                <w:numId w:val="16"/>
              </w:numPr>
              <w:spacing w:after="0" w:line="240" w:lineRule="auto"/>
              <w:rPr>
                <w:rFonts w:asciiTheme="minorHAnsi" w:eastAsia="Times New Roman" w:hAnsiTheme="minorHAnsi" w:cstheme="minorHAnsi"/>
                <w:color w:val="000000"/>
                <w:lang w:eastAsia="es-MX"/>
              </w:rPr>
            </w:pPr>
            <w:r w:rsidRPr="0031603F">
              <w:rPr>
                <w:rFonts w:asciiTheme="minorHAnsi" w:hAnsiTheme="minorHAnsi" w:cstheme="minorHAnsi"/>
              </w:rPr>
              <w:t>Se solicita la posibilidad de tener múltiples sesiones y usuarios por cada concesionario.</w:t>
            </w:r>
          </w:p>
        </w:tc>
      </w:tr>
      <w:tr w:rsidR="000E55B0" w:rsidRPr="0031603F" w14:paraId="13E54CD5" w14:textId="77777777" w:rsidTr="000462FB">
        <w:trPr>
          <w:trHeight w:val="290"/>
        </w:trPr>
        <w:tc>
          <w:tcPr>
            <w:tcW w:w="1684" w:type="dxa"/>
            <w:shd w:val="clear" w:color="auto" w:fill="auto"/>
            <w:vAlign w:val="center"/>
          </w:tcPr>
          <w:p w14:paraId="3209EF50" w14:textId="305821BA" w:rsidR="000E55B0" w:rsidRPr="0031603F" w:rsidRDefault="00CA6EA5" w:rsidP="00297840">
            <w:pPr>
              <w:spacing w:after="0" w:line="240" w:lineRule="auto"/>
              <w:jc w:val="cente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Lineamiento DÉCIMO SÉPTIMO</w:t>
            </w:r>
          </w:p>
        </w:tc>
        <w:tc>
          <w:tcPr>
            <w:tcW w:w="7175" w:type="dxa"/>
            <w:shd w:val="clear" w:color="auto" w:fill="auto"/>
            <w:vAlign w:val="center"/>
          </w:tcPr>
          <w:p w14:paraId="0D22FD9E" w14:textId="77777777" w:rsidR="00CA6EA5" w:rsidRPr="0031603F" w:rsidRDefault="00CA6EA5" w:rsidP="00CA6EA5">
            <w:pPr>
              <w:pStyle w:val="Prrafodelista"/>
              <w:spacing w:after="0" w:line="240" w:lineRule="auto"/>
              <w:ind w:left="720"/>
              <w:contextualSpacing/>
              <w:rPr>
                <w:rFonts w:asciiTheme="minorHAnsi" w:hAnsiTheme="minorHAnsi" w:cstheme="minorHAnsi"/>
              </w:rPr>
            </w:pPr>
          </w:p>
          <w:p w14:paraId="46811352" w14:textId="0286EC46" w:rsidR="00CA6EA5" w:rsidRPr="0031603F" w:rsidRDefault="00CA6EA5" w:rsidP="00CA6EA5">
            <w:pPr>
              <w:pStyle w:val="Prrafodelista"/>
              <w:numPr>
                <w:ilvl w:val="0"/>
                <w:numId w:val="16"/>
              </w:numPr>
              <w:spacing w:after="0" w:line="240" w:lineRule="auto"/>
              <w:contextualSpacing/>
              <w:rPr>
                <w:rFonts w:asciiTheme="minorHAnsi" w:hAnsiTheme="minorHAnsi" w:cstheme="minorHAnsi"/>
              </w:rPr>
            </w:pPr>
            <w:r w:rsidRPr="0031603F">
              <w:rPr>
                <w:rFonts w:asciiTheme="minorHAnsi" w:hAnsiTheme="minorHAnsi" w:cstheme="minorHAnsi"/>
              </w:rPr>
              <w:t>Se propone complementar la redacción del artículo de la siguiente manera:</w:t>
            </w:r>
          </w:p>
          <w:p w14:paraId="47962BA4" w14:textId="77777777" w:rsidR="00CA6EA5" w:rsidRPr="0031603F" w:rsidRDefault="00CA6EA5" w:rsidP="00CA6EA5">
            <w:pPr>
              <w:pStyle w:val="Prrafodelista"/>
              <w:spacing w:after="0" w:line="240" w:lineRule="auto"/>
              <w:ind w:left="720"/>
              <w:rPr>
                <w:rFonts w:asciiTheme="minorHAnsi" w:hAnsiTheme="minorHAnsi" w:cstheme="minorHAnsi"/>
                <w:noProof/>
              </w:rPr>
            </w:pPr>
          </w:p>
          <w:p w14:paraId="32C4E4CD" w14:textId="77777777" w:rsidR="000E55B0" w:rsidRPr="0031603F" w:rsidRDefault="00CA6EA5" w:rsidP="00CA6EA5">
            <w:pPr>
              <w:pStyle w:val="Prrafodelista"/>
              <w:spacing w:after="0" w:line="240" w:lineRule="auto"/>
              <w:ind w:left="720"/>
              <w:rPr>
                <w:rFonts w:asciiTheme="minorHAnsi" w:hAnsiTheme="minorHAnsi" w:cstheme="minorHAnsi"/>
                <w:noProof/>
              </w:rPr>
            </w:pPr>
            <w:r w:rsidRPr="0031603F">
              <w:rPr>
                <w:rFonts w:asciiTheme="minorHAnsi" w:hAnsiTheme="minorHAnsi" w:cstheme="minorHAnsi"/>
                <w:noProof/>
              </w:rPr>
              <w:t>“Las notificaciones de los Actos Administrativos Electrónicos, surtirán efectos a partir del día hábil siguiente contado a partir de que el Acto Administrativo Electrónico se encuentre disponible en el Tablero Electrónico para su atención o consulta, y que haya sido debidamente enviado el aviso a que hace referencia el lineamiento anterior.”</w:t>
            </w:r>
          </w:p>
          <w:p w14:paraId="422EAE66" w14:textId="734B81F1" w:rsidR="003A1E01" w:rsidRPr="0031603F" w:rsidRDefault="003A1E01" w:rsidP="003A1E01">
            <w:pPr>
              <w:spacing w:after="0" w:line="240" w:lineRule="auto"/>
              <w:rPr>
                <w:rFonts w:asciiTheme="minorHAnsi" w:eastAsia="Times New Roman" w:hAnsiTheme="minorHAnsi" w:cstheme="minorHAnsi"/>
                <w:color w:val="000000"/>
                <w:lang w:eastAsia="es-MX"/>
              </w:rPr>
            </w:pPr>
          </w:p>
        </w:tc>
      </w:tr>
      <w:tr w:rsidR="000E55B0" w:rsidRPr="0031603F" w14:paraId="54DB6F6D" w14:textId="77777777" w:rsidTr="000462FB">
        <w:trPr>
          <w:trHeight w:val="290"/>
        </w:trPr>
        <w:tc>
          <w:tcPr>
            <w:tcW w:w="1684" w:type="dxa"/>
            <w:shd w:val="clear" w:color="auto" w:fill="auto"/>
            <w:vAlign w:val="center"/>
          </w:tcPr>
          <w:p w14:paraId="5EC14FAF" w14:textId="20B05273" w:rsidR="000E55B0" w:rsidRPr="0031603F" w:rsidRDefault="00CA6EA5" w:rsidP="00297840">
            <w:pPr>
              <w:spacing w:after="0" w:line="240" w:lineRule="auto"/>
              <w:jc w:val="cente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Lineamiento DÉCIMO OCTAVO</w:t>
            </w:r>
          </w:p>
        </w:tc>
        <w:tc>
          <w:tcPr>
            <w:tcW w:w="7175" w:type="dxa"/>
            <w:shd w:val="clear" w:color="auto" w:fill="auto"/>
            <w:vAlign w:val="center"/>
          </w:tcPr>
          <w:p w14:paraId="6E84907A" w14:textId="77777777" w:rsidR="00CA6EA5" w:rsidRPr="0031603F" w:rsidRDefault="00CA6EA5" w:rsidP="00CA6EA5">
            <w:pPr>
              <w:pStyle w:val="Prrafodelista"/>
              <w:spacing w:after="0" w:line="240" w:lineRule="auto"/>
              <w:ind w:left="720"/>
              <w:contextualSpacing/>
              <w:rPr>
                <w:rFonts w:asciiTheme="minorHAnsi" w:hAnsiTheme="minorHAnsi" w:cstheme="minorHAnsi"/>
              </w:rPr>
            </w:pPr>
          </w:p>
          <w:p w14:paraId="49E8C3BB" w14:textId="1F467F0B" w:rsidR="00CA6EA5" w:rsidRPr="0031603F" w:rsidRDefault="00CA6EA5" w:rsidP="00CA6EA5">
            <w:pPr>
              <w:pStyle w:val="Prrafodelista"/>
              <w:numPr>
                <w:ilvl w:val="0"/>
                <w:numId w:val="16"/>
              </w:numPr>
              <w:spacing w:after="0" w:line="240" w:lineRule="auto"/>
              <w:contextualSpacing/>
              <w:rPr>
                <w:rFonts w:asciiTheme="minorHAnsi" w:hAnsiTheme="minorHAnsi" w:cstheme="minorHAnsi"/>
              </w:rPr>
            </w:pPr>
            <w:r w:rsidRPr="0031603F">
              <w:rPr>
                <w:rFonts w:asciiTheme="minorHAnsi" w:hAnsiTheme="minorHAnsi" w:cstheme="minorHAnsi"/>
              </w:rPr>
              <w:t xml:space="preserve">Se solicita que para aquellos representantes que tienen acreditada su personalidad ante el IFT puedan firmar con la FIEL del concesionario. </w:t>
            </w:r>
          </w:p>
          <w:p w14:paraId="391AD147" w14:textId="493CBD15" w:rsidR="000E55B0" w:rsidRPr="0031603F" w:rsidRDefault="000E55B0" w:rsidP="00CA6EA5">
            <w:pPr>
              <w:pStyle w:val="Prrafodelista"/>
              <w:spacing w:after="0" w:line="240" w:lineRule="auto"/>
              <w:ind w:left="720"/>
              <w:rPr>
                <w:rFonts w:asciiTheme="minorHAnsi" w:eastAsia="Times New Roman" w:hAnsiTheme="minorHAnsi" w:cstheme="minorHAnsi"/>
                <w:color w:val="000000"/>
                <w:lang w:eastAsia="es-MX"/>
              </w:rPr>
            </w:pPr>
          </w:p>
        </w:tc>
      </w:tr>
      <w:tr w:rsidR="000E55B0" w:rsidRPr="0031603F" w14:paraId="385EEDBE" w14:textId="77777777" w:rsidTr="000462FB">
        <w:trPr>
          <w:trHeight w:val="290"/>
        </w:trPr>
        <w:tc>
          <w:tcPr>
            <w:tcW w:w="1684" w:type="dxa"/>
            <w:shd w:val="clear" w:color="auto" w:fill="auto"/>
            <w:vAlign w:val="center"/>
          </w:tcPr>
          <w:p w14:paraId="014E9240" w14:textId="79494A25" w:rsidR="000E55B0" w:rsidRPr="0031603F" w:rsidRDefault="00CA6EA5" w:rsidP="00297840">
            <w:pPr>
              <w:spacing w:after="0" w:line="240" w:lineRule="auto"/>
              <w:jc w:val="cente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Lineamiento VIGÉSIMO</w:t>
            </w:r>
          </w:p>
        </w:tc>
        <w:tc>
          <w:tcPr>
            <w:tcW w:w="7175" w:type="dxa"/>
            <w:shd w:val="clear" w:color="auto" w:fill="auto"/>
            <w:vAlign w:val="center"/>
          </w:tcPr>
          <w:p w14:paraId="11DE76C1" w14:textId="77777777" w:rsidR="00CA6EA5" w:rsidRPr="0031603F" w:rsidRDefault="00CA6EA5" w:rsidP="00CA6EA5">
            <w:pPr>
              <w:spacing w:after="0" w:line="240" w:lineRule="auto"/>
              <w:contextualSpacing/>
              <w:rPr>
                <w:rFonts w:asciiTheme="minorHAnsi" w:hAnsiTheme="minorHAnsi" w:cstheme="minorHAnsi"/>
              </w:rPr>
            </w:pPr>
          </w:p>
          <w:p w14:paraId="36DF22D9" w14:textId="5DD6DFE1" w:rsidR="00CA6EA5" w:rsidRPr="0031603F" w:rsidRDefault="00CA6EA5" w:rsidP="00CA6EA5">
            <w:pPr>
              <w:pStyle w:val="Prrafodelista"/>
              <w:numPr>
                <w:ilvl w:val="0"/>
                <w:numId w:val="16"/>
              </w:numPr>
              <w:spacing w:after="0" w:line="240" w:lineRule="auto"/>
              <w:contextualSpacing/>
              <w:rPr>
                <w:rFonts w:asciiTheme="minorHAnsi" w:hAnsiTheme="minorHAnsi" w:cstheme="minorHAnsi"/>
              </w:rPr>
            </w:pPr>
            <w:r w:rsidRPr="0031603F">
              <w:rPr>
                <w:rFonts w:asciiTheme="minorHAnsi" w:hAnsiTheme="minorHAnsi" w:cstheme="minorHAnsi"/>
              </w:rPr>
              <w:t>Confirmar si el expediente sustituye al “Archivo del Instituto”.</w:t>
            </w:r>
          </w:p>
          <w:p w14:paraId="2948BCA5" w14:textId="77777777" w:rsidR="00CA6EA5" w:rsidRPr="0031603F" w:rsidRDefault="00CA6EA5" w:rsidP="00CA6EA5">
            <w:pPr>
              <w:pStyle w:val="Prrafodelista"/>
              <w:ind w:left="720"/>
              <w:rPr>
                <w:rFonts w:asciiTheme="minorHAnsi" w:hAnsiTheme="minorHAnsi" w:cstheme="minorHAnsi"/>
              </w:rPr>
            </w:pPr>
          </w:p>
          <w:p w14:paraId="6D80E461" w14:textId="77777777" w:rsidR="000E55B0" w:rsidRPr="0031603F" w:rsidRDefault="00CA6EA5" w:rsidP="00CA6EA5">
            <w:pPr>
              <w:pStyle w:val="Prrafodelista"/>
              <w:numPr>
                <w:ilvl w:val="0"/>
                <w:numId w:val="16"/>
              </w:numPr>
              <w:spacing w:after="0" w:line="240" w:lineRule="auto"/>
              <w:rPr>
                <w:rFonts w:asciiTheme="minorHAnsi" w:eastAsia="Times New Roman" w:hAnsiTheme="minorHAnsi" w:cstheme="minorHAnsi"/>
                <w:color w:val="000000"/>
                <w:lang w:eastAsia="es-MX"/>
              </w:rPr>
            </w:pPr>
            <w:r w:rsidRPr="0031603F">
              <w:rPr>
                <w:rFonts w:asciiTheme="minorHAnsi" w:hAnsiTheme="minorHAnsi" w:cstheme="minorHAnsi"/>
              </w:rPr>
              <w:t>No está definido el término “Archivo del Instituto”.</w:t>
            </w:r>
          </w:p>
          <w:p w14:paraId="04C6544E" w14:textId="77777777" w:rsidR="00CA6EA5" w:rsidRPr="0031603F" w:rsidRDefault="00CA6EA5" w:rsidP="00CA6EA5">
            <w:pPr>
              <w:pStyle w:val="Prrafodelista"/>
              <w:rPr>
                <w:rFonts w:asciiTheme="minorHAnsi" w:eastAsia="Times New Roman" w:hAnsiTheme="minorHAnsi" w:cstheme="minorHAnsi"/>
                <w:color w:val="000000"/>
                <w:lang w:eastAsia="es-MX"/>
              </w:rPr>
            </w:pPr>
          </w:p>
          <w:p w14:paraId="3E4D5912" w14:textId="7F07E8F4" w:rsidR="00CA6EA5" w:rsidRPr="0031603F" w:rsidRDefault="00CA6EA5" w:rsidP="00CA6EA5">
            <w:pPr>
              <w:pStyle w:val="Prrafodelista"/>
              <w:spacing w:after="0" w:line="240" w:lineRule="auto"/>
              <w:ind w:left="720"/>
              <w:rPr>
                <w:rFonts w:asciiTheme="minorHAnsi" w:eastAsia="Times New Roman" w:hAnsiTheme="minorHAnsi" w:cstheme="minorHAnsi"/>
                <w:color w:val="000000"/>
                <w:lang w:eastAsia="es-MX"/>
              </w:rPr>
            </w:pPr>
          </w:p>
        </w:tc>
      </w:tr>
      <w:tr w:rsidR="00406E7D" w:rsidRPr="0031603F" w14:paraId="6D4D23CD" w14:textId="77777777" w:rsidTr="000462FB">
        <w:trPr>
          <w:trHeight w:val="290"/>
        </w:trPr>
        <w:tc>
          <w:tcPr>
            <w:tcW w:w="1684" w:type="dxa"/>
            <w:shd w:val="clear" w:color="auto" w:fill="auto"/>
            <w:vAlign w:val="center"/>
          </w:tcPr>
          <w:p w14:paraId="6FD7CF7A" w14:textId="77777777" w:rsidR="00406E7D" w:rsidRPr="0031603F" w:rsidRDefault="00406E7D" w:rsidP="00297840">
            <w:pPr>
              <w:spacing w:after="0" w:line="240" w:lineRule="auto"/>
              <w:jc w:val="cente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 xml:space="preserve">Transitorio </w:t>
            </w:r>
          </w:p>
          <w:p w14:paraId="2C23DF5C" w14:textId="553FAD5D" w:rsidR="00406E7D" w:rsidRPr="0031603F" w:rsidRDefault="00406E7D" w:rsidP="00297840">
            <w:pPr>
              <w:spacing w:after="0" w:line="240" w:lineRule="auto"/>
              <w:jc w:val="cente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SEGUNDO</w:t>
            </w:r>
          </w:p>
        </w:tc>
        <w:tc>
          <w:tcPr>
            <w:tcW w:w="7175" w:type="dxa"/>
            <w:shd w:val="clear" w:color="auto" w:fill="auto"/>
            <w:vAlign w:val="center"/>
          </w:tcPr>
          <w:p w14:paraId="609E5534" w14:textId="77777777" w:rsidR="00406E7D" w:rsidRPr="0031603F" w:rsidRDefault="00406E7D" w:rsidP="00406E7D">
            <w:pPr>
              <w:pStyle w:val="Prrafodelista"/>
              <w:spacing w:after="0" w:line="240" w:lineRule="auto"/>
              <w:ind w:left="720"/>
              <w:contextualSpacing/>
              <w:rPr>
                <w:rFonts w:asciiTheme="minorHAnsi" w:hAnsiTheme="minorHAnsi" w:cstheme="minorHAnsi"/>
              </w:rPr>
            </w:pPr>
          </w:p>
          <w:p w14:paraId="7080F165" w14:textId="6C3EF306" w:rsidR="00406E7D" w:rsidRPr="0031603F" w:rsidRDefault="00406E7D" w:rsidP="00406E7D">
            <w:pPr>
              <w:pStyle w:val="Prrafodelista"/>
              <w:numPr>
                <w:ilvl w:val="0"/>
                <w:numId w:val="16"/>
              </w:numPr>
              <w:spacing w:after="0" w:line="240" w:lineRule="auto"/>
              <w:contextualSpacing/>
              <w:rPr>
                <w:rFonts w:asciiTheme="minorHAnsi" w:hAnsiTheme="minorHAnsi" w:cstheme="minorHAnsi"/>
              </w:rPr>
            </w:pPr>
            <w:proofErr w:type="gramStart"/>
            <w:r w:rsidRPr="0031603F">
              <w:rPr>
                <w:rFonts w:asciiTheme="minorHAnsi" w:hAnsiTheme="minorHAnsi" w:cstheme="minorHAnsi"/>
              </w:rPr>
              <w:t>Éste</w:t>
            </w:r>
            <w:proofErr w:type="gramEnd"/>
            <w:r w:rsidRPr="0031603F">
              <w:rPr>
                <w:rFonts w:asciiTheme="minorHAnsi" w:hAnsiTheme="minorHAnsi" w:cstheme="minorHAnsi"/>
              </w:rPr>
              <w:t xml:space="preserve"> artículo contempla que el IFT, informará sobre el inicio de operaciones de la Ventanilla Electrónica. Sin embargo, no establece plazo cierto para llevar a cabo dicha publicación. </w:t>
            </w:r>
          </w:p>
          <w:p w14:paraId="4B60879F" w14:textId="77777777" w:rsidR="00406E7D" w:rsidRPr="0031603F" w:rsidRDefault="00406E7D" w:rsidP="00406E7D">
            <w:pPr>
              <w:pStyle w:val="Prrafodelista"/>
              <w:spacing w:after="0" w:line="240" w:lineRule="auto"/>
              <w:ind w:left="720"/>
              <w:contextualSpacing/>
              <w:rPr>
                <w:rFonts w:asciiTheme="minorHAnsi" w:hAnsiTheme="minorHAnsi" w:cstheme="minorHAnsi"/>
              </w:rPr>
            </w:pPr>
          </w:p>
          <w:p w14:paraId="28C9A62B" w14:textId="77777777" w:rsidR="00406E7D" w:rsidRPr="0031603F" w:rsidRDefault="00406E7D" w:rsidP="00406E7D">
            <w:pPr>
              <w:pStyle w:val="Prrafodelista"/>
              <w:numPr>
                <w:ilvl w:val="0"/>
                <w:numId w:val="16"/>
              </w:numPr>
              <w:spacing w:after="0" w:line="240" w:lineRule="auto"/>
              <w:contextualSpacing/>
              <w:rPr>
                <w:rFonts w:asciiTheme="minorHAnsi" w:hAnsiTheme="minorHAnsi" w:cstheme="minorHAnsi"/>
              </w:rPr>
            </w:pPr>
            <w:r w:rsidRPr="0031603F">
              <w:rPr>
                <w:rFonts w:asciiTheme="minorHAnsi" w:hAnsiTheme="minorHAnsi" w:cstheme="minorHAnsi"/>
              </w:rPr>
              <w:t>Se sugiere establecer un plazo máximo de 180 días naturales a partir de la entrada en vigor de los Lineamientos, para que la Ventanilla Electrónica inicie operaciones y que en consecuencia sea informado a través del Diario Oficial de la Federación.</w:t>
            </w:r>
          </w:p>
          <w:p w14:paraId="773CA9DB" w14:textId="65FCA819" w:rsidR="00406E7D" w:rsidRPr="0031603F" w:rsidRDefault="00406E7D" w:rsidP="00406E7D">
            <w:pPr>
              <w:spacing w:after="0" w:line="240" w:lineRule="auto"/>
              <w:contextualSpacing/>
              <w:rPr>
                <w:rFonts w:asciiTheme="minorHAnsi" w:hAnsiTheme="minorHAnsi" w:cstheme="minorHAnsi"/>
              </w:rPr>
            </w:pPr>
          </w:p>
        </w:tc>
      </w:tr>
      <w:tr w:rsidR="00CA6EA5" w:rsidRPr="0031603F" w14:paraId="40E48F23" w14:textId="77777777" w:rsidTr="000462FB">
        <w:trPr>
          <w:trHeight w:val="290"/>
        </w:trPr>
        <w:tc>
          <w:tcPr>
            <w:tcW w:w="1684" w:type="dxa"/>
            <w:shd w:val="clear" w:color="auto" w:fill="auto"/>
            <w:vAlign w:val="center"/>
          </w:tcPr>
          <w:p w14:paraId="3457B80C" w14:textId="44193BCA" w:rsidR="00CA6EA5" w:rsidRPr="0031603F" w:rsidRDefault="00CA6EA5" w:rsidP="00297840">
            <w:pPr>
              <w:spacing w:after="0" w:line="240" w:lineRule="auto"/>
              <w:jc w:val="center"/>
              <w:rPr>
                <w:rFonts w:asciiTheme="minorHAnsi" w:eastAsia="Times New Roman" w:hAnsiTheme="minorHAnsi" w:cstheme="minorHAnsi"/>
                <w:color w:val="000000"/>
                <w:lang w:eastAsia="es-MX"/>
              </w:rPr>
            </w:pPr>
            <w:r w:rsidRPr="0031603F">
              <w:rPr>
                <w:rFonts w:asciiTheme="minorHAnsi" w:eastAsia="Times New Roman" w:hAnsiTheme="minorHAnsi" w:cstheme="minorHAnsi"/>
                <w:color w:val="000000"/>
                <w:lang w:eastAsia="es-MX"/>
              </w:rPr>
              <w:t>Transitorio TERCERO</w:t>
            </w:r>
          </w:p>
        </w:tc>
        <w:tc>
          <w:tcPr>
            <w:tcW w:w="7175" w:type="dxa"/>
            <w:shd w:val="clear" w:color="auto" w:fill="auto"/>
            <w:vAlign w:val="center"/>
          </w:tcPr>
          <w:p w14:paraId="69DD6DA8" w14:textId="77777777" w:rsidR="00CA6EA5" w:rsidRPr="0031603F" w:rsidRDefault="00CA6EA5" w:rsidP="00CA6EA5">
            <w:pPr>
              <w:pStyle w:val="Prrafodelista"/>
              <w:spacing w:after="0" w:line="240" w:lineRule="auto"/>
              <w:ind w:left="720"/>
              <w:contextualSpacing/>
              <w:rPr>
                <w:rFonts w:asciiTheme="minorHAnsi" w:hAnsiTheme="minorHAnsi" w:cstheme="minorHAnsi"/>
              </w:rPr>
            </w:pPr>
          </w:p>
          <w:p w14:paraId="70A67FAC" w14:textId="46A9598E" w:rsidR="00CA6EA5" w:rsidRPr="0031603F" w:rsidRDefault="00CA6EA5" w:rsidP="00CA6EA5">
            <w:pPr>
              <w:pStyle w:val="Prrafodelista"/>
              <w:numPr>
                <w:ilvl w:val="0"/>
                <w:numId w:val="16"/>
              </w:numPr>
              <w:spacing w:after="0" w:line="240" w:lineRule="auto"/>
              <w:contextualSpacing/>
              <w:rPr>
                <w:rFonts w:asciiTheme="minorHAnsi" w:hAnsiTheme="minorHAnsi" w:cstheme="minorHAnsi"/>
              </w:rPr>
            </w:pPr>
            <w:r w:rsidRPr="0031603F">
              <w:rPr>
                <w:rFonts w:asciiTheme="minorHAnsi" w:hAnsiTheme="minorHAnsi" w:cstheme="minorHAnsi"/>
              </w:rPr>
              <w:t>El plazo para llevar a cabo la transición total se estima excesivo.</w:t>
            </w:r>
          </w:p>
          <w:p w14:paraId="3E7CE3FE" w14:textId="77777777" w:rsidR="00CA6EA5" w:rsidRPr="0031603F" w:rsidRDefault="00CA6EA5" w:rsidP="00CA6EA5">
            <w:pPr>
              <w:pStyle w:val="Prrafodelista"/>
              <w:rPr>
                <w:rFonts w:asciiTheme="minorHAnsi" w:hAnsiTheme="minorHAnsi" w:cstheme="minorHAnsi"/>
              </w:rPr>
            </w:pPr>
          </w:p>
          <w:p w14:paraId="0B499C40" w14:textId="77777777" w:rsidR="00CA6EA5" w:rsidRPr="0031603F" w:rsidRDefault="00CA6EA5" w:rsidP="00CA6EA5">
            <w:pPr>
              <w:pStyle w:val="Prrafodelista"/>
              <w:numPr>
                <w:ilvl w:val="0"/>
                <w:numId w:val="16"/>
              </w:numPr>
              <w:spacing w:after="0" w:line="240" w:lineRule="auto"/>
              <w:rPr>
                <w:rFonts w:asciiTheme="minorHAnsi" w:eastAsia="Times New Roman" w:hAnsiTheme="minorHAnsi" w:cstheme="minorHAnsi"/>
                <w:color w:val="000000"/>
                <w:lang w:eastAsia="es-MX"/>
              </w:rPr>
            </w:pPr>
            <w:r w:rsidRPr="0031603F">
              <w:rPr>
                <w:rFonts w:asciiTheme="minorHAnsi" w:hAnsiTheme="minorHAnsi" w:cstheme="minorHAnsi"/>
              </w:rPr>
              <w:t>Se sugiere cambiar el plazo a 1 año.</w:t>
            </w:r>
          </w:p>
          <w:p w14:paraId="243C85C5" w14:textId="6EC4B466" w:rsidR="00CA6EA5" w:rsidRPr="0031603F" w:rsidRDefault="00CA6EA5" w:rsidP="00CA6EA5">
            <w:pPr>
              <w:spacing w:after="0" w:line="240" w:lineRule="auto"/>
              <w:rPr>
                <w:rFonts w:asciiTheme="minorHAnsi" w:eastAsia="Times New Roman" w:hAnsiTheme="minorHAnsi" w:cstheme="minorHAnsi"/>
                <w:color w:val="000000"/>
                <w:lang w:eastAsia="es-MX"/>
              </w:rPr>
            </w:pPr>
          </w:p>
        </w:tc>
      </w:tr>
      <w:tr w:rsidR="00CA6EA5" w:rsidRPr="0031603F" w14:paraId="79363B0A" w14:textId="77777777" w:rsidTr="000462FB">
        <w:trPr>
          <w:trHeight w:val="290"/>
        </w:trPr>
        <w:tc>
          <w:tcPr>
            <w:tcW w:w="1684" w:type="dxa"/>
            <w:shd w:val="clear" w:color="auto" w:fill="auto"/>
            <w:vAlign w:val="center"/>
          </w:tcPr>
          <w:p w14:paraId="524315D8" w14:textId="77777777" w:rsidR="00CA6EA5" w:rsidRPr="0031603F" w:rsidRDefault="00CA6EA5" w:rsidP="00297840">
            <w:pPr>
              <w:spacing w:after="0" w:line="240" w:lineRule="auto"/>
              <w:jc w:val="center"/>
              <w:rPr>
                <w:rFonts w:asciiTheme="minorHAnsi" w:eastAsia="Times New Roman" w:hAnsiTheme="minorHAnsi" w:cstheme="minorHAnsi"/>
                <w:color w:val="000000"/>
                <w:lang w:eastAsia="es-MX"/>
              </w:rPr>
            </w:pPr>
          </w:p>
        </w:tc>
        <w:tc>
          <w:tcPr>
            <w:tcW w:w="7175" w:type="dxa"/>
            <w:shd w:val="clear" w:color="auto" w:fill="auto"/>
            <w:vAlign w:val="center"/>
          </w:tcPr>
          <w:p w14:paraId="72A9DAA7" w14:textId="77777777" w:rsidR="00CA6EA5" w:rsidRPr="0031603F" w:rsidRDefault="00CA6EA5" w:rsidP="00297840">
            <w:pPr>
              <w:spacing w:after="0" w:line="240" w:lineRule="auto"/>
              <w:rPr>
                <w:rFonts w:asciiTheme="minorHAnsi" w:eastAsia="Times New Roman" w:hAnsiTheme="minorHAnsi" w:cstheme="minorHAnsi"/>
                <w:color w:val="000000"/>
                <w:lang w:eastAsia="es-MX"/>
              </w:rPr>
            </w:pPr>
          </w:p>
        </w:tc>
      </w:tr>
      <w:tr w:rsidR="000E55B0" w:rsidRPr="0031603F" w14:paraId="46312B35" w14:textId="77777777" w:rsidTr="000462FB">
        <w:trPr>
          <w:trHeight w:val="130"/>
        </w:trPr>
        <w:tc>
          <w:tcPr>
            <w:tcW w:w="8859" w:type="dxa"/>
            <w:gridSpan w:val="2"/>
            <w:shd w:val="clear" w:color="auto" w:fill="C5E0B3"/>
            <w:vAlign w:val="center"/>
          </w:tcPr>
          <w:p w14:paraId="2CD36E09" w14:textId="77777777" w:rsidR="000E55B0" w:rsidRPr="0031603F" w:rsidRDefault="000E55B0" w:rsidP="00297840">
            <w:pPr>
              <w:spacing w:after="0" w:line="240" w:lineRule="auto"/>
              <w:rPr>
                <w:rFonts w:asciiTheme="minorHAnsi" w:eastAsia="Times New Roman" w:hAnsiTheme="minorHAnsi" w:cstheme="minorHAnsi"/>
                <w:color w:val="000000"/>
                <w:lang w:eastAsia="es-MX"/>
              </w:rPr>
            </w:pPr>
            <w:r w:rsidRPr="0031603F">
              <w:rPr>
                <w:rFonts w:asciiTheme="minorHAnsi" w:eastAsia="Times New Roman" w:hAnsiTheme="minorHAnsi" w:cstheme="minorHAnsi"/>
                <w:b/>
                <w:color w:val="000000"/>
                <w:lang w:eastAsia="es-MX"/>
              </w:rPr>
              <w:t xml:space="preserve">Nota: </w:t>
            </w:r>
            <w:r w:rsidRPr="0031603F">
              <w:rPr>
                <w:rFonts w:asciiTheme="minorHAnsi" w:eastAsia="Times New Roman" w:hAnsiTheme="minorHAnsi" w:cstheme="minorHAnsi"/>
                <w:color w:val="000000"/>
                <w:lang w:eastAsia="es-MX"/>
              </w:rPr>
              <w:t>añadir cuantas filas considere necesarias.</w:t>
            </w:r>
          </w:p>
        </w:tc>
      </w:tr>
    </w:tbl>
    <w:p w14:paraId="67536538" w14:textId="77777777" w:rsidR="0086154B" w:rsidRDefault="0086154B" w:rsidP="00C41536">
      <w:pPr>
        <w:spacing w:after="0"/>
        <w:jc w:val="both"/>
        <w:rPr>
          <w:rFonts w:ascii="ITC Avant Garde" w:hAnsi="ITC Avant Garde"/>
          <w:sz w:val="12"/>
        </w:rPr>
      </w:pPr>
    </w:p>
    <w:p w14:paraId="055F14C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118B0E4" w14:textId="77777777" w:rsidTr="000462FB">
        <w:trPr>
          <w:jc w:val="center"/>
        </w:trPr>
        <w:tc>
          <w:tcPr>
            <w:tcW w:w="8789" w:type="dxa"/>
            <w:shd w:val="clear" w:color="auto" w:fill="D9D9D9"/>
          </w:tcPr>
          <w:p w14:paraId="2BADAED3"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19BCE1A" w14:textId="77777777" w:rsidTr="000462FB">
        <w:trPr>
          <w:jc w:val="center"/>
        </w:trPr>
        <w:tc>
          <w:tcPr>
            <w:tcW w:w="8789" w:type="dxa"/>
            <w:shd w:val="clear" w:color="auto" w:fill="auto"/>
          </w:tcPr>
          <w:p w14:paraId="6B46E54E" w14:textId="77777777" w:rsidR="00975C25" w:rsidRPr="00670385" w:rsidRDefault="00975C25" w:rsidP="00670385">
            <w:pPr>
              <w:spacing w:after="0"/>
              <w:jc w:val="both"/>
              <w:rPr>
                <w:rFonts w:ascii="ITC Avant Garde" w:hAnsi="ITC Avant Garde"/>
                <w:sz w:val="12"/>
              </w:rPr>
            </w:pPr>
          </w:p>
          <w:p w14:paraId="19D7D04F" w14:textId="77777777" w:rsidR="00975C25" w:rsidRPr="00670385" w:rsidRDefault="00975C25" w:rsidP="00670385">
            <w:pPr>
              <w:spacing w:after="0"/>
              <w:jc w:val="both"/>
              <w:rPr>
                <w:rFonts w:ascii="ITC Avant Garde" w:hAnsi="ITC Avant Garde"/>
                <w:sz w:val="12"/>
              </w:rPr>
            </w:pPr>
          </w:p>
          <w:p w14:paraId="075F1AA1" w14:textId="77777777" w:rsidR="00975C25" w:rsidRPr="00670385" w:rsidRDefault="00975C25" w:rsidP="00670385">
            <w:pPr>
              <w:spacing w:after="0"/>
              <w:jc w:val="both"/>
              <w:rPr>
                <w:rFonts w:ascii="ITC Avant Garde" w:hAnsi="ITC Avant Garde"/>
                <w:sz w:val="12"/>
              </w:rPr>
            </w:pPr>
          </w:p>
          <w:p w14:paraId="668D413E" w14:textId="77777777" w:rsidR="00975C25" w:rsidRPr="00670385" w:rsidRDefault="00975C25" w:rsidP="00670385">
            <w:pPr>
              <w:spacing w:after="0"/>
              <w:jc w:val="both"/>
              <w:rPr>
                <w:rFonts w:ascii="ITC Avant Garde" w:hAnsi="ITC Avant Garde"/>
                <w:sz w:val="12"/>
              </w:rPr>
            </w:pPr>
          </w:p>
          <w:p w14:paraId="540CCE8D" w14:textId="77777777" w:rsidR="00975C25" w:rsidRPr="00670385" w:rsidRDefault="00975C25" w:rsidP="00670385">
            <w:pPr>
              <w:spacing w:after="0"/>
              <w:jc w:val="both"/>
              <w:rPr>
                <w:rFonts w:ascii="ITC Avant Garde" w:hAnsi="ITC Avant Garde"/>
                <w:sz w:val="12"/>
              </w:rPr>
            </w:pPr>
          </w:p>
          <w:p w14:paraId="0A5CC7B3" w14:textId="77777777" w:rsidR="00975C25" w:rsidRPr="00670385" w:rsidRDefault="00975C25" w:rsidP="00670385">
            <w:pPr>
              <w:spacing w:after="0"/>
              <w:jc w:val="both"/>
              <w:rPr>
                <w:rFonts w:ascii="ITC Avant Garde" w:hAnsi="ITC Avant Garde"/>
                <w:sz w:val="12"/>
              </w:rPr>
            </w:pPr>
          </w:p>
          <w:p w14:paraId="2465D4A7" w14:textId="77777777" w:rsidR="00975C25" w:rsidRPr="00670385" w:rsidRDefault="00975C25" w:rsidP="00670385">
            <w:pPr>
              <w:spacing w:after="0"/>
              <w:jc w:val="both"/>
              <w:rPr>
                <w:rFonts w:ascii="ITC Avant Garde" w:hAnsi="ITC Avant Garde"/>
                <w:sz w:val="12"/>
              </w:rPr>
            </w:pPr>
          </w:p>
        </w:tc>
      </w:tr>
      <w:tr w:rsidR="00975C25" w:rsidRPr="00670385" w14:paraId="5BAF43B6" w14:textId="77777777" w:rsidTr="000462FB">
        <w:trPr>
          <w:jc w:val="center"/>
        </w:trPr>
        <w:tc>
          <w:tcPr>
            <w:tcW w:w="8789" w:type="dxa"/>
            <w:shd w:val="clear" w:color="auto" w:fill="C5E0B3"/>
          </w:tcPr>
          <w:p w14:paraId="013EA7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6DC57562"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887CF" w14:textId="77777777" w:rsidR="001E4E74" w:rsidRDefault="001E4E74" w:rsidP="0038199D">
      <w:pPr>
        <w:spacing w:after="0" w:line="240" w:lineRule="auto"/>
      </w:pPr>
      <w:r>
        <w:separator/>
      </w:r>
    </w:p>
  </w:endnote>
  <w:endnote w:type="continuationSeparator" w:id="0">
    <w:p w14:paraId="219A9085" w14:textId="77777777" w:rsidR="001E4E74" w:rsidRDefault="001E4E74"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Century Gothic"/>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4A39" w14:textId="63288A78"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0A11D8" w:rsidRPr="000A11D8">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0A11D8" w:rsidRPr="000A11D8">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793F649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0CA6B" w14:textId="77777777" w:rsidR="001E4E74" w:rsidRDefault="001E4E74" w:rsidP="0038199D">
      <w:pPr>
        <w:spacing w:after="0" w:line="240" w:lineRule="auto"/>
      </w:pPr>
      <w:r>
        <w:separator/>
      </w:r>
    </w:p>
  </w:footnote>
  <w:footnote w:type="continuationSeparator" w:id="0">
    <w:p w14:paraId="642E3ACB" w14:textId="77777777" w:rsidR="001E4E74" w:rsidRDefault="001E4E74"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5692" w14:textId="77777777" w:rsidR="0038199D" w:rsidRPr="007A6974" w:rsidRDefault="0095730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3777D85" wp14:editId="1A16FFDB">
          <wp:simplePos x="0" y="0"/>
          <wp:positionH relativeFrom="margin">
            <wp:align>left</wp:align>
          </wp:positionH>
          <wp:positionV relativeFrom="paragraph">
            <wp:posOffset>10795</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6181A39" w14:textId="2DAEC282" w:rsidR="004D7960" w:rsidRPr="00F36A5D" w:rsidRDefault="000A11D8" w:rsidP="004D5EAB">
    <w:pPr>
      <w:pStyle w:val="Encabezado"/>
      <w:ind w:left="3119"/>
      <w:jc w:val="both"/>
      <w:rPr>
        <w:rFonts w:ascii="ITC Avant Garde" w:hAnsi="ITC Avant Garde"/>
        <w:b/>
        <w:sz w:val="20"/>
      </w:rPr>
    </w:pPr>
    <w:r>
      <w:rPr>
        <w:rFonts w:ascii="ITC Avant Garde" w:hAnsi="ITC Avant Garde"/>
        <w:sz w:val="18"/>
        <w:szCs w:val="18"/>
      </w:rPr>
      <w:t>C</w:t>
    </w:r>
    <w:r w:rsidRPr="00B52611">
      <w:rPr>
        <w:rFonts w:ascii="ITC Avant Garde" w:hAnsi="ITC Avant Garde"/>
        <w:sz w:val="18"/>
        <w:szCs w:val="18"/>
      </w:rPr>
      <w:t xml:space="preserve">onsulta pública </w:t>
    </w:r>
    <w:r>
      <w:rPr>
        <w:rFonts w:ascii="ITC Avant Garde" w:hAnsi="ITC Avant Garde"/>
        <w:sz w:val="18"/>
        <w:szCs w:val="18"/>
      </w:rPr>
      <w:t xml:space="preserve">sobre el </w:t>
    </w:r>
    <w:r>
      <w:rPr>
        <w:rFonts w:ascii="ITC Avant Garde" w:hAnsi="ITC Avant Garde"/>
        <w:b/>
        <w:sz w:val="18"/>
        <w:szCs w:val="18"/>
      </w:rPr>
      <w:t>“</w:t>
    </w:r>
    <w:r w:rsidRPr="002D6619">
      <w:rPr>
        <w:rFonts w:ascii="ITC Avant Garde" w:hAnsi="ITC Avant Garde"/>
        <w:b/>
        <w:sz w:val="18"/>
        <w:szCs w:val="18"/>
      </w:rPr>
      <w:t xml:space="preserve">Anteproyecto de Lineamientos para la </w:t>
    </w:r>
    <w:r w:rsidRPr="000E5380">
      <w:rPr>
        <w:rFonts w:ascii="ITC Avant Garde" w:hAnsi="ITC Avant Garde"/>
        <w:b/>
        <w:sz w:val="18"/>
        <w:szCs w:val="18"/>
      </w:rPr>
      <w:t xml:space="preserve">sustanciación </w:t>
    </w:r>
    <w:r w:rsidRPr="002D6619">
      <w:rPr>
        <w:rFonts w:ascii="ITC Avant Garde" w:hAnsi="ITC Avant Garde"/>
        <w:b/>
        <w:sz w:val="18"/>
        <w:szCs w:val="18"/>
      </w:rPr>
      <w:t>de los trámites y servicios que se realicen ante el Instituto Federal de Telecomunicaciones,</w:t>
    </w:r>
    <w:r>
      <w:rPr>
        <w:rFonts w:ascii="ITC Avant Garde" w:hAnsi="ITC Avant Garde"/>
        <w:b/>
        <w:sz w:val="18"/>
        <w:szCs w:val="18"/>
      </w:rPr>
      <w:t xml:space="preserve"> a través de la V</w:t>
    </w:r>
    <w:r w:rsidRPr="002D6619">
      <w:rPr>
        <w:rFonts w:ascii="ITC Avant Garde" w:hAnsi="ITC Avant Garde"/>
        <w:b/>
        <w:sz w:val="18"/>
        <w:szCs w:val="18"/>
      </w:rPr>
      <w:t xml:space="preserve">entanilla </w:t>
    </w:r>
    <w:r>
      <w:rPr>
        <w:rFonts w:ascii="ITC Avant Garde" w:hAnsi="ITC Avant Garde"/>
        <w:b/>
        <w:sz w:val="18"/>
        <w:szCs w:val="18"/>
      </w:rPr>
      <w:t>E</w:t>
    </w:r>
    <w:r w:rsidRPr="002D6619">
      <w:rPr>
        <w:rFonts w:ascii="ITC Avant Garde" w:hAnsi="ITC Avant Garde"/>
        <w:b/>
        <w:sz w:val="18"/>
        <w:szCs w:val="18"/>
      </w:rPr>
      <w:t>lectrónica</w:t>
    </w:r>
    <w:r>
      <w:rPr>
        <w:rFonts w:ascii="ITC Avant Garde" w:hAnsi="ITC Avant Garde"/>
        <w:b/>
        <w:sz w:val="18"/>
        <w:szCs w:val="18"/>
      </w:rPr>
      <w:t>”</w:t>
    </w:r>
  </w:p>
  <w:p w14:paraId="35B2C7DC" w14:textId="77777777" w:rsidR="0038199D" w:rsidRPr="007A6974" w:rsidRDefault="0095730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7F62324C" wp14:editId="7530813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8A2A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D2129F"/>
    <w:multiLevelType w:val="hybridMultilevel"/>
    <w:tmpl w:val="F1EA5A10"/>
    <w:lvl w:ilvl="0" w:tplc="F38CE4B8">
      <w:start w:val="12"/>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6F1859"/>
    <w:multiLevelType w:val="hybridMultilevel"/>
    <w:tmpl w:val="CBCAABCC"/>
    <w:lvl w:ilvl="0" w:tplc="71868AF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1"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5"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8"/>
  </w:num>
  <w:num w:numId="2">
    <w:abstractNumId w:val="0"/>
  </w:num>
  <w:num w:numId="3">
    <w:abstractNumId w:val="2"/>
  </w:num>
  <w:num w:numId="4">
    <w:abstractNumId w:val="6"/>
  </w:num>
  <w:num w:numId="5">
    <w:abstractNumId w:val="13"/>
  </w:num>
  <w:num w:numId="6">
    <w:abstractNumId w:val="5"/>
  </w:num>
  <w:num w:numId="7">
    <w:abstractNumId w:val="11"/>
  </w:num>
  <w:num w:numId="8">
    <w:abstractNumId w:val="12"/>
  </w:num>
  <w:num w:numId="9">
    <w:abstractNumId w:val="4"/>
  </w:num>
  <w:num w:numId="10">
    <w:abstractNumId w:val="1"/>
  </w:num>
  <w:num w:numId="11">
    <w:abstractNumId w:val="15"/>
  </w:num>
  <w:num w:numId="12">
    <w:abstractNumId w:val="7"/>
  </w:num>
  <w:num w:numId="13">
    <w:abstractNumId w:val="16"/>
  </w:num>
  <w:num w:numId="14">
    <w:abstractNumId w:val="10"/>
  </w:num>
  <w:num w:numId="15">
    <w:abstractNumId w:val="14"/>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qt6DRUV97Rw9f+UAvGR/tr3QSyv9KZeKpF6cJWHLNJc5qO9DHVH8YD/eiJl8+7QbMf0YpQJmApmLgEiiX/8H/A==" w:salt="BnOdS63OiSKFY013QrMEog=="/>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020E"/>
    <w:rsid w:val="000049D9"/>
    <w:rsid w:val="000055EA"/>
    <w:rsid w:val="00005DB7"/>
    <w:rsid w:val="00011304"/>
    <w:rsid w:val="000253EE"/>
    <w:rsid w:val="00025623"/>
    <w:rsid w:val="00025E89"/>
    <w:rsid w:val="00026723"/>
    <w:rsid w:val="00030E6E"/>
    <w:rsid w:val="000356DE"/>
    <w:rsid w:val="000462FB"/>
    <w:rsid w:val="00092755"/>
    <w:rsid w:val="000931D8"/>
    <w:rsid w:val="00097B00"/>
    <w:rsid w:val="000A0CEF"/>
    <w:rsid w:val="000A0F69"/>
    <w:rsid w:val="000A11D8"/>
    <w:rsid w:val="000A2C1D"/>
    <w:rsid w:val="000A5CFB"/>
    <w:rsid w:val="000A6255"/>
    <w:rsid w:val="000D2838"/>
    <w:rsid w:val="000E41EA"/>
    <w:rsid w:val="000E41F3"/>
    <w:rsid w:val="000E54B6"/>
    <w:rsid w:val="000E55B0"/>
    <w:rsid w:val="00100C9C"/>
    <w:rsid w:val="001124B6"/>
    <w:rsid w:val="00120D05"/>
    <w:rsid w:val="001331D8"/>
    <w:rsid w:val="00160352"/>
    <w:rsid w:val="00170916"/>
    <w:rsid w:val="00174196"/>
    <w:rsid w:val="001B420C"/>
    <w:rsid w:val="001E0388"/>
    <w:rsid w:val="001E4E74"/>
    <w:rsid w:val="00220359"/>
    <w:rsid w:val="00232B72"/>
    <w:rsid w:val="00266304"/>
    <w:rsid w:val="00266BE0"/>
    <w:rsid w:val="002771ED"/>
    <w:rsid w:val="00296362"/>
    <w:rsid w:val="00297840"/>
    <w:rsid w:val="002B4BB2"/>
    <w:rsid w:val="002D34FE"/>
    <w:rsid w:val="00307092"/>
    <w:rsid w:val="003075AA"/>
    <w:rsid w:val="0031603F"/>
    <w:rsid w:val="00323F3A"/>
    <w:rsid w:val="003613DA"/>
    <w:rsid w:val="0038199D"/>
    <w:rsid w:val="003A1E01"/>
    <w:rsid w:val="003B524B"/>
    <w:rsid w:val="003D1CAC"/>
    <w:rsid w:val="00406E7D"/>
    <w:rsid w:val="0041087B"/>
    <w:rsid w:val="00410F8E"/>
    <w:rsid w:val="004141B1"/>
    <w:rsid w:val="004317BC"/>
    <w:rsid w:val="00436D30"/>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2296A"/>
    <w:rsid w:val="005356F8"/>
    <w:rsid w:val="00546F00"/>
    <w:rsid w:val="00555B10"/>
    <w:rsid w:val="0058551F"/>
    <w:rsid w:val="005B3E9A"/>
    <w:rsid w:val="005C0435"/>
    <w:rsid w:val="005C06DB"/>
    <w:rsid w:val="005D1DEE"/>
    <w:rsid w:val="005F0265"/>
    <w:rsid w:val="00603B41"/>
    <w:rsid w:val="00605BD9"/>
    <w:rsid w:val="00623761"/>
    <w:rsid w:val="006601AF"/>
    <w:rsid w:val="00670385"/>
    <w:rsid w:val="006810FD"/>
    <w:rsid w:val="006A6D93"/>
    <w:rsid w:val="006B0B12"/>
    <w:rsid w:val="006F3B50"/>
    <w:rsid w:val="006F5989"/>
    <w:rsid w:val="00703850"/>
    <w:rsid w:val="00735DEE"/>
    <w:rsid w:val="00762996"/>
    <w:rsid w:val="007644BA"/>
    <w:rsid w:val="0077357C"/>
    <w:rsid w:val="007843CF"/>
    <w:rsid w:val="007978CB"/>
    <w:rsid w:val="007A218E"/>
    <w:rsid w:val="007A6974"/>
    <w:rsid w:val="007D4A23"/>
    <w:rsid w:val="007E04FB"/>
    <w:rsid w:val="00800852"/>
    <w:rsid w:val="00804BB7"/>
    <w:rsid w:val="008200BE"/>
    <w:rsid w:val="0086154B"/>
    <w:rsid w:val="008658B5"/>
    <w:rsid w:val="008711D6"/>
    <w:rsid w:val="00873CA4"/>
    <w:rsid w:val="0087596E"/>
    <w:rsid w:val="008843FB"/>
    <w:rsid w:val="008A5565"/>
    <w:rsid w:val="008C679D"/>
    <w:rsid w:val="008D106B"/>
    <w:rsid w:val="008E4783"/>
    <w:rsid w:val="008F2B1A"/>
    <w:rsid w:val="00903C94"/>
    <w:rsid w:val="00915CEA"/>
    <w:rsid w:val="009160D3"/>
    <w:rsid w:val="00942344"/>
    <w:rsid w:val="009426CC"/>
    <w:rsid w:val="00946632"/>
    <w:rsid w:val="0095730D"/>
    <w:rsid w:val="00975C25"/>
    <w:rsid w:val="00987C33"/>
    <w:rsid w:val="009A0F0D"/>
    <w:rsid w:val="009C6C17"/>
    <w:rsid w:val="009D3DDA"/>
    <w:rsid w:val="009E197F"/>
    <w:rsid w:val="00A03E54"/>
    <w:rsid w:val="00A11685"/>
    <w:rsid w:val="00A1372C"/>
    <w:rsid w:val="00A25465"/>
    <w:rsid w:val="00A40D1D"/>
    <w:rsid w:val="00A453FB"/>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32077"/>
    <w:rsid w:val="00B533DC"/>
    <w:rsid w:val="00B72399"/>
    <w:rsid w:val="00B97BF9"/>
    <w:rsid w:val="00BB25F2"/>
    <w:rsid w:val="00BC0052"/>
    <w:rsid w:val="00BD5432"/>
    <w:rsid w:val="00C0569F"/>
    <w:rsid w:val="00C12EE6"/>
    <w:rsid w:val="00C35A85"/>
    <w:rsid w:val="00C41536"/>
    <w:rsid w:val="00C42DD1"/>
    <w:rsid w:val="00C474AE"/>
    <w:rsid w:val="00C53026"/>
    <w:rsid w:val="00C56B77"/>
    <w:rsid w:val="00C60ADB"/>
    <w:rsid w:val="00C63CEB"/>
    <w:rsid w:val="00C83664"/>
    <w:rsid w:val="00C83A27"/>
    <w:rsid w:val="00C900FF"/>
    <w:rsid w:val="00CA32F5"/>
    <w:rsid w:val="00CA6EA5"/>
    <w:rsid w:val="00CB7035"/>
    <w:rsid w:val="00CB7780"/>
    <w:rsid w:val="00CC382A"/>
    <w:rsid w:val="00CC53F7"/>
    <w:rsid w:val="00D13998"/>
    <w:rsid w:val="00D13CA5"/>
    <w:rsid w:val="00D22B9D"/>
    <w:rsid w:val="00D334B0"/>
    <w:rsid w:val="00D36EA3"/>
    <w:rsid w:val="00D46A41"/>
    <w:rsid w:val="00D472B6"/>
    <w:rsid w:val="00D47A99"/>
    <w:rsid w:val="00D50117"/>
    <w:rsid w:val="00D53728"/>
    <w:rsid w:val="00D76089"/>
    <w:rsid w:val="00D94F82"/>
    <w:rsid w:val="00DB357E"/>
    <w:rsid w:val="00DB62FF"/>
    <w:rsid w:val="00DC3C6C"/>
    <w:rsid w:val="00DC5A29"/>
    <w:rsid w:val="00DF154A"/>
    <w:rsid w:val="00DF5B3F"/>
    <w:rsid w:val="00DF5CB5"/>
    <w:rsid w:val="00E64007"/>
    <w:rsid w:val="00E71AFE"/>
    <w:rsid w:val="00E944B2"/>
    <w:rsid w:val="00EA6ACC"/>
    <w:rsid w:val="00EB1D99"/>
    <w:rsid w:val="00EC144A"/>
    <w:rsid w:val="00EC32C5"/>
    <w:rsid w:val="00F1691A"/>
    <w:rsid w:val="00F212B2"/>
    <w:rsid w:val="00F362D7"/>
    <w:rsid w:val="00F36A5D"/>
    <w:rsid w:val="00F45EB4"/>
    <w:rsid w:val="00F64A9A"/>
    <w:rsid w:val="00F70EEE"/>
    <w:rsid w:val="00F812E3"/>
    <w:rsid w:val="00FA17DF"/>
    <w:rsid w:val="00FD1C45"/>
    <w:rsid w:val="00FF5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3D780"/>
  <w15:chartTrackingRefBased/>
  <w15:docId w15:val="{62B96A3C-C55F-43D2-B9BE-495B25BF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34"/>
    <w:qFormat/>
    <w:rsid w:val="00F36A5D"/>
    <w:pPr>
      <w:ind w:left="708"/>
    </w:pPr>
  </w:style>
  <w:style w:type="character" w:styleId="Textodelmarcadordeposicin">
    <w:name w:val="Placeholder Text"/>
    <w:uiPriority w:val="99"/>
    <w:rsid w:val="00F70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is.rosas@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r&#225;mites.electr&#243;nicos@ift.org.mx" TargetMode="External"/><Relationship Id="rId5" Type="http://schemas.openxmlformats.org/officeDocument/2006/relationships/numbering" Target="numbering.xml"/><Relationship Id="rId15" Type="http://schemas.openxmlformats.org/officeDocument/2006/relationships/hyperlink" Target="mailto:alejandra.martinez@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jandra.martin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566CB0846844EDADE8DDE66F464509"/>
        <w:category>
          <w:name w:val="General"/>
          <w:gallery w:val="placeholder"/>
        </w:category>
        <w:types>
          <w:type w:val="bbPlcHdr"/>
        </w:types>
        <w:behaviors>
          <w:behavior w:val="content"/>
        </w:behaviors>
        <w:guid w:val="{B7CA506E-3EC5-4E45-9628-F281E9ED319A}"/>
      </w:docPartPr>
      <w:docPartBody>
        <w:p w:rsidR="005A0DE6" w:rsidRDefault="00D43427" w:rsidP="00D43427">
          <w:pPr>
            <w:pStyle w:val="08566CB0846844EDADE8DDE66F46450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Century Gothic"/>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27"/>
    <w:rsid w:val="000334E3"/>
    <w:rsid w:val="005144B1"/>
    <w:rsid w:val="0054144C"/>
    <w:rsid w:val="0054410A"/>
    <w:rsid w:val="005A0DE6"/>
    <w:rsid w:val="00666796"/>
    <w:rsid w:val="007D077F"/>
    <w:rsid w:val="009419DF"/>
    <w:rsid w:val="00A63D1D"/>
    <w:rsid w:val="00C41520"/>
    <w:rsid w:val="00CD08CD"/>
    <w:rsid w:val="00CF68DB"/>
    <w:rsid w:val="00D43427"/>
    <w:rsid w:val="00E45DDE"/>
    <w:rsid w:val="00F411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3427"/>
  </w:style>
  <w:style w:type="paragraph" w:customStyle="1" w:styleId="08566CB0846844EDADE8DDE66F464509">
    <w:name w:val="08566CB0846844EDADE8DDE66F464509"/>
    <w:rsid w:val="00D43427"/>
  </w:style>
  <w:style w:type="paragraph" w:customStyle="1" w:styleId="8F4729023E0A4FADA8FFC0C103904FA1">
    <w:name w:val="8F4729023E0A4FADA8FFC0C103904FA1"/>
    <w:rsid w:val="00D43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35C643-4355-4E31-A071-27E24BD0C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A05378B0-F321-477A-B6EB-31F70AC3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3125</Words>
  <Characters>17189</Characters>
  <Application>Microsoft Office Word</Application>
  <DocSecurity>8</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20274</CharactersWithSpaces>
  <SharedDoc>false</SharedDoc>
  <HLinks>
    <vt:vector size="36"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3997703</vt:i4>
      </vt:variant>
      <vt:variant>
        <vt:i4>12</vt:i4>
      </vt:variant>
      <vt:variant>
        <vt:i4>0</vt:i4>
      </vt:variant>
      <vt:variant>
        <vt:i4>5</vt:i4>
      </vt:variant>
      <vt:variant>
        <vt:lpwstr>mailto:alejandra.martinez@ift.org.mx</vt:lpwstr>
      </vt:variant>
      <vt:variant>
        <vt:lpwstr/>
      </vt:variant>
      <vt:variant>
        <vt:i4>3997703</vt:i4>
      </vt:variant>
      <vt:variant>
        <vt:i4>9</vt:i4>
      </vt:variant>
      <vt:variant>
        <vt:i4>0</vt:i4>
      </vt:variant>
      <vt:variant>
        <vt:i4>5</vt:i4>
      </vt:variant>
      <vt:variant>
        <vt:lpwstr>mailto:alejandra.martinez@ift.org.mx</vt:lpwstr>
      </vt:variant>
      <vt:variant>
        <vt:lpwstr/>
      </vt:variant>
      <vt:variant>
        <vt:i4>7012422</vt:i4>
      </vt:variant>
      <vt:variant>
        <vt:i4>6</vt:i4>
      </vt:variant>
      <vt:variant>
        <vt:i4>0</vt:i4>
      </vt:variant>
      <vt:variant>
        <vt:i4>5</vt:i4>
      </vt:variant>
      <vt:variant>
        <vt:lpwstr>mailto:luis.rosas@ift.org.mx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16056471</vt:i4>
      </vt:variant>
      <vt:variant>
        <vt:i4>0</vt:i4>
      </vt:variant>
      <vt:variant>
        <vt:i4>0</vt:i4>
      </vt:variant>
      <vt:variant>
        <vt:i4>5</vt:i4>
      </vt:variant>
      <vt:variant>
        <vt:lpwstr>mailto:consulta.trámites.electrónicos@ift.org.mx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Rafael Hernandez Valerdi</cp:lastModifiedBy>
  <cp:revision>9</cp:revision>
  <dcterms:created xsi:type="dcterms:W3CDTF">2019-05-08T19:04:00Z</dcterms:created>
  <dcterms:modified xsi:type="dcterms:W3CDTF">2019-05-17T17:14:00Z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