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DAE20" w14:textId="77777777" w:rsidR="0038199D" w:rsidRPr="00F36A5D" w:rsidRDefault="0038199D" w:rsidP="007A6974">
      <w:pPr>
        <w:spacing w:after="0"/>
        <w:jc w:val="center"/>
        <w:rPr>
          <w:rFonts w:ascii="ITC Avant Garde" w:hAnsi="ITC Avant Garde"/>
          <w:b/>
        </w:rPr>
      </w:pPr>
      <w:bookmarkStart w:id="0" w:name="_GoBack"/>
      <w:bookmarkEnd w:id="0"/>
      <w:r w:rsidRPr="00F36A5D">
        <w:rPr>
          <w:rFonts w:ascii="ITC Avant Garde" w:hAnsi="ITC Avant Garde"/>
          <w:b/>
        </w:rPr>
        <w:t>FORMATO PARA PARTICIPAR EN LA CONSULTA PÚBLICA</w:t>
      </w:r>
    </w:p>
    <w:p w14:paraId="44ADC150" w14:textId="77777777" w:rsidR="006601AF" w:rsidRPr="00F36A5D" w:rsidRDefault="006601AF" w:rsidP="00C900FF">
      <w:pPr>
        <w:spacing w:after="0"/>
        <w:rPr>
          <w:rFonts w:ascii="ITC Avant Garde" w:hAnsi="ITC Avant Garde"/>
          <w:b/>
        </w:rPr>
      </w:pPr>
    </w:p>
    <w:p w14:paraId="58DE0309"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8275C77" w14:textId="77777777" w:rsidR="004970C4" w:rsidRPr="00F36A5D" w:rsidRDefault="004970C4" w:rsidP="007A6974">
      <w:pPr>
        <w:spacing w:after="0"/>
        <w:rPr>
          <w:rFonts w:ascii="ITC Avant Garde" w:hAnsi="ITC Avant Garde"/>
          <w:b/>
          <w:sz w:val="16"/>
        </w:rPr>
      </w:pPr>
    </w:p>
    <w:p w14:paraId="79132628" w14:textId="77777777" w:rsidR="0038199D" w:rsidRPr="00F36A5D" w:rsidRDefault="00AA341F" w:rsidP="00D42FCD">
      <w:pPr>
        <w:numPr>
          <w:ilvl w:val="0"/>
          <w:numId w:val="1"/>
        </w:numPr>
        <w:spacing w:after="0"/>
        <w:ind w:left="426" w:right="49" w:hanging="426"/>
        <w:jc w:val="both"/>
        <w:rPr>
          <w:rFonts w:ascii="ITC Avant Garde" w:hAnsi="ITC Avant Garde"/>
          <w:sz w:val="14"/>
          <w:szCs w:val="14"/>
        </w:rPr>
      </w:pPr>
      <w:r>
        <w:rPr>
          <w:rFonts w:ascii="ITC Avant Garde" w:hAnsi="ITC Avant Garde"/>
          <w:sz w:val="14"/>
          <w:szCs w:val="14"/>
        </w:rPr>
        <w:t>Remit</w:t>
      </w:r>
      <w:r w:rsidR="00376D80">
        <w:rPr>
          <w:rFonts w:ascii="ITC Avant Garde" w:hAnsi="ITC Avant Garde"/>
          <w:sz w:val="14"/>
          <w:szCs w:val="14"/>
        </w:rPr>
        <w:t>a</w:t>
      </w:r>
      <w:r>
        <w:rPr>
          <w:rFonts w:ascii="ITC Avant Garde" w:hAnsi="ITC Avant Garde"/>
          <w:sz w:val="14"/>
          <w:szCs w:val="14"/>
        </w:rPr>
        <w:t xml:space="preserve"> l</w:t>
      </w:r>
      <w:r w:rsidR="0038199D" w:rsidRPr="00F36A5D">
        <w:rPr>
          <w:rFonts w:ascii="ITC Avant Garde" w:hAnsi="ITC Avant Garde"/>
          <w:sz w:val="14"/>
          <w:szCs w:val="14"/>
        </w:rPr>
        <w:t>as opin</w:t>
      </w:r>
      <w:r w:rsidR="00D42FCD">
        <w:rPr>
          <w:rFonts w:ascii="ITC Avant Garde" w:hAnsi="ITC Avant Garde"/>
          <w:sz w:val="14"/>
          <w:szCs w:val="14"/>
        </w:rPr>
        <w:t>iones, comentarios y propuestas</w:t>
      </w:r>
      <w:r w:rsidR="0038199D" w:rsidRPr="00F36A5D">
        <w:rPr>
          <w:rFonts w:ascii="ITC Avant Garde" w:hAnsi="ITC Avant Garde"/>
          <w:sz w:val="14"/>
          <w:szCs w:val="14"/>
        </w:rPr>
        <w:t xml:space="preserve"> a la siguiente dirección de correo electrónico: </w:t>
      </w:r>
      <w:hyperlink r:id="rId11" w:history="1">
        <w:r w:rsidR="00181E5E" w:rsidRPr="003965C0">
          <w:rPr>
            <w:rStyle w:val="Hipervnculo"/>
            <w:rFonts w:ascii="Century Gothic" w:hAnsi="Century Gothic"/>
            <w:sz w:val="14"/>
            <w:szCs w:val="14"/>
          </w:rPr>
          <w:t>licitacionift9@ift.org.mx</w:t>
        </w:r>
      </w:hyperlink>
      <w:r w:rsidR="0038199D"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0038199D"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0038199D" w:rsidRPr="00F36A5D">
        <w:rPr>
          <w:rFonts w:ascii="ITC Avant Garde" w:hAnsi="ITC Avant Garde"/>
          <w:sz w:val="14"/>
          <w:szCs w:val="14"/>
        </w:rPr>
        <w:t xml:space="preserve">de archivos es de </w:t>
      </w:r>
      <w:r w:rsidR="00B533DC" w:rsidRPr="00F36A5D">
        <w:rPr>
          <w:rFonts w:ascii="ITC Avant Garde" w:hAnsi="ITC Avant Garde"/>
          <w:sz w:val="14"/>
          <w:szCs w:val="14"/>
        </w:rPr>
        <w:t xml:space="preserve">25 </w:t>
      </w:r>
      <w:r w:rsidR="00444E21" w:rsidRPr="00F36A5D">
        <w:rPr>
          <w:rFonts w:ascii="ITC Avant Garde" w:hAnsi="ITC Avant Garde"/>
          <w:sz w:val="14"/>
          <w:szCs w:val="14"/>
        </w:rPr>
        <w:t>M</w:t>
      </w:r>
      <w:r w:rsidR="00444E21">
        <w:rPr>
          <w:rFonts w:ascii="ITC Avant Garde" w:hAnsi="ITC Avant Garde"/>
          <w:sz w:val="14"/>
          <w:szCs w:val="14"/>
        </w:rPr>
        <w:t>B</w:t>
      </w:r>
      <w:r w:rsidR="0038199D" w:rsidRPr="00F36A5D">
        <w:rPr>
          <w:rFonts w:ascii="ITC Avant Garde" w:hAnsi="ITC Avant Garde"/>
          <w:sz w:val="14"/>
          <w:szCs w:val="14"/>
        </w:rPr>
        <w:t>.</w:t>
      </w:r>
    </w:p>
    <w:p w14:paraId="6EABC011" w14:textId="77777777" w:rsidR="0038199D" w:rsidRPr="00F36A5D" w:rsidRDefault="0038199D" w:rsidP="00D42FCD">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w:t>
      </w:r>
      <w:r w:rsidR="00966ADF">
        <w:rPr>
          <w:rFonts w:ascii="ITC Avant Garde" w:hAnsi="ITC Avant Garde"/>
          <w:sz w:val="14"/>
          <w:szCs w:val="14"/>
        </w:rPr>
        <w:t>en el mismo</w:t>
      </w:r>
      <w:r w:rsidRPr="00F36A5D">
        <w:rPr>
          <w:rFonts w:ascii="ITC Avant Garde" w:hAnsi="ITC Avant Garde"/>
          <w:sz w:val="14"/>
          <w:szCs w:val="14"/>
        </w:rPr>
        <w:t xml:space="preserve"> correo electrónico- copia electrónica legible</w:t>
      </w:r>
      <w:r w:rsidR="00444E21">
        <w:rPr>
          <w:rFonts w:ascii="ITC Avant Garde" w:hAnsi="ITC Avant Garde"/>
          <w:sz w:val="14"/>
          <w:szCs w:val="14"/>
        </w:rPr>
        <w:t xml:space="preserve"> del </w:t>
      </w:r>
      <w:r w:rsidR="00680E90">
        <w:rPr>
          <w:rFonts w:ascii="ITC Avant Garde" w:hAnsi="ITC Avant Garde"/>
          <w:sz w:val="14"/>
          <w:szCs w:val="14"/>
        </w:rPr>
        <w:t>documento respectivo</w:t>
      </w:r>
      <w:r w:rsidRPr="00F36A5D">
        <w:rPr>
          <w:rFonts w:ascii="ITC Avant Garde" w:hAnsi="ITC Avant Garde"/>
          <w:sz w:val="14"/>
          <w:szCs w:val="14"/>
        </w:rPr>
        <w:t>.</w:t>
      </w:r>
    </w:p>
    <w:p w14:paraId="4DF44FF9" w14:textId="77777777" w:rsidR="008200BE" w:rsidRPr="00F36A5D" w:rsidRDefault="008200BE" w:rsidP="00D42FCD">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w:t>
      </w:r>
      <w:r w:rsidR="003F1B42" w:rsidRPr="00F36A5D">
        <w:rPr>
          <w:rFonts w:ascii="ITC Avant Garde" w:hAnsi="ITC Avant Garde"/>
          <w:sz w:val="14"/>
          <w:szCs w:val="14"/>
        </w:rPr>
        <w:t>de datos</w:t>
      </w:r>
      <w:r w:rsidRPr="00F36A5D">
        <w:rPr>
          <w:rFonts w:ascii="ITC Avant Garde" w:hAnsi="ITC Avant Garde"/>
          <w:sz w:val="14"/>
          <w:szCs w:val="14"/>
        </w:rPr>
        <w:t xml:space="preserve">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0ACF0C7" w14:textId="77777777" w:rsidR="0038199D" w:rsidRPr="00F36A5D" w:rsidRDefault="00800852" w:rsidP="002B1516">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w:t>
      </w:r>
      <w:r w:rsidR="00026F44">
        <w:rPr>
          <w:rFonts w:ascii="ITC Avant Garde" w:hAnsi="ITC Avant Garde"/>
          <w:sz w:val="14"/>
          <w:szCs w:val="14"/>
        </w:rPr>
        <w:t>s</w:t>
      </w:r>
      <w:r w:rsidRPr="00F36A5D">
        <w:rPr>
          <w:rFonts w:ascii="ITC Avant Garde" w:hAnsi="ITC Avant Garde"/>
          <w:sz w:val="14"/>
          <w:szCs w:val="14"/>
        </w:rPr>
        <w:t xml:space="preserve"> Secci</w:t>
      </w:r>
      <w:r w:rsidR="00026F44">
        <w:rPr>
          <w:rFonts w:ascii="ITC Avant Garde" w:hAnsi="ITC Avant Garde"/>
          <w:sz w:val="14"/>
          <w:szCs w:val="14"/>
        </w:rPr>
        <w:t>ones</w:t>
      </w:r>
      <w:r w:rsidRPr="00F36A5D">
        <w:rPr>
          <w:rFonts w:ascii="ITC Avant Garde" w:hAnsi="ITC Avant Garde"/>
          <w:sz w:val="14"/>
          <w:szCs w:val="14"/>
        </w:rPr>
        <w:t xml:space="preserve"> II</w:t>
      </w:r>
      <w:r w:rsidR="00026F44">
        <w:rPr>
          <w:rFonts w:ascii="ITC Avant Garde" w:hAnsi="ITC Avant Garde"/>
          <w:sz w:val="14"/>
          <w:szCs w:val="14"/>
        </w:rPr>
        <w:t xml:space="preserve"> y III</w:t>
      </w:r>
      <w:r w:rsidRPr="00F36A5D">
        <w:rPr>
          <w:rFonts w:ascii="ITC Avant Garde" w:hAnsi="ITC Avant Garde"/>
          <w:sz w:val="14"/>
          <w:szCs w:val="14"/>
        </w:rPr>
        <w:t xml:space="preserve"> del presente formato</w:t>
      </w:r>
      <w:r w:rsidR="0038199D" w:rsidRPr="00F36A5D">
        <w:rPr>
          <w:rFonts w:ascii="ITC Avant Garde" w:hAnsi="ITC Avant Garde"/>
          <w:sz w:val="14"/>
          <w:szCs w:val="14"/>
        </w:rPr>
        <w:t>.</w:t>
      </w:r>
    </w:p>
    <w:p w14:paraId="759DDCA7" w14:textId="77777777" w:rsidR="0038199D" w:rsidRPr="00F36A5D" w:rsidRDefault="00800852" w:rsidP="002B1516">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4426F51E" w14:textId="77777777" w:rsidR="0038199D" w:rsidRPr="00F36A5D" w:rsidRDefault="0038199D" w:rsidP="002B1516">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AE3E15" w:rsidRPr="00AE3E15">
        <w:rPr>
          <w:rFonts w:ascii="ITC Avant Garde" w:hAnsi="ITC Avant Garde"/>
          <w:sz w:val="14"/>
          <w:szCs w:val="14"/>
        </w:rPr>
        <w:t>29</w:t>
      </w:r>
      <w:r w:rsidR="008827FC" w:rsidRPr="00201EDB">
        <w:rPr>
          <w:rFonts w:ascii="ITC Avant Garde" w:hAnsi="ITC Avant Garde"/>
          <w:sz w:val="14"/>
        </w:rPr>
        <w:t xml:space="preserve"> </w:t>
      </w:r>
      <w:r w:rsidR="008C679D" w:rsidRPr="00201EDB">
        <w:rPr>
          <w:rFonts w:ascii="ITC Avant Garde" w:hAnsi="ITC Avant Garde"/>
          <w:sz w:val="14"/>
        </w:rPr>
        <w:t xml:space="preserve">de </w:t>
      </w:r>
      <w:r w:rsidR="008827FC" w:rsidRPr="00201EDB">
        <w:rPr>
          <w:rFonts w:ascii="ITC Avant Garde" w:hAnsi="ITC Avant Garde"/>
          <w:sz w:val="14"/>
        </w:rPr>
        <w:t xml:space="preserve">octubre </w:t>
      </w:r>
      <w:r w:rsidR="000D2838" w:rsidRPr="00201EDB">
        <w:rPr>
          <w:rFonts w:ascii="ITC Avant Garde" w:hAnsi="ITC Avant Garde"/>
          <w:sz w:val="14"/>
        </w:rPr>
        <w:t xml:space="preserve">al </w:t>
      </w:r>
      <w:r w:rsidR="008827FC" w:rsidRPr="00AE3E15">
        <w:rPr>
          <w:rFonts w:ascii="ITC Avant Garde" w:hAnsi="ITC Avant Garde"/>
          <w:sz w:val="14"/>
          <w:szCs w:val="14"/>
        </w:rPr>
        <w:t>2</w:t>
      </w:r>
      <w:r w:rsidR="00AE3E15" w:rsidRPr="00AE3E15">
        <w:rPr>
          <w:rFonts w:ascii="ITC Avant Garde" w:hAnsi="ITC Avant Garde"/>
          <w:sz w:val="14"/>
          <w:szCs w:val="14"/>
        </w:rPr>
        <w:t>6</w:t>
      </w:r>
      <w:r w:rsidR="008827FC" w:rsidRPr="00201EDB">
        <w:rPr>
          <w:rFonts w:ascii="ITC Avant Garde" w:hAnsi="ITC Avant Garde"/>
          <w:sz w:val="14"/>
        </w:rPr>
        <w:t xml:space="preserve"> </w:t>
      </w:r>
      <w:r w:rsidR="000D2838" w:rsidRPr="00201EDB">
        <w:rPr>
          <w:rFonts w:ascii="ITC Avant Garde" w:hAnsi="ITC Avant Garde"/>
          <w:sz w:val="14"/>
        </w:rPr>
        <w:t xml:space="preserve">de </w:t>
      </w:r>
      <w:r w:rsidR="008827FC" w:rsidRPr="00201EDB">
        <w:rPr>
          <w:rFonts w:ascii="ITC Avant Garde" w:hAnsi="ITC Avant Garde"/>
          <w:sz w:val="14"/>
        </w:rPr>
        <w:t xml:space="preserve">noviembre </w:t>
      </w:r>
      <w:r w:rsidR="000D2838" w:rsidRPr="00201EDB">
        <w:rPr>
          <w:rFonts w:ascii="ITC Avant Garde" w:hAnsi="ITC Avant Garde"/>
          <w:sz w:val="14"/>
        </w:rPr>
        <w:t>de 20</w:t>
      </w:r>
      <w:r w:rsidR="00B533DC" w:rsidRPr="00201EDB">
        <w:rPr>
          <w:rFonts w:ascii="ITC Avant Garde" w:hAnsi="ITC Avant Garde"/>
          <w:sz w:val="14"/>
        </w:rPr>
        <w:t>18</w:t>
      </w:r>
      <w:r w:rsidR="00FA5549">
        <w:rPr>
          <w:rFonts w:ascii="ITC Avant Garde" w:hAnsi="ITC Avant Garde"/>
          <w:sz w:val="14"/>
        </w:rPr>
        <w:t xml:space="preserve"> (i.e.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201EDB">
        <w:rPr>
          <w:rStyle w:val="Hipervnculo"/>
          <w:rFonts w:ascii="ITC Avant Garde" w:hAnsi="ITC Avant Garde"/>
          <w:sz w:val="14"/>
          <w:szCs w:val="14"/>
        </w:rPr>
        <w:t>.</w:t>
      </w:r>
      <w:r w:rsidR="000D2838" w:rsidRPr="00F36A5D">
        <w:rPr>
          <w:rFonts w:ascii="ITC Avant Garde" w:hAnsi="ITC Avant Garde"/>
          <w:sz w:val="14"/>
          <w:szCs w:val="14"/>
        </w:rPr>
        <w:t xml:space="preserve"> </w:t>
      </w:r>
    </w:p>
    <w:p w14:paraId="259662E1" w14:textId="77777777" w:rsidR="006601AF" w:rsidRPr="00BF5CAB" w:rsidRDefault="000D2838" w:rsidP="002B1516">
      <w:pPr>
        <w:numPr>
          <w:ilvl w:val="0"/>
          <w:numId w:val="1"/>
        </w:numPr>
        <w:spacing w:after="0"/>
        <w:ind w:left="426" w:right="49" w:hanging="426"/>
        <w:jc w:val="both"/>
        <w:rPr>
          <w:rFonts w:ascii="ITC Avant Garde" w:hAnsi="ITC Avant Garde"/>
          <w:sz w:val="14"/>
          <w:szCs w:val="14"/>
        </w:rPr>
      </w:pPr>
      <w:r w:rsidRPr="00BF5CAB">
        <w:rPr>
          <w:rFonts w:ascii="ITC Avant Garde" w:hAnsi="ITC Avant Garde"/>
          <w:sz w:val="14"/>
          <w:szCs w:val="14"/>
        </w:rPr>
        <w:t xml:space="preserve">Para cualquier duda, comentario o inquietud sobre el presente proceso consultivo, el Instituto pone a </w:t>
      </w:r>
      <w:r w:rsidR="008F2B1A" w:rsidRPr="00BF5CAB">
        <w:rPr>
          <w:rFonts w:ascii="ITC Avant Garde" w:hAnsi="ITC Avant Garde"/>
          <w:sz w:val="14"/>
          <w:szCs w:val="14"/>
        </w:rPr>
        <w:t xml:space="preserve">su </w:t>
      </w:r>
      <w:r w:rsidR="00A75A67" w:rsidRPr="00BF5CAB">
        <w:rPr>
          <w:rFonts w:ascii="ITC Avant Garde" w:hAnsi="ITC Avant Garde"/>
          <w:sz w:val="14"/>
          <w:szCs w:val="14"/>
        </w:rPr>
        <w:t>disposición</w:t>
      </w:r>
      <w:r w:rsidR="00F212B2" w:rsidRPr="00BF5CAB">
        <w:rPr>
          <w:rFonts w:ascii="ITC Avant Garde" w:hAnsi="ITC Avant Garde"/>
          <w:sz w:val="14"/>
          <w:szCs w:val="14"/>
        </w:rPr>
        <w:t xml:space="preserve"> </w:t>
      </w:r>
      <w:r w:rsidR="00DD6196">
        <w:rPr>
          <w:rFonts w:ascii="ITC Avant Garde" w:hAnsi="ITC Avant Garde"/>
          <w:sz w:val="14"/>
          <w:szCs w:val="14"/>
        </w:rPr>
        <w:t>los</w:t>
      </w:r>
      <w:r w:rsidRPr="00BF5CAB">
        <w:rPr>
          <w:rFonts w:ascii="ITC Avant Garde" w:hAnsi="ITC Avant Garde"/>
          <w:sz w:val="14"/>
          <w:szCs w:val="14"/>
        </w:rPr>
        <w:t xml:space="preserve"> siguiente</w:t>
      </w:r>
      <w:r w:rsidR="00DD6196">
        <w:rPr>
          <w:rFonts w:ascii="ITC Avant Garde" w:hAnsi="ITC Avant Garde"/>
          <w:sz w:val="14"/>
          <w:szCs w:val="14"/>
        </w:rPr>
        <w:t>s</w:t>
      </w:r>
      <w:r w:rsidRPr="00BF5CAB">
        <w:rPr>
          <w:rFonts w:ascii="ITC Avant Garde" w:hAnsi="ITC Avant Garde"/>
          <w:sz w:val="14"/>
          <w:szCs w:val="14"/>
        </w:rPr>
        <w:t xml:space="preserve"> punto</w:t>
      </w:r>
      <w:r w:rsidR="00DD6196">
        <w:rPr>
          <w:rFonts w:ascii="ITC Avant Garde" w:hAnsi="ITC Avant Garde"/>
          <w:sz w:val="14"/>
          <w:szCs w:val="14"/>
        </w:rPr>
        <w:t>s</w:t>
      </w:r>
      <w:r w:rsidRPr="00BF5CAB">
        <w:rPr>
          <w:rFonts w:ascii="ITC Avant Garde" w:hAnsi="ITC Avant Garde"/>
          <w:sz w:val="14"/>
          <w:szCs w:val="14"/>
        </w:rPr>
        <w:t xml:space="preserve"> de contacto: </w:t>
      </w:r>
      <w:r w:rsidR="00CC2A0B" w:rsidRPr="00BF5CAB">
        <w:rPr>
          <w:rFonts w:ascii="ITC Avant Garde" w:hAnsi="ITC Avant Garde"/>
          <w:sz w:val="14"/>
          <w:szCs w:val="14"/>
        </w:rPr>
        <w:t>Carlos Juan de Dios Sánchez Bretón</w:t>
      </w:r>
      <w:r w:rsidR="000E41F3" w:rsidRPr="00DD6196">
        <w:rPr>
          <w:rFonts w:ascii="ITC Avant Garde" w:hAnsi="ITC Avant Garde"/>
          <w:sz w:val="14"/>
          <w:szCs w:val="14"/>
        </w:rPr>
        <w:t xml:space="preserve">, Director General de </w:t>
      </w:r>
      <w:r w:rsidR="00CC2A0B" w:rsidRPr="00DD6196">
        <w:rPr>
          <w:rFonts w:ascii="ITC Avant Garde" w:hAnsi="ITC Avant Garde"/>
          <w:sz w:val="14"/>
          <w:szCs w:val="14"/>
        </w:rPr>
        <w:t>Economía del Espectro y Recursos Orbitales</w:t>
      </w:r>
      <w:r w:rsidR="000E41F3" w:rsidRPr="00DD6196">
        <w:rPr>
          <w:rFonts w:ascii="ITC Avant Garde" w:hAnsi="ITC Avant Garde"/>
          <w:sz w:val="14"/>
          <w:szCs w:val="14"/>
        </w:rPr>
        <w:t xml:space="preserve">, </w:t>
      </w:r>
      <w:r w:rsidRPr="00DD6196">
        <w:rPr>
          <w:rFonts w:ascii="ITC Avant Garde" w:hAnsi="ITC Avant Garde"/>
          <w:sz w:val="14"/>
          <w:szCs w:val="14"/>
        </w:rPr>
        <w:t xml:space="preserve">correo electrónico: </w:t>
      </w:r>
      <w:hyperlink r:id="rId13" w:history="1">
        <w:r w:rsidR="00CC2A0B" w:rsidRPr="00BF5CAB">
          <w:rPr>
            <w:rStyle w:val="Hipervnculo"/>
            <w:rFonts w:ascii="ITC Avant Garde" w:hAnsi="ITC Avant Garde"/>
            <w:sz w:val="14"/>
            <w:szCs w:val="14"/>
          </w:rPr>
          <w:t>carlos.sanchezb@ift.org.mx</w:t>
        </w:r>
      </w:hyperlink>
      <w:r w:rsidR="005F675C">
        <w:rPr>
          <w:rFonts w:ascii="ITC Avant Garde" w:hAnsi="ITC Avant Garde"/>
          <w:sz w:val="14"/>
          <w:szCs w:val="14"/>
        </w:rPr>
        <w:t>,</w:t>
      </w:r>
      <w:r w:rsidR="00A75A67" w:rsidRPr="00BF5CAB">
        <w:rPr>
          <w:rFonts w:ascii="ITC Avant Garde" w:hAnsi="ITC Avant Garde"/>
          <w:sz w:val="14"/>
          <w:szCs w:val="14"/>
        </w:rPr>
        <w:t xml:space="preserve"> </w:t>
      </w:r>
      <w:r w:rsidRPr="00BF5CAB">
        <w:rPr>
          <w:rFonts w:ascii="ITC Avant Garde" w:hAnsi="ITC Avant Garde"/>
          <w:sz w:val="14"/>
          <w:szCs w:val="14"/>
        </w:rPr>
        <w:t xml:space="preserve">número telefónico </w:t>
      </w:r>
      <w:r w:rsidR="00BF5CAB" w:rsidRPr="00BF5CAB">
        <w:rPr>
          <w:rFonts w:ascii="ITC Avant Garde" w:hAnsi="ITC Avant Garde"/>
          <w:sz w:val="14"/>
          <w:szCs w:val="14"/>
        </w:rPr>
        <w:t>(55)</w:t>
      </w:r>
      <w:r w:rsidR="00DD6196">
        <w:rPr>
          <w:rFonts w:ascii="ITC Avant Garde" w:hAnsi="ITC Avant Garde"/>
          <w:sz w:val="14"/>
          <w:szCs w:val="14"/>
        </w:rPr>
        <w:t xml:space="preserve"> </w:t>
      </w:r>
      <w:r w:rsidR="00BF5CAB" w:rsidRPr="00BF5CAB">
        <w:rPr>
          <w:rFonts w:ascii="ITC Avant Garde" w:hAnsi="ITC Avant Garde"/>
          <w:sz w:val="14"/>
          <w:szCs w:val="14"/>
        </w:rPr>
        <w:t>5014</w:t>
      </w:r>
      <w:r w:rsidR="00E87423">
        <w:rPr>
          <w:rFonts w:ascii="ITC Avant Garde" w:hAnsi="ITC Avant Garde"/>
          <w:sz w:val="14"/>
          <w:szCs w:val="14"/>
        </w:rPr>
        <w:t xml:space="preserve"> </w:t>
      </w:r>
      <w:r w:rsidR="00BF5CAB" w:rsidRPr="00BF5CAB">
        <w:rPr>
          <w:rFonts w:ascii="ITC Avant Garde" w:hAnsi="ITC Avant Garde"/>
          <w:sz w:val="14"/>
          <w:szCs w:val="14"/>
        </w:rPr>
        <w:t>4353</w:t>
      </w:r>
      <w:r w:rsidR="00DD6196">
        <w:rPr>
          <w:rFonts w:ascii="ITC Avant Garde" w:hAnsi="ITC Avant Garde"/>
          <w:sz w:val="14"/>
          <w:szCs w:val="14"/>
        </w:rPr>
        <w:t>;</w:t>
      </w:r>
      <w:r w:rsidR="004D5EAB" w:rsidRPr="00BF5CAB">
        <w:rPr>
          <w:rFonts w:ascii="ITC Avant Garde" w:hAnsi="ITC Avant Garde"/>
          <w:sz w:val="14"/>
          <w:szCs w:val="14"/>
        </w:rPr>
        <w:t xml:space="preserve"> </w:t>
      </w:r>
      <w:r w:rsidR="00B8777F" w:rsidRPr="00BF5CAB">
        <w:rPr>
          <w:rFonts w:ascii="ITC Avant Garde" w:hAnsi="ITC Avant Garde"/>
          <w:sz w:val="14"/>
          <w:szCs w:val="14"/>
        </w:rPr>
        <w:t xml:space="preserve">Federico Saggiante Rangel, Director de Licitaciones, correo electrónico: </w:t>
      </w:r>
      <w:hyperlink r:id="rId14" w:history="1">
        <w:r w:rsidR="00B8777F" w:rsidRPr="00BF5CAB">
          <w:rPr>
            <w:rStyle w:val="Hipervnculo"/>
            <w:rFonts w:ascii="ITC Avant Garde" w:hAnsi="ITC Avant Garde"/>
            <w:sz w:val="14"/>
            <w:szCs w:val="14"/>
          </w:rPr>
          <w:t>federico.saggiante@ift.org.mx</w:t>
        </w:r>
      </w:hyperlink>
      <w:r w:rsidR="00B8777F" w:rsidRPr="00BF5CAB">
        <w:rPr>
          <w:rFonts w:ascii="ITC Avant Garde" w:hAnsi="ITC Avant Garde"/>
          <w:sz w:val="14"/>
          <w:szCs w:val="14"/>
        </w:rPr>
        <w:t>, número telefónico (55)</w:t>
      </w:r>
      <w:r w:rsidR="00DD6196">
        <w:rPr>
          <w:rFonts w:ascii="ITC Avant Garde" w:hAnsi="ITC Avant Garde"/>
          <w:sz w:val="14"/>
          <w:szCs w:val="14"/>
        </w:rPr>
        <w:t xml:space="preserve"> </w:t>
      </w:r>
      <w:r w:rsidR="00B8777F" w:rsidRPr="00BF5CAB">
        <w:rPr>
          <w:rFonts w:ascii="ITC Avant Garde" w:hAnsi="ITC Avant Garde"/>
          <w:sz w:val="14"/>
          <w:szCs w:val="14"/>
        </w:rPr>
        <w:t>5014</w:t>
      </w:r>
      <w:r w:rsidR="00E87423">
        <w:rPr>
          <w:rFonts w:ascii="ITC Avant Garde" w:hAnsi="ITC Avant Garde"/>
          <w:sz w:val="14"/>
          <w:szCs w:val="14"/>
        </w:rPr>
        <w:t xml:space="preserve"> </w:t>
      </w:r>
      <w:r w:rsidR="00B8777F" w:rsidRPr="00BF5CAB">
        <w:rPr>
          <w:rFonts w:ascii="ITC Avant Garde" w:hAnsi="ITC Avant Garde"/>
          <w:sz w:val="14"/>
          <w:szCs w:val="14"/>
        </w:rPr>
        <w:t>4738</w:t>
      </w:r>
      <w:r w:rsidR="00DD6196">
        <w:rPr>
          <w:rFonts w:ascii="ITC Avant Garde" w:hAnsi="ITC Avant Garde"/>
          <w:sz w:val="14"/>
          <w:szCs w:val="14"/>
        </w:rPr>
        <w:t>;</w:t>
      </w:r>
      <w:r w:rsidR="00B8777F" w:rsidRPr="00BF5CAB">
        <w:rPr>
          <w:rFonts w:ascii="ITC Avant Garde" w:hAnsi="ITC Avant Garde"/>
          <w:sz w:val="14"/>
          <w:szCs w:val="14"/>
        </w:rPr>
        <w:t xml:space="preserve"> y </w:t>
      </w:r>
      <w:r w:rsidR="00BF5CAB" w:rsidRPr="00BF5CAB">
        <w:rPr>
          <w:rFonts w:ascii="ITC Avant Garde" w:hAnsi="ITC Avant Garde"/>
          <w:sz w:val="14"/>
          <w:szCs w:val="14"/>
        </w:rPr>
        <w:t>María Isabel De la Vega Esteinou, Subdirector</w:t>
      </w:r>
      <w:r w:rsidR="00DD6196">
        <w:rPr>
          <w:rFonts w:ascii="ITC Avant Garde" w:hAnsi="ITC Avant Garde"/>
          <w:sz w:val="14"/>
          <w:szCs w:val="14"/>
        </w:rPr>
        <w:t>a</w:t>
      </w:r>
      <w:r w:rsidR="00BF5CAB" w:rsidRPr="00BF5CAB">
        <w:rPr>
          <w:rFonts w:ascii="ITC Avant Garde" w:hAnsi="ITC Avant Garde"/>
          <w:sz w:val="14"/>
          <w:szCs w:val="14"/>
        </w:rPr>
        <w:t xml:space="preserve"> de Licitaciones "B</w:t>
      </w:r>
      <w:r w:rsidR="00B8777F" w:rsidRPr="00BF5CAB">
        <w:rPr>
          <w:rFonts w:ascii="ITC Avant Garde" w:hAnsi="ITC Avant Garde"/>
          <w:sz w:val="14"/>
          <w:szCs w:val="14"/>
        </w:rPr>
        <w:t xml:space="preserve">", correo electrónico: </w:t>
      </w:r>
      <w:hyperlink r:id="rId15" w:history="1">
        <w:r w:rsidR="00BF5CAB" w:rsidRPr="00BF5CAB">
          <w:rPr>
            <w:rStyle w:val="Hipervnculo"/>
            <w:rFonts w:ascii="ITC Avant Garde" w:hAnsi="ITC Avant Garde"/>
            <w:sz w:val="14"/>
            <w:szCs w:val="14"/>
          </w:rPr>
          <w:t>isabel.delavega@ift.org.mx</w:t>
        </w:r>
      </w:hyperlink>
      <w:r w:rsidR="00B8777F" w:rsidRPr="00BF5CAB">
        <w:rPr>
          <w:rFonts w:ascii="ITC Avant Garde" w:hAnsi="ITC Avant Garde"/>
          <w:sz w:val="14"/>
          <w:szCs w:val="14"/>
          <w:u w:val="single"/>
        </w:rPr>
        <w:t>,</w:t>
      </w:r>
      <w:r w:rsidR="00BF5CAB" w:rsidRPr="00BF5CAB">
        <w:rPr>
          <w:rFonts w:ascii="ITC Avant Garde" w:hAnsi="ITC Avant Garde"/>
          <w:sz w:val="14"/>
          <w:szCs w:val="14"/>
        </w:rPr>
        <w:t xml:space="preserve"> número telefónico (55)</w:t>
      </w:r>
      <w:r w:rsidR="00DD6196">
        <w:rPr>
          <w:rFonts w:ascii="ITC Avant Garde" w:hAnsi="ITC Avant Garde"/>
          <w:sz w:val="14"/>
          <w:szCs w:val="14"/>
        </w:rPr>
        <w:t xml:space="preserve"> </w:t>
      </w:r>
      <w:r w:rsidR="00BF5CAB" w:rsidRPr="00BF5CAB">
        <w:rPr>
          <w:rFonts w:ascii="ITC Avant Garde" w:hAnsi="ITC Avant Garde"/>
          <w:sz w:val="14"/>
          <w:szCs w:val="14"/>
        </w:rPr>
        <w:t>5014</w:t>
      </w:r>
      <w:r w:rsidR="00E87423">
        <w:rPr>
          <w:rFonts w:ascii="ITC Avant Garde" w:hAnsi="ITC Avant Garde"/>
          <w:sz w:val="14"/>
          <w:szCs w:val="14"/>
        </w:rPr>
        <w:t xml:space="preserve"> </w:t>
      </w:r>
      <w:r w:rsidR="00BF5CAB" w:rsidRPr="00BF5CAB">
        <w:rPr>
          <w:rFonts w:ascii="ITC Avant Garde" w:hAnsi="ITC Avant Garde"/>
          <w:sz w:val="14"/>
          <w:szCs w:val="14"/>
        </w:rPr>
        <w:t>4154,</w:t>
      </w:r>
      <w:r w:rsidR="00B8777F" w:rsidRPr="00BF5CAB">
        <w:rPr>
          <w:rFonts w:ascii="ITC Avant Garde" w:hAnsi="ITC Avant Garde"/>
          <w:sz w:val="14"/>
          <w:szCs w:val="14"/>
        </w:rPr>
        <w:t xml:space="preserve"> quiénes estarán disponibles en los mismos horarios de atención de la Oficialía de Partes del Instituto</w:t>
      </w:r>
      <w:r w:rsidR="00BF5CAB" w:rsidRPr="00BF5CAB">
        <w:rPr>
          <w:rFonts w:ascii="ITC Avant Garde" w:hAnsi="ITC Avant Garde"/>
          <w:sz w:val="14"/>
          <w:szCs w:val="14"/>
        </w:rPr>
        <w:t>.</w:t>
      </w:r>
    </w:p>
    <w:p w14:paraId="155C298F" w14:textId="77777777" w:rsidR="00385726" w:rsidRPr="00F36A5D" w:rsidRDefault="00385726" w:rsidP="00201EDB">
      <w:pPr>
        <w:spacing w:after="0"/>
        <w:ind w:left="284"/>
        <w:jc w:val="both"/>
        <w:rPr>
          <w:rFonts w:ascii="ITC Avant Garde" w:hAnsi="ITC Avant Garde"/>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1"/>
        <w:gridCol w:w="4150"/>
      </w:tblGrid>
      <w:tr w:rsidR="00DF154A" w:rsidRPr="00F36A5D" w14:paraId="6D5DDD07" w14:textId="77777777" w:rsidTr="004D2479">
        <w:trPr>
          <w:trHeight w:val="600"/>
          <w:jc w:val="center"/>
        </w:trPr>
        <w:tc>
          <w:tcPr>
            <w:tcW w:w="5000" w:type="pct"/>
            <w:gridSpan w:val="2"/>
            <w:shd w:val="clear" w:color="auto" w:fill="D9D9D9"/>
            <w:vAlign w:val="center"/>
            <w:hideMark/>
          </w:tcPr>
          <w:p w14:paraId="0BB301EF" w14:textId="77777777" w:rsidR="00DF154A" w:rsidRPr="00F36A5D" w:rsidRDefault="00DF154A" w:rsidP="00201EDB">
            <w:pPr>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6382CE6A" w14:textId="77777777" w:rsidTr="004D2479">
        <w:trPr>
          <w:trHeight w:val="509"/>
          <w:jc w:val="center"/>
        </w:trPr>
        <w:tc>
          <w:tcPr>
            <w:tcW w:w="2674" w:type="pct"/>
            <w:shd w:val="clear" w:color="auto" w:fill="C5E0B3"/>
            <w:vAlign w:val="center"/>
            <w:hideMark/>
          </w:tcPr>
          <w:p w14:paraId="44F54004"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2326" w:type="pct"/>
            <w:shd w:val="clear" w:color="auto" w:fill="auto"/>
            <w:vAlign w:val="center"/>
            <w:hideMark/>
          </w:tcPr>
          <w:p w14:paraId="0FA5B7A4" w14:textId="77777777" w:rsidR="00DF154A" w:rsidRPr="00F36A5D" w:rsidRDefault="0080504A">
            <w:pPr>
              <w:spacing w:after="0" w:line="240" w:lineRule="auto"/>
              <w:jc w:val="center"/>
              <w:rPr>
                <w:rFonts w:ascii="ITC Avant Garde" w:eastAsia="Times New Roman" w:hAnsi="ITC Avant Garde"/>
                <w:color w:val="000000"/>
                <w:sz w:val="20"/>
                <w:lang w:eastAsia="es-MX"/>
              </w:rPr>
            </w:pPr>
            <w:r>
              <w:rPr>
                <w:rFonts w:ascii="ITC Avant Garde" w:eastAsia="Times New Roman" w:hAnsi="ITC Avant Garde"/>
                <w:color w:val="000000"/>
                <w:sz w:val="20"/>
                <w:lang w:eastAsia="es-MX"/>
              </w:rPr>
              <w:t>Omnispace México, S. de R.L. de C.V.</w:t>
            </w:r>
          </w:p>
        </w:tc>
      </w:tr>
      <w:tr w:rsidR="00DF154A" w:rsidRPr="00F36A5D" w14:paraId="290FA755" w14:textId="77777777" w:rsidTr="004D2479">
        <w:trPr>
          <w:trHeight w:val="403"/>
          <w:jc w:val="center"/>
        </w:trPr>
        <w:tc>
          <w:tcPr>
            <w:tcW w:w="2674" w:type="pct"/>
            <w:shd w:val="clear" w:color="auto" w:fill="E2EFD9"/>
            <w:vAlign w:val="center"/>
            <w:hideMark/>
          </w:tcPr>
          <w:p w14:paraId="2C35AF6C"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2326" w:type="pct"/>
            <w:shd w:val="clear" w:color="auto" w:fill="auto"/>
            <w:vAlign w:val="bottom"/>
            <w:hideMark/>
          </w:tcPr>
          <w:p w14:paraId="22977FD4" w14:textId="77777777" w:rsidR="00DF154A" w:rsidRPr="0080504A" w:rsidRDefault="0080504A">
            <w:pPr>
              <w:spacing w:after="0" w:line="240" w:lineRule="auto"/>
              <w:jc w:val="center"/>
              <w:rPr>
                <w:rFonts w:ascii="ITC Avant Garde" w:eastAsia="Times New Roman" w:hAnsi="ITC Avant Garde"/>
                <w:sz w:val="20"/>
                <w:lang w:eastAsia="es-MX"/>
              </w:rPr>
            </w:pPr>
            <w:r w:rsidRPr="0080504A">
              <w:rPr>
                <w:rFonts w:ascii="ITC Avant Garde" w:eastAsia="Times New Roman" w:hAnsi="ITC Avant Garde"/>
                <w:sz w:val="20"/>
                <w:lang w:eastAsia="es-MX"/>
              </w:rPr>
              <w:t>José Manuel Cisneros Polo</w:t>
            </w:r>
          </w:p>
        </w:tc>
      </w:tr>
      <w:tr w:rsidR="00230BD4" w:rsidRPr="00F36A5D" w14:paraId="03A6DEDF" w14:textId="77777777" w:rsidTr="004D2479">
        <w:trPr>
          <w:trHeight w:val="523"/>
          <w:jc w:val="center"/>
        </w:trPr>
        <w:tc>
          <w:tcPr>
            <w:tcW w:w="2674" w:type="pct"/>
            <w:shd w:val="clear" w:color="auto" w:fill="C5E0B3"/>
            <w:vAlign w:val="center"/>
            <w:hideMark/>
          </w:tcPr>
          <w:p w14:paraId="58932E03" w14:textId="77777777" w:rsidR="00230BD4" w:rsidRPr="00F36A5D" w:rsidRDefault="00230BD4" w:rsidP="00230BD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21590388" w14:textId="77777777" w:rsidR="00230BD4" w:rsidRPr="00F36A5D" w:rsidRDefault="00230BD4" w:rsidP="00230BD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2326" w:type="pct"/>
            <w:shd w:val="clear" w:color="auto" w:fill="auto"/>
            <w:vAlign w:val="center"/>
            <w:hideMark/>
          </w:tcPr>
          <w:p w14:paraId="6EE93518" w14:textId="77777777" w:rsidR="00230BD4" w:rsidRPr="000B7F85" w:rsidRDefault="008A01C9" w:rsidP="000B7F85">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A75AFD12F484D6C9216514445782D19"/>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0B7F85" w:rsidRPr="000B7F85">
                  <w:rPr>
                    <w:rFonts w:ascii="Century Gothic" w:eastAsia="Times New Roman" w:hAnsi="Century Gothic"/>
                    <w:color w:val="000000"/>
                    <w:sz w:val="20"/>
                    <w:lang w:eastAsia="es-MX"/>
                  </w:rPr>
                  <w:t>Poder Notarial</w:t>
                </w:r>
              </w:sdtContent>
            </w:sdt>
          </w:p>
        </w:tc>
      </w:tr>
      <w:tr w:rsidR="00DF154A" w:rsidRPr="00F36A5D" w14:paraId="03F70FD4" w14:textId="77777777" w:rsidTr="004D2479">
        <w:trPr>
          <w:trHeight w:val="300"/>
          <w:jc w:val="center"/>
        </w:trPr>
        <w:tc>
          <w:tcPr>
            <w:tcW w:w="5000" w:type="pct"/>
            <w:gridSpan w:val="2"/>
            <w:shd w:val="clear" w:color="auto" w:fill="D9D9D9"/>
            <w:noWrap/>
            <w:vAlign w:val="center"/>
            <w:hideMark/>
          </w:tcPr>
          <w:p w14:paraId="33C0BBF2"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5CE906DE" w14:textId="77777777" w:rsidTr="004D2479">
        <w:trPr>
          <w:trHeight w:val="274"/>
          <w:jc w:val="center"/>
        </w:trPr>
        <w:tc>
          <w:tcPr>
            <w:tcW w:w="5000" w:type="pct"/>
            <w:gridSpan w:val="2"/>
            <w:shd w:val="clear" w:color="auto" w:fill="auto"/>
            <w:vAlign w:val="center"/>
            <w:hideMark/>
          </w:tcPr>
          <w:p w14:paraId="3826F47C"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497E02ED"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02431BB0"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6389DD64" w14:textId="77777777" w:rsidR="000E55B0" w:rsidRPr="00F36A5D" w:rsidRDefault="000E55B0" w:rsidP="00D42FCD">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3AFF36D9" w14:textId="77777777" w:rsidR="00D22B9D" w:rsidRPr="00F36A5D" w:rsidRDefault="00D22B9D" w:rsidP="00D42FCD">
            <w:pPr>
              <w:spacing w:after="0" w:line="240" w:lineRule="auto"/>
              <w:ind w:left="492" w:right="229"/>
              <w:jc w:val="both"/>
              <w:rPr>
                <w:rFonts w:ascii="ITC Avant Garde" w:eastAsia="Times New Roman" w:hAnsi="ITC Avant Garde"/>
                <w:color w:val="000000"/>
                <w:sz w:val="14"/>
                <w:szCs w:val="16"/>
                <w:lang w:eastAsia="es-MX"/>
              </w:rPr>
            </w:pPr>
          </w:p>
          <w:p w14:paraId="6BE7F46D" w14:textId="77777777" w:rsidR="000E55B0" w:rsidRPr="00F36A5D" w:rsidRDefault="000E55B0" w:rsidP="00D42FCD">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w:t>
            </w:r>
            <w:r w:rsidR="00520D85">
              <w:rPr>
                <w:rFonts w:ascii="ITC Avant Garde" w:eastAsia="Times New Roman" w:hAnsi="ITC Avant Garde"/>
                <w:color w:val="000000"/>
                <w:sz w:val="14"/>
                <w:szCs w:val="16"/>
                <w:lang w:eastAsia="es-MX"/>
              </w:rPr>
              <w:t>colonia</w:t>
            </w:r>
            <w:r w:rsidR="00201EDB">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Nochebuena, </w:t>
            </w:r>
            <w:r w:rsidR="001208F6">
              <w:rPr>
                <w:rFonts w:ascii="ITC Avant Garde" w:eastAsia="Times New Roman" w:hAnsi="ITC Avant Garde"/>
                <w:color w:val="000000"/>
                <w:sz w:val="14"/>
                <w:szCs w:val="16"/>
                <w:lang w:eastAsia="es-MX"/>
              </w:rPr>
              <w:t>Alcaldía</w:t>
            </w:r>
            <w:r w:rsidR="00201EDB">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3C98F262" w14:textId="77777777" w:rsidR="00D22B9D" w:rsidRPr="00F36A5D" w:rsidRDefault="00D22B9D" w:rsidP="002B1516">
            <w:pPr>
              <w:spacing w:after="0" w:line="240" w:lineRule="auto"/>
              <w:ind w:left="492" w:right="229"/>
              <w:jc w:val="both"/>
              <w:rPr>
                <w:rFonts w:ascii="ITC Avant Garde" w:eastAsia="Times New Roman" w:hAnsi="ITC Avant Garde"/>
                <w:color w:val="000000"/>
                <w:sz w:val="14"/>
                <w:szCs w:val="16"/>
                <w:lang w:eastAsia="es-MX"/>
              </w:rPr>
            </w:pPr>
          </w:p>
          <w:p w14:paraId="52976BF2" w14:textId="77777777" w:rsidR="000E55B0" w:rsidRPr="00F36A5D" w:rsidRDefault="000E55B0" w:rsidP="002B1516">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w:t>
            </w:r>
            <w:r w:rsidR="00520D85">
              <w:rPr>
                <w:rFonts w:ascii="ITC Avant Garde" w:eastAsia="Times New Roman" w:hAnsi="ITC Avant Garde"/>
                <w:color w:val="000000"/>
                <w:sz w:val="14"/>
                <w:szCs w:val="16"/>
                <w:lang w:eastAsia="es-MX"/>
              </w:rPr>
              <w:t>la</w:t>
            </w:r>
            <w:r w:rsidR="00520D85"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00520D85">
              <w:rPr>
                <w:rFonts w:ascii="ITC Avant Garde" w:eastAsia="Times New Roman" w:hAnsi="ITC Avant Garde"/>
                <w:color w:val="000000"/>
                <w:sz w:val="14"/>
                <w:szCs w:val="16"/>
                <w:lang w:eastAsia="es-MX"/>
              </w:rPr>
              <w:t xml:space="preserve"> del Instituto Federal de Telecomunicaciones</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w:t>
            </w:r>
            <w:r w:rsidR="008A48B4">
              <w:rPr>
                <w:rFonts w:ascii="ITC Avant Garde" w:eastAsia="Times New Roman" w:hAnsi="ITC Avant Garde"/>
                <w:color w:val="000000"/>
                <w:sz w:val="14"/>
                <w:szCs w:val="16"/>
                <w:lang w:eastAsia="es-MX"/>
              </w:rPr>
              <w:t xml:space="preserve">la presente </w:t>
            </w:r>
            <w:r w:rsidR="00C83664" w:rsidRPr="00F36A5D">
              <w:rPr>
                <w:rFonts w:ascii="ITC Avant Garde" w:eastAsia="Times New Roman" w:hAnsi="ITC Avant Garde"/>
                <w:color w:val="000000"/>
                <w:sz w:val="14"/>
                <w:szCs w:val="16"/>
                <w:lang w:eastAsia="es-MX"/>
              </w:rPr>
              <w:t xml:space="preserve">consulta pública consiste en promover la participación ciudadana y transparentar el </w:t>
            </w:r>
            <w:r w:rsidR="008A48B4">
              <w:rPr>
                <w:rFonts w:ascii="ITC Avant Garde" w:eastAsia="Times New Roman" w:hAnsi="ITC Avant Garde"/>
                <w:color w:val="000000"/>
                <w:sz w:val="14"/>
                <w:szCs w:val="16"/>
                <w:lang w:eastAsia="es-MX"/>
              </w:rPr>
              <w:t xml:space="preserve">procedimiento de licitación, a través de </w:t>
            </w:r>
            <w:r w:rsidR="00160550">
              <w:rPr>
                <w:rFonts w:ascii="ITC Avant Garde" w:eastAsia="Times New Roman" w:hAnsi="ITC Avant Garde"/>
                <w:color w:val="000000"/>
                <w:sz w:val="14"/>
                <w:szCs w:val="16"/>
                <w:lang w:eastAsia="es-MX"/>
              </w:rPr>
              <w:t>el Numeral</w:t>
            </w:r>
            <w:r w:rsidR="008A48B4">
              <w:rPr>
                <w:rFonts w:ascii="ITC Avant Garde" w:eastAsia="Times New Roman" w:hAnsi="ITC Avant Garde"/>
                <w:color w:val="000000"/>
                <w:sz w:val="14"/>
                <w:szCs w:val="16"/>
                <w:lang w:eastAsia="es-MX"/>
              </w:rPr>
              <w:t xml:space="preserve"> de licitación</w:t>
            </w:r>
            <w:r w:rsidR="00DC53E9">
              <w:rPr>
                <w:rFonts w:ascii="ITC Avant Garde" w:eastAsia="Times New Roman" w:hAnsi="ITC Avant Garde"/>
                <w:color w:val="000000"/>
                <w:sz w:val="14"/>
                <w:szCs w:val="16"/>
                <w:lang w:eastAsia="es-MX"/>
              </w:rPr>
              <w:t>,</w:t>
            </w:r>
            <w:r w:rsidR="008A48B4">
              <w:rPr>
                <w:rFonts w:ascii="ITC Avant Garde" w:eastAsia="Times New Roman" w:hAnsi="ITC Avant Garde"/>
                <w:color w:val="000000"/>
                <w:sz w:val="14"/>
                <w:szCs w:val="16"/>
                <w:lang w:eastAsia="es-MX"/>
              </w:rPr>
              <w:t xml:space="preserve"> sus apéndices y anexos, </w:t>
            </w:r>
            <w:r w:rsidR="00C83664" w:rsidRPr="00F36A5D">
              <w:rPr>
                <w:rFonts w:ascii="ITC Avant Garde" w:eastAsia="Times New Roman" w:hAnsi="ITC Avant Garde"/>
                <w:color w:val="000000"/>
                <w:sz w:val="14"/>
                <w:szCs w:val="16"/>
                <w:lang w:eastAsia="es-MX"/>
              </w:rPr>
              <w:t xml:space="preserve"> </w:t>
            </w:r>
            <w:r w:rsidR="008A48B4">
              <w:rPr>
                <w:rFonts w:ascii="ITC Avant Garde" w:eastAsia="Times New Roman" w:hAnsi="ITC Avant Garde"/>
                <w:color w:val="000000"/>
                <w:sz w:val="14"/>
                <w:szCs w:val="16"/>
                <w:lang w:eastAsia="es-MX"/>
              </w:rPr>
              <w:t>por lo que el</w:t>
            </w:r>
            <w:r w:rsidR="00C83664" w:rsidRPr="00F36A5D">
              <w:rPr>
                <w:rFonts w:ascii="ITC Avant Garde" w:eastAsia="Times New Roman" w:hAnsi="ITC Avant Garde"/>
                <w:color w:val="000000"/>
                <w:sz w:val="14"/>
                <w:szCs w:val="16"/>
                <w:lang w:eastAsia="es-MX"/>
              </w:rPr>
              <w:t xml:space="preserve"> Pleno del </w:t>
            </w:r>
            <w:r w:rsidR="004B053F" w:rsidRPr="00F36A5D">
              <w:rPr>
                <w:rFonts w:ascii="ITC Avant Garde" w:eastAsia="Times New Roman" w:hAnsi="ITC Avant Garde"/>
                <w:color w:val="000000"/>
                <w:sz w:val="14"/>
                <w:szCs w:val="16"/>
                <w:lang w:eastAsia="es-MX"/>
              </w:rPr>
              <w:t>IFT</w:t>
            </w:r>
            <w:r w:rsidR="008A48B4">
              <w:rPr>
                <w:rFonts w:ascii="ITC Avant Garde" w:eastAsia="Times New Roman" w:hAnsi="ITC Avant Garde"/>
                <w:color w:val="000000"/>
                <w:sz w:val="14"/>
                <w:szCs w:val="16"/>
                <w:lang w:eastAsia="es-MX"/>
              </w:rPr>
              <w:t xml:space="preserve"> considera </w:t>
            </w:r>
            <w:r w:rsidR="003F1B42">
              <w:rPr>
                <w:rFonts w:ascii="ITC Avant Garde" w:eastAsia="Times New Roman" w:hAnsi="ITC Avant Garde"/>
                <w:color w:val="000000"/>
                <w:sz w:val="14"/>
                <w:szCs w:val="16"/>
                <w:lang w:eastAsia="es-MX"/>
              </w:rPr>
              <w:t>necesario</w:t>
            </w:r>
            <w:r w:rsidR="003F1B42" w:rsidRPr="00F36A5D">
              <w:rPr>
                <w:rFonts w:ascii="ITC Avant Garde" w:eastAsia="Times New Roman" w:hAnsi="ITC Avant Garde"/>
                <w:color w:val="000000"/>
                <w:sz w:val="14"/>
                <w:szCs w:val="16"/>
                <w:lang w:eastAsia="es-MX"/>
              </w:rPr>
              <w:t xml:space="preserve"> generar</w:t>
            </w:r>
            <w:r w:rsidR="00C83664" w:rsidRPr="00F36A5D">
              <w:rPr>
                <w:rFonts w:ascii="ITC Avant Garde" w:eastAsia="Times New Roman" w:hAnsi="ITC Avant Garde"/>
                <w:color w:val="000000"/>
                <w:sz w:val="14"/>
                <w:szCs w:val="16"/>
                <w:lang w:eastAsia="es-MX"/>
              </w:rPr>
              <w:t xml:space="preserve"> un espacio de intercambio de información, opiniones y puntos de vista sobre </w:t>
            </w:r>
            <w:r w:rsidR="008A48B4">
              <w:rPr>
                <w:rFonts w:ascii="ITC Avant Garde" w:eastAsia="Times New Roman" w:hAnsi="ITC Avant Garde"/>
                <w:color w:val="000000"/>
                <w:sz w:val="14"/>
                <w:szCs w:val="16"/>
                <w:lang w:eastAsia="es-MX"/>
              </w:rPr>
              <w:t xml:space="preserve">el presente </w:t>
            </w:r>
            <w:r w:rsidR="00C83664" w:rsidRPr="00F36A5D">
              <w:rPr>
                <w:rFonts w:ascii="ITC Avant Garde" w:eastAsia="Times New Roman" w:hAnsi="ITC Avant Garde"/>
                <w:color w:val="000000"/>
                <w:sz w:val="14"/>
                <w:szCs w:val="16"/>
                <w:lang w:eastAsia="es-MX"/>
              </w:rPr>
              <w:t xml:space="preserve">tema de interés que </w:t>
            </w:r>
            <w:r w:rsidR="008A48B4">
              <w:rPr>
                <w:rFonts w:ascii="ITC Avant Garde" w:eastAsia="Times New Roman" w:hAnsi="ITC Avant Garde"/>
                <w:color w:val="000000"/>
                <w:sz w:val="14"/>
                <w:szCs w:val="16"/>
                <w:lang w:eastAsia="es-MX"/>
              </w:rPr>
              <w:t>se</w:t>
            </w:r>
            <w:r w:rsidR="00201EDB">
              <w:rPr>
                <w:rFonts w:ascii="ITC Avant Garde" w:eastAsia="Times New Roman" w:hAnsi="ITC Avant Garde"/>
                <w:color w:val="000000"/>
                <w:sz w:val="14"/>
                <w:szCs w:val="16"/>
                <w:lang w:eastAsia="es-MX"/>
              </w:rPr>
              <w:t xml:space="preserve"> </w:t>
            </w:r>
            <w:r w:rsidR="008A48B4" w:rsidRPr="00F36A5D">
              <w:rPr>
                <w:rFonts w:ascii="ITC Avant Garde" w:eastAsia="Times New Roman" w:hAnsi="ITC Avant Garde"/>
                <w:color w:val="000000"/>
                <w:sz w:val="14"/>
                <w:szCs w:val="16"/>
                <w:lang w:eastAsia="es-MX"/>
              </w:rPr>
              <w:t>somet</w:t>
            </w:r>
            <w:r w:rsidR="008A48B4">
              <w:rPr>
                <w:rFonts w:ascii="ITC Avant Garde" w:eastAsia="Times New Roman" w:hAnsi="ITC Avant Garde"/>
                <w:color w:val="000000"/>
                <w:sz w:val="14"/>
                <w:szCs w:val="16"/>
                <w:lang w:eastAsia="es-MX"/>
              </w:rPr>
              <w:t>e</w:t>
            </w:r>
            <w:r w:rsidR="008A48B4"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161514A8" w14:textId="77777777" w:rsidR="00D22B9D" w:rsidRPr="00F36A5D" w:rsidRDefault="00D22B9D" w:rsidP="00201EDB">
            <w:pPr>
              <w:spacing w:after="0" w:line="240" w:lineRule="auto"/>
              <w:ind w:left="492" w:right="229"/>
              <w:jc w:val="both"/>
              <w:rPr>
                <w:rFonts w:ascii="ITC Avant Garde" w:eastAsia="Times New Roman" w:hAnsi="ITC Avant Garde"/>
                <w:color w:val="000000"/>
                <w:sz w:val="14"/>
                <w:szCs w:val="16"/>
                <w:lang w:eastAsia="es-MX"/>
              </w:rPr>
            </w:pPr>
          </w:p>
          <w:p w14:paraId="41C64088"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6DA67087"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2537E40E"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w:t>
            </w:r>
            <w:r w:rsidR="00AC19D6">
              <w:rPr>
                <w:rFonts w:ascii="ITC Avant Garde" w:eastAsia="Times New Roman" w:hAnsi="ITC Avant Garde"/>
                <w:color w:val="000000"/>
                <w:sz w:val="14"/>
                <w:szCs w:val="16"/>
                <w:lang w:eastAsia="es-MX"/>
              </w:rPr>
              <w:t>Numeral</w:t>
            </w:r>
            <w:r w:rsidR="00A7050F" w:rsidRPr="00F36A5D">
              <w:rPr>
                <w:rFonts w:ascii="ITC Avant Garde" w:eastAsia="Times New Roman" w:hAnsi="ITC Avant Garde"/>
                <w:color w:val="000000"/>
                <w:sz w:val="14"/>
                <w:szCs w:val="16"/>
                <w:lang w:eastAsia="es-MX"/>
              </w:rPr>
              <w:t xml:space="preserv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51 de la Ley Federal de </w:t>
            </w:r>
            <w:r w:rsidR="00B533DC" w:rsidRPr="00F36A5D">
              <w:rPr>
                <w:rFonts w:ascii="ITC Avant Garde" w:eastAsia="Times New Roman" w:hAnsi="ITC Avant Garde"/>
                <w:color w:val="000000"/>
                <w:sz w:val="14"/>
                <w:szCs w:val="16"/>
                <w:lang w:eastAsia="es-MX"/>
              </w:rPr>
              <w:lastRenderedPageBreak/>
              <w:t xml:space="preserve">Telecomunicaciones y </w:t>
            </w:r>
            <w:r w:rsidR="003F1B42" w:rsidRPr="00F36A5D">
              <w:rPr>
                <w:rFonts w:ascii="ITC Avant Garde" w:eastAsia="Times New Roman" w:hAnsi="ITC Avant Garde"/>
                <w:color w:val="000000"/>
                <w:sz w:val="14"/>
                <w:szCs w:val="16"/>
                <w:lang w:eastAsia="es-MX"/>
              </w:rPr>
              <w:t>Radiodifusión así</w:t>
            </w:r>
            <w:r w:rsidR="00942344" w:rsidRPr="00F36A5D">
              <w:rPr>
                <w:rFonts w:ascii="ITC Avant Garde" w:eastAsia="Times New Roman" w:hAnsi="ITC Avant Garde"/>
                <w:color w:val="000000"/>
                <w:sz w:val="14"/>
                <w:szCs w:val="16"/>
                <w:lang w:eastAsia="es-MX"/>
              </w:rPr>
              <w:t xml:space="preserve">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w:t>
            </w:r>
          </w:p>
          <w:p w14:paraId="6C34AE0C"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3C05EEB5" w14:textId="77777777" w:rsidR="000E55B0" w:rsidRPr="00F36A5D" w:rsidRDefault="000E55B0" w:rsidP="00D42FCD">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2B558F">
              <w:rPr>
                <w:rFonts w:ascii="ITC Avant Garde" w:eastAsia="Times New Roman" w:hAnsi="ITC Avant Garde"/>
                <w:b/>
                <w:color w:val="000000"/>
                <w:sz w:val="14"/>
                <w:szCs w:val="14"/>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D77944">
              <w:rPr>
                <w:rFonts w:ascii="ITC Avant Garde" w:eastAsia="Times New Roman" w:hAnsi="ITC Avant Garde"/>
                <w:color w:val="000000"/>
                <w:sz w:val="14"/>
                <w:szCs w:val="14"/>
                <w:lang w:eastAsia="es-MX"/>
              </w:rPr>
              <w:t xml:space="preserve"> </w:t>
            </w:r>
            <w:r w:rsidR="00A57E13" w:rsidRPr="00D77944">
              <w:rPr>
                <w:rFonts w:ascii="ITC Avant Garde" w:eastAsia="Times New Roman" w:hAnsi="ITC Avant Garde"/>
                <w:color w:val="000000"/>
                <w:sz w:val="14"/>
                <w:szCs w:val="14"/>
                <w:lang w:eastAsia="es-MX"/>
              </w:rPr>
              <w:t>En concordancia con lo señalado en el apartado IV, del presente aviso de privacidad, se informa que los datos personales recabados con motivo del proceso de consulta públicano serán objeto de transferencias que requieran el consentimiento del titular. No obstante, s</w:t>
            </w:r>
            <w:r w:rsidRPr="00D77944">
              <w:rPr>
                <w:rFonts w:ascii="ITC Avant Garde" w:eastAsia="Times New Roman" w:hAnsi="ITC Avant Garde"/>
                <w:color w:val="000000"/>
                <w:sz w:val="14"/>
                <w:szCs w:val="14"/>
                <w:lang w:eastAsia="es-MX"/>
              </w:rPr>
              <w:t>e ponen a disposición los</w:t>
            </w:r>
            <w:r w:rsidRPr="00A12C9D">
              <w:rPr>
                <w:rFonts w:ascii="ITC Avant Garde" w:eastAsia="Times New Roman" w:hAnsi="ITC Avant Garde"/>
                <w:color w:val="000000"/>
                <w:sz w:val="14"/>
                <w:szCs w:val="14"/>
                <w:lang w:eastAsia="es-MX"/>
              </w:rPr>
              <w:t xml:space="preserve"> siguientes puntos de contacto</w:t>
            </w:r>
            <w:r w:rsidR="002B558F" w:rsidRPr="00A12C9D">
              <w:rPr>
                <w:rFonts w:ascii="ITC Avant Garde" w:eastAsia="Times New Roman" w:hAnsi="ITC Avant Garde"/>
                <w:color w:val="000000"/>
                <w:sz w:val="14"/>
                <w:szCs w:val="14"/>
                <w:lang w:eastAsia="es-MX"/>
              </w:rPr>
              <w:t>:</w:t>
            </w:r>
            <w:r w:rsidR="00B209E7">
              <w:rPr>
                <w:rFonts w:ascii="ITC Avant Garde" w:eastAsia="Times New Roman" w:hAnsi="ITC Avant Garde"/>
                <w:color w:val="000000"/>
                <w:sz w:val="14"/>
                <w:szCs w:val="14"/>
                <w:lang w:eastAsia="es-MX"/>
              </w:rPr>
              <w:t xml:space="preserve"> </w:t>
            </w:r>
            <w:r w:rsidR="00B209E7" w:rsidRPr="00BF5CAB">
              <w:rPr>
                <w:rFonts w:ascii="ITC Avant Garde" w:hAnsi="ITC Avant Garde"/>
                <w:sz w:val="14"/>
                <w:szCs w:val="14"/>
              </w:rPr>
              <w:t>Carlos Juan de Dios Sánchez Bretón</w:t>
            </w:r>
            <w:r w:rsidR="00B209E7" w:rsidRPr="00DD6196">
              <w:rPr>
                <w:rFonts w:ascii="ITC Avant Garde" w:hAnsi="ITC Avant Garde"/>
                <w:sz w:val="14"/>
                <w:szCs w:val="14"/>
              </w:rPr>
              <w:t xml:space="preserve">, Director General de Economía del Espectro y Recursos Orbitales, correo electrónico: </w:t>
            </w:r>
            <w:hyperlink r:id="rId16" w:history="1">
              <w:r w:rsidR="00B209E7" w:rsidRPr="00BF5CAB">
                <w:rPr>
                  <w:rStyle w:val="Hipervnculo"/>
                  <w:rFonts w:ascii="ITC Avant Garde" w:hAnsi="ITC Avant Garde"/>
                  <w:sz w:val="14"/>
                  <w:szCs w:val="14"/>
                </w:rPr>
                <w:t>carlos.sanchezb@ift.org.mx</w:t>
              </w:r>
            </w:hyperlink>
            <w:r w:rsidR="00B209E7">
              <w:rPr>
                <w:rFonts w:ascii="ITC Avant Garde" w:hAnsi="ITC Avant Garde"/>
                <w:sz w:val="14"/>
                <w:szCs w:val="14"/>
              </w:rPr>
              <w:t>,</w:t>
            </w:r>
            <w:r w:rsidR="00B209E7" w:rsidRPr="00BF5CAB">
              <w:rPr>
                <w:rFonts w:ascii="ITC Avant Garde" w:hAnsi="ITC Avant Garde"/>
                <w:sz w:val="14"/>
                <w:szCs w:val="14"/>
              </w:rPr>
              <w:t xml:space="preserve"> número telefónico (55)</w:t>
            </w:r>
            <w:r w:rsidR="00B209E7">
              <w:rPr>
                <w:rFonts w:ascii="ITC Avant Garde" w:hAnsi="ITC Avant Garde"/>
                <w:sz w:val="14"/>
                <w:szCs w:val="14"/>
              </w:rPr>
              <w:t xml:space="preserve"> </w:t>
            </w:r>
            <w:r w:rsidR="00B209E7" w:rsidRPr="00BF5CAB">
              <w:rPr>
                <w:rFonts w:ascii="ITC Avant Garde" w:hAnsi="ITC Avant Garde"/>
                <w:sz w:val="14"/>
                <w:szCs w:val="14"/>
              </w:rPr>
              <w:t>5014-4353</w:t>
            </w:r>
            <w:r w:rsidR="00B209E7">
              <w:rPr>
                <w:rFonts w:ascii="ITC Avant Garde" w:hAnsi="ITC Avant Garde"/>
                <w:sz w:val="14"/>
                <w:szCs w:val="14"/>
              </w:rPr>
              <w:t>,</w:t>
            </w:r>
            <w:r w:rsidR="002B558F" w:rsidRPr="00A12C9D">
              <w:rPr>
                <w:rFonts w:ascii="ITC Avant Garde" w:eastAsia="Times New Roman" w:hAnsi="ITC Avant Garde"/>
                <w:color w:val="000000"/>
                <w:sz w:val="14"/>
                <w:szCs w:val="14"/>
                <w:lang w:eastAsia="es-MX"/>
              </w:rPr>
              <w:t xml:space="preserve"> </w:t>
            </w:r>
            <w:r w:rsidR="002B558F" w:rsidRPr="00A12C9D">
              <w:rPr>
                <w:rFonts w:ascii="ITC Avant Garde" w:hAnsi="ITC Avant Garde"/>
                <w:sz w:val="14"/>
                <w:szCs w:val="14"/>
              </w:rPr>
              <w:t xml:space="preserve">Federico Saggiante Rangel, Director de Licitaciones, correo electrónico: </w:t>
            </w:r>
            <w:hyperlink r:id="rId17" w:history="1">
              <w:r w:rsidR="002B558F" w:rsidRPr="002B558F">
                <w:rPr>
                  <w:rStyle w:val="Hipervnculo"/>
                  <w:rFonts w:ascii="ITC Avant Garde" w:hAnsi="ITC Avant Garde"/>
                  <w:sz w:val="14"/>
                  <w:szCs w:val="14"/>
                </w:rPr>
                <w:t>federico.saggiante@ift.org.mx</w:t>
              </w:r>
            </w:hyperlink>
            <w:r w:rsidR="002B558F" w:rsidRPr="002B558F">
              <w:rPr>
                <w:rFonts w:ascii="ITC Avant Garde" w:hAnsi="ITC Avant Garde"/>
                <w:sz w:val="14"/>
                <w:szCs w:val="14"/>
              </w:rPr>
              <w:t xml:space="preserve">, número telefónico (55) </w:t>
            </w:r>
            <w:r w:rsidR="002B558F" w:rsidRPr="00D77944">
              <w:rPr>
                <w:rFonts w:ascii="ITC Avant Garde" w:hAnsi="ITC Avant Garde"/>
                <w:sz w:val="14"/>
                <w:szCs w:val="14"/>
              </w:rPr>
              <w:t xml:space="preserve">5014-4738; y María Isabel De la Vega Esteinou, Subdirectora de Licitaciones "B", correo electrónico: </w:t>
            </w:r>
            <w:hyperlink r:id="rId18" w:history="1">
              <w:r w:rsidR="002B558F" w:rsidRPr="002B558F">
                <w:rPr>
                  <w:rStyle w:val="Hipervnculo"/>
                  <w:rFonts w:ascii="ITC Avant Garde" w:hAnsi="ITC Avant Garde"/>
                  <w:sz w:val="14"/>
                  <w:szCs w:val="14"/>
                </w:rPr>
                <w:t>i</w:t>
              </w:r>
              <w:r w:rsidR="002B558F" w:rsidRPr="00D77944">
                <w:rPr>
                  <w:rStyle w:val="Hipervnculo"/>
                  <w:rFonts w:ascii="ITC Avant Garde" w:hAnsi="ITC Avant Garde"/>
                  <w:sz w:val="14"/>
                  <w:szCs w:val="14"/>
                </w:rPr>
                <w:t>sabel.delavega@ift.org.mx</w:t>
              </w:r>
            </w:hyperlink>
            <w:r w:rsidR="002B558F" w:rsidRPr="002B558F">
              <w:rPr>
                <w:rFonts w:ascii="ITC Avant Garde" w:hAnsi="ITC Avant Garde"/>
                <w:sz w:val="14"/>
                <w:szCs w:val="14"/>
                <w:u w:val="single"/>
              </w:rPr>
              <w:t>,</w:t>
            </w:r>
            <w:r w:rsidR="002B558F" w:rsidRPr="002B558F">
              <w:rPr>
                <w:rFonts w:ascii="ITC Avant Garde" w:hAnsi="ITC Avant Garde"/>
                <w:sz w:val="14"/>
                <w:szCs w:val="14"/>
              </w:rPr>
              <w:t xml:space="preserve"> número telefónico (55)</w:t>
            </w:r>
            <w:r w:rsidR="002B558F" w:rsidRPr="00D77944">
              <w:rPr>
                <w:rFonts w:ascii="ITC Avant Garde" w:hAnsi="ITC Avant Garde"/>
                <w:sz w:val="14"/>
                <w:szCs w:val="14"/>
              </w:rPr>
              <w:t xml:space="preserve"> 5014-4154</w:t>
            </w:r>
            <w:r w:rsidRPr="00D77944">
              <w:rPr>
                <w:rFonts w:ascii="ITC Avant Garde" w:eastAsia="Times New Roman" w:hAnsi="ITC Avant Garde"/>
                <w:color w:val="000000"/>
                <w:sz w:val="14"/>
                <w:szCs w:val="14"/>
                <w:lang w:eastAsia="es-MX"/>
              </w:rPr>
              <w:t xml:space="preserve">, </w:t>
            </w:r>
            <w:r w:rsidR="00D77944">
              <w:rPr>
                <w:rFonts w:ascii="ITC Avant Garde" w:eastAsia="Times New Roman" w:hAnsi="ITC Avant Garde"/>
                <w:color w:val="000000"/>
                <w:sz w:val="14"/>
                <w:szCs w:val="14"/>
                <w:lang w:eastAsia="es-MX"/>
              </w:rPr>
              <w:t xml:space="preserve">respectivamente, </w:t>
            </w:r>
            <w:r w:rsidRPr="00D77944">
              <w:rPr>
                <w:rFonts w:ascii="ITC Avant Garde" w:eastAsia="Times New Roman" w:hAnsi="ITC Avant Garde"/>
                <w:color w:val="000000"/>
                <w:sz w:val="14"/>
                <w:szCs w:val="14"/>
                <w:lang w:eastAsia="es-MX"/>
              </w:rPr>
              <w:t xml:space="preserve">con quienes el titular de los datos personales podrá comunicarse </w:t>
            </w:r>
            <w:r w:rsidR="00A57E13" w:rsidRPr="00D77944">
              <w:rPr>
                <w:rFonts w:ascii="ITC Avant Garde" w:eastAsia="Times New Roman" w:hAnsi="ITC Avant Garde"/>
                <w:color w:val="000000"/>
                <w:sz w:val="14"/>
                <w:szCs w:val="14"/>
                <w:lang w:eastAsia="es-MX"/>
              </w:rPr>
              <w:t>para cualquier manifestación o inquietud al respecto</w:t>
            </w:r>
            <w:r w:rsidR="00A57E13" w:rsidRPr="00F36A5D">
              <w:rPr>
                <w:rFonts w:ascii="ITC Avant Garde" w:eastAsia="Times New Roman" w:hAnsi="ITC Avant Garde"/>
                <w:color w:val="000000"/>
                <w:sz w:val="14"/>
                <w:szCs w:val="16"/>
                <w:lang w:eastAsia="es-MX"/>
              </w:rPr>
              <w:t xml:space="preserve">. </w:t>
            </w:r>
          </w:p>
          <w:p w14:paraId="4AA36268" w14:textId="77777777" w:rsidR="00D22B9D" w:rsidRPr="00F36A5D" w:rsidRDefault="00D22B9D" w:rsidP="00D42FCD">
            <w:pPr>
              <w:spacing w:after="0" w:line="240" w:lineRule="auto"/>
              <w:ind w:left="492" w:right="229"/>
              <w:jc w:val="both"/>
              <w:rPr>
                <w:rFonts w:ascii="ITC Avant Garde" w:eastAsia="Times New Roman" w:hAnsi="ITC Avant Garde"/>
                <w:color w:val="000000"/>
                <w:sz w:val="14"/>
                <w:szCs w:val="16"/>
                <w:lang w:eastAsia="es-MX"/>
              </w:rPr>
            </w:pPr>
          </w:p>
          <w:p w14:paraId="790302A6" w14:textId="77777777" w:rsidR="00A57E13" w:rsidRDefault="000E55B0" w:rsidP="002B1516">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03899677" w14:textId="77777777" w:rsidR="00F812E3" w:rsidRPr="00F36A5D" w:rsidRDefault="00F812E3" w:rsidP="002B1516">
            <w:pPr>
              <w:spacing w:after="0" w:line="240" w:lineRule="auto"/>
              <w:ind w:left="492" w:right="229"/>
              <w:jc w:val="both"/>
              <w:rPr>
                <w:rFonts w:ascii="ITC Avant Garde" w:eastAsia="Times New Roman" w:hAnsi="ITC Avant Garde"/>
                <w:color w:val="000000"/>
                <w:sz w:val="14"/>
                <w:szCs w:val="16"/>
                <w:lang w:eastAsia="es-MX"/>
              </w:rPr>
            </w:pPr>
          </w:p>
          <w:p w14:paraId="505E05F5" w14:textId="77777777" w:rsidR="00A57E13" w:rsidRDefault="00A57E13" w:rsidP="001208F6">
            <w:pPr>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r w:rsidR="001208F6">
              <w:rPr>
                <w:rFonts w:ascii="ITC Avant Garde" w:eastAsia="Times New Roman" w:hAnsi="ITC Avant Garde"/>
                <w:color w:val="000000"/>
                <w:sz w:val="14"/>
                <w:szCs w:val="16"/>
                <w:lang w:eastAsia="es-MX"/>
              </w:rPr>
              <w:t>:</w:t>
            </w:r>
          </w:p>
          <w:p w14:paraId="421760B8" w14:textId="77777777" w:rsidR="00F36A5D" w:rsidRPr="00F36A5D" w:rsidRDefault="00F36A5D" w:rsidP="00201EDB">
            <w:pPr>
              <w:spacing w:after="0" w:line="240" w:lineRule="auto"/>
              <w:ind w:left="852" w:right="229"/>
              <w:jc w:val="both"/>
              <w:rPr>
                <w:rFonts w:ascii="ITC Avant Garde" w:eastAsia="Times New Roman" w:hAnsi="ITC Avant Garde"/>
                <w:color w:val="000000"/>
                <w:sz w:val="14"/>
                <w:szCs w:val="16"/>
                <w:lang w:eastAsia="es-MX"/>
              </w:rPr>
            </w:pPr>
          </w:p>
          <w:p w14:paraId="15E64F15"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3F74A31C"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78A231C6"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015C7983"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53AE3E60"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5E9BD406" w14:textId="77777777" w:rsidR="00A57E13" w:rsidRPr="00F36A5D" w:rsidRDefault="00A57E13" w:rsidP="004D55DC">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1B21C5BF"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79ABE283" w14:textId="77777777" w:rsidR="00F812E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medios a través de los cuales el titular podrá presentar solicitudes para el ejercicio de los derechos ARCO</w:t>
            </w:r>
          </w:p>
          <w:p w14:paraId="521DA949" w14:textId="77777777" w:rsidR="00F812E3" w:rsidRPr="00F36A5D" w:rsidRDefault="00F812E3" w:rsidP="004D55DC">
            <w:pPr>
              <w:spacing w:after="0" w:line="240" w:lineRule="auto"/>
              <w:ind w:left="539" w:right="229"/>
              <w:jc w:val="both"/>
              <w:rPr>
                <w:rFonts w:ascii="ITC Avant Garde" w:eastAsia="Times New Roman" w:hAnsi="ITC Avant Garde"/>
                <w:color w:val="000000"/>
                <w:sz w:val="14"/>
                <w:szCs w:val="16"/>
                <w:lang w:eastAsia="es-MX"/>
              </w:rPr>
            </w:pPr>
          </w:p>
          <w:p w14:paraId="56F42C5C" w14:textId="77777777" w:rsidR="00A57E13" w:rsidRPr="00F36A5D" w:rsidRDefault="00A57E13" w:rsidP="004D55DC">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7056B344" w14:textId="77777777" w:rsidR="00F812E3" w:rsidRPr="00F36A5D" w:rsidRDefault="00F812E3" w:rsidP="004D55DC">
            <w:pPr>
              <w:spacing w:after="0" w:line="240" w:lineRule="auto"/>
              <w:ind w:left="539" w:right="229"/>
              <w:jc w:val="both"/>
              <w:rPr>
                <w:rFonts w:ascii="ITC Avant Garde" w:eastAsia="Times New Roman" w:hAnsi="ITC Avant Garde"/>
                <w:color w:val="000000"/>
                <w:sz w:val="14"/>
                <w:szCs w:val="16"/>
                <w:lang w:eastAsia="es-MX"/>
              </w:rPr>
            </w:pPr>
          </w:p>
          <w:p w14:paraId="49281C7B" w14:textId="77777777" w:rsidR="00A57E13" w:rsidRPr="00F36A5D" w:rsidRDefault="00A57E13" w:rsidP="004D55DC">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22D9805D"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0D1E35EC" w14:textId="77777777"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formularios, sistemas y otros medios simplificados que, en su caso, el Instituto hubiere establecido para facilitar al titular el ejercicio de sus derechos ARCO.</w:t>
            </w:r>
          </w:p>
          <w:p w14:paraId="5B0752CF"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4300B241"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9"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0CC34667"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A708847" w14:textId="77777777"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medios habilitados para dar respuesta a las solicitudes para el ejercicio de los derechos ARCO</w:t>
            </w:r>
            <w:r w:rsidR="001208F6" w:rsidRPr="001208F6">
              <w:rPr>
                <w:rFonts w:ascii="ITC Avant Garde" w:eastAsia="Times New Roman" w:hAnsi="ITC Avant Garde"/>
                <w:color w:val="000000"/>
                <w:sz w:val="14"/>
                <w:szCs w:val="16"/>
                <w:lang w:eastAsia="es-MX"/>
              </w:rPr>
              <w:t>.</w:t>
            </w:r>
            <w:r w:rsidRPr="001208F6">
              <w:rPr>
                <w:rFonts w:ascii="ITC Avant Garde" w:eastAsia="Times New Roman" w:hAnsi="ITC Avant Garde"/>
                <w:color w:val="000000"/>
                <w:sz w:val="14"/>
                <w:szCs w:val="16"/>
                <w:lang w:eastAsia="es-MX"/>
              </w:rPr>
              <w:t xml:space="preserve"> </w:t>
            </w:r>
          </w:p>
          <w:p w14:paraId="0A28E1BD"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5D68D03F"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1909F0C2"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2D65FD39" w14:textId="77777777"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 xml:space="preserve">La modalidad o medios de reproducción de los datos personales </w:t>
            </w:r>
          </w:p>
          <w:p w14:paraId="3CB036C5"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4F31ECD8"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49580D09"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51F8E1B1" w14:textId="77777777"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plazos establecidos dentro del procedimiento -los cuales no deberán contravenir los previsto en los artículos 51, 52, 53 y 54 de la LGPDPPSO- son los siguientes:</w:t>
            </w:r>
          </w:p>
          <w:p w14:paraId="53F731D2"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4D3F1C0E"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9242BF7"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4BB76544"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55B4C6EE"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13408183"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En caso de resultar procedente el ejercicio de los derechos ARCO, el responsable deberá hacerlo efectivo en un plazo que no podrá exceder de quince días contados a partir del día siguiente en que se haya notificado la respuesta al titular.</w:t>
            </w:r>
          </w:p>
          <w:p w14:paraId="2CB54B65"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421A1C23"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7EB63843"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2F996278"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2A636073"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4177E0DD"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2EFA43E5"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520B7837"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1D0FAF86"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7DCD5D7A"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4A87FB32" w14:textId="77777777" w:rsidR="009160D3" w:rsidRPr="00F36A5D" w:rsidRDefault="009160D3" w:rsidP="004D55DC">
            <w:pPr>
              <w:spacing w:after="0" w:line="240" w:lineRule="auto"/>
              <w:ind w:left="492" w:right="229"/>
              <w:jc w:val="both"/>
              <w:rPr>
                <w:rFonts w:ascii="ITC Avant Garde" w:eastAsia="Times New Roman" w:hAnsi="ITC Avant Garde"/>
                <w:color w:val="000000"/>
                <w:sz w:val="14"/>
                <w:szCs w:val="16"/>
                <w:lang w:eastAsia="es-MX"/>
              </w:rPr>
            </w:pPr>
          </w:p>
          <w:p w14:paraId="5DBC79F7" w14:textId="77777777"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El derecho que tiene el titular de presentar un recurso de revisión ante el INAI en caso de estar inconforme con la respuesta</w:t>
            </w:r>
          </w:p>
          <w:p w14:paraId="229FD98A" w14:textId="77777777" w:rsidR="009160D3" w:rsidRPr="00F36A5D" w:rsidRDefault="009160D3" w:rsidP="0085081B">
            <w:pPr>
              <w:spacing w:after="0" w:line="240" w:lineRule="auto"/>
              <w:ind w:left="492" w:right="229"/>
              <w:jc w:val="both"/>
              <w:rPr>
                <w:rFonts w:ascii="ITC Avant Garde" w:eastAsia="Times New Roman" w:hAnsi="ITC Avant Garde"/>
                <w:color w:val="000000"/>
                <w:sz w:val="14"/>
                <w:szCs w:val="16"/>
                <w:lang w:eastAsia="es-MX"/>
              </w:rPr>
            </w:pPr>
          </w:p>
          <w:p w14:paraId="696950AE" w14:textId="77777777" w:rsidR="009160D3" w:rsidRDefault="00A57E13" w:rsidP="00D94AAB">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8492358" w14:textId="77777777" w:rsidR="00F36A5D" w:rsidRDefault="00F36A5D" w:rsidP="00425261">
            <w:pPr>
              <w:spacing w:after="0" w:line="240" w:lineRule="auto"/>
              <w:ind w:left="492" w:right="229"/>
              <w:jc w:val="both"/>
              <w:rPr>
                <w:rFonts w:ascii="ITC Avant Garde" w:eastAsia="Times New Roman" w:hAnsi="ITC Avant Garde"/>
                <w:color w:val="000000"/>
                <w:sz w:val="14"/>
                <w:szCs w:val="16"/>
                <w:lang w:eastAsia="es-MX"/>
              </w:rPr>
            </w:pPr>
          </w:p>
          <w:p w14:paraId="78DD8B4E" w14:textId="77777777" w:rsidR="00EC144A" w:rsidRDefault="000E55B0" w:rsidP="004D55DC">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w:t>
            </w:r>
            <w:r w:rsidR="00277829">
              <w:rPr>
                <w:rFonts w:ascii="ITC Avant Garde" w:eastAsia="Times New Roman" w:hAnsi="ITC Avant Garde"/>
                <w:color w:val="000000"/>
                <w:sz w:val="14"/>
                <w:szCs w:val="16"/>
                <w:lang w:eastAsia="es-MX"/>
              </w:rPr>
              <w:t>colonia</w:t>
            </w:r>
            <w:r w:rsidRPr="00EC144A">
              <w:rPr>
                <w:rFonts w:ascii="ITC Avant Garde" w:eastAsia="Times New Roman" w:hAnsi="ITC Avant Garde"/>
                <w:color w:val="000000"/>
                <w:sz w:val="14"/>
                <w:szCs w:val="16"/>
                <w:lang w:eastAsia="es-MX"/>
              </w:rPr>
              <w:t xml:space="preserve"> Nochebuena, </w:t>
            </w:r>
            <w:r w:rsidR="001208F6">
              <w:rPr>
                <w:rFonts w:ascii="ITC Avant Garde" w:eastAsia="Times New Roman" w:hAnsi="ITC Avant Garde"/>
                <w:color w:val="000000"/>
                <w:sz w:val="14"/>
                <w:szCs w:val="16"/>
                <w:lang w:eastAsia="es-MX"/>
              </w:rPr>
              <w:t>Alcaldía</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teléfono 50154000, extensión 4267.</w:t>
            </w:r>
          </w:p>
          <w:p w14:paraId="66363335" w14:textId="77777777" w:rsidR="00F36A5D" w:rsidRPr="00EC144A" w:rsidRDefault="00F36A5D" w:rsidP="0085081B">
            <w:pPr>
              <w:spacing w:after="0" w:line="240" w:lineRule="auto"/>
              <w:ind w:right="229"/>
              <w:jc w:val="both"/>
              <w:rPr>
                <w:rFonts w:ascii="ITC Avant Garde" w:eastAsia="Times New Roman" w:hAnsi="ITC Avant Garde"/>
                <w:color w:val="000000"/>
                <w:sz w:val="14"/>
                <w:szCs w:val="16"/>
                <w:lang w:eastAsia="es-MX"/>
              </w:rPr>
            </w:pPr>
          </w:p>
          <w:p w14:paraId="48576C78" w14:textId="77777777" w:rsidR="00074296" w:rsidRPr="00F36A5D" w:rsidRDefault="000E55B0" w:rsidP="00917436">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tc>
      </w:tr>
    </w:tbl>
    <w:p w14:paraId="72B9533A" w14:textId="77777777" w:rsidR="005F3F0A" w:rsidRPr="00F36A5D" w:rsidRDefault="005F3F0A" w:rsidP="00DF5B3F">
      <w:pPr>
        <w:spacing w:after="0"/>
        <w:rPr>
          <w:rFonts w:ascii="ITC Avant Garde" w:hAnsi="ITC Avant Garde"/>
          <w:vanish/>
        </w:rPr>
      </w:pPr>
    </w:p>
    <w:p w14:paraId="4ABADD71" w14:textId="77777777" w:rsidR="004729CC" w:rsidRDefault="004729CC" w:rsidP="00C41536">
      <w:pPr>
        <w:spacing w:after="0"/>
        <w:jc w:val="both"/>
        <w:rPr>
          <w:rFonts w:ascii="ITC Avant Garde" w:hAnsi="ITC Avant Garde"/>
          <w:sz w:val="12"/>
        </w:rPr>
      </w:pPr>
    </w:p>
    <w:tbl>
      <w:tblPr>
        <w:tblpPr w:leftFromText="141" w:rightFromText="141"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7"/>
        <w:gridCol w:w="7174"/>
      </w:tblGrid>
      <w:tr w:rsidR="005F3F0A" w:rsidRPr="00F36A5D" w14:paraId="6768944A" w14:textId="77777777" w:rsidTr="005F3F0A">
        <w:trPr>
          <w:trHeight w:val="581"/>
        </w:trPr>
        <w:tc>
          <w:tcPr>
            <w:tcW w:w="5000" w:type="pct"/>
            <w:gridSpan w:val="2"/>
            <w:shd w:val="clear" w:color="auto" w:fill="D9D9D9"/>
            <w:vAlign w:val="center"/>
            <w:hideMark/>
          </w:tcPr>
          <w:p w14:paraId="7DCE1E2D" w14:textId="77777777" w:rsidR="005F3F0A" w:rsidRPr="00F36A5D" w:rsidRDefault="005F3F0A" w:rsidP="00D42FCD">
            <w:pPr>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 xml:space="preserve">Comentarios, opiniones </w:t>
            </w:r>
            <w:r w:rsidRPr="00F36A5D">
              <w:rPr>
                <w:rFonts w:ascii="ITC Avant Garde" w:eastAsia="Times New Roman" w:hAnsi="ITC Avant Garde"/>
                <w:b/>
                <w:bCs/>
                <w:lang w:eastAsia="es-MX"/>
              </w:rPr>
              <w:t>y aportaciones específicos del participante sobre el asunto en consulta pública</w:t>
            </w:r>
          </w:p>
        </w:tc>
      </w:tr>
      <w:tr w:rsidR="005F3F0A" w:rsidRPr="00F36A5D" w14:paraId="68DA7222" w14:textId="77777777" w:rsidTr="005F3F0A">
        <w:trPr>
          <w:trHeight w:val="399"/>
        </w:trPr>
        <w:tc>
          <w:tcPr>
            <w:tcW w:w="979" w:type="pct"/>
            <w:shd w:val="clear" w:color="auto" w:fill="C5E0B3"/>
            <w:vAlign w:val="center"/>
            <w:hideMark/>
          </w:tcPr>
          <w:p w14:paraId="320DC31C" w14:textId="77777777" w:rsidR="005F3F0A" w:rsidRPr="00975C25" w:rsidRDefault="00A402BB" w:rsidP="00FA5549">
            <w:pPr>
              <w:spacing w:after="0" w:line="240" w:lineRule="auto"/>
              <w:jc w:val="center"/>
              <w:rPr>
                <w:rFonts w:ascii="ITC Avant Garde" w:eastAsia="Times New Roman" w:hAnsi="ITC Avant Garde"/>
                <w:color w:val="000000"/>
                <w:sz w:val="18"/>
                <w:lang w:eastAsia="es-MX"/>
              </w:rPr>
            </w:pPr>
            <w:r>
              <w:rPr>
                <w:rFonts w:ascii="Century Gothic" w:eastAsia="Times New Roman" w:hAnsi="Century Gothic"/>
                <w:color w:val="000000"/>
                <w:sz w:val="20"/>
                <w:lang w:eastAsia="es-MX"/>
              </w:rPr>
              <w:t xml:space="preserve">Sección del </w:t>
            </w:r>
            <w:r w:rsidR="005F3F0A" w:rsidRPr="00026E5A">
              <w:rPr>
                <w:rFonts w:ascii="Century Gothic" w:eastAsia="Times New Roman" w:hAnsi="Century Gothic"/>
                <w:color w:val="000000"/>
                <w:sz w:val="20"/>
                <w:lang w:eastAsia="es-MX"/>
              </w:rPr>
              <w:t xml:space="preserve">Proyecto de </w:t>
            </w:r>
            <w:r w:rsidR="00160550">
              <w:rPr>
                <w:rFonts w:ascii="Century Gothic" w:eastAsia="Times New Roman" w:hAnsi="Century Gothic"/>
                <w:color w:val="000000"/>
                <w:sz w:val="20"/>
                <w:lang w:eastAsia="es-MX"/>
              </w:rPr>
              <w:t>Numeral</w:t>
            </w:r>
            <w:r w:rsidR="005F3F0A" w:rsidRPr="00026E5A">
              <w:rPr>
                <w:rFonts w:ascii="Century Gothic" w:eastAsia="Times New Roman" w:hAnsi="Century Gothic"/>
                <w:color w:val="000000"/>
                <w:sz w:val="20"/>
                <w:lang w:eastAsia="es-MX"/>
              </w:rPr>
              <w:t xml:space="preserve"> </w:t>
            </w:r>
            <w:r w:rsidR="005F3F0A">
              <w:rPr>
                <w:rFonts w:ascii="Century Gothic" w:eastAsia="Times New Roman" w:hAnsi="Century Gothic"/>
                <w:color w:val="000000"/>
                <w:sz w:val="20"/>
                <w:lang w:eastAsia="es-MX"/>
              </w:rPr>
              <w:t xml:space="preserve">de Licitación, </w:t>
            </w:r>
            <w:r w:rsidR="005F3F0A" w:rsidRPr="00026E5A">
              <w:rPr>
                <w:rFonts w:ascii="Century Gothic" w:eastAsia="Times New Roman" w:hAnsi="Century Gothic"/>
                <w:color w:val="000000"/>
                <w:sz w:val="20"/>
                <w:lang w:eastAsia="es-MX"/>
              </w:rPr>
              <w:t>Apéndices</w:t>
            </w:r>
            <w:r w:rsidR="005F3F0A">
              <w:rPr>
                <w:rFonts w:ascii="Century Gothic" w:eastAsia="Times New Roman" w:hAnsi="Century Gothic"/>
                <w:color w:val="000000"/>
                <w:sz w:val="20"/>
                <w:lang w:eastAsia="es-MX"/>
              </w:rPr>
              <w:t xml:space="preserve"> y</w:t>
            </w:r>
            <w:r>
              <w:rPr>
                <w:rFonts w:ascii="Century Gothic" w:eastAsia="Times New Roman" w:hAnsi="Century Gothic"/>
                <w:color w:val="000000"/>
                <w:sz w:val="20"/>
                <w:lang w:eastAsia="es-MX"/>
              </w:rPr>
              <w:t>/o</w:t>
            </w:r>
            <w:r w:rsidR="005F3F0A">
              <w:rPr>
                <w:rFonts w:ascii="Century Gothic" w:eastAsia="Times New Roman" w:hAnsi="Century Gothic"/>
                <w:color w:val="000000"/>
                <w:sz w:val="20"/>
                <w:lang w:eastAsia="es-MX"/>
              </w:rPr>
              <w:t xml:space="preserve"> Anexos</w:t>
            </w:r>
            <w:r w:rsidR="005F3F0A" w:rsidRPr="00026E5A">
              <w:rPr>
                <w:rFonts w:ascii="Century Gothic" w:eastAsia="Times New Roman" w:hAnsi="Century Gothic"/>
                <w:color w:val="000000"/>
                <w:sz w:val="20"/>
                <w:lang w:eastAsia="es-MX"/>
              </w:rPr>
              <w:t xml:space="preserve"> sujetos a este proceso consultivo</w:t>
            </w:r>
          </w:p>
        </w:tc>
        <w:tc>
          <w:tcPr>
            <w:tcW w:w="4021" w:type="pct"/>
            <w:shd w:val="clear" w:color="auto" w:fill="C5E0B3"/>
            <w:vAlign w:val="center"/>
            <w:hideMark/>
          </w:tcPr>
          <w:p w14:paraId="5502D60C" w14:textId="77777777" w:rsidR="005F3F0A" w:rsidRPr="00975C25" w:rsidRDefault="005F3F0A" w:rsidP="005F3F0A">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 opiniones o aportaciones</w:t>
            </w:r>
          </w:p>
        </w:tc>
      </w:tr>
      <w:tr w:rsidR="00160550" w:rsidRPr="00160550" w14:paraId="51AD1BF8" w14:textId="77777777" w:rsidTr="008D18C4">
        <w:trPr>
          <w:trHeight w:val="290"/>
        </w:trPr>
        <w:tc>
          <w:tcPr>
            <w:tcW w:w="979" w:type="pct"/>
            <w:shd w:val="clear" w:color="auto" w:fill="auto"/>
            <w:vAlign w:val="center"/>
          </w:tcPr>
          <w:p w14:paraId="1F597226" w14:textId="77777777" w:rsidR="00160550" w:rsidRPr="00160550" w:rsidRDefault="00160550" w:rsidP="00160550">
            <w:pPr>
              <w:spacing w:after="0" w:line="240" w:lineRule="auto"/>
              <w:jc w:val="center"/>
              <w:rPr>
                <w:rFonts w:ascii="ITC Avant Garde" w:eastAsia="Times New Roman" w:hAnsi="ITC Avant Garde"/>
                <w:color w:val="000000"/>
                <w:sz w:val="20"/>
                <w:szCs w:val="20"/>
                <w:highlight w:val="yellow"/>
                <w:lang w:eastAsia="es-MX"/>
              </w:rPr>
            </w:pPr>
            <w:r w:rsidRPr="00E06BAC">
              <w:rPr>
                <w:rFonts w:ascii="ITC Avant Garde" w:eastAsia="Times New Roman" w:hAnsi="ITC Avant Garde"/>
                <w:color w:val="000000"/>
                <w:sz w:val="20"/>
                <w:szCs w:val="20"/>
                <w:lang w:eastAsia="es-MX"/>
              </w:rPr>
              <w:t>Fracción XIII del Numeral 1</w:t>
            </w:r>
          </w:p>
        </w:tc>
        <w:tc>
          <w:tcPr>
            <w:tcW w:w="4021" w:type="pct"/>
            <w:shd w:val="clear" w:color="auto" w:fill="auto"/>
            <w:vAlign w:val="center"/>
          </w:tcPr>
          <w:p w14:paraId="457CCF95" w14:textId="77777777" w:rsidR="0078130E" w:rsidRPr="00E06BAC" w:rsidRDefault="0078130E" w:rsidP="0078130E">
            <w:pPr>
              <w:spacing w:after="0" w:line="240" w:lineRule="auto"/>
              <w:jc w:val="both"/>
              <w:rPr>
                <w:rFonts w:ascii="ITC Avant Garde" w:eastAsia="Times New Roman" w:hAnsi="ITC Avant Garde"/>
                <w:color w:val="000000"/>
                <w:sz w:val="20"/>
                <w:szCs w:val="20"/>
                <w:lang w:eastAsia="es-MX"/>
              </w:rPr>
            </w:pPr>
            <w:r w:rsidRPr="00E06BAC">
              <w:rPr>
                <w:rFonts w:ascii="ITC Avant Garde" w:eastAsia="Times New Roman" w:hAnsi="ITC Avant Garde"/>
                <w:color w:val="000000"/>
                <w:sz w:val="20"/>
                <w:szCs w:val="20"/>
                <w:lang w:eastAsia="es-MX"/>
              </w:rPr>
              <w:t>Se recomienda que este término definido no sea tan largo y que pueda definirse simplemente como “Componente Complementario Terrestre”.</w:t>
            </w:r>
          </w:p>
          <w:p w14:paraId="60344E4F" w14:textId="77777777" w:rsidR="00733FAC" w:rsidRPr="00E06BAC" w:rsidRDefault="00733FAC" w:rsidP="0078130E">
            <w:pPr>
              <w:spacing w:after="0" w:line="240" w:lineRule="auto"/>
              <w:jc w:val="both"/>
              <w:rPr>
                <w:rFonts w:ascii="ITC Avant Garde" w:eastAsia="Times New Roman" w:hAnsi="ITC Avant Garde"/>
                <w:color w:val="000000"/>
                <w:sz w:val="20"/>
                <w:szCs w:val="20"/>
                <w:highlight w:val="yellow"/>
                <w:lang w:eastAsia="es-MX"/>
              </w:rPr>
            </w:pPr>
          </w:p>
        </w:tc>
      </w:tr>
      <w:tr w:rsidR="00160550" w:rsidRPr="00F36A5D" w14:paraId="0B7C31FE" w14:textId="77777777" w:rsidTr="008D18C4">
        <w:trPr>
          <w:trHeight w:val="290"/>
        </w:trPr>
        <w:tc>
          <w:tcPr>
            <w:tcW w:w="979" w:type="pct"/>
            <w:shd w:val="clear" w:color="auto" w:fill="auto"/>
            <w:vAlign w:val="center"/>
          </w:tcPr>
          <w:p w14:paraId="7916C8D0" w14:textId="77777777" w:rsidR="00160550" w:rsidRPr="000B7F85" w:rsidRDefault="00160550" w:rsidP="00160550">
            <w:pPr>
              <w:spacing w:after="0" w:line="240" w:lineRule="auto"/>
              <w:jc w:val="center"/>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Fracción XLIII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1</w:t>
            </w:r>
          </w:p>
        </w:tc>
        <w:tc>
          <w:tcPr>
            <w:tcW w:w="4021" w:type="pct"/>
            <w:shd w:val="clear" w:color="auto" w:fill="auto"/>
            <w:vAlign w:val="center"/>
          </w:tcPr>
          <w:p w14:paraId="7A22DDF4" w14:textId="77777777" w:rsidR="00160550" w:rsidRPr="000B7F85" w:rsidRDefault="00160550" w:rsidP="00160550">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La fracción XLIII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1 define “Operador Satelital”, pero dicha definición no se emplea en </w:t>
            </w:r>
            <w:r w:rsidR="00706069">
              <w:rPr>
                <w:rFonts w:ascii="ITC Avant Garde" w:eastAsia="Times New Roman" w:hAnsi="ITC Avant Garde"/>
                <w:color w:val="000000"/>
                <w:sz w:val="20"/>
                <w:szCs w:val="20"/>
                <w:lang w:eastAsia="es-MX"/>
              </w:rPr>
              <w:t>las Bases</w:t>
            </w:r>
            <w:r w:rsidRPr="000B7F85">
              <w:rPr>
                <w:rFonts w:ascii="ITC Avant Garde" w:eastAsia="Times New Roman" w:hAnsi="ITC Avant Garde"/>
                <w:color w:val="000000"/>
                <w:sz w:val="20"/>
                <w:szCs w:val="20"/>
                <w:lang w:eastAsia="es-MX"/>
              </w:rPr>
              <w:t xml:space="preserve">, ni en sus respectivos apéndices y anexos. </w:t>
            </w:r>
          </w:p>
          <w:p w14:paraId="26A9C65D" w14:textId="77777777" w:rsidR="00160550" w:rsidRPr="000B7F85" w:rsidRDefault="00160550" w:rsidP="00160550">
            <w:pPr>
              <w:spacing w:after="0" w:line="240" w:lineRule="auto"/>
              <w:jc w:val="both"/>
              <w:rPr>
                <w:rFonts w:ascii="ITC Avant Garde" w:eastAsia="Times New Roman" w:hAnsi="ITC Avant Garde"/>
                <w:color w:val="000000"/>
                <w:sz w:val="20"/>
                <w:szCs w:val="20"/>
                <w:lang w:eastAsia="es-MX"/>
              </w:rPr>
            </w:pPr>
          </w:p>
          <w:p w14:paraId="5A2BA6D7" w14:textId="77777777" w:rsidR="00160550" w:rsidRDefault="00706069" w:rsidP="00706069">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En caso de que no se utilice, s</w:t>
            </w:r>
            <w:r w:rsidR="00160550" w:rsidRPr="000B7F85">
              <w:rPr>
                <w:rFonts w:ascii="ITC Avant Garde" w:eastAsia="Times New Roman" w:hAnsi="ITC Avant Garde"/>
                <w:color w:val="000000"/>
                <w:sz w:val="20"/>
                <w:szCs w:val="20"/>
                <w:lang w:eastAsia="es-MX"/>
              </w:rPr>
              <w:t xml:space="preserve">e sugiere eliminar la definición de Operador Satelital. </w:t>
            </w:r>
          </w:p>
          <w:p w14:paraId="57AC63C4" w14:textId="77777777" w:rsidR="00733FAC" w:rsidRPr="000B7F85" w:rsidRDefault="00733FAC" w:rsidP="00706069">
            <w:pPr>
              <w:spacing w:after="0" w:line="240" w:lineRule="auto"/>
              <w:jc w:val="both"/>
              <w:rPr>
                <w:rFonts w:ascii="ITC Avant Garde" w:eastAsia="Times New Roman" w:hAnsi="ITC Avant Garde"/>
                <w:color w:val="000000"/>
                <w:sz w:val="20"/>
                <w:szCs w:val="20"/>
                <w:lang w:eastAsia="es-MX"/>
              </w:rPr>
            </w:pPr>
          </w:p>
        </w:tc>
      </w:tr>
      <w:tr w:rsidR="00706069" w:rsidRPr="00706069" w14:paraId="7F794EC1" w14:textId="77777777" w:rsidTr="008D18C4">
        <w:trPr>
          <w:trHeight w:val="290"/>
        </w:trPr>
        <w:tc>
          <w:tcPr>
            <w:tcW w:w="979" w:type="pct"/>
            <w:shd w:val="clear" w:color="auto" w:fill="auto"/>
            <w:vAlign w:val="center"/>
          </w:tcPr>
          <w:p w14:paraId="3696A44E" w14:textId="77777777" w:rsidR="00706069" w:rsidRPr="000B7F85" w:rsidRDefault="00706069" w:rsidP="00706069">
            <w:pPr>
              <w:spacing w:after="0" w:line="240" w:lineRule="auto"/>
              <w:jc w:val="center"/>
              <w:rPr>
                <w:rFonts w:ascii="ITC Avant Garde" w:eastAsia="Times New Roman" w:hAnsi="ITC Avant Garde"/>
                <w:color w:val="000000"/>
                <w:sz w:val="20"/>
                <w:szCs w:val="20"/>
                <w:lang w:eastAsia="es-MX"/>
              </w:rPr>
            </w:pPr>
            <w:r w:rsidRPr="00E06BAC">
              <w:rPr>
                <w:rFonts w:ascii="ITC Avant Garde" w:eastAsia="Times New Roman" w:hAnsi="ITC Avant Garde"/>
                <w:color w:val="000000"/>
                <w:sz w:val="20"/>
                <w:szCs w:val="20"/>
                <w:lang w:eastAsia="es-MX"/>
              </w:rPr>
              <w:t>Fracción XLIX del Numeral 1</w:t>
            </w:r>
          </w:p>
        </w:tc>
        <w:tc>
          <w:tcPr>
            <w:tcW w:w="4021" w:type="pct"/>
            <w:shd w:val="clear" w:color="auto" w:fill="auto"/>
            <w:vAlign w:val="center"/>
          </w:tcPr>
          <w:p w14:paraId="4C2A25AB" w14:textId="77777777" w:rsidR="00733FAC" w:rsidRDefault="00733FAC" w:rsidP="00706069">
            <w:pPr>
              <w:spacing w:after="0" w:line="240" w:lineRule="auto"/>
              <w:jc w:val="both"/>
              <w:rPr>
                <w:rFonts w:ascii="ITC Avant Garde" w:eastAsia="Times New Roman" w:hAnsi="ITC Avant Garde"/>
                <w:color w:val="000000"/>
                <w:sz w:val="20"/>
                <w:szCs w:val="20"/>
                <w:lang w:eastAsia="es-MX"/>
              </w:rPr>
            </w:pPr>
          </w:p>
          <w:p w14:paraId="07F3E917" w14:textId="77777777" w:rsidR="0078130E" w:rsidRPr="003C1509" w:rsidRDefault="0078130E" w:rsidP="0078130E">
            <w:pPr>
              <w:spacing w:after="0" w:line="240" w:lineRule="auto"/>
              <w:jc w:val="both"/>
              <w:rPr>
                <w:rFonts w:ascii="ITC Avant Garde" w:eastAsia="Times New Roman" w:hAnsi="ITC Avant Garde"/>
                <w:color w:val="000000"/>
                <w:sz w:val="20"/>
                <w:szCs w:val="20"/>
                <w:lang w:eastAsia="es-MX"/>
              </w:rPr>
            </w:pPr>
            <w:r w:rsidRPr="003C1509">
              <w:rPr>
                <w:rFonts w:ascii="ITC Avant Garde" w:eastAsia="Times New Roman" w:hAnsi="ITC Avant Garde"/>
                <w:color w:val="000000"/>
                <w:sz w:val="20"/>
                <w:szCs w:val="20"/>
                <w:lang w:eastAsia="es-MX"/>
              </w:rPr>
              <w:t>Se recomienda que este término definido no sea tan largo y que pueda definirse simplemente como “</w:t>
            </w:r>
            <w:r>
              <w:rPr>
                <w:rFonts w:ascii="ITC Avant Garde" w:eastAsia="Times New Roman" w:hAnsi="ITC Avant Garde"/>
                <w:color w:val="000000"/>
                <w:sz w:val="20"/>
                <w:szCs w:val="20"/>
                <w:lang w:eastAsia="es-MX"/>
              </w:rPr>
              <w:t xml:space="preserve">Servicio </w:t>
            </w:r>
            <w:r w:rsidRPr="003C1509">
              <w:rPr>
                <w:rFonts w:ascii="ITC Avant Garde" w:eastAsia="Times New Roman" w:hAnsi="ITC Avant Garde"/>
                <w:color w:val="000000"/>
                <w:sz w:val="20"/>
                <w:szCs w:val="20"/>
                <w:lang w:eastAsia="es-MX"/>
              </w:rPr>
              <w:t>Complementario Terrestre”.</w:t>
            </w:r>
          </w:p>
          <w:p w14:paraId="3341D446" w14:textId="77777777" w:rsidR="0078130E" w:rsidRPr="00E06BAC" w:rsidRDefault="0078130E" w:rsidP="00706069">
            <w:pPr>
              <w:spacing w:after="0" w:line="240" w:lineRule="auto"/>
              <w:jc w:val="both"/>
              <w:rPr>
                <w:rFonts w:ascii="ITC Avant Garde" w:eastAsia="Times New Roman" w:hAnsi="ITC Avant Garde"/>
                <w:color w:val="000000"/>
                <w:sz w:val="20"/>
                <w:szCs w:val="20"/>
                <w:lang w:eastAsia="es-MX"/>
              </w:rPr>
            </w:pPr>
          </w:p>
        </w:tc>
      </w:tr>
      <w:tr w:rsidR="00160550" w:rsidRPr="00F36A5D" w14:paraId="5F178F80" w14:textId="77777777" w:rsidTr="008D18C4">
        <w:trPr>
          <w:trHeight w:val="290"/>
        </w:trPr>
        <w:tc>
          <w:tcPr>
            <w:tcW w:w="979" w:type="pct"/>
            <w:shd w:val="clear" w:color="auto" w:fill="auto"/>
            <w:vAlign w:val="center"/>
          </w:tcPr>
          <w:p w14:paraId="6BCF2D55" w14:textId="77777777" w:rsidR="00160550" w:rsidRPr="000B7F85" w:rsidRDefault="00160550" w:rsidP="00160550">
            <w:pPr>
              <w:spacing w:after="0" w:line="240" w:lineRule="auto"/>
              <w:jc w:val="center"/>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lastRenderedPageBreak/>
              <w:t xml:space="preserve">Fracción LI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1</w:t>
            </w:r>
          </w:p>
        </w:tc>
        <w:tc>
          <w:tcPr>
            <w:tcW w:w="4021" w:type="pct"/>
            <w:shd w:val="clear" w:color="auto" w:fill="auto"/>
            <w:vAlign w:val="center"/>
          </w:tcPr>
          <w:p w14:paraId="060B1363" w14:textId="77777777" w:rsidR="00160550" w:rsidRPr="000B7F85" w:rsidRDefault="00160550" w:rsidP="00160550">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La fracción LI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1 define “Servicio Móvil por Satélite (SMS)” como el Servicio de radiocomunicación: i) entre Estaciones Terrenas Móviles y una o varias Estaciones Espaciales... </w:t>
            </w:r>
          </w:p>
          <w:p w14:paraId="71F37A07" w14:textId="77777777" w:rsidR="00160550" w:rsidRPr="000B7F85" w:rsidRDefault="00160550" w:rsidP="00160550">
            <w:pPr>
              <w:spacing w:after="0" w:line="240" w:lineRule="auto"/>
              <w:jc w:val="both"/>
              <w:rPr>
                <w:rFonts w:ascii="ITC Avant Garde" w:eastAsia="Times New Roman" w:hAnsi="ITC Avant Garde"/>
                <w:color w:val="000000"/>
                <w:sz w:val="20"/>
                <w:szCs w:val="20"/>
                <w:lang w:eastAsia="es-MX"/>
              </w:rPr>
            </w:pPr>
          </w:p>
          <w:p w14:paraId="249D602C" w14:textId="77777777" w:rsidR="00160550" w:rsidRDefault="00160550" w:rsidP="00160550">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Consideramos pertinente y sugerimos que se incluyan las respectivas definiciones de Estaciones Terrenas Móviles y de Estaciones Espaciales.</w:t>
            </w:r>
          </w:p>
          <w:p w14:paraId="447F34C0" w14:textId="77777777" w:rsidR="00733FAC" w:rsidRPr="000B7F85" w:rsidRDefault="00733FAC" w:rsidP="00160550">
            <w:pPr>
              <w:spacing w:after="0" w:line="240" w:lineRule="auto"/>
              <w:jc w:val="both"/>
              <w:rPr>
                <w:rFonts w:ascii="ITC Avant Garde" w:eastAsia="Times New Roman" w:hAnsi="ITC Avant Garde"/>
                <w:color w:val="000000"/>
                <w:sz w:val="20"/>
                <w:szCs w:val="20"/>
                <w:lang w:eastAsia="es-MX"/>
              </w:rPr>
            </w:pPr>
          </w:p>
        </w:tc>
      </w:tr>
      <w:tr w:rsidR="0091693D" w:rsidRPr="00F36A5D" w14:paraId="3CBE41B9" w14:textId="77777777" w:rsidTr="008D18C4">
        <w:trPr>
          <w:trHeight w:val="290"/>
        </w:trPr>
        <w:tc>
          <w:tcPr>
            <w:tcW w:w="979" w:type="pct"/>
            <w:shd w:val="clear" w:color="auto" w:fill="auto"/>
            <w:vAlign w:val="center"/>
          </w:tcPr>
          <w:p w14:paraId="25E914F7" w14:textId="77777777" w:rsidR="0091693D" w:rsidRPr="000B7F85" w:rsidRDefault="0091693D" w:rsidP="00160550">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Numeral 1</w:t>
            </w:r>
          </w:p>
        </w:tc>
        <w:tc>
          <w:tcPr>
            <w:tcW w:w="4021" w:type="pct"/>
            <w:shd w:val="clear" w:color="auto" w:fill="auto"/>
            <w:vAlign w:val="center"/>
          </w:tcPr>
          <w:p w14:paraId="79D61E0B" w14:textId="77777777" w:rsidR="0091693D" w:rsidRDefault="0091693D" w:rsidP="00160550">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Sugerimos incluir como definición el concepto de “Vínculo”, de conformidad con las razones que se describen en los comentarios al siguiente </w:t>
            </w:r>
            <w:r w:rsidR="00D75C6B">
              <w:rPr>
                <w:rFonts w:ascii="ITC Avant Garde" w:eastAsia="Times New Roman" w:hAnsi="ITC Avant Garde"/>
                <w:color w:val="000000"/>
                <w:sz w:val="20"/>
                <w:szCs w:val="20"/>
                <w:lang w:eastAsia="es-MX"/>
              </w:rPr>
              <w:t>N</w:t>
            </w:r>
            <w:r>
              <w:rPr>
                <w:rFonts w:ascii="ITC Avant Garde" w:eastAsia="Times New Roman" w:hAnsi="ITC Avant Garde"/>
                <w:color w:val="000000"/>
                <w:sz w:val="20"/>
                <w:szCs w:val="20"/>
                <w:lang w:eastAsia="es-MX"/>
              </w:rPr>
              <w:t>umeral 2.3</w:t>
            </w:r>
            <w:r w:rsidR="00D75C6B">
              <w:rPr>
                <w:rFonts w:ascii="ITC Avant Garde" w:eastAsia="Times New Roman" w:hAnsi="ITC Avant Garde"/>
                <w:color w:val="000000"/>
                <w:sz w:val="20"/>
                <w:szCs w:val="20"/>
                <w:lang w:eastAsia="es-MX"/>
              </w:rPr>
              <w:t>.</w:t>
            </w:r>
          </w:p>
          <w:p w14:paraId="264B95CB" w14:textId="77777777" w:rsidR="0091693D" w:rsidRPr="000B7F85" w:rsidRDefault="0091693D" w:rsidP="00160550">
            <w:pPr>
              <w:spacing w:after="0" w:line="240" w:lineRule="auto"/>
              <w:jc w:val="both"/>
              <w:rPr>
                <w:rFonts w:ascii="ITC Avant Garde" w:eastAsia="Times New Roman" w:hAnsi="ITC Avant Garde"/>
                <w:color w:val="000000"/>
                <w:sz w:val="20"/>
                <w:szCs w:val="20"/>
                <w:lang w:eastAsia="es-MX"/>
              </w:rPr>
            </w:pPr>
          </w:p>
        </w:tc>
      </w:tr>
      <w:tr w:rsidR="00160550" w:rsidRPr="00F36A5D" w14:paraId="1AA463DB" w14:textId="77777777" w:rsidTr="008D18C4">
        <w:trPr>
          <w:trHeight w:val="290"/>
        </w:trPr>
        <w:tc>
          <w:tcPr>
            <w:tcW w:w="979" w:type="pct"/>
            <w:shd w:val="clear" w:color="auto" w:fill="auto"/>
            <w:vAlign w:val="center"/>
          </w:tcPr>
          <w:p w14:paraId="69EC19CA" w14:textId="77777777" w:rsidR="00160550" w:rsidRPr="000B7F85" w:rsidRDefault="00160550" w:rsidP="00160550">
            <w:pPr>
              <w:spacing w:after="0" w:line="240" w:lineRule="auto"/>
              <w:jc w:val="center"/>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Fracción I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2.3</w:t>
            </w:r>
          </w:p>
        </w:tc>
        <w:tc>
          <w:tcPr>
            <w:tcW w:w="4021" w:type="pct"/>
            <w:shd w:val="clear" w:color="auto" w:fill="auto"/>
            <w:vAlign w:val="center"/>
          </w:tcPr>
          <w:p w14:paraId="21A65471" w14:textId="77777777" w:rsidR="00160550" w:rsidRPr="000B7F85" w:rsidRDefault="00160550" w:rsidP="00160550">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Conforme a la fracción I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2.3, se establece que una conducta contraria al desarrollo efectivo de la Licitación es no declarar a través del Apéndice E, cuando se tenga cualquier asociación, directa o indirecta, con algún concesionario de espectro radioeléctrico para servicios de telecomunicaciones en México y que, por lo tanto, se pueda considerar como parte de su GIE o como Agente Económico con el que su GIE tiene </w:t>
            </w:r>
            <w:r w:rsidR="00D75C6B">
              <w:rPr>
                <w:rFonts w:ascii="ITC Avant Garde" w:eastAsia="Times New Roman" w:hAnsi="ITC Avant Garde"/>
                <w:color w:val="000000"/>
                <w:sz w:val="20"/>
                <w:szCs w:val="20"/>
                <w:lang w:eastAsia="es-MX"/>
              </w:rPr>
              <w:t>“</w:t>
            </w:r>
            <w:r w:rsidRPr="000B7F85">
              <w:rPr>
                <w:rFonts w:ascii="ITC Avant Garde" w:eastAsia="Times New Roman" w:hAnsi="ITC Avant Garde"/>
                <w:color w:val="000000"/>
                <w:sz w:val="20"/>
                <w:szCs w:val="20"/>
                <w:lang w:eastAsia="es-MX"/>
              </w:rPr>
              <w:t>vínculos</w:t>
            </w:r>
            <w:r w:rsidR="00D75C6B">
              <w:rPr>
                <w:rFonts w:ascii="ITC Avant Garde" w:eastAsia="Times New Roman" w:hAnsi="ITC Avant Garde"/>
                <w:color w:val="000000"/>
                <w:sz w:val="20"/>
                <w:szCs w:val="20"/>
                <w:lang w:eastAsia="es-MX"/>
              </w:rPr>
              <w:t>”</w:t>
            </w:r>
            <w:r w:rsidRPr="000B7F85">
              <w:rPr>
                <w:rFonts w:ascii="ITC Avant Garde" w:eastAsia="Times New Roman" w:hAnsi="ITC Avant Garde"/>
                <w:color w:val="000000"/>
                <w:sz w:val="20"/>
                <w:szCs w:val="20"/>
                <w:lang w:eastAsia="es-MX"/>
              </w:rPr>
              <w:t xml:space="preserve"> de tipo comercial, organizativo, económico o jurídico. </w:t>
            </w:r>
          </w:p>
          <w:p w14:paraId="050248C6" w14:textId="77777777" w:rsidR="00160550" w:rsidRPr="000B7F85" w:rsidRDefault="00160550" w:rsidP="00160550">
            <w:pPr>
              <w:spacing w:after="0" w:line="240" w:lineRule="auto"/>
              <w:jc w:val="both"/>
              <w:rPr>
                <w:rFonts w:ascii="ITC Avant Garde" w:eastAsia="Times New Roman" w:hAnsi="ITC Avant Garde"/>
                <w:color w:val="000000"/>
                <w:sz w:val="20"/>
                <w:szCs w:val="20"/>
                <w:lang w:eastAsia="es-MX"/>
              </w:rPr>
            </w:pPr>
          </w:p>
          <w:p w14:paraId="43AE7F9D" w14:textId="77777777" w:rsidR="00160550" w:rsidRDefault="00160550" w:rsidP="00160550">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Sugerimos, con la finalidad de brindar certeza jurídica y no dejar a interpretaciones, que se aclare y describa, lo que se entiende por un vínculo de tipo comercial, organizativo, económico o jurídico. Por lo anterior, proponemos que en </w:t>
            </w:r>
            <w:r>
              <w:rPr>
                <w:rFonts w:ascii="ITC Avant Garde" w:eastAsia="Times New Roman" w:hAnsi="ITC Avant Garde"/>
                <w:color w:val="000000"/>
                <w:sz w:val="20"/>
                <w:szCs w:val="20"/>
                <w:lang w:eastAsia="es-MX"/>
              </w:rPr>
              <w:t>el Numeral</w:t>
            </w:r>
            <w:r w:rsidRPr="000B7F85">
              <w:rPr>
                <w:rFonts w:ascii="ITC Avant Garde" w:eastAsia="Times New Roman" w:hAnsi="ITC Avant Garde"/>
                <w:color w:val="000000"/>
                <w:sz w:val="20"/>
                <w:szCs w:val="20"/>
                <w:lang w:eastAsia="es-MX"/>
              </w:rPr>
              <w:t xml:space="preserve"> 1 “Definiciones”, se establezca lo que debe de entenderse, el alcance y los supuestos en lo que existe o se actualiza cada uno de los cuatro tipos de vínculos mencionados. </w:t>
            </w:r>
          </w:p>
          <w:p w14:paraId="18627FE8" w14:textId="77777777" w:rsidR="00733FAC" w:rsidRDefault="00733FAC" w:rsidP="00160550">
            <w:pPr>
              <w:spacing w:after="0" w:line="240" w:lineRule="auto"/>
              <w:jc w:val="both"/>
              <w:rPr>
                <w:rFonts w:ascii="ITC Avant Garde" w:eastAsia="Times New Roman" w:hAnsi="ITC Avant Garde"/>
                <w:color w:val="000000"/>
                <w:sz w:val="20"/>
                <w:szCs w:val="20"/>
                <w:lang w:eastAsia="es-MX"/>
              </w:rPr>
            </w:pPr>
          </w:p>
          <w:p w14:paraId="15D1A0E7" w14:textId="65432630" w:rsidR="00F13C12" w:rsidRDefault="0039631E" w:rsidP="00160550">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Para otorgar mayores elementos al Instituto sobre lo que Omnispace considera debe incluirse dentro del concepto de Vínculo, </w:t>
            </w:r>
            <w:r w:rsidR="002D39F4">
              <w:rPr>
                <w:rFonts w:ascii="ITC Avant Garde" w:eastAsia="Times New Roman" w:hAnsi="ITC Avant Garde"/>
                <w:color w:val="000000"/>
                <w:sz w:val="20"/>
                <w:szCs w:val="20"/>
                <w:lang w:eastAsia="es-MX"/>
              </w:rPr>
              <w:t>en la respuesta a la pregunta número 3 de la sección III del presente documento,</w:t>
            </w:r>
            <w:r>
              <w:rPr>
                <w:rFonts w:ascii="ITC Avant Garde" w:eastAsia="Times New Roman" w:hAnsi="ITC Avant Garde"/>
                <w:color w:val="000000"/>
                <w:sz w:val="20"/>
                <w:szCs w:val="20"/>
                <w:lang w:eastAsia="es-MX"/>
              </w:rPr>
              <w:t xml:space="preserve"> se </w:t>
            </w:r>
            <w:r w:rsidR="002D39F4">
              <w:rPr>
                <w:rFonts w:ascii="ITC Avant Garde" w:eastAsia="Times New Roman" w:hAnsi="ITC Avant Garde"/>
                <w:color w:val="000000"/>
                <w:sz w:val="20"/>
                <w:szCs w:val="20"/>
                <w:lang w:eastAsia="es-MX"/>
              </w:rPr>
              <w:t>detallan</w:t>
            </w:r>
            <w:r>
              <w:rPr>
                <w:rFonts w:ascii="ITC Avant Garde" w:eastAsia="Times New Roman" w:hAnsi="ITC Avant Garde"/>
                <w:color w:val="000000"/>
                <w:sz w:val="20"/>
                <w:szCs w:val="20"/>
                <w:lang w:eastAsia="es-MX"/>
              </w:rPr>
              <w:t xml:space="preserve"> una serie de aspectos que consideramos relevantes</w:t>
            </w:r>
            <w:r w:rsidR="002D39F4">
              <w:rPr>
                <w:rFonts w:ascii="ITC Avant Garde" w:eastAsia="Times New Roman" w:hAnsi="ITC Avant Garde"/>
                <w:color w:val="000000"/>
                <w:sz w:val="20"/>
                <w:szCs w:val="20"/>
                <w:lang w:eastAsia="es-MX"/>
              </w:rPr>
              <w:t xml:space="preserve"> que el Instituto debe considerar.</w:t>
            </w:r>
          </w:p>
          <w:p w14:paraId="26168B8C" w14:textId="77777777" w:rsidR="0039631E" w:rsidRDefault="0039631E" w:rsidP="00160550">
            <w:pPr>
              <w:spacing w:after="0" w:line="240" w:lineRule="auto"/>
              <w:jc w:val="both"/>
              <w:rPr>
                <w:rFonts w:ascii="ITC Avant Garde" w:eastAsia="Times New Roman" w:hAnsi="ITC Avant Garde"/>
                <w:color w:val="000000"/>
                <w:sz w:val="20"/>
                <w:szCs w:val="20"/>
                <w:lang w:eastAsia="es-MX"/>
              </w:rPr>
            </w:pPr>
          </w:p>
          <w:p w14:paraId="49F4343A" w14:textId="77777777" w:rsidR="0091693D" w:rsidRPr="00E06BAC" w:rsidRDefault="0091693D" w:rsidP="00160550">
            <w:pPr>
              <w:spacing w:after="0" w:line="240" w:lineRule="auto"/>
              <w:jc w:val="both"/>
              <w:rPr>
                <w:rFonts w:ascii="ITC Avant Garde" w:eastAsia="Times New Roman" w:hAnsi="ITC Avant Garde"/>
                <w:color w:val="000000"/>
                <w:sz w:val="20"/>
                <w:szCs w:val="20"/>
                <w:lang w:eastAsia="es-MX"/>
              </w:rPr>
            </w:pPr>
            <w:r w:rsidRPr="00E06BAC">
              <w:rPr>
                <w:rFonts w:ascii="ITC Avant Garde" w:eastAsia="Times New Roman" w:hAnsi="ITC Avant Garde"/>
                <w:color w:val="000000"/>
                <w:sz w:val="20"/>
                <w:szCs w:val="20"/>
                <w:lang w:eastAsia="es-MX"/>
              </w:rPr>
              <w:t xml:space="preserve">Una vez debidamente definido el </w:t>
            </w:r>
            <w:r>
              <w:rPr>
                <w:rFonts w:ascii="ITC Avant Garde" w:eastAsia="Times New Roman" w:hAnsi="ITC Avant Garde"/>
                <w:color w:val="000000"/>
                <w:sz w:val="20"/>
                <w:szCs w:val="20"/>
                <w:lang w:eastAsia="es-MX"/>
              </w:rPr>
              <w:t xml:space="preserve">término Vínculo en </w:t>
            </w:r>
            <w:r w:rsidR="00D75C6B">
              <w:rPr>
                <w:rFonts w:ascii="ITC Avant Garde" w:eastAsia="Times New Roman" w:hAnsi="ITC Avant Garde"/>
                <w:color w:val="000000"/>
                <w:sz w:val="20"/>
                <w:szCs w:val="20"/>
                <w:lang w:eastAsia="es-MX"/>
              </w:rPr>
              <w:t>el Numeral 1 del proyecto de Bases, dicho término deberá aplicarse en mayúscula en cualquier caso en que se utilice el mismo a lo largo de las Bases y no será necesario repetir que se trata de un “</w:t>
            </w:r>
            <w:r w:rsidR="00D75C6B" w:rsidRPr="000B7F85">
              <w:rPr>
                <w:rFonts w:ascii="ITC Avant Garde" w:eastAsia="Times New Roman" w:hAnsi="ITC Avant Garde"/>
                <w:color w:val="000000"/>
                <w:sz w:val="20"/>
                <w:szCs w:val="20"/>
                <w:lang w:eastAsia="es-MX"/>
              </w:rPr>
              <w:t>vínculo</w:t>
            </w:r>
            <w:r w:rsidR="00D75C6B">
              <w:rPr>
                <w:rFonts w:ascii="ITC Avant Garde" w:eastAsia="Times New Roman" w:hAnsi="ITC Avant Garde"/>
                <w:color w:val="000000"/>
                <w:sz w:val="20"/>
                <w:szCs w:val="20"/>
                <w:lang w:eastAsia="es-MX"/>
              </w:rPr>
              <w:t>”</w:t>
            </w:r>
            <w:r w:rsidR="00D75C6B" w:rsidRPr="000B7F85">
              <w:rPr>
                <w:rFonts w:ascii="ITC Avant Garde" w:eastAsia="Times New Roman" w:hAnsi="ITC Avant Garde"/>
                <w:color w:val="000000"/>
                <w:sz w:val="20"/>
                <w:szCs w:val="20"/>
                <w:lang w:eastAsia="es-MX"/>
              </w:rPr>
              <w:t xml:space="preserve"> de tipo comercial, organizativo, económico o jurídico</w:t>
            </w:r>
            <w:r w:rsidR="00D75C6B">
              <w:rPr>
                <w:rFonts w:ascii="ITC Avant Garde" w:eastAsia="Times New Roman" w:hAnsi="ITC Avant Garde"/>
                <w:color w:val="000000"/>
                <w:sz w:val="20"/>
                <w:szCs w:val="20"/>
                <w:lang w:eastAsia="es-MX"/>
              </w:rPr>
              <w:t>.</w:t>
            </w:r>
          </w:p>
          <w:p w14:paraId="38848204" w14:textId="77777777" w:rsidR="0091693D" w:rsidRPr="0091693D" w:rsidRDefault="0091693D" w:rsidP="00160550">
            <w:pPr>
              <w:spacing w:after="0" w:line="240" w:lineRule="auto"/>
              <w:jc w:val="both"/>
              <w:rPr>
                <w:rFonts w:ascii="ITC Avant Garde" w:eastAsia="Times New Roman" w:hAnsi="ITC Avant Garde"/>
                <w:color w:val="000000"/>
                <w:sz w:val="20"/>
                <w:szCs w:val="20"/>
                <w:lang w:eastAsia="es-MX"/>
              </w:rPr>
            </w:pPr>
          </w:p>
          <w:p w14:paraId="4E7CB156" w14:textId="77777777" w:rsidR="00733FAC" w:rsidRDefault="00733FAC" w:rsidP="00160550">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Asimismo, consideramos conveniente precisar lo siguiente en la fracción I (subrayado para fácil referencia):</w:t>
            </w:r>
          </w:p>
          <w:p w14:paraId="20AC20F0" w14:textId="77777777" w:rsidR="00733FAC" w:rsidRDefault="00733FAC" w:rsidP="00160550">
            <w:pPr>
              <w:spacing w:after="0" w:line="240" w:lineRule="auto"/>
              <w:jc w:val="both"/>
              <w:rPr>
                <w:rFonts w:ascii="ITC Avant Garde" w:eastAsia="Times New Roman" w:hAnsi="ITC Avant Garde"/>
                <w:color w:val="000000"/>
                <w:sz w:val="20"/>
                <w:szCs w:val="20"/>
                <w:lang w:eastAsia="es-MX"/>
              </w:rPr>
            </w:pPr>
          </w:p>
          <w:p w14:paraId="067851DC" w14:textId="77777777" w:rsidR="00733FAC" w:rsidRDefault="00ED2015" w:rsidP="00733FAC">
            <w:pPr>
              <w:pStyle w:val="Prrafodelista"/>
              <w:numPr>
                <w:ilvl w:val="0"/>
                <w:numId w:val="31"/>
              </w:num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w:t>
            </w:r>
            <w:r w:rsidR="00733FAC" w:rsidRPr="00ED2015">
              <w:rPr>
                <w:rFonts w:ascii="ITC Avant Garde" w:eastAsia="Times New Roman" w:hAnsi="ITC Avant Garde"/>
                <w:i/>
                <w:color w:val="000000"/>
                <w:sz w:val="20"/>
                <w:szCs w:val="20"/>
                <w:lang w:eastAsia="es-MX"/>
              </w:rPr>
              <w:t xml:space="preserve">No declarar, a través del Apéndice E, </w:t>
            </w:r>
            <w:r w:rsidR="00733FAC" w:rsidRPr="00ED2015">
              <w:rPr>
                <w:rFonts w:ascii="ITC Avant Garde" w:eastAsia="Times New Roman" w:hAnsi="ITC Avant Garde"/>
                <w:i/>
                <w:color w:val="000000"/>
                <w:sz w:val="20"/>
                <w:szCs w:val="20"/>
                <w:u w:val="single"/>
                <w:lang w:eastAsia="es-MX"/>
              </w:rPr>
              <w:t>o celebrar posteriormente a la presentación de dicho Apéndice E,</w:t>
            </w:r>
            <w:r w:rsidR="00733FAC" w:rsidRPr="00ED2015">
              <w:rPr>
                <w:rFonts w:ascii="ITC Avant Garde" w:eastAsia="Times New Roman" w:hAnsi="ITC Avant Garde"/>
                <w:i/>
                <w:color w:val="000000"/>
                <w:sz w:val="20"/>
                <w:szCs w:val="20"/>
                <w:lang w:eastAsia="es-MX"/>
              </w:rPr>
              <w:t xml:space="preserve"> cualquier </w:t>
            </w:r>
            <w:r w:rsidR="00733FAC">
              <w:rPr>
                <w:rFonts w:ascii="ITC Avant Garde" w:eastAsia="Times New Roman" w:hAnsi="ITC Avant Garde"/>
                <w:color w:val="000000"/>
                <w:sz w:val="20"/>
                <w:szCs w:val="20"/>
                <w:lang w:eastAsia="es-MX"/>
              </w:rPr>
              <w:t>…</w:t>
            </w:r>
            <w:r>
              <w:rPr>
                <w:rFonts w:ascii="ITC Avant Garde" w:eastAsia="Times New Roman" w:hAnsi="ITC Avant Garde"/>
                <w:color w:val="000000"/>
                <w:sz w:val="20"/>
                <w:szCs w:val="20"/>
                <w:lang w:eastAsia="es-MX"/>
              </w:rPr>
              <w:t>”.</w:t>
            </w:r>
          </w:p>
          <w:p w14:paraId="50E92103" w14:textId="77777777" w:rsidR="00733FAC" w:rsidRPr="00733FAC" w:rsidRDefault="00733FAC" w:rsidP="00733FAC">
            <w:pPr>
              <w:pStyle w:val="Prrafodelista"/>
              <w:spacing w:after="0" w:line="240" w:lineRule="auto"/>
              <w:ind w:left="1080"/>
              <w:jc w:val="both"/>
              <w:rPr>
                <w:rFonts w:ascii="ITC Avant Garde" w:eastAsia="Times New Roman" w:hAnsi="ITC Avant Garde"/>
                <w:color w:val="000000"/>
                <w:sz w:val="20"/>
                <w:szCs w:val="20"/>
                <w:lang w:eastAsia="es-MX"/>
              </w:rPr>
            </w:pPr>
          </w:p>
        </w:tc>
      </w:tr>
      <w:tr w:rsidR="00ED2015" w:rsidRPr="00F36A5D" w14:paraId="410AA927" w14:textId="77777777" w:rsidTr="008D18C4">
        <w:trPr>
          <w:trHeight w:val="290"/>
        </w:trPr>
        <w:tc>
          <w:tcPr>
            <w:tcW w:w="979" w:type="pct"/>
            <w:shd w:val="clear" w:color="auto" w:fill="auto"/>
            <w:vAlign w:val="center"/>
          </w:tcPr>
          <w:p w14:paraId="2F979463" w14:textId="77777777" w:rsidR="00ED2015" w:rsidRDefault="00ED2015" w:rsidP="00160550">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Numeral 2.3</w:t>
            </w:r>
          </w:p>
        </w:tc>
        <w:tc>
          <w:tcPr>
            <w:tcW w:w="4021" w:type="pct"/>
            <w:shd w:val="clear" w:color="auto" w:fill="auto"/>
            <w:vAlign w:val="center"/>
          </w:tcPr>
          <w:p w14:paraId="65246CE9" w14:textId="77777777" w:rsidR="00ED2015" w:rsidRDefault="00ED2015" w:rsidP="00160550">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Se propone incluir la siguiente fracción en el Numeral 2.3 como conducta contra</w:t>
            </w:r>
            <w:r w:rsidR="00207955">
              <w:rPr>
                <w:rFonts w:ascii="ITC Avant Garde" w:eastAsia="Times New Roman" w:hAnsi="ITC Avant Garde"/>
                <w:color w:val="000000"/>
                <w:sz w:val="20"/>
                <w:szCs w:val="20"/>
                <w:lang w:eastAsia="es-MX"/>
              </w:rPr>
              <w:t>r</w:t>
            </w:r>
            <w:r>
              <w:rPr>
                <w:rFonts w:ascii="ITC Avant Garde" w:eastAsia="Times New Roman" w:hAnsi="ITC Avant Garde"/>
                <w:color w:val="000000"/>
                <w:sz w:val="20"/>
                <w:szCs w:val="20"/>
                <w:lang w:eastAsia="es-MX"/>
              </w:rPr>
              <w:t>ia al desarrollo efectivo de la Licitación:</w:t>
            </w:r>
          </w:p>
          <w:p w14:paraId="41730368" w14:textId="77777777" w:rsidR="00ED2015" w:rsidRDefault="00ED2015" w:rsidP="00160550">
            <w:pPr>
              <w:spacing w:after="0" w:line="240" w:lineRule="auto"/>
              <w:jc w:val="both"/>
              <w:rPr>
                <w:rFonts w:ascii="ITC Avant Garde" w:eastAsia="Times New Roman" w:hAnsi="ITC Avant Garde"/>
                <w:color w:val="000000"/>
                <w:sz w:val="20"/>
                <w:szCs w:val="20"/>
                <w:lang w:eastAsia="es-MX"/>
              </w:rPr>
            </w:pPr>
          </w:p>
          <w:p w14:paraId="745681AC" w14:textId="77777777" w:rsidR="00ED2015" w:rsidRDefault="00ED2015" w:rsidP="00E06BAC">
            <w:pPr>
              <w:spacing w:after="0" w:line="240" w:lineRule="auto"/>
              <w:ind w:left="384"/>
              <w:jc w:val="both"/>
              <w:rPr>
                <w:rFonts w:ascii="ITC Avant Garde" w:eastAsia="Times New Roman" w:hAnsi="ITC Avant Garde"/>
                <w:color w:val="000000"/>
                <w:sz w:val="20"/>
                <w:szCs w:val="20"/>
                <w:lang w:eastAsia="es-MX"/>
              </w:rPr>
            </w:pPr>
            <w:r w:rsidRPr="00ED2015">
              <w:rPr>
                <w:rFonts w:ascii="ITC Avant Garde" w:eastAsia="Times New Roman" w:hAnsi="ITC Avant Garde"/>
                <w:color w:val="000000"/>
                <w:sz w:val="20"/>
                <w:szCs w:val="20"/>
                <w:lang w:eastAsia="es-MX"/>
              </w:rPr>
              <w:t>“</w:t>
            </w:r>
            <w:r w:rsidRPr="00ED2015">
              <w:rPr>
                <w:rFonts w:ascii="ITC Avant Garde" w:eastAsia="Times New Roman" w:hAnsi="ITC Avant Garde"/>
                <w:i/>
                <w:color w:val="000000"/>
                <w:sz w:val="20"/>
                <w:szCs w:val="20"/>
                <w:lang w:eastAsia="es-MX"/>
              </w:rPr>
              <w:t xml:space="preserve">No declarar, a través del Apéndice E, o celebrar posteriormente a la presentación de dicho Apéndice E, cualquier Vínculo, ya sea de hecho o de derecho, directa o indirectamente, con algún otro Interesado, Participante o Participante Ganador o </w:t>
            </w:r>
            <w:r w:rsidRPr="00ED2015">
              <w:rPr>
                <w:rFonts w:ascii="ITC Avant Garde" w:eastAsia="Times New Roman" w:hAnsi="ITC Avant Garde"/>
                <w:i/>
                <w:color w:val="000000"/>
                <w:sz w:val="20"/>
                <w:szCs w:val="20"/>
                <w:lang w:eastAsia="es-MX"/>
              </w:rPr>
              <w:lastRenderedPageBreak/>
              <w:t>con cualquier Agente Económico que forme parte del mismo GIE de cualquier de éstos.</w:t>
            </w:r>
            <w:r w:rsidRPr="00ED2015">
              <w:rPr>
                <w:rFonts w:ascii="ITC Avant Garde" w:eastAsia="Times New Roman" w:hAnsi="ITC Avant Garde"/>
                <w:color w:val="000000"/>
                <w:sz w:val="20"/>
                <w:szCs w:val="20"/>
                <w:lang w:eastAsia="es-MX"/>
              </w:rPr>
              <w:t>”</w:t>
            </w:r>
          </w:p>
          <w:p w14:paraId="35B99BF8" w14:textId="77777777" w:rsidR="00ED2015" w:rsidRDefault="00ED2015" w:rsidP="00160550">
            <w:pPr>
              <w:spacing w:after="0" w:line="240" w:lineRule="auto"/>
              <w:jc w:val="both"/>
              <w:rPr>
                <w:rFonts w:ascii="ITC Avant Garde" w:eastAsia="Times New Roman" w:hAnsi="ITC Avant Garde"/>
                <w:color w:val="000000"/>
                <w:sz w:val="20"/>
                <w:szCs w:val="20"/>
                <w:lang w:eastAsia="es-MX"/>
              </w:rPr>
            </w:pPr>
          </w:p>
          <w:p w14:paraId="2CA155EE" w14:textId="77777777" w:rsidR="00ED2015" w:rsidRDefault="00ED2015" w:rsidP="00ED2015">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Se precisa que la palabra “V</w:t>
            </w:r>
            <w:r w:rsidRPr="00ED2015">
              <w:rPr>
                <w:rFonts w:ascii="ITC Avant Garde" w:eastAsia="Times New Roman" w:hAnsi="ITC Avant Garde"/>
                <w:color w:val="000000"/>
                <w:sz w:val="20"/>
                <w:szCs w:val="20"/>
                <w:lang w:eastAsia="es-MX"/>
              </w:rPr>
              <w:t>ínculo</w:t>
            </w:r>
            <w:r>
              <w:rPr>
                <w:rFonts w:ascii="ITC Avant Garde" w:eastAsia="Times New Roman" w:hAnsi="ITC Avant Garde"/>
                <w:color w:val="000000"/>
                <w:sz w:val="20"/>
                <w:szCs w:val="20"/>
                <w:lang w:eastAsia="es-MX"/>
              </w:rPr>
              <w:t>” se incluyó con mayúscula, en el entendido de que se propuso anteriormente que el mismo fuera incluido en el Numeral 1 de definiciones, en el cual se prevea con claridad cada uno de los tipos de vínculos:</w:t>
            </w:r>
            <w:r w:rsidRPr="00ED2015">
              <w:rPr>
                <w:rFonts w:ascii="ITC Avant Garde" w:eastAsia="Times New Roman" w:hAnsi="ITC Avant Garde"/>
                <w:color w:val="000000"/>
                <w:sz w:val="20"/>
                <w:szCs w:val="20"/>
                <w:lang w:eastAsia="es-MX"/>
              </w:rPr>
              <w:t xml:space="preserve"> comercial, organizativo, económico o jurídico</w:t>
            </w:r>
            <w:r>
              <w:rPr>
                <w:rFonts w:ascii="ITC Avant Garde" w:eastAsia="Times New Roman" w:hAnsi="ITC Avant Garde"/>
                <w:color w:val="000000"/>
                <w:sz w:val="20"/>
                <w:szCs w:val="20"/>
                <w:lang w:eastAsia="es-MX"/>
              </w:rPr>
              <w:t xml:space="preserve"> y demás circunstancias que expliquen con mayor claridad dicho concepto.</w:t>
            </w:r>
          </w:p>
          <w:p w14:paraId="446A6753" w14:textId="77777777" w:rsidR="00ED2015" w:rsidRPr="000B7F85" w:rsidRDefault="00ED2015" w:rsidP="00ED2015">
            <w:pPr>
              <w:spacing w:after="0" w:line="240" w:lineRule="auto"/>
              <w:jc w:val="both"/>
              <w:rPr>
                <w:rFonts w:ascii="ITC Avant Garde" w:eastAsia="Times New Roman" w:hAnsi="ITC Avant Garde"/>
                <w:color w:val="000000"/>
                <w:sz w:val="20"/>
                <w:szCs w:val="20"/>
                <w:lang w:eastAsia="es-MX"/>
              </w:rPr>
            </w:pPr>
          </w:p>
        </w:tc>
      </w:tr>
      <w:tr w:rsidR="0035699F" w:rsidRPr="0091693D" w14:paraId="605F57C3" w14:textId="77777777" w:rsidTr="008D18C4">
        <w:trPr>
          <w:trHeight w:val="290"/>
        </w:trPr>
        <w:tc>
          <w:tcPr>
            <w:tcW w:w="979" w:type="pct"/>
            <w:shd w:val="clear" w:color="auto" w:fill="auto"/>
            <w:vAlign w:val="center"/>
          </w:tcPr>
          <w:p w14:paraId="51081A61" w14:textId="77777777" w:rsidR="0035699F" w:rsidRDefault="0035699F" w:rsidP="00C8347C">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Numeral 3</w:t>
            </w:r>
          </w:p>
        </w:tc>
        <w:tc>
          <w:tcPr>
            <w:tcW w:w="4021" w:type="pct"/>
            <w:shd w:val="clear" w:color="auto" w:fill="auto"/>
            <w:vAlign w:val="center"/>
          </w:tcPr>
          <w:p w14:paraId="3EE8D394" w14:textId="77777777" w:rsidR="00C8347C" w:rsidRPr="00E06BAC" w:rsidRDefault="00A92626" w:rsidP="00160550">
            <w:pPr>
              <w:spacing w:after="0" w:line="240" w:lineRule="auto"/>
              <w:jc w:val="both"/>
              <w:rPr>
                <w:rFonts w:ascii="ITC Avant Garde" w:eastAsia="Times New Roman" w:hAnsi="ITC Avant Garde"/>
                <w:color w:val="000000"/>
                <w:sz w:val="20"/>
                <w:szCs w:val="20"/>
                <w:lang w:eastAsia="es-MX"/>
              </w:rPr>
            </w:pPr>
            <w:r w:rsidRPr="00E06BAC">
              <w:rPr>
                <w:rFonts w:ascii="ITC Avant Garde" w:eastAsia="Times New Roman" w:hAnsi="ITC Avant Garde"/>
                <w:color w:val="000000"/>
                <w:sz w:val="20"/>
                <w:szCs w:val="20"/>
                <w:lang w:eastAsia="es-MX"/>
              </w:rPr>
              <w:t>Por las razones específicas q</w:t>
            </w:r>
            <w:r>
              <w:rPr>
                <w:rFonts w:ascii="ITC Avant Garde" w:eastAsia="Times New Roman" w:hAnsi="ITC Avant Garde"/>
                <w:color w:val="000000"/>
                <w:sz w:val="20"/>
                <w:szCs w:val="20"/>
                <w:lang w:eastAsia="es-MX"/>
              </w:rPr>
              <w:t>ue se señalan de manera concreta en la respuesta a la pregunta 14</w:t>
            </w:r>
            <w:r w:rsidR="00207955">
              <w:rPr>
                <w:rFonts w:ascii="ITC Avant Garde" w:eastAsia="Times New Roman" w:hAnsi="ITC Avant Garde"/>
                <w:color w:val="000000"/>
                <w:sz w:val="20"/>
                <w:szCs w:val="20"/>
                <w:lang w:eastAsia="es-MX"/>
              </w:rPr>
              <w:t xml:space="preserve"> de la </w:t>
            </w:r>
            <w:r w:rsidR="00AD26FE">
              <w:rPr>
                <w:rFonts w:ascii="ITC Avant Garde" w:eastAsia="Times New Roman" w:hAnsi="ITC Avant Garde"/>
                <w:color w:val="000000"/>
                <w:sz w:val="20"/>
                <w:szCs w:val="20"/>
                <w:lang w:eastAsia="es-MX"/>
              </w:rPr>
              <w:t>Sección</w:t>
            </w:r>
            <w:r w:rsidR="00207955">
              <w:rPr>
                <w:rFonts w:ascii="ITC Avant Garde" w:eastAsia="Times New Roman" w:hAnsi="ITC Avant Garde"/>
                <w:color w:val="000000"/>
                <w:sz w:val="20"/>
                <w:szCs w:val="20"/>
                <w:lang w:eastAsia="es-MX"/>
              </w:rPr>
              <w:t xml:space="preserve"> III del presente formato, consideramos conveniente cambiar el plazo de la concesión de 10 a 15 años, por lo que de manera consecuente tendría que cambiarse este numeral</w:t>
            </w:r>
            <w:r w:rsidR="0091693D">
              <w:rPr>
                <w:rFonts w:ascii="ITC Avant Garde" w:eastAsia="Times New Roman" w:hAnsi="ITC Avant Garde"/>
                <w:color w:val="000000"/>
                <w:sz w:val="20"/>
                <w:szCs w:val="20"/>
                <w:lang w:eastAsia="es-MX"/>
              </w:rPr>
              <w:t xml:space="preserve"> (Objeto de la Licitación)</w:t>
            </w:r>
            <w:r w:rsidR="00207955">
              <w:rPr>
                <w:rFonts w:ascii="ITC Avant Garde" w:eastAsia="Times New Roman" w:hAnsi="ITC Avant Garde"/>
                <w:color w:val="000000"/>
                <w:sz w:val="20"/>
                <w:szCs w:val="20"/>
                <w:lang w:eastAsia="es-MX"/>
              </w:rPr>
              <w:t xml:space="preserve"> para </w:t>
            </w:r>
            <w:r w:rsidR="00952E94">
              <w:rPr>
                <w:rFonts w:ascii="ITC Avant Garde" w:eastAsia="Times New Roman" w:hAnsi="ITC Avant Garde"/>
                <w:color w:val="000000"/>
                <w:sz w:val="20"/>
                <w:szCs w:val="20"/>
                <w:lang w:eastAsia="es-MX"/>
              </w:rPr>
              <w:t>incluir</w:t>
            </w:r>
            <w:r w:rsidR="00207955">
              <w:rPr>
                <w:rFonts w:ascii="ITC Avant Garde" w:eastAsia="Times New Roman" w:hAnsi="ITC Avant Garde"/>
                <w:color w:val="000000"/>
                <w:sz w:val="20"/>
                <w:szCs w:val="20"/>
                <w:lang w:eastAsia="es-MX"/>
              </w:rPr>
              <w:t xml:space="preserve"> el plazo de 15 años</w:t>
            </w:r>
            <w:r w:rsidR="0091693D">
              <w:rPr>
                <w:rFonts w:ascii="ITC Avant Garde" w:eastAsia="Times New Roman" w:hAnsi="ITC Avant Garde"/>
                <w:color w:val="000000"/>
                <w:sz w:val="20"/>
                <w:szCs w:val="20"/>
                <w:lang w:eastAsia="es-MX"/>
              </w:rPr>
              <w:t xml:space="preserve"> en lugar de los 10 años como se refiere al final del mismo</w:t>
            </w:r>
            <w:r w:rsidR="00207955">
              <w:rPr>
                <w:rFonts w:ascii="ITC Avant Garde" w:eastAsia="Times New Roman" w:hAnsi="ITC Avant Garde"/>
                <w:color w:val="000000"/>
                <w:sz w:val="20"/>
                <w:szCs w:val="20"/>
                <w:lang w:eastAsia="es-MX"/>
              </w:rPr>
              <w:t xml:space="preserve">. Lo </w:t>
            </w:r>
            <w:r w:rsidR="0091693D">
              <w:rPr>
                <w:rFonts w:ascii="ITC Avant Garde" w:eastAsia="Times New Roman" w:hAnsi="ITC Avant Garde"/>
                <w:color w:val="000000"/>
                <w:sz w:val="20"/>
                <w:szCs w:val="20"/>
                <w:lang w:eastAsia="es-MX"/>
              </w:rPr>
              <w:t>anterior también</w:t>
            </w:r>
            <w:r w:rsidR="00207955">
              <w:rPr>
                <w:rFonts w:ascii="ITC Avant Garde" w:eastAsia="Times New Roman" w:hAnsi="ITC Avant Garde"/>
                <w:color w:val="000000"/>
                <w:sz w:val="20"/>
                <w:szCs w:val="20"/>
                <w:lang w:eastAsia="es-MX"/>
              </w:rPr>
              <w:t xml:space="preserve"> aplica a cualquier parte del proyecto de Bases que se refiera a 10 años</w:t>
            </w:r>
            <w:r w:rsidR="0091693D">
              <w:rPr>
                <w:rFonts w:ascii="ITC Avant Garde" w:eastAsia="Times New Roman" w:hAnsi="ITC Avant Garde"/>
                <w:color w:val="000000"/>
                <w:sz w:val="20"/>
                <w:szCs w:val="20"/>
                <w:lang w:eastAsia="es-MX"/>
              </w:rPr>
              <w:t xml:space="preserve"> del plazo de concesión</w:t>
            </w:r>
            <w:r w:rsidR="00207955">
              <w:rPr>
                <w:rFonts w:ascii="ITC Avant Garde" w:eastAsia="Times New Roman" w:hAnsi="ITC Avant Garde"/>
                <w:color w:val="000000"/>
                <w:sz w:val="20"/>
                <w:szCs w:val="20"/>
                <w:lang w:eastAsia="es-MX"/>
              </w:rPr>
              <w:t>, el cual deberá cambiar a 15 años.</w:t>
            </w:r>
          </w:p>
          <w:p w14:paraId="0509B487" w14:textId="77777777" w:rsidR="0035699F" w:rsidRPr="0091693D" w:rsidRDefault="0035699F" w:rsidP="00160550">
            <w:pPr>
              <w:spacing w:after="0" w:line="240" w:lineRule="auto"/>
              <w:jc w:val="both"/>
              <w:rPr>
                <w:rFonts w:ascii="ITC Avant Garde" w:eastAsia="Times New Roman" w:hAnsi="ITC Avant Garde"/>
                <w:color w:val="000000"/>
                <w:sz w:val="20"/>
                <w:szCs w:val="20"/>
                <w:lang w:eastAsia="es-MX"/>
              </w:rPr>
            </w:pPr>
          </w:p>
        </w:tc>
      </w:tr>
      <w:tr w:rsidR="00160550" w:rsidRPr="00F36A5D" w14:paraId="6355DA09" w14:textId="77777777" w:rsidTr="008D18C4">
        <w:trPr>
          <w:trHeight w:val="290"/>
        </w:trPr>
        <w:tc>
          <w:tcPr>
            <w:tcW w:w="979" w:type="pct"/>
            <w:shd w:val="clear" w:color="auto" w:fill="auto"/>
            <w:vAlign w:val="center"/>
          </w:tcPr>
          <w:p w14:paraId="44B6C0EF" w14:textId="77777777" w:rsidR="00160550" w:rsidRPr="000B7F85" w:rsidRDefault="00160550" w:rsidP="00160550">
            <w:pPr>
              <w:spacing w:after="0" w:line="240" w:lineRule="auto"/>
              <w:jc w:val="center"/>
              <w:rPr>
                <w:rFonts w:ascii="ITC Avant Garde" w:eastAsia="Times New Roman" w:hAnsi="ITC Avant Garde"/>
                <w:color w:val="000000"/>
                <w:sz w:val="20"/>
                <w:szCs w:val="20"/>
                <w:lang w:eastAsia="es-MX"/>
              </w:rPr>
            </w:pPr>
            <w:r w:rsidRPr="00A514BE">
              <w:rPr>
                <w:rFonts w:ascii="ITC Avant Garde" w:eastAsia="Times New Roman" w:hAnsi="ITC Avant Garde"/>
                <w:color w:val="000000"/>
                <w:sz w:val="20"/>
                <w:szCs w:val="20"/>
                <w:lang w:eastAsia="es-MX"/>
              </w:rPr>
              <w:t>Numeral</w:t>
            </w:r>
            <w:r w:rsidRPr="000B7F85">
              <w:rPr>
                <w:rFonts w:ascii="ITC Avant Garde" w:eastAsia="Times New Roman" w:hAnsi="ITC Avant Garde"/>
                <w:color w:val="000000"/>
                <w:sz w:val="20"/>
                <w:szCs w:val="20"/>
                <w:lang w:eastAsia="es-MX"/>
              </w:rPr>
              <w:t xml:space="preserve"> 4.1</w:t>
            </w:r>
          </w:p>
        </w:tc>
        <w:tc>
          <w:tcPr>
            <w:tcW w:w="4021" w:type="pct"/>
            <w:shd w:val="clear" w:color="auto" w:fill="auto"/>
            <w:vAlign w:val="center"/>
          </w:tcPr>
          <w:p w14:paraId="32147CA6" w14:textId="77777777" w:rsidR="00160550" w:rsidRDefault="00160550" w:rsidP="00160550">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En el segundo párrafo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4.1, se </w:t>
            </w:r>
            <w:r w:rsidR="00863F6F">
              <w:rPr>
                <w:rFonts w:ascii="ITC Avant Garde" w:eastAsia="Times New Roman" w:hAnsi="ITC Avant Garde"/>
                <w:color w:val="000000"/>
                <w:sz w:val="20"/>
                <w:szCs w:val="20"/>
                <w:lang w:eastAsia="es-MX"/>
              </w:rPr>
              <w:t>menciona el término</w:t>
            </w:r>
            <w:r w:rsidRPr="000B7F85">
              <w:rPr>
                <w:rFonts w:ascii="ITC Avant Garde" w:eastAsia="Times New Roman" w:hAnsi="ITC Avant Garde"/>
                <w:color w:val="000000"/>
                <w:sz w:val="20"/>
                <w:szCs w:val="20"/>
                <w:lang w:eastAsia="es-MX"/>
              </w:rPr>
              <w:t xml:space="preserve"> “Vínculo”</w:t>
            </w:r>
            <w:r w:rsidR="00863F6F">
              <w:rPr>
                <w:rFonts w:ascii="ITC Avant Garde" w:eastAsia="Times New Roman" w:hAnsi="ITC Avant Garde"/>
                <w:color w:val="000000"/>
                <w:sz w:val="20"/>
                <w:szCs w:val="20"/>
                <w:lang w:eastAsia="es-MX"/>
              </w:rPr>
              <w:t xml:space="preserve">, el cual proponemos que </w:t>
            </w:r>
            <w:r w:rsidRPr="000B7F85">
              <w:rPr>
                <w:rFonts w:ascii="ITC Avant Garde" w:eastAsia="Times New Roman" w:hAnsi="ITC Avant Garde"/>
                <w:color w:val="000000"/>
                <w:sz w:val="20"/>
                <w:szCs w:val="20"/>
                <w:lang w:eastAsia="es-MX"/>
              </w:rPr>
              <w:t>se</w:t>
            </w:r>
            <w:r w:rsidR="00863F6F">
              <w:rPr>
                <w:rFonts w:ascii="ITC Avant Garde" w:eastAsia="Times New Roman" w:hAnsi="ITC Avant Garde"/>
                <w:color w:val="000000"/>
                <w:sz w:val="20"/>
                <w:szCs w:val="20"/>
                <w:lang w:eastAsia="es-MX"/>
              </w:rPr>
              <w:t>a</w:t>
            </w:r>
            <w:r w:rsidRPr="000B7F85">
              <w:rPr>
                <w:rFonts w:ascii="ITC Avant Garde" w:eastAsia="Times New Roman" w:hAnsi="ITC Avant Garde"/>
                <w:color w:val="000000"/>
                <w:sz w:val="20"/>
                <w:szCs w:val="20"/>
                <w:lang w:eastAsia="es-MX"/>
              </w:rPr>
              <w:t xml:space="preserve"> definido para hacer referencia al vínculo de tipo comercial, organizativo, económico o jurídico. </w:t>
            </w:r>
            <w:r w:rsidR="00863F6F">
              <w:rPr>
                <w:rFonts w:ascii="ITC Avant Garde" w:eastAsia="Times New Roman" w:hAnsi="ITC Avant Garde"/>
                <w:color w:val="000000"/>
                <w:sz w:val="20"/>
                <w:szCs w:val="20"/>
                <w:lang w:eastAsia="es-MX"/>
              </w:rPr>
              <w:t>Como se mencionó anteriormente, s</w:t>
            </w:r>
            <w:r w:rsidRPr="000B7F85">
              <w:rPr>
                <w:rFonts w:ascii="ITC Avant Garde" w:eastAsia="Times New Roman" w:hAnsi="ITC Avant Garde"/>
                <w:color w:val="000000"/>
                <w:sz w:val="20"/>
                <w:szCs w:val="20"/>
                <w:lang w:eastAsia="es-MX"/>
              </w:rPr>
              <w:t xml:space="preserve">ugerimos que dentro de la definición que se haga en </w:t>
            </w:r>
            <w:r>
              <w:rPr>
                <w:rFonts w:ascii="ITC Avant Garde" w:eastAsia="Times New Roman" w:hAnsi="ITC Avant Garde"/>
                <w:color w:val="000000"/>
                <w:sz w:val="20"/>
                <w:szCs w:val="20"/>
                <w:lang w:eastAsia="es-MX"/>
              </w:rPr>
              <w:t>el Numeral</w:t>
            </w:r>
            <w:r w:rsidRPr="000B7F85">
              <w:rPr>
                <w:rFonts w:ascii="ITC Avant Garde" w:eastAsia="Times New Roman" w:hAnsi="ITC Avant Garde"/>
                <w:color w:val="000000"/>
                <w:sz w:val="20"/>
                <w:szCs w:val="20"/>
                <w:lang w:eastAsia="es-MX"/>
              </w:rPr>
              <w:t xml:space="preserve"> 1 “Definiciones” de los tipos de vínculos, se establezca que por Vínculo se entenderá el vínculo de tipo comercial, organizativo, económico o jurídico. </w:t>
            </w:r>
          </w:p>
          <w:p w14:paraId="56FEAE64" w14:textId="77777777" w:rsidR="00863F6F" w:rsidRDefault="00863F6F" w:rsidP="00160550">
            <w:pPr>
              <w:spacing w:after="0" w:line="240" w:lineRule="auto"/>
              <w:jc w:val="both"/>
              <w:rPr>
                <w:rFonts w:ascii="ITC Avant Garde" w:eastAsia="Times New Roman" w:hAnsi="ITC Avant Garde"/>
                <w:color w:val="000000"/>
                <w:sz w:val="20"/>
                <w:szCs w:val="20"/>
                <w:lang w:eastAsia="es-MX"/>
              </w:rPr>
            </w:pPr>
          </w:p>
          <w:p w14:paraId="0375141D" w14:textId="77777777" w:rsidR="00A514BE" w:rsidRPr="00863F6F" w:rsidRDefault="00A514BE" w:rsidP="00A514BE">
            <w:pPr>
              <w:spacing w:after="0" w:line="240" w:lineRule="auto"/>
              <w:jc w:val="both"/>
              <w:rPr>
                <w:rFonts w:ascii="ITC Avant Garde" w:eastAsia="Times New Roman" w:hAnsi="ITC Avant Garde"/>
                <w:color w:val="000000"/>
                <w:sz w:val="20"/>
                <w:szCs w:val="20"/>
                <w:lang w:eastAsia="es-MX"/>
              </w:rPr>
            </w:pPr>
            <w:r w:rsidRPr="00863F6F">
              <w:rPr>
                <w:rFonts w:ascii="ITC Avant Garde" w:eastAsia="Times New Roman" w:hAnsi="ITC Avant Garde"/>
                <w:color w:val="000000"/>
                <w:sz w:val="20"/>
                <w:szCs w:val="20"/>
                <w:lang w:eastAsia="es-MX"/>
              </w:rPr>
              <w:t>Por otro lado, se considera que el plazo de un año para que el titular de la Concesión celebre el acuerdo con el Autorizado puede ser extenso, tomando en cuenta además que el Instituto tiene un plazo de 180 días para resolver en caso de desacuerdo. Por lo anterior, se estima conveniente que el plazo original sea de seis meses, en lugar de un año, y que el plazo para que resuelva el Instituto se mantenga en 180 días naturales. Así, en total se tendría alrededor de un año, en lugar de un año y medio. Finalmente, se propone que se señale con mayor claridad el procedimiento y demás términos y condiciones que seguirá el Instituto para resolver las condiciones no convenidas</w:t>
            </w:r>
            <w:r w:rsidR="00637EEE">
              <w:rPr>
                <w:rFonts w:ascii="ITC Avant Garde" w:eastAsia="Times New Roman" w:hAnsi="ITC Avant Garde"/>
                <w:color w:val="000000"/>
                <w:sz w:val="20"/>
                <w:szCs w:val="20"/>
                <w:lang w:eastAsia="es-MX"/>
              </w:rPr>
              <w:t xml:space="preserve"> (en el comentario contenido en el siguiente apartado se plantean ciertos principios que se proponen para este efecto)</w:t>
            </w:r>
            <w:r w:rsidRPr="00863F6F">
              <w:rPr>
                <w:rFonts w:ascii="ITC Avant Garde" w:eastAsia="Times New Roman" w:hAnsi="ITC Avant Garde"/>
                <w:color w:val="000000"/>
                <w:sz w:val="20"/>
                <w:szCs w:val="20"/>
                <w:lang w:eastAsia="es-MX"/>
              </w:rPr>
              <w:t>.</w:t>
            </w:r>
          </w:p>
          <w:p w14:paraId="3D915196" w14:textId="77777777" w:rsidR="00A514BE" w:rsidRDefault="00A514BE" w:rsidP="00A514BE">
            <w:pPr>
              <w:spacing w:after="0" w:line="240" w:lineRule="auto"/>
              <w:jc w:val="both"/>
              <w:rPr>
                <w:rFonts w:ascii="ITC Avant Garde" w:eastAsia="Times New Roman" w:hAnsi="ITC Avant Garde"/>
                <w:color w:val="000000"/>
                <w:sz w:val="20"/>
                <w:szCs w:val="20"/>
                <w:lang w:eastAsia="es-MX"/>
              </w:rPr>
            </w:pPr>
          </w:p>
          <w:p w14:paraId="0AF3B20D" w14:textId="77777777" w:rsidR="00A514BE" w:rsidRDefault="00A514BE" w:rsidP="00A514BE">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En este sentido, se propone la siguiente redacción:</w:t>
            </w:r>
          </w:p>
          <w:p w14:paraId="420245EF" w14:textId="77777777" w:rsidR="00A514BE" w:rsidRDefault="00A514BE" w:rsidP="00A514BE">
            <w:pPr>
              <w:spacing w:after="0" w:line="240" w:lineRule="auto"/>
              <w:jc w:val="both"/>
              <w:rPr>
                <w:rFonts w:ascii="ITC Avant Garde" w:eastAsia="Times New Roman" w:hAnsi="ITC Avant Garde"/>
                <w:color w:val="000000"/>
                <w:sz w:val="20"/>
                <w:szCs w:val="20"/>
                <w:lang w:eastAsia="es-MX"/>
              </w:rPr>
            </w:pPr>
          </w:p>
          <w:p w14:paraId="6C41B7EA" w14:textId="77777777" w:rsidR="00A514BE" w:rsidRPr="00466FB0" w:rsidRDefault="00A514BE" w:rsidP="00E06BAC">
            <w:pPr>
              <w:spacing w:after="0" w:line="240" w:lineRule="auto"/>
              <w:ind w:left="384"/>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 </w:t>
            </w:r>
            <w:r w:rsidRPr="00A514BE">
              <w:rPr>
                <w:rFonts w:ascii="ITC Avant Garde" w:eastAsia="Times New Roman" w:hAnsi="ITC Avant Garde"/>
                <w:i/>
                <w:color w:val="000000"/>
                <w:sz w:val="20"/>
                <w:szCs w:val="20"/>
                <w:lang w:eastAsia="es-MX"/>
              </w:rPr>
              <w:t xml:space="preserve">Dicho acuerdo deberá formalizarse, a más tardar, dentro del término de </w:t>
            </w:r>
            <w:r w:rsidRPr="00A514BE">
              <w:rPr>
                <w:rFonts w:ascii="ITC Avant Garde" w:eastAsia="Times New Roman" w:hAnsi="ITC Avant Garde"/>
                <w:i/>
                <w:color w:val="000000"/>
                <w:sz w:val="20"/>
                <w:szCs w:val="20"/>
                <w:u w:val="single"/>
                <w:lang w:eastAsia="es-MX"/>
              </w:rPr>
              <w:t>seis meses</w:t>
            </w:r>
            <w:r w:rsidRPr="00A514BE">
              <w:rPr>
                <w:rFonts w:ascii="ITC Avant Garde" w:eastAsia="Times New Roman" w:hAnsi="ITC Avant Garde"/>
                <w:i/>
                <w:color w:val="000000"/>
                <w:sz w:val="20"/>
                <w:szCs w:val="20"/>
                <w:lang w:eastAsia="es-MX"/>
              </w:rPr>
              <w:t xml:space="preserve"> contado</w:t>
            </w:r>
            <w:r w:rsidRPr="00A514BE">
              <w:rPr>
                <w:rFonts w:ascii="ITC Avant Garde" w:eastAsia="Times New Roman" w:hAnsi="ITC Avant Garde"/>
                <w:i/>
                <w:color w:val="000000"/>
                <w:sz w:val="20"/>
                <w:szCs w:val="20"/>
                <w:u w:val="single"/>
                <w:lang w:eastAsia="es-MX"/>
              </w:rPr>
              <w:t>s</w:t>
            </w:r>
            <w:r w:rsidRPr="00A514BE">
              <w:rPr>
                <w:rFonts w:ascii="ITC Avant Garde" w:eastAsia="Times New Roman" w:hAnsi="ITC Avant Garde"/>
                <w:i/>
                <w:color w:val="000000"/>
                <w:sz w:val="20"/>
                <w:szCs w:val="20"/>
                <w:lang w:eastAsia="es-MX"/>
              </w:rPr>
              <w:t xml:space="preserve"> a partir del día siguiente al otorgamiento y firma del respectivo título de Concesión de Espectro Radioeléctrico para Uso Comercial.</w:t>
            </w:r>
            <w:r>
              <w:rPr>
                <w:rFonts w:ascii="ITC Avant Garde" w:eastAsia="Times New Roman" w:hAnsi="ITC Avant Garde"/>
                <w:color w:val="000000"/>
                <w:sz w:val="20"/>
                <w:szCs w:val="20"/>
                <w:lang w:eastAsia="es-MX"/>
              </w:rPr>
              <w:t>”</w:t>
            </w:r>
          </w:p>
          <w:p w14:paraId="303980E6" w14:textId="77777777" w:rsidR="00204FA7" w:rsidRDefault="00204FA7" w:rsidP="00160550">
            <w:pPr>
              <w:spacing w:after="0" w:line="240" w:lineRule="auto"/>
              <w:jc w:val="both"/>
              <w:rPr>
                <w:rFonts w:ascii="ITC Avant Garde" w:eastAsia="Times New Roman" w:hAnsi="ITC Avant Garde"/>
                <w:color w:val="000000"/>
                <w:sz w:val="20"/>
                <w:szCs w:val="20"/>
                <w:lang w:eastAsia="es-MX"/>
              </w:rPr>
            </w:pPr>
          </w:p>
          <w:p w14:paraId="2912B8D2" w14:textId="77777777" w:rsidR="0030370C" w:rsidRDefault="0030370C" w:rsidP="00160550">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Este comentario se encuentra relacionado con la respuesta a la pregunta número 3 de la sección III del presente formato.</w:t>
            </w:r>
          </w:p>
          <w:p w14:paraId="4E490BC8" w14:textId="77777777" w:rsidR="0030370C" w:rsidRPr="000B7F85" w:rsidRDefault="0030370C" w:rsidP="00160550">
            <w:pPr>
              <w:spacing w:after="0" w:line="240" w:lineRule="auto"/>
              <w:jc w:val="both"/>
              <w:rPr>
                <w:rFonts w:ascii="ITC Avant Garde" w:eastAsia="Times New Roman" w:hAnsi="ITC Avant Garde"/>
                <w:color w:val="000000"/>
                <w:sz w:val="20"/>
                <w:szCs w:val="20"/>
                <w:lang w:eastAsia="es-MX"/>
              </w:rPr>
            </w:pPr>
          </w:p>
        </w:tc>
      </w:tr>
      <w:tr w:rsidR="00160550" w:rsidRPr="00F36A5D" w14:paraId="4EDE40A9" w14:textId="77777777" w:rsidTr="008D18C4">
        <w:trPr>
          <w:trHeight w:val="290"/>
        </w:trPr>
        <w:tc>
          <w:tcPr>
            <w:tcW w:w="979" w:type="pct"/>
            <w:shd w:val="clear" w:color="auto" w:fill="auto"/>
            <w:vAlign w:val="center"/>
          </w:tcPr>
          <w:p w14:paraId="6F9A7810" w14:textId="77777777" w:rsidR="00160550" w:rsidRPr="000B7F85" w:rsidRDefault="00160550" w:rsidP="00160550">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Numeral</w:t>
            </w:r>
            <w:r w:rsidRPr="000B7F85">
              <w:rPr>
                <w:rFonts w:ascii="ITC Avant Garde" w:eastAsia="Times New Roman" w:hAnsi="ITC Avant Garde"/>
                <w:color w:val="000000"/>
                <w:sz w:val="20"/>
                <w:szCs w:val="20"/>
                <w:lang w:eastAsia="es-MX"/>
              </w:rPr>
              <w:t xml:space="preserve"> 4.1</w:t>
            </w:r>
            <w:r w:rsidR="00466FB0">
              <w:rPr>
                <w:rFonts w:ascii="ITC Avant Garde" w:eastAsia="Times New Roman" w:hAnsi="ITC Avant Garde"/>
                <w:color w:val="000000"/>
                <w:sz w:val="20"/>
                <w:szCs w:val="20"/>
                <w:lang w:eastAsia="es-MX"/>
              </w:rPr>
              <w:t xml:space="preserve"> (último párrafo)</w:t>
            </w:r>
          </w:p>
        </w:tc>
        <w:tc>
          <w:tcPr>
            <w:tcW w:w="4021" w:type="pct"/>
            <w:shd w:val="clear" w:color="auto" w:fill="auto"/>
            <w:vAlign w:val="center"/>
          </w:tcPr>
          <w:p w14:paraId="13FCF421" w14:textId="77777777" w:rsidR="00160550" w:rsidRPr="000B7F85" w:rsidRDefault="00160550" w:rsidP="00160550">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Dentro del último párrafo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4.1 se establece que cuando dentro del plazo establecido, el titular de la Concesión de Espectro Radioeléctrico de Uso Comercial no haya celebrado el convenio con el Autorizado correspondiente, el Instituto dentro de </w:t>
            </w:r>
            <w:r w:rsidRPr="000B7F85">
              <w:rPr>
                <w:rFonts w:ascii="ITC Avant Garde" w:eastAsia="Times New Roman" w:hAnsi="ITC Avant Garde"/>
                <w:color w:val="000000"/>
                <w:sz w:val="20"/>
                <w:szCs w:val="20"/>
                <w:lang w:eastAsia="es-MX"/>
              </w:rPr>
              <w:lastRenderedPageBreak/>
              <w:t xml:space="preserve">los 180 días naturales siguientes, resolverá sobre las condiciones que no hayan podido convenirse. </w:t>
            </w:r>
          </w:p>
          <w:p w14:paraId="6A2E4245" w14:textId="77777777" w:rsidR="002D790D" w:rsidRDefault="002D790D" w:rsidP="002D790D">
            <w:pPr>
              <w:spacing w:after="0" w:line="240" w:lineRule="auto"/>
              <w:jc w:val="both"/>
              <w:rPr>
                <w:rFonts w:ascii="ITC Avant Garde" w:eastAsia="Times New Roman" w:hAnsi="ITC Avant Garde"/>
                <w:color w:val="000000"/>
                <w:sz w:val="20"/>
                <w:szCs w:val="20"/>
                <w:lang w:val="es-CO" w:eastAsia="es-MX"/>
              </w:rPr>
            </w:pPr>
            <w:r w:rsidRPr="008D2999">
              <w:rPr>
                <w:rFonts w:ascii="ITC Avant Garde" w:eastAsia="Times New Roman" w:hAnsi="ITC Avant Garde"/>
                <w:color w:val="000000"/>
                <w:sz w:val="20"/>
                <w:szCs w:val="20"/>
                <w:lang w:val="es-CO" w:eastAsia="es-MX"/>
              </w:rPr>
              <w:t xml:space="preserve">Omnispace concuerda con el Instituto en la necesidad de establecer un acuerdo entre </w:t>
            </w:r>
            <w:r w:rsidR="00637EEE">
              <w:rPr>
                <w:rFonts w:ascii="ITC Avant Garde" w:eastAsia="Times New Roman" w:hAnsi="ITC Avant Garde"/>
                <w:color w:val="000000"/>
                <w:sz w:val="20"/>
                <w:szCs w:val="20"/>
                <w:lang w:val="es-CO" w:eastAsia="es-MX"/>
              </w:rPr>
              <w:t>e</w:t>
            </w:r>
            <w:r w:rsidRPr="008D2999">
              <w:rPr>
                <w:rFonts w:ascii="ITC Avant Garde" w:eastAsia="Times New Roman" w:hAnsi="ITC Avant Garde"/>
                <w:color w:val="000000"/>
                <w:sz w:val="20"/>
                <w:szCs w:val="20"/>
                <w:lang w:val="es-CO" w:eastAsia="es-MX"/>
              </w:rPr>
              <w:t xml:space="preserve">l eventual </w:t>
            </w:r>
            <w:r w:rsidR="00637EEE">
              <w:rPr>
                <w:rFonts w:ascii="ITC Avant Garde" w:eastAsia="Times New Roman" w:hAnsi="ITC Avant Garde"/>
                <w:color w:val="000000"/>
                <w:sz w:val="20"/>
                <w:szCs w:val="20"/>
                <w:lang w:val="es-CO" w:eastAsia="es-MX"/>
              </w:rPr>
              <w:t>titular de la Concesión de Espectro Radioeléctrico de Uso Comercial que preste el Servicio Complementario Terrestre de Servicio Móvil por Satélite</w:t>
            </w:r>
            <w:r w:rsidRPr="008D2999">
              <w:rPr>
                <w:rFonts w:ascii="ITC Avant Garde" w:eastAsia="Times New Roman" w:hAnsi="ITC Avant Garde"/>
                <w:color w:val="000000"/>
                <w:sz w:val="20"/>
                <w:szCs w:val="20"/>
                <w:lang w:val="es-CO" w:eastAsia="es-MX"/>
              </w:rPr>
              <w:t xml:space="preserve"> y los Autorizados </w:t>
            </w:r>
            <w:r w:rsidR="00637EEE">
              <w:rPr>
                <w:rFonts w:ascii="ITC Avant Garde" w:eastAsia="Times New Roman" w:hAnsi="ITC Avant Garde"/>
                <w:color w:val="000000"/>
                <w:sz w:val="20"/>
                <w:szCs w:val="20"/>
                <w:lang w:val="es-CO" w:eastAsia="es-MX"/>
              </w:rPr>
              <w:t>correspondientes</w:t>
            </w:r>
            <w:r w:rsidRPr="008D2999">
              <w:rPr>
                <w:rFonts w:ascii="ITC Avant Garde" w:eastAsia="Times New Roman" w:hAnsi="ITC Avant Garde"/>
                <w:color w:val="000000"/>
                <w:sz w:val="20"/>
                <w:szCs w:val="20"/>
                <w:lang w:val="es-CO" w:eastAsia="es-MX"/>
              </w:rPr>
              <w:t xml:space="preserve">. Para que el componente satelital y </w:t>
            </w:r>
            <w:r w:rsidR="006A1C17">
              <w:rPr>
                <w:rFonts w:ascii="ITC Avant Garde" w:eastAsia="Times New Roman" w:hAnsi="ITC Avant Garde"/>
                <w:color w:val="000000"/>
                <w:sz w:val="20"/>
                <w:szCs w:val="20"/>
                <w:lang w:val="es-CO" w:eastAsia="es-MX"/>
              </w:rPr>
              <w:t xml:space="preserve">el componente </w:t>
            </w:r>
            <w:r w:rsidRPr="008D2999">
              <w:rPr>
                <w:rFonts w:ascii="ITC Avant Garde" w:eastAsia="Times New Roman" w:hAnsi="ITC Avant Garde"/>
                <w:color w:val="000000"/>
                <w:sz w:val="20"/>
                <w:szCs w:val="20"/>
                <w:lang w:val="es-CO" w:eastAsia="es-MX"/>
              </w:rPr>
              <w:t xml:space="preserve">complementario </w:t>
            </w:r>
            <w:r w:rsidR="003A7086">
              <w:rPr>
                <w:rFonts w:ascii="ITC Avant Garde" w:eastAsia="Times New Roman" w:hAnsi="ITC Avant Garde"/>
                <w:color w:val="000000"/>
                <w:sz w:val="20"/>
                <w:szCs w:val="20"/>
                <w:lang w:val="es-CO" w:eastAsia="es-MX"/>
              </w:rPr>
              <w:t xml:space="preserve">terrestre </w:t>
            </w:r>
            <w:r w:rsidRPr="008D2999">
              <w:rPr>
                <w:rFonts w:ascii="ITC Avant Garde" w:eastAsia="Times New Roman" w:hAnsi="ITC Avant Garde"/>
                <w:color w:val="000000"/>
                <w:sz w:val="20"/>
                <w:szCs w:val="20"/>
                <w:lang w:val="es-CO" w:eastAsia="es-MX"/>
              </w:rPr>
              <w:t xml:space="preserve">del servicio </w:t>
            </w:r>
            <w:r w:rsidR="00365D31">
              <w:rPr>
                <w:rFonts w:ascii="ITC Avant Garde" w:eastAsia="Times New Roman" w:hAnsi="ITC Avant Garde"/>
                <w:color w:val="000000"/>
                <w:sz w:val="20"/>
                <w:szCs w:val="20"/>
                <w:lang w:val="es-CO" w:eastAsia="es-MX"/>
              </w:rPr>
              <w:t xml:space="preserve">móvil </w:t>
            </w:r>
            <w:r w:rsidRPr="008D2999">
              <w:rPr>
                <w:rFonts w:ascii="ITC Avant Garde" w:eastAsia="Times New Roman" w:hAnsi="ITC Avant Garde"/>
                <w:color w:val="000000"/>
                <w:sz w:val="20"/>
                <w:szCs w:val="20"/>
                <w:lang w:val="es-CO" w:eastAsia="es-MX"/>
              </w:rPr>
              <w:t xml:space="preserve">por satélite operen exitosamente, se requiere un alto nivel de coordinación ya que la probabilidad de interferencia entre ambos usos es significativa al operar en las mismas frecuencias </w:t>
            </w:r>
            <w:r w:rsidR="00637EEE">
              <w:rPr>
                <w:rFonts w:ascii="ITC Avant Garde" w:eastAsia="Times New Roman" w:hAnsi="ITC Avant Garde"/>
                <w:color w:val="000000"/>
                <w:sz w:val="20"/>
                <w:szCs w:val="20"/>
                <w:lang w:val="es-CO" w:eastAsia="es-MX"/>
              </w:rPr>
              <w:t xml:space="preserve">y </w:t>
            </w:r>
            <w:r w:rsidRPr="008D2999">
              <w:rPr>
                <w:rFonts w:ascii="ITC Avant Garde" w:eastAsia="Times New Roman" w:hAnsi="ITC Avant Garde"/>
                <w:color w:val="000000"/>
                <w:sz w:val="20"/>
                <w:szCs w:val="20"/>
                <w:lang w:val="es-CO" w:eastAsia="es-MX"/>
              </w:rPr>
              <w:t>en el mismo espacio geográfico.</w:t>
            </w:r>
          </w:p>
          <w:p w14:paraId="0BB13852" w14:textId="77777777" w:rsidR="009F43ED" w:rsidRDefault="009F43ED" w:rsidP="009F43ED">
            <w:pPr>
              <w:spacing w:after="0" w:line="240" w:lineRule="auto"/>
              <w:jc w:val="both"/>
              <w:rPr>
                <w:rFonts w:ascii="ITC Avant Garde" w:eastAsia="Times New Roman" w:hAnsi="ITC Avant Garde"/>
                <w:color w:val="000000"/>
                <w:sz w:val="20"/>
                <w:szCs w:val="20"/>
                <w:lang w:val="es-CO" w:eastAsia="es-MX"/>
              </w:rPr>
            </w:pPr>
          </w:p>
          <w:p w14:paraId="28CA60CE" w14:textId="5C1CEC4F" w:rsidR="009F43ED" w:rsidRPr="009F43ED" w:rsidRDefault="009F43ED" w:rsidP="009F43ED">
            <w:pPr>
              <w:spacing w:after="0" w:line="240" w:lineRule="auto"/>
              <w:jc w:val="both"/>
              <w:rPr>
                <w:rFonts w:ascii="ITC Avant Garde" w:eastAsia="Times New Roman" w:hAnsi="ITC Avant Garde"/>
                <w:color w:val="000000"/>
                <w:sz w:val="20"/>
                <w:szCs w:val="20"/>
                <w:lang w:val="es-CO" w:eastAsia="es-MX"/>
              </w:rPr>
            </w:pPr>
            <w:r w:rsidRPr="009F43ED">
              <w:rPr>
                <w:rFonts w:ascii="ITC Avant Garde" w:eastAsia="Times New Roman" w:hAnsi="ITC Avant Garde"/>
                <w:color w:val="000000"/>
                <w:sz w:val="20"/>
                <w:szCs w:val="20"/>
                <w:lang w:val="es-CO" w:eastAsia="es-MX"/>
              </w:rPr>
              <w:t xml:space="preserve">En este sentido, consideramos importante que el Instituto fije en las bases de la licitación principios sobre los cuales se debe desarrollar el acuerdo entre los concesionarios o bajo </w:t>
            </w:r>
            <w:r w:rsidR="00970B08">
              <w:rPr>
                <w:rFonts w:ascii="ITC Avant Garde" w:eastAsia="Times New Roman" w:hAnsi="ITC Avant Garde"/>
                <w:color w:val="000000"/>
                <w:sz w:val="20"/>
                <w:szCs w:val="20"/>
                <w:lang w:val="es-CO" w:eastAsia="es-MX"/>
              </w:rPr>
              <w:t>los</w:t>
            </w:r>
            <w:r w:rsidR="00970B08" w:rsidRPr="009F43ED">
              <w:rPr>
                <w:rFonts w:ascii="ITC Avant Garde" w:eastAsia="Times New Roman" w:hAnsi="ITC Avant Garde"/>
                <w:color w:val="000000"/>
                <w:sz w:val="20"/>
                <w:szCs w:val="20"/>
                <w:lang w:val="es-CO" w:eastAsia="es-MX"/>
              </w:rPr>
              <w:t xml:space="preserve"> </w:t>
            </w:r>
            <w:r w:rsidRPr="009F43ED">
              <w:rPr>
                <w:rFonts w:ascii="ITC Avant Garde" w:eastAsia="Times New Roman" w:hAnsi="ITC Avant Garde"/>
                <w:color w:val="000000"/>
                <w:sz w:val="20"/>
                <w:szCs w:val="20"/>
                <w:lang w:val="es-CO" w:eastAsia="es-MX"/>
              </w:rPr>
              <w:t>cuales el Instituto resolver</w:t>
            </w:r>
            <w:r w:rsidRPr="009F43ED">
              <w:rPr>
                <w:rFonts w:ascii="ITC Avant Garde" w:eastAsia="Times New Roman" w:hAnsi="ITC Avant Garde"/>
                <w:color w:val="000000"/>
                <w:sz w:val="20"/>
                <w:szCs w:val="20"/>
                <w:lang w:eastAsia="es-MX"/>
              </w:rPr>
              <w:t>á</w:t>
            </w:r>
            <w:r w:rsidRPr="009F43ED">
              <w:rPr>
                <w:rFonts w:ascii="ITC Avant Garde" w:eastAsia="Times New Roman" w:hAnsi="ITC Avant Garde"/>
                <w:color w:val="000000"/>
                <w:sz w:val="20"/>
                <w:szCs w:val="20"/>
                <w:lang w:val="es-CO" w:eastAsia="es-MX"/>
              </w:rPr>
              <w:t xml:space="preserve"> cualquier desacuerdo entre éstos en los términos establecidos en el </w:t>
            </w:r>
            <w:r w:rsidR="00637EEE">
              <w:rPr>
                <w:rFonts w:ascii="ITC Avant Garde" w:eastAsia="Times New Roman" w:hAnsi="ITC Avant Garde"/>
                <w:color w:val="000000"/>
                <w:sz w:val="20"/>
                <w:szCs w:val="20"/>
                <w:lang w:val="es-CO" w:eastAsia="es-MX"/>
              </w:rPr>
              <w:t>N</w:t>
            </w:r>
            <w:r w:rsidRPr="009F43ED">
              <w:rPr>
                <w:rFonts w:ascii="ITC Avant Garde" w:eastAsia="Times New Roman" w:hAnsi="ITC Avant Garde"/>
                <w:color w:val="000000"/>
                <w:sz w:val="20"/>
                <w:szCs w:val="20"/>
                <w:lang w:val="es-CO" w:eastAsia="es-MX"/>
              </w:rPr>
              <w:t xml:space="preserve">umeral 4.1. </w:t>
            </w:r>
          </w:p>
          <w:p w14:paraId="76F08F75" w14:textId="77777777" w:rsidR="009F43ED" w:rsidRPr="009F43ED" w:rsidRDefault="009F43ED" w:rsidP="009F43ED">
            <w:pPr>
              <w:spacing w:after="0" w:line="240" w:lineRule="auto"/>
              <w:jc w:val="both"/>
              <w:rPr>
                <w:rFonts w:ascii="ITC Avant Garde" w:eastAsia="Times New Roman" w:hAnsi="ITC Avant Garde"/>
                <w:color w:val="000000"/>
                <w:sz w:val="20"/>
                <w:szCs w:val="20"/>
                <w:lang w:val="es-CO" w:eastAsia="es-MX"/>
              </w:rPr>
            </w:pPr>
          </w:p>
          <w:p w14:paraId="05BC666E" w14:textId="77777777" w:rsidR="009F43ED" w:rsidRPr="009F43ED" w:rsidRDefault="009F43ED" w:rsidP="009F43ED">
            <w:pPr>
              <w:spacing w:after="0" w:line="240" w:lineRule="auto"/>
              <w:jc w:val="both"/>
              <w:rPr>
                <w:rFonts w:ascii="ITC Avant Garde" w:eastAsia="Times New Roman" w:hAnsi="ITC Avant Garde"/>
                <w:color w:val="000000"/>
                <w:sz w:val="20"/>
                <w:szCs w:val="20"/>
                <w:lang w:val="es-CO" w:eastAsia="es-MX"/>
              </w:rPr>
            </w:pPr>
            <w:r w:rsidRPr="009F43ED">
              <w:rPr>
                <w:rFonts w:ascii="ITC Avant Garde" w:eastAsia="Times New Roman" w:hAnsi="ITC Avant Garde"/>
                <w:color w:val="000000"/>
                <w:sz w:val="20"/>
                <w:szCs w:val="20"/>
                <w:lang w:val="es-CO" w:eastAsia="es-MX"/>
              </w:rPr>
              <w:t>En este sentido, y buscando aportar al mejoramiento de</w:t>
            </w:r>
            <w:r w:rsidR="00637EEE">
              <w:rPr>
                <w:rFonts w:ascii="ITC Avant Garde" w:eastAsia="Times New Roman" w:hAnsi="ITC Avant Garde"/>
                <w:color w:val="000000"/>
                <w:sz w:val="20"/>
                <w:szCs w:val="20"/>
                <w:lang w:val="es-CO" w:eastAsia="es-MX"/>
              </w:rPr>
              <w:t>l proyecto de</w:t>
            </w:r>
            <w:r w:rsidRPr="009F43ED">
              <w:rPr>
                <w:rFonts w:ascii="ITC Avant Garde" w:eastAsia="Times New Roman" w:hAnsi="ITC Avant Garde"/>
                <w:color w:val="000000"/>
                <w:sz w:val="20"/>
                <w:szCs w:val="20"/>
                <w:lang w:val="es-CO" w:eastAsia="es-MX"/>
              </w:rPr>
              <w:t xml:space="preserve"> </w:t>
            </w:r>
            <w:r w:rsidR="00637EEE">
              <w:rPr>
                <w:rFonts w:ascii="ITC Avant Garde" w:eastAsia="Times New Roman" w:hAnsi="ITC Avant Garde"/>
                <w:color w:val="000000"/>
                <w:sz w:val="20"/>
                <w:szCs w:val="20"/>
                <w:lang w:val="es-CO" w:eastAsia="es-MX"/>
              </w:rPr>
              <w:t>B</w:t>
            </w:r>
            <w:r w:rsidRPr="009F43ED">
              <w:rPr>
                <w:rFonts w:ascii="ITC Avant Garde" w:eastAsia="Times New Roman" w:hAnsi="ITC Avant Garde"/>
                <w:color w:val="000000"/>
                <w:sz w:val="20"/>
                <w:szCs w:val="20"/>
                <w:lang w:val="es-CO" w:eastAsia="es-MX"/>
              </w:rPr>
              <w:t xml:space="preserve">ases, proponemos que los principios orientadores para dichos acuerdos sean: </w:t>
            </w:r>
          </w:p>
          <w:p w14:paraId="27B2453B" w14:textId="77777777" w:rsidR="009F43ED" w:rsidRPr="009F43ED" w:rsidRDefault="009F43ED" w:rsidP="009F43ED">
            <w:pPr>
              <w:spacing w:after="0" w:line="240" w:lineRule="auto"/>
              <w:jc w:val="both"/>
              <w:rPr>
                <w:rFonts w:ascii="ITC Avant Garde" w:eastAsia="Times New Roman" w:hAnsi="ITC Avant Garde"/>
                <w:color w:val="000000"/>
                <w:sz w:val="20"/>
                <w:szCs w:val="20"/>
                <w:lang w:val="es-CO" w:eastAsia="es-MX"/>
              </w:rPr>
            </w:pPr>
          </w:p>
          <w:p w14:paraId="7D16B5E8" w14:textId="77777777" w:rsidR="009F43ED" w:rsidRPr="009F43ED" w:rsidRDefault="009F43ED" w:rsidP="009F43ED">
            <w:pPr>
              <w:numPr>
                <w:ilvl w:val="0"/>
                <w:numId w:val="33"/>
              </w:numPr>
              <w:spacing w:after="0" w:line="240" w:lineRule="auto"/>
              <w:jc w:val="both"/>
              <w:rPr>
                <w:rFonts w:ascii="ITC Avant Garde" w:eastAsia="Times New Roman" w:hAnsi="ITC Avant Garde"/>
                <w:color w:val="000000"/>
                <w:sz w:val="20"/>
                <w:szCs w:val="20"/>
                <w:lang w:val="es-CO" w:eastAsia="es-MX"/>
              </w:rPr>
            </w:pPr>
            <w:r w:rsidRPr="009F43ED">
              <w:rPr>
                <w:rFonts w:ascii="ITC Avant Garde" w:eastAsia="Times New Roman" w:hAnsi="ITC Avant Garde"/>
                <w:color w:val="000000"/>
                <w:sz w:val="20"/>
                <w:szCs w:val="20"/>
                <w:lang w:val="es-CO" w:eastAsia="es-MX"/>
              </w:rPr>
              <w:t>Asegurar la protección de las comunicaciones de los Autorizado</w:t>
            </w:r>
            <w:r w:rsidR="00637EEE">
              <w:rPr>
                <w:rFonts w:ascii="ITC Avant Garde" w:eastAsia="Times New Roman" w:hAnsi="ITC Avant Garde"/>
                <w:color w:val="000000"/>
                <w:sz w:val="20"/>
                <w:szCs w:val="20"/>
                <w:lang w:val="es-CO" w:eastAsia="es-MX"/>
              </w:rPr>
              <w:t>s</w:t>
            </w:r>
            <w:r w:rsidRPr="009F43ED">
              <w:rPr>
                <w:rFonts w:ascii="ITC Avant Garde" w:eastAsia="Times New Roman" w:hAnsi="ITC Avant Garde"/>
                <w:color w:val="000000"/>
                <w:sz w:val="20"/>
                <w:szCs w:val="20"/>
                <w:lang w:val="es-CO" w:eastAsia="es-MX"/>
              </w:rPr>
              <w:t xml:space="preserve">. </w:t>
            </w:r>
          </w:p>
          <w:p w14:paraId="6B4D7E70" w14:textId="77777777" w:rsidR="009F43ED" w:rsidRPr="009F43ED" w:rsidRDefault="009F43ED" w:rsidP="009F43ED">
            <w:pPr>
              <w:numPr>
                <w:ilvl w:val="0"/>
                <w:numId w:val="33"/>
              </w:numPr>
              <w:spacing w:after="0" w:line="240" w:lineRule="auto"/>
              <w:jc w:val="both"/>
              <w:rPr>
                <w:rFonts w:ascii="ITC Avant Garde" w:eastAsia="Times New Roman" w:hAnsi="ITC Avant Garde"/>
                <w:color w:val="000000"/>
                <w:sz w:val="20"/>
                <w:szCs w:val="20"/>
                <w:lang w:val="es-CO" w:eastAsia="es-MX"/>
              </w:rPr>
            </w:pPr>
            <w:r w:rsidRPr="009F43ED">
              <w:rPr>
                <w:rFonts w:ascii="ITC Avant Garde" w:eastAsia="Times New Roman" w:hAnsi="ITC Avant Garde"/>
                <w:color w:val="000000"/>
                <w:sz w:val="20"/>
                <w:szCs w:val="20"/>
                <w:lang w:val="es-CO" w:eastAsia="es-MX"/>
              </w:rPr>
              <w:t xml:space="preserve">Asegurar la adecuada prestación del servicio a los usuarios en una determinada área geográfica. </w:t>
            </w:r>
          </w:p>
          <w:p w14:paraId="16F883F4" w14:textId="77777777" w:rsidR="009F43ED" w:rsidRPr="009F43ED" w:rsidRDefault="009F43ED" w:rsidP="009F43ED">
            <w:pPr>
              <w:numPr>
                <w:ilvl w:val="0"/>
                <w:numId w:val="33"/>
              </w:numPr>
              <w:spacing w:after="0" w:line="240" w:lineRule="auto"/>
              <w:jc w:val="both"/>
              <w:rPr>
                <w:rFonts w:ascii="ITC Avant Garde" w:eastAsia="Times New Roman" w:hAnsi="ITC Avant Garde"/>
                <w:color w:val="000000"/>
                <w:sz w:val="20"/>
                <w:szCs w:val="20"/>
                <w:lang w:val="es-CO" w:eastAsia="es-MX"/>
              </w:rPr>
            </w:pPr>
            <w:r w:rsidRPr="009F43ED">
              <w:rPr>
                <w:rFonts w:ascii="ITC Avant Garde" w:eastAsia="Times New Roman" w:hAnsi="ITC Avant Garde"/>
                <w:color w:val="000000"/>
                <w:sz w:val="20"/>
                <w:szCs w:val="20"/>
                <w:lang w:val="es-CO" w:eastAsia="es-MX"/>
              </w:rPr>
              <w:t xml:space="preserve">Facilitar el desarrollo futuro de las aplicaciones del servicio móvil por satélite en la banda. </w:t>
            </w:r>
          </w:p>
          <w:p w14:paraId="56EAE575" w14:textId="77777777" w:rsidR="009F43ED" w:rsidRPr="009F43ED" w:rsidRDefault="009F43ED" w:rsidP="009F43ED">
            <w:pPr>
              <w:numPr>
                <w:ilvl w:val="0"/>
                <w:numId w:val="33"/>
              </w:numPr>
              <w:spacing w:after="0" w:line="240" w:lineRule="auto"/>
              <w:jc w:val="both"/>
              <w:rPr>
                <w:rFonts w:ascii="ITC Avant Garde" w:eastAsia="Times New Roman" w:hAnsi="ITC Avant Garde"/>
                <w:color w:val="000000"/>
                <w:sz w:val="20"/>
                <w:szCs w:val="20"/>
                <w:lang w:val="es-CO" w:eastAsia="es-MX"/>
              </w:rPr>
            </w:pPr>
            <w:r w:rsidRPr="009F43ED">
              <w:rPr>
                <w:rFonts w:ascii="ITC Avant Garde" w:eastAsia="Times New Roman" w:hAnsi="ITC Avant Garde"/>
                <w:color w:val="000000"/>
                <w:sz w:val="20"/>
                <w:szCs w:val="20"/>
                <w:lang w:val="es-CO" w:eastAsia="es-MX"/>
              </w:rPr>
              <w:t xml:space="preserve">Promover la innovación y el desarrollo de nuevas aplicaciones para los usuarios. </w:t>
            </w:r>
          </w:p>
          <w:p w14:paraId="0C718DBA" w14:textId="77777777" w:rsidR="009F43ED" w:rsidRPr="009F43ED" w:rsidRDefault="009F43ED" w:rsidP="009F43ED">
            <w:pPr>
              <w:numPr>
                <w:ilvl w:val="0"/>
                <w:numId w:val="33"/>
              </w:numPr>
              <w:spacing w:after="0" w:line="240" w:lineRule="auto"/>
              <w:jc w:val="both"/>
              <w:rPr>
                <w:rFonts w:ascii="ITC Avant Garde" w:eastAsia="Times New Roman" w:hAnsi="ITC Avant Garde"/>
                <w:color w:val="000000"/>
                <w:sz w:val="20"/>
                <w:szCs w:val="20"/>
                <w:lang w:val="es-CO" w:eastAsia="es-MX"/>
              </w:rPr>
            </w:pPr>
            <w:r w:rsidRPr="009F43ED">
              <w:rPr>
                <w:rFonts w:ascii="ITC Avant Garde" w:eastAsia="Times New Roman" w:hAnsi="ITC Avant Garde"/>
                <w:color w:val="000000"/>
                <w:sz w:val="20"/>
                <w:szCs w:val="20"/>
                <w:lang w:val="es-CO" w:eastAsia="es-MX"/>
              </w:rPr>
              <w:t>Los acuerdos deben ser técnica y económicamente razonables</w:t>
            </w:r>
            <w:r w:rsidR="00637EEE">
              <w:rPr>
                <w:rFonts w:ascii="ITC Avant Garde" w:eastAsia="Times New Roman" w:hAnsi="ITC Avant Garde"/>
                <w:color w:val="000000"/>
                <w:sz w:val="20"/>
                <w:szCs w:val="20"/>
                <w:lang w:val="es-CO" w:eastAsia="es-MX"/>
              </w:rPr>
              <w:t xml:space="preserve"> y neutrales</w:t>
            </w:r>
            <w:r w:rsidRPr="009F43ED">
              <w:rPr>
                <w:rFonts w:ascii="ITC Avant Garde" w:eastAsia="Times New Roman" w:hAnsi="ITC Avant Garde"/>
                <w:color w:val="000000"/>
                <w:sz w:val="20"/>
                <w:szCs w:val="20"/>
                <w:lang w:val="es-CO" w:eastAsia="es-MX"/>
              </w:rPr>
              <w:t xml:space="preserve">. </w:t>
            </w:r>
          </w:p>
          <w:p w14:paraId="7B56D256" w14:textId="77777777" w:rsidR="009F43ED" w:rsidRPr="009F43ED" w:rsidRDefault="009F43ED" w:rsidP="009F43ED">
            <w:pPr>
              <w:spacing w:after="0" w:line="240" w:lineRule="auto"/>
              <w:jc w:val="both"/>
              <w:rPr>
                <w:rFonts w:ascii="ITC Avant Garde" w:eastAsia="Times New Roman" w:hAnsi="ITC Avant Garde"/>
                <w:color w:val="000000"/>
                <w:sz w:val="20"/>
                <w:szCs w:val="20"/>
                <w:lang w:val="es-CO" w:eastAsia="es-MX"/>
              </w:rPr>
            </w:pPr>
          </w:p>
          <w:p w14:paraId="4CD02F2B" w14:textId="77777777" w:rsidR="009F43ED" w:rsidRPr="009F43ED" w:rsidRDefault="009F43ED" w:rsidP="009F43ED">
            <w:pPr>
              <w:spacing w:after="0" w:line="240" w:lineRule="auto"/>
              <w:jc w:val="both"/>
              <w:rPr>
                <w:rFonts w:ascii="ITC Avant Garde" w:eastAsia="Times New Roman" w:hAnsi="ITC Avant Garde"/>
                <w:color w:val="000000"/>
                <w:sz w:val="20"/>
                <w:szCs w:val="20"/>
                <w:lang w:val="es-CO" w:eastAsia="es-MX"/>
              </w:rPr>
            </w:pPr>
            <w:r w:rsidRPr="009F43ED">
              <w:rPr>
                <w:rFonts w:ascii="ITC Avant Garde" w:eastAsia="Times New Roman" w:hAnsi="ITC Avant Garde"/>
                <w:color w:val="000000"/>
                <w:sz w:val="20"/>
                <w:szCs w:val="20"/>
                <w:lang w:val="es-CO" w:eastAsia="es-MX"/>
              </w:rPr>
              <w:t>Un acuerdo desarrollado bajo estos principios, promoverá la seguridad jurídica y el futuro desarrollo del negocio de los actuales Autorizados y a la vez fomentará la ampliación y mejoramiento de la oferta de servicios de telecomunicaciones para la sociedad mexicana. Consideramos que el establecimiento de principios orientadores para el desarrollo de los acuerdos y/o la resolución de desacuerdos, proveerá a los involucrados un marco conceptual y las herramientas necesarias para promover el uso efectivo</w:t>
            </w:r>
            <w:r w:rsidR="00C943CD">
              <w:rPr>
                <w:rFonts w:ascii="ITC Avant Garde" w:eastAsia="Times New Roman" w:hAnsi="ITC Avant Garde"/>
                <w:color w:val="000000"/>
                <w:sz w:val="20"/>
                <w:szCs w:val="20"/>
                <w:lang w:val="es-CO" w:eastAsia="es-MX"/>
              </w:rPr>
              <w:t xml:space="preserve"> </w:t>
            </w:r>
            <w:r w:rsidRPr="009F43ED">
              <w:rPr>
                <w:rFonts w:ascii="ITC Avant Garde" w:eastAsia="Times New Roman" w:hAnsi="ITC Avant Garde"/>
                <w:color w:val="000000"/>
                <w:sz w:val="20"/>
                <w:szCs w:val="20"/>
                <w:lang w:val="es-CO" w:eastAsia="es-MX"/>
              </w:rPr>
              <w:t xml:space="preserve">y eficiente del espectro durante las negociaciones </w:t>
            </w:r>
            <w:r w:rsidR="00C943CD">
              <w:rPr>
                <w:rFonts w:ascii="ITC Avant Garde" w:eastAsia="Times New Roman" w:hAnsi="ITC Avant Garde"/>
                <w:color w:val="000000"/>
                <w:sz w:val="20"/>
                <w:szCs w:val="20"/>
                <w:lang w:val="es-CO" w:eastAsia="es-MX"/>
              </w:rPr>
              <w:t xml:space="preserve">o resolución </w:t>
            </w:r>
            <w:r w:rsidRPr="009F43ED">
              <w:rPr>
                <w:rFonts w:ascii="ITC Avant Garde" w:eastAsia="Times New Roman" w:hAnsi="ITC Avant Garde"/>
                <w:color w:val="000000"/>
                <w:sz w:val="20"/>
                <w:szCs w:val="20"/>
                <w:lang w:val="es-CO" w:eastAsia="es-MX"/>
              </w:rPr>
              <w:t>de los acuerdos</w:t>
            </w:r>
            <w:r w:rsidR="00C943CD">
              <w:rPr>
                <w:rFonts w:ascii="ITC Avant Garde" w:eastAsia="Times New Roman" w:hAnsi="ITC Avant Garde"/>
                <w:color w:val="000000"/>
                <w:sz w:val="20"/>
                <w:szCs w:val="20"/>
                <w:lang w:val="es-CO" w:eastAsia="es-MX"/>
              </w:rPr>
              <w:t xml:space="preserve"> respectivos</w:t>
            </w:r>
            <w:r w:rsidRPr="009F43ED">
              <w:rPr>
                <w:rFonts w:ascii="ITC Avant Garde" w:eastAsia="Times New Roman" w:hAnsi="ITC Avant Garde"/>
                <w:color w:val="000000"/>
                <w:sz w:val="20"/>
                <w:szCs w:val="20"/>
                <w:lang w:val="es-CO" w:eastAsia="es-MX"/>
              </w:rPr>
              <w:t>.</w:t>
            </w:r>
          </w:p>
          <w:p w14:paraId="69AE5D42" w14:textId="77777777" w:rsidR="00160550" w:rsidRPr="000B7F85" w:rsidRDefault="00160550" w:rsidP="00160550">
            <w:pPr>
              <w:spacing w:after="0" w:line="240" w:lineRule="auto"/>
              <w:jc w:val="both"/>
              <w:rPr>
                <w:rFonts w:ascii="ITC Avant Garde" w:eastAsia="Times New Roman" w:hAnsi="ITC Avant Garde"/>
                <w:color w:val="000000"/>
                <w:sz w:val="20"/>
                <w:szCs w:val="20"/>
                <w:lang w:eastAsia="es-MX"/>
              </w:rPr>
            </w:pPr>
          </w:p>
          <w:p w14:paraId="613CA89B" w14:textId="77777777" w:rsidR="00466FB0" w:rsidRDefault="00160550" w:rsidP="00C943CD">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En virtud de lo anterior, sugerimos que se describa clara y precisamente, cómo resolverá el Instituto dichas condiciones no convenidas, el procedimiento que se llevará a cabo para llegar a dicha resolución</w:t>
            </w:r>
            <w:r w:rsidR="00466FB0">
              <w:rPr>
                <w:rFonts w:ascii="ITC Avant Garde" w:eastAsia="Times New Roman" w:hAnsi="ITC Avant Garde"/>
                <w:color w:val="000000"/>
                <w:sz w:val="20"/>
                <w:szCs w:val="20"/>
                <w:lang w:eastAsia="es-MX"/>
              </w:rPr>
              <w:t xml:space="preserve"> y demás términos y condiciones aplicables para la emisión de dicha resolución</w:t>
            </w:r>
            <w:r w:rsidRPr="000B7F85">
              <w:rPr>
                <w:rFonts w:ascii="ITC Avant Garde" w:eastAsia="Times New Roman" w:hAnsi="ITC Avant Garde"/>
                <w:color w:val="000000"/>
                <w:sz w:val="20"/>
                <w:szCs w:val="20"/>
                <w:lang w:eastAsia="es-MX"/>
              </w:rPr>
              <w:t>.</w:t>
            </w:r>
          </w:p>
          <w:p w14:paraId="6F1D3745" w14:textId="77777777" w:rsidR="00C943CD" w:rsidRPr="000B7F85" w:rsidRDefault="00C943CD" w:rsidP="00C943CD">
            <w:pPr>
              <w:spacing w:after="0" w:line="240" w:lineRule="auto"/>
              <w:jc w:val="both"/>
              <w:rPr>
                <w:rFonts w:ascii="ITC Avant Garde" w:eastAsia="Times New Roman" w:hAnsi="ITC Avant Garde"/>
                <w:color w:val="000000"/>
                <w:sz w:val="20"/>
                <w:szCs w:val="20"/>
                <w:lang w:eastAsia="es-MX"/>
              </w:rPr>
            </w:pPr>
          </w:p>
        </w:tc>
      </w:tr>
      <w:tr w:rsidR="00A514BE" w:rsidRPr="00F36A5D" w14:paraId="0C76EE6A" w14:textId="77777777" w:rsidTr="008D18C4">
        <w:trPr>
          <w:trHeight w:val="290"/>
        </w:trPr>
        <w:tc>
          <w:tcPr>
            <w:tcW w:w="979" w:type="pct"/>
            <w:shd w:val="clear" w:color="auto" w:fill="auto"/>
            <w:vAlign w:val="center"/>
          </w:tcPr>
          <w:p w14:paraId="3F637121" w14:textId="77777777" w:rsidR="00A514BE" w:rsidRDefault="00A514BE" w:rsidP="00A514BE">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Numeral</w:t>
            </w:r>
            <w:r w:rsidRPr="000B7F85">
              <w:rPr>
                <w:rFonts w:ascii="ITC Avant Garde" w:eastAsia="Times New Roman" w:hAnsi="ITC Avant Garde"/>
                <w:color w:val="000000"/>
                <w:sz w:val="20"/>
                <w:szCs w:val="20"/>
                <w:lang w:eastAsia="es-MX"/>
              </w:rPr>
              <w:t xml:space="preserve"> 4.1</w:t>
            </w:r>
          </w:p>
        </w:tc>
        <w:tc>
          <w:tcPr>
            <w:tcW w:w="4021" w:type="pct"/>
            <w:shd w:val="clear" w:color="auto" w:fill="auto"/>
            <w:vAlign w:val="center"/>
          </w:tcPr>
          <w:p w14:paraId="64F7E1BE" w14:textId="77777777" w:rsidR="00A514BE" w:rsidRDefault="00A514BE" w:rsidP="00A514BE">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Adicionalmente, se propone la inclusión de la siguiente redacción al final del último párrafo:</w:t>
            </w:r>
          </w:p>
          <w:p w14:paraId="149C1F4D" w14:textId="77777777" w:rsidR="00A514BE" w:rsidRDefault="00A514BE" w:rsidP="00A514BE">
            <w:pPr>
              <w:spacing w:after="0" w:line="240" w:lineRule="auto"/>
              <w:jc w:val="both"/>
              <w:rPr>
                <w:rFonts w:ascii="ITC Avant Garde" w:eastAsia="Times New Roman" w:hAnsi="ITC Avant Garde"/>
                <w:color w:val="000000"/>
                <w:sz w:val="20"/>
                <w:szCs w:val="20"/>
                <w:lang w:eastAsia="es-MX"/>
              </w:rPr>
            </w:pPr>
          </w:p>
          <w:p w14:paraId="44698851" w14:textId="77777777" w:rsidR="00A514BE" w:rsidRPr="00863F6F" w:rsidRDefault="00A514BE" w:rsidP="00E06BAC">
            <w:pPr>
              <w:spacing w:after="0" w:line="240" w:lineRule="auto"/>
              <w:ind w:left="384"/>
              <w:jc w:val="both"/>
              <w:rPr>
                <w:rFonts w:ascii="ITC Avant Garde" w:eastAsia="Times New Roman" w:hAnsi="ITC Avant Garde"/>
                <w:i/>
                <w:color w:val="000000"/>
                <w:sz w:val="20"/>
                <w:szCs w:val="20"/>
                <w:lang w:eastAsia="es-MX"/>
              </w:rPr>
            </w:pPr>
            <w:r>
              <w:rPr>
                <w:rFonts w:ascii="ITC Avant Garde" w:eastAsia="Times New Roman" w:hAnsi="ITC Avant Garde"/>
                <w:i/>
                <w:color w:val="000000"/>
                <w:sz w:val="20"/>
                <w:szCs w:val="20"/>
                <w:lang w:eastAsia="es-MX"/>
              </w:rPr>
              <w:lastRenderedPageBreak/>
              <w:t>“</w:t>
            </w:r>
            <w:r w:rsidRPr="00863F6F">
              <w:rPr>
                <w:rFonts w:ascii="ITC Avant Garde" w:eastAsia="Times New Roman" w:hAnsi="ITC Avant Garde"/>
                <w:i/>
                <w:color w:val="000000"/>
                <w:sz w:val="20"/>
                <w:szCs w:val="20"/>
                <w:lang w:eastAsia="es-MX"/>
              </w:rPr>
              <w:t>Para efectos del presente numeral, en ningún caso el titular de la Concesión de Espectro Radioeléctrico de Uso Comercial que preste el Servicio Complementario Terrestre de Servicio Móvil por Satélite, podrá:</w:t>
            </w:r>
          </w:p>
          <w:p w14:paraId="1F9F5FDF" w14:textId="77777777" w:rsidR="00A514BE" w:rsidRPr="00863F6F" w:rsidRDefault="00A514BE" w:rsidP="00E06BAC">
            <w:pPr>
              <w:spacing w:after="0" w:line="240" w:lineRule="auto"/>
              <w:ind w:left="384"/>
              <w:jc w:val="both"/>
              <w:rPr>
                <w:rFonts w:ascii="ITC Avant Garde" w:eastAsia="Times New Roman" w:hAnsi="ITC Avant Garde"/>
                <w:i/>
                <w:color w:val="000000"/>
                <w:sz w:val="20"/>
                <w:szCs w:val="20"/>
                <w:lang w:eastAsia="es-MX"/>
              </w:rPr>
            </w:pPr>
          </w:p>
          <w:p w14:paraId="402DBCB0" w14:textId="77777777" w:rsidR="00A514BE" w:rsidRPr="00863F6F" w:rsidRDefault="00A514BE" w:rsidP="00E06BAC">
            <w:pPr>
              <w:numPr>
                <w:ilvl w:val="0"/>
                <w:numId w:val="32"/>
              </w:numPr>
              <w:spacing w:after="0" w:line="240" w:lineRule="auto"/>
              <w:ind w:left="384" w:firstLine="0"/>
              <w:jc w:val="both"/>
              <w:rPr>
                <w:rFonts w:ascii="ITC Avant Garde" w:eastAsia="Times New Roman" w:hAnsi="ITC Avant Garde"/>
                <w:color w:val="000000"/>
                <w:sz w:val="20"/>
                <w:szCs w:val="20"/>
                <w:lang w:eastAsia="es-MX"/>
              </w:rPr>
            </w:pPr>
            <w:r w:rsidRPr="00863F6F">
              <w:rPr>
                <w:rFonts w:ascii="ITC Avant Garde" w:eastAsia="Times New Roman" w:hAnsi="ITC Avant Garde"/>
                <w:i/>
                <w:color w:val="000000"/>
                <w:sz w:val="20"/>
                <w:szCs w:val="20"/>
                <w:lang w:eastAsia="es-MX"/>
              </w:rPr>
              <w:t>Celebrar el acuerdo de asociación de capacidad satelital del Bloque que le corresponda con el titular de la Concesión de Espectro Radioeléctrico de Uso Comercial que preste el Servicio Complementario Terrestre de Servicio Móvil por Satélite del otro Bloque que tenga el carácter de Autorizado o con cualquier Agente Económico que forme parte del mismo GIE de éste (incluyendo sin limitar las personas con las que el GIE tiene Vínculos), o</w:t>
            </w:r>
          </w:p>
          <w:p w14:paraId="35AC7B23" w14:textId="77777777" w:rsidR="00A514BE" w:rsidRPr="00863F6F" w:rsidRDefault="00A514BE" w:rsidP="00E06BAC">
            <w:pPr>
              <w:spacing w:after="0" w:line="240" w:lineRule="auto"/>
              <w:ind w:left="384"/>
              <w:jc w:val="both"/>
              <w:rPr>
                <w:rFonts w:ascii="ITC Avant Garde" w:eastAsia="Times New Roman" w:hAnsi="ITC Avant Garde"/>
                <w:color w:val="000000"/>
                <w:sz w:val="20"/>
                <w:szCs w:val="20"/>
                <w:lang w:eastAsia="es-MX"/>
              </w:rPr>
            </w:pPr>
          </w:p>
          <w:p w14:paraId="34FCC755" w14:textId="77777777" w:rsidR="00A514BE" w:rsidRPr="00863F6F" w:rsidRDefault="00A514BE" w:rsidP="00E06BAC">
            <w:pPr>
              <w:numPr>
                <w:ilvl w:val="0"/>
                <w:numId w:val="32"/>
              </w:numPr>
              <w:spacing w:after="0" w:line="240" w:lineRule="auto"/>
              <w:ind w:left="384" w:firstLine="0"/>
              <w:jc w:val="both"/>
              <w:rPr>
                <w:rFonts w:ascii="ITC Avant Garde" w:eastAsia="Times New Roman" w:hAnsi="ITC Avant Garde"/>
                <w:color w:val="000000"/>
                <w:sz w:val="20"/>
                <w:szCs w:val="20"/>
                <w:lang w:eastAsia="es-MX"/>
              </w:rPr>
            </w:pPr>
            <w:r w:rsidRPr="00863F6F">
              <w:rPr>
                <w:rFonts w:ascii="ITC Avant Garde" w:eastAsia="Times New Roman" w:hAnsi="ITC Avant Garde"/>
                <w:i/>
                <w:color w:val="000000"/>
                <w:sz w:val="20"/>
                <w:szCs w:val="20"/>
                <w:lang w:eastAsia="es-MX"/>
              </w:rPr>
              <w:t>Tener un Vínculo, ya sea de hecho o de derecho, directa o indirectamente, con o ser parte del mismo GIE del titular de la Concesión de Espectro Radioeléctrico de Uso Comercial que preste el Servicio Complementario Terrestre de Servicio Móvil por Satélite del otro Bloque</w:t>
            </w:r>
            <w:r w:rsidRPr="00863F6F">
              <w:rPr>
                <w:rFonts w:ascii="ITC Avant Garde" w:eastAsia="Times New Roman" w:hAnsi="ITC Avant Garde"/>
                <w:color w:val="000000"/>
                <w:sz w:val="20"/>
                <w:szCs w:val="20"/>
                <w:lang w:eastAsia="es-MX"/>
              </w:rPr>
              <w:t>.</w:t>
            </w:r>
          </w:p>
          <w:p w14:paraId="6077C4A5" w14:textId="77777777" w:rsidR="00A514BE" w:rsidRDefault="00A514BE" w:rsidP="00E06BAC">
            <w:pPr>
              <w:spacing w:after="0" w:line="240" w:lineRule="auto"/>
              <w:ind w:left="384"/>
              <w:jc w:val="both"/>
              <w:rPr>
                <w:rFonts w:ascii="ITC Avant Garde" w:eastAsia="Times New Roman" w:hAnsi="ITC Avant Garde"/>
                <w:i/>
                <w:color w:val="000000"/>
                <w:sz w:val="20"/>
                <w:szCs w:val="20"/>
                <w:lang w:eastAsia="es-MX"/>
              </w:rPr>
            </w:pPr>
          </w:p>
          <w:p w14:paraId="6DBFD3B1" w14:textId="77777777" w:rsidR="00A514BE" w:rsidRPr="00863F6F" w:rsidRDefault="00A514BE" w:rsidP="00E06BAC">
            <w:pPr>
              <w:spacing w:after="0" w:line="240" w:lineRule="auto"/>
              <w:ind w:left="384"/>
              <w:jc w:val="both"/>
              <w:rPr>
                <w:rFonts w:ascii="ITC Avant Garde" w:eastAsia="Times New Roman" w:hAnsi="ITC Avant Garde"/>
                <w:color w:val="000000"/>
                <w:sz w:val="20"/>
                <w:szCs w:val="20"/>
                <w:lang w:eastAsia="es-MX"/>
              </w:rPr>
            </w:pPr>
            <w:r w:rsidRPr="00863F6F">
              <w:rPr>
                <w:rFonts w:ascii="ITC Avant Garde" w:eastAsia="Times New Roman" w:hAnsi="ITC Avant Garde"/>
                <w:i/>
                <w:color w:val="000000"/>
                <w:sz w:val="20"/>
                <w:szCs w:val="20"/>
                <w:lang w:eastAsia="es-MX"/>
              </w:rPr>
              <w:t>Las anteriores prohibiciones se incluyen en el título de Concesión de Espectro Radioeléctrico para Uso Comercial, las cuales se aplicarán durante la vigencia de la misma, salvo autorización previa del Instituto. En caso de incumplimiento a cualquier de dichas obligaciones, procederá la revocación de dicha concesión en los términos de la fracción XX del artículo 303 de la Ley.</w:t>
            </w:r>
            <w:r w:rsidRPr="00863F6F">
              <w:rPr>
                <w:rFonts w:ascii="ITC Avant Garde" w:eastAsia="Times New Roman" w:hAnsi="ITC Avant Garde"/>
                <w:color w:val="000000"/>
                <w:sz w:val="20"/>
                <w:szCs w:val="20"/>
                <w:lang w:eastAsia="es-MX"/>
              </w:rPr>
              <w:t>”</w:t>
            </w:r>
          </w:p>
          <w:p w14:paraId="732920C3" w14:textId="77777777" w:rsidR="00A514BE" w:rsidRDefault="00A514BE" w:rsidP="00A514BE">
            <w:pPr>
              <w:pStyle w:val="Default"/>
              <w:jc w:val="both"/>
              <w:rPr>
                <w:rFonts w:eastAsia="Times New Roman"/>
                <w:sz w:val="20"/>
                <w:szCs w:val="20"/>
                <w:lang w:val="es-MX"/>
              </w:rPr>
            </w:pPr>
          </w:p>
          <w:p w14:paraId="0BDAD599" w14:textId="77777777" w:rsidR="00CF7375" w:rsidRPr="00CF7375" w:rsidRDefault="00CF7375" w:rsidP="00A514BE">
            <w:pPr>
              <w:pStyle w:val="Default"/>
              <w:jc w:val="both"/>
              <w:rPr>
                <w:rFonts w:eastAsia="Times New Roman"/>
                <w:sz w:val="20"/>
                <w:szCs w:val="20"/>
                <w:lang w:val="es-MX"/>
              </w:rPr>
            </w:pPr>
            <w:r w:rsidRPr="00E06BAC">
              <w:rPr>
                <w:rFonts w:eastAsia="Times New Roman"/>
                <w:sz w:val="20"/>
                <w:szCs w:val="20"/>
                <w:lang w:val="es-MX"/>
              </w:rPr>
              <w:t>Este comentario se encuentra relacionado con la respuesta a la pregunta número 3 de la sección III del presente formato.</w:t>
            </w:r>
          </w:p>
          <w:p w14:paraId="654112B1" w14:textId="77777777" w:rsidR="00CF7375" w:rsidRPr="000B7F85" w:rsidRDefault="00CF7375" w:rsidP="00A514BE">
            <w:pPr>
              <w:pStyle w:val="Default"/>
              <w:jc w:val="both"/>
              <w:rPr>
                <w:rFonts w:eastAsia="Times New Roman"/>
                <w:sz w:val="20"/>
                <w:szCs w:val="20"/>
                <w:lang w:val="es-MX"/>
              </w:rPr>
            </w:pPr>
          </w:p>
        </w:tc>
      </w:tr>
      <w:tr w:rsidR="00A514BE" w:rsidRPr="00F36A5D" w14:paraId="3DFFEE91" w14:textId="77777777" w:rsidTr="008D18C4">
        <w:trPr>
          <w:trHeight w:val="290"/>
        </w:trPr>
        <w:tc>
          <w:tcPr>
            <w:tcW w:w="979" w:type="pct"/>
            <w:shd w:val="clear" w:color="auto" w:fill="auto"/>
            <w:vAlign w:val="center"/>
          </w:tcPr>
          <w:p w14:paraId="49A51161" w14:textId="77777777" w:rsidR="00A514BE" w:rsidRPr="000B7F85" w:rsidRDefault="00A514BE" w:rsidP="00A514BE">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Numeral</w:t>
            </w:r>
            <w:r w:rsidRPr="000B7F85">
              <w:rPr>
                <w:rFonts w:ascii="ITC Avant Garde" w:eastAsia="Times New Roman" w:hAnsi="ITC Avant Garde"/>
                <w:color w:val="000000"/>
                <w:sz w:val="20"/>
                <w:szCs w:val="20"/>
                <w:lang w:eastAsia="es-MX"/>
              </w:rPr>
              <w:t xml:space="preserve"> 4.2</w:t>
            </w:r>
          </w:p>
        </w:tc>
        <w:tc>
          <w:tcPr>
            <w:tcW w:w="4021" w:type="pct"/>
            <w:shd w:val="clear" w:color="auto" w:fill="auto"/>
            <w:vAlign w:val="center"/>
          </w:tcPr>
          <w:p w14:paraId="5C988AE8" w14:textId="77777777" w:rsidR="00A514BE" w:rsidRPr="000B7F85" w:rsidRDefault="00A514BE" w:rsidP="00A514BE">
            <w:pPr>
              <w:pStyle w:val="Default"/>
              <w:jc w:val="both"/>
              <w:rPr>
                <w:sz w:val="20"/>
                <w:szCs w:val="20"/>
                <w:lang w:val="es-MX"/>
              </w:rPr>
            </w:pPr>
            <w:r w:rsidRPr="000B7F85">
              <w:rPr>
                <w:rFonts w:eastAsia="Times New Roman"/>
                <w:sz w:val="20"/>
                <w:szCs w:val="20"/>
                <w:lang w:val="es-MX"/>
              </w:rPr>
              <w:t xml:space="preserve">El primer párrafo </w:t>
            </w:r>
            <w:r>
              <w:rPr>
                <w:rFonts w:eastAsia="Times New Roman"/>
                <w:sz w:val="20"/>
                <w:szCs w:val="20"/>
                <w:lang w:val="es-MX"/>
              </w:rPr>
              <w:t>del Numeral</w:t>
            </w:r>
            <w:r w:rsidRPr="000B7F85">
              <w:rPr>
                <w:rFonts w:eastAsia="Times New Roman"/>
                <w:sz w:val="20"/>
                <w:szCs w:val="20"/>
                <w:lang w:val="es-MX"/>
              </w:rPr>
              <w:t xml:space="preserve"> 4.2 establece que el </w:t>
            </w:r>
            <w:r w:rsidRPr="000B7F85">
              <w:rPr>
                <w:sz w:val="20"/>
                <w:szCs w:val="20"/>
                <w:lang w:val="es-MX"/>
              </w:rPr>
              <w:t xml:space="preserve">titular de la Concesión de Espectro Radioeléctrico de Uso Comercial que preste el Servicio Complementario Terrestre de Servicio Móvil por Satélite que tenga el carácter de Autorizado o tengan un Vínculo con éste, deberá presentar el aviso de inicio de operaciones dentro del término de un año contado a partir del día siguiente al otorgamiento y firma del título de Concesión de Espectro Radioeléctrico para Uso Comercial correspondiente. </w:t>
            </w:r>
          </w:p>
          <w:p w14:paraId="6315C9DC" w14:textId="77777777" w:rsidR="00A514BE" w:rsidRPr="000B7F85" w:rsidRDefault="00A514BE" w:rsidP="00A514BE">
            <w:pPr>
              <w:pStyle w:val="Default"/>
              <w:jc w:val="both"/>
              <w:rPr>
                <w:sz w:val="20"/>
                <w:szCs w:val="20"/>
                <w:lang w:val="es-MX"/>
              </w:rPr>
            </w:pPr>
          </w:p>
          <w:p w14:paraId="55EDE61F" w14:textId="77777777" w:rsidR="00A514BE" w:rsidRPr="000B7F85" w:rsidRDefault="00A514BE" w:rsidP="00A514BE">
            <w:pPr>
              <w:pStyle w:val="Default"/>
              <w:jc w:val="both"/>
              <w:rPr>
                <w:sz w:val="20"/>
                <w:szCs w:val="20"/>
                <w:lang w:val="es-MX"/>
              </w:rPr>
            </w:pPr>
            <w:r w:rsidRPr="000B7F85">
              <w:rPr>
                <w:sz w:val="20"/>
                <w:szCs w:val="20"/>
                <w:lang w:val="es-MX"/>
              </w:rPr>
              <w:t xml:space="preserve">Al respecto, solicitamos al Instituto, que se </w:t>
            </w:r>
            <w:r w:rsidR="00733D5A">
              <w:rPr>
                <w:sz w:val="20"/>
                <w:szCs w:val="20"/>
                <w:lang w:val="es-MX"/>
              </w:rPr>
              <w:t xml:space="preserve">incluya la posibilidad de que dicho plazo pueda </w:t>
            </w:r>
            <w:r w:rsidR="00733D5A" w:rsidRPr="00733D5A">
              <w:rPr>
                <w:sz w:val="20"/>
                <w:szCs w:val="20"/>
                <w:lang w:val="es-MX"/>
              </w:rPr>
              <w:t>pr</w:t>
            </w:r>
            <w:r w:rsidR="00733D5A">
              <w:rPr>
                <w:sz w:val="20"/>
                <w:szCs w:val="20"/>
                <w:lang w:val="es-MX"/>
              </w:rPr>
              <w:t>o</w:t>
            </w:r>
            <w:r w:rsidR="00733D5A" w:rsidRPr="00733D5A">
              <w:rPr>
                <w:sz w:val="20"/>
                <w:szCs w:val="20"/>
                <w:lang w:val="es-MX"/>
              </w:rPr>
              <w:t>rroga</w:t>
            </w:r>
            <w:r w:rsidR="00733D5A">
              <w:rPr>
                <w:sz w:val="20"/>
                <w:szCs w:val="20"/>
                <w:lang w:val="es-MX"/>
              </w:rPr>
              <w:t>rse</w:t>
            </w:r>
            <w:r w:rsidR="00733D5A" w:rsidRPr="00733D5A">
              <w:rPr>
                <w:sz w:val="20"/>
                <w:szCs w:val="20"/>
                <w:lang w:val="es-MX"/>
              </w:rPr>
              <w:t xml:space="preserve"> por lo menos 6 meses en caso de que existan causas justificadas (incluyendo sin limitar por caso fortuito o fuerza mayor) que impidan cumplir con </w:t>
            </w:r>
            <w:r w:rsidR="00733D5A">
              <w:rPr>
                <w:sz w:val="20"/>
                <w:szCs w:val="20"/>
                <w:lang w:val="es-MX"/>
              </w:rPr>
              <w:t>el</w:t>
            </w:r>
            <w:r w:rsidR="00733D5A" w:rsidRPr="00733D5A">
              <w:rPr>
                <w:sz w:val="20"/>
                <w:szCs w:val="20"/>
                <w:lang w:val="es-MX"/>
              </w:rPr>
              <w:t xml:space="preserve"> plazo</w:t>
            </w:r>
            <w:r w:rsidR="00733D5A">
              <w:rPr>
                <w:sz w:val="20"/>
                <w:szCs w:val="20"/>
                <w:lang w:val="es-MX"/>
              </w:rPr>
              <w:t xml:space="preserve"> en cuestión. Para la obtención de dicha prórroga se deberá previamente presentar una solicitud ante el Instituto</w:t>
            </w:r>
            <w:r w:rsidRPr="000B7F85">
              <w:rPr>
                <w:sz w:val="20"/>
                <w:szCs w:val="20"/>
                <w:lang w:val="es-MX"/>
              </w:rPr>
              <w:t xml:space="preserve">. </w:t>
            </w:r>
            <w:r w:rsidR="00733D5A">
              <w:rPr>
                <w:sz w:val="20"/>
                <w:szCs w:val="20"/>
                <w:lang w:val="es-MX"/>
              </w:rPr>
              <w:t xml:space="preserve">Lo anterior también deberá preverse dentro del texto de título de concesión. </w:t>
            </w:r>
          </w:p>
          <w:p w14:paraId="22A20E01" w14:textId="77777777" w:rsidR="00A514BE" w:rsidRPr="000B7F85" w:rsidRDefault="00A514BE" w:rsidP="00A514BE">
            <w:pPr>
              <w:spacing w:after="0" w:line="240" w:lineRule="auto"/>
              <w:jc w:val="both"/>
              <w:rPr>
                <w:rFonts w:ascii="ITC Avant Garde" w:eastAsia="Times New Roman" w:hAnsi="ITC Avant Garde"/>
                <w:color w:val="000000"/>
                <w:sz w:val="20"/>
                <w:szCs w:val="20"/>
                <w:lang w:eastAsia="es-MX"/>
              </w:rPr>
            </w:pPr>
          </w:p>
        </w:tc>
      </w:tr>
      <w:tr w:rsidR="009A3B1B" w:rsidRPr="008465B5" w14:paraId="2AF1C027" w14:textId="77777777" w:rsidTr="008D18C4">
        <w:trPr>
          <w:trHeight w:val="290"/>
        </w:trPr>
        <w:tc>
          <w:tcPr>
            <w:tcW w:w="979" w:type="pct"/>
            <w:shd w:val="clear" w:color="auto" w:fill="auto"/>
            <w:vAlign w:val="center"/>
          </w:tcPr>
          <w:p w14:paraId="1E6FFEFA" w14:textId="77777777" w:rsidR="009A3B1B" w:rsidRDefault="009A3B1B" w:rsidP="009A3B1B">
            <w:pPr>
              <w:spacing w:after="0" w:line="240" w:lineRule="auto"/>
              <w:jc w:val="center"/>
              <w:rPr>
                <w:rFonts w:ascii="ITC Avant Garde" w:eastAsia="Times New Roman" w:hAnsi="ITC Avant Garde"/>
                <w:color w:val="000000"/>
                <w:sz w:val="20"/>
                <w:szCs w:val="20"/>
                <w:lang w:eastAsia="es-MX"/>
              </w:rPr>
            </w:pPr>
            <w:r w:rsidRPr="00CF7375">
              <w:rPr>
                <w:rFonts w:ascii="ITC Avant Garde" w:eastAsia="Times New Roman" w:hAnsi="ITC Avant Garde"/>
                <w:color w:val="000000"/>
                <w:sz w:val="20"/>
                <w:szCs w:val="20"/>
                <w:lang w:eastAsia="es-MX"/>
              </w:rPr>
              <w:t>Numeral 4.3</w:t>
            </w:r>
          </w:p>
          <w:p w14:paraId="49958F8A" w14:textId="77777777" w:rsidR="00CF7375" w:rsidRPr="009A3B1B" w:rsidRDefault="00447537" w:rsidP="009A3B1B">
            <w:pPr>
              <w:spacing w:after="0" w:line="240" w:lineRule="auto"/>
              <w:jc w:val="center"/>
              <w:rPr>
                <w:rFonts w:ascii="ITC Avant Garde" w:eastAsia="Times New Roman" w:hAnsi="ITC Avant Garde"/>
                <w:color w:val="000000"/>
                <w:sz w:val="20"/>
                <w:szCs w:val="20"/>
                <w:highlight w:val="yellow"/>
                <w:lang w:eastAsia="es-MX"/>
              </w:rPr>
            </w:pPr>
            <w:r w:rsidRPr="00E06BAC">
              <w:rPr>
                <w:rFonts w:ascii="ITC Avant Garde" w:eastAsia="Times New Roman" w:hAnsi="ITC Avant Garde"/>
                <w:color w:val="000000"/>
                <w:sz w:val="20"/>
                <w:szCs w:val="20"/>
                <w:lang w:eastAsia="es-MX"/>
              </w:rPr>
              <w:t>(antepenúltima viñeta)</w:t>
            </w:r>
          </w:p>
        </w:tc>
        <w:tc>
          <w:tcPr>
            <w:tcW w:w="4021" w:type="pct"/>
            <w:shd w:val="clear" w:color="auto" w:fill="auto"/>
            <w:vAlign w:val="center"/>
          </w:tcPr>
          <w:p w14:paraId="09B08F5B" w14:textId="77777777" w:rsidR="009A3B1B" w:rsidRPr="00E06BAC" w:rsidRDefault="009A3B1B" w:rsidP="009A3B1B">
            <w:pPr>
              <w:spacing w:after="0" w:line="240" w:lineRule="auto"/>
              <w:jc w:val="both"/>
              <w:rPr>
                <w:rFonts w:ascii="ITC Avant Garde" w:eastAsia="Times New Roman" w:hAnsi="ITC Avant Garde"/>
                <w:color w:val="000000"/>
                <w:sz w:val="20"/>
                <w:szCs w:val="20"/>
                <w:lang w:eastAsia="es-MX"/>
              </w:rPr>
            </w:pPr>
          </w:p>
          <w:p w14:paraId="557850F4" w14:textId="77777777" w:rsidR="00447537" w:rsidRPr="00E06BAC" w:rsidRDefault="002E0EF4"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Por las razones que</w:t>
            </w:r>
            <w:r w:rsidR="00447537" w:rsidRPr="00E06BAC">
              <w:rPr>
                <w:rFonts w:ascii="ITC Avant Garde" w:eastAsia="Times New Roman" w:hAnsi="ITC Avant Garde"/>
                <w:color w:val="000000"/>
                <w:sz w:val="20"/>
                <w:szCs w:val="20"/>
                <w:lang w:eastAsia="es-MX"/>
              </w:rPr>
              <w:t xml:space="preserve"> se describe</w:t>
            </w:r>
            <w:r>
              <w:rPr>
                <w:rFonts w:ascii="ITC Avant Garde" w:eastAsia="Times New Roman" w:hAnsi="ITC Avant Garde"/>
                <w:color w:val="000000"/>
                <w:sz w:val="20"/>
                <w:szCs w:val="20"/>
                <w:lang w:eastAsia="es-MX"/>
              </w:rPr>
              <w:t>n</w:t>
            </w:r>
            <w:r w:rsidR="00447537" w:rsidRPr="00E06BAC">
              <w:rPr>
                <w:rFonts w:ascii="ITC Avant Garde" w:eastAsia="Times New Roman" w:hAnsi="ITC Avant Garde"/>
                <w:color w:val="000000"/>
                <w:sz w:val="20"/>
                <w:szCs w:val="20"/>
                <w:lang w:eastAsia="es-MX"/>
              </w:rPr>
              <w:t xml:space="preserve"> de manera detallada en </w:t>
            </w:r>
            <w:r>
              <w:rPr>
                <w:rFonts w:ascii="ITC Avant Garde" w:eastAsia="Times New Roman" w:hAnsi="ITC Avant Garde"/>
                <w:color w:val="000000"/>
                <w:sz w:val="20"/>
                <w:szCs w:val="20"/>
                <w:lang w:eastAsia="es-MX"/>
              </w:rPr>
              <w:t xml:space="preserve">la respuesta a la pregunta número 6 de la sección III del presente formato, se propone que el plazo para operar de manera independiente el Servicio </w:t>
            </w:r>
            <w:r w:rsidR="00952E94">
              <w:rPr>
                <w:rFonts w:ascii="ITC Avant Garde" w:eastAsia="Times New Roman" w:hAnsi="ITC Avant Garde"/>
                <w:color w:val="000000"/>
                <w:sz w:val="20"/>
                <w:szCs w:val="20"/>
                <w:lang w:eastAsia="es-MX"/>
              </w:rPr>
              <w:t>Complementario</w:t>
            </w:r>
            <w:r>
              <w:rPr>
                <w:rFonts w:ascii="ITC Avant Garde" w:eastAsia="Times New Roman" w:hAnsi="ITC Avant Garde"/>
                <w:color w:val="000000"/>
                <w:sz w:val="20"/>
                <w:szCs w:val="20"/>
                <w:lang w:eastAsia="es-MX"/>
              </w:rPr>
              <w:t xml:space="preserve"> Terrestre del Servicio Móvil por </w:t>
            </w:r>
            <w:r w:rsidR="005C1651">
              <w:rPr>
                <w:rFonts w:ascii="ITC Avant Garde" w:eastAsia="Times New Roman" w:hAnsi="ITC Avant Garde"/>
                <w:color w:val="000000"/>
                <w:sz w:val="20"/>
                <w:szCs w:val="20"/>
                <w:lang w:eastAsia="es-MX"/>
              </w:rPr>
              <w:t xml:space="preserve">Satélite por </w:t>
            </w:r>
            <w:r>
              <w:rPr>
                <w:rFonts w:ascii="ITC Avant Garde" w:eastAsia="Times New Roman" w:hAnsi="ITC Avant Garde"/>
                <w:color w:val="000000"/>
                <w:sz w:val="20"/>
                <w:szCs w:val="20"/>
                <w:lang w:eastAsia="es-MX"/>
              </w:rPr>
              <w:t>una falla del Sistema Satelital no sea de 12 meses, sino que sea de 3 ó 4 años</w:t>
            </w:r>
            <w:r w:rsidR="005C1651">
              <w:rPr>
                <w:rFonts w:ascii="ITC Avant Garde" w:eastAsia="Times New Roman" w:hAnsi="ITC Avant Garde"/>
                <w:color w:val="000000"/>
                <w:sz w:val="20"/>
                <w:szCs w:val="20"/>
                <w:lang w:eastAsia="es-MX"/>
              </w:rPr>
              <w:t xml:space="preserve">, ya que la principal </w:t>
            </w:r>
            <w:r w:rsidR="00952E94">
              <w:rPr>
                <w:rFonts w:ascii="ITC Avant Garde" w:eastAsia="Times New Roman" w:hAnsi="ITC Avant Garde"/>
                <w:color w:val="000000"/>
                <w:sz w:val="20"/>
                <w:szCs w:val="20"/>
                <w:lang w:eastAsia="es-MX"/>
              </w:rPr>
              <w:t>falla</w:t>
            </w:r>
            <w:r w:rsidR="005C1651">
              <w:rPr>
                <w:rFonts w:ascii="ITC Avant Garde" w:eastAsia="Times New Roman" w:hAnsi="ITC Avant Garde"/>
                <w:color w:val="000000"/>
                <w:sz w:val="20"/>
                <w:szCs w:val="20"/>
                <w:lang w:eastAsia="es-MX"/>
              </w:rPr>
              <w:t xml:space="preserve"> del Sistema Satelital puede ser precisamente la pérdida del satélite</w:t>
            </w:r>
            <w:r>
              <w:rPr>
                <w:rFonts w:ascii="ITC Avant Garde" w:eastAsia="Times New Roman" w:hAnsi="ITC Avant Garde"/>
                <w:color w:val="000000"/>
                <w:sz w:val="20"/>
                <w:szCs w:val="20"/>
                <w:lang w:eastAsia="es-MX"/>
              </w:rPr>
              <w:t>.</w:t>
            </w:r>
          </w:p>
          <w:p w14:paraId="03C671A4" w14:textId="77777777" w:rsidR="00447537" w:rsidRDefault="00447537" w:rsidP="009A3B1B">
            <w:pPr>
              <w:spacing w:after="0" w:line="240" w:lineRule="auto"/>
              <w:jc w:val="both"/>
              <w:rPr>
                <w:rFonts w:ascii="ITC Avant Garde" w:eastAsia="Times New Roman" w:hAnsi="ITC Avant Garde"/>
                <w:color w:val="000000"/>
                <w:sz w:val="20"/>
                <w:szCs w:val="20"/>
                <w:highlight w:val="yellow"/>
                <w:lang w:eastAsia="es-MX"/>
              </w:rPr>
            </w:pPr>
          </w:p>
          <w:p w14:paraId="6F02619D" w14:textId="77777777" w:rsidR="002E0EF4" w:rsidRPr="00E06BAC" w:rsidRDefault="002E0EF4" w:rsidP="009A3B1B">
            <w:pPr>
              <w:spacing w:after="0" w:line="240" w:lineRule="auto"/>
              <w:jc w:val="both"/>
              <w:rPr>
                <w:rFonts w:ascii="ITC Avant Garde" w:eastAsia="Times New Roman" w:hAnsi="ITC Avant Garde"/>
                <w:color w:val="000000"/>
                <w:sz w:val="20"/>
                <w:szCs w:val="20"/>
                <w:lang w:eastAsia="es-MX"/>
              </w:rPr>
            </w:pPr>
            <w:r w:rsidRPr="00E06BAC">
              <w:rPr>
                <w:rFonts w:ascii="ITC Avant Garde" w:eastAsia="Times New Roman" w:hAnsi="ITC Avant Garde"/>
                <w:color w:val="000000"/>
                <w:sz w:val="20"/>
                <w:szCs w:val="20"/>
                <w:lang w:eastAsia="es-MX"/>
              </w:rPr>
              <w:lastRenderedPageBreak/>
              <w:t xml:space="preserve">Adicionalmente a </w:t>
            </w:r>
            <w:r w:rsidR="005C1651" w:rsidRPr="00E06BAC">
              <w:rPr>
                <w:rFonts w:ascii="ITC Avant Garde" w:eastAsia="Times New Roman" w:hAnsi="ITC Avant Garde"/>
                <w:color w:val="000000"/>
                <w:sz w:val="20"/>
                <w:szCs w:val="20"/>
                <w:lang w:eastAsia="es-MX"/>
              </w:rPr>
              <w:t>lo anterior, se propone que dicho plazo de 3 ó 4 años pueda ser parcialmente extendido por el Instituto, previa solicitud del concesionario, en el supuesto de que exista una causa de fuerza mayor o caso fortuito que impida la solución de la falla del Sistema Satelital</w:t>
            </w:r>
            <w:r w:rsidR="005C1651">
              <w:rPr>
                <w:rFonts w:ascii="ITC Avant Garde" w:eastAsia="Times New Roman" w:hAnsi="ITC Avant Garde"/>
                <w:color w:val="000000"/>
                <w:sz w:val="20"/>
                <w:szCs w:val="20"/>
                <w:lang w:eastAsia="es-MX"/>
              </w:rPr>
              <w:t xml:space="preserve">, sobre todo tratándose </w:t>
            </w:r>
            <w:r w:rsidR="00952E94">
              <w:rPr>
                <w:rFonts w:ascii="ITC Avant Garde" w:eastAsia="Times New Roman" w:hAnsi="ITC Avant Garde"/>
                <w:color w:val="000000"/>
                <w:sz w:val="20"/>
                <w:szCs w:val="20"/>
                <w:lang w:eastAsia="es-MX"/>
              </w:rPr>
              <w:t>del</w:t>
            </w:r>
            <w:r w:rsidR="005C1651">
              <w:rPr>
                <w:rFonts w:ascii="ITC Avant Garde" w:eastAsia="Times New Roman" w:hAnsi="ITC Avant Garde"/>
                <w:color w:val="000000"/>
                <w:sz w:val="20"/>
                <w:szCs w:val="20"/>
                <w:lang w:eastAsia="es-MX"/>
              </w:rPr>
              <w:t xml:space="preserve"> lanzamiento de un nuevo satélite, lo cual implica diversas </w:t>
            </w:r>
            <w:r w:rsidR="00952E94">
              <w:rPr>
                <w:rFonts w:ascii="ITC Avant Garde" w:eastAsia="Times New Roman" w:hAnsi="ITC Avant Garde"/>
                <w:color w:val="000000"/>
                <w:sz w:val="20"/>
                <w:szCs w:val="20"/>
                <w:lang w:eastAsia="es-MX"/>
              </w:rPr>
              <w:t>situaciones</w:t>
            </w:r>
            <w:r w:rsidR="005C1651">
              <w:rPr>
                <w:rFonts w:ascii="ITC Avant Garde" w:eastAsia="Times New Roman" w:hAnsi="ITC Avant Garde"/>
                <w:color w:val="000000"/>
                <w:sz w:val="20"/>
                <w:szCs w:val="20"/>
                <w:lang w:eastAsia="es-MX"/>
              </w:rPr>
              <w:t xml:space="preserve"> y cuestiones fuera del control del concesionario</w:t>
            </w:r>
            <w:r w:rsidR="005C1651" w:rsidRPr="00E06BAC">
              <w:rPr>
                <w:rFonts w:ascii="ITC Avant Garde" w:eastAsia="Times New Roman" w:hAnsi="ITC Avant Garde"/>
                <w:color w:val="000000"/>
                <w:sz w:val="20"/>
                <w:szCs w:val="20"/>
                <w:lang w:eastAsia="es-MX"/>
              </w:rPr>
              <w:t xml:space="preserve">. Dicha posible prórroga tiene como principal destinatario los clientes finales de los servicios de telecomunicaciones, quienes se verían </w:t>
            </w:r>
            <w:r w:rsidR="005C1651">
              <w:rPr>
                <w:rFonts w:ascii="ITC Avant Garde" w:eastAsia="Times New Roman" w:hAnsi="ITC Avant Garde"/>
                <w:color w:val="000000"/>
                <w:sz w:val="20"/>
                <w:szCs w:val="20"/>
                <w:lang w:eastAsia="es-MX"/>
              </w:rPr>
              <w:t xml:space="preserve">afectados en sus servicios en caso de interrupción total o definitiva de los mismos, por lo que en su beneficio se propone </w:t>
            </w:r>
            <w:r w:rsidR="00EA5AD4">
              <w:rPr>
                <w:rFonts w:ascii="ITC Avant Garde" w:eastAsia="Times New Roman" w:hAnsi="ITC Avant Garde"/>
                <w:color w:val="000000"/>
                <w:sz w:val="20"/>
                <w:szCs w:val="20"/>
                <w:lang w:eastAsia="es-MX"/>
              </w:rPr>
              <w:t>dicha posible prórroga</w:t>
            </w:r>
            <w:r w:rsidR="005C1651">
              <w:rPr>
                <w:rFonts w:ascii="ITC Avant Garde" w:eastAsia="Times New Roman" w:hAnsi="ITC Avant Garde"/>
                <w:color w:val="000000"/>
                <w:sz w:val="20"/>
                <w:szCs w:val="20"/>
                <w:lang w:eastAsia="es-MX"/>
              </w:rPr>
              <w:t>.</w:t>
            </w:r>
          </w:p>
          <w:p w14:paraId="4967B759" w14:textId="77777777" w:rsidR="008465B5" w:rsidRPr="00E06BAC" w:rsidRDefault="008465B5" w:rsidP="00EA5AD4">
            <w:pPr>
              <w:spacing w:after="0" w:line="240" w:lineRule="auto"/>
              <w:jc w:val="both"/>
              <w:rPr>
                <w:rFonts w:ascii="ITC Avant Garde" w:eastAsia="Times New Roman" w:hAnsi="ITC Avant Garde"/>
                <w:color w:val="000000"/>
                <w:sz w:val="20"/>
                <w:szCs w:val="20"/>
                <w:highlight w:val="yellow"/>
                <w:lang w:eastAsia="es-MX"/>
              </w:rPr>
            </w:pPr>
          </w:p>
        </w:tc>
      </w:tr>
      <w:tr w:rsidR="00CF7375" w:rsidRPr="00C62282" w14:paraId="550EAACA" w14:textId="77777777" w:rsidTr="008D18C4">
        <w:trPr>
          <w:trHeight w:val="290"/>
        </w:trPr>
        <w:tc>
          <w:tcPr>
            <w:tcW w:w="979" w:type="pct"/>
            <w:shd w:val="clear" w:color="auto" w:fill="auto"/>
            <w:vAlign w:val="center"/>
          </w:tcPr>
          <w:p w14:paraId="17656473" w14:textId="77777777" w:rsidR="00CF7375" w:rsidRPr="00C62282" w:rsidRDefault="00CF7375" w:rsidP="009A3B1B">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Numeral 4.3 (penúltima y última viñetas)</w:t>
            </w:r>
          </w:p>
        </w:tc>
        <w:tc>
          <w:tcPr>
            <w:tcW w:w="4021" w:type="pct"/>
            <w:shd w:val="clear" w:color="auto" w:fill="auto"/>
            <w:vAlign w:val="center"/>
          </w:tcPr>
          <w:p w14:paraId="27CB3FCF" w14:textId="5DBAA0D9" w:rsidR="00CF7375" w:rsidRDefault="00EA5AD4"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No quedan del todo claros los supuestos planteados en la penúltima y última viñetas</w:t>
            </w:r>
            <w:r w:rsidR="00FA5DD9">
              <w:rPr>
                <w:rFonts w:ascii="ITC Avant Garde" w:eastAsia="Times New Roman" w:hAnsi="ITC Avant Garde"/>
                <w:color w:val="000000"/>
                <w:sz w:val="20"/>
                <w:szCs w:val="20"/>
                <w:lang w:eastAsia="es-MX"/>
              </w:rPr>
              <w:t xml:space="preserve"> de este Numeral</w:t>
            </w:r>
            <w:r>
              <w:rPr>
                <w:rFonts w:ascii="ITC Avant Garde" w:eastAsia="Times New Roman" w:hAnsi="ITC Avant Garde"/>
                <w:color w:val="000000"/>
                <w:sz w:val="20"/>
                <w:szCs w:val="20"/>
                <w:lang w:eastAsia="es-MX"/>
              </w:rPr>
              <w:t xml:space="preserve">. En la penúltima viñeta se </w:t>
            </w:r>
            <w:r w:rsidR="00FA5DD9">
              <w:rPr>
                <w:rFonts w:ascii="ITC Avant Garde" w:eastAsia="Times New Roman" w:hAnsi="ITC Avant Garde"/>
                <w:color w:val="000000"/>
                <w:sz w:val="20"/>
                <w:szCs w:val="20"/>
                <w:lang w:eastAsia="es-MX"/>
              </w:rPr>
              <w:t xml:space="preserve">establece que la antepenúltima viñeta no es aplicable si el titular de la Concesión no cuente con un acuerdo vigente con un Autorizado, pero en realidad en ese supuesto no podría en cualquier caso seguir siendo titular de la </w:t>
            </w:r>
            <w:r w:rsidR="00546807">
              <w:rPr>
                <w:rFonts w:ascii="ITC Avant Garde" w:eastAsia="Times New Roman" w:hAnsi="ITC Avant Garde"/>
                <w:color w:val="000000"/>
                <w:sz w:val="20"/>
                <w:szCs w:val="20"/>
                <w:lang w:eastAsia="es-MX"/>
              </w:rPr>
              <w:t>C</w:t>
            </w:r>
            <w:r w:rsidR="00FA5DD9">
              <w:rPr>
                <w:rFonts w:ascii="ITC Avant Garde" w:eastAsia="Times New Roman" w:hAnsi="ITC Avant Garde"/>
                <w:color w:val="000000"/>
                <w:sz w:val="20"/>
                <w:szCs w:val="20"/>
                <w:lang w:eastAsia="es-MX"/>
              </w:rPr>
              <w:t>oncesión. Es necesario aclarar este punto y señalar en cualquier caso la consecuencia de la fa</w:t>
            </w:r>
            <w:r w:rsidR="00546807">
              <w:rPr>
                <w:rFonts w:ascii="ITC Avant Garde" w:eastAsia="Times New Roman" w:hAnsi="ITC Avant Garde"/>
                <w:color w:val="000000"/>
                <w:sz w:val="20"/>
                <w:szCs w:val="20"/>
                <w:lang w:eastAsia="es-MX"/>
              </w:rPr>
              <w:t>l</w:t>
            </w:r>
            <w:r w:rsidR="00FA5DD9">
              <w:rPr>
                <w:rFonts w:ascii="ITC Avant Garde" w:eastAsia="Times New Roman" w:hAnsi="ITC Avant Garde"/>
                <w:color w:val="000000"/>
                <w:sz w:val="20"/>
                <w:szCs w:val="20"/>
                <w:lang w:eastAsia="es-MX"/>
              </w:rPr>
              <w:t>ta de un acuerdo vigente entre el Concesionario y el Autorizado, cuestión que también deberá incluirse en el propio texto del título correspondiente.</w:t>
            </w:r>
          </w:p>
          <w:p w14:paraId="3B5BAC3C" w14:textId="77777777" w:rsidR="00FA5DD9" w:rsidRDefault="00FA5DD9" w:rsidP="009A3B1B">
            <w:pPr>
              <w:spacing w:after="0" w:line="240" w:lineRule="auto"/>
              <w:jc w:val="both"/>
              <w:rPr>
                <w:rFonts w:ascii="ITC Avant Garde" w:eastAsia="Times New Roman" w:hAnsi="ITC Avant Garde"/>
                <w:color w:val="000000"/>
                <w:sz w:val="20"/>
                <w:szCs w:val="20"/>
                <w:lang w:eastAsia="es-MX"/>
              </w:rPr>
            </w:pPr>
          </w:p>
          <w:p w14:paraId="46EB50F0" w14:textId="77777777" w:rsidR="00FA5DD9" w:rsidRDefault="00FA5DD9"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En la última viñeta se menciona que el titular de la Concesión deberá disponer de las capacidades para cesar emisiones en caso de no contar con capacidad satelital asociada, pero no se explica con mayor detalle dicho caso o situación en concreto.</w:t>
            </w:r>
          </w:p>
          <w:p w14:paraId="4C8CEA8B" w14:textId="77777777" w:rsidR="00FA5DD9" w:rsidRPr="000B7F85" w:rsidRDefault="00FA5DD9" w:rsidP="009A3B1B">
            <w:pPr>
              <w:spacing w:after="0" w:line="240" w:lineRule="auto"/>
              <w:jc w:val="both"/>
              <w:rPr>
                <w:rFonts w:ascii="ITC Avant Garde" w:eastAsia="Times New Roman" w:hAnsi="ITC Avant Garde"/>
                <w:color w:val="000000"/>
                <w:sz w:val="20"/>
                <w:szCs w:val="20"/>
                <w:lang w:eastAsia="es-MX"/>
              </w:rPr>
            </w:pPr>
          </w:p>
        </w:tc>
      </w:tr>
      <w:tr w:rsidR="009A3B1B" w:rsidRPr="00C62282" w14:paraId="2A60F8CF" w14:textId="77777777" w:rsidTr="008D18C4">
        <w:trPr>
          <w:trHeight w:val="290"/>
        </w:trPr>
        <w:tc>
          <w:tcPr>
            <w:tcW w:w="979" w:type="pct"/>
            <w:shd w:val="clear" w:color="auto" w:fill="auto"/>
            <w:vAlign w:val="center"/>
          </w:tcPr>
          <w:p w14:paraId="2EBAEE7C" w14:textId="77777777" w:rsidR="009A3B1B" w:rsidRPr="00C62282" w:rsidRDefault="009A3B1B" w:rsidP="009A3B1B">
            <w:pPr>
              <w:spacing w:after="0" w:line="240" w:lineRule="auto"/>
              <w:jc w:val="center"/>
              <w:rPr>
                <w:rFonts w:ascii="ITC Avant Garde" w:eastAsia="Times New Roman" w:hAnsi="ITC Avant Garde"/>
                <w:color w:val="000000"/>
                <w:sz w:val="20"/>
                <w:szCs w:val="20"/>
                <w:lang w:eastAsia="es-MX"/>
              </w:rPr>
            </w:pPr>
            <w:r w:rsidRPr="00C62282">
              <w:rPr>
                <w:rFonts w:ascii="ITC Avant Garde" w:eastAsia="Times New Roman" w:hAnsi="ITC Avant Garde"/>
                <w:color w:val="000000"/>
                <w:sz w:val="20"/>
                <w:szCs w:val="20"/>
                <w:lang w:eastAsia="es-MX"/>
              </w:rPr>
              <w:t>Numeral 4.4</w:t>
            </w:r>
          </w:p>
        </w:tc>
        <w:tc>
          <w:tcPr>
            <w:tcW w:w="4021" w:type="pct"/>
            <w:shd w:val="clear" w:color="auto" w:fill="auto"/>
            <w:vAlign w:val="center"/>
          </w:tcPr>
          <w:p w14:paraId="545BE27D"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El segundo párrafo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4.4 establece que en caso de posibles interferencias perjudiciales, deberán llevarse a cabo los procedimientos de coordinación técnica para garantizar el correcto funcionamiento de los servicios de telecomunicaciones que operen en la banda 2</w:t>
            </w:r>
            <w:r w:rsidR="00674E9A">
              <w:rPr>
                <w:rFonts w:ascii="ITC Avant Garde" w:eastAsia="Times New Roman" w:hAnsi="ITC Avant Garde"/>
                <w:color w:val="000000"/>
                <w:sz w:val="20"/>
                <w:szCs w:val="20"/>
                <w:lang w:eastAsia="es-MX"/>
              </w:rPr>
              <w:t xml:space="preserve"> </w:t>
            </w:r>
            <w:r w:rsidRPr="000B7F85">
              <w:rPr>
                <w:rFonts w:ascii="ITC Avant Garde" w:eastAsia="Times New Roman" w:hAnsi="ITC Avant Garde"/>
                <w:color w:val="000000"/>
                <w:sz w:val="20"/>
                <w:szCs w:val="20"/>
                <w:lang w:eastAsia="es-MX"/>
              </w:rPr>
              <w:t xml:space="preserve">GHz y bandas adyacentes. </w:t>
            </w:r>
          </w:p>
          <w:p w14:paraId="640CAE46" w14:textId="77777777" w:rsidR="009A3B1B" w:rsidRDefault="009A3B1B" w:rsidP="009A3B1B">
            <w:pPr>
              <w:spacing w:after="0" w:line="240" w:lineRule="auto"/>
              <w:jc w:val="both"/>
              <w:rPr>
                <w:rFonts w:ascii="ITC Avant Garde" w:eastAsia="Times New Roman" w:hAnsi="ITC Avant Garde"/>
                <w:color w:val="000000"/>
                <w:sz w:val="20"/>
                <w:szCs w:val="20"/>
                <w:lang w:eastAsia="es-MX"/>
              </w:rPr>
            </w:pPr>
          </w:p>
          <w:p w14:paraId="55869D9A" w14:textId="77777777" w:rsidR="007D7A4D" w:rsidRDefault="007D7A4D"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Sobre el particular, </w:t>
            </w:r>
            <w:r w:rsidR="0018135F">
              <w:rPr>
                <w:rFonts w:ascii="ITC Avant Garde" w:eastAsia="Times New Roman" w:hAnsi="ITC Avant Garde"/>
                <w:color w:val="000000"/>
                <w:sz w:val="20"/>
                <w:szCs w:val="20"/>
                <w:lang w:eastAsia="es-MX"/>
              </w:rPr>
              <w:t xml:space="preserve">se considera necesario tomar en cuenta los comentarios específicos en materia de interferencias </w:t>
            </w:r>
            <w:r w:rsidR="00952E94">
              <w:rPr>
                <w:rFonts w:ascii="ITC Avant Garde" w:eastAsia="Times New Roman" w:hAnsi="ITC Avant Garde"/>
                <w:color w:val="000000"/>
                <w:sz w:val="20"/>
                <w:szCs w:val="20"/>
                <w:lang w:eastAsia="es-MX"/>
              </w:rPr>
              <w:t>perjudiciales</w:t>
            </w:r>
            <w:r w:rsidR="0018135F">
              <w:rPr>
                <w:rFonts w:ascii="ITC Avant Garde" w:eastAsia="Times New Roman" w:hAnsi="ITC Avant Garde"/>
                <w:color w:val="000000"/>
                <w:sz w:val="20"/>
                <w:szCs w:val="20"/>
                <w:lang w:eastAsia="es-MX"/>
              </w:rPr>
              <w:t xml:space="preserve"> y convivencia con otras bandas adyacentes contenidos en la respuesta a la pregunta número 7 de la sección III del presente formato.</w:t>
            </w:r>
          </w:p>
          <w:p w14:paraId="2859058C" w14:textId="77777777" w:rsidR="007D7A4D" w:rsidRPr="000B7F85" w:rsidRDefault="007D7A4D" w:rsidP="009A3B1B">
            <w:pPr>
              <w:spacing w:after="0" w:line="240" w:lineRule="auto"/>
              <w:jc w:val="both"/>
              <w:rPr>
                <w:rFonts w:ascii="ITC Avant Garde" w:eastAsia="Times New Roman" w:hAnsi="ITC Avant Garde"/>
                <w:color w:val="000000"/>
                <w:sz w:val="20"/>
                <w:szCs w:val="20"/>
                <w:lang w:eastAsia="es-MX"/>
              </w:rPr>
            </w:pPr>
          </w:p>
          <w:p w14:paraId="7A369536" w14:textId="77777777" w:rsidR="009A3B1B" w:rsidRPr="00953CA7" w:rsidRDefault="00270697"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En adición a los comentarios planteados en la pregunta número 7 de la sección III del presente formato</w:t>
            </w:r>
            <w:r w:rsidR="00953CA7">
              <w:rPr>
                <w:rFonts w:ascii="ITC Avant Garde" w:eastAsia="Times New Roman" w:hAnsi="ITC Avant Garde"/>
                <w:color w:val="000000"/>
                <w:sz w:val="20"/>
                <w:szCs w:val="20"/>
                <w:lang w:eastAsia="es-MX"/>
              </w:rPr>
              <w:t xml:space="preserve">, </w:t>
            </w:r>
            <w:r>
              <w:rPr>
                <w:rFonts w:ascii="ITC Avant Garde" w:eastAsia="Times New Roman" w:hAnsi="ITC Avant Garde"/>
                <w:color w:val="000000"/>
                <w:sz w:val="20"/>
                <w:szCs w:val="20"/>
                <w:lang w:eastAsia="es-MX"/>
              </w:rPr>
              <w:t>se podría considerar la</w:t>
            </w:r>
            <w:r w:rsidR="00953CA7">
              <w:rPr>
                <w:rFonts w:ascii="ITC Avant Garde" w:eastAsia="Times New Roman" w:hAnsi="ITC Avant Garde"/>
                <w:color w:val="000000"/>
                <w:sz w:val="20"/>
                <w:szCs w:val="20"/>
                <w:lang w:eastAsia="es-MX"/>
              </w:rPr>
              <w:t xml:space="preserve"> inclu</w:t>
            </w:r>
            <w:r w:rsidR="007B67CA">
              <w:rPr>
                <w:rFonts w:ascii="ITC Avant Garde" w:eastAsia="Times New Roman" w:hAnsi="ITC Avant Garde"/>
                <w:color w:val="000000"/>
                <w:sz w:val="20"/>
                <w:szCs w:val="20"/>
                <w:lang w:eastAsia="es-MX"/>
              </w:rPr>
              <w:t>sión de un texto similar a</w:t>
            </w:r>
            <w:r w:rsidR="00953CA7">
              <w:rPr>
                <w:rFonts w:ascii="ITC Avant Garde" w:eastAsia="Times New Roman" w:hAnsi="ITC Avant Garde"/>
                <w:color w:val="000000"/>
                <w:sz w:val="20"/>
                <w:szCs w:val="20"/>
                <w:lang w:eastAsia="es-MX"/>
              </w:rPr>
              <w:t xml:space="preserve">l siguiente en el título de concesión correspondiente: </w:t>
            </w:r>
          </w:p>
          <w:p w14:paraId="1B073227" w14:textId="77777777" w:rsidR="009A3B1B" w:rsidRDefault="009A3B1B" w:rsidP="009A3B1B">
            <w:pPr>
              <w:spacing w:after="0" w:line="240" w:lineRule="auto"/>
              <w:jc w:val="both"/>
              <w:rPr>
                <w:rFonts w:ascii="ITC Avant Garde" w:eastAsia="Times New Roman" w:hAnsi="ITC Avant Garde"/>
                <w:color w:val="000000"/>
                <w:sz w:val="20"/>
                <w:szCs w:val="20"/>
                <w:lang w:eastAsia="es-MX"/>
              </w:rPr>
            </w:pPr>
          </w:p>
          <w:p w14:paraId="7E1BCD9E" w14:textId="7742F262" w:rsidR="007B67CA" w:rsidRPr="00E06BAC" w:rsidRDefault="00953CA7" w:rsidP="00E06BAC">
            <w:pPr>
              <w:spacing w:after="0" w:line="240" w:lineRule="auto"/>
              <w:ind w:left="384"/>
              <w:jc w:val="both"/>
              <w:rPr>
                <w:rFonts w:ascii="ITC Avant Garde" w:eastAsia="Times New Roman" w:hAnsi="ITC Avant Garde"/>
                <w:i/>
                <w:color w:val="000000"/>
                <w:sz w:val="20"/>
                <w:szCs w:val="20"/>
                <w:lang w:eastAsia="es-MX"/>
              </w:rPr>
            </w:pPr>
            <w:r>
              <w:rPr>
                <w:rFonts w:ascii="ITC Avant Garde" w:eastAsia="Times New Roman" w:hAnsi="ITC Avant Garde"/>
                <w:color w:val="000000"/>
                <w:sz w:val="20"/>
                <w:szCs w:val="20"/>
                <w:lang w:eastAsia="es-MX"/>
              </w:rPr>
              <w:t>“</w:t>
            </w:r>
            <w:r w:rsidR="00270697" w:rsidRPr="00E06BAC">
              <w:rPr>
                <w:rFonts w:ascii="ITC Avant Garde" w:eastAsia="Times New Roman" w:hAnsi="ITC Avant Garde"/>
                <w:i/>
                <w:color w:val="000000"/>
                <w:sz w:val="20"/>
                <w:szCs w:val="20"/>
                <w:lang w:eastAsia="es-MX"/>
              </w:rPr>
              <w:t>La operación de la red y de los elementos del sistema de los Componentes Complementarios Terrestres del SMS estará sujeta a no causar interferencias perjudiciales que comprometan la operación de redes y servicios que se presten</w:t>
            </w:r>
            <w:r w:rsidR="007B67CA">
              <w:rPr>
                <w:rFonts w:ascii="ITC Avant Garde" w:eastAsia="Times New Roman" w:hAnsi="ITC Avant Garde"/>
                <w:i/>
                <w:color w:val="000000"/>
                <w:sz w:val="20"/>
                <w:szCs w:val="20"/>
                <w:lang w:eastAsia="es-MX"/>
              </w:rPr>
              <w:t xml:space="preserve"> en el territorio nacional en la Banda de 2 GHz y bandas adyacentes.</w:t>
            </w:r>
            <w:r w:rsidR="00270697" w:rsidRPr="00E06BAC">
              <w:rPr>
                <w:rFonts w:ascii="ITC Avant Garde" w:eastAsia="Times New Roman" w:hAnsi="ITC Avant Garde"/>
                <w:i/>
                <w:color w:val="000000"/>
                <w:sz w:val="20"/>
                <w:szCs w:val="20"/>
                <w:lang w:eastAsia="es-MX"/>
              </w:rPr>
              <w:t xml:space="preserve"> </w:t>
            </w:r>
            <w:r w:rsidR="007B67CA">
              <w:rPr>
                <w:rFonts w:ascii="ITC Avant Garde" w:eastAsia="Times New Roman" w:hAnsi="ITC Avant Garde"/>
                <w:i/>
                <w:color w:val="000000"/>
                <w:sz w:val="20"/>
                <w:szCs w:val="20"/>
                <w:lang w:eastAsia="es-MX"/>
              </w:rPr>
              <w:t>En este sentido, el C</w:t>
            </w:r>
            <w:r w:rsidR="007B67CA" w:rsidRPr="00E06BAC">
              <w:rPr>
                <w:rFonts w:ascii="ITC Avant Garde" w:eastAsia="Times New Roman" w:hAnsi="ITC Avant Garde"/>
                <w:i/>
                <w:color w:val="000000"/>
                <w:sz w:val="20"/>
                <w:szCs w:val="20"/>
                <w:lang w:eastAsia="es-MX"/>
              </w:rPr>
              <w:t>oncesionario deberá proteger y no podrá causar interferencias perjudiciales a los servicios satelitales autorizados en la banda 2 GHz</w:t>
            </w:r>
            <w:r w:rsidR="007B67CA">
              <w:rPr>
                <w:rFonts w:ascii="ITC Avant Garde" w:eastAsia="Times New Roman" w:hAnsi="ITC Avant Garde"/>
                <w:i/>
                <w:color w:val="000000"/>
                <w:sz w:val="20"/>
                <w:szCs w:val="20"/>
                <w:lang w:eastAsia="es-MX"/>
              </w:rPr>
              <w:t>.</w:t>
            </w:r>
          </w:p>
          <w:p w14:paraId="0BAC233C" w14:textId="77777777" w:rsidR="007B67CA" w:rsidRPr="00E06BAC" w:rsidRDefault="007B67CA" w:rsidP="00E06BAC">
            <w:pPr>
              <w:spacing w:after="0" w:line="240" w:lineRule="auto"/>
              <w:ind w:left="384"/>
              <w:jc w:val="both"/>
              <w:rPr>
                <w:rFonts w:ascii="ITC Avant Garde" w:eastAsia="Times New Roman" w:hAnsi="ITC Avant Garde"/>
                <w:i/>
                <w:color w:val="000000"/>
                <w:sz w:val="20"/>
                <w:szCs w:val="20"/>
                <w:lang w:eastAsia="es-MX"/>
              </w:rPr>
            </w:pPr>
          </w:p>
          <w:p w14:paraId="65D05996" w14:textId="2E6B4C67" w:rsidR="0025058A" w:rsidRPr="00E06BAC" w:rsidRDefault="0025058A" w:rsidP="00E06BAC">
            <w:pPr>
              <w:spacing w:after="0" w:line="240" w:lineRule="auto"/>
              <w:ind w:left="384"/>
              <w:jc w:val="both"/>
              <w:rPr>
                <w:rFonts w:ascii="ITC Avant Garde" w:eastAsia="Times New Roman" w:hAnsi="ITC Avant Garde"/>
                <w:i/>
                <w:color w:val="000000"/>
                <w:sz w:val="20"/>
                <w:szCs w:val="20"/>
                <w:lang w:eastAsia="es-MX"/>
              </w:rPr>
            </w:pPr>
            <w:r>
              <w:rPr>
                <w:rFonts w:ascii="ITC Avant Garde" w:eastAsia="Times New Roman" w:hAnsi="ITC Avant Garde"/>
                <w:i/>
                <w:color w:val="000000"/>
                <w:sz w:val="20"/>
                <w:szCs w:val="20"/>
                <w:lang w:eastAsia="es-MX"/>
              </w:rPr>
              <w:t>Los</w:t>
            </w:r>
            <w:r w:rsidRPr="00E06BAC">
              <w:rPr>
                <w:rFonts w:ascii="ITC Avant Garde" w:eastAsia="Times New Roman" w:hAnsi="ITC Avant Garde"/>
                <w:i/>
                <w:color w:val="000000"/>
                <w:sz w:val="20"/>
                <w:szCs w:val="20"/>
                <w:lang w:eastAsia="es-MX"/>
              </w:rPr>
              <w:t xml:space="preserve"> concesionarios de la parte alta de la banda de 1900 MHz </w:t>
            </w:r>
            <w:r w:rsidR="00952E94">
              <w:rPr>
                <w:rFonts w:ascii="ITC Avant Garde" w:eastAsia="Times New Roman" w:hAnsi="ITC Avant Garde"/>
                <w:i/>
                <w:color w:val="000000"/>
                <w:sz w:val="20"/>
                <w:szCs w:val="20"/>
                <w:lang w:eastAsia="es-MX"/>
              </w:rPr>
              <w:t>mantendrán</w:t>
            </w:r>
            <w:r>
              <w:rPr>
                <w:rFonts w:ascii="ITC Avant Garde" w:eastAsia="Times New Roman" w:hAnsi="ITC Avant Garde"/>
                <w:i/>
                <w:color w:val="000000"/>
                <w:sz w:val="20"/>
                <w:szCs w:val="20"/>
                <w:lang w:eastAsia="es-MX"/>
              </w:rPr>
              <w:t xml:space="preserve"> l</w:t>
            </w:r>
            <w:r w:rsidRPr="00E06BAC">
              <w:rPr>
                <w:rFonts w:ascii="ITC Avant Garde" w:eastAsia="Times New Roman" w:hAnsi="ITC Avant Garde"/>
                <w:i/>
                <w:color w:val="000000"/>
                <w:sz w:val="20"/>
                <w:szCs w:val="20"/>
                <w:lang w:eastAsia="es-MX"/>
              </w:rPr>
              <w:t xml:space="preserve">as emisiones fuera de banda en los niveles descritos en los estándares técnicos y las recomendaciones internacionales como el 3GPP (3GPP TS 25.106 </w:t>
            </w:r>
            <w:r w:rsidR="00952E94" w:rsidRPr="00E06BAC">
              <w:rPr>
                <w:rFonts w:ascii="ITC Avant Garde" w:eastAsia="Times New Roman" w:hAnsi="ITC Avant Garde"/>
                <w:i/>
                <w:color w:val="000000"/>
                <w:sz w:val="20"/>
                <w:szCs w:val="20"/>
                <w:lang w:eastAsia="es-MX"/>
              </w:rPr>
              <w:t>versión</w:t>
            </w:r>
            <w:r w:rsidRPr="00E06BAC">
              <w:rPr>
                <w:rFonts w:ascii="ITC Avant Garde" w:eastAsia="Times New Roman" w:hAnsi="ITC Avant Garde"/>
                <w:i/>
                <w:color w:val="000000"/>
                <w:sz w:val="20"/>
                <w:szCs w:val="20"/>
                <w:lang w:eastAsia="es-MX"/>
              </w:rPr>
              <w:t xml:space="preserve"> 12.1.0 Release 12), la ETSI (ETSI TS 125 106 V12.1.0) y la ECC (Doc. SE21 (14)09), así como </w:t>
            </w:r>
            <w:r w:rsidRPr="00E06BAC">
              <w:rPr>
                <w:rFonts w:ascii="ITC Avant Garde" w:eastAsia="Times New Roman" w:hAnsi="ITC Avant Garde"/>
                <w:i/>
                <w:color w:val="000000"/>
                <w:sz w:val="20"/>
                <w:szCs w:val="20"/>
                <w:lang w:eastAsia="es-MX"/>
              </w:rPr>
              <w:lastRenderedPageBreak/>
              <w:t xml:space="preserve">la recomendación ITU-R M.1580. </w:t>
            </w:r>
            <w:r w:rsidR="00546807">
              <w:rPr>
                <w:lang w:val="es-CO"/>
              </w:rPr>
              <w:t xml:space="preserve"> </w:t>
            </w:r>
            <w:r w:rsidR="00546807" w:rsidRPr="00134AA8">
              <w:rPr>
                <w:rFonts w:ascii="ITC Avant Garde" w:eastAsia="Times New Roman" w:hAnsi="ITC Avant Garde"/>
                <w:i/>
                <w:color w:val="000000"/>
                <w:sz w:val="20"/>
                <w:szCs w:val="20"/>
                <w:lang w:eastAsia="es-MX"/>
              </w:rPr>
              <w:t>Para garantizar el correcto funcionamiento del componente MSS y el Componente Complementario del Servicio Móvil, las emisiones acumuladas fuera de banda de los servicios terrenales en la banda adyacente (1990-2000</w:t>
            </w:r>
            <w:r w:rsidR="00A737FC">
              <w:rPr>
                <w:rFonts w:ascii="ITC Avant Garde" w:eastAsia="Times New Roman" w:hAnsi="ITC Avant Garde"/>
                <w:i/>
                <w:color w:val="000000"/>
                <w:sz w:val="20"/>
                <w:szCs w:val="20"/>
                <w:lang w:eastAsia="es-MX"/>
              </w:rPr>
              <w:t xml:space="preserve"> </w:t>
            </w:r>
            <w:r w:rsidR="00546807" w:rsidRPr="00134AA8">
              <w:rPr>
                <w:rFonts w:ascii="ITC Avant Garde" w:eastAsia="Times New Roman" w:hAnsi="ITC Avant Garde"/>
                <w:i/>
                <w:color w:val="000000"/>
                <w:sz w:val="20"/>
                <w:szCs w:val="20"/>
                <w:lang w:eastAsia="es-MX"/>
              </w:rPr>
              <w:t>MHz) deben mantenerse como máximo en -106</w:t>
            </w:r>
            <w:r w:rsidR="00B11FF5">
              <w:rPr>
                <w:rFonts w:ascii="ITC Avant Garde" w:eastAsia="Times New Roman" w:hAnsi="ITC Avant Garde"/>
                <w:i/>
                <w:color w:val="000000"/>
                <w:sz w:val="20"/>
                <w:szCs w:val="20"/>
                <w:lang w:eastAsia="es-MX"/>
              </w:rPr>
              <w:t xml:space="preserve"> </w:t>
            </w:r>
            <w:r w:rsidR="00546807" w:rsidRPr="00134AA8">
              <w:rPr>
                <w:rFonts w:ascii="ITC Avant Garde" w:eastAsia="Times New Roman" w:hAnsi="ITC Avant Garde"/>
                <w:i/>
                <w:color w:val="000000"/>
                <w:sz w:val="20"/>
                <w:szCs w:val="20"/>
                <w:lang w:eastAsia="es-MX"/>
              </w:rPr>
              <w:t>dBm/MHz en el borde de la banda de 2000</w:t>
            </w:r>
            <w:r w:rsidR="00546807">
              <w:rPr>
                <w:rFonts w:ascii="ITC Avant Garde" w:eastAsia="Times New Roman" w:hAnsi="ITC Avant Garde"/>
                <w:i/>
                <w:color w:val="000000"/>
                <w:sz w:val="20"/>
                <w:szCs w:val="20"/>
                <w:lang w:eastAsia="es-MX"/>
              </w:rPr>
              <w:t xml:space="preserve"> </w:t>
            </w:r>
            <w:r w:rsidR="00546807" w:rsidRPr="00134AA8">
              <w:rPr>
                <w:rFonts w:ascii="ITC Avant Garde" w:eastAsia="Times New Roman" w:hAnsi="ITC Avant Garde"/>
                <w:i/>
                <w:color w:val="000000"/>
                <w:sz w:val="20"/>
                <w:szCs w:val="20"/>
                <w:lang w:eastAsia="es-MX"/>
              </w:rPr>
              <w:t>MHz</w:t>
            </w:r>
            <w:r>
              <w:rPr>
                <w:rFonts w:ascii="ITC Avant Garde" w:eastAsia="Times New Roman" w:hAnsi="ITC Avant Garde"/>
                <w:i/>
                <w:color w:val="000000"/>
                <w:sz w:val="20"/>
                <w:szCs w:val="20"/>
                <w:lang w:eastAsia="es-MX"/>
              </w:rPr>
              <w:t>.</w:t>
            </w:r>
          </w:p>
          <w:p w14:paraId="0509B074" w14:textId="77777777" w:rsidR="0025058A" w:rsidRPr="00E06BAC" w:rsidRDefault="0025058A" w:rsidP="00E06BAC">
            <w:pPr>
              <w:spacing w:after="0" w:line="240" w:lineRule="auto"/>
              <w:ind w:left="384"/>
              <w:jc w:val="both"/>
              <w:rPr>
                <w:rFonts w:ascii="ITC Avant Garde" w:eastAsia="Times New Roman" w:hAnsi="ITC Avant Garde"/>
                <w:i/>
                <w:color w:val="000000"/>
                <w:sz w:val="20"/>
                <w:szCs w:val="20"/>
                <w:lang w:eastAsia="es-MX"/>
              </w:rPr>
            </w:pPr>
          </w:p>
          <w:p w14:paraId="5FC30743" w14:textId="77777777" w:rsidR="008F4A50" w:rsidRDefault="00953CA7" w:rsidP="00E06BAC">
            <w:pPr>
              <w:spacing w:after="0" w:line="240" w:lineRule="auto"/>
              <w:ind w:left="384"/>
              <w:jc w:val="both"/>
              <w:rPr>
                <w:rFonts w:ascii="ITC Avant Garde" w:eastAsia="Times New Roman" w:hAnsi="ITC Avant Garde"/>
                <w:i/>
                <w:color w:val="000000"/>
                <w:sz w:val="20"/>
                <w:szCs w:val="20"/>
                <w:lang w:eastAsia="es-MX"/>
              </w:rPr>
            </w:pPr>
            <w:r w:rsidRPr="008F4A50">
              <w:rPr>
                <w:rFonts w:ascii="ITC Avant Garde" w:eastAsia="Times New Roman" w:hAnsi="ITC Avant Garde"/>
                <w:i/>
                <w:color w:val="000000"/>
                <w:sz w:val="20"/>
                <w:szCs w:val="20"/>
                <w:lang w:eastAsia="es-MX"/>
              </w:rPr>
              <w:t xml:space="preserve">En tanto no exista un protocolo entre México y los Estados Unidos de América en relación con la utilización y servicios de las bandas de frecuencias objeto de la presente Concesión de Espectro Radioeléctrico, se insta al Concesionario a que establezca acuerdos de coordinación técnica con los operadores de los Estados Unidos de América y, en su caso, de otros países, </w:t>
            </w:r>
            <w:r w:rsidR="008F4A50" w:rsidRPr="008F4A50">
              <w:rPr>
                <w:rFonts w:ascii="ITC Avant Garde" w:eastAsia="Times New Roman" w:hAnsi="ITC Avant Garde"/>
                <w:i/>
                <w:color w:val="000000"/>
                <w:sz w:val="20"/>
                <w:szCs w:val="20"/>
                <w:lang w:eastAsia="es-MX"/>
              </w:rPr>
              <w:t>que operen redes en la banda de 2 GHz o en partes de la misma, en zonas colintantes, con la finalida</w:t>
            </w:r>
            <w:r w:rsidR="008F4A50">
              <w:rPr>
                <w:rFonts w:ascii="ITC Avant Garde" w:eastAsia="Times New Roman" w:hAnsi="ITC Avant Garde"/>
                <w:i/>
                <w:color w:val="000000"/>
                <w:sz w:val="20"/>
                <w:szCs w:val="20"/>
                <w:lang w:eastAsia="es-MX"/>
              </w:rPr>
              <w:t>d de asegurar el funcionamiento compatible y libre de interferencias perjuidiciales de las respectivas redes de los países colindantes con México</w:t>
            </w:r>
            <w:r w:rsidR="0025058A">
              <w:rPr>
                <w:rFonts w:ascii="ITC Avant Garde" w:eastAsia="Times New Roman" w:hAnsi="ITC Avant Garde"/>
                <w:i/>
                <w:color w:val="000000"/>
                <w:sz w:val="20"/>
                <w:szCs w:val="20"/>
                <w:lang w:eastAsia="es-MX"/>
              </w:rPr>
              <w:t>, para lo cual se podrá implementar una</w:t>
            </w:r>
            <w:r w:rsidR="0025058A" w:rsidRPr="00E06BAC">
              <w:rPr>
                <w:rFonts w:ascii="ITC Avant Garde" w:eastAsia="Times New Roman" w:hAnsi="ITC Avant Garde"/>
                <w:i/>
                <w:color w:val="000000"/>
                <w:sz w:val="20"/>
                <w:szCs w:val="20"/>
                <w:lang w:eastAsia="es-MX"/>
              </w:rPr>
              <w:t xml:space="preserve"> combinación de amplias zonas de exclusión y soluciones técnicas tales como filtrado adicional, aislamiento electromagnético, modificación de alturas e inclinaciones de las antenas, entre otros</w:t>
            </w:r>
            <w:r w:rsidR="008F4A50">
              <w:rPr>
                <w:rFonts w:ascii="ITC Avant Garde" w:eastAsia="Times New Roman" w:hAnsi="ITC Avant Garde"/>
                <w:i/>
                <w:color w:val="000000"/>
                <w:sz w:val="20"/>
                <w:szCs w:val="20"/>
                <w:lang w:eastAsia="es-MX"/>
              </w:rPr>
              <w:t>.</w:t>
            </w:r>
            <w:r w:rsidR="00C62282">
              <w:rPr>
                <w:rFonts w:ascii="ITC Avant Garde" w:eastAsia="Times New Roman" w:hAnsi="ITC Avant Garde"/>
                <w:i/>
                <w:color w:val="000000"/>
                <w:sz w:val="20"/>
                <w:szCs w:val="20"/>
                <w:lang w:eastAsia="es-MX"/>
              </w:rPr>
              <w:t xml:space="preserve"> El Instituto, la Secretaría de Comunicaciones y Transportes y las demás autoridades competentes apoyarán y cooperarán con el Concesionario para lograr dichos acuerdos.</w:t>
            </w:r>
          </w:p>
          <w:p w14:paraId="57FA8D39" w14:textId="77777777" w:rsidR="008F4A50" w:rsidRDefault="008F4A50" w:rsidP="00E06BAC">
            <w:pPr>
              <w:spacing w:after="0" w:line="240" w:lineRule="auto"/>
              <w:ind w:left="384"/>
              <w:jc w:val="both"/>
              <w:rPr>
                <w:rFonts w:ascii="ITC Avant Garde" w:eastAsia="Times New Roman" w:hAnsi="ITC Avant Garde"/>
                <w:i/>
                <w:color w:val="000000"/>
                <w:sz w:val="20"/>
                <w:szCs w:val="20"/>
                <w:lang w:eastAsia="es-MX"/>
              </w:rPr>
            </w:pPr>
          </w:p>
          <w:p w14:paraId="4208B586" w14:textId="77777777" w:rsidR="00953CA7" w:rsidRPr="008F4A50" w:rsidRDefault="008F4A50" w:rsidP="00E06BAC">
            <w:pPr>
              <w:spacing w:after="0" w:line="240" w:lineRule="auto"/>
              <w:ind w:left="384"/>
              <w:jc w:val="both"/>
              <w:rPr>
                <w:rFonts w:ascii="ITC Avant Garde" w:eastAsia="Times New Roman" w:hAnsi="ITC Avant Garde"/>
                <w:i/>
                <w:color w:val="000000"/>
                <w:sz w:val="20"/>
                <w:szCs w:val="20"/>
                <w:lang w:eastAsia="es-MX"/>
              </w:rPr>
            </w:pPr>
            <w:r>
              <w:rPr>
                <w:rFonts w:ascii="ITC Avant Garde" w:eastAsia="Times New Roman" w:hAnsi="ITC Avant Garde"/>
                <w:i/>
                <w:color w:val="000000"/>
                <w:sz w:val="20"/>
                <w:szCs w:val="20"/>
                <w:lang w:eastAsia="es-MX"/>
              </w:rPr>
              <w:t>En caso de que el Concesionario pretende adoptar acuerdos de coordinación para la operación de la banda con operadores extranjeros, el Concesionario deberá hacer del conocimiento del Instituto los términos de dichos acuerdos, dentro de un plazo de 10 días hábiles posteriores a la suscripción de los mismos.</w:t>
            </w:r>
            <w:r w:rsidRPr="008F4A50">
              <w:rPr>
                <w:rFonts w:ascii="ITC Avant Garde" w:eastAsia="Times New Roman" w:hAnsi="ITC Avant Garde"/>
                <w:color w:val="000000"/>
                <w:sz w:val="20"/>
                <w:szCs w:val="20"/>
                <w:lang w:eastAsia="es-MX"/>
              </w:rPr>
              <w:t>”</w:t>
            </w:r>
            <w:r>
              <w:rPr>
                <w:rFonts w:ascii="ITC Avant Garde" w:eastAsia="Times New Roman" w:hAnsi="ITC Avant Garde"/>
                <w:i/>
                <w:color w:val="000000"/>
                <w:sz w:val="20"/>
                <w:szCs w:val="20"/>
                <w:lang w:eastAsia="es-MX"/>
              </w:rPr>
              <w:t xml:space="preserve"> </w:t>
            </w:r>
            <w:r w:rsidRPr="008F4A50">
              <w:rPr>
                <w:rFonts w:ascii="ITC Avant Garde" w:eastAsia="Times New Roman" w:hAnsi="ITC Avant Garde"/>
                <w:i/>
                <w:color w:val="000000"/>
                <w:sz w:val="20"/>
                <w:szCs w:val="20"/>
                <w:lang w:eastAsia="es-MX"/>
              </w:rPr>
              <w:t xml:space="preserve"> </w:t>
            </w:r>
          </w:p>
          <w:p w14:paraId="6328AC25" w14:textId="77777777" w:rsidR="00953CA7" w:rsidRPr="00ED1212" w:rsidRDefault="00953CA7" w:rsidP="009A3B1B">
            <w:pPr>
              <w:spacing w:after="0" w:line="240" w:lineRule="auto"/>
              <w:jc w:val="both"/>
              <w:rPr>
                <w:rFonts w:ascii="ITC Avant Garde" w:eastAsia="Times New Roman" w:hAnsi="ITC Avant Garde"/>
                <w:color w:val="000000"/>
                <w:sz w:val="20"/>
                <w:szCs w:val="20"/>
                <w:lang w:eastAsia="es-MX"/>
              </w:rPr>
            </w:pPr>
          </w:p>
        </w:tc>
      </w:tr>
      <w:tr w:rsidR="009A3B1B" w:rsidRPr="00F36A5D" w14:paraId="42535F6D" w14:textId="77777777" w:rsidTr="008D18C4">
        <w:trPr>
          <w:trHeight w:val="290"/>
        </w:trPr>
        <w:tc>
          <w:tcPr>
            <w:tcW w:w="979" w:type="pct"/>
            <w:shd w:val="clear" w:color="auto" w:fill="auto"/>
            <w:vAlign w:val="center"/>
          </w:tcPr>
          <w:p w14:paraId="6535F038" w14:textId="77777777" w:rsidR="009A3B1B" w:rsidRDefault="009A3B1B" w:rsidP="009A3B1B">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Numeral</w:t>
            </w:r>
            <w:r w:rsidRPr="000B7F85">
              <w:rPr>
                <w:rFonts w:ascii="ITC Avant Garde" w:eastAsia="Times New Roman" w:hAnsi="ITC Avant Garde"/>
                <w:color w:val="000000"/>
                <w:sz w:val="20"/>
                <w:szCs w:val="20"/>
                <w:lang w:eastAsia="es-MX"/>
              </w:rPr>
              <w:t xml:space="preserve"> 4.5</w:t>
            </w:r>
          </w:p>
          <w:p w14:paraId="614D7812" w14:textId="77777777" w:rsidR="008077DB" w:rsidRPr="000B7F85" w:rsidRDefault="008077DB" w:rsidP="008077DB">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(segundo párrafo)</w:t>
            </w:r>
          </w:p>
        </w:tc>
        <w:tc>
          <w:tcPr>
            <w:tcW w:w="4021" w:type="pct"/>
            <w:shd w:val="clear" w:color="auto" w:fill="auto"/>
            <w:vAlign w:val="center"/>
          </w:tcPr>
          <w:p w14:paraId="740441AC"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El </w:t>
            </w:r>
            <w:r w:rsidR="00EF3BD7">
              <w:rPr>
                <w:rFonts w:ascii="ITC Avant Garde" w:eastAsia="Times New Roman" w:hAnsi="ITC Avant Garde"/>
                <w:color w:val="000000"/>
                <w:sz w:val="20"/>
                <w:szCs w:val="20"/>
                <w:lang w:eastAsia="es-MX"/>
              </w:rPr>
              <w:t>segundo</w:t>
            </w:r>
            <w:r w:rsidRPr="000B7F85">
              <w:rPr>
                <w:rFonts w:ascii="ITC Avant Garde" w:eastAsia="Times New Roman" w:hAnsi="ITC Avant Garde"/>
                <w:color w:val="000000"/>
                <w:sz w:val="20"/>
                <w:szCs w:val="20"/>
                <w:lang w:eastAsia="es-MX"/>
              </w:rPr>
              <w:t xml:space="preserve"> párrafo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4.5 establece que el Instituto podrá establecer obligaciones de cobertura respecto del Servicio Complementario Terrestre de Servicio Móvil por Satélite al titular de la Concesión de Espectro Radioeléctrico de Uso Comercial.</w:t>
            </w:r>
          </w:p>
          <w:p w14:paraId="62585C58" w14:textId="77777777" w:rsidR="009A3B1B" w:rsidRDefault="009A3B1B" w:rsidP="009A3B1B">
            <w:pPr>
              <w:spacing w:after="0" w:line="240" w:lineRule="auto"/>
              <w:jc w:val="both"/>
              <w:rPr>
                <w:rFonts w:ascii="ITC Avant Garde" w:eastAsia="Times New Roman" w:hAnsi="ITC Avant Garde"/>
                <w:color w:val="000000"/>
                <w:sz w:val="20"/>
                <w:szCs w:val="20"/>
                <w:lang w:eastAsia="es-MX"/>
              </w:rPr>
            </w:pPr>
          </w:p>
          <w:p w14:paraId="72DB755B" w14:textId="77777777" w:rsidR="008077DB" w:rsidRDefault="008077DB"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Al respecto, sugerimos la eliminación de dicho párrafo, por las razones específicas  contenidas en la respuesta a la pregunta número 9 de la sección III del presente formato.</w:t>
            </w:r>
            <w:r w:rsidRPr="00E06BAC">
              <w:rPr>
                <w:rFonts w:ascii="ITC Avant Garde" w:eastAsia="Times New Roman" w:hAnsi="ITC Avant Garde"/>
                <w:color w:val="000000"/>
                <w:sz w:val="20"/>
                <w:szCs w:val="20"/>
                <w:lang w:eastAsia="es-MX"/>
              </w:rPr>
              <w:t xml:space="preserve"> Estas obligaciones </w:t>
            </w:r>
            <w:r>
              <w:rPr>
                <w:rFonts w:ascii="ITC Avant Garde" w:eastAsia="Times New Roman" w:hAnsi="ITC Avant Garde"/>
                <w:color w:val="000000"/>
                <w:sz w:val="20"/>
                <w:szCs w:val="20"/>
                <w:lang w:eastAsia="es-MX"/>
              </w:rPr>
              <w:t xml:space="preserve">de cobertura se consideran </w:t>
            </w:r>
            <w:r w:rsidRPr="00E06BAC">
              <w:rPr>
                <w:rFonts w:ascii="ITC Avant Garde" w:eastAsia="Times New Roman" w:hAnsi="ITC Avant Garde"/>
                <w:color w:val="000000"/>
                <w:sz w:val="20"/>
                <w:szCs w:val="20"/>
                <w:lang w:eastAsia="es-MX"/>
              </w:rPr>
              <w:t>innecesarias e inconvenientes para el servicio</w:t>
            </w:r>
            <w:r>
              <w:rPr>
                <w:rFonts w:ascii="ITC Avant Garde" w:eastAsia="Times New Roman" w:hAnsi="ITC Avant Garde"/>
                <w:color w:val="000000"/>
                <w:sz w:val="20"/>
                <w:szCs w:val="20"/>
                <w:lang w:eastAsia="es-MX"/>
              </w:rPr>
              <w:t xml:space="preserve"> que nos ocupa</w:t>
            </w:r>
            <w:r w:rsidRPr="00E06BAC">
              <w:rPr>
                <w:rFonts w:ascii="ITC Avant Garde" w:eastAsia="Times New Roman" w:hAnsi="ITC Avant Garde"/>
                <w:color w:val="000000"/>
                <w:sz w:val="20"/>
                <w:szCs w:val="20"/>
                <w:lang w:eastAsia="es-MX"/>
              </w:rPr>
              <w:t>, teniendo en cuentas las limitaciones técnicas aplicables.</w:t>
            </w:r>
          </w:p>
          <w:p w14:paraId="683218A5" w14:textId="77777777" w:rsidR="008077DB" w:rsidRPr="000B7F85" w:rsidRDefault="008077DB" w:rsidP="009A3B1B">
            <w:pPr>
              <w:spacing w:after="0" w:line="240" w:lineRule="auto"/>
              <w:jc w:val="both"/>
              <w:rPr>
                <w:rFonts w:ascii="ITC Avant Garde" w:eastAsia="Times New Roman" w:hAnsi="ITC Avant Garde"/>
                <w:color w:val="000000"/>
                <w:sz w:val="20"/>
                <w:szCs w:val="20"/>
                <w:lang w:eastAsia="es-MX"/>
              </w:rPr>
            </w:pPr>
          </w:p>
          <w:p w14:paraId="64E8640E" w14:textId="77777777" w:rsidR="00FD0E30" w:rsidRPr="000B7F85" w:rsidRDefault="00FD0E30" w:rsidP="00A976A5">
            <w:pPr>
              <w:spacing w:after="0" w:line="240" w:lineRule="auto"/>
              <w:jc w:val="both"/>
              <w:rPr>
                <w:rFonts w:ascii="ITC Avant Garde" w:eastAsia="Times New Roman" w:hAnsi="ITC Avant Garde"/>
                <w:color w:val="000000"/>
                <w:sz w:val="20"/>
                <w:szCs w:val="20"/>
                <w:lang w:eastAsia="es-MX"/>
              </w:rPr>
            </w:pPr>
          </w:p>
        </w:tc>
      </w:tr>
      <w:tr w:rsidR="008077DB" w:rsidRPr="00F36A5D" w14:paraId="3486A335" w14:textId="77777777" w:rsidTr="00E90BE9">
        <w:trPr>
          <w:trHeight w:val="290"/>
        </w:trPr>
        <w:tc>
          <w:tcPr>
            <w:tcW w:w="979" w:type="pct"/>
            <w:shd w:val="clear" w:color="auto" w:fill="auto"/>
            <w:vAlign w:val="center"/>
          </w:tcPr>
          <w:p w14:paraId="1380B97C" w14:textId="77777777" w:rsidR="008077DB" w:rsidRDefault="008077DB" w:rsidP="008077DB">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Numeral 5</w:t>
            </w:r>
          </w:p>
        </w:tc>
        <w:tc>
          <w:tcPr>
            <w:tcW w:w="4021" w:type="pct"/>
            <w:shd w:val="clear" w:color="auto" w:fill="auto"/>
            <w:vAlign w:val="center"/>
          </w:tcPr>
          <w:p w14:paraId="4C587834" w14:textId="77777777" w:rsidR="008077DB" w:rsidRDefault="008077DB" w:rsidP="005169B0">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Sugerimos </w:t>
            </w:r>
            <w:r w:rsidR="00B928E9">
              <w:rPr>
                <w:rFonts w:ascii="ITC Avant Garde" w:eastAsia="Times New Roman" w:hAnsi="ITC Avant Garde"/>
                <w:color w:val="000000"/>
                <w:sz w:val="20"/>
                <w:szCs w:val="20"/>
                <w:lang w:eastAsia="es-MX"/>
              </w:rPr>
              <w:t xml:space="preserve">que en la Primera Etapa </w:t>
            </w:r>
            <w:r w:rsidR="005169B0">
              <w:rPr>
                <w:rFonts w:ascii="ITC Avant Garde" w:eastAsia="Times New Roman" w:hAnsi="ITC Avant Garde"/>
                <w:color w:val="000000"/>
                <w:sz w:val="20"/>
                <w:szCs w:val="20"/>
                <w:lang w:eastAsia="es-MX"/>
              </w:rPr>
              <w:t xml:space="preserve">en relación a la actividad de Entrega de la información y documentación prevista en el Apéndice A y en el Apéndice E a que se refiere el Numeral 6.1.3, se excluya de esa actividad la entrega de la </w:t>
            </w:r>
            <w:r w:rsidR="001B6DA6">
              <w:rPr>
                <w:rFonts w:ascii="ITC Avant Garde" w:eastAsia="Times New Roman" w:hAnsi="ITC Avant Garde"/>
                <w:color w:val="000000"/>
                <w:sz w:val="20"/>
                <w:szCs w:val="20"/>
                <w:lang w:eastAsia="es-MX"/>
              </w:rPr>
              <w:t>Garantía de Seriedad (</w:t>
            </w:r>
            <w:r w:rsidR="005169B0">
              <w:rPr>
                <w:rFonts w:ascii="ITC Avant Garde" w:eastAsia="Times New Roman" w:hAnsi="ITC Avant Garde"/>
                <w:color w:val="000000"/>
                <w:sz w:val="20"/>
                <w:szCs w:val="20"/>
                <w:lang w:eastAsia="es-MX"/>
              </w:rPr>
              <w:t>carta de crédito stand-by</w:t>
            </w:r>
            <w:r w:rsidR="001B6DA6">
              <w:rPr>
                <w:rFonts w:ascii="ITC Avant Garde" w:eastAsia="Times New Roman" w:hAnsi="ITC Avant Garde"/>
                <w:color w:val="000000"/>
                <w:sz w:val="20"/>
                <w:szCs w:val="20"/>
                <w:lang w:eastAsia="es-MX"/>
              </w:rPr>
              <w:t>)</w:t>
            </w:r>
            <w:r w:rsidR="005169B0">
              <w:rPr>
                <w:rFonts w:ascii="ITC Avant Garde" w:eastAsia="Times New Roman" w:hAnsi="ITC Avant Garde"/>
                <w:color w:val="000000"/>
                <w:sz w:val="20"/>
                <w:szCs w:val="20"/>
                <w:lang w:eastAsia="es-MX"/>
              </w:rPr>
              <w:t xml:space="preserve"> y que dicha entrega se realice al mismo tiempo de la entrega de</w:t>
            </w:r>
            <w:r w:rsidR="00C72C15">
              <w:rPr>
                <w:rFonts w:ascii="ITC Avant Garde" w:eastAsia="Times New Roman" w:hAnsi="ITC Avant Garde"/>
                <w:color w:val="000000"/>
                <w:sz w:val="20"/>
                <w:szCs w:val="20"/>
                <w:lang w:eastAsia="es-MX"/>
              </w:rPr>
              <w:t>l Sobre Cerrado con</w:t>
            </w:r>
            <w:r w:rsidR="005169B0">
              <w:rPr>
                <w:rFonts w:ascii="ITC Avant Garde" w:eastAsia="Times New Roman" w:hAnsi="ITC Avant Garde"/>
                <w:color w:val="000000"/>
                <w:sz w:val="20"/>
                <w:szCs w:val="20"/>
                <w:lang w:eastAsia="es-MX"/>
              </w:rPr>
              <w:t xml:space="preserve"> la Oferta </w:t>
            </w:r>
            <w:r w:rsidR="00C72C15">
              <w:rPr>
                <w:rFonts w:ascii="ITC Avant Garde" w:eastAsia="Times New Roman" w:hAnsi="ITC Avant Garde"/>
                <w:color w:val="000000"/>
                <w:sz w:val="20"/>
                <w:szCs w:val="20"/>
                <w:lang w:eastAsia="es-MX"/>
              </w:rPr>
              <w:t>correspondiente a que se refiere el Numeral 6.2.3.</w:t>
            </w:r>
          </w:p>
          <w:p w14:paraId="79083888" w14:textId="77777777" w:rsidR="00C72C15" w:rsidRDefault="00C72C15" w:rsidP="005169B0">
            <w:pPr>
              <w:spacing w:after="0" w:line="240" w:lineRule="auto"/>
              <w:jc w:val="both"/>
              <w:rPr>
                <w:rFonts w:ascii="ITC Avant Garde" w:eastAsia="Times New Roman" w:hAnsi="ITC Avant Garde"/>
                <w:color w:val="000000"/>
                <w:sz w:val="20"/>
                <w:szCs w:val="20"/>
                <w:lang w:eastAsia="es-MX"/>
              </w:rPr>
            </w:pPr>
          </w:p>
          <w:p w14:paraId="4B6DAAD9" w14:textId="77777777" w:rsidR="00C72C15" w:rsidRDefault="00C72C15" w:rsidP="005169B0">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De esta forma </w:t>
            </w:r>
            <w:r w:rsidR="00317220">
              <w:rPr>
                <w:rFonts w:ascii="ITC Avant Garde" w:eastAsia="Times New Roman" w:hAnsi="ITC Avant Garde"/>
                <w:color w:val="000000"/>
                <w:sz w:val="20"/>
                <w:szCs w:val="20"/>
                <w:lang w:eastAsia="es-MX"/>
              </w:rPr>
              <w:t>se eliminaría el plazo tan largo entr</w:t>
            </w:r>
            <w:r>
              <w:rPr>
                <w:rFonts w:ascii="ITC Avant Garde" w:eastAsia="Times New Roman" w:hAnsi="ITC Avant Garde"/>
                <w:color w:val="000000"/>
                <w:sz w:val="20"/>
                <w:szCs w:val="20"/>
                <w:lang w:eastAsia="es-MX"/>
              </w:rPr>
              <w:t xml:space="preserve">e la presentación de la Garantía de Seriedad </w:t>
            </w:r>
            <w:r w:rsidR="00317220">
              <w:rPr>
                <w:rFonts w:ascii="ITC Avant Garde" w:eastAsia="Times New Roman" w:hAnsi="ITC Avant Garde"/>
                <w:color w:val="000000"/>
                <w:sz w:val="20"/>
                <w:szCs w:val="20"/>
                <w:lang w:eastAsia="es-MX"/>
              </w:rPr>
              <w:t>por parte d</w:t>
            </w:r>
            <w:r>
              <w:rPr>
                <w:rFonts w:ascii="ITC Avant Garde" w:eastAsia="Times New Roman" w:hAnsi="ITC Avant Garde"/>
                <w:color w:val="000000"/>
                <w:sz w:val="20"/>
                <w:szCs w:val="20"/>
                <w:lang w:eastAsia="es-MX"/>
              </w:rPr>
              <w:t>el Interesado y hasta el otorgamiento de la Constancia de Participación</w:t>
            </w:r>
            <w:r w:rsidR="00317220">
              <w:rPr>
                <w:rFonts w:ascii="ITC Avant Garde" w:eastAsia="Times New Roman" w:hAnsi="ITC Avant Garde"/>
                <w:color w:val="000000"/>
                <w:sz w:val="20"/>
                <w:szCs w:val="20"/>
                <w:lang w:eastAsia="es-MX"/>
              </w:rPr>
              <w:t>, más de dos meses después</w:t>
            </w:r>
            <w:r>
              <w:rPr>
                <w:rFonts w:ascii="ITC Avant Garde" w:eastAsia="Times New Roman" w:hAnsi="ITC Avant Garde"/>
                <w:color w:val="000000"/>
                <w:sz w:val="20"/>
                <w:szCs w:val="20"/>
                <w:lang w:eastAsia="es-MX"/>
              </w:rPr>
              <w:t>.</w:t>
            </w:r>
            <w:r w:rsidR="00317220">
              <w:rPr>
                <w:rFonts w:ascii="ITC Avant Garde" w:eastAsia="Times New Roman" w:hAnsi="ITC Avant Garde"/>
                <w:color w:val="000000"/>
                <w:sz w:val="20"/>
                <w:szCs w:val="20"/>
                <w:lang w:eastAsia="es-MX"/>
              </w:rPr>
              <w:t xml:space="preserve"> Existe un costo financiero en la emisión y </w:t>
            </w:r>
            <w:r w:rsidR="00317220">
              <w:rPr>
                <w:rFonts w:ascii="ITC Avant Garde" w:eastAsia="Times New Roman" w:hAnsi="ITC Avant Garde"/>
                <w:color w:val="000000"/>
                <w:sz w:val="20"/>
                <w:szCs w:val="20"/>
                <w:lang w:eastAsia="es-MX"/>
              </w:rPr>
              <w:lastRenderedPageBreak/>
              <w:t>mantenimiento de la Garantía de Seriedad, el cual se puede disminuir en el caso de que se presente al mismo momento de la presentación del Sobre Cerrado con la Oferta.</w:t>
            </w:r>
          </w:p>
          <w:p w14:paraId="494020F8" w14:textId="77777777" w:rsidR="00C72C15" w:rsidRDefault="00C72C15" w:rsidP="005169B0">
            <w:pPr>
              <w:spacing w:after="0" w:line="240" w:lineRule="auto"/>
              <w:jc w:val="both"/>
              <w:rPr>
                <w:rFonts w:ascii="ITC Avant Garde" w:eastAsia="Times New Roman" w:hAnsi="ITC Avant Garde"/>
                <w:color w:val="000000"/>
                <w:sz w:val="20"/>
                <w:szCs w:val="20"/>
                <w:lang w:eastAsia="es-MX"/>
              </w:rPr>
            </w:pPr>
          </w:p>
          <w:p w14:paraId="3C3DB7A4" w14:textId="77777777" w:rsidR="00C72C15" w:rsidRDefault="00C72C15" w:rsidP="005169B0">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Lo anterior, es consistente</w:t>
            </w:r>
            <w:r w:rsidR="00317220">
              <w:rPr>
                <w:rFonts w:ascii="ITC Avant Garde" w:eastAsia="Times New Roman" w:hAnsi="ITC Avant Garde"/>
                <w:color w:val="000000"/>
                <w:sz w:val="20"/>
                <w:szCs w:val="20"/>
                <w:lang w:eastAsia="es-MX"/>
              </w:rPr>
              <w:t xml:space="preserve"> también</w:t>
            </w:r>
            <w:r>
              <w:rPr>
                <w:rFonts w:ascii="ITC Avant Garde" w:eastAsia="Times New Roman" w:hAnsi="ITC Avant Garde"/>
                <w:color w:val="000000"/>
                <w:sz w:val="20"/>
                <w:szCs w:val="20"/>
                <w:lang w:eastAsia="es-MX"/>
              </w:rPr>
              <w:t xml:space="preserve"> con la calidad de Participante</w:t>
            </w:r>
            <w:r w:rsidR="00317220">
              <w:rPr>
                <w:rFonts w:ascii="ITC Avant Garde" w:eastAsia="Times New Roman" w:hAnsi="ITC Avant Garde"/>
                <w:color w:val="000000"/>
                <w:sz w:val="20"/>
                <w:szCs w:val="20"/>
                <w:lang w:eastAsia="es-MX"/>
              </w:rPr>
              <w:t>, al cual se le puede aplicar la Garantía de Seriedad.</w:t>
            </w:r>
          </w:p>
          <w:p w14:paraId="26BAD77C" w14:textId="77777777" w:rsidR="00317220" w:rsidRDefault="00317220" w:rsidP="005169B0">
            <w:pPr>
              <w:spacing w:after="0" w:line="240" w:lineRule="auto"/>
              <w:jc w:val="both"/>
              <w:rPr>
                <w:rFonts w:ascii="ITC Avant Garde" w:eastAsia="Times New Roman" w:hAnsi="ITC Avant Garde"/>
                <w:color w:val="000000"/>
                <w:sz w:val="20"/>
                <w:szCs w:val="20"/>
                <w:lang w:eastAsia="es-MX"/>
              </w:rPr>
            </w:pPr>
          </w:p>
          <w:p w14:paraId="68E97FC5" w14:textId="77777777" w:rsidR="00317220" w:rsidRDefault="00317220" w:rsidP="005169B0">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Asimismo, el anterior mecanismo </w:t>
            </w:r>
            <w:r w:rsidR="005B0A45">
              <w:rPr>
                <w:rFonts w:ascii="ITC Avant Garde" w:eastAsia="Times New Roman" w:hAnsi="ITC Avant Garde"/>
                <w:color w:val="000000"/>
                <w:sz w:val="20"/>
                <w:szCs w:val="20"/>
                <w:lang w:eastAsia="es-MX"/>
              </w:rPr>
              <w:t xml:space="preserve">eliminaría el hecho de actualizar la Garantía de Seriedad en los términos planteados en el Numeral 11.7. </w:t>
            </w:r>
          </w:p>
          <w:p w14:paraId="60D78C98" w14:textId="77777777" w:rsidR="005169B0" w:rsidRDefault="005169B0" w:rsidP="005169B0">
            <w:pPr>
              <w:spacing w:after="0" w:line="240" w:lineRule="auto"/>
              <w:jc w:val="both"/>
              <w:rPr>
                <w:rFonts w:ascii="ITC Avant Garde" w:eastAsia="Times New Roman" w:hAnsi="ITC Avant Garde"/>
                <w:color w:val="000000"/>
                <w:sz w:val="20"/>
                <w:szCs w:val="20"/>
                <w:lang w:eastAsia="es-MX"/>
              </w:rPr>
            </w:pPr>
          </w:p>
          <w:p w14:paraId="48398FDD" w14:textId="77777777" w:rsidR="005B0A45" w:rsidRDefault="005B0A45" w:rsidP="005169B0">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Este comentario también se incluye en los Numerales 6.1.3, 11.3 y 11.7 abajo.</w:t>
            </w:r>
          </w:p>
          <w:p w14:paraId="6350F9A9" w14:textId="77777777" w:rsidR="005B0A45" w:rsidRDefault="005B0A45" w:rsidP="005169B0">
            <w:pPr>
              <w:spacing w:after="0" w:line="240" w:lineRule="auto"/>
              <w:jc w:val="both"/>
              <w:rPr>
                <w:rFonts w:ascii="ITC Avant Garde" w:eastAsia="Times New Roman" w:hAnsi="ITC Avant Garde"/>
                <w:color w:val="000000"/>
                <w:sz w:val="20"/>
                <w:szCs w:val="20"/>
                <w:lang w:eastAsia="es-MX"/>
              </w:rPr>
            </w:pPr>
          </w:p>
        </w:tc>
      </w:tr>
      <w:tr w:rsidR="00A976A5" w:rsidRPr="00F36A5D" w14:paraId="092FD57C" w14:textId="77777777" w:rsidTr="00E90BE9">
        <w:trPr>
          <w:trHeight w:val="290"/>
        </w:trPr>
        <w:tc>
          <w:tcPr>
            <w:tcW w:w="979" w:type="pct"/>
            <w:shd w:val="clear" w:color="auto" w:fill="auto"/>
            <w:vAlign w:val="center"/>
          </w:tcPr>
          <w:p w14:paraId="2C3007CA" w14:textId="77777777" w:rsidR="008077DB" w:rsidRPr="00234608" w:rsidRDefault="008077DB" w:rsidP="008077DB">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Numeral 5</w:t>
            </w:r>
          </w:p>
        </w:tc>
        <w:tc>
          <w:tcPr>
            <w:tcW w:w="4021" w:type="pct"/>
            <w:shd w:val="clear" w:color="auto" w:fill="auto"/>
            <w:vAlign w:val="center"/>
          </w:tcPr>
          <w:p w14:paraId="49A79A90" w14:textId="77777777" w:rsidR="00A976A5" w:rsidRDefault="008077DB" w:rsidP="008077D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Dentro del Calendario de Actividades, identificamos un error en el año contenido en la Numeral 6.1.4, ya que debe ser el año </w:t>
            </w:r>
            <w:r w:rsidR="00A976A5">
              <w:rPr>
                <w:rFonts w:ascii="ITC Avant Garde" w:eastAsia="Times New Roman" w:hAnsi="ITC Avant Garde"/>
                <w:color w:val="000000"/>
                <w:sz w:val="20"/>
                <w:szCs w:val="20"/>
                <w:lang w:eastAsia="es-MX"/>
              </w:rPr>
              <w:t>2019 y no 2018</w:t>
            </w:r>
            <w:r>
              <w:rPr>
                <w:rFonts w:ascii="ITC Avant Garde" w:eastAsia="Times New Roman" w:hAnsi="ITC Avant Garde"/>
                <w:color w:val="000000"/>
                <w:sz w:val="20"/>
                <w:szCs w:val="20"/>
                <w:lang w:eastAsia="es-MX"/>
              </w:rPr>
              <w:t>.</w:t>
            </w:r>
          </w:p>
          <w:p w14:paraId="3DE15969" w14:textId="77777777" w:rsidR="008077DB" w:rsidRDefault="008077DB" w:rsidP="008077DB">
            <w:pPr>
              <w:spacing w:after="0" w:line="240" w:lineRule="auto"/>
              <w:jc w:val="both"/>
              <w:rPr>
                <w:rFonts w:ascii="ITC Avant Garde" w:eastAsia="Times New Roman" w:hAnsi="ITC Avant Garde"/>
                <w:color w:val="000000"/>
                <w:sz w:val="20"/>
                <w:szCs w:val="20"/>
                <w:lang w:eastAsia="es-MX"/>
              </w:rPr>
            </w:pPr>
          </w:p>
        </w:tc>
      </w:tr>
      <w:tr w:rsidR="00234608" w:rsidRPr="00F36A5D" w14:paraId="772D1787" w14:textId="77777777" w:rsidTr="00E90BE9">
        <w:trPr>
          <w:trHeight w:val="290"/>
        </w:trPr>
        <w:tc>
          <w:tcPr>
            <w:tcW w:w="979" w:type="pct"/>
            <w:shd w:val="clear" w:color="auto" w:fill="auto"/>
            <w:vAlign w:val="center"/>
          </w:tcPr>
          <w:p w14:paraId="0B1D9C57" w14:textId="77777777" w:rsidR="00234608" w:rsidRPr="00CD0DDC" w:rsidRDefault="00234608" w:rsidP="00EF3BD7">
            <w:pPr>
              <w:spacing w:after="0" w:line="240" w:lineRule="auto"/>
              <w:jc w:val="center"/>
              <w:rPr>
                <w:rFonts w:ascii="ITC Avant Garde" w:eastAsia="Times New Roman" w:hAnsi="ITC Avant Garde"/>
                <w:color w:val="000000"/>
                <w:sz w:val="20"/>
                <w:szCs w:val="20"/>
                <w:highlight w:val="magenta"/>
                <w:lang w:eastAsia="es-MX"/>
              </w:rPr>
            </w:pPr>
            <w:r w:rsidRPr="00234608">
              <w:rPr>
                <w:rFonts w:ascii="ITC Avant Garde" w:eastAsia="Times New Roman" w:hAnsi="ITC Avant Garde"/>
                <w:color w:val="000000"/>
                <w:sz w:val="20"/>
                <w:szCs w:val="20"/>
                <w:lang w:eastAsia="es-MX"/>
              </w:rPr>
              <w:t>Numeral 6.1.2</w:t>
            </w:r>
          </w:p>
        </w:tc>
        <w:tc>
          <w:tcPr>
            <w:tcW w:w="4021" w:type="pct"/>
            <w:shd w:val="clear" w:color="auto" w:fill="auto"/>
            <w:vAlign w:val="center"/>
          </w:tcPr>
          <w:p w14:paraId="0A03621E" w14:textId="77777777" w:rsidR="00234608" w:rsidRDefault="00234608" w:rsidP="00234608">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El primer párrafo del </w:t>
            </w:r>
            <w:r w:rsidRPr="00234608">
              <w:rPr>
                <w:rFonts w:ascii="ITC Avant Garde" w:eastAsia="Times New Roman" w:hAnsi="ITC Avant Garde"/>
                <w:color w:val="000000"/>
                <w:sz w:val="20"/>
                <w:szCs w:val="20"/>
                <w:lang w:eastAsia="es-MX"/>
              </w:rPr>
              <w:t>Numeral 6.1.2</w:t>
            </w:r>
            <w:r>
              <w:rPr>
                <w:rFonts w:ascii="ITC Avant Garde" w:eastAsia="Times New Roman" w:hAnsi="ITC Avant Garde"/>
                <w:color w:val="000000"/>
                <w:sz w:val="20"/>
                <w:szCs w:val="20"/>
                <w:lang w:eastAsia="es-MX"/>
              </w:rPr>
              <w:t xml:space="preserve"> establece que las preguntas podrán presentarlas junto con la manifestación de interés. Sin embargo, se propone aclarar que la manifestación de interés se podrá presentar un día dentro del periodo otorgado para tal efecto y de mane</w:t>
            </w:r>
            <w:r w:rsidR="003E0E7A">
              <w:rPr>
                <w:rFonts w:ascii="ITC Avant Garde" w:eastAsia="Times New Roman" w:hAnsi="ITC Avant Garde"/>
                <w:color w:val="000000"/>
                <w:sz w:val="20"/>
                <w:szCs w:val="20"/>
                <w:lang w:eastAsia="es-MX"/>
              </w:rPr>
              <w:t>r</w:t>
            </w:r>
            <w:r>
              <w:rPr>
                <w:rFonts w:ascii="ITC Avant Garde" w:eastAsia="Times New Roman" w:hAnsi="ITC Avant Garde"/>
                <w:color w:val="000000"/>
                <w:sz w:val="20"/>
                <w:szCs w:val="20"/>
                <w:lang w:eastAsia="es-MX"/>
              </w:rPr>
              <w:t>a posterior e independiente se podrán presentar una o más preguntas dentro del plazo establecido para tal efecto. Es decir, el Interesado puede presentar en distintos días la manifestación de interés y preguntas, siempre y cuando sea dentro del plazo previsto para ello en el Calendario.</w:t>
            </w:r>
          </w:p>
          <w:p w14:paraId="3ED7C854" w14:textId="77777777" w:rsidR="00234608" w:rsidRDefault="00234608" w:rsidP="00234608">
            <w:pPr>
              <w:spacing w:after="0" w:line="240" w:lineRule="auto"/>
              <w:jc w:val="both"/>
              <w:rPr>
                <w:rFonts w:ascii="ITC Avant Garde" w:eastAsia="Times New Roman" w:hAnsi="ITC Avant Garde"/>
                <w:color w:val="000000"/>
                <w:sz w:val="20"/>
                <w:szCs w:val="20"/>
                <w:lang w:eastAsia="es-MX"/>
              </w:rPr>
            </w:pPr>
          </w:p>
        </w:tc>
      </w:tr>
      <w:tr w:rsidR="009416FC" w:rsidRPr="00BB1F72" w14:paraId="5B07EECD" w14:textId="77777777" w:rsidTr="00E90BE9">
        <w:trPr>
          <w:trHeight w:val="290"/>
        </w:trPr>
        <w:tc>
          <w:tcPr>
            <w:tcW w:w="979" w:type="pct"/>
            <w:shd w:val="clear" w:color="auto" w:fill="auto"/>
            <w:vAlign w:val="center"/>
          </w:tcPr>
          <w:p w14:paraId="17EC8E28" w14:textId="77777777" w:rsidR="009416FC" w:rsidRPr="00BB1F72" w:rsidRDefault="00BB1F72" w:rsidP="00EF3BD7">
            <w:pPr>
              <w:spacing w:after="0" w:line="240" w:lineRule="auto"/>
              <w:jc w:val="center"/>
              <w:rPr>
                <w:rFonts w:ascii="ITC Avant Garde" w:eastAsia="Times New Roman" w:hAnsi="ITC Avant Garde"/>
                <w:color w:val="000000"/>
                <w:sz w:val="20"/>
                <w:szCs w:val="20"/>
                <w:lang w:eastAsia="es-MX"/>
              </w:rPr>
            </w:pPr>
            <w:r w:rsidRPr="00E06BAC">
              <w:rPr>
                <w:rFonts w:ascii="ITC Avant Garde" w:eastAsia="Times New Roman" w:hAnsi="ITC Avant Garde"/>
                <w:color w:val="000000"/>
                <w:sz w:val="20"/>
                <w:szCs w:val="20"/>
                <w:lang w:eastAsia="es-MX"/>
              </w:rPr>
              <w:t xml:space="preserve">Numeral </w:t>
            </w:r>
            <w:r w:rsidR="009416FC" w:rsidRPr="00BB1F72">
              <w:rPr>
                <w:rFonts w:ascii="ITC Avant Garde" w:eastAsia="Times New Roman" w:hAnsi="ITC Avant Garde"/>
                <w:color w:val="000000"/>
                <w:sz w:val="20"/>
                <w:szCs w:val="20"/>
                <w:lang w:eastAsia="es-MX"/>
              </w:rPr>
              <w:t xml:space="preserve">6.1.3 </w:t>
            </w:r>
          </w:p>
        </w:tc>
        <w:tc>
          <w:tcPr>
            <w:tcW w:w="4021" w:type="pct"/>
            <w:shd w:val="clear" w:color="auto" w:fill="auto"/>
            <w:vAlign w:val="center"/>
          </w:tcPr>
          <w:p w14:paraId="69164E99" w14:textId="77777777" w:rsidR="005B0A45" w:rsidRPr="00E06BAC" w:rsidRDefault="00BB1F72" w:rsidP="00234608">
            <w:pPr>
              <w:spacing w:after="0" w:line="240" w:lineRule="auto"/>
              <w:jc w:val="both"/>
              <w:rPr>
                <w:rFonts w:ascii="ITC Avant Garde" w:eastAsia="Times New Roman" w:hAnsi="ITC Avant Garde"/>
                <w:color w:val="000000"/>
                <w:sz w:val="20"/>
                <w:szCs w:val="20"/>
                <w:lang w:eastAsia="es-MX"/>
              </w:rPr>
            </w:pPr>
            <w:r w:rsidRPr="00E06BAC">
              <w:rPr>
                <w:rFonts w:ascii="ITC Avant Garde" w:eastAsia="Times New Roman" w:hAnsi="ITC Avant Garde"/>
                <w:color w:val="000000"/>
                <w:sz w:val="20"/>
                <w:szCs w:val="20"/>
                <w:lang w:eastAsia="es-MX"/>
              </w:rPr>
              <w:t>Consideramos conveniente eliminar dentro de la entrega en el momento indicado en este numeral, la Garantía de Seriedad. Lo anterior, ya que se podría presentar en un momento más adecuado como lo es después del momento de recibir la Constancia de Participación y al mismo tiempo de la presentación del Sobre Cerrado con la Oferta.</w:t>
            </w:r>
          </w:p>
          <w:p w14:paraId="17D23B05" w14:textId="77777777" w:rsidR="00BB1F72" w:rsidRDefault="00BB1F72" w:rsidP="00234608">
            <w:pPr>
              <w:spacing w:after="0" w:line="240" w:lineRule="auto"/>
              <w:jc w:val="both"/>
              <w:rPr>
                <w:rFonts w:ascii="ITC Avant Garde" w:eastAsia="Times New Roman" w:hAnsi="ITC Avant Garde"/>
                <w:color w:val="000000"/>
                <w:sz w:val="20"/>
                <w:szCs w:val="20"/>
                <w:highlight w:val="yellow"/>
                <w:lang w:eastAsia="es-MX"/>
              </w:rPr>
            </w:pPr>
          </w:p>
          <w:p w14:paraId="772EF6D2" w14:textId="77777777" w:rsidR="00BB1F72" w:rsidRPr="00E06BAC" w:rsidRDefault="00BB1F72" w:rsidP="00234608">
            <w:pPr>
              <w:spacing w:after="0" w:line="240" w:lineRule="auto"/>
              <w:jc w:val="both"/>
              <w:rPr>
                <w:rFonts w:ascii="ITC Avant Garde" w:eastAsia="Times New Roman" w:hAnsi="ITC Avant Garde"/>
                <w:color w:val="000000"/>
                <w:sz w:val="20"/>
                <w:szCs w:val="20"/>
                <w:lang w:eastAsia="es-MX"/>
              </w:rPr>
            </w:pPr>
            <w:r w:rsidRPr="00E06BAC">
              <w:rPr>
                <w:rFonts w:ascii="ITC Avant Garde" w:eastAsia="Times New Roman" w:hAnsi="ITC Avant Garde"/>
                <w:color w:val="000000"/>
                <w:sz w:val="20"/>
                <w:szCs w:val="20"/>
                <w:lang w:eastAsia="es-MX"/>
              </w:rPr>
              <w:t xml:space="preserve">El cambiar el momento de presentación de la Garantía de Seriedad no impacta en realidad el tiempo que tiene el Instituto para el análisis de la misma y facilita al Participante en la determinación del monto de la Oferta y de la presentación de la Garantía de Seriedad conforme a lo solicitado por el proyecto de Bases que debe ser por lo menos el 20% de la Oferta. Así, se evita la necesidad de actualizar </w:t>
            </w:r>
            <w:r w:rsidR="00600B5D" w:rsidRPr="00E06BAC">
              <w:rPr>
                <w:rFonts w:ascii="ITC Avant Garde" w:eastAsia="Times New Roman" w:hAnsi="ITC Avant Garde"/>
                <w:color w:val="000000"/>
                <w:sz w:val="20"/>
                <w:szCs w:val="20"/>
                <w:lang w:eastAsia="es-MX"/>
              </w:rPr>
              <w:t>la Garantía de Seriedad al momento de presentación de la Oferta. También, se le otorga más tiempo al Participante para generar la carta de crédito y ésta no se mantiene por más de 2 meses sin uso o utilidad alguna.</w:t>
            </w:r>
          </w:p>
          <w:p w14:paraId="5FBFC57B" w14:textId="77777777" w:rsidR="009416FC" w:rsidRPr="00E06BAC" w:rsidRDefault="009416FC" w:rsidP="00234608">
            <w:pPr>
              <w:spacing w:after="0" w:line="240" w:lineRule="auto"/>
              <w:jc w:val="both"/>
              <w:rPr>
                <w:rFonts w:ascii="ITC Avant Garde" w:eastAsia="Times New Roman" w:hAnsi="ITC Avant Garde"/>
                <w:color w:val="000000"/>
                <w:sz w:val="20"/>
                <w:szCs w:val="20"/>
                <w:highlight w:val="yellow"/>
                <w:lang w:eastAsia="es-MX"/>
              </w:rPr>
            </w:pPr>
          </w:p>
        </w:tc>
      </w:tr>
      <w:tr w:rsidR="009A3B1B" w:rsidRPr="00F36A5D" w14:paraId="45FA3225" w14:textId="77777777" w:rsidTr="00E90BE9">
        <w:trPr>
          <w:trHeight w:val="290"/>
        </w:trPr>
        <w:tc>
          <w:tcPr>
            <w:tcW w:w="979" w:type="pct"/>
            <w:shd w:val="clear" w:color="auto" w:fill="auto"/>
            <w:vAlign w:val="center"/>
          </w:tcPr>
          <w:p w14:paraId="5A61169F" w14:textId="77777777" w:rsidR="009A3B1B" w:rsidRPr="000B7F85" w:rsidRDefault="00EF3BD7" w:rsidP="00EF3BD7">
            <w:pPr>
              <w:spacing w:after="0" w:line="240" w:lineRule="auto"/>
              <w:jc w:val="center"/>
              <w:rPr>
                <w:rFonts w:ascii="ITC Avant Garde" w:eastAsia="Times New Roman" w:hAnsi="ITC Avant Garde"/>
                <w:color w:val="000000"/>
                <w:sz w:val="20"/>
                <w:szCs w:val="20"/>
                <w:lang w:eastAsia="es-MX"/>
              </w:rPr>
            </w:pPr>
            <w:r w:rsidRPr="0034030F">
              <w:rPr>
                <w:rFonts w:ascii="ITC Avant Garde" w:eastAsia="Times New Roman" w:hAnsi="ITC Avant Garde"/>
                <w:color w:val="000000"/>
                <w:sz w:val="20"/>
                <w:szCs w:val="20"/>
                <w:lang w:eastAsia="es-MX"/>
              </w:rPr>
              <w:t xml:space="preserve">Numeral </w:t>
            </w:r>
            <w:r w:rsidR="009A3B1B" w:rsidRPr="0034030F">
              <w:rPr>
                <w:rFonts w:ascii="ITC Avant Garde" w:eastAsia="Times New Roman" w:hAnsi="ITC Avant Garde"/>
                <w:color w:val="000000"/>
                <w:sz w:val="20"/>
                <w:szCs w:val="20"/>
                <w:lang w:eastAsia="es-MX"/>
              </w:rPr>
              <w:t>6.2.1 con relación al Anexo 7 del Apéndice A</w:t>
            </w:r>
          </w:p>
        </w:tc>
        <w:tc>
          <w:tcPr>
            <w:tcW w:w="4021" w:type="pct"/>
            <w:shd w:val="clear" w:color="auto" w:fill="auto"/>
            <w:vAlign w:val="center"/>
          </w:tcPr>
          <w:p w14:paraId="59ADBE08" w14:textId="77777777" w:rsidR="009A3B1B" w:rsidRPr="000B7F85" w:rsidRDefault="00EF3BD7"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El Numeral</w:t>
            </w:r>
            <w:r w:rsidRPr="000B7F85">
              <w:rPr>
                <w:rFonts w:ascii="ITC Avant Garde" w:eastAsia="Times New Roman" w:hAnsi="ITC Avant Garde"/>
                <w:color w:val="000000"/>
                <w:sz w:val="20"/>
                <w:szCs w:val="20"/>
                <w:lang w:eastAsia="es-MX"/>
              </w:rPr>
              <w:t xml:space="preserve"> </w:t>
            </w:r>
            <w:r w:rsidR="009A3B1B" w:rsidRPr="000B7F85">
              <w:rPr>
                <w:rFonts w:ascii="ITC Avant Garde" w:eastAsia="Times New Roman" w:hAnsi="ITC Avant Garde"/>
                <w:color w:val="000000"/>
                <w:sz w:val="20"/>
                <w:szCs w:val="20"/>
                <w:lang w:eastAsia="es-MX"/>
              </w:rPr>
              <w:t xml:space="preserve">6.2.1 </w:t>
            </w:r>
            <w:r>
              <w:rPr>
                <w:rFonts w:ascii="ITC Avant Garde" w:eastAsia="Times New Roman" w:hAnsi="ITC Avant Garde"/>
                <w:color w:val="000000"/>
                <w:sz w:val="20"/>
                <w:szCs w:val="20"/>
                <w:lang w:eastAsia="es-MX"/>
              </w:rPr>
              <w:t>señala</w:t>
            </w:r>
            <w:r w:rsidR="009A3B1B" w:rsidRPr="000B7F85">
              <w:rPr>
                <w:rFonts w:ascii="ITC Avant Garde" w:eastAsia="Times New Roman" w:hAnsi="ITC Avant Garde"/>
                <w:color w:val="000000"/>
                <w:sz w:val="20"/>
                <w:szCs w:val="20"/>
                <w:lang w:eastAsia="es-MX"/>
              </w:rPr>
              <w:t xml:space="preserve"> que se analizará el cumplimiento de la totalidad de los requisitos correspondientes al Apéndice A. El Anexo 7 del Apéndice A menciona que se deberá presentar un documento que contenga, entre otros elementos, un programa y compromisos de calidad y descripción de procesos. </w:t>
            </w:r>
          </w:p>
          <w:p w14:paraId="796024CD"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7870BBE3" w14:textId="77777777" w:rsidR="009A3B1B"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¿Cómo serán evaluados dichos requisitos? ¿Se llevará a cabo una evaluación binaria sin ponderar el contenido?</w:t>
            </w:r>
          </w:p>
          <w:p w14:paraId="17E4F791" w14:textId="77777777" w:rsidR="00EF3BD7" w:rsidRPr="000B7F85" w:rsidRDefault="00EF3BD7" w:rsidP="009A3B1B">
            <w:pPr>
              <w:spacing w:after="0" w:line="240" w:lineRule="auto"/>
              <w:jc w:val="both"/>
              <w:rPr>
                <w:rFonts w:ascii="ITC Avant Garde" w:eastAsia="Times New Roman" w:hAnsi="ITC Avant Garde"/>
                <w:color w:val="000000"/>
                <w:sz w:val="20"/>
                <w:szCs w:val="20"/>
                <w:lang w:eastAsia="es-MX"/>
              </w:rPr>
            </w:pPr>
          </w:p>
        </w:tc>
      </w:tr>
      <w:tr w:rsidR="003D220F" w:rsidRPr="00F36A5D" w14:paraId="08494524" w14:textId="77777777" w:rsidTr="005F3F0A">
        <w:trPr>
          <w:trHeight w:val="290"/>
        </w:trPr>
        <w:tc>
          <w:tcPr>
            <w:tcW w:w="979" w:type="pct"/>
            <w:shd w:val="clear" w:color="auto" w:fill="auto"/>
            <w:vAlign w:val="center"/>
          </w:tcPr>
          <w:p w14:paraId="2A627F53" w14:textId="77777777" w:rsidR="003D220F" w:rsidRDefault="003D220F" w:rsidP="009A3B1B">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Numeral 6.4.1</w:t>
            </w:r>
          </w:p>
          <w:p w14:paraId="1FBB4A60" w14:textId="77777777" w:rsidR="005C48B7" w:rsidRDefault="005C48B7" w:rsidP="009A3B1B">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(penúltimo y último párrafos)</w:t>
            </w:r>
          </w:p>
        </w:tc>
        <w:tc>
          <w:tcPr>
            <w:tcW w:w="4021" w:type="pct"/>
            <w:shd w:val="clear" w:color="auto" w:fill="auto"/>
            <w:vAlign w:val="center"/>
          </w:tcPr>
          <w:p w14:paraId="6F2119B1" w14:textId="77777777" w:rsidR="003D220F" w:rsidRDefault="005C48B7"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Se sugiere </w:t>
            </w:r>
            <w:r w:rsidR="000817EB">
              <w:rPr>
                <w:rFonts w:ascii="ITC Avant Garde" w:eastAsia="Times New Roman" w:hAnsi="ITC Avant Garde"/>
                <w:color w:val="000000"/>
                <w:sz w:val="20"/>
                <w:szCs w:val="20"/>
                <w:lang w:eastAsia="es-MX"/>
              </w:rPr>
              <w:t>incluir al final del penúltimo párrafo que en caso de no cumplir las condiciones señaladas en el A</w:t>
            </w:r>
            <w:r w:rsidR="00952E94">
              <w:rPr>
                <w:rFonts w:ascii="ITC Avant Garde" w:eastAsia="Times New Roman" w:hAnsi="ITC Avant Garde"/>
                <w:color w:val="000000"/>
                <w:sz w:val="20"/>
                <w:szCs w:val="20"/>
                <w:lang w:eastAsia="es-MX"/>
              </w:rPr>
              <w:t>c</w:t>
            </w:r>
            <w:r w:rsidR="000817EB">
              <w:rPr>
                <w:rFonts w:ascii="ITC Avant Garde" w:eastAsia="Times New Roman" w:hAnsi="ITC Avant Garde"/>
                <w:color w:val="000000"/>
                <w:sz w:val="20"/>
                <w:szCs w:val="20"/>
                <w:lang w:eastAsia="es-MX"/>
              </w:rPr>
              <w:t>ta de Fallo</w:t>
            </w:r>
            <w:r w:rsidR="000817EB" w:rsidRPr="00E06BAC">
              <w:rPr>
                <w:rFonts w:ascii="ITC Avant Garde" w:eastAsia="Times New Roman" w:hAnsi="ITC Avant Garde"/>
                <w:color w:val="000000"/>
                <w:sz w:val="20"/>
                <w:szCs w:val="20"/>
                <w:lang w:eastAsia="es-MX"/>
              </w:rPr>
              <w:t>, en caso de existir,</w:t>
            </w:r>
            <w:r w:rsidR="000817EB">
              <w:rPr>
                <w:rFonts w:ascii="ITC Avant Garde" w:eastAsia="Times New Roman" w:hAnsi="ITC Avant Garde"/>
                <w:color w:val="000000"/>
                <w:sz w:val="20"/>
                <w:szCs w:val="20"/>
                <w:lang w:eastAsia="es-MX"/>
              </w:rPr>
              <w:t xml:space="preserve"> el Instituto declarará</w:t>
            </w:r>
            <w:r w:rsidR="000817EB" w:rsidRPr="00E06BAC">
              <w:rPr>
                <w:rFonts w:ascii="ITC Avant Garde" w:eastAsia="Times New Roman" w:hAnsi="ITC Avant Garde"/>
                <w:color w:val="000000"/>
                <w:sz w:val="20"/>
                <w:szCs w:val="20"/>
                <w:lang w:eastAsia="es-MX"/>
              </w:rPr>
              <w:t xml:space="preserve"> la </w:t>
            </w:r>
            <w:r w:rsidR="000817EB" w:rsidRPr="00E06BAC">
              <w:rPr>
                <w:rFonts w:ascii="ITC Avant Garde" w:eastAsia="Times New Roman" w:hAnsi="ITC Avant Garde"/>
                <w:color w:val="000000"/>
                <w:sz w:val="20"/>
                <w:szCs w:val="20"/>
                <w:lang w:eastAsia="es-MX"/>
              </w:rPr>
              <w:lastRenderedPageBreak/>
              <w:t>Oferta Subsecuente más Alta como Oferta Ganadora en los términos señalados en el Apéndice B.</w:t>
            </w:r>
          </w:p>
          <w:p w14:paraId="63E38CD1" w14:textId="77777777" w:rsidR="000817EB" w:rsidRDefault="000817EB" w:rsidP="009A3B1B">
            <w:pPr>
              <w:spacing w:after="0" w:line="240" w:lineRule="auto"/>
              <w:jc w:val="both"/>
              <w:rPr>
                <w:rFonts w:ascii="ITC Avant Garde" w:eastAsia="Times New Roman" w:hAnsi="ITC Avant Garde"/>
                <w:color w:val="000000"/>
                <w:sz w:val="20"/>
                <w:szCs w:val="20"/>
                <w:lang w:eastAsia="es-MX"/>
              </w:rPr>
            </w:pPr>
          </w:p>
          <w:p w14:paraId="2B9E0EF6" w14:textId="77777777" w:rsidR="000817EB" w:rsidRDefault="000817EB"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En este sentido, en el caso del último párrafo, los Participantes que no hayan presentado Oferta Ganadora no podrán perder “automáticamente” la calidad de Participantes, ya que existen diversos supuestos en los que sí podrán ser considerados como Participantes Ganadores: (i) en caso de que el Participante Ganador en primer lugar no cumpla con las obligaciones contenidas en el Acta de Fallo (pago y/o constitución de la sociedad mercantil en caso de Consorcio), o (ii) en caso de empate conforme lo previsto en el Apéndice B.</w:t>
            </w:r>
          </w:p>
          <w:p w14:paraId="69B0AF75" w14:textId="77777777" w:rsidR="0078130E" w:rsidRDefault="0078130E" w:rsidP="009A3B1B">
            <w:pPr>
              <w:spacing w:after="0" w:line="240" w:lineRule="auto"/>
              <w:jc w:val="both"/>
              <w:rPr>
                <w:rFonts w:ascii="ITC Avant Garde" w:eastAsia="Times New Roman" w:hAnsi="ITC Avant Garde"/>
                <w:color w:val="000000"/>
                <w:sz w:val="20"/>
                <w:szCs w:val="20"/>
                <w:lang w:eastAsia="es-MX"/>
              </w:rPr>
            </w:pPr>
          </w:p>
          <w:p w14:paraId="3A480F45" w14:textId="77777777" w:rsidR="0078130E" w:rsidRDefault="0078130E"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La pérdida de la calidad de Participante </w:t>
            </w:r>
            <w:r w:rsidRPr="0078130E">
              <w:rPr>
                <w:rFonts w:ascii="ITC Avant Garde" w:eastAsia="Times New Roman" w:hAnsi="ITC Avant Garde"/>
                <w:color w:val="000000"/>
                <w:sz w:val="20"/>
                <w:szCs w:val="20"/>
                <w:lang w:eastAsia="es-MX"/>
              </w:rPr>
              <w:t>deberá ocurrir únicament</w:t>
            </w:r>
            <w:r>
              <w:rPr>
                <w:rFonts w:ascii="ITC Avant Garde" w:eastAsia="Times New Roman" w:hAnsi="ITC Avant Garde"/>
                <w:color w:val="000000"/>
                <w:sz w:val="20"/>
                <w:szCs w:val="20"/>
                <w:lang w:eastAsia="es-MX"/>
              </w:rPr>
              <w:t>e en caso de que se otorgue la C</w:t>
            </w:r>
            <w:r w:rsidRPr="0078130E">
              <w:rPr>
                <w:rFonts w:ascii="ITC Avant Garde" w:eastAsia="Times New Roman" w:hAnsi="ITC Avant Garde"/>
                <w:color w:val="000000"/>
                <w:sz w:val="20"/>
                <w:szCs w:val="20"/>
                <w:lang w:eastAsia="es-MX"/>
              </w:rPr>
              <w:t xml:space="preserve">oncesión tras el </w:t>
            </w:r>
            <w:r w:rsidR="00952E94" w:rsidRPr="0078130E">
              <w:rPr>
                <w:rFonts w:ascii="ITC Avant Garde" w:eastAsia="Times New Roman" w:hAnsi="ITC Avant Garde"/>
                <w:color w:val="000000"/>
                <w:sz w:val="20"/>
                <w:szCs w:val="20"/>
                <w:lang w:eastAsia="es-MX"/>
              </w:rPr>
              <w:t>cumplimiento</w:t>
            </w:r>
            <w:r w:rsidRPr="0078130E">
              <w:rPr>
                <w:rFonts w:ascii="ITC Avant Garde" w:eastAsia="Times New Roman" w:hAnsi="ITC Avant Garde"/>
                <w:color w:val="000000"/>
                <w:sz w:val="20"/>
                <w:szCs w:val="20"/>
                <w:lang w:eastAsia="es-MX"/>
              </w:rPr>
              <w:t xml:space="preserve"> por parte del </w:t>
            </w:r>
            <w:r>
              <w:rPr>
                <w:rFonts w:ascii="ITC Avant Garde" w:eastAsia="Times New Roman" w:hAnsi="ITC Avant Garde"/>
                <w:color w:val="000000"/>
                <w:sz w:val="20"/>
                <w:szCs w:val="20"/>
                <w:lang w:eastAsia="es-MX"/>
              </w:rPr>
              <w:t>Participante G</w:t>
            </w:r>
            <w:r w:rsidRPr="0078130E">
              <w:rPr>
                <w:rFonts w:ascii="ITC Avant Garde" w:eastAsia="Times New Roman" w:hAnsi="ITC Avant Garde"/>
                <w:color w:val="000000"/>
                <w:sz w:val="20"/>
                <w:szCs w:val="20"/>
                <w:lang w:eastAsia="es-MX"/>
              </w:rPr>
              <w:t xml:space="preserve">anador de las obligaciones incluidas en el </w:t>
            </w:r>
            <w:r>
              <w:rPr>
                <w:rFonts w:ascii="ITC Avant Garde" w:eastAsia="Times New Roman" w:hAnsi="ITC Avant Garde"/>
                <w:color w:val="000000"/>
                <w:sz w:val="20"/>
                <w:szCs w:val="20"/>
                <w:lang w:eastAsia="es-MX"/>
              </w:rPr>
              <w:t>A</w:t>
            </w:r>
            <w:r w:rsidRPr="0078130E">
              <w:rPr>
                <w:rFonts w:ascii="ITC Avant Garde" w:eastAsia="Times New Roman" w:hAnsi="ITC Avant Garde"/>
                <w:color w:val="000000"/>
                <w:sz w:val="20"/>
                <w:szCs w:val="20"/>
                <w:lang w:eastAsia="es-MX"/>
              </w:rPr>
              <w:t xml:space="preserve">cta de </w:t>
            </w:r>
            <w:r>
              <w:rPr>
                <w:rFonts w:ascii="ITC Avant Garde" w:eastAsia="Times New Roman" w:hAnsi="ITC Avant Garde"/>
                <w:color w:val="000000"/>
                <w:sz w:val="20"/>
                <w:szCs w:val="20"/>
                <w:lang w:eastAsia="es-MX"/>
              </w:rPr>
              <w:t>F</w:t>
            </w:r>
            <w:r w:rsidRPr="0078130E">
              <w:rPr>
                <w:rFonts w:ascii="ITC Avant Garde" w:eastAsia="Times New Roman" w:hAnsi="ITC Avant Garde"/>
                <w:color w:val="000000"/>
                <w:sz w:val="20"/>
                <w:szCs w:val="20"/>
                <w:lang w:eastAsia="es-MX"/>
              </w:rPr>
              <w:t xml:space="preserve">allo en los términos del </w:t>
            </w:r>
            <w:r>
              <w:rPr>
                <w:rFonts w:ascii="ITC Avant Garde" w:eastAsia="Times New Roman" w:hAnsi="ITC Avant Garde"/>
                <w:color w:val="000000"/>
                <w:sz w:val="20"/>
                <w:szCs w:val="20"/>
                <w:lang w:eastAsia="es-MX"/>
              </w:rPr>
              <w:t>N</w:t>
            </w:r>
            <w:r w:rsidRPr="0078130E">
              <w:rPr>
                <w:rFonts w:ascii="ITC Avant Garde" w:eastAsia="Times New Roman" w:hAnsi="ITC Avant Garde"/>
                <w:color w:val="000000"/>
                <w:sz w:val="20"/>
                <w:szCs w:val="20"/>
                <w:lang w:eastAsia="es-MX"/>
              </w:rPr>
              <w:t>umeral 6.4.4.</w:t>
            </w:r>
          </w:p>
          <w:p w14:paraId="797E95E4" w14:textId="77777777" w:rsidR="000817EB" w:rsidRPr="000B7F85" w:rsidRDefault="000817EB" w:rsidP="009A3B1B">
            <w:pPr>
              <w:spacing w:after="0" w:line="240" w:lineRule="auto"/>
              <w:jc w:val="both"/>
              <w:rPr>
                <w:rFonts w:ascii="ITC Avant Garde" w:eastAsia="Times New Roman" w:hAnsi="ITC Avant Garde"/>
                <w:color w:val="000000"/>
                <w:sz w:val="20"/>
                <w:szCs w:val="20"/>
                <w:lang w:eastAsia="es-MX"/>
              </w:rPr>
            </w:pPr>
          </w:p>
        </w:tc>
      </w:tr>
      <w:tr w:rsidR="009A3B1B" w:rsidRPr="00F36A5D" w14:paraId="3ED02A46" w14:textId="77777777" w:rsidTr="005F3F0A">
        <w:trPr>
          <w:trHeight w:val="290"/>
        </w:trPr>
        <w:tc>
          <w:tcPr>
            <w:tcW w:w="979" w:type="pct"/>
            <w:shd w:val="clear" w:color="auto" w:fill="auto"/>
            <w:vAlign w:val="center"/>
          </w:tcPr>
          <w:p w14:paraId="7DEE2C8C" w14:textId="77777777" w:rsidR="009A3B1B" w:rsidRPr="000B7F85" w:rsidRDefault="009A3B1B" w:rsidP="009A3B1B">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Numeral</w:t>
            </w:r>
            <w:r w:rsidRPr="000B7F85">
              <w:rPr>
                <w:rFonts w:ascii="ITC Avant Garde" w:eastAsia="Times New Roman" w:hAnsi="ITC Avant Garde"/>
                <w:color w:val="000000"/>
                <w:sz w:val="20"/>
                <w:szCs w:val="20"/>
                <w:lang w:eastAsia="es-MX"/>
              </w:rPr>
              <w:t xml:space="preserve"> 6.4.3</w:t>
            </w:r>
          </w:p>
        </w:tc>
        <w:tc>
          <w:tcPr>
            <w:tcW w:w="4021" w:type="pct"/>
            <w:shd w:val="clear" w:color="auto" w:fill="auto"/>
            <w:vAlign w:val="center"/>
          </w:tcPr>
          <w:p w14:paraId="352FF916"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El último párrafo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6.4.3, establece que el Participante Ganador que no lleve a cabo el pago y acreditación correspondiente conforme a lo señalado en el presente numeral</w:t>
            </w:r>
            <w:r w:rsidR="00A27BAA">
              <w:rPr>
                <w:rFonts w:ascii="ITC Avant Garde" w:eastAsia="Times New Roman" w:hAnsi="ITC Avant Garde"/>
                <w:color w:val="000000"/>
                <w:sz w:val="20"/>
                <w:szCs w:val="20"/>
                <w:lang w:eastAsia="es-MX"/>
              </w:rPr>
              <w:t>: (i)</w:t>
            </w:r>
            <w:r w:rsidRPr="000B7F85">
              <w:rPr>
                <w:rFonts w:ascii="ITC Avant Garde" w:eastAsia="Times New Roman" w:hAnsi="ITC Avant Garde"/>
                <w:color w:val="000000"/>
                <w:sz w:val="20"/>
                <w:szCs w:val="20"/>
                <w:lang w:eastAsia="es-MX"/>
              </w:rPr>
              <w:t xml:space="preserve"> será descalificado en</w:t>
            </w:r>
            <w:r w:rsidR="00A27BAA">
              <w:rPr>
                <w:rFonts w:ascii="ITC Avant Garde" w:eastAsia="Times New Roman" w:hAnsi="ITC Avant Garde"/>
                <w:color w:val="000000"/>
                <w:sz w:val="20"/>
                <w:szCs w:val="20"/>
                <w:lang w:eastAsia="es-MX"/>
              </w:rPr>
              <w:t xml:space="preserve"> términos de lo señalado en el N</w:t>
            </w:r>
            <w:r w:rsidRPr="000B7F85">
              <w:rPr>
                <w:rFonts w:ascii="ITC Avant Garde" w:eastAsia="Times New Roman" w:hAnsi="ITC Avant Garde"/>
                <w:color w:val="000000"/>
                <w:sz w:val="20"/>
                <w:szCs w:val="20"/>
                <w:lang w:eastAsia="es-MX"/>
              </w:rPr>
              <w:t>umeral 12.2 fracción x</w:t>
            </w:r>
            <w:r w:rsidR="00A27BAA">
              <w:rPr>
                <w:rFonts w:ascii="ITC Avant Garde" w:eastAsia="Times New Roman" w:hAnsi="ITC Avant Garde"/>
                <w:color w:val="000000"/>
                <w:sz w:val="20"/>
                <w:szCs w:val="20"/>
                <w:lang w:eastAsia="es-MX"/>
              </w:rPr>
              <w:t xml:space="preserve"> de las Bases, y (ii) </w:t>
            </w:r>
            <w:r w:rsidRPr="000B7F85">
              <w:rPr>
                <w:rFonts w:ascii="ITC Avant Garde" w:eastAsia="Times New Roman" w:hAnsi="ITC Avant Garde"/>
                <w:color w:val="000000"/>
                <w:sz w:val="20"/>
                <w:szCs w:val="20"/>
                <w:lang w:eastAsia="es-MX"/>
              </w:rPr>
              <w:t>que dicho Bloque será declarado desiert</w:t>
            </w:r>
            <w:r w:rsidR="00A27BAA">
              <w:rPr>
                <w:rFonts w:ascii="ITC Avant Garde" w:eastAsia="Times New Roman" w:hAnsi="ITC Avant Garde"/>
                <w:color w:val="000000"/>
                <w:sz w:val="20"/>
                <w:szCs w:val="20"/>
                <w:lang w:eastAsia="es-MX"/>
              </w:rPr>
              <w:t>o conforme a lo señalado en el N</w:t>
            </w:r>
            <w:r w:rsidRPr="000B7F85">
              <w:rPr>
                <w:rFonts w:ascii="ITC Avant Garde" w:eastAsia="Times New Roman" w:hAnsi="ITC Avant Garde"/>
                <w:color w:val="000000"/>
                <w:sz w:val="20"/>
                <w:szCs w:val="20"/>
                <w:lang w:eastAsia="es-MX"/>
              </w:rPr>
              <w:t xml:space="preserve">umeral 13.1 o 13.2 de las </w:t>
            </w:r>
            <w:r w:rsidR="00A27BAA">
              <w:rPr>
                <w:rFonts w:ascii="ITC Avant Garde" w:eastAsia="Times New Roman" w:hAnsi="ITC Avant Garde"/>
                <w:color w:val="000000"/>
                <w:sz w:val="20"/>
                <w:szCs w:val="20"/>
                <w:lang w:eastAsia="es-MX"/>
              </w:rPr>
              <w:t>Bases</w:t>
            </w:r>
            <w:r w:rsidRPr="000B7F85">
              <w:rPr>
                <w:rFonts w:ascii="ITC Avant Garde" w:eastAsia="Times New Roman" w:hAnsi="ITC Avant Garde"/>
                <w:color w:val="000000"/>
                <w:sz w:val="20"/>
                <w:szCs w:val="20"/>
                <w:lang w:eastAsia="es-MX"/>
              </w:rPr>
              <w:t>, según sea el caso.</w:t>
            </w:r>
          </w:p>
          <w:p w14:paraId="0C738F25"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4847433A"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Sugerimos, que se modifique la redacción del último párrafo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6.4.3, pues en caso de que el Participante Ganador no lleve a cabo el pago y acreditación correspondiente, la Oferta Subsecuente más Alta, respecto del Bloque en cuestión, tiene derecho a ser declarada como Oferta Ganadora de dicho Bloque. </w:t>
            </w:r>
          </w:p>
          <w:p w14:paraId="70EAD82A"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7C73CA20"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Por lo anterior proponemos la siguiente redacción:</w:t>
            </w:r>
          </w:p>
          <w:p w14:paraId="011E2C08"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7D8BF2DD" w14:textId="77777777" w:rsidR="009A3B1B" w:rsidRPr="00A27BAA" w:rsidRDefault="009A3B1B" w:rsidP="00E06BAC">
            <w:pPr>
              <w:spacing w:after="0" w:line="240" w:lineRule="auto"/>
              <w:ind w:left="384"/>
              <w:jc w:val="both"/>
              <w:rPr>
                <w:rFonts w:ascii="ITC Avant Garde" w:eastAsia="Times New Roman" w:hAnsi="ITC Avant Garde"/>
                <w:i/>
                <w:color w:val="000000"/>
                <w:sz w:val="20"/>
                <w:szCs w:val="20"/>
                <w:lang w:eastAsia="es-MX"/>
              </w:rPr>
            </w:pPr>
            <w:r w:rsidRPr="000B7F85">
              <w:rPr>
                <w:rFonts w:ascii="ITC Avant Garde" w:eastAsia="Times New Roman" w:hAnsi="ITC Avant Garde"/>
                <w:color w:val="000000"/>
                <w:sz w:val="20"/>
                <w:szCs w:val="20"/>
                <w:lang w:eastAsia="es-MX"/>
              </w:rPr>
              <w:t>“</w:t>
            </w:r>
            <w:r w:rsidRPr="00A27BAA">
              <w:rPr>
                <w:rFonts w:ascii="ITC Avant Garde" w:eastAsia="Times New Roman" w:hAnsi="ITC Avant Garde"/>
                <w:i/>
                <w:color w:val="000000"/>
                <w:sz w:val="20"/>
                <w:szCs w:val="20"/>
                <w:lang w:eastAsia="es-MX"/>
              </w:rPr>
              <w:t xml:space="preserve">Es de señalarse que el Participante Ganador que no lleve a cabo el pago y acreditación correspondiente conforme a lo señalado en el presente numeral, será descalificado en términos de lo señalado en el numeral 12.2 fracción x de las presentes </w:t>
            </w:r>
            <w:r w:rsidR="00A27BAA">
              <w:rPr>
                <w:rFonts w:ascii="ITC Avant Garde" w:eastAsia="Times New Roman" w:hAnsi="ITC Avant Garde"/>
                <w:i/>
                <w:color w:val="000000"/>
                <w:sz w:val="20"/>
                <w:szCs w:val="20"/>
                <w:lang w:eastAsia="es-MX"/>
              </w:rPr>
              <w:t>Bases</w:t>
            </w:r>
            <w:r w:rsidRPr="00A27BAA">
              <w:rPr>
                <w:rFonts w:ascii="ITC Avant Garde" w:eastAsia="Times New Roman" w:hAnsi="ITC Avant Garde"/>
                <w:i/>
                <w:color w:val="000000"/>
                <w:sz w:val="20"/>
                <w:szCs w:val="20"/>
                <w:lang w:eastAsia="es-MX"/>
              </w:rPr>
              <w:t>. Por consiguiente,</w:t>
            </w:r>
            <w:r w:rsidR="00A27BAA">
              <w:rPr>
                <w:rFonts w:ascii="ITC Avant Garde" w:eastAsia="Times New Roman" w:hAnsi="ITC Avant Garde"/>
                <w:i/>
                <w:color w:val="000000"/>
                <w:sz w:val="20"/>
                <w:szCs w:val="20"/>
                <w:lang w:eastAsia="es-MX"/>
              </w:rPr>
              <w:t xml:space="preserve"> en caso de existir,</w:t>
            </w:r>
            <w:r w:rsidRPr="00A27BAA">
              <w:rPr>
                <w:rFonts w:ascii="ITC Avant Garde" w:eastAsia="Times New Roman" w:hAnsi="ITC Avant Garde"/>
                <w:i/>
                <w:color w:val="000000"/>
                <w:sz w:val="20"/>
                <w:szCs w:val="20"/>
                <w:lang w:eastAsia="es-MX"/>
              </w:rPr>
              <w:t xml:space="preserve"> la Oferta Subsecuente más Alta </w:t>
            </w:r>
            <w:r w:rsidR="0093012D">
              <w:rPr>
                <w:rFonts w:ascii="ITC Avant Garde" w:eastAsia="Times New Roman" w:hAnsi="ITC Avant Garde"/>
                <w:i/>
                <w:color w:val="000000"/>
                <w:sz w:val="20"/>
                <w:szCs w:val="20"/>
                <w:lang w:eastAsia="es-MX"/>
              </w:rPr>
              <w:t xml:space="preserve">de ese Bloque </w:t>
            </w:r>
            <w:r w:rsidRPr="00A27BAA">
              <w:rPr>
                <w:rFonts w:ascii="ITC Avant Garde" w:eastAsia="Times New Roman" w:hAnsi="ITC Avant Garde"/>
                <w:i/>
                <w:color w:val="000000"/>
                <w:sz w:val="20"/>
                <w:szCs w:val="20"/>
                <w:lang w:eastAsia="es-MX"/>
              </w:rPr>
              <w:t>será declarada como Oferta Ganadora</w:t>
            </w:r>
            <w:r w:rsidR="00A27BAA">
              <w:rPr>
                <w:rFonts w:ascii="ITC Avant Garde" w:eastAsia="Times New Roman" w:hAnsi="ITC Avant Garde"/>
                <w:i/>
                <w:color w:val="000000"/>
                <w:sz w:val="20"/>
                <w:szCs w:val="20"/>
                <w:lang w:eastAsia="es-MX"/>
              </w:rPr>
              <w:t xml:space="preserve"> </w:t>
            </w:r>
            <w:r w:rsidR="003A68F1">
              <w:rPr>
                <w:rFonts w:ascii="ITC Avant Garde" w:eastAsia="Times New Roman" w:hAnsi="ITC Avant Garde"/>
                <w:i/>
                <w:color w:val="000000"/>
                <w:sz w:val="20"/>
                <w:szCs w:val="20"/>
                <w:lang w:eastAsia="es-MX"/>
              </w:rPr>
              <w:t xml:space="preserve">y el Participante como Participante Ganador </w:t>
            </w:r>
            <w:r w:rsidR="00A27BAA">
              <w:rPr>
                <w:rFonts w:ascii="ITC Avant Garde" w:eastAsia="Times New Roman" w:hAnsi="ITC Avant Garde"/>
                <w:i/>
                <w:color w:val="000000"/>
                <w:sz w:val="20"/>
                <w:szCs w:val="20"/>
                <w:lang w:eastAsia="es-MX"/>
              </w:rPr>
              <w:t>en los términos señalados en el Apéndice B</w:t>
            </w:r>
            <w:r w:rsidRPr="00A27BAA">
              <w:rPr>
                <w:rFonts w:ascii="ITC Avant Garde" w:eastAsia="Times New Roman" w:hAnsi="ITC Avant Garde"/>
                <w:i/>
                <w:color w:val="000000"/>
                <w:sz w:val="20"/>
                <w:szCs w:val="20"/>
                <w:lang w:eastAsia="es-MX"/>
              </w:rPr>
              <w:t>.</w:t>
            </w:r>
          </w:p>
          <w:p w14:paraId="7CF0FED2" w14:textId="77777777" w:rsidR="009A3B1B" w:rsidRPr="00A27BAA" w:rsidRDefault="009A3B1B" w:rsidP="00E06BAC">
            <w:pPr>
              <w:spacing w:after="0" w:line="240" w:lineRule="auto"/>
              <w:ind w:left="384"/>
              <w:jc w:val="both"/>
              <w:rPr>
                <w:rFonts w:ascii="ITC Avant Garde" w:eastAsia="Times New Roman" w:hAnsi="ITC Avant Garde"/>
                <w:i/>
                <w:color w:val="000000"/>
                <w:sz w:val="20"/>
                <w:szCs w:val="20"/>
                <w:lang w:eastAsia="es-MX"/>
              </w:rPr>
            </w:pPr>
          </w:p>
          <w:p w14:paraId="446CB14E" w14:textId="77777777" w:rsidR="009A3B1B" w:rsidRPr="00A27BAA" w:rsidRDefault="00A27BAA" w:rsidP="00E06BAC">
            <w:pPr>
              <w:spacing w:after="0" w:line="240" w:lineRule="auto"/>
              <w:ind w:left="384"/>
              <w:jc w:val="both"/>
              <w:rPr>
                <w:rFonts w:ascii="ITC Avant Garde" w:hAnsi="ITC Avant Garde"/>
                <w:i/>
                <w:sz w:val="20"/>
                <w:szCs w:val="20"/>
              </w:rPr>
            </w:pPr>
            <w:r>
              <w:rPr>
                <w:rFonts w:ascii="ITC Avant Garde" w:hAnsi="ITC Avant Garde"/>
                <w:i/>
                <w:sz w:val="20"/>
                <w:szCs w:val="20"/>
              </w:rPr>
              <w:t>E</w:t>
            </w:r>
            <w:r w:rsidR="009A3B1B" w:rsidRPr="00A27BAA">
              <w:rPr>
                <w:rFonts w:ascii="ITC Avant Garde" w:hAnsi="ITC Avant Garde"/>
                <w:i/>
                <w:sz w:val="20"/>
                <w:szCs w:val="20"/>
              </w:rPr>
              <w:t xml:space="preserve">n caso de no encontrarse Oferta </w:t>
            </w:r>
            <w:r w:rsidR="009A3B1B" w:rsidRPr="00A27BAA">
              <w:rPr>
                <w:rFonts w:ascii="ITC Avant Garde" w:eastAsia="Times New Roman" w:hAnsi="ITC Avant Garde"/>
                <w:i/>
                <w:color w:val="000000"/>
                <w:sz w:val="20"/>
                <w:szCs w:val="20"/>
                <w:lang w:eastAsia="es-MX"/>
              </w:rPr>
              <w:t>Subsecuente más Alta</w:t>
            </w:r>
            <w:r w:rsidR="009A3B1B" w:rsidRPr="00A27BAA">
              <w:rPr>
                <w:rFonts w:ascii="ITC Avant Garde" w:hAnsi="ITC Avant Garde"/>
                <w:i/>
                <w:sz w:val="20"/>
                <w:szCs w:val="20"/>
              </w:rPr>
              <w:t xml:space="preserve"> para ese Bloque específico y en consecuencia, no se pueda obtener una Oferta Ganadora</w:t>
            </w:r>
            <w:r w:rsidR="0093012D">
              <w:rPr>
                <w:rFonts w:ascii="ITC Avant Garde" w:hAnsi="ITC Avant Garde"/>
                <w:i/>
                <w:sz w:val="20"/>
                <w:szCs w:val="20"/>
              </w:rPr>
              <w:t xml:space="preserve"> para ese Bloque específico</w:t>
            </w:r>
            <w:r w:rsidR="009A3B1B" w:rsidRPr="00A27BAA">
              <w:rPr>
                <w:rFonts w:ascii="ITC Avant Garde" w:hAnsi="ITC Avant Garde"/>
                <w:i/>
                <w:sz w:val="20"/>
                <w:szCs w:val="20"/>
              </w:rPr>
              <w:t>, éste será considerado como Bloque disponible</w:t>
            </w:r>
            <w:r>
              <w:rPr>
                <w:rFonts w:ascii="ITC Avant Garde" w:eastAsia="Times New Roman" w:hAnsi="ITC Avant Garde"/>
                <w:i/>
                <w:color w:val="000000"/>
                <w:sz w:val="20"/>
                <w:szCs w:val="20"/>
                <w:lang w:eastAsia="es-MX"/>
              </w:rPr>
              <w:t xml:space="preserve"> en los términos señalados en el Apéndice B</w:t>
            </w:r>
            <w:r w:rsidR="009A3B1B" w:rsidRPr="00A27BAA">
              <w:rPr>
                <w:rFonts w:ascii="ITC Avant Garde" w:hAnsi="ITC Avant Garde"/>
                <w:i/>
                <w:sz w:val="20"/>
                <w:szCs w:val="20"/>
              </w:rPr>
              <w:t xml:space="preserve">. </w:t>
            </w:r>
          </w:p>
          <w:p w14:paraId="18DAD049" w14:textId="77777777" w:rsidR="009A3B1B" w:rsidRPr="00A27BAA" w:rsidRDefault="009A3B1B" w:rsidP="00E06BAC">
            <w:pPr>
              <w:spacing w:after="0" w:line="240" w:lineRule="auto"/>
              <w:ind w:left="384"/>
              <w:jc w:val="both"/>
              <w:rPr>
                <w:rFonts w:ascii="ITC Avant Garde" w:hAnsi="ITC Avant Garde"/>
                <w:i/>
                <w:sz w:val="20"/>
                <w:szCs w:val="20"/>
              </w:rPr>
            </w:pPr>
          </w:p>
          <w:p w14:paraId="1D7536EB" w14:textId="77777777" w:rsidR="009A3B1B" w:rsidRPr="00A27BAA" w:rsidRDefault="009A3B1B" w:rsidP="00E06BAC">
            <w:pPr>
              <w:spacing w:after="0" w:line="240" w:lineRule="auto"/>
              <w:ind w:left="384"/>
              <w:jc w:val="both"/>
              <w:rPr>
                <w:rFonts w:ascii="ITC Avant Garde" w:hAnsi="ITC Avant Garde"/>
                <w:i/>
                <w:sz w:val="20"/>
                <w:szCs w:val="20"/>
              </w:rPr>
            </w:pPr>
            <w:r w:rsidRPr="00A27BAA">
              <w:rPr>
                <w:rFonts w:ascii="ITC Avant Garde" w:hAnsi="ITC Avant Garde"/>
                <w:i/>
                <w:sz w:val="20"/>
                <w:szCs w:val="20"/>
              </w:rPr>
              <w:t xml:space="preserve">A fin de obtener una Oferta Ganadora </w:t>
            </w:r>
            <w:r w:rsidR="003A68F1">
              <w:rPr>
                <w:rFonts w:ascii="ITC Avant Garde" w:hAnsi="ITC Avant Garde"/>
                <w:i/>
                <w:sz w:val="20"/>
                <w:szCs w:val="20"/>
              </w:rPr>
              <w:t xml:space="preserve">y consecuentemente un Participante Ganador </w:t>
            </w:r>
            <w:r w:rsidRPr="00A27BAA">
              <w:rPr>
                <w:rFonts w:ascii="ITC Avant Garde" w:hAnsi="ITC Avant Garde"/>
                <w:i/>
                <w:sz w:val="20"/>
                <w:szCs w:val="20"/>
              </w:rPr>
              <w:t>por el Bloque disponible, se tomará en cuenta la Oferta Subsecuente más Alta del otro Bloque, siempre y cuando se trate de un Bloque para el cual ya se haya determinado previamente una Oferta Ganadora</w:t>
            </w:r>
            <w:r w:rsidR="003A68F1">
              <w:rPr>
                <w:rFonts w:ascii="ITC Avant Garde" w:hAnsi="ITC Avant Garde"/>
                <w:i/>
                <w:sz w:val="20"/>
                <w:szCs w:val="20"/>
              </w:rPr>
              <w:t xml:space="preserve"> y Participante Ganador</w:t>
            </w:r>
            <w:r w:rsidR="00A8701F">
              <w:rPr>
                <w:rFonts w:ascii="ITC Avant Garde" w:hAnsi="ITC Avant Garde"/>
                <w:i/>
                <w:sz w:val="20"/>
                <w:szCs w:val="20"/>
              </w:rPr>
              <w:t xml:space="preserve">, </w:t>
            </w:r>
            <w:r w:rsidR="00A8701F">
              <w:rPr>
                <w:rFonts w:ascii="ITC Avant Garde" w:eastAsia="Times New Roman" w:hAnsi="ITC Avant Garde"/>
                <w:i/>
                <w:color w:val="000000"/>
                <w:sz w:val="20"/>
                <w:szCs w:val="20"/>
                <w:lang w:eastAsia="es-MX"/>
              </w:rPr>
              <w:t>en los términos señalados en el Apéndice B</w:t>
            </w:r>
            <w:r w:rsidRPr="00A27BAA">
              <w:rPr>
                <w:rFonts w:ascii="ITC Avant Garde" w:hAnsi="ITC Avant Garde"/>
                <w:i/>
                <w:sz w:val="20"/>
                <w:szCs w:val="20"/>
              </w:rPr>
              <w:t>.</w:t>
            </w:r>
          </w:p>
          <w:p w14:paraId="34C8AA44" w14:textId="77777777" w:rsidR="009A3B1B" w:rsidRPr="00A27BAA" w:rsidRDefault="009A3B1B" w:rsidP="00E06BAC">
            <w:pPr>
              <w:spacing w:after="0" w:line="240" w:lineRule="auto"/>
              <w:ind w:left="384"/>
              <w:jc w:val="both"/>
              <w:rPr>
                <w:rFonts w:ascii="ITC Avant Garde" w:eastAsia="Times New Roman" w:hAnsi="ITC Avant Garde"/>
                <w:i/>
                <w:color w:val="000000"/>
                <w:sz w:val="20"/>
                <w:szCs w:val="20"/>
                <w:lang w:eastAsia="es-MX"/>
              </w:rPr>
            </w:pPr>
          </w:p>
          <w:p w14:paraId="1138C4D4" w14:textId="77777777" w:rsidR="009A3B1B" w:rsidRPr="00A27BAA" w:rsidRDefault="00302E31" w:rsidP="00E06BAC">
            <w:pPr>
              <w:spacing w:after="0" w:line="240" w:lineRule="auto"/>
              <w:ind w:left="384"/>
              <w:jc w:val="both"/>
              <w:rPr>
                <w:rFonts w:ascii="ITC Avant Garde" w:eastAsia="Times New Roman" w:hAnsi="ITC Avant Garde"/>
                <w:i/>
                <w:color w:val="000000"/>
                <w:sz w:val="20"/>
                <w:szCs w:val="20"/>
                <w:lang w:eastAsia="es-MX"/>
              </w:rPr>
            </w:pPr>
            <w:r>
              <w:rPr>
                <w:rFonts w:ascii="ITC Avant Garde" w:eastAsia="Times New Roman" w:hAnsi="ITC Avant Garde"/>
                <w:i/>
                <w:color w:val="000000"/>
                <w:sz w:val="20"/>
                <w:szCs w:val="20"/>
                <w:lang w:eastAsia="es-MX"/>
              </w:rPr>
              <w:lastRenderedPageBreak/>
              <w:t>Únicamente e</w:t>
            </w:r>
            <w:r w:rsidR="009A3B1B" w:rsidRPr="00A27BAA">
              <w:rPr>
                <w:rFonts w:ascii="ITC Avant Garde" w:eastAsia="Times New Roman" w:hAnsi="ITC Avant Garde"/>
                <w:i/>
                <w:color w:val="000000"/>
                <w:sz w:val="20"/>
                <w:szCs w:val="20"/>
                <w:lang w:eastAsia="es-MX"/>
              </w:rPr>
              <w:t xml:space="preserve">n </w:t>
            </w:r>
            <w:r>
              <w:rPr>
                <w:rFonts w:ascii="ITC Avant Garde" w:eastAsia="Times New Roman" w:hAnsi="ITC Avant Garde"/>
                <w:i/>
                <w:color w:val="000000"/>
                <w:sz w:val="20"/>
                <w:szCs w:val="20"/>
                <w:lang w:eastAsia="es-MX"/>
              </w:rPr>
              <w:t xml:space="preserve">el </w:t>
            </w:r>
            <w:r w:rsidR="009A3B1B" w:rsidRPr="00A27BAA">
              <w:rPr>
                <w:rFonts w:ascii="ITC Avant Garde" w:eastAsia="Times New Roman" w:hAnsi="ITC Avant Garde"/>
                <w:i/>
                <w:color w:val="000000"/>
                <w:sz w:val="20"/>
                <w:szCs w:val="20"/>
                <w:lang w:eastAsia="es-MX"/>
              </w:rPr>
              <w:t>caso de que no pueda aplicarse ninguno de los supuestos previamente descritos</w:t>
            </w:r>
            <w:r w:rsidR="003A68F1">
              <w:rPr>
                <w:rFonts w:ascii="ITC Avant Garde" w:eastAsia="Times New Roman" w:hAnsi="ITC Avant Garde"/>
                <w:i/>
                <w:color w:val="000000"/>
                <w:sz w:val="20"/>
                <w:szCs w:val="20"/>
                <w:lang w:eastAsia="es-MX"/>
              </w:rPr>
              <w:t xml:space="preserve"> y no exista Participante Ganador alguno</w:t>
            </w:r>
            <w:r w:rsidR="009A3B1B" w:rsidRPr="00A27BAA">
              <w:rPr>
                <w:rFonts w:ascii="ITC Avant Garde" w:eastAsia="Times New Roman" w:hAnsi="ITC Avant Garde"/>
                <w:i/>
                <w:color w:val="000000"/>
                <w:sz w:val="20"/>
                <w:szCs w:val="20"/>
                <w:lang w:eastAsia="es-MX"/>
              </w:rPr>
              <w:t xml:space="preserve">, dicho Bloque será declarado desierto conforme a lo señalado en el numeral 13.1 </w:t>
            </w:r>
            <w:r>
              <w:rPr>
                <w:rFonts w:ascii="ITC Avant Garde" w:eastAsia="Times New Roman" w:hAnsi="ITC Avant Garde"/>
                <w:i/>
                <w:color w:val="000000"/>
                <w:sz w:val="20"/>
                <w:szCs w:val="20"/>
                <w:lang w:eastAsia="es-MX"/>
              </w:rPr>
              <w:t>ó</w:t>
            </w:r>
            <w:r w:rsidR="009A3B1B" w:rsidRPr="00A27BAA">
              <w:rPr>
                <w:rFonts w:ascii="ITC Avant Garde" w:eastAsia="Times New Roman" w:hAnsi="ITC Avant Garde"/>
                <w:i/>
                <w:color w:val="000000"/>
                <w:sz w:val="20"/>
                <w:szCs w:val="20"/>
                <w:lang w:eastAsia="es-MX"/>
              </w:rPr>
              <w:t xml:space="preserve"> 13.2 de las presentes </w:t>
            </w:r>
            <w:r w:rsidR="00A8701F">
              <w:rPr>
                <w:rFonts w:ascii="ITC Avant Garde" w:eastAsia="Times New Roman" w:hAnsi="ITC Avant Garde"/>
                <w:i/>
                <w:color w:val="000000"/>
                <w:sz w:val="20"/>
                <w:szCs w:val="20"/>
                <w:lang w:eastAsia="es-MX"/>
              </w:rPr>
              <w:t>Bases</w:t>
            </w:r>
            <w:r w:rsidR="009A3B1B" w:rsidRPr="00A27BAA">
              <w:rPr>
                <w:rFonts w:ascii="ITC Avant Garde" w:eastAsia="Times New Roman" w:hAnsi="ITC Avant Garde"/>
                <w:i/>
                <w:color w:val="000000"/>
                <w:sz w:val="20"/>
                <w:szCs w:val="20"/>
                <w:lang w:eastAsia="es-MX"/>
              </w:rPr>
              <w:t>, según sea el caso</w:t>
            </w:r>
            <w:r w:rsidR="003A68F1">
              <w:rPr>
                <w:rFonts w:ascii="ITC Avant Garde" w:eastAsia="Times New Roman" w:hAnsi="ITC Avant Garde"/>
                <w:i/>
                <w:color w:val="000000"/>
                <w:sz w:val="20"/>
                <w:szCs w:val="20"/>
                <w:lang w:eastAsia="es-MX"/>
              </w:rPr>
              <w:t xml:space="preserve"> y los demás Participantes dejarán de tener dicha calidad</w:t>
            </w:r>
            <w:r w:rsidR="009A3B1B" w:rsidRPr="00A27BAA">
              <w:rPr>
                <w:rFonts w:ascii="ITC Avant Garde" w:eastAsia="Times New Roman" w:hAnsi="ITC Avant Garde"/>
                <w:i/>
                <w:color w:val="000000"/>
                <w:sz w:val="20"/>
                <w:szCs w:val="20"/>
                <w:lang w:eastAsia="es-MX"/>
              </w:rPr>
              <w:t>.</w:t>
            </w:r>
            <w:r w:rsidR="00A27BAA" w:rsidRPr="00A27BAA">
              <w:rPr>
                <w:rFonts w:ascii="ITC Avant Garde" w:eastAsia="Times New Roman" w:hAnsi="ITC Avant Garde"/>
                <w:color w:val="000000"/>
                <w:sz w:val="20"/>
                <w:szCs w:val="20"/>
                <w:lang w:eastAsia="es-MX"/>
              </w:rPr>
              <w:t>”</w:t>
            </w:r>
          </w:p>
          <w:p w14:paraId="49E3AF7D"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tc>
      </w:tr>
      <w:tr w:rsidR="003D220F" w:rsidRPr="00F36A5D" w14:paraId="64968CC3" w14:textId="77777777" w:rsidTr="005F3F0A">
        <w:trPr>
          <w:trHeight w:val="290"/>
        </w:trPr>
        <w:tc>
          <w:tcPr>
            <w:tcW w:w="979" w:type="pct"/>
            <w:shd w:val="clear" w:color="auto" w:fill="auto"/>
            <w:vAlign w:val="center"/>
          </w:tcPr>
          <w:p w14:paraId="52F28D6E" w14:textId="77777777" w:rsidR="003D220F" w:rsidRDefault="003D220F" w:rsidP="00377E5B">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Numer</w:t>
            </w:r>
            <w:r w:rsidR="00F03BCA">
              <w:rPr>
                <w:rFonts w:ascii="ITC Avant Garde" w:eastAsia="Times New Roman" w:hAnsi="ITC Avant Garde"/>
                <w:color w:val="000000"/>
                <w:sz w:val="20"/>
                <w:szCs w:val="20"/>
                <w:lang w:eastAsia="es-MX"/>
              </w:rPr>
              <w:t>al 8.2</w:t>
            </w:r>
          </w:p>
          <w:p w14:paraId="3E28922C" w14:textId="77777777" w:rsidR="0093012D" w:rsidRPr="00377E5B" w:rsidRDefault="0093012D" w:rsidP="0093012D">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(segundo párrafo)</w:t>
            </w:r>
          </w:p>
        </w:tc>
        <w:tc>
          <w:tcPr>
            <w:tcW w:w="4021" w:type="pct"/>
            <w:shd w:val="clear" w:color="auto" w:fill="auto"/>
            <w:vAlign w:val="center"/>
          </w:tcPr>
          <w:p w14:paraId="357C7A53" w14:textId="77777777" w:rsidR="003D220F" w:rsidRDefault="0093012D" w:rsidP="009A3B1B">
            <w:pPr>
              <w:spacing w:after="0" w:line="240" w:lineRule="auto"/>
              <w:jc w:val="both"/>
              <w:rPr>
                <w:rFonts w:ascii="ITC Avant Garde" w:eastAsia="Times New Roman" w:hAnsi="ITC Avant Garde"/>
                <w:color w:val="000000"/>
                <w:sz w:val="20"/>
                <w:szCs w:val="20"/>
                <w:lang w:eastAsia="es-MX"/>
              </w:rPr>
            </w:pPr>
            <w:r w:rsidRPr="00E06BAC">
              <w:rPr>
                <w:rFonts w:ascii="ITC Avant Garde" w:eastAsia="Times New Roman" w:hAnsi="ITC Avant Garde"/>
                <w:color w:val="000000"/>
                <w:sz w:val="20"/>
                <w:szCs w:val="20"/>
                <w:lang w:eastAsia="es-MX"/>
              </w:rPr>
              <w:t xml:space="preserve">En referencia con el segundo párrafo de este Numeral, se reitera la necesidad de definir claramente el concepto </w:t>
            </w:r>
            <w:r w:rsidR="00F03BCA" w:rsidRPr="0093012D">
              <w:rPr>
                <w:rFonts w:ascii="ITC Avant Garde" w:eastAsia="Times New Roman" w:hAnsi="ITC Avant Garde"/>
                <w:color w:val="000000"/>
                <w:sz w:val="20"/>
                <w:szCs w:val="20"/>
                <w:lang w:eastAsia="es-MX"/>
              </w:rPr>
              <w:t xml:space="preserve">de Vínculo </w:t>
            </w:r>
            <w:r w:rsidRPr="00E06BAC">
              <w:rPr>
                <w:rFonts w:ascii="ITC Avant Garde" w:eastAsia="Times New Roman" w:hAnsi="ITC Avant Garde"/>
                <w:color w:val="000000"/>
                <w:sz w:val="20"/>
                <w:szCs w:val="20"/>
                <w:lang w:eastAsia="es-MX"/>
              </w:rPr>
              <w:t>para que puede tener un sentido y propósito específico en este Numeral</w:t>
            </w:r>
            <w:r w:rsidR="00F03BCA" w:rsidRPr="0093012D">
              <w:rPr>
                <w:rFonts w:ascii="ITC Avant Garde" w:eastAsia="Times New Roman" w:hAnsi="ITC Avant Garde"/>
                <w:color w:val="000000"/>
                <w:sz w:val="20"/>
                <w:szCs w:val="20"/>
                <w:lang w:eastAsia="es-MX"/>
              </w:rPr>
              <w:t>.</w:t>
            </w:r>
          </w:p>
          <w:p w14:paraId="036DA1EA" w14:textId="77777777" w:rsidR="0093012D" w:rsidRDefault="0093012D" w:rsidP="009A3B1B">
            <w:pPr>
              <w:spacing w:after="0" w:line="240" w:lineRule="auto"/>
              <w:jc w:val="both"/>
              <w:rPr>
                <w:rFonts w:ascii="ITC Avant Garde" w:eastAsia="Times New Roman" w:hAnsi="ITC Avant Garde"/>
                <w:color w:val="000000"/>
                <w:sz w:val="20"/>
                <w:szCs w:val="20"/>
                <w:lang w:eastAsia="es-MX"/>
              </w:rPr>
            </w:pPr>
          </w:p>
          <w:p w14:paraId="1FE946BB" w14:textId="77777777" w:rsidR="0093012D" w:rsidRDefault="0093012D"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Asimismo, sugerimos incluir el siguiente párrafo:</w:t>
            </w:r>
          </w:p>
          <w:p w14:paraId="534B3AAA" w14:textId="77777777" w:rsidR="0093012D" w:rsidRDefault="0093012D" w:rsidP="009A3B1B">
            <w:pPr>
              <w:spacing w:after="0" w:line="240" w:lineRule="auto"/>
              <w:jc w:val="both"/>
              <w:rPr>
                <w:rFonts w:ascii="ITC Avant Garde" w:eastAsia="Times New Roman" w:hAnsi="ITC Avant Garde"/>
                <w:color w:val="000000"/>
                <w:sz w:val="20"/>
                <w:szCs w:val="20"/>
                <w:lang w:eastAsia="es-MX"/>
              </w:rPr>
            </w:pPr>
          </w:p>
          <w:p w14:paraId="08167795" w14:textId="77777777" w:rsidR="0093012D" w:rsidRDefault="0093012D" w:rsidP="00E06BAC">
            <w:pPr>
              <w:spacing w:after="0" w:line="240" w:lineRule="auto"/>
              <w:ind w:left="384"/>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w:t>
            </w:r>
            <w:r w:rsidRPr="00E06BAC">
              <w:rPr>
                <w:rFonts w:ascii="ITC Avant Garde" w:eastAsia="Times New Roman" w:hAnsi="ITC Avant Garde"/>
                <w:i/>
                <w:color w:val="000000"/>
                <w:sz w:val="20"/>
                <w:szCs w:val="20"/>
                <w:lang w:eastAsia="es-MX"/>
              </w:rPr>
              <w:t>Tanto el Autorizado que adquiera la condición de Participante como el Participante que tenga Vínculos, de hecho o de derecho, de manera directa o indirecta, con un Autorizado, deberán presentar su Oferta por el Bloque de espectro pareado de 10+10 MHz que esté asociado al Sistema Satelital del Autorizado en cuestión</w:t>
            </w:r>
            <w:r>
              <w:rPr>
                <w:rFonts w:ascii="ITC Avant Garde" w:eastAsia="Times New Roman" w:hAnsi="ITC Avant Garde"/>
                <w:i/>
                <w:color w:val="000000"/>
                <w:sz w:val="20"/>
                <w:szCs w:val="20"/>
                <w:lang w:eastAsia="es-MX"/>
              </w:rPr>
              <w:t>.</w:t>
            </w:r>
            <w:r w:rsidRPr="00E06BAC">
              <w:rPr>
                <w:rFonts w:ascii="ITC Avant Garde" w:eastAsia="Times New Roman" w:hAnsi="ITC Avant Garde"/>
                <w:color w:val="000000"/>
                <w:sz w:val="20"/>
                <w:szCs w:val="20"/>
                <w:lang w:eastAsia="es-MX"/>
              </w:rPr>
              <w:t>”</w:t>
            </w:r>
          </w:p>
          <w:p w14:paraId="60F65137" w14:textId="77777777" w:rsidR="00F03BCA" w:rsidRDefault="00F03BCA" w:rsidP="009A3B1B">
            <w:pPr>
              <w:spacing w:after="0" w:line="240" w:lineRule="auto"/>
              <w:jc w:val="both"/>
              <w:rPr>
                <w:rFonts w:ascii="ITC Avant Garde" w:eastAsia="Times New Roman" w:hAnsi="ITC Avant Garde"/>
                <w:color w:val="000000"/>
                <w:sz w:val="20"/>
                <w:szCs w:val="20"/>
                <w:lang w:eastAsia="es-MX"/>
              </w:rPr>
            </w:pPr>
          </w:p>
        </w:tc>
      </w:tr>
      <w:tr w:rsidR="002B5388" w:rsidRPr="00F36A5D" w14:paraId="1D6E8155" w14:textId="77777777" w:rsidTr="005F3F0A">
        <w:trPr>
          <w:trHeight w:val="290"/>
        </w:trPr>
        <w:tc>
          <w:tcPr>
            <w:tcW w:w="979" w:type="pct"/>
            <w:shd w:val="clear" w:color="auto" w:fill="auto"/>
            <w:vAlign w:val="center"/>
          </w:tcPr>
          <w:p w14:paraId="7EA2F040" w14:textId="77777777" w:rsidR="002B5388" w:rsidRPr="00377E5B" w:rsidRDefault="002B5388" w:rsidP="00377E5B">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Numeral</w:t>
            </w:r>
            <w:r w:rsidR="009547A3">
              <w:rPr>
                <w:rFonts w:ascii="ITC Avant Garde" w:eastAsia="Times New Roman" w:hAnsi="ITC Avant Garde"/>
                <w:color w:val="000000"/>
                <w:sz w:val="20"/>
                <w:szCs w:val="20"/>
                <w:lang w:eastAsia="es-MX"/>
              </w:rPr>
              <w:t>es</w:t>
            </w:r>
            <w:r>
              <w:rPr>
                <w:rFonts w:ascii="ITC Avant Garde" w:eastAsia="Times New Roman" w:hAnsi="ITC Avant Garde"/>
                <w:color w:val="000000"/>
                <w:sz w:val="20"/>
                <w:szCs w:val="20"/>
                <w:lang w:eastAsia="es-MX"/>
              </w:rPr>
              <w:t xml:space="preserve"> 11.3</w:t>
            </w:r>
            <w:r w:rsidR="009547A3">
              <w:rPr>
                <w:rFonts w:ascii="ITC Avant Garde" w:eastAsia="Times New Roman" w:hAnsi="ITC Avant Garde"/>
                <w:color w:val="000000"/>
                <w:sz w:val="20"/>
                <w:szCs w:val="20"/>
                <w:lang w:eastAsia="es-MX"/>
              </w:rPr>
              <w:t xml:space="preserve"> y 11.5</w:t>
            </w:r>
          </w:p>
        </w:tc>
        <w:tc>
          <w:tcPr>
            <w:tcW w:w="4021" w:type="pct"/>
            <w:shd w:val="clear" w:color="auto" w:fill="auto"/>
            <w:vAlign w:val="center"/>
          </w:tcPr>
          <w:p w14:paraId="4BE7B82B" w14:textId="77777777" w:rsidR="009547A3" w:rsidRDefault="002B5388" w:rsidP="002B5388">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Se propone cambiar est</w:t>
            </w:r>
            <w:r w:rsidR="009547A3">
              <w:rPr>
                <w:rFonts w:ascii="ITC Avant Garde" w:eastAsia="Times New Roman" w:hAnsi="ITC Avant Garde"/>
                <w:color w:val="000000"/>
                <w:sz w:val="20"/>
                <w:szCs w:val="20"/>
                <w:lang w:eastAsia="es-MX"/>
              </w:rPr>
              <w:t>os</w:t>
            </w:r>
            <w:r>
              <w:rPr>
                <w:rFonts w:ascii="ITC Avant Garde" w:eastAsia="Times New Roman" w:hAnsi="ITC Avant Garde"/>
                <w:color w:val="000000"/>
                <w:sz w:val="20"/>
                <w:szCs w:val="20"/>
                <w:lang w:eastAsia="es-MX"/>
              </w:rPr>
              <w:t xml:space="preserve"> numeral</w:t>
            </w:r>
            <w:r w:rsidR="009547A3">
              <w:rPr>
                <w:rFonts w:ascii="ITC Avant Garde" w:eastAsia="Times New Roman" w:hAnsi="ITC Avant Garde"/>
                <w:color w:val="000000"/>
                <w:sz w:val="20"/>
                <w:szCs w:val="20"/>
                <w:lang w:eastAsia="es-MX"/>
              </w:rPr>
              <w:t>es</w:t>
            </w:r>
            <w:r>
              <w:rPr>
                <w:rFonts w:ascii="ITC Avant Garde" w:eastAsia="Times New Roman" w:hAnsi="ITC Avant Garde"/>
                <w:color w:val="000000"/>
                <w:sz w:val="20"/>
                <w:szCs w:val="20"/>
                <w:lang w:eastAsia="es-MX"/>
              </w:rPr>
              <w:t xml:space="preserve"> para que se establezca que el monto mínimo de la Garantía de Seriedad</w:t>
            </w:r>
            <w:r w:rsidR="009547A3">
              <w:rPr>
                <w:rFonts w:ascii="ITC Avant Garde" w:eastAsia="Times New Roman" w:hAnsi="ITC Avant Garde"/>
                <w:color w:val="000000"/>
                <w:sz w:val="20"/>
                <w:szCs w:val="20"/>
                <w:lang w:eastAsia="es-MX"/>
              </w:rPr>
              <w:t xml:space="preserve"> sea el 20% de la Oferta y que la misma se presente al momento de la presentación del Sobre Cerrado con la Oferta y no antes como se señala en el Numeral 11.5.</w:t>
            </w:r>
          </w:p>
          <w:p w14:paraId="13911946" w14:textId="77777777" w:rsidR="009547A3" w:rsidRDefault="009547A3" w:rsidP="002B5388">
            <w:pPr>
              <w:spacing w:after="0" w:line="240" w:lineRule="auto"/>
              <w:jc w:val="both"/>
              <w:rPr>
                <w:rFonts w:ascii="ITC Avant Garde" w:eastAsia="Times New Roman" w:hAnsi="ITC Avant Garde"/>
                <w:color w:val="000000"/>
                <w:sz w:val="20"/>
                <w:szCs w:val="20"/>
                <w:lang w:eastAsia="es-MX"/>
              </w:rPr>
            </w:pPr>
          </w:p>
          <w:p w14:paraId="40834921" w14:textId="77777777" w:rsidR="002B5388" w:rsidRDefault="009547A3" w:rsidP="002B5388">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Anteriormente se han incluido razones específicas que justifican este cambio (ver comentarios a los Numerales 5 y 6.1.3).</w:t>
            </w:r>
          </w:p>
          <w:p w14:paraId="07994165" w14:textId="77777777" w:rsidR="002B5388" w:rsidRDefault="002B5388" w:rsidP="002B5388">
            <w:pPr>
              <w:spacing w:after="0" w:line="240" w:lineRule="auto"/>
              <w:jc w:val="both"/>
              <w:rPr>
                <w:rFonts w:ascii="ITC Avant Garde" w:eastAsia="Times New Roman" w:hAnsi="ITC Avant Garde"/>
                <w:color w:val="000000"/>
                <w:sz w:val="20"/>
                <w:szCs w:val="20"/>
                <w:lang w:eastAsia="es-MX"/>
              </w:rPr>
            </w:pPr>
          </w:p>
        </w:tc>
      </w:tr>
      <w:tr w:rsidR="009A3B1B" w:rsidRPr="00F36A5D" w14:paraId="0772A7E3" w14:textId="77777777" w:rsidTr="005F3F0A">
        <w:trPr>
          <w:trHeight w:val="290"/>
        </w:trPr>
        <w:tc>
          <w:tcPr>
            <w:tcW w:w="979" w:type="pct"/>
            <w:shd w:val="clear" w:color="auto" w:fill="auto"/>
            <w:vAlign w:val="center"/>
          </w:tcPr>
          <w:p w14:paraId="336451DA" w14:textId="77777777" w:rsidR="009A3B1B" w:rsidRPr="00377E5B" w:rsidRDefault="009A3B1B" w:rsidP="00377E5B">
            <w:pPr>
              <w:spacing w:after="0" w:line="240" w:lineRule="auto"/>
              <w:jc w:val="center"/>
              <w:rPr>
                <w:rFonts w:ascii="ITC Avant Garde" w:eastAsia="Times New Roman" w:hAnsi="ITC Avant Garde"/>
                <w:color w:val="000000"/>
                <w:sz w:val="20"/>
                <w:szCs w:val="20"/>
                <w:lang w:eastAsia="es-MX"/>
              </w:rPr>
            </w:pPr>
            <w:r w:rsidRPr="00377E5B">
              <w:rPr>
                <w:rFonts w:ascii="ITC Avant Garde" w:eastAsia="Times New Roman" w:hAnsi="ITC Avant Garde"/>
                <w:color w:val="000000"/>
                <w:sz w:val="20"/>
                <w:szCs w:val="20"/>
                <w:lang w:eastAsia="es-MX"/>
              </w:rPr>
              <w:t>Numeral 11.7 y tercer párrafo del numeral 5 del Apéndice B</w:t>
            </w:r>
          </w:p>
        </w:tc>
        <w:tc>
          <w:tcPr>
            <w:tcW w:w="4021" w:type="pct"/>
            <w:shd w:val="clear" w:color="auto" w:fill="auto"/>
            <w:vAlign w:val="center"/>
          </w:tcPr>
          <w:p w14:paraId="2AA4E5F9" w14:textId="77777777" w:rsidR="00F351A4" w:rsidRDefault="009A3B1B"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El Numeral</w:t>
            </w:r>
            <w:r w:rsidRPr="000B7F85">
              <w:rPr>
                <w:rFonts w:ascii="ITC Avant Garde" w:eastAsia="Times New Roman" w:hAnsi="ITC Avant Garde"/>
                <w:color w:val="000000"/>
                <w:sz w:val="20"/>
                <w:szCs w:val="20"/>
                <w:lang w:eastAsia="es-MX"/>
              </w:rPr>
              <w:t xml:space="preserve"> 11.7 y el tercer párrafo del numeral 5 del Apéndice B establecen que si durante el Procedimiento de Presentación de Ofertas, la Garantía de </w:t>
            </w:r>
            <w:r w:rsidR="009547A3">
              <w:rPr>
                <w:rFonts w:ascii="ITC Avant Garde" w:eastAsia="Times New Roman" w:hAnsi="ITC Avant Garde"/>
                <w:color w:val="000000"/>
                <w:sz w:val="20"/>
                <w:szCs w:val="20"/>
                <w:lang w:eastAsia="es-MX"/>
              </w:rPr>
              <w:t>S</w:t>
            </w:r>
            <w:r w:rsidRPr="000B7F85">
              <w:rPr>
                <w:rFonts w:ascii="ITC Avant Garde" w:eastAsia="Times New Roman" w:hAnsi="ITC Avant Garde"/>
                <w:color w:val="000000"/>
                <w:sz w:val="20"/>
                <w:szCs w:val="20"/>
                <w:lang w:eastAsia="es-MX"/>
              </w:rPr>
              <w:t>eriedad fuera inferior al 20% de la Oferta, el Participante deberá de presentar una nueva Garantía de Seriedad o la actualización de la original junto con su Oferta, de modo que la Garantía de Seriedad corresponda al menos al 50% de la Oferta.</w:t>
            </w:r>
          </w:p>
          <w:p w14:paraId="131749C4" w14:textId="77777777" w:rsidR="00F351A4" w:rsidRDefault="00F351A4" w:rsidP="009A3B1B">
            <w:pPr>
              <w:spacing w:after="0" w:line="240" w:lineRule="auto"/>
              <w:jc w:val="both"/>
              <w:rPr>
                <w:rFonts w:ascii="ITC Avant Garde" w:eastAsia="Times New Roman" w:hAnsi="ITC Avant Garde"/>
                <w:color w:val="000000"/>
                <w:sz w:val="20"/>
                <w:szCs w:val="20"/>
                <w:lang w:eastAsia="es-MX"/>
              </w:rPr>
            </w:pPr>
          </w:p>
          <w:p w14:paraId="7F75A28A" w14:textId="77777777" w:rsidR="009A3B1B" w:rsidRPr="000B7F85" w:rsidRDefault="00F351A4"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Lo anterior debe eliminarse como consecuencia de la propuesta de que la Garantía de Seriedad se presente al mismo momento de la presentación del Sobre Cerrado con la Oferta. En este sentido, no sería necesario llevar a cabo la actualización de la Garantía de Seriedad, salvo en el caso de la designación de la </w:t>
            </w:r>
            <w:r w:rsidRPr="00E06BAC">
              <w:rPr>
                <w:rFonts w:ascii="ITC Avant Garde" w:eastAsia="Times New Roman" w:hAnsi="ITC Avant Garde"/>
                <w:color w:val="000000"/>
                <w:sz w:val="20"/>
                <w:szCs w:val="20"/>
                <w:lang w:eastAsia="es-MX"/>
              </w:rPr>
              <w:t>Oferta Subsecuente más Alta</w:t>
            </w:r>
            <w:r>
              <w:rPr>
                <w:rFonts w:ascii="ITC Avant Garde" w:eastAsia="Times New Roman" w:hAnsi="ITC Avant Garde"/>
                <w:color w:val="000000"/>
                <w:sz w:val="20"/>
                <w:szCs w:val="20"/>
                <w:lang w:eastAsia="es-MX"/>
              </w:rPr>
              <w:t xml:space="preserve"> como Oferta Ganadora en los casos del Apéndice B.</w:t>
            </w:r>
          </w:p>
          <w:p w14:paraId="5EE98D21"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40D814B6" w14:textId="77777777" w:rsidR="009A3B1B" w:rsidRDefault="00F351A4"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Por otro lado</w:t>
            </w:r>
            <w:r w:rsidR="009A3B1B" w:rsidRPr="000B7F85">
              <w:rPr>
                <w:rFonts w:ascii="ITC Avant Garde" w:eastAsia="Times New Roman" w:hAnsi="ITC Avant Garde"/>
                <w:color w:val="000000"/>
                <w:sz w:val="20"/>
                <w:szCs w:val="20"/>
                <w:lang w:eastAsia="es-MX"/>
              </w:rPr>
              <w:t>, resulta incongruente que si la Garantía de Seriedad de un participante equivale al 20% de su Oferta, ya no tenga que actualizarla o presentar una nueva, pero en caso contrario el Participante que se encuentre en ese supuesto, debe de actualizarla o presentar una nueva que corresponda por lo menos al 50% de la Oferta. En virtud de resultar equitativo, sugerimos que en todo momento la Garantía de Seriedad no sea inferior al 20% de la Oferta y en su caso actualizarla o presentar una nueva que cumpla con dicho criterio</w:t>
            </w:r>
            <w:r w:rsidR="004212BA">
              <w:rPr>
                <w:rFonts w:ascii="ITC Avant Garde" w:eastAsia="Times New Roman" w:hAnsi="ITC Avant Garde"/>
                <w:color w:val="000000"/>
                <w:sz w:val="20"/>
                <w:szCs w:val="20"/>
                <w:lang w:eastAsia="es-MX"/>
              </w:rPr>
              <w:t xml:space="preserve"> (20% y no 50%)</w:t>
            </w:r>
            <w:r w:rsidR="009A3B1B" w:rsidRPr="000B7F85">
              <w:rPr>
                <w:rFonts w:ascii="ITC Avant Garde" w:eastAsia="Times New Roman" w:hAnsi="ITC Avant Garde"/>
                <w:color w:val="000000"/>
                <w:sz w:val="20"/>
                <w:szCs w:val="20"/>
                <w:lang w:eastAsia="es-MX"/>
              </w:rPr>
              <w:t xml:space="preserve">. </w:t>
            </w:r>
          </w:p>
          <w:p w14:paraId="3C9F6F45" w14:textId="77777777" w:rsidR="00E5778B" w:rsidRPr="000B7F85" w:rsidRDefault="00E5778B" w:rsidP="009A3B1B">
            <w:pPr>
              <w:spacing w:after="0" w:line="240" w:lineRule="auto"/>
              <w:jc w:val="both"/>
              <w:rPr>
                <w:rFonts w:ascii="ITC Avant Garde" w:eastAsia="Times New Roman" w:hAnsi="ITC Avant Garde"/>
                <w:color w:val="000000"/>
                <w:sz w:val="20"/>
                <w:szCs w:val="20"/>
                <w:lang w:eastAsia="es-MX"/>
              </w:rPr>
            </w:pPr>
          </w:p>
          <w:p w14:paraId="4B7C8C26" w14:textId="77777777" w:rsidR="002B5388" w:rsidRDefault="00C66278" w:rsidP="009A3B1B">
            <w:pPr>
              <w:spacing w:after="0" w:line="240" w:lineRule="auto"/>
              <w:jc w:val="both"/>
              <w:rPr>
                <w:rFonts w:ascii="ITC Avant Garde" w:eastAsia="Times New Roman" w:hAnsi="ITC Avant Garde"/>
                <w:color w:val="000000"/>
                <w:sz w:val="20"/>
                <w:szCs w:val="20"/>
                <w:lang w:eastAsia="es-MX"/>
              </w:rPr>
            </w:pPr>
            <w:r w:rsidRPr="00E06BAC">
              <w:rPr>
                <w:rFonts w:ascii="ITC Avant Garde" w:eastAsia="Times New Roman" w:hAnsi="ITC Avant Garde"/>
                <w:color w:val="000000"/>
                <w:sz w:val="20"/>
                <w:szCs w:val="20"/>
                <w:lang w:eastAsia="es-MX"/>
              </w:rPr>
              <w:lastRenderedPageBreak/>
              <w:t>Adicionalmente, cabe señalar que e</w:t>
            </w:r>
            <w:r w:rsidR="002B5388" w:rsidRPr="00E06BAC">
              <w:rPr>
                <w:rFonts w:ascii="ITC Avant Garde" w:eastAsia="Times New Roman" w:hAnsi="ITC Avant Garde"/>
                <w:color w:val="000000"/>
                <w:sz w:val="20"/>
                <w:szCs w:val="20"/>
                <w:lang w:eastAsia="es-MX"/>
              </w:rPr>
              <w:t xml:space="preserve">l mecanismo de incrementar el valor de la </w:t>
            </w:r>
            <w:r w:rsidRPr="00E06BAC">
              <w:rPr>
                <w:rFonts w:ascii="ITC Avant Garde" w:eastAsia="Times New Roman" w:hAnsi="ITC Avant Garde"/>
                <w:color w:val="000000"/>
                <w:sz w:val="20"/>
                <w:szCs w:val="20"/>
                <w:lang w:eastAsia="es-MX"/>
              </w:rPr>
              <w:t>G</w:t>
            </w:r>
            <w:r w:rsidR="002B5388" w:rsidRPr="00E06BAC">
              <w:rPr>
                <w:rFonts w:ascii="ITC Avant Garde" w:eastAsia="Times New Roman" w:hAnsi="ITC Avant Garde"/>
                <w:color w:val="000000"/>
                <w:sz w:val="20"/>
                <w:szCs w:val="20"/>
                <w:lang w:eastAsia="es-MX"/>
              </w:rPr>
              <w:t xml:space="preserve">arantía </w:t>
            </w:r>
            <w:r w:rsidRPr="00E06BAC">
              <w:rPr>
                <w:rFonts w:ascii="ITC Avant Garde" w:eastAsia="Times New Roman" w:hAnsi="ITC Avant Garde"/>
                <w:color w:val="000000"/>
                <w:sz w:val="20"/>
                <w:szCs w:val="20"/>
                <w:lang w:eastAsia="es-MX"/>
              </w:rPr>
              <w:t xml:space="preserve">de Seriedad </w:t>
            </w:r>
            <w:r w:rsidR="002B5388" w:rsidRPr="00E06BAC">
              <w:rPr>
                <w:rFonts w:ascii="ITC Avant Garde" w:eastAsia="Times New Roman" w:hAnsi="ITC Avant Garde"/>
                <w:color w:val="000000"/>
                <w:sz w:val="20"/>
                <w:szCs w:val="20"/>
                <w:lang w:eastAsia="es-MX"/>
              </w:rPr>
              <w:t>es apropiado en licitaciones que emplean formatos de rondas m</w:t>
            </w:r>
            <w:r w:rsidRPr="00E06BAC">
              <w:rPr>
                <w:rFonts w:ascii="ITC Avant Garde" w:eastAsia="Times New Roman" w:hAnsi="ITC Avant Garde"/>
                <w:color w:val="000000"/>
                <w:sz w:val="20"/>
                <w:szCs w:val="20"/>
                <w:lang w:eastAsia="es-MX"/>
              </w:rPr>
              <w:t>ú</w:t>
            </w:r>
            <w:r w:rsidR="002B5388" w:rsidRPr="00E06BAC">
              <w:rPr>
                <w:rFonts w:ascii="ITC Avant Garde" w:eastAsia="Times New Roman" w:hAnsi="ITC Avant Garde"/>
                <w:color w:val="000000"/>
                <w:sz w:val="20"/>
                <w:szCs w:val="20"/>
                <w:lang w:eastAsia="es-MX"/>
              </w:rPr>
              <w:t xml:space="preserve">ltiple </w:t>
            </w:r>
            <w:r w:rsidR="00952E94" w:rsidRPr="00E06BAC">
              <w:rPr>
                <w:rFonts w:ascii="ITC Avant Garde" w:eastAsia="Times New Roman" w:hAnsi="ITC Avant Garde"/>
                <w:color w:val="000000"/>
                <w:sz w:val="20"/>
                <w:szCs w:val="20"/>
                <w:lang w:eastAsia="es-MX"/>
              </w:rPr>
              <w:t>ascendentes</w:t>
            </w:r>
            <w:r w:rsidR="002B5388" w:rsidRPr="00E06BAC">
              <w:rPr>
                <w:rFonts w:ascii="ITC Avant Garde" w:eastAsia="Times New Roman" w:hAnsi="ITC Avant Garde"/>
                <w:color w:val="000000"/>
                <w:sz w:val="20"/>
                <w:szCs w:val="20"/>
                <w:lang w:eastAsia="es-MX"/>
              </w:rPr>
              <w:t xml:space="preserve"> o de rondas de reloj en los que se espera que haya puja por el precio y descubrimiento de la disposición de pago de los oferentes. En este caso, al emplearse un formato de sobre cerrado, es esperable que, salvo el improbable caso de un empate, no deba realizarse más que una ronda de revisión de precios. Por ello, no se justifica el margen adicional de la garantía (de 20% a 50%) que busca limitar/reducir las veces que el oferente debe remitir nuevas garantías y que el </w:t>
            </w:r>
            <w:r w:rsidRPr="00E06BAC">
              <w:rPr>
                <w:rFonts w:ascii="ITC Avant Garde" w:eastAsia="Times New Roman" w:hAnsi="ITC Avant Garde"/>
                <w:color w:val="000000"/>
                <w:sz w:val="20"/>
                <w:szCs w:val="20"/>
                <w:lang w:eastAsia="es-MX"/>
              </w:rPr>
              <w:t>Instituto</w:t>
            </w:r>
            <w:r w:rsidR="002B5388" w:rsidRPr="00E06BAC">
              <w:rPr>
                <w:rFonts w:ascii="ITC Avant Garde" w:eastAsia="Times New Roman" w:hAnsi="ITC Avant Garde"/>
                <w:color w:val="000000"/>
                <w:sz w:val="20"/>
                <w:szCs w:val="20"/>
                <w:lang w:eastAsia="es-MX"/>
              </w:rPr>
              <w:t xml:space="preserve"> debe evaluarlas.</w:t>
            </w:r>
          </w:p>
          <w:p w14:paraId="04195EBB" w14:textId="77777777" w:rsidR="002B5388" w:rsidRPr="000B7F85" w:rsidRDefault="002B5388" w:rsidP="009A3B1B">
            <w:pPr>
              <w:spacing w:after="0" w:line="240" w:lineRule="auto"/>
              <w:jc w:val="both"/>
              <w:rPr>
                <w:rFonts w:ascii="ITC Avant Garde" w:eastAsia="Times New Roman" w:hAnsi="ITC Avant Garde"/>
                <w:color w:val="000000"/>
                <w:sz w:val="20"/>
                <w:szCs w:val="20"/>
                <w:lang w:eastAsia="es-MX"/>
              </w:rPr>
            </w:pPr>
          </w:p>
          <w:p w14:paraId="5C53E600"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En virtud de lo anterior, sugerimos la siguiente redacción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11.7</w:t>
            </w:r>
            <w:r w:rsidR="008D2BB0">
              <w:rPr>
                <w:rFonts w:ascii="ITC Avant Garde" w:eastAsia="Times New Roman" w:hAnsi="ITC Avant Garde"/>
                <w:color w:val="000000"/>
                <w:sz w:val="20"/>
                <w:szCs w:val="20"/>
                <w:lang w:eastAsia="es-MX"/>
              </w:rPr>
              <w:t xml:space="preserve"> (subrayado para pronta referencia)</w:t>
            </w:r>
            <w:r w:rsidRPr="000B7F85">
              <w:rPr>
                <w:rFonts w:ascii="ITC Avant Garde" w:eastAsia="Times New Roman" w:hAnsi="ITC Avant Garde"/>
                <w:color w:val="000000"/>
                <w:sz w:val="20"/>
                <w:szCs w:val="20"/>
                <w:lang w:eastAsia="es-MX"/>
              </w:rPr>
              <w:t>:</w:t>
            </w:r>
          </w:p>
          <w:p w14:paraId="19AB8570"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642AE1B1" w14:textId="77777777" w:rsidR="009A3B1B" w:rsidRPr="000B7F85" w:rsidRDefault="009A3B1B" w:rsidP="00E06BAC">
            <w:pPr>
              <w:pStyle w:val="Default"/>
              <w:ind w:left="384"/>
              <w:jc w:val="both"/>
              <w:rPr>
                <w:rFonts w:cs="Times New Roman"/>
                <w:color w:val="auto"/>
                <w:sz w:val="20"/>
                <w:szCs w:val="20"/>
                <w:lang w:val="es-MX"/>
              </w:rPr>
            </w:pPr>
            <w:r w:rsidRPr="000B7F85">
              <w:rPr>
                <w:sz w:val="20"/>
                <w:szCs w:val="20"/>
                <w:lang w:val="es-MX"/>
              </w:rPr>
              <w:t>“</w:t>
            </w:r>
            <w:r w:rsidRPr="00377E5B">
              <w:rPr>
                <w:i/>
                <w:sz w:val="20"/>
                <w:szCs w:val="20"/>
                <w:lang w:val="es-MX"/>
              </w:rPr>
              <w:t xml:space="preserve">11.7. Ahora bien, durante el Procedimiento del Presentación de Ofertas, el Participante será responsable de que su Garantía de Seriedad en ningún momento sea inferior al 20% (veinte por ciento) del total de su Oferta. En el caso de que el monto de la Garantía de Seriedad fuera inferior al 20% de la Oferta, el Participante deberá presentar una nueva </w:t>
            </w:r>
            <w:r w:rsidRPr="00377E5B">
              <w:rPr>
                <w:rFonts w:cs="Times New Roman"/>
                <w:i/>
                <w:color w:val="auto"/>
                <w:sz w:val="20"/>
                <w:szCs w:val="20"/>
                <w:lang w:val="es-MX"/>
              </w:rPr>
              <w:t xml:space="preserve">Garantía de Seriedad o la actualización de la original junto con su Oferta, de modo que la Garantía de Seriedad cumpla con el criterio anterior y nunca sea interior al </w:t>
            </w:r>
            <w:r w:rsidRPr="008D2BB0">
              <w:rPr>
                <w:rFonts w:cs="Times New Roman"/>
                <w:i/>
                <w:color w:val="auto"/>
                <w:sz w:val="20"/>
                <w:szCs w:val="20"/>
                <w:u w:val="single"/>
                <w:lang w:val="es-MX"/>
              </w:rPr>
              <w:t>20% (veinte por ciento)</w:t>
            </w:r>
            <w:r w:rsidRPr="00377E5B">
              <w:rPr>
                <w:rFonts w:cs="Times New Roman"/>
                <w:i/>
                <w:color w:val="auto"/>
                <w:sz w:val="20"/>
                <w:szCs w:val="20"/>
                <w:lang w:val="es-MX"/>
              </w:rPr>
              <w:t xml:space="preserve"> de su Oferta</w:t>
            </w:r>
            <w:r w:rsidRPr="000B7F85">
              <w:rPr>
                <w:rFonts w:cs="Times New Roman"/>
                <w:color w:val="auto"/>
                <w:sz w:val="20"/>
                <w:szCs w:val="20"/>
                <w:lang w:val="es-MX"/>
              </w:rPr>
              <w:t>.”</w:t>
            </w:r>
          </w:p>
          <w:p w14:paraId="5C21327E" w14:textId="77777777" w:rsidR="009A3B1B" w:rsidRPr="000B7F85" w:rsidRDefault="009A3B1B" w:rsidP="009A3B1B">
            <w:pPr>
              <w:pStyle w:val="Default"/>
              <w:jc w:val="both"/>
              <w:rPr>
                <w:rFonts w:cs="Times New Roman"/>
                <w:color w:val="auto"/>
                <w:sz w:val="20"/>
                <w:szCs w:val="20"/>
                <w:lang w:val="es-MX"/>
              </w:rPr>
            </w:pPr>
          </w:p>
          <w:p w14:paraId="009AFAE5"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Sugerimos la siguiente redacción del tercer párrafo del numeral 5 del Apéndice B</w:t>
            </w:r>
            <w:r w:rsidR="008D2BB0">
              <w:rPr>
                <w:rFonts w:ascii="ITC Avant Garde" w:eastAsia="Times New Roman" w:hAnsi="ITC Avant Garde"/>
                <w:color w:val="000000"/>
                <w:sz w:val="20"/>
                <w:szCs w:val="20"/>
                <w:lang w:eastAsia="es-MX"/>
              </w:rPr>
              <w:t xml:space="preserve"> (subrayado para pronta referencia)</w:t>
            </w:r>
            <w:r w:rsidRPr="000B7F85">
              <w:rPr>
                <w:rFonts w:ascii="ITC Avant Garde" w:eastAsia="Times New Roman" w:hAnsi="ITC Avant Garde"/>
                <w:color w:val="000000"/>
                <w:sz w:val="20"/>
                <w:szCs w:val="20"/>
                <w:lang w:eastAsia="es-MX"/>
              </w:rPr>
              <w:t>:</w:t>
            </w:r>
          </w:p>
          <w:p w14:paraId="5497E4FA"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62383717" w14:textId="77777777" w:rsidR="009A3B1B" w:rsidRPr="000B7F85" w:rsidRDefault="009A3B1B" w:rsidP="00E06BAC">
            <w:pPr>
              <w:spacing w:after="0" w:line="240" w:lineRule="auto"/>
              <w:ind w:left="384"/>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w:t>
            </w:r>
            <w:r w:rsidRPr="00377E5B">
              <w:rPr>
                <w:rFonts w:ascii="ITC Avant Garde" w:eastAsia="Times New Roman" w:hAnsi="ITC Avant Garde"/>
                <w:i/>
                <w:color w:val="000000"/>
                <w:sz w:val="20"/>
                <w:szCs w:val="20"/>
                <w:lang w:eastAsia="es-MX"/>
              </w:rPr>
              <w:t xml:space="preserve">Ahora bien, el Participante será responsable de que su Garantía de Seriedad en ningún momento sea inferior al 20% (veinte por ciento) del total de su Oferta. En el caso de que el monto de la Garantía de Seriedad fuera inferior al 20% de la Oferta, el Participante deberá presentar una nueva Garantía de Seriedad o la actualización de la original junto con su Oferta, de modo que la Garantía de Seriedad corresponda al menos al </w:t>
            </w:r>
            <w:r w:rsidRPr="008D2BB0">
              <w:rPr>
                <w:rFonts w:ascii="ITC Avant Garde" w:eastAsia="Times New Roman" w:hAnsi="ITC Avant Garde"/>
                <w:i/>
                <w:color w:val="000000"/>
                <w:sz w:val="20"/>
                <w:szCs w:val="20"/>
                <w:u w:val="single"/>
                <w:lang w:eastAsia="es-MX"/>
              </w:rPr>
              <w:t>20% (veinte por ciento)</w:t>
            </w:r>
            <w:r w:rsidRPr="00377E5B">
              <w:rPr>
                <w:rFonts w:ascii="ITC Avant Garde" w:eastAsia="Times New Roman" w:hAnsi="ITC Avant Garde"/>
                <w:i/>
                <w:color w:val="000000"/>
                <w:sz w:val="20"/>
                <w:szCs w:val="20"/>
                <w:lang w:eastAsia="es-MX"/>
              </w:rPr>
              <w:t xml:space="preserve"> de su Oferta.</w:t>
            </w:r>
            <w:r w:rsidRPr="000B7F85">
              <w:rPr>
                <w:rFonts w:ascii="ITC Avant Garde" w:eastAsia="Times New Roman" w:hAnsi="ITC Avant Garde"/>
                <w:color w:val="000000"/>
                <w:sz w:val="20"/>
                <w:szCs w:val="20"/>
                <w:lang w:eastAsia="es-MX"/>
              </w:rPr>
              <w:t>”</w:t>
            </w:r>
          </w:p>
          <w:p w14:paraId="21A664B8" w14:textId="77777777" w:rsidR="009A3B1B" w:rsidRPr="000B7F85" w:rsidRDefault="009A3B1B" w:rsidP="009A3B1B">
            <w:pPr>
              <w:pStyle w:val="Default"/>
              <w:jc w:val="both"/>
              <w:rPr>
                <w:rFonts w:cs="Times New Roman"/>
                <w:color w:val="auto"/>
                <w:sz w:val="20"/>
                <w:szCs w:val="20"/>
                <w:lang w:val="es-MX"/>
              </w:rPr>
            </w:pPr>
          </w:p>
        </w:tc>
      </w:tr>
      <w:tr w:rsidR="009A3B1B" w:rsidRPr="00F36A5D" w14:paraId="2AFFE527" w14:textId="77777777" w:rsidTr="005F3F0A">
        <w:trPr>
          <w:trHeight w:val="290"/>
        </w:trPr>
        <w:tc>
          <w:tcPr>
            <w:tcW w:w="979" w:type="pct"/>
            <w:shd w:val="clear" w:color="auto" w:fill="auto"/>
            <w:vAlign w:val="center"/>
          </w:tcPr>
          <w:p w14:paraId="549F560D" w14:textId="77777777" w:rsidR="009A3B1B" w:rsidRPr="000444BC" w:rsidRDefault="009A3B1B" w:rsidP="009A3B1B">
            <w:pPr>
              <w:spacing w:after="0" w:line="240" w:lineRule="auto"/>
              <w:jc w:val="center"/>
              <w:rPr>
                <w:rFonts w:ascii="ITC Avant Garde" w:eastAsia="Times New Roman" w:hAnsi="ITC Avant Garde"/>
                <w:color w:val="000000"/>
                <w:sz w:val="20"/>
                <w:szCs w:val="20"/>
                <w:lang w:eastAsia="es-MX"/>
              </w:rPr>
            </w:pPr>
            <w:r w:rsidRPr="000444BC">
              <w:rPr>
                <w:rFonts w:ascii="ITC Avant Garde" w:eastAsia="Times New Roman" w:hAnsi="ITC Avant Garde"/>
                <w:color w:val="000000"/>
                <w:sz w:val="20"/>
                <w:szCs w:val="20"/>
                <w:lang w:eastAsia="es-MX"/>
              </w:rPr>
              <w:lastRenderedPageBreak/>
              <w:t xml:space="preserve">Numeral 12.2 </w:t>
            </w:r>
          </w:p>
        </w:tc>
        <w:tc>
          <w:tcPr>
            <w:tcW w:w="4021" w:type="pct"/>
            <w:shd w:val="clear" w:color="auto" w:fill="auto"/>
            <w:vAlign w:val="center"/>
          </w:tcPr>
          <w:p w14:paraId="7FB51F77" w14:textId="77777777" w:rsidR="009A3B1B" w:rsidRDefault="000444BC"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Se sugiere agregar la siguiente fracción como causal de descalificación:</w:t>
            </w:r>
          </w:p>
          <w:p w14:paraId="628503E7" w14:textId="77777777" w:rsidR="000444BC" w:rsidRDefault="000444BC" w:rsidP="009A3B1B">
            <w:pPr>
              <w:spacing w:after="0" w:line="240" w:lineRule="auto"/>
              <w:jc w:val="both"/>
              <w:rPr>
                <w:rFonts w:ascii="ITC Avant Garde" w:eastAsia="Times New Roman" w:hAnsi="ITC Avant Garde"/>
                <w:color w:val="000000"/>
                <w:sz w:val="20"/>
                <w:szCs w:val="20"/>
                <w:lang w:eastAsia="es-MX"/>
              </w:rPr>
            </w:pPr>
          </w:p>
          <w:p w14:paraId="23F38F82" w14:textId="77777777" w:rsidR="000444BC" w:rsidRPr="000B7F85" w:rsidRDefault="000444BC"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w:t>
            </w:r>
            <w:r w:rsidRPr="000444BC">
              <w:rPr>
                <w:rFonts w:ascii="ITC Avant Garde" w:eastAsia="Times New Roman" w:hAnsi="ITC Avant Garde"/>
                <w:i/>
                <w:color w:val="000000"/>
                <w:sz w:val="20"/>
                <w:szCs w:val="20"/>
                <w:lang w:eastAsia="es-MX"/>
              </w:rPr>
              <w:t>El incumplimiento a lo establecido en el numeral 3 del Apéndice B de las presentes Bases.</w:t>
            </w:r>
            <w:r>
              <w:rPr>
                <w:rFonts w:ascii="ITC Avant Garde" w:eastAsia="Times New Roman" w:hAnsi="ITC Avant Garde"/>
                <w:color w:val="000000"/>
                <w:sz w:val="20"/>
                <w:szCs w:val="20"/>
                <w:lang w:eastAsia="es-MX"/>
              </w:rPr>
              <w:t>”</w:t>
            </w:r>
          </w:p>
          <w:p w14:paraId="51D538DB" w14:textId="77777777" w:rsidR="009A3B1B" w:rsidRDefault="009A3B1B" w:rsidP="00B80C85">
            <w:pPr>
              <w:spacing w:after="0" w:line="240" w:lineRule="auto"/>
              <w:jc w:val="both"/>
              <w:rPr>
                <w:rFonts w:ascii="ITC Avant Garde" w:eastAsia="Times New Roman" w:hAnsi="ITC Avant Garde"/>
                <w:color w:val="000000"/>
                <w:sz w:val="20"/>
                <w:szCs w:val="20"/>
                <w:lang w:eastAsia="es-MX"/>
              </w:rPr>
            </w:pPr>
          </w:p>
          <w:p w14:paraId="7BF30019" w14:textId="77777777" w:rsidR="000444BC" w:rsidRDefault="000444BC" w:rsidP="00B80C85">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Lo anterior, en el entendido de que se propone la inclusión de un segundo</w:t>
            </w:r>
            <w:r w:rsidR="00C66278">
              <w:rPr>
                <w:rFonts w:ascii="ITC Avant Garde" w:eastAsia="Times New Roman" w:hAnsi="ITC Avant Garde"/>
                <w:color w:val="000000"/>
                <w:sz w:val="20"/>
                <w:szCs w:val="20"/>
                <w:lang w:eastAsia="es-MX"/>
              </w:rPr>
              <w:t xml:space="preserve"> y tercer</w:t>
            </w:r>
            <w:r>
              <w:rPr>
                <w:rFonts w:ascii="ITC Avant Garde" w:eastAsia="Times New Roman" w:hAnsi="ITC Avant Garde"/>
                <w:color w:val="000000"/>
                <w:sz w:val="20"/>
                <w:szCs w:val="20"/>
                <w:lang w:eastAsia="es-MX"/>
              </w:rPr>
              <w:t xml:space="preserve"> párrafo</w:t>
            </w:r>
            <w:r w:rsidR="003A68F1">
              <w:rPr>
                <w:rFonts w:ascii="ITC Avant Garde" w:eastAsia="Times New Roman" w:hAnsi="ITC Avant Garde"/>
                <w:color w:val="000000"/>
                <w:sz w:val="20"/>
                <w:szCs w:val="20"/>
                <w:lang w:eastAsia="es-MX"/>
              </w:rPr>
              <w:t>s</w:t>
            </w:r>
            <w:r>
              <w:rPr>
                <w:rFonts w:ascii="ITC Avant Garde" w:eastAsia="Times New Roman" w:hAnsi="ITC Avant Garde"/>
                <w:color w:val="000000"/>
                <w:sz w:val="20"/>
                <w:szCs w:val="20"/>
                <w:lang w:eastAsia="es-MX"/>
              </w:rPr>
              <w:t xml:space="preserve"> al numeral 3 </w:t>
            </w:r>
            <w:r w:rsidRPr="000444BC">
              <w:rPr>
                <w:rFonts w:ascii="ITC Avant Garde" w:eastAsia="Times New Roman" w:hAnsi="ITC Avant Garde"/>
                <w:color w:val="000000"/>
                <w:sz w:val="20"/>
                <w:szCs w:val="20"/>
                <w:lang w:eastAsia="es-MX"/>
              </w:rPr>
              <w:t>del Ap</w:t>
            </w:r>
            <w:r>
              <w:rPr>
                <w:rFonts w:ascii="ITC Avant Garde" w:eastAsia="Times New Roman" w:hAnsi="ITC Avant Garde"/>
                <w:color w:val="000000"/>
                <w:sz w:val="20"/>
                <w:szCs w:val="20"/>
                <w:lang w:eastAsia="es-MX"/>
              </w:rPr>
              <w:t xml:space="preserve">éndice B del proyecto de </w:t>
            </w:r>
            <w:r w:rsidRPr="000444BC">
              <w:rPr>
                <w:rFonts w:ascii="ITC Avant Garde" w:eastAsia="Times New Roman" w:hAnsi="ITC Avant Garde"/>
                <w:color w:val="000000"/>
                <w:sz w:val="20"/>
                <w:szCs w:val="20"/>
                <w:lang w:eastAsia="es-MX"/>
              </w:rPr>
              <w:t>Bases</w:t>
            </w:r>
            <w:r>
              <w:rPr>
                <w:rFonts w:ascii="ITC Avant Garde" w:eastAsia="Times New Roman" w:hAnsi="ITC Avant Garde"/>
                <w:color w:val="000000"/>
                <w:sz w:val="20"/>
                <w:szCs w:val="20"/>
                <w:lang w:eastAsia="es-MX"/>
              </w:rPr>
              <w:t>, en los siguientes términos:</w:t>
            </w:r>
          </w:p>
          <w:p w14:paraId="3457B76B" w14:textId="77777777" w:rsidR="000444BC" w:rsidRDefault="000444BC" w:rsidP="00B80C85">
            <w:pPr>
              <w:spacing w:after="0" w:line="240" w:lineRule="auto"/>
              <w:jc w:val="both"/>
              <w:rPr>
                <w:rFonts w:ascii="ITC Avant Garde" w:eastAsia="Times New Roman" w:hAnsi="ITC Avant Garde"/>
                <w:color w:val="000000"/>
                <w:sz w:val="20"/>
                <w:szCs w:val="20"/>
                <w:lang w:eastAsia="es-MX"/>
              </w:rPr>
            </w:pPr>
          </w:p>
          <w:p w14:paraId="242452EC" w14:textId="77777777" w:rsidR="00C66278" w:rsidRDefault="000444BC" w:rsidP="00E06BAC">
            <w:pPr>
              <w:spacing w:after="0" w:line="240" w:lineRule="auto"/>
              <w:ind w:left="384"/>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w:t>
            </w:r>
            <w:r w:rsidRPr="00E06BAC">
              <w:rPr>
                <w:rFonts w:ascii="ITC Avant Garde" w:eastAsia="Times New Roman" w:hAnsi="ITC Avant Garde"/>
                <w:i/>
                <w:color w:val="000000"/>
                <w:sz w:val="20"/>
                <w:szCs w:val="20"/>
                <w:lang w:eastAsia="es-MX"/>
              </w:rPr>
              <w:t>Los Participantes que presenten Ofertas para un Bloque no podrán estar vinculados directa o indirectamente a través de agentes, intermediarios, socios de negocio u otro tercero con quien tengan Vínculos, de hecho o de derecho, de manera directa o indirecta, con Participantes que presenten Ofertas para el otro Bloque</w:t>
            </w:r>
            <w:r w:rsidRPr="00E06BAC">
              <w:rPr>
                <w:rFonts w:ascii="ITC Avant Garde" w:eastAsia="Times New Roman" w:hAnsi="ITC Avant Garde"/>
                <w:color w:val="000000"/>
                <w:sz w:val="20"/>
                <w:szCs w:val="20"/>
                <w:lang w:eastAsia="es-MX"/>
              </w:rPr>
              <w:t>.</w:t>
            </w:r>
          </w:p>
          <w:p w14:paraId="208DF36A" w14:textId="77777777" w:rsidR="00C66278" w:rsidRPr="00E06BAC" w:rsidRDefault="00C66278" w:rsidP="00E06BAC">
            <w:pPr>
              <w:spacing w:after="0" w:line="240" w:lineRule="auto"/>
              <w:ind w:left="384"/>
              <w:jc w:val="both"/>
              <w:rPr>
                <w:rFonts w:ascii="ITC Avant Garde" w:eastAsia="Times New Roman" w:hAnsi="ITC Avant Garde"/>
                <w:i/>
                <w:color w:val="000000"/>
                <w:sz w:val="20"/>
                <w:szCs w:val="20"/>
                <w:lang w:eastAsia="es-MX"/>
              </w:rPr>
            </w:pPr>
          </w:p>
          <w:p w14:paraId="00BFEE85" w14:textId="77777777" w:rsidR="000444BC" w:rsidRPr="000444BC" w:rsidRDefault="00C66278" w:rsidP="00E06BAC">
            <w:pPr>
              <w:spacing w:after="0" w:line="240" w:lineRule="auto"/>
              <w:ind w:left="384"/>
              <w:jc w:val="both"/>
              <w:rPr>
                <w:rFonts w:ascii="ITC Avant Garde" w:eastAsia="Times New Roman" w:hAnsi="ITC Avant Garde"/>
                <w:color w:val="000000"/>
                <w:sz w:val="20"/>
                <w:szCs w:val="20"/>
                <w:lang w:eastAsia="es-MX"/>
              </w:rPr>
            </w:pPr>
            <w:r>
              <w:rPr>
                <w:rFonts w:ascii="ITC Avant Garde" w:eastAsia="Times New Roman" w:hAnsi="ITC Avant Garde"/>
                <w:i/>
                <w:color w:val="000000"/>
                <w:sz w:val="20"/>
                <w:szCs w:val="20"/>
                <w:lang w:eastAsia="es-MX"/>
              </w:rPr>
              <w:t>Asimismo, t</w:t>
            </w:r>
            <w:r w:rsidRPr="00E06BAC">
              <w:rPr>
                <w:rFonts w:ascii="ITC Avant Garde" w:eastAsia="Times New Roman" w:hAnsi="ITC Avant Garde"/>
                <w:i/>
                <w:color w:val="000000"/>
                <w:sz w:val="20"/>
                <w:szCs w:val="20"/>
                <w:lang w:eastAsia="es-MX"/>
              </w:rPr>
              <w:t xml:space="preserve">anto el Autorizado que adquiera la condición de Participante como el Participante que tenga Vínculos, de hecho o de derecho, de manera directa o indirecta, con un Autorizado, deberán presentar su Oferta por el Bloque de espectro </w:t>
            </w:r>
            <w:r w:rsidRPr="00E06BAC">
              <w:rPr>
                <w:rFonts w:ascii="ITC Avant Garde" w:eastAsia="Times New Roman" w:hAnsi="ITC Avant Garde"/>
                <w:i/>
                <w:color w:val="000000"/>
                <w:sz w:val="20"/>
                <w:szCs w:val="20"/>
                <w:lang w:eastAsia="es-MX"/>
              </w:rPr>
              <w:lastRenderedPageBreak/>
              <w:t>pareado de 10+10 MHz que esté asociado al Sistema Satelital del Autorizado en cuestión</w:t>
            </w:r>
            <w:r>
              <w:rPr>
                <w:rFonts w:ascii="ITC Avant Garde" w:eastAsia="Times New Roman" w:hAnsi="ITC Avant Garde"/>
                <w:i/>
                <w:color w:val="000000"/>
                <w:sz w:val="20"/>
                <w:szCs w:val="20"/>
                <w:lang w:eastAsia="es-MX"/>
              </w:rPr>
              <w:t>.</w:t>
            </w:r>
            <w:r w:rsidR="000444BC">
              <w:rPr>
                <w:rFonts w:ascii="ITC Avant Garde" w:eastAsia="Times New Roman" w:hAnsi="ITC Avant Garde"/>
                <w:color w:val="000000"/>
                <w:sz w:val="20"/>
                <w:szCs w:val="20"/>
                <w:lang w:eastAsia="es-MX"/>
              </w:rPr>
              <w:t>”</w:t>
            </w:r>
          </w:p>
          <w:p w14:paraId="5E2E22F4" w14:textId="77777777" w:rsidR="000444BC" w:rsidRPr="000B7F85" w:rsidRDefault="000444BC" w:rsidP="00B80C85">
            <w:pPr>
              <w:spacing w:after="0" w:line="240" w:lineRule="auto"/>
              <w:jc w:val="both"/>
              <w:rPr>
                <w:rFonts w:ascii="ITC Avant Garde" w:eastAsia="Times New Roman" w:hAnsi="ITC Avant Garde"/>
                <w:color w:val="000000"/>
                <w:sz w:val="20"/>
                <w:szCs w:val="20"/>
                <w:lang w:eastAsia="es-MX"/>
              </w:rPr>
            </w:pPr>
          </w:p>
        </w:tc>
      </w:tr>
      <w:tr w:rsidR="009A3B1B" w:rsidRPr="00F36A5D" w14:paraId="5C10E314" w14:textId="77777777" w:rsidTr="005F3F0A">
        <w:trPr>
          <w:trHeight w:val="290"/>
        </w:trPr>
        <w:tc>
          <w:tcPr>
            <w:tcW w:w="979" w:type="pct"/>
            <w:shd w:val="clear" w:color="auto" w:fill="auto"/>
            <w:vAlign w:val="center"/>
          </w:tcPr>
          <w:p w14:paraId="3606C76F"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lastRenderedPageBreak/>
              <w:t xml:space="preserve">Fracción I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13.2</w:t>
            </w:r>
          </w:p>
        </w:tc>
        <w:tc>
          <w:tcPr>
            <w:tcW w:w="4021" w:type="pct"/>
            <w:shd w:val="clear" w:color="auto" w:fill="auto"/>
            <w:vAlign w:val="center"/>
          </w:tcPr>
          <w:p w14:paraId="3D1DC4FE"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La fracción I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13.2 establece que será motivo para declarar desierta la Licitación en su totalidad, cuando las propuestas presentadas en la Licitación no aseguren las mejores condiciones conforme al interés público. </w:t>
            </w:r>
          </w:p>
          <w:p w14:paraId="3A1B0BAE"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3A9BF006"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Se sugiere describir a detalle y no dejar a interpretaciones, los casos en los cuales las propuestas pueden no asegurar las mejores condiciones conforme al interés público. Lo anterior, debido a que </w:t>
            </w:r>
            <w:r w:rsidR="000444BC">
              <w:rPr>
                <w:rFonts w:ascii="ITC Avant Garde" w:eastAsia="Times New Roman" w:hAnsi="ITC Avant Garde"/>
                <w:color w:val="000000"/>
                <w:sz w:val="20"/>
                <w:szCs w:val="20"/>
                <w:lang w:eastAsia="es-MX"/>
              </w:rPr>
              <w:t>las Bases</w:t>
            </w:r>
            <w:r w:rsidRPr="000B7F85">
              <w:rPr>
                <w:rFonts w:ascii="ITC Avant Garde" w:eastAsia="Times New Roman" w:hAnsi="ITC Avant Garde"/>
                <w:color w:val="000000"/>
                <w:sz w:val="20"/>
                <w:szCs w:val="20"/>
                <w:lang w:eastAsia="es-MX"/>
              </w:rPr>
              <w:t xml:space="preserve"> regulan el procedimiento de Licitación y las propuestas, justamente para delimitar que éstas cumplan con los requisitos establecidos en </w:t>
            </w:r>
            <w:r>
              <w:rPr>
                <w:rFonts w:ascii="ITC Avant Garde" w:eastAsia="Times New Roman" w:hAnsi="ITC Avant Garde"/>
                <w:color w:val="000000"/>
                <w:sz w:val="20"/>
                <w:szCs w:val="20"/>
                <w:lang w:eastAsia="es-MX"/>
              </w:rPr>
              <w:t>el Numeral</w:t>
            </w:r>
            <w:r w:rsidRPr="000B7F85">
              <w:rPr>
                <w:rFonts w:ascii="ITC Avant Garde" w:eastAsia="Times New Roman" w:hAnsi="ITC Avant Garde"/>
                <w:color w:val="000000"/>
                <w:sz w:val="20"/>
                <w:szCs w:val="20"/>
                <w:lang w:eastAsia="es-MX"/>
              </w:rPr>
              <w:t xml:space="preserve"> y velen por el interés público. </w:t>
            </w:r>
          </w:p>
          <w:p w14:paraId="0B53D98B" w14:textId="77777777" w:rsidR="003A68F1" w:rsidRDefault="003A68F1" w:rsidP="009A3B1B">
            <w:pPr>
              <w:spacing w:after="0" w:line="240" w:lineRule="auto"/>
              <w:jc w:val="both"/>
              <w:rPr>
                <w:rFonts w:ascii="ITC Avant Garde" w:eastAsia="Times New Roman" w:hAnsi="ITC Avant Garde"/>
                <w:color w:val="000000"/>
                <w:sz w:val="20"/>
                <w:szCs w:val="20"/>
                <w:lang w:eastAsia="es-MX"/>
              </w:rPr>
            </w:pPr>
          </w:p>
          <w:p w14:paraId="2ACD684A"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Resulta vaga la causal para declarar desierta la Licitación en caso de que no se aseguren las mejores condiciones conforme al interés público, pues no se aclara ni describen cuales son las mejores condiciones, ni el parámetro para que éstas sean conforme al interés público. </w:t>
            </w:r>
          </w:p>
          <w:p w14:paraId="25269A9A"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5505D6DE" w14:textId="77777777" w:rsidR="00750539"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Por lo anterior, sugerimos replantear la presente causal para declarar desierta la Licitación en su totalidad y describir exhaustivamente cuáles son las mejores condiciones conforme al interés público que evaluará el Instituto o en su caso, el parámetro o procedimiento que empleará para determinar d</w:t>
            </w:r>
            <w:r w:rsidR="000444BC">
              <w:rPr>
                <w:rFonts w:ascii="ITC Avant Garde" w:eastAsia="Times New Roman" w:hAnsi="ITC Avant Garde"/>
                <w:color w:val="000000"/>
                <w:sz w:val="20"/>
                <w:szCs w:val="20"/>
                <w:lang w:eastAsia="es-MX"/>
              </w:rPr>
              <w:t>icho supuesto.</w:t>
            </w:r>
          </w:p>
        </w:tc>
      </w:tr>
      <w:tr w:rsidR="009A3B1B" w:rsidRPr="00F36A5D" w14:paraId="630349D9" w14:textId="77777777" w:rsidTr="005F3F0A">
        <w:trPr>
          <w:trHeight w:val="290"/>
        </w:trPr>
        <w:tc>
          <w:tcPr>
            <w:tcW w:w="979" w:type="pct"/>
            <w:shd w:val="clear" w:color="auto" w:fill="auto"/>
            <w:vAlign w:val="center"/>
          </w:tcPr>
          <w:p w14:paraId="0EE46DB4"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Numeral</w:t>
            </w:r>
            <w:r w:rsidRPr="000B7F85">
              <w:rPr>
                <w:rFonts w:ascii="ITC Avant Garde" w:eastAsia="Times New Roman" w:hAnsi="ITC Avant Garde"/>
                <w:color w:val="000000"/>
                <w:sz w:val="20"/>
                <w:szCs w:val="20"/>
                <w:lang w:eastAsia="es-MX"/>
              </w:rPr>
              <w:t xml:space="preserve"> 14.1</w:t>
            </w:r>
          </w:p>
        </w:tc>
        <w:tc>
          <w:tcPr>
            <w:tcW w:w="4021" w:type="pct"/>
            <w:shd w:val="clear" w:color="auto" w:fill="auto"/>
            <w:vAlign w:val="center"/>
          </w:tcPr>
          <w:p w14:paraId="6C515A65"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El Numeral</w:t>
            </w:r>
            <w:r w:rsidRPr="000B7F85">
              <w:rPr>
                <w:rFonts w:ascii="ITC Avant Garde" w:eastAsia="Times New Roman" w:hAnsi="ITC Avant Garde"/>
                <w:color w:val="000000"/>
                <w:sz w:val="20"/>
                <w:szCs w:val="20"/>
                <w:lang w:eastAsia="es-MX"/>
              </w:rPr>
              <w:t xml:space="preserve"> 14.1 establece que la vigencia de las Concesiones de Espectro Radioeléctrico para Uso Comercial que se otorguen con motivo de esta Licitación será de 10 (diez) años contados a partir de la entrega del título de concesión correspondiente.</w:t>
            </w:r>
          </w:p>
          <w:p w14:paraId="0805C3E4"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6038A438"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Sin embargo, </w:t>
            </w:r>
            <w:r w:rsidR="003A68F1">
              <w:rPr>
                <w:rFonts w:ascii="ITC Avant Garde" w:eastAsia="Times New Roman" w:hAnsi="ITC Avant Garde"/>
                <w:color w:val="000000"/>
                <w:sz w:val="20"/>
                <w:szCs w:val="20"/>
                <w:lang w:eastAsia="es-MX"/>
              </w:rPr>
              <w:t xml:space="preserve">por las razones mencionadas en la respuesta a la pregunta 14 de la sección III del presente formato, </w:t>
            </w:r>
            <w:r w:rsidR="000969C9">
              <w:rPr>
                <w:rFonts w:ascii="ITC Avant Garde" w:eastAsia="Times New Roman" w:hAnsi="ITC Avant Garde"/>
                <w:color w:val="000000"/>
                <w:sz w:val="20"/>
                <w:szCs w:val="20"/>
                <w:lang w:eastAsia="es-MX"/>
              </w:rPr>
              <w:t>se considera conveniente</w:t>
            </w:r>
            <w:r w:rsidRPr="000B7F85">
              <w:rPr>
                <w:rFonts w:ascii="ITC Avant Garde" w:eastAsia="Times New Roman" w:hAnsi="ITC Avant Garde"/>
                <w:color w:val="000000"/>
                <w:sz w:val="20"/>
                <w:szCs w:val="20"/>
                <w:lang w:eastAsia="es-MX"/>
              </w:rPr>
              <w:t xml:space="preserve"> otorgar las Concesiones de Espectro Radioeléctrico para Uso Comercial con una vigencia de </w:t>
            </w:r>
            <w:r w:rsidR="00F03BCA">
              <w:rPr>
                <w:rFonts w:ascii="ITC Avant Garde" w:eastAsia="Times New Roman" w:hAnsi="ITC Avant Garde"/>
                <w:color w:val="000000"/>
                <w:sz w:val="20"/>
                <w:szCs w:val="20"/>
                <w:lang w:eastAsia="es-MX"/>
              </w:rPr>
              <w:t>quince</w:t>
            </w:r>
            <w:r w:rsidR="00F03BCA" w:rsidRPr="000B7F85">
              <w:rPr>
                <w:rFonts w:ascii="ITC Avant Garde" w:eastAsia="Times New Roman" w:hAnsi="ITC Avant Garde"/>
                <w:color w:val="000000"/>
                <w:sz w:val="20"/>
                <w:szCs w:val="20"/>
                <w:lang w:eastAsia="es-MX"/>
              </w:rPr>
              <w:t xml:space="preserve"> </w:t>
            </w:r>
            <w:r w:rsidRPr="000B7F85">
              <w:rPr>
                <w:rFonts w:ascii="ITC Avant Garde" w:eastAsia="Times New Roman" w:hAnsi="ITC Avant Garde"/>
                <w:color w:val="000000"/>
                <w:sz w:val="20"/>
                <w:szCs w:val="20"/>
                <w:lang w:eastAsia="es-MX"/>
              </w:rPr>
              <w:t>(</w:t>
            </w:r>
            <w:r w:rsidR="00F03BCA">
              <w:rPr>
                <w:rFonts w:ascii="ITC Avant Garde" w:eastAsia="Times New Roman" w:hAnsi="ITC Avant Garde"/>
                <w:color w:val="000000"/>
                <w:sz w:val="20"/>
                <w:szCs w:val="20"/>
                <w:lang w:eastAsia="es-MX"/>
              </w:rPr>
              <w:t>15</w:t>
            </w:r>
            <w:r w:rsidRPr="000B7F85">
              <w:rPr>
                <w:rFonts w:ascii="ITC Avant Garde" w:eastAsia="Times New Roman" w:hAnsi="ITC Avant Garde"/>
                <w:color w:val="000000"/>
                <w:sz w:val="20"/>
                <w:szCs w:val="20"/>
                <w:lang w:eastAsia="es-MX"/>
              </w:rPr>
              <w:t xml:space="preserve">) años, conforme a lo establecido en el artículo 75 de la Ley Federal de Telecomunicaciones y Radiodifusión. </w:t>
            </w:r>
          </w:p>
          <w:p w14:paraId="7800E07E"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54B12E0B"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En virtud de lo anterior, sugerimos que la redacción se modifique para quedar de la siguiente manera:</w:t>
            </w:r>
          </w:p>
          <w:p w14:paraId="2C4047F8"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3915C51E" w14:textId="77777777" w:rsidR="009A3B1B" w:rsidRDefault="009A3B1B" w:rsidP="00E06BAC">
            <w:pPr>
              <w:spacing w:after="0" w:line="240" w:lineRule="auto"/>
              <w:ind w:left="384"/>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w:t>
            </w:r>
            <w:r w:rsidRPr="0077692C">
              <w:rPr>
                <w:rFonts w:ascii="ITC Avant Garde" w:eastAsia="Times New Roman" w:hAnsi="ITC Avant Garde"/>
                <w:i/>
                <w:color w:val="000000"/>
                <w:sz w:val="20"/>
                <w:szCs w:val="20"/>
                <w:lang w:eastAsia="es-MX"/>
              </w:rPr>
              <w:t xml:space="preserve">14.1. La vigencia de las Concesiones de Espectro Radioeléctrico para Uso Comercial que se otorguen con motivo de esta Licitación será de </w:t>
            </w:r>
            <w:r w:rsidR="00F03BCA">
              <w:rPr>
                <w:rFonts w:ascii="ITC Avant Garde" w:eastAsia="Times New Roman" w:hAnsi="ITC Avant Garde"/>
                <w:i/>
                <w:color w:val="000000"/>
                <w:sz w:val="20"/>
                <w:szCs w:val="20"/>
                <w:lang w:eastAsia="es-MX"/>
              </w:rPr>
              <w:t>15</w:t>
            </w:r>
            <w:r w:rsidRPr="0022068A">
              <w:rPr>
                <w:rFonts w:ascii="ITC Avant Garde" w:eastAsia="Times New Roman" w:hAnsi="ITC Avant Garde"/>
                <w:i/>
                <w:color w:val="000000"/>
                <w:sz w:val="20"/>
                <w:szCs w:val="20"/>
                <w:u w:val="single"/>
                <w:lang w:eastAsia="es-MX"/>
              </w:rPr>
              <w:t xml:space="preserve"> (</w:t>
            </w:r>
            <w:r w:rsidR="00F03BCA">
              <w:rPr>
                <w:rFonts w:ascii="ITC Avant Garde" w:eastAsia="Times New Roman" w:hAnsi="ITC Avant Garde"/>
                <w:i/>
                <w:color w:val="000000"/>
                <w:sz w:val="20"/>
                <w:szCs w:val="20"/>
                <w:u w:val="single"/>
                <w:lang w:eastAsia="es-MX"/>
              </w:rPr>
              <w:t>quinc</w:t>
            </w:r>
            <w:r w:rsidRPr="0022068A">
              <w:rPr>
                <w:rFonts w:ascii="ITC Avant Garde" w:eastAsia="Times New Roman" w:hAnsi="ITC Avant Garde"/>
                <w:i/>
                <w:color w:val="000000"/>
                <w:sz w:val="20"/>
                <w:szCs w:val="20"/>
                <w:u w:val="single"/>
                <w:lang w:eastAsia="es-MX"/>
              </w:rPr>
              <w:t>e)</w:t>
            </w:r>
            <w:r w:rsidRPr="0077692C">
              <w:rPr>
                <w:rFonts w:ascii="ITC Avant Garde" w:eastAsia="Times New Roman" w:hAnsi="ITC Avant Garde"/>
                <w:i/>
                <w:color w:val="000000"/>
                <w:sz w:val="20"/>
                <w:szCs w:val="20"/>
                <w:lang w:eastAsia="es-MX"/>
              </w:rPr>
              <w:t xml:space="preserve"> años contados a partir de la entrega del título de concesión correspondiente, mismos que podrán prorrogarse en los términos que establezca la Ley.</w:t>
            </w:r>
            <w:r w:rsidRPr="000B7F85">
              <w:rPr>
                <w:rFonts w:ascii="ITC Avant Garde" w:eastAsia="Times New Roman" w:hAnsi="ITC Avant Garde"/>
                <w:color w:val="000000"/>
                <w:sz w:val="20"/>
                <w:szCs w:val="20"/>
                <w:lang w:eastAsia="es-MX"/>
              </w:rPr>
              <w:t>”</w:t>
            </w:r>
          </w:p>
          <w:p w14:paraId="1337E971"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tc>
      </w:tr>
      <w:tr w:rsidR="009A3B1B" w:rsidRPr="00F36A5D" w14:paraId="25E8F94B" w14:textId="77777777" w:rsidTr="005F3F0A">
        <w:trPr>
          <w:trHeight w:val="290"/>
        </w:trPr>
        <w:tc>
          <w:tcPr>
            <w:tcW w:w="979" w:type="pct"/>
            <w:shd w:val="clear" w:color="auto" w:fill="auto"/>
            <w:vAlign w:val="center"/>
          </w:tcPr>
          <w:p w14:paraId="1034F3B5"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Numeral</w:t>
            </w:r>
            <w:r w:rsidRPr="000B7F85">
              <w:rPr>
                <w:rFonts w:ascii="ITC Avant Garde" w:eastAsia="Times New Roman" w:hAnsi="ITC Avant Garde"/>
                <w:color w:val="000000"/>
                <w:sz w:val="20"/>
                <w:szCs w:val="20"/>
                <w:lang w:eastAsia="es-MX"/>
              </w:rPr>
              <w:t xml:space="preserve"> 16.8</w:t>
            </w:r>
          </w:p>
        </w:tc>
        <w:tc>
          <w:tcPr>
            <w:tcW w:w="4021" w:type="pct"/>
            <w:shd w:val="clear" w:color="auto" w:fill="auto"/>
            <w:vAlign w:val="center"/>
          </w:tcPr>
          <w:p w14:paraId="5A76337B"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El Numeral</w:t>
            </w:r>
            <w:r w:rsidRPr="000B7F85">
              <w:rPr>
                <w:rFonts w:ascii="ITC Avant Garde" w:eastAsia="Times New Roman" w:hAnsi="ITC Avant Garde"/>
                <w:color w:val="000000"/>
                <w:sz w:val="20"/>
                <w:szCs w:val="20"/>
                <w:lang w:eastAsia="es-MX"/>
              </w:rPr>
              <w:t xml:space="preserve"> 16.8 establece que el Instituto se reserva el derecho de requerir a los Participantes o Participantes Ganadores cualquier información o documentación relacionada con </w:t>
            </w:r>
            <w:r w:rsidR="0077692C">
              <w:rPr>
                <w:rFonts w:ascii="ITC Avant Garde" w:eastAsia="Times New Roman" w:hAnsi="ITC Avant Garde"/>
                <w:color w:val="000000"/>
                <w:sz w:val="20"/>
                <w:szCs w:val="20"/>
                <w:lang w:eastAsia="es-MX"/>
              </w:rPr>
              <w:t xml:space="preserve">el Apéndice A y el Apéndice E, los cuales </w:t>
            </w:r>
            <w:r w:rsidRPr="000B7F85">
              <w:rPr>
                <w:rFonts w:ascii="ITC Avant Garde" w:eastAsia="Times New Roman" w:hAnsi="ITC Avant Garde"/>
                <w:color w:val="000000"/>
                <w:sz w:val="20"/>
                <w:szCs w:val="20"/>
                <w:lang w:eastAsia="es-MX"/>
              </w:rPr>
              <w:t>estarán obligados a presentarla en el Domicilio del Instituto, dentro de los 5 (cinco) días hábiles siguientes a la notificación de dicho requerimiento.</w:t>
            </w:r>
          </w:p>
          <w:p w14:paraId="03A1CF87"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71A31959" w14:textId="77777777" w:rsidR="009A3B1B"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Al respecto, sugerimos que el Instituto aclare si se podrá solicitar prórroga a dicho plazo de cinco días hábiles</w:t>
            </w:r>
            <w:r w:rsidR="0077692C">
              <w:rPr>
                <w:rFonts w:ascii="ITC Avant Garde" w:eastAsia="Times New Roman" w:hAnsi="ITC Avant Garde"/>
                <w:color w:val="000000"/>
                <w:sz w:val="20"/>
                <w:szCs w:val="20"/>
                <w:lang w:eastAsia="es-MX"/>
              </w:rPr>
              <w:t xml:space="preserve">, ya que pueden existir la situación de que se requiera una prórroga </w:t>
            </w:r>
            <w:r w:rsidR="0077692C">
              <w:rPr>
                <w:rFonts w:ascii="ITC Avant Garde" w:eastAsia="Times New Roman" w:hAnsi="ITC Avant Garde"/>
                <w:color w:val="000000"/>
                <w:sz w:val="20"/>
                <w:szCs w:val="20"/>
                <w:lang w:eastAsia="es-MX"/>
              </w:rPr>
              <w:lastRenderedPageBreak/>
              <w:t>por la cantidad o naturaleza del requerimiento, por lo que resultaría conveniente prever una única prórroga por causas justificadas del solicitante.</w:t>
            </w:r>
          </w:p>
          <w:p w14:paraId="19106B16" w14:textId="77777777" w:rsidR="0077692C" w:rsidRPr="000B7F85" w:rsidRDefault="0077692C" w:rsidP="009A3B1B">
            <w:pPr>
              <w:spacing w:after="0" w:line="240" w:lineRule="auto"/>
              <w:jc w:val="both"/>
              <w:rPr>
                <w:rFonts w:ascii="ITC Avant Garde" w:eastAsia="Times New Roman" w:hAnsi="ITC Avant Garde"/>
                <w:color w:val="000000"/>
                <w:sz w:val="20"/>
                <w:szCs w:val="20"/>
                <w:lang w:eastAsia="es-MX"/>
              </w:rPr>
            </w:pPr>
          </w:p>
        </w:tc>
      </w:tr>
      <w:tr w:rsidR="0077692C" w:rsidRPr="00F36A5D" w14:paraId="7B3B8C7E" w14:textId="77777777" w:rsidTr="005F3F0A">
        <w:trPr>
          <w:trHeight w:val="290"/>
        </w:trPr>
        <w:tc>
          <w:tcPr>
            <w:tcW w:w="979" w:type="pct"/>
            <w:shd w:val="clear" w:color="auto" w:fill="auto"/>
            <w:vAlign w:val="center"/>
          </w:tcPr>
          <w:p w14:paraId="75B084F7" w14:textId="77777777" w:rsidR="0077692C" w:rsidRDefault="0077692C"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Numeral 16.25</w:t>
            </w:r>
          </w:p>
        </w:tc>
        <w:tc>
          <w:tcPr>
            <w:tcW w:w="4021" w:type="pct"/>
            <w:shd w:val="clear" w:color="auto" w:fill="auto"/>
            <w:vAlign w:val="center"/>
          </w:tcPr>
          <w:p w14:paraId="0FE9E5F4" w14:textId="77777777" w:rsidR="0077692C" w:rsidRDefault="0077692C"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Se sugiere modificar su redacción para incluir adicionalmente como medio de contacto permitido el que se puede llevar a través de la UCE en términos del numeral 6.2.1 del proyecto de Bases</w:t>
            </w:r>
            <w:r w:rsidR="001A4A59">
              <w:rPr>
                <w:rFonts w:ascii="ITC Avant Garde" w:eastAsia="Times New Roman" w:hAnsi="ITC Avant Garde"/>
                <w:color w:val="000000"/>
                <w:sz w:val="20"/>
                <w:szCs w:val="20"/>
                <w:lang w:eastAsia="es-MX"/>
              </w:rPr>
              <w:t>, el cual señalar que: “</w:t>
            </w:r>
            <w:r w:rsidR="001A4A59" w:rsidRPr="001A4A59">
              <w:rPr>
                <w:rFonts w:ascii="ITC Avant Garde" w:eastAsia="Times New Roman" w:hAnsi="ITC Avant Garde"/>
                <w:i/>
                <w:color w:val="000000"/>
                <w:sz w:val="20"/>
                <w:szCs w:val="20"/>
                <w:lang w:eastAsia="es-MX"/>
              </w:rPr>
              <w:t xml:space="preserve">Las dudas, orientaciones y consultas referentes al presente Apéndice </w:t>
            </w:r>
            <w:r w:rsidR="001A4A59" w:rsidRPr="001A4A59">
              <w:rPr>
                <w:rFonts w:ascii="ITC Avant Garde" w:eastAsia="Times New Roman" w:hAnsi="ITC Avant Garde"/>
                <w:color w:val="000000"/>
                <w:sz w:val="20"/>
                <w:szCs w:val="20"/>
                <w:lang w:eastAsia="es-MX"/>
              </w:rPr>
              <w:t>[E]</w:t>
            </w:r>
            <w:r w:rsidR="001A4A59" w:rsidRPr="001A4A59">
              <w:rPr>
                <w:rFonts w:ascii="ITC Avant Garde" w:eastAsia="Times New Roman" w:hAnsi="ITC Avant Garde"/>
                <w:i/>
                <w:color w:val="000000"/>
                <w:sz w:val="20"/>
                <w:szCs w:val="20"/>
                <w:lang w:eastAsia="es-MX"/>
              </w:rPr>
              <w:t xml:space="preserve"> serán atendidas por la Dirección General de Concentraciones y Concesiones</w:t>
            </w:r>
            <w:r w:rsidR="001A4A59">
              <w:rPr>
                <w:rFonts w:ascii="ITC Avant Garde" w:eastAsia="Times New Roman" w:hAnsi="ITC Avant Garde"/>
                <w:color w:val="000000"/>
                <w:sz w:val="20"/>
                <w:szCs w:val="20"/>
                <w:lang w:eastAsia="es-MX"/>
              </w:rPr>
              <w:t>…”.</w:t>
            </w:r>
          </w:p>
          <w:p w14:paraId="1B277C9D" w14:textId="77777777" w:rsidR="001A4A59" w:rsidRDefault="001A4A59" w:rsidP="009A3B1B">
            <w:pPr>
              <w:spacing w:after="0" w:line="240" w:lineRule="auto"/>
              <w:jc w:val="both"/>
              <w:rPr>
                <w:rFonts w:ascii="ITC Avant Garde" w:eastAsia="Times New Roman" w:hAnsi="ITC Avant Garde"/>
                <w:color w:val="000000"/>
                <w:sz w:val="20"/>
                <w:szCs w:val="20"/>
                <w:lang w:eastAsia="es-MX"/>
              </w:rPr>
            </w:pPr>
          </w:p>
          <w:p w14:paraId="54E444A3" w14:textId="77777777" w:rsidR="001A4A59" w:rsidRDefault="001A4A59" w:rsidP="001A4A59">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A continuación se presentan los ajustes al párrafo correspondiente (subrayado para fácil referencia):</w:t>
            </w:r>
          </w:p>
          <w:p w14:paraId="542A047E" w14:textId="77777777" w:rsidR="001A4A59" w:rsidRDefault="001A4A59" w:rsidP="001A4A59">
            <w:pPr>
              <w:spacing w:after="0" w:line="240" w:lineRule="auto"/>
              <w:jc w:val="both"/>
              <w:rPr>
                <w:rFonts w:ascii="ITC Avant Garde" w:eastAsia="Times New Roman" w:hAnsi="ITC Avant Garde"/>
                <w:color w:val="000000"/>
                <w:sz w:val="20"/>
                <w:szCs w:val="20"/>
                <w:lang w:eastAsia="es-MX"/>
              </w:rPr>
            </w:pPr>
          </w:p>
          <w:p w14:paraId="6AFB4976" w14:textId="77777777" w:rsidR="001A4A59" w:rsidRPr="001A4A59" w:rsidRDefault="001A4A59" w:rsidP="00E06BAC">
            <w:pPr>
              <w:spacing w:after="0" w:line="240" w:lineRule="auto"/>
              <w:ind w:left="384"/>
              <w:jc w:val="both"/>
              <w:rPr>
                <w:rFonts w:ascii="ITC Avant Garde" w:eastAsia="Times New Roman" w:hAnsi="ITC Avant Garde"/>
                <w:i/>
                <w:color w:val="000000"/>
                <w:sz w:val="20"/>
                <w:szCs w:val="20"/>
                <w:lang w:eastAsia="es-MX"/>
              </w:rPr>
            </w:pPr>
            <w:r>
              <w:rPr>
                <w:rFonts w:ascii="ITC Avant Garde" w:eastAsia="Times New Roman" w:hAnsi="ITC Avant Garde"/>
                <w:color w:val="000000"/>
                <w:sz w:val="20"/>
                <w:szCs w:val="20"/>
                <w:lang w:eastAsia="es-MX"/>
              </w:rPr>
              <w:t>“</w:t>
            </w:r>
            <w:r w:rsidRPr="001A4A59">
              <w:rPr>
                <w:rFonts w:ascii="ITC Avant Garde" w:eastAsia="Times New Roman" w:hAnsi="ITC Avant Garde"/>
                <w:i/>
                <w:color w:val="000000"/>
                <w:sz w:val="20"/>
                <w:szCs w:val="20"/>
                <w:lang w:eastAsia="es-MX"/>
              </w:rPr>
              <w:t>Los Interesados, Participantes o Participantes Ganadores se abstendrán en todo momento de contactar a cualquier servidor público del Instituto respecto de la presente Licitación. El único medio de contacto permitido será a través de</w:t>
            </w:r>
            <w:r w:rsidRPr="001A4A59">
              <w:rPr>
                <w:rFonts w:ascii="ITC Avant Garde" w:eastAsia="Times New Roman" w:hAnsi="ITC Avant Garde"/>
                <w:i/>
                <w:color w:val="000000"/>
                <w:sz w:val="20"/>
                <w:szCs w:val="20"/>
                <w:u w:val="single"/>
                <w:lang w:eastAsia="es-MX"/>
              </w:rPr>
              <w:t>: (i)</w:t>
            </w:r>
            <w:r w:rsidRPr="001A4A59">
              <w:rPr>
                <w:rFonts w:ascii="ITC Avant Garde" w:eastAsia="Times New Roman" w:hAnsi="ITC Avant Garde"/>
                <w:i/>
                <w:color w:val="000000"/>
                <w:sz w:val="20"/>
                <w:szCs w:val="20"/>
                <w:lang w:eastAsia="es-MX"/>
              </w:rPr>
              <w:t xml:space="preserve"> la Mesa de Ayuda, únicamente para los fines indicados en el numeral 7 de las presentes Bases</w:t>
            </w:r>
            <w:r w:rsidRPr="001A4A59">
              <w:rPr>
                <w:rFonts w:ascii="ITC Avant Garde" w:eastAsia="Times New Roman" w:hAnsi="ITC Avant Garde"/>
                <w:i/>
                <w:color w:val="000000"/>
                <w:sz w:val="20"/>
                <w:szCs w:val="20"/>
                <w:u w:val="single"/>
                <w:lang w:eastAsia="es-MX"/>
              </w:rPr>
              <w:t>, y (ii) la Dirección General de Concentraciones y Concesiones, únicamente para los fines indicados en el numeral 6.2.1 de las presentes Bases</w:t>
            </w:r>
            <w:r w:rsidRPr="001A4A59">
              <w:rPr>
                <w:rFonts w:ascii="ITC Avant Garde" w:eastAsia="Times New Roman" w:hAnsi="ITC Avant Garde"/>
                <w:i/>
                <w:color w:val="000000"/>
                <w:sz w:val="20"/>
                <w:szCs w:val="20"/>
                <w:lang w:eastAsia="es-MX"/>
              </w:rPr>
              <w:t>.</w:t>
            </w:r>
            <w:r w:rsidRPr="001A4A59">
              <w:rPr>
                <w:rFonts w:ascii="ITC Avant Garde" w:eastAsia="Times New Roman" w:hAnsi="ITC Avant Garde"/>
                <w:color w:val="000000"/>
                <w:sz w:val="20"/>
                <w:szCs w:val="20"/>
                <w:lang w:eastAsia="es-MX"/>
              </w:rPr>
              <w:t>”</w:t>
            </w:r>
          </w:p>
          <w:p w14:paraId="453E1F17" w14:textId="77777777" w:rsidR="0077692C" w:rsidRDefault="0077692C" w:rsidP="009A3B1B">
            <w:pPr>
              <w:spacing w:after="0" w:line="240" w:lineRule="auto"/>
              <w:jc w:val="both"/>
              <w:rPr>
                <w:rFonts w:ascii="ITC Avant Garde" w:eastAsia="Times New Roman" w:hAnsi="ITC Avant Garde"/>
                <w:color w:val="000000"/>
                <w:sz w:val="20"/>
                <w:szCs w:val="20"/>
                <w:lang w:eastAsia="es-MX"/>
              </w:rPr>
            </w:pPr>
          </w:p>
        </w:tc>
      </w:tr>
      <w:tr w:rsidR="009A3B1B" w:rsidRPr="00F36A5D" w14:paraId="6231A396" w14:textId="77777777" w:rsidTr="005F3F0A">
        <w:trPr>
          <w:trHeight w:val="290"/>
        </w:trPr>
        <w:tc>
          <w:tcPr>
            <w:tcW w:w="979" w:type="pct"/>
            <w:shd w:val="clear" w:color="auto" w:fill="auto"/>
            <w:vAlign w:val="center"/>
          </w:tcPr>
          <w:p w14:paraId="3689C77E"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Numeral</w:t>
            </w:r>
            <w:r w:rsidRPr="000B7F85">
              <w:rPr>
                <w:rFonts w:ascii="ITC Avant Garde" w:eastAsia="Times New Roman" w:hAnsi="ITC Avant Garde"/>
                <w:color w:val="000000"/>
                <w:sz w:val="20"/>
                <w:szCs w:val="20"/>
                <w:lang w:eastAsia="es-MX"/>
              </w:rPr>
              <w:t xml:space="preserve"> 17</w:t>
            </w:r>
          </w:p>
        </w:tc>
        <w:tc>
          <w:tcPr>
            <w:tcW w:w="4021" w:type="pct"/>
            <w:shd w:val="clear" w:color="auto" w:fill="auto"/>
            <w:vAlign w:val="center"/>
          </w:tcPr>
          <w:p w14:paraId="5EB70137"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El Numeral</w:t>
            </w:r>
            <w:r w:rsidRPr="000B7F85">
              <w:rPr>
                <w:rFonts w:ascii="ITC Avant Garde" w:eastAsia="Times New Roman" w:hAnsi="ITC Avant Garde"/>
                <w:color w:val="000000"/>
                <w:sz w:val="20"/>
                <w:szCs w:val="20"/>
                <w:lang w:eastAsia="es-MX"/>
              </w:rPr>
              <w:t xml:space="preserve"> 17 establece que contra las determinaciones mediante las cuales se asigne al Participante Ganador, se determine la descalificación de algún Participante o Participante Ganador, se den a conocer las causas por las cuales no se obtuvo la Constancia de Participación o se declare desierta la Licitación, únicamente procederá el juicio de amparo indirecto en los términos establecidos en el artículo 312 de la Ley.</w:t>
            </w:r>
          </w:p>
          <w:p w14:paraId="2DB69005"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4FBFDF04"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El juicio de amparo indirecto resulta también el medio de impugnación idóneo en caso de que se quiera impugnar la determinación de ejecución de la Garantía de Seriedad. </w:t>
            </w:r>
          </w:p>
          <w:p w14:paraId="0EDB7612"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144D4D4F"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Por lo anterior sugerimos que la redacción </w:t>
            </w:r>
            <w:r>
              <w:rPr>
                <w:rFonts w:ascii="ITC Avant Garde" w:eastAsia="Times New Roman" w:hAnsi="ITC Avant Garde"/>
                <w:color w:val="000000"/>
                <w:sz w:val="20"/>
                <w:szCs w:val="20"/>
                <w:lang w:eastAsia="es-MX"/>
              </w:rPr>
              <w:t>del Numeral</w:t>
            </w:r>
            <w:r w:rsidRPr="000B7F85">
              <w:rPr>
                <w:rFonts w:ascii="ITC Avant Garde" w:eastAsia="Times New Roman" w:hAnsi="ITC Avant Garde"/>
                <w:color w:val="000000"/>
                <w:sz w:val="20"/>
                <w:szCs w:val="20"/>
                <w:lang w:eastAsia="es-MX"/>
              </w:rPr>
              <w:t xml:space="preserve"> 17 se modifique de la siguiente manera:</w:t>
            </w:r>
          </w:p>
          <w:p w14:paraId="749B8F16"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0ECD3276" w14:textId="77777777" w:rsidR="009A3B1B" w:rsidRDefault="009A3B1B" w:rsidP="00E06BAC">
            <w:pPr>
              <w:spacing w:after="0" w:line="240" w:lineRule="auto"/>
              <w:ind w:left="384"/>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w:t>
            </w:r>
            <w:r w:rsidRPr="00E76941">
              <w:rPr>
                <w:rFonts w:ascii="ITC Avant Garde" w:eastAsia="Times New Roman" w:hAnsi="ITC Avant Garde"/>
                <w:i/>
                <w:color w:val="000000"/>
                <w:sz w:val="20"/>
                <w:szCs w:val="20"/>
                <w:lang w:eastAsia="es-MX"/>
              </w:rPr>
              <w:t>Contra las determinaciones mediante las cuales se asigne al Participante Ganador, se determine la descalificación de algún Participante o Participante Ganador, se den a conocer las causas por las cuales no se obtuvo la Constancia de Participación</w:t>
            </w:r>
            <w:r w:rsidRPr="00E76941">
              <w:rPr>
                <w:rFonts w:ascii="ITC Avant Garde" w:eastAsia="Times New Roman" w:hAnsi="ITC Avant Garde"/>
                <w:i/>
                <w:color w:val="000000"/>
                <w:sz w:val="20"/>
                <w:szCs w:val="20"/>
                <w:u w:val="single"/>
                <w:lang w:eastAsia="es-MX"/>
              </w:rPr>
              <w:t>, se determine ejecutar la Garantía de Seriedad</w:t>
            </w:r>
            <w:r w:rsidRPr="00E76941">
              <w:rPr>
                <w:rFonts w:ascii="ITC Avant Garde" w:eastAsia="Times New Roman" w:hAnsi="ITC Avant Garde"/>
                <w:i/>
                <w:color w:val="000000"/>
                <w:sz w:val="20"/>
                <w:szCs w:val="20"/>
                <w:lang w:eastAsia="es-MX"/>
              </w:rPr>
              <w:t xml:space="preserve"> o se declare desierta la Licitación, únicamente procederá el juicio de amparo indirecto en los términos establecidos en el artículo 312 de la Ley.</w:t>
            </w:r>
            <w:r w:rsidRPr="000B7F85">
              <w:rPr>
                <w:rFonts w:ascii="ITC Avant Garde" w:eastAsia="Times New Roman" w:hAnsi="ITC Avant Garde"/>
                <w:color w:val="000000"/>
                <w:sz w:val="20"/>
                <w:szCs w:val="20"/>
                <w:lang w:eastAsia="es-MX"/>
              </w:rPr>
              <w:t>”</w:t>
            </w:r>
          </w:p>
          <w:p w14:paraId="711588E5" w14:textId="77777777" w:rsidR="0077692C" w:rsidRPr="000B7F85" w:rsidRDefault="0077692C" w:rsidP="009A3B1B">
            <w:pPr>
              <w:spacing w:after="0" w:line="240" w:lineRule="auto"/>
              <w:jc w:val="both"/>
              <w:rPr>
                <w:rFonts w:ascii="ITC Avant Garde" w:eastAsia="Times New Roman" w:hAnsi="ITC Avant Garde"/>
                <w:color w:val="000000"/>
                <w:sz w:val="20"/>
                <w:szCs w:val="20"/>
                <w:lang w:eastAsia="es-MX"/>
              </w:rPr>
            </w:pPr>
          </w:p>
        </w:tc>
      </w:tr>
      <w:tr w:rsidR="009A3B1B" w:rsidRPr="00F36A5D" w14:paraId="0E32C62A" w14:textId="77777777" w:rsidTr="005F3F0A">
        <w:trPr>
          <w:trHeight w:val="290"/>
        </w:trPr>
        <w:tc>
          <w:tcPr>
            <w:tcW w:w="979" w:type="pct"/>
            <w:shd w:val="clear" w:color="auto" w:fill="auto"/>
            <w:vAlign w:val="center"/>
          </w:tcPr>
          <w:p w14:paraId="255DAF00" w14:textId="77777777" w:rsidR="009A3B1B" w:rsidRPr="000B7F85" w:rsidRDefault="009A3B1B" w:rsidP="007768EC">
            <w:pPr>
              <w:spacing w:after="0" w:line="240" w:lineRule="auto"/>
              <w:jc w:val="center"/>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Apéndice A. Formulario de Requisitos, </w:t>
            </w:r>
            <w:r w:rsidR="007768EC">
              <w:rPr>
                <w:rFonts w:ascii="ITC Avant Garde" w:eastAsia="Times New Roman" w:hAnsi="ITC Avant Garde"/>
                <w:color w:val="000000"/>
                <w:sz w:val="20"/>
                <w:szCs w:val="20"/>
                <w:lang w:eastAsia="es-MX"/>
              </w:rPr>
              <w:t>N</w:t>
            </w:r>
            <w:r w:rsidR="00E76941">
              <w:rPr>
                <w:rFonts w:ascii="ITC Avant Garde" w:eastAsia="Times New Roman" w:hAnsi="ITC Avant Garde"/>
                <w:color w:val="000000"/>
                <w:sz w:val="20"/>
                <w:szCs w:val="20"/>
                <w:lang w:eastAsia="es-MX"/>
              </w:rPr>
              <w:t>umeral</w:t>
            </w:r>
            <w:r w:rsidRPr="000B7F85">
              <w:rPr>
                <w:rFonts w:ascii="ITC Avant Garde" w:eastAsia="Times New Roman" w:hAnsi="ITC Avant Garde"/>
                <w:color w:val="000000"/>
                <w:sz w:val="20"/>
                <w:szCs w:val="20"/>
                <w:lang w:eastAsia="es-MX"/>
              </w:rPr>
              <w:t xml:space="preserve"> 1.2</w:t>
            </w:r>
          </w:p>
        </w:tc>
        <w:tc>
          <w:tcPr>
            <w:tcW w:w="4021" w:type="pct"/>
            <w:shd w:val="clear" w:color="auto" w:fill="auto"/>
            <w:vAlign w:val="center"/>
          </w:tcPr>
          <w:p w14:paraId="160F4FFF"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El </w:t>
            </w:r>
            <w:r w:rsidR="00E76941">
              <w:rPr>
                <w:rFonts w:ascii="ITC Avant Garde" w:eastAsia="Times New Roman" w:hAnsi="ITC Avant Garde"/>
                <w:color w:val="000000"/>
                <w:sz w:val="20"/>
                <w:szCs w:val="20"/>
                <w:lang w:eastAsia="es-MX"/>
              </w:rPr>
              <w:t>Numeral</w:t>
            </w:r>
            <w:r w:rsidRPr="000B7F85">
              <w:rPr>
                <w:rFonts w:ascii="ITC Avant Garde" w:eastAsia="Times New Roman" w:hAnsi="ITC Avant Garde"/>
                <w:color w:val="000000"/>
                <w:sz w:val="20"/>
                <w:szCs w:val="20"/>
                <w:lang w:eastAsia="es-MX"/>
              </w:rPr>
              <w:t xml:space="preserve"> 1.2 “Capacidad económica, administrativa y técnica” del Apéndice A, establece en su primer párrafo que el Interesado deberá presentar los documentos que acrediten sus programas y compromisos financieros asociados al proyecto, así como manifestar que cuenta con la solvencia necesaria para la implementación y desarrollo del proyecto. </w:t>
            </w:r>
          </w:p>
          <w:p w14:paraId="647C9791"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1ACF7CC8" w14:textId="77777777" w:rsidR="009A3B1B" w:rsidRDefault="009A3B1B" w:rsidP="00E76941">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Sugerimos que se detalle la documentación o instrumentos que el Instituto considera pertinentes para acreditar la capacidad económica.</w:t>
            </w:r>
          </w:p>
          <w:p w14:paraId="24F2B5BC" w14:textId="77777777" w:rsidR="00E76941" w:rsidRPr="000B7F85" w:rsidRDefault="00E76941" w:rsidP="00E76941">
            <w:pPr>
              <w:spacing w:after="0" w:line="240" w:lineRule="auto"/>
              <w:jc w:val="both"/>
              <w:rPr>
                <w:rFonts w:ascii="ITC Avant Garde" w:eastAsia="Times New Roman" w:hAnsi="ITC Avant Garde"/>
                <w:color w:val="000000"/>
                <w:sz w:val="20"/>
                <w:szCs w:val="20"/>
                <w:lang w:eastAsia="es-MX"/>
              </w:rPr>
            </w:pPr>
          </w:p>
        </w:tc>
      </w:tr>
      <w:tr w:rsidR="009A3B1B" w:rsidRPr="00F36A5D" w14:paraId="26A9AC30" w14:textId="77777777" w:rsidTr="005F3F0A">
        <w:trPr>
          <w:trHeight w:val="290"/>
        </w:trPr>
        <w:tc>
          <w:tcPr>
            <w:tcW w:w="979" w:type="pct"/>
            <w:shd w:val="clear" w:color="auto" w:fill="auto"/>
            <w:vAlign w:val="center"/>
          </w:tcPr>
          <w:p w14:paraId="4CE8FD11" w14:textId="77777777" w:rsidR="009A3B1B" w:rsidRPr="007768EC" w:rsidRDefault="009A3B1B" w:rsidP="007768EC">
            <w:pPr>
              <w:spacing w:after="0" w:line="240" w:lineRule="auto"/>
              <w:jc w:val="center"/>
              <w:rPr>
                <w:rFonts w:ascii="ITC Avant Garde" w:eastAsia="Times New Roman" w:hAnsi="ITC Avant Garde"/>
                <w:color w:val="000000"/>
                <w:sz w:val="20"/>
                <w:szCs w:val="20"/>
                <w:lang w:eastAsia="es-MX"/>
              </w:rPr>
            </w:pPr>
            <w:r w:rsidRPr="007768EC">
              <w:rPr>
                <w:rFonts w:ascii="ITC Avant Garde" w:eastAsia="Times New Roman" w:hAnsi="ITC Avant Garde"/>
                <w:color w:val="000000"/>
                <w:sz w:val="20"/>
                <w:szCs w:val="20"/>
                <w:lang w:eastAsia="es-MX"/>
              </w:rPr>
              <w:lastRenderedPageBreak/>
              <w:t xml:space="preserve">Apéndice A. Formulario de Requisitos, </w:t>
            </w:r>
            <w:r w:rsidR="007768EC" w:rsidRPr="007768EC">
              <w:rPr>
                <w:rFonts w:ascii="ITC Avant Garde" w:eastAsia="Times New Roman" w:hAnsi="ITC Avant Garde"/>
                <w:color w:val="000000"/>
                <w:sz w:val="20"/>
                <w:szCs w:val="20"/>
                <w:lang w:eastAsia="es-MX"/>
              </w:rPr>
              <w:t>Numeral</w:t>
            </w:r>
            <w:r w:rsidRPr="007768EC">
              <w:rPr>
                <w:rFonts w:ascii="ITC Avant Garde" w:eastAsia="Times New Roman" w:hAnsi="ITC Avant Garde"/>
                <w:color w:val="000000"/>
                <w:sz w:val="20"/>
                <w:szCs w:val="20"/>
                <w:lang w:eastAsia="es-MX"/>
              </w:rPr>
              <w:t xml:space="preserve"> 1.2</w:t>
            </w:r>
          </w:p>
        </w:tc>
        <w:tc>
          <w:tcPr>
            <w:tcW w:w="4021" w:type="pct"/>
            <w:shd w:val="clear" w:color="auto" w:fill="auto"/>
            <w:vAlign w:val="center"/>
          </w:tcPr>
          <w:p w14:paraId="21415DC7"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El segundo párrafo del </w:t>
            </w:r>
            <w:r w:rsidR="007768EC">
              <w:rPr>
                <w:rFonts w:ascii="ITC Avant Garde" w:eastAsia="Times New Roman" w:hAnsi="ITC Avant Garde"/>
                <w:color w:val="000000"/>
                <w:sz w:val="20"/>
                <w:szCs w:val="20"/>
                <w:lang w:eastAsia="es-MX"/>
              </w:rPr>
              <w:t>Numeral</w:t>
            </w:r>
            <w:r w:rsidRPr="000B7F85">
              <w:rPr>
                <w:rFonts w:ascii="ITC Avant Garde" w:eastAsia="Times New Roman" w:hAnsi="ITC Avant Garde"/>
                <w:color w:val="000000"/>
                <w:sz w:val="20"/>
                <w:szCs w:val="20"/>
                <w:lang w:eastAsia="es-MX"/>
              </w:rPr>
              <w:t xml:space="preserve"> 1.2 “Capacidad económica, administrativa y técnica” del Apéndice A, establece que el Interesado deberá presentar los documentos en que consten las especificaciones técnicas y el programa de desarrollo tecnológico para la prestación del </w:t>
            </w:r>
            <w:r w:rsidR="007768EC">
              <w:rPr>
                <w:rFonts w:ascii="ITC Avant Garde" w:eastAsia="Times New Roman" w:hAnsi="ITC Avant Garde"/>
                <w:color w:val="000000"/>
                <w:sz w:val="20"/>
                <w:szCs w:val="20"/>
                <w:lang w:eastAsia="es-MX"/>
              </w:rPr>
              <w:t>“</w:t>
            </w:r>
            <w:r w:rsidRPr="000B7F85">
              <w:rPr>
                <w:rFonts w:ascii="ITC Avant Garde" w:eastAsia="Times New Roman" w:hAnsi="ITC Avant Garde"/>
                <w:color w:val="000000"/>
                <w:sz w:val="20"/>
                <w:szCs w:val="20"/>
                <w:lang w:eastAsia="es-MX"/>
              </w:rPr>
              <w:t>servicio de acceso inalámbrico</w:t>
            </w:r>
            <w:r w:rsidR="007768EC">
              <w:rPr>
                <w:rFonts w:ascii="ITC Avant Garde" w:eastAsia="Times New Roman" w:hAnsi="ITC Avant Garde"/>
                <w:color w:val="000000"/>
                <w:sz w:val="20"/>
                <w:szCs w:val="20"/>
                <w:lang w:eastAsia="es-MX"/>
              </w:rPr>
              <w:t>” (sic)</w:t>
            </w:r>
            <w:r w:rsidRPr="000B7F85">
              <w:rPr>
                <w:rFonts w:ascii="ITC Avant Garde" w:eastAsia="Times New Roman" w:hAnsi="ITC Avant Garde"/>
                <w:color w:val="000000"/>
                <w:sz w:val="20"/>
                <w:szCs w:val="20"/>
                <w:lang w:eastAsia="es-MX"/>
              </w:rPr>
              <w:t xml:space="preserve"> a que se refiere su proyecto, así como lo correspondiente a la capacidad administrativa.</w:t>
            </w:r>
          </w:p>
          <w:p w14:paraId="63B764A5"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0D9D077A"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Identificamos un error de redacción, pues se hace referencia a la prestación del servicio de acceso inalámbrico, cuando debiera hacerse referencia al Servicio Complementario Terrestre del Servicio Móvil por Satélite.</w:t>
            </w:r>
          </w:p>
          <w:p w14:paraId="5C349E9F"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69B628A7"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Por lo anterior, sugerimos la siguiente redacción</w:t>
            </w:r>
            <w:r w:rsidR="007768EC">
              <w:rPr>
                <w:rFonts w:ascii="ITC Avant Garde" w:eastAsia="Times New Roman" w:hAnsi="ITC Avant Garde"/>
                <w:color w:val="000000"/>
                <w:sz w:val="20"/>
                <w:szCs w:val="20"/>
                <w:lang w:eastAsia="es-MX"/>
              </w:rPr>
              <w:t xml:space="preserve"> (subrayado para pronta referencia)</w:t>
            </w:r>
            <w:r w:rsidRPr="000B7F85">
              <w:rPr>
                <w:rFonts w:ascii="ITC Avant Garde" w:eastAsia="Times New Roman" w:hAnsi="ITC Avant Garde"/>
                <w:color w:val="000000"/>
                <w:sz w:val="20"/>
                <w:szCs w:val="20"/>
                <w:lang w:eastAsia="es-MX"/>
              </w:rPr>
              <w:t>:</w:t>
            </w:r>
          </w:p>
          <w:p w14:paraId="0C428848"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6F72DE10" w14:textId="77777777" w:rsidR="009A3B1B" w:rsidRDefault="009A3B1B" w:rsidP="00E06BAC">
            <w:pPr>
              <w:spacing w:after="0" w:line="240" w:lineRule="auto"/>
              <w:ind w:left="384"/>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w:t>
            </w:r>
            <w:r w:rsidRPr="007768EC">
              <w:rPr>
                <w:rFonts w:ascii="ITC Avant Garde" w:eastAsia="Times New Roman" w:hAnsi="ITC Avant Garde"/>
                <w:i/>
                <w:color w:val="000000"/>
                <w:sz w:val="20"/>
                <w:szCs w:val="20"/>
                <w:lang w:eastAsia="es-MX"/>
              </w:rPr>
              <w:t xml:space="preserve">Asimismo, el Interesado deberá presentar los documentos en que consten las especificaciones técnicas y el programa de desarrollo tecnológico para la prestación del </w:t>
            </w:r>
            <w:r w:rsidRPr="007768EC">
              <w:rPr>
                <w:rFonts w:ascii="ITC Avant Garde" w:eastAsia="Times New Roman" w:hAnsi="ITC Avant Garde"/>
                <w:i/>
                <w:color w:val="000000"/>
                <w:sz w:val="20"/>
                <w:szCs w:val="20"/>
                <w:u w:val="single"/>
                <w:lang w:eastAsia="es-MX"/>
              </w:rPr>
              <w:t>Servicio Complementario Terrestre del Servicio Móvil por Satélite</w:t>
            </w:r>
            <w:r w:rsidRPr="007768EC">
              <w:rPr>
                <w:rFonts w:ascii="ITC Avant Garde" w:eastAsia="Times New Roman" w:hAnsi="ITC Avant Garde"/>
                <w:i/>
                <w:color w:val="000000"/>
                <w:sz w:val="20"/>
                <w:szCs w:val="20"/>
                <w:lang w:eastAsia="es-MX"/>
              </w:rPr>
              <w:t xml:space="preserve"> a que se refiere su proyecto, así como lo correspondiente a la capacidad administrativa.</w:t>
            </w:r>
            <w:r w:rsidRPr="000B7F85">
              <w:rPr>
                <w:rFonts w:ascii="ITC Avant Garde" w:eastAsia="Times New Roman" w:hAnsi="ITC Avant Garde"/>
                <w:color w:val="000000"/>
                <w:sz w:val="20"/>
                <w:szCs w:val="20"/>
                <w:lang w:eastAsia="es-MX"/>
              </w:rPr>
              <w:t>”</w:t>
            </w:r>
          </w:p>
          <w:p w14:paraId="24BDF696" w14:textId="77777777" w:rsidR="007768EC" w:rsidRPr="000B7F85" w:rsidRDefault="007768EC" w:rsidP="009A3B1B">
            <w:pPr>
              <w:spacing w:after="0" w:line="240" w:lineRule="auto"/>
              <w:jc w:val="both"/>
              <w:rPr>
                <w:rFonts w:ascii="ITC Avant Garde" w:eastAsia="Times New Roman" w:hAnsi="ITC Avant Garde"/>
                <w:color w:val="000000"/>
                <w:sz w:val="20"/>
                <w:szCs w:val="20"/>
                <w:lang w:eastAsia="es-MX"/>
              </w:rPr>
            </w:pPr>
          </w:p>
        </w:tc>
      </w:tr>
      <w:tr w:rsidR="009A3B1B" w:rsidRPr="00F36A5D" w14:paraId="6A070875" w14:textId="77777777" w:rsidTr="005F3F0A">
        <w:trPr>
          <w:trHeight w:val="290"/>
        </w:trPr>
        <w:tc>
          <w:tcPr>
            <w:tcW w:w="979" w:type="pct"/>
            <w:shd w:val="clear" w:color="auto" w:fill="auto"/>
            <w:vAlign w:val="center"/>
          </w:tcPr>
          <w:p w14:paraId="563F8328" w14:textId="77777777" w:rsidR="009A3B1B" w:rsidRPr="000B7F85" w:rsidRDefault="009A3B1B" w:rsidP="009A3B1B">
            <w:pPr>
              <w:spacing w:after="0" w:line="240" w:lineRule="auto"/>
              <w:jc w:val="center"/>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Anexo 2 del Apéndice A</w:t>
            </w:r>
          </w:p>
        </w:tc>
        <w:tc>
          <w:tcPr>
            <w:tcW w:w="4021" w:type="pct"/>
            <w:shd w:val="clear" w:color="auto" w:fill="auto"/>
            <w:vAlign w:val="center"/>
          </w:tcPr>
          <w:p w14:paraId="5D976794"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En la parte final del Anexo 2 “Información general del Interesado (persona moral)”, del Apéndice A, la última Nota establece que si la estructura accionaria actual no se refleja en los instrumentos públicos a que hace referencia el </w:t>
            </w:r>
            <w:r w:rsidR="007640C3">
              <w:rPr>
                <w:rFonts w:ascii="ITC Avant Garde" w:eastAsia="Times New Roman" w:hAnsi="ITC Avant Garde"/>
                <w:color w:val="000000"/>
                <w:sz w:val="20"/>
                <w:szCs w:val="20"/>
                <w:lang w:eastAsia="es-MX"/>
              </w:rPr>
              <w:t>“</w:t>
            </w:r>
            <w:r w:rsidRPr="000B7F85">
              <w:rPr>
                <w:rFonts w:ascii="ITC Avant Garde" w:eastAsia="Times New Roman" w:hAnsi="ITC Avant Garde"/>
                <w:color w:val="000000"/>
                <w:sz w:val="20"/>
                <w:szCs w:val="20"/>
                <w:lang w:eastAsia="es-MX"/>
              </w:rPr>
              <w:t>punto 4</w:t>
            </w:r>
            <w:r w:rsidR="007640C3">
              <w:rPr>
                <w:rFonts w:ascii="ITC Avant Garde" w:eastAsia="Times New Roman" w:hAnsi="ITC Avant Garde"/>
                <w:color w:val="000000"/>
                <w:sz w:val="20"/>
                <w:szCs w:val="20"/>
                <w:lang w:eastAsia="es-MX"/>
              </w:rPr>
              <w:t>” (sic)</w:t>
            </w:r>
            <w:r w:rsidRPr="000B7F85">
              <w:rPr>
                <w:rFonts w:ascii="ITC Avant Garde" w:eastAsia="Times New Roman" w:hAnsi="ITC Avant Garde"/>
                <w:color w:val="000000"/>
                <w:sz w:val="20"/>
                <w:szCs w:val="20"/>
                <w:lang w:eastAsia="es-MX"/>
              </w:rPr>
              <w:t>, se deberá acompañar la lista completa de los accionistas, debidamente certificada por el Presidente o el Secretario del Consejo de Administración o el Administrador Único</w:t>
            </w:r>
            <w:r w:rsidR="00EF7463">
              <w:rPr>
                <w:rFonts w:ascii="ITC Avant Garde" w:eastAsia="Times New Roman" w:hAnsi="ITC Avant Garde"/>
                <w:color w:val="000000"/>
                <w:sz w:val="20"/>
                <w:szCs w:val="20"/>
                <w:lang w:eastAsia="es-MX"/>
              </w:rPr>
              <w:t>.</w:t>
            </w:r>
          </w:p>
          <w:p w14:paraId="146D6EA3"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453A1CD6"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Identificamos que la referencia al punto 4 es errónea, siendo el punto 4.4 al que se tiene que hacer referencia. Por lo anterior sugerimos la siguiente redacción</w:t>
            </w:r>
            <w:r w:rsidR="007640C3">
              <w:rPr>
                <w:rFonts w:ascii="ITC Avant Garde" w:eastAsia="Times New Roman" w:hAnsi="ITC Avant Garde"/>
                <w:color w:val="000000"/>
                <w:sz w:val="20"/>
                <w:szCs w:val="20"/>
                <w:lang w:eastAsia="es-MX"/>
              </w:rPr>
              <w:t xml:space="preserve"> (subrayado para pronta referencia)</w:t>
            </w:r>
            <w:r w:rsidRPr="000B7F85">
              <w:rPr>
                <w:rFonts w:ascii="ITC Avant Garde" w:eastAsia="Times New Roman" w:hAnsi="ITC Avant Garde"/>
                <w:color w:val="000000"/>
                <w:sz w:val="20"/>
                <w:szCs w:val="20"/>
                <w:lang w:eastAsia="es-MX"/>
              </w:rPr>
              <w:t>:</w:t>
            </w:r>
          </w:p>
          <w:p w14:paraId="61710B5E"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48CDF5E1" w14:textId="77777777" w:rsidR="009A3B1B" w:rsidRPr="007640C3" w:rsidRDefault="009A3B1B" w:rsidP="00E06BAC">
            <w:pPr>
              <w:spacing w:after="0" w:line="240" w:lineRule="auto"/>
              <w:ind w:left="384"/>
              <w:jc w:val="both"/>
              <w:rPr>
                <w:rFonts w:ascii="ITC Avant Garde" w:eastAsia="Times New Roman" w:hAnsi="ITC Avant Garde"/>
                <w:color w:val="000000"/>
                <w:sz w:val="20"/>
                <w:szCs w:val="20"/>
                <w:lang w:eastAsia="es-MX"/>
              </w:rPr>
            </w:pPr>
            <w:r w:rsidRPr="007640C3">
              <w:rPr>
                <w:rFonts w:ascii="ITC Avant Garde" w:eastAsia="Times New Roman" w:hAnsi="ITC Avant Garde"/>
                <w:color w:val="000000"/>
                <w:sz w:val="20"/>
                <w:szCs w:val="20"/>
                <w:lang w:eastAsia="es-MX"/>
              </w:rPr>
              <w:t>“</w:t>
            </w:r>
            <w:r w:rsidRPr="007640C3">
              <w:rPr>
                <w:rFonts w:ascii="ITC Avant Garde" w:eastAsia="Times New Roman" w:hAnsi="ITC Avant Garde"/>
                <w:i/>
                <w:color w:val="000000"/>
                <w:sz w:val="20"/>
                <w:szCs w:val="20"/>
                <w:lang w:eastAsia="es-MX"/>
              </w:rPr>
              <w:t xml:space="preserve">Si la estructura accionaria actual no se refleja en los instrumentos públicos a que hace referencia el punto </w:t>
            </w:r>
            <w:r w:rsidRPr="007640C3">
              <w:rPr>
                <w:rFonts w:ascii="ITC Avant Garde" w:eastAsia="Times New Roman" w:hAnsi="ITC Avant Garde"/>
                <w:i/>
                <w:color w:val="000000"/>
                <w:sz w:val="20"/>
                <w:szCs w:val="20"/>
                <w:u w:val="single"/>
                <w:lang w:eastAsia="es-MX"/>
              </w:rPr>
              <w:t>4.4</w:t>
            </w:r>
            <w:r w:rsidRPr="007640C3">
              <w:rPr>
                <w:rFonts w:ascii="ITC Avant Garde" w:eastAsia="Times New Roman" w:hAnsi="ITC Avant Garde"/>
                <w:i/>
                <w:color w:val="000000"/>
                <w:sz w:val="20"/>
                <w:szCs w:val="20"/>
                <w:lang w:eastAsia="es-MX"/>
              </w:rPr>
              <w:t>, se deberá acompañar la lista completa de los accionistas, debidamente certificada por el Presidente o el Secretario del Consejo de Administración o el Administrador Único</w:t>
            </w:r>
            <w:r w:rsidRPr="007640C3">
              <w:rPr>
                <w:rFonts w:ascii="ITC Avant Garde" w:eastAsia="Times New Roman" w:hAnsi="ITC Avant Garde"/>
                <w:color w:val="000000"/>
                <w:sz w:val="20"/>
                <w:szCs w:val="20"/>
                <w:lang w:eastAsia="es-MX"/>
              </w:rPr>
              <w:t>...”</w:t>
            </w:r>
            <w:r w:rsidR="00E06BAC">
              <w:rPr>
                <w:rFonts w:ascii="ITC Avant Garde" w:eastAsia="Times New Roman" w:hAnsi="ITC Avant Garde"/>
                <w:color w:val="000000"/>
                <w:sz w:val="20"/>
                <w:szCs w:val="20"/>
                <w:lang w:eastAsia="es-MX"/>
              </w:rPr>
              <w:t>.</w:t>
            </w:r>
          </w:p>
          <w:p w14:paraId="205EA5B0" w14:textId="77777777" w:rsidR="009A3B1B" w:rsidRPr="007640C3" w:rsidRDefault="009A3B1B" w:rsidP="007640C3">
            <w:pPr>
              <w:spacing w:after="0" w:line="240" w:lineRule="auto"/>
              <w:jc w:val="both"/>
              <w:rPr>
                <w:rFonts w:ascii="ITC Avant Garde" w:eastAsia="Times New Roman" w:hAnsi="ITC Avant Garde"/>
                <w:color w:val="000000"/>
                <w:sz w:val="20"/>
                <w:szCs w:val="20"/>
                <w:lang w:eastAsia="es-MX"/>
              </w:rPr>
            </w:pPr>
          </w:p>
        </w:tc>
      </w:tr>
      <w:tr w:rsidR="007640C3" w:rsidRPr="00F36A5D" w14:paraId="0AA07453" w14:textId="77777777" w:rsidTr="005F3F0A">
        <w:trPr>
          <w:trHeight w:val="290"/>
        </w:trPr>
        <w:tc>
          <w:tcPr>
            <w:tcW w:w="979" w:type="pct"/>
            <w:shd w:val="clear" w:color="auto" w:fill="auto"/>
            <w:vAlign w:val="center"/>
          </w:tcPr>
          <w:p w14:paraId="2ADC6133" w14:textId="77777777" w:rsidR="007640C3" w:rsidRPr="008D2BB0" w:rsidRDefault="007640C3" w:rsidP="009A3B1B">
            <w:pPr>
              <w:spacing w:after="0" w:line="240" w:lineRule="auto"/>
              <w:jc w:val="center"/>
              <w:rPr>
                <w:rFonts w:ascii="ITC Avant Garde" w:eastAsia="Times New Roman" w:hAnsi="ITC Avant Garde"/>
                <w:color w:val="000000"/>
                <w:sz w:val="20"/>
                <w:szCs w:val="20"/>
                <w:lang w:eastAsia="es-MX"/>
              </w:rPr>
            </w:pPr>
            <w:r w:rsidRPr="008D2BB0">
              <w:rPr>
                <w:rFonts w:ascii="ITC Avant Garde" w:eastAsia="Times New Roman" w:hAnsi="ITC Avant Garde"/>
                <w:color w:val="000000"/>
                <w:sz w:val="20"/>
                <w:szCs w:val="20"/>
                <w:lang w:eastAsia="es-MX"/>
              </w:rPr>
              <w:t>Apéndice B, Numeral 3</w:t>
            </w:r>
          </w:p>
        </w:tc>
        <w:tc>
          <w:tcPr>
            <w:tcW w:w="4021" w:type="pct"/>
            <w:shd w:val="clear" w:color="auto" w:fill="auto"/>
            <w:vAlign w:val="center"/>
          </w:tcPr>
          <w:p w14:paraId="63899C32" w14:textId="77777777" w:rsidR="00161FF6" w:rsidRDefault="00161FF6" w:rsidP="00161FF6">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Como se señaló anteriormente, se propone la inclusión de un segundo </w:t>
            </w:r>
            <w:r w:rsidR="003A68F1">
              <w:rPr>
                <w:rFonts w:ascii="ITC Avant Garde" w:eastAsia="Times New Roman" w:hAnsi="ITC Avant Garde"/>
                <w:color w:val="000000"/>
                <w:sz w:val="20"/>
                <w:szCs w:val="20"/>
                <w:lang w:eastAsia="es-MX"/>
              </w:rPr>
              <w:t xml:space="preserve">y tercer </w:t>
            </w:r>
            <w:r>
              <w:rPr>
                <w:rFonts w:ascii="ITC Avant Garde" w:eastAsia="Times New Roman" w:hAnsi="ITC Avant Garde"/>
                <w:color w:val="000000"/>
                <w:sz w:val="20"/>
                <w:szCs w:val="20"/>
                <w:lang w:eastAsia="es-MX"/>
              </w:rPr>
              <w:t>párrafo</w:t>
            </w:r>
            <w:r w:rsidR="003A68F1">
              <w:rPr>
                <w:rFonts w:ascii="ITC Avant Garde" w:eastAsia="Times New Roman" w:hAnsi="ITC Avant Garde"/>
                <w:color w:val="000000"/>
                <w:sz w:val="20"/>
                <w:szCs w:val="20"/>
                <w:lang w:eastAsia="es-MX"/>
              </w:rPr>
              <w:t>s</w:t>
            </w:r>
            <w:r>
              <w:rPr>
                <w:rFonts w:ascii="ITC Avant Garde" w:eastAsia="Times New Roman" w:hAnsi="ITC Avant Garde"/>
                <w:color w:val="000000"/>
                <w:sz w:val="20"/>
                <w:szCs w:val="20"/>
                <w:lang w:eastAsia="es-MX"/>
              </w:rPr>
              <w:t xml:space="preserve"> al numeral 3 </w:t>
            </w:r>
            <w:r w:rsidRPr="000444BC">
              <w:rPr>
                <w:rFonts w:ascii="ITC Avant Garde" w:eastAsia="Times New Roman" w:hAnsi="ITC Avant Garde"/>
                <w:color w:val="000000"/>
                <w:sz w:val="20"/>
                <w:szCs w:val="20"/>
                <w:lang w:eastAsia="es-MX"/>
              </w:rPr>
              <w:t>del Ap</w:t>
            </w:r>
            <w:r>
              <w:rPr>
                <w:rFonts w:ascii="ITC Avant Garde" w:eastAsia="Times New Roman" w:hAnsi="ITC Avant Garde"/>
                <w:color w:val="000000"/>
                <w:sz w:val="20"/>
                <w:szCs w:val="20"/>
                <w:lang w:eastAsia="es-MX"/>
              </w:rPr>
              <w:t xml:space="preserve">éndice B del proyecto de </w:t>
            </w:r>
            <w:r w:rsidRPr="000444BC">
              <w:rPr>
                <w:rFonts w:ascii="ITC Avant Garde" w:eastAsia="Times New Roman" w:hAnsi="ITC Avant Garde"/>
                <w:color w:val="000000"/>
                <w:sz w:val="20"/>
                <w:szCs w:val="20"/>
                <w:lang w:eastAsia="es-MX"/>
              </w:rPr>
              <w:t>Bases</w:t>
            </w:r>
            <w:r>
              <w:rPr>
                <w:rFonts w:ascii="ITC Avant Garde" w:eastAsia="Times New Roman" w:hAnsi="ITC Avant Garde"/>
                <w:color w:val="000000"/>
                <w:sz w:val="20"/>
                <w:szCs w:val="20"/>
                <w:lang w:eastAsia="es-MX"/>
              </w:rPr>
              <w:t>, en los siguientes términos:</w:t>
            </w:r>
          </w:p>
          <w:p w14:paraId="313A0C9F" w14:textId="77777777" w:rsidR="00161FF6" w:rsidRDefault="00161FF6" w:rsidP="00161FF6">
            <w:pPr>
              <w:spacing w:after="0" w:line="240" w:lineRule="auto"/>
              <w:jc w:val="both"/>
              <w:rPr>
                <w:rFonts w:ascii="ITC Avant Garde" w:eastAsia="Times New Roman" w:hAnsi="ITC Avant Garde"/>
                <w:color w:val="000000"/>
                <w:sz w:val="20"/>
                <w:szCs w:val="20"/>
                <w:lang w:eastAsia="es-MX"/>
              </w:rPr>
            </w:pPr>
          </w:p>
          <w:p w14:paraId="1B02FD2A" w14:textId="77777777" w:rsidR="003A68F1" w:rsidRDefault="00161FF6" w:rsidP="00E06BAC">
            <w:pPr>
              <w:spacing w:after="0" w:line="240" w:lineRule="auto"/>
              <w:ind w:left="384"/>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w:t>
            </w:r>
            <w:r w:rsidRPr="00E06BAC">
              <w:rPr>
                <w:rFonts w:ascii="ITC Avant Garde" w:eastAsia="Times New Roman" w:hAnsi="ITC Avant Garde"/>
                <w:i/>
                <w:color w:val="000000"/>
                <w:sz w:val="20"/>
                <w:szCs w:val="20"/>
                <w:lang w:eastAsia="es-MX"/>
              </w:rPr>
              <w:t>Los Participantes que presenten Ofertas para un Bloque no podrán estar vinculados directa o indirectamente a través de agentes, intermediarios, socios de negocio u otro tercero con quien tengan Vínculos, de hecho o de derecho, de manera directa o indirecta, con Participantes que presenten Ofertas para el otro Bloque</w:t>
            </w:r>
            <w:r w:rsidRPr="00E06BAC">
              <w:rPr>
                <w:rFonts w:ascii="ITC Avant Garde" w:eastAsia="Times New Roman" w:hAnsi="ITC Avant Garde"/>
                <w:color w:val="000000"/>
                <w:sz w:val="20"/>
                <w:szCs w:val="20"/>
                <w:lang w:eastAsia="es-MX"/>
              </w:rPr>
              <w:t>.</w:t>
            </w:r>
          </w:p>
          <w:p w14:paraId="5CB70015" w14:textId="77777777" w:rsidR="003A68F1" w:rsidRDefault="003A68F1" w:rsidP="00E06BAC">
            <w:pPr>
              <w:spacing w:after="0" w:line="240" w:lineRule="auto"/>
              <w:ind w:left="384"/>
              <w:jc w:val="both"/>
              <w:rPr>
                <w:rFonts w:ascii="ITC Avant Garde" w:eastAsia="Times New Roman" w:hAnsi="ITC Avant Garde"/>
                <w:color w:val="000000"/>
                <w:sz w:val="20"/>
                <w:szCs w:val="20"/>
                <w:lang w:eastAsia="es-MX"/>
              </w:rPr>
            </w:pPr>
          </w:p>
          <w:p w14:paraId="738B1EEF" w14:textId="77777777" w:rsidR="00161FF6" w:rsidRPr="000444BC" w:rsidRDefault="003A68F1" w:rsidP="00E06BAC">
            <w:pPr>
              <w:spacing w:after="0" w:line="240" w:lineRule="auto"/>
              <w:ind w:left="384"/>
              <w:jc w:val="both"/>
              <w:rPr>
                <w:rFonts w:ascii="ITC Avant Garde" w:eastAsia="Times New Roman" w:hAnsi="ITC Avant Garde"/>
                <w:color w:val="000000"/>
                <w:sz w:val="20"/>
                <w:szCs w:val="20"/>
                <w:lang w:eastAsia="es-MX"/>
              </w:rPr>
            </w:pPr>
            <w:r>
              <w:rPr>
                <w:rFonts w:ascii="ITC Avant Garde" w:eastAsia="Times New Roman" w:hAnsi="ITC Avant Garde"/>
                <w:i/>
                <w:color w:val="000000"/>
                <w:sz w:val="20"/>
                <w:szCs w:val="20"/>
                <w:lang w:eastAsia="es-MX"/>
              </w:rPr>
              <w:t>Asimismo, t</w:t>
            </w:r>
            <w:r w:rsidRPr="003C1509">
              <w:rPr>
                <w:rFonts w:ascii="ITC Avant Garde" w:eastAsia="Times New Roman" w:hAnsi="ITC Avant Garde"/>
                <w:i/>
                <w:color w:val="000000"/>
                <w:sz w:val="20"/>
                <w:szCs w:val="20"/>
                <w:lang w:eastAsia="es-MX"/>
              </w:rPr>
              <w:t>anto el Autorizado que adquiera la condición de Participante como el Participante que tenga Vínculos, de hecho o de derecho, de manera directa o indirecta, con un Autorizado, deberán presentar su Oferta por el Bloque de espectro pareado de 10+10 MHz que esté asociado al Sistema Satelital del Autorizado en cuestión</w:t>
            </w:r>
            <w:r>
              <w:rPr>
                <w:rFonts w:ascii="ITC Avant Garde" w:eastAsia="Times New Roman" w:hAnsi="ITC Avant Garde"/>
                <w:i/>
                <w:color w:val="000000"/>
                <w:sz w:val="20"/>
                <w:szCs w:val="20"/>
                <w:lang w:eastAsia="es-MX"/>
              </w:rPr>
              <w:t>.</w:t>
            </w:r>
            <w:r w:rsidR="00161FF6">
              <w:rPr>
                <w:rFonts w:ascii="ITC Avant Garde" w:eastAsia="Times New Roman" w:hAnsi="ITC Avant Garde"/>
                <w:color w:val="000000"/>
                <w:sz w:val="20"/>
                <w:szCs w:val="20"/>
                <w:lang w:eastAsia="es-MX"/>
              </w:rPr>
              <w:t>”</w:t>
            </w:r>
          </w:p>
          <w:p w14:paraId="3B2EB9F3" w14:textId="77777777" w:rsidR="00C426F9" w:rsidRPr="000B7F85" w:rsidRDefault="00C426F9" w:rsidP="003A68F1">
            <w:pPr>
              <w:spacing w:after="0" w:line="240" w:lineRule="auto"/>
              <w:jc w:val="both"/>
              <w:rPr>
                <w:rFonts w:ascii="ITC Avant Garde" w:eastAsia="Times New Roman" w:hAnsi="ITC Avant Garde"/>
                <w:color w:val="000000"/>
                <w:sz w:val="20"/>
                <w:szCs w:val="20"/>
                <w:lang w:eastAsia="es-MX"/>
              </w:rPr>
            </w:pPr>
          </w:p>
        </w:tc>
      </w:tr>
      <w:tr w:rsidR="007640C3" w:rsidRPr="00F36A5D" w14:paraId="274D324B" w14:textId="77777777" w:rsidTr="005F3F0A">
        <w:trPr>
          <w:trHeight w:val="290"/>
        </w:trPr>
        <w:tc>
          <w:tcPr>
            <w:tcW w:w="979" w:type="pct"/>
            <w:shd w:val="clear" w:color="auto" w:fill="auto"/>
            <w:vAlign w:val="center"/>
          </w:tcPr>
          <w:p w14:paraId="489B4DD9" w14:textId="77777777" w:rsidR="007640C3" w:rsidRPr="000B7F85" w:rsidRDefault="007640C3" w:rsidP="009A3B1B">
            <w:pPr>
              <w:spacing w:after="0" w:line="240" w:lineRule="auto"/>
              <w:jc w:val="center"/>
              <w:rPr>
                <w:rFonts w:ascii="ITC Avant Garde" w:eastAsia="Times New Roman" w:hAnsi="ITC Avant Garde"/>
                <w:color w:val="000000"/>
                <w:sz w:val="20"/>
                <w:szCs w:val="20"/>
                <w:lang w:eastAsia="es-MX"/>
              </w:rPr>
            </w:pPr>
            <w:r w:rsidRPr="007640C3">
              <w:rPr>
                <w:rFonts w:ascii="ITC Avant Garde" w:eastAsia="Times New Roman" w:hAnsi="ITC Avant Garde"/>
                <w:color w:val="000000"/>
                <w:sz w:val="20"/>
                <w:szCs w:val="20"/>
                <w:lang w:eastAsia="es-MX"/>
              </w:rPr>
              <w:lastRenderedPageBreak/>
              <w:t xml:space="preserve">Apéndice B, Numeral </w:t>
            </w:r>
            <w:r>
              <w:rPr>
                <w:rFonts w:ascii="ITC Avant Garde" w:eastAsia="Times New Roman" w:hAnsi="ITC Avant Garde"/>
                <w:color w:val="000000"/>
                <w:sz w:val="20"/>
                <w:szCs w:val="20"/>
                <w:lang w:eastAsia="es-MX"/>
              </w:rPr>
              <w:t>5</w:t>
            </w:r>
          </w:p>
        </w:tc>
        <w:tc>
          <w:tcPr>
            <w:tcW w:w="4021" w:type="pct"/>
            <w:shd w:val="clear" w:color="auto" w:fill="auto"/>
            <w:vAlign w:val="center"/>
          </w:tcPr>
          <w:p w14:paraId="0906526E" w14:textId="77777777" w:rsidR="00F95ACB" w:rsidRDefault="007640C3" w:rsidP="007640C3">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Como se mencionó anteriormente</w:t>
            </w:r>
            <w:r w:rsidR="00F95ACB">
              <w:rPr>
                <w:rFonts w:ascii="ITC Avant Garde" w:eastAsia="Times New Roman" w:hAnsi="ITC Avant Garde"/>
                <w:color w:val="000000"/>
                <w:sz w:val="20"/>
                <w:szCs w:val="20"/>
                <w:lang w:eastAsia="es-MX"/>
              </w:rPr>
              <w:t xml:space="preserve"> en los comentarios a los Numerales 5, 6.1.3., 11.3, 11.5 y 11.7</w:t>
            </w:r>
            <w:r>
              <w:rPr>
                <w:rFonts w:ascii="ITC Avant Garde" w:eastAsia="Times New Roman" w:hAnsi="ITC Avant Garde"/>
                <w:color w:val="000000"/>
                <w:sz w:val="20"/>
                <w:szCs w:val="20"/>
                <w:lang w:eastAsia="es-MX"/>
              </w:rPr>
              <w:t xml:space="preserve">, </w:t>
            </w:r>
            <w:r w:rsidR="00F95ACB">
              <w:rPr>
                <w:rFonts w:ascii="ITC Avant Garde" w:eastAsia="Times New Roman" w:hAnsi="ITC Avant Garde"/>
                <w:color w:val="000000"/>
                <w:sz w:val="20"/>
                <w:szCs w:val="20"/>
                <w:lang w:eastAsia="es-MX"/>
              </w:rPr>
              <w:t xml:space="preserve">sugerimos que la Garantía de Seriedad se presente al mismo momento en que se someta el Sobre Cerrado con la Oferta. </w:t>
            </w:r>
          </w:p>
          <w:p w14:paraId="5294FC35" w14:textId="77777777" w:rsidR="00F95ACB" w:rsidRDefault="00F95ACB" w:rsidP="007640C3">
            <w:pPr>
              <w:spacing w:after="0" w:line="240" w:lineRule="auto"/>
              <w:jc w:val="both"/>
              <w:rPr>
                <w:rFonts w:ascii="ITC Avant Garde" w:eastAsia="Times New Roman" w:hAnsi="ITC Avant Garde"/>
                <w:color w:val="000000"/>
                <w:sz w:val="20"/>
                <w:szCs w:val="20"/>
                <w:lang w:eastAsia="es-MX"/>
              </w:rPr>
            </w:pPr>
          </w:p>
          <w:p w14:paraId="389C6A93" w14:textId="77777777" w:rsidR="00F95ACB" w:rsidRDefault="00952E94" w:rsidP="007640C3">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Pero</w:t>
            </w:r>
            <w:r w:rsidR="00F95ACB">
              <w:rPr>
                <w:rFonts w:ascii="ITC Avant Garde" w:eastAsia="Times New Roman" w:hAnsi="ITC Avant Garde"/>
                <w:color w:val="000000"/>
                <w:sz w:val="20"/>
                <w:szCs w:val="20"/>
                <w:lang w:eastAsia="es-MX"/>
              </w:rPr>
              <w:t xml:space="preserve"> lo anterior, nos remitimos a los comentarios emitidos previamente en dichos Numerales para que se hagan los ajustes correspondientes en este Numeral.</w:t>
            </w:r>
          </w:p>
          <w:p w14:paraId="63B163C4" w14:textId="77777777" w:rsidR="007640C3" w:rsidRPr="000B7F85" w:rsidRDefault="007640C3" w:rsidP="009A3B1B">
            <w:pPr>
              <w:spacing w:after="0" w:line="240" w:lineRule="auto"/>
              <w:jc w:val="both"/>
              <w:rPr>
                <w:rFonts w:ascii="ITC Avant Garde" w:eastAsia="Times New Roman" w:hAnsi="ITC Avant Garde"/>
                <w:color w:val="000000"/>
                <w:sz w:val="20"/>
                <w:szCs w:val="20"/>
                <w:lang w:eastAsia="es-MX"/>
              </w:rPr>
            </w:pPr>
          </w:p>
        </w:tc>
      </w:tr>
      <w:tr w:rsidR="009A3B1B" w:rsidRPr="00F36A5D" w14:paraId="0721DAAF" w14:textId="77777777" w:rsidTr="005F3F0A">
        <w:trPr>
          <w:trHeight w:val="290"/>
        </w:trPr>
        <w:tc>
          <w:tcPr>
            <w:tcW w:w="979" w:type="pct"/>
            <w:shd w:val="clear" w:color="auto" w:fill="auto"/>
            <w:vAlign w:val="center"/>
          </w:tcPr>
          <w:p w14:paraId="578F23C9" w14:textId="77777777" w:rsidR="009A3B1B" w:rsidRPr="0022068A" w:rsidRDefault="009A3B1B" w:rsidP="009A3B1B">
            <w:pPr>
              <w:spacing w:after="0" w:line="240" w:lineRule="auto"/>
              <w:jc w:val="center"/>
              <w:rPr>
                <w:rFonts w:ascii="ITC Avant Garde" w:eastAsia="Times New Roman" w:hAnsi="ITC Avant Garde"/>
                <w:color w:val="000000"/>
                <w:sz w:val="20"/>
                <w:szCs w:val="20"/>
                <w:lang w:eastAsia="es-MX"/>
              </w:rPr>
            </w:pPr>
            <w:r w:rsidRPr="0022068A">
              <w:rPr>
                <w:rFonts w:ascii="ITC Avant Garde" w:eastAsia="Times New Roman" w:hAnsi="ITC Avant Garde"/>
                <w:color w:val="000000"/>
                <w:sz w:val="20"/>
                <w:szCs w:val="20"/>
                <w:lang w:eastAsia="es-MX"/>
              </w:rPr>
              <w:t>Apéndice B</w:t>
            </w:r>
            <w:r w:rsidR="007640C3" w:rsidRPr="0022068A">
              <w:rPr>
                <w:rFonts w:ascii="ITC Avant Garde" w:eastAsia="Times New Roman" w:hAnsi="ITC Avant Garde"/>
                <w:color w:val="000000"/>
                <w:sz w:val="20"/>
                <w:szCs w:val="20"/>
                <w:lang w:eastAsia="es-MX"/>
              </w:rPr>
              <w:t>, Numeral 6</w:t>
            </w:r>
            <w:r w:rsidRPr="0022068A">
              <w:rPr>
                <w:rFonts w:ascii="ITC Avant Garde" w:eastAsia="Times New Roman" w:hAnsi="ITC Avant Garde"/>
                <w:color w:val="000000"/>
                <w:sz w:val="20"/>
                <w:szCs w:val="20"/>
                <w:lang w:eastAsia="es-MX"/>
              </w:rPr>
              <w:t xml:space="preserve"> </w:t>
            </w:r>
          </w:p>
        </w:tc>
        <w:tc>
          <w:tcPr>
            <w:tcW w:w="4021" w:type="pct"/>
            <w:shd w:val="clear" w:color="auto" w:fill="auto"/>
            <w:vAlign w:val="center"/>
          </w:tcPr>
          <w:p w14:paraId="295CCD3B"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En el numeral 6 del Apéndice B se establece que la vigencia de las Concesiones de Espectro Radioeléctrico para Uso Comercial que se otorguen con motivo de esta Licitación será de 10 (diez) años contados a partir de la entrega del título de concesión correspondiente.</w:t>
            </w:r>
          </w:p>
          <w:p w14:paraId="683A29E5"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1A6631C0"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Sin embargo, </w:t>
            </w:r>
            <w:r w:rsidR="00F95ACB">
              <w:rPr>
                <w:rFonts w:ascii="ITC Avant Garde" w:eastAsia="Times New Roman" w:hAnsi="ITC Avant Garde"/>
                <w:color w:val="000000"/>
                <w:sz w:val="20"/>
                <w:szCs w:val="20"/>
                <w:lang w:eastAsia="es-MX"/>
              </w:rPr>
              <w:t xml:space="preserve">como se señaló previamente, </w:t>
            </w:r>
            <w:r w:rsidR="000969C9">
              <w:rPr>
                <w:rFonts w:ascii="ITC Avant Garde" w:eastAsia="Times New Roman" w:hAnsi="ITC Avant Garde"/>
                <w:color w:val="000000"/>
                <w:sz w:val="20"/>
                <w:szCs w:val="20"/>
                <w:lang w:eastAsia="es-MX"/>
              </w:rPr>
              <w:t xml:space="preserve">se considera conveniente </w:t>
            </w:r>
            <w:r w:rsidRPr="000B7F85">
              <w:rPr>
                <w:rFonts w:ascii="ITC Avant Garde" w:eastAsia="Times New Roman" w:hAnsi="ITC Avant Garde"/>
                <w:color w:val="000000"/>
                <w:sz w:val="20"/>
                <w:szCs w:val="20"/>
                <w:lang w:eastAsia="es-MX"/>
              </w:rPr>
              <w:t xml:space="preserve">otorgar las Concesiones de Espectro Radioeléctrico para Uso Comercial con una vigencia de </w:t>
            </w:r>
            <w:r w:rsidR="00750539">
              <w:rPr>
                <w:rFonts w:ascii="ITC Avant Garde" w:eastAsia="Times New Roman" w:hAnsi="ITC Avant Garde"/>
                <w:color w:val="000000"/>
                <w:sz w:val="20"/>
                <w:szCs w:val="20"/>
                <w:lang w:eastAsia="es-MX"/>
              </w:rPr>
              <w:t>quince</w:t>
            </w:r>
            <w:r w:rsidR="00750539" w:rsidRPr="000B7F85">
              <w:rPr>
                <w:rFonts w:ascii="ITC Avant Garde" w:eastAsia="Times New Roman" w:hAnsi="ITC Avant Garde"/>
                <w:color w:val="000000"/>
                <w:sz w:val="20"/>
                <w:szCs w:val="20"/>
                <w:lang w:eastAsia="es-MX"/>
              </w:rPr>
              <w:t xml:space="preserve"> </w:t>
            </w:r>
            <w:r w:rsidRPr="000B7F85">
              <w:rPr>
                <w:rFonts w:ascii="ITC Avant Garde" w:eastAsia="Times New Roman" w:hAnsi="ITC Avant Garde"/>
                <w:color w:val="000000"/>
                <w:sz w:val="20"/>
                <w:szCs w:val="20"/>
                <w:lang w:eastAsia="es-MX"/>
              </w:rPr>
              <w:t>(</w:t>
            </w:r>
            <w:r w:rsidR="00750539">
              <w:rPr>
                <w:rFonts w:ascii="ITC Avant Garde" w:eastAsia="Times New Roman" w:hAnsi="ITC Avant Garde"/>
                <w:color w:val="000000"/>
                <w:sz w:val="20"/>
                <w:szCs w:val="20"/>
                <w:lang w:eastAsia="es-MX"/>
              </w:rPr>
              <w:t>15</w:t>
            </w:r>
            <w:r w:rsidRPr="000B7F85">
              <w:rPr>
                <w:rFonts w:ascii="ITC Avant Garde" w:eastAsia="Times New Roman" w:hAnsi="ITC Avant Garde"/>
                <w:color w:val="000000"/>
                <w:sz w:val="20"/>
                <w:szCs w:val="20"/>
                <w:lang w:eastAsia="es-MX"/>
              </w:rPr>
              <w:t xml:space="preserve">) años, conforme a lo establecido en el artículo 75 de la Ley Federal de Telecomunicaciones y Radiodifusión. </w:t>
            </w:r>
          </w:p>
          <w:p w14:paraId="5D8F5A61"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5F8B2DF4"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En virtud de lo anterior, sugerimos que la redacción se modifique para quedar de la siguiente manera:</w:t>
            </w:r>
          </w:p>
          <w:p w14:paraId="796EC700"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29D53147" w14:textId="77777777" w:rsidR="009A3B1B" w:rsidRPr="000B7F85" w:rsidRDefault="009A3B1B" w:rsidP="00E06BAC">
            <w:pPr>
              <w:pStyle w:val="Textoindependiente"/>
              <w:spacing w:after="0"/>
              <w:ind w:left="384" w:right="208"/>
              <w:jc w:val="both"/>
              <w:rPr>
                <w:rFonts w:ascii="ITC Avant Garde" w:hAnsi="ITC Avant Garde"/>
                <w:sz w:val="20"/>
                <w:szCs w:val="20"/>
                <w:lang w:val="es-MX"/>
              </w:rPr>
            </w:pPr>
            <w:r w:rsidRPr="000B7F85">
              <w:rPr>
                <w:rFonts w:ascii="ITC Avant Garde" w:hAnsi="ITC Avant Garde"/>
                <w:sz w:val="20"/>
                <w:szCs w:val="20"/>
                <w:lang w:val="es-MX"/>
              </w:rPr>
              <w:t>“</w:t>
            </w:r>
            <w:r w:rsidRPr="000454C8">
              <w:rPr>
                <w:rFonts w:ascii="ITC Avant Garde" w:hAnsi="ITC Avant Garde"/>
                <w:i/>
                <w:sz w:val="20"/>
                <w:szCs w:val="20"/>
                <w:lang w:val="es-MX"/>
              </w:rPr>
              <w:t xml:space="preserve">La vigencia de las Concesiones de Espectro Radioeléctrico para Uso Comercial que se otorguen con motivo de esta Licitación será de </w:t>
            </w:r>
            <w:r w:rsidR="00750539">
              <w:rPr>
                <w:rFonts w:ascii="ITC Avant Garde" w:hAnsi="ITC Avant Garde"/>
                <w:i/>
                <w:sz w:val="20"/>
                <w:szCs w:val="20"/>
                <w:u w:val="single"/>
                <w:lang w:val="es-MX"/>
              </w:rPr>
              <w:t>15</w:t>
            </w:r>
            <w:r w:rsidRPr="000969C9">
              <w:rPr>
                <w:rFonts w:ascii="ITC Avant Garde" w:hAnsi="ITC Avant Garde"/>
                <w:i/>
                <w:sz w:val="20"/>
                <w:szCs w:val="20"/>
                <w:u w:val="single"/>
                <w:lang w:val="es-MX"/>
              </w:rPr>
              <w:t xml:space="preserve"> (</w:t>
            </w:r>
            <w:r w:rsidR="00750539">
              <w:rPr>
                <w:rFonts w:ascii="ITC Avant Garde" w:hAnsi="ITC Avant Garde"/>
                <w:i/>
                <w:sz w:val="20"/>
                <w:szCs w:val="20"/>
                <w:u w:val="single"/>
                <w:lang w:val="es-MX"/>
              </w:rPr>
              <w:t>quince</w:t>
            </w:r>
            <w:r w:rsidRPr="000969C9">
              <w:rPr>
                <w:rFonts w:ascii="ITC Avant Garde" w:hAnsi="ITC Avant Garde"/>
                <w:i/>
                <w:sz w:val="20"/>
                <w:szCs w:val="20"/>
                <w:u w:val="single"/>
                <w:lang w:val="es-MX"/>
              </w:rPr>
              <w:t>)</w:t>
            </w:r>
            <w:r w:rsidRPr="000454C8">
              <w:rPr>
                <w:rFonts w:ascii="ITC Avant Garde" w:hAnsi="ITC Avant Garde"/>
                <w:i/>
                <w:sz w:val="20"/>
                <w:szCs w:val="20"/>
                <w:lang w:val="es-MX"/>
              </w:rPr>
              <w:t xml:space="preserve"> años contados a partir de la entrega del título de concesión correspondiente, mismos que podrán ser prorrogados en los términos establecidos en la Ley, siempre y cuando se</w:t>
            </w:r>
            <w:r w:rsidRPr="000454C8" w:rsidDel="00FD368D">
              <w:rPr>
                <w:rFonts w:ascii="ITC Avant Garde" w:hAnsi="ITC Avant Garde"/>
                <w:i/>
                <w:sz w:val="20"/>
                <w:szCs w:val="20"/>
                <w:lang w:val="es-MX"/>
              </w:rPr>
              <w:t xml:space="preserve"> </w:t>
            </w:r>
            <w:r w:rsidRPr="000454C8">
              <w:rPr>
                <w:rFonts w:ascii="ITC Avant Garde" w:hAnsi="ITC Avant Garde"/>
                <w:i/>
                <w:sz w:val="20"/>
                <w:szCs w:val="20"/>
                <w:lang w:val="es-MX"/>
              </w:rPr>
              <w:t>cumplan las condiciones de operación que se establecen en el numeral 4 de el Numeral de la Licitación.</w:t>
            </w:r>
            <w:r w:rsidRPr="000B7F85">
              <w:rPr>
                <w:rFonts w:ascii="ITC Avant Garde" w:hAnsi="ITC Avant Garde"/>
                <w:sz w:val="20"/>
                <w:szCs w:val="20"/>
                <w:lang w:val="es-MX"/>
              </w:rPr>
              <w:t>”</w:t>
            </w:r>
          </w:p>
          <w:p w14:paraId="72D04862" w14:textId="77777777" w:rsidR="009A3B1B" w:rsidRDefault="009A3B1B" w:rsidP="009A3B1B">
            <w:pPr>
              <w:spacing w:after="0" w:line="240" w:lineRule="auto"/>
              <w:jc w:val="both"/>
              <w:rPr>
                <w:rFonts w:ascii="ITC Avant Garde" w:eastAsia="Times New Roman" w:hAnsi="ITC Avant Garde"/>
                <w:color w:val="000000"/>
                <w:sz w:val="20"/>
                <w:szCs w:val="20"/>
                <w:lang w:eastAsia="es-MX"/>
              </w:rPr>
            </w:pPr>
          </w:p>
          <w:p w14:paraId="3B75BE67" w14:textId="77777777" w:rsidR="000969C9" w:rsidRDefault="000969C9" w:rsidP="009A3B1B">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En</w:t>
            </w:r>
            <w:r w:rsidR="00F95ACB">
              <w:rPr>
                <w:rFonts w:ascii="ITC Avant Garde" w:eastAsia="Times New Roman" w:hAnsi="ITC Avant Garde"/>
                <w:color w:val="000000"/>
                <w:sz w:val="20"/>
                <w:szCs w:val="20"/>
                <w:lang w:eastAsia="es-MX"/>
              </w:rPr>
              <w:t xml:space="preserve"> la respuesta a la pregunta 14</w:t>
            </w:r>
            <w:r>
              <w:rPr>
                <w:rFonts w:ascii="ITC Avant Garde" w:eastAsia="Times New Roman" w:hAnsi="ITC Avant Garde"/>
                <w:color w:val="000000"/>
                <w:sz w:val="20"/>
                <w:szCs w:val="20"/>
                <w:lang w:eastAsia="es-MX"/>
              </w:rPr>
              <w:t xml:space="preserve"> </w:t>
            </w:r>
            <w:r w:rsidR="00F95ACB">
              <w:rPr>
                <w:rFonts w:ascii="ITC Avant Garde" w:eastAsia="Times New Roman" w:hAnsi="ITC Avant Garde"/>
                <w:color w:val="000000"/>
                <w:sz w:val="20"/>
                <w:szCs w:val="20"/>
                <w:lang w:eastAsia="es-MX"/>
              </w:rPr>
              <w:t>d</w:t>
            </w:r>
            <w:r>
              <w:rPr>
                <w:rFonts w:ascii="ITC Avant Garde" w:eastAsia="Times New Roman" w:hAnsi="ITC Avant Garde"/>
                <w:color w:val="000000"/>
                <w:sz w:val="20"/>
                <w:szCs w:val="20"/>
                <w:lang w:eastAsia="es-MX"/>
              </w:rPr>
              <w:t xml:space="preserve">el apartado III del presente documento se presentan razones y argumentos específicos que justifican el otorgamiento de las Concesiones por un plazo de </w:t>
            </w:r>
            <w:r w:rsidR="00750539">
              <w:rPr>
                <w:rFonts w:ascii="ITC Avant Garde" w:eastAsia="Times New Roman" w:hAnsi="ITC Avant Garde"/>
                <w:color w:val="000000"/>
                <w:sz w:val="20"/>
                <w:szCs w:val="20"/>
                <w:lang w:eastAsia="es-MX"/>
              </w:rPr>
              <w:t xml:space="preserve">15 (quince) </w:t>
            </w:r>
            <w:r>
              <w:rPr>
                <w:rFonts w:ascii="ITC Avant Garde" w:eastAsia="Times New Roman" w:hAnsi="ITC Avant Garde"/>
                <w:color w:val="000000"/>
                <w:sz w:val="20"/>
                <w:szCs w:val="20"/>
                <w:lang w:eastAsia="es-MX"/>
              </w:rPr>
              <w:t>años.</w:t>
            </w:r>
          </w:p>
          <w:p w14:paraId="2F16575A" w14:textId="77777777" w:rsidR="000969C9" w:rsidRPr="000B7F85" w:rsidRDefault="000969C9" w:rsidP="009A3B1B">
            <w:pPr>
              <w:spacing w:after="0" w:line="240" w:lineRule="auto"/>
              <w:jc w:val="both"/>
              <w:rPr>
                <w:rFonts w:ascii="ITC Avant Garde" w:eastAsia="Times New Roman" w:hAnsi="ITC Avant Garde"/>
                <w:color w:val="000000"/>
                <w:sz w:val="20"/>
                <w:szCs w:val="20"/>
                <w:lang w:eastAsia="es-MX"/>
              </w:rPr>
            </w:pPr>
          </w:p>
        </w:tc>
      </w:tr>
      <w:tr w:rsidR="009A3B1B" w:rsidRPr="00F36A5D" w14:paraId="152477A2" w14:textId="77777777" w:rsidTr="005F3F0A">
        <w:trPr>
          <w:trHeight w:val="290"/>
        </w:trPr>
        <w:tc>
          <w:tcPr>
            <w:tcW w:w="979" w:type="pct"/>
            <w:shd w:val="clear" w:color="auto" w:fill="auto"/>
            <w:vAlign w:val="center"/>
          </w:tcPr>
          <w:p w14:paraId="38CF2DE3" w14:textId="77777777" w:rsidR="009A3B1B" w:rsidRPr="000B7F85" w:rsidRDefault="007640C3" w:rsidP="007640C3">
            <w:pPr>
              <w:spacing w:after="0" w:line="240" w:lineRule="auto"/>
              <w:jc w:val="center"/>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Apéndice B</w:t>
            </w:r>
            <w:r>
              <w:rPr>
                <w:rFonts w:ascii="ITC Avant Garde" w:eastAsia="Times New Roman" w:hAnsi="ITC Avant Garde"/>
                <w:color w:val="000000"/>
                <w:sz w:val="20"/>
                <w:szCs w:val="20"/>
                <w:lang w:eastAsia="es-MX"/>
              </w:rPr>
              <w:t>,</w:t>
            </w:r>
            <w:r w:rsidRPr="000B7F85">
              <w:rPr>
                <w:rFonts w:ascii="ITC Avant Garde" w:eastAsia="Times New Roman" w:hAnsi="ITC Avant Garde"/>
                <w:color w:val="000000"/>
                <w:sz w:val="20"/>
                <w:szCs w:val="20"/>
                <w:lang w:eastAsia="es-MX"/>
              </w:rPr>
              <w:t xml:space="preserve"> </w:t>
            </w:r>
            <w:r w:rsidR="009A3B1B" w:rsidRPr="000B7F85">
              <w:rPr>
                <w:rFonts w:ascii="ITC Avant Garde" w:eastAsia="Times New Roman" w:hAnsi="ITC Avant Garde"/>
                <w:color w:val="000000"/>
                <w:sz w:val="20"/>
                <w:szCs w:val="20"/>
                <w:lang w:eastAsia="es-MX"/>
              </w:rPr>
              <w:t>Numeral 7.3.3</w:t>
            </w:r>
          </w:p>
        </w:tc>
        <w:tc>
          <w:tcPr>
            <w:tcW w:w="4021" w:type="pct"/>
            <w:shd w:val="clear" w:color="auto" w:fill="auto"/>
            <w:vAlign w:val="center"/>
          </w:tcPr>
          <w:p w14:paraId="7F202DC9"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El segundo párrafo del numeral 7.3.3 del Apéndice B, describe determinadas situaciones que hay que contemplar en caso de que se presente un empate entre dos o más Ofertas más Altas para un Bloque específico. Posteriormente, dichas situaciones son identificadas con los incisos a., b., y c. </w:t>
            </w:r>
          </w:p>
          <w:p w14:paraId="10896D6F"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03380715"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Al terminar el inciso c del párrafo antes mencionado se prevé el supuesto del Bloque disponible, mismos que para mayor referencia se transcriben textualmente:</w:t>
            </w:r>
          </w:p>
          <w:p w14:paraId="1774563F"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651D6968" w14:textId="77777777" w:rsidR="009A3B1B" w:rsidRPr="00C4627E" w:rsidRDefault="009A3B1B" w:rsidP="00E06BAC">
            <w:pPr>
              <w:spacing w:after="0" w:line="240" w:lineRule="auto"/>
              <w:ind w:left="384"/>
              <w:jc w:val="both"/>
              <w:rPr>
                <w:rFonts w:ascii="ITC Avant Garde" w:hAnsi="ITC Avant Garde"/>
                <w:i/>
                <w:sz w:val="20"/>
                <w:szCs w:val="20"/>
              </w:rPr>
            </w:pPr>
            <w:r w:rsidRPr="000B7F85">
              <w:rPr>
                <w:rFonts w:ascii="ITC Avant Garde" w:eastAsia="Times New Roman" w:hAnsi="ITC Avant Garde"/>
                <w:color w:val="000000"/>
                <w:sz w:val="20"/>
                <w:szCs w:val="20"/>
                <w:lang w:eastAsia="es-MX"/>
              </w:rPr>
              <w:t>“</w:t>
            </w:r>
            <w:r w:rsidRPr="00C4627E">
              <w:rPr>
                <w:rFonts w:ascii="ITC Avant Garde" w:hAnsi="ITC Avant Garde"/>
                <w:i/>
                <w:sz w:val="20"/>
                <w:szCs w:val="20"/>
              </w:rPr>
              <w:t xml:space="preserve">Por otro lado, en caso de no encontrarse Oferta Subsecuente más Alta por ese Bloque específico, o en el caso de que no haya una Oferta Válida por un Bloque específico y, en consecuencia, no se pueda obtener una Oferta Ganadora, éste será considerado como Bloque disponible. </w:t>
            </w:r>
          </w:p>
          <w:p w14:paraId="3461A64E" w14:textId="77777777" w:rsidR="009A3B1B" w:rsidRPr="00C4627E" w:rsidRDefault="009A3B1B" w:rsidP="00E06BAC">
            <w:pPr>
              <w:spacing w:after="0" w:line="240" w:lineRule="auto"/>
              <w:ind w:left="384"/>
              <w:jc w:val="both"/>
              <w:rPr>
                <w:rFonts w:ascii="ITC Avant Garde" w:hAnsi="ITC Avant Garde"/>
                <w:i/>
                <w:sz w:val="20"/>
                <w:szCs w:val="20"/>
              </w:rPr>
            </w:pPr>
          </w:p>
          <w:p w14:paraId="2135CAEA" w14:textId="77777777" w:rsidR="009A3B1B" w:rsidRPr="000B7F85" w:rsidRDefault="009A3B1B" w:rsidP="00E06BAC">
            <w:pPr>
              <w:spacing w:after="0" w:line="240" w:lineRule="auto"/>
              <w:ind w:left="384"/>
              <w:jc w:val="both"/>
              <w:rPr>
                <w:rFonts w:ascii="ITC Avant Garde" w:hAnsi="ITC Avant Garde"/>
                <w:sz w:val="20"/>
                <w:szCs w:val="20"/>
              </w:rPr>
            </w:pPr>
            <w:r w:rsidRPr="00C4627E">
              <w:rPr>
                <w:rFonts w:ascii="ITC Avant Garde" w:hAnsi="ITC Avant Garde"/>
                <w:i/>
                <w:sz w:val="20"/>
                <w:szCs w:val="20"/>
              </w:rPr>
              <w:t xml:space="preserve">A fin de obtener una Oferta Ganadora por el Bloque disponible, se tomará en cuenta la Oferta Subsecuente más Alta del otro Bloque, siempre y cuando se trate </w:t>
            </w:r>
            <w:r w:rsidRPr="00C4627E">
              <w:rPr>
                <w:rFonts w:ascii="ITC Avant Garde" w:hAnsi="ITC Avant Garde"/>
                <w:i/>
                <w:sz w:val="20"/>
                <w:szCs w:val="20"/>
              </w:rPr>
              <w:lastRenderedPageBreak/>
              <w:t>de un Bloque asignado, es decir, un Bloque para el cual ya se haya determinado previamente una Oferta Ganadora.</w:t>
            </w:r>
            <w:r w:rsidRPr="000B7F85">
              <w:rPr>
                <w:rFonts w:ascii="ITC Avant Garde" w:hAnsi="ITC Avant Garde"/>
                <w:sz w:val="20"/>
                <w:szCs w:val="20"/>
              </w:rPr>
              <w:t>”</w:t>
            </w:r>
          </w:p>
          <w:p w14:paraId="27B63EE9" w14:textId="77777777" w:rsidR="009A3B1B" w:rsidRPr="000B7F85" w:rsidRDefault="009A3B1B" w:rsidP="009A3B1B">
            <w:pPr>
              <w:spacing w:after="0" w:line="240" w:lineRule="auto"/>
              <w:jc w:val="both"/>
              <w:rPr>
                <w:rFonts w:ascii="ITC Avant Garde" w:hAnsi="ITC Avant Garde"/>
                <w:sz w:val="20"/>
                <w:szCs w:val="20"/>
              </w:rPr>
            </w:pPr>
          </w:p>
          <w:p w14:paraId="15984A90"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hAnsi="ITC Avant Garde"/>
                <w:sz w:val="20"/>
                <w:szCs w:val="20"/>
              </w:rPr>
              <w:t xml:space="preserve">Consideramos que los párrafos antes mencionados, mismos que atienden a explicar los supuestos del Bloque disponible, debieran considerarse como un apartado diferente de </w:t>
            </w:r>
            <w:r w:rsidRPr="000B7F85">
              <w:rPr>
                <w:rFonts w:ascii="ITC Avant Garde" w:eastAsia="Times New Roman" w:hAnsi="ITC Avant Garde"/>
                <w:color w:val="000000"/>
                <w:sz w:val="20"/>
                <w:szCs w:val="20"/>
                <w:lang w:eastAsia="es-MX"/>
              </w:rPr>
              <w:t>la descripción de las situaciones que hay que contemplar en caso de que se presente un empate entre dos o más Ofertas más Altas.</w:t>
            </w:r>
          </w:p>
          <w:p w14:paraId="0E712898"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262EFE20"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Con la finalidad de reforzar lo anterior, incluso identificamos que dichos párrafos se encuentran en diferente alineación con respecto al margen que el apartado que habla sobre las situaciones de empate.</w:t>
            </w:r>
          </w:p>
          <w:p w14:paraId="73D7E039" w14:textId="77777777" w:rsidR="009A3B1B" w:rsidRDefault="009A3B1B" w:rsidP="009A3B1B">
            <w:pPr>
              <w:spacing w:after="0" w:line="240" w:lineRule="auto"/>
              <w:jc w:val="both"/>
              <w:rPr>
                <w:rFonts w:ascii="ITC Avant Garde" w:eastAsia="Times New Roman" w:hAnsi="ITC Avant Garde"/>
                <w:color w:val="000000"/>
                <w:sz w:val="20"/>
                <w:szCs w:val="20"/>
                <w:lang w:eastAsia="es-MX"/>
              </w:rPr>
            </w:pPr>
          </w:p>
          <w:p w14:paraId="3BC1D94D" w14:textId="77777777" w:rsidR="003C20EE" w:rsidRPr="003C1509" w:rsidRDefault="003C20EE" w:rsidP="003C20EE">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Aunado a lo anterior proponemos que se incluya dentro de estos párrafos el supuesto en el cual el </w:t>
            </w:r>
            <w:r w:rsidRPr="003C1509">
              <w:rPr>
                <w:rFonts w:ascii="ITC Avant Garde" w:eastAsia="Times New Roman" w:hAnsi="ITC Avant Garde"/>
                <w:color w:val="000000"/>
                <w:sz w:val="20"/>
                <w:szCs w:val="20"/>
                <w:lang w:eastAsia="es-MX"/>
              </w:rPr>
              <w:t>Participante Ganador de un Bloque incumpla los requerimientos del numeral 6.4.1 de las Bases de la Licitación, es decir, que no pag</w:t>
            </w:r>
            <w:r w:rsidR="00457BD5">
              <w:rPr>
                <w:rFonts w:ascii="ITC Avant Garde" w:eastAsia="Times New Roman" w:hAnsi="ITC Avant Garde"/>
                <w:color w:val="000000"/>
                <w:sz w:val="20"/>
                <w:szCs w:val="20"/>
                <w:lang w:eastAsia="es-MX"/>
              </w:rPr>
              <w:t>u</w:t>
            </w:r>
            <w:r w:rsidRPr="003C1509">
              <w:rPr>
                <w:rFonts w:ascii="ITC Avant Garde" w:eastAsia="Times New Roman" w:hAnsi="ITC Avant Garde"/>
                <w:color w:val="000000"/>
                <w:sz w:val="20"/>
                <w:szCs w:val="20"/>
                <w:lang w:eastAsia="es-MX"/>
              </w:rPr>
              <w:t>e la Contraprestación o que no constituya la sociedad mercantil en el caso de Consorcio. En dicho caso, se estima que el Bloque de espectro en cuestión debe ser igualmente considerado como un Bloque disponible y debe permitirse que sea asignado al Participante que hubiera presentado la Oferta Subsecuente más Alta por dicho Bloque.</w:t>
            </w:r>
          </w:p>
          <w:p w14:paraId="16BA3CB6" w14:textId="77777777" w:rsidR="003C20EE" w:rsidRDefault="003C20EE" w:rsidP="003C20EE">
            <w:pPr>
              <w:spacing w:after="0" w:line="240" w:lineRule="auto"/>
              <w:jc w:val="both"/>
              <w:rPr>
                <w:rFonts w:ascii="ITC Avant Garde" w:eastAsia="Times New Roman" w:hAnsi="ITC Avant Garde"/>
                <w:color w:val="000000"/>
                <w:sz w:val="20"/>
                <w:szCs w:val="20"/>
                <w:lang w:eastAsia="es-MX"/>
              </w:rPr>
            </w:pPr>
          </w:p>
          <w:p w14:paraId="01B7CE83" w14:textId="77777777" w:rsidR="003C20EE" w:rsidRDefault="003C20EE" w:rsidP="00E06BAC">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Asimismo, consideramos</w:t>
            </w:r>
            <w:r w:rsidRPr="003C1509">
              <w:rPr>
                <w:rFonts w:ascii="ITC Avant Garde" w:eastAsia="Times New Roman" w:hAnsi="ITC Avant Garde"/>
                <w:color w:val="000000"/>
                <w:sz w:val="20"/>
                <w:szCs w:val="20"/>
                <w:lang w:eastAsia="es-MX"/>
              </w:rPr>
              <w:t xml:space="preserve"> necesario establecer una regla que promueva que el Componente Complementario Terrestre del Servicio Móvil por Satélite sea asignado al Autorizado que opere en el Bloque en cuestión, bajo ciertos supuestos. Específicamente, se propone que en el caso en que (i) tanto un Autorizado, empresas dentro de su GIE o vinculadas a su GIE como uno o más terceros presenten Ofertas Válidas por el Bloque asignado al Sistema Satelital de dicho Autorizado y (ii) no existan Ofertas Válidas u Ofertas Ganadoras por el otro Bloque, entonces todas las Ofertas Válidas presentadas por terceros diferentes al Autorizado del Bloque en cuestión, empresas dentro de su GIE o vinculadas a su GIE, deberán ser automáticamente consideradas como presentadas por el otro Bloque que, a su vez, deberá ser calificado como disponible. </w:t>
            </w:r>
          </w:p>
          <w:p w14:paraId="037A3A81" w14:textId="77777777" w:rsidR="003C20EE" w:rsidRPr="000B7F85" w:rsidRDefault="003C20EE" w:rsidP="009A3B1B">
            <w:pPr>
              <w:spacing w:after="0" w:line="240" w:lineRule="auto"/>
              <w:jc w:val="both"/>
              <w:rPr>
                <w:rFonts w:ascii="ITC Avant Garde" w:eastAsia="Times New Roman" w:hAnsi="ITC Avant Garde"/>
                <w:color w:val="000000"/>
                <w:sz w:val="20"/>
                <w:szCs w:val="20"/>
                <w:lang w:eastAsia="es-MX"/>
              </w:rPr>
            </w:pPr>
          </w:p>
          <w:p w14:paraId="03232236"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Por lo anterior, sugerimos que los numerales que siguen a dichos párrafos, mismos que se identifican como incisos d., e. y f., se modifiquen para queda</w:t>
            </w:r>
            <w:r w:rsidR="00C4627E">
              <w:rPr>
                <w:rFonts w:ascii="ITC Avant Garde" w:eastAsia="Times New Roman" w:hAnsi="ITC Avant Garde"/>
                <w:color w:val="000000"/>
                <w:sz w:val="20"/>
                <w:szCs w:val="20"/>
                <w:lang w:eastAsia="es-MX"/>
              </w:rPr>
              <w:t>r</w:t>
            </w:r>
            <w:r w:rsidRPr="000B7F85">
              <w:rPr>
                <w:rFonts w:ascii="ITC Avant Garde" w:eastAsia="Times New Roman" w:hAnsi="ITC Avant Garde"/>
                <w:color w:val="000000"/>
                <w:sz w:val="20"/>
                <w:szCs w:val="20"/>
                <w:lang w:eastAsia="es-MX"/>
              </w:rPr>
              <w:t xml:space="preserve"> el apar</w:t>
            </w:r>
            <w:r w:rsidR="00E55299">
              <w:rPr>
                <w:rFonts w:ascii="ITC Avant Garde" w:eastAsia="Times New Roman" w:hAnsi="ITC Avant Garde"/>
                <w:color w:val="000000"/>
                <w:sz w:val="20"/>
                <w:szCs w:val="20"/>
                <w:lang w:eastAsia="es-MX"/>
              </w:rPr>
              <w:t>t</w:t>
            </w:r>
            <w:r w:rsidRPr="000B7F85">
              <w:rPr>
                <w:rFonts w:ascii="ITC Avant Garde" w:eastAsia="Times New Roman" w:hAnsi="ITC Avant Garde"/>
                <w:color w:val="000000"/>
                <w:sz w:val="20"/>
                <w:szCs w:val="20"/>
                <w:lang w:eastAsia="es-MX"/>
              </w:rPr>
              <w:t>ado de la siguiente manera</w:t>
            </w:r>
            <w:r w:rsidR="00794BB8">
              <w:rPr>
                <w:rFonts w:ascii="ITC Avant Garde" w:eastAsia="Times New Roman" w:hAnsi="ITC Avant Garde"/>
                <w:color w:val="000000"/>
                <w:sz w:val="20"/>
                <w:szCs w:val="20"/>
                <w:lang w:eastAsia="es-MX"/>
              </w:rPr>
              <w:t xml:space="preserve">, en el cual también se proponen algunos ajustes adicionales para claridad </w:t>
            </w:r>
            <w:r w:rsidR="00E55299">
              <w:rPr>
                <w:rFonts w:ascii="ITC Avant Garde" w:eastAsia="Times New Roman" w:hAnsi="ITC Avant Garde"/>
                <w:color w:val="000000"/>
                <w:sz w:val="20"/>
                <w:szCs w:val="20"/>
                <w:lang w:eastAsia="es-MX"/>
              </w:rPr>
              <w:t xml:space="preserve">y para prever ciertos supuestos que se mencionaron en el comentario al Numeral 6.4.1 que se refieren al caso de que el Participante Ganador no cumpla con las condiciones del Acta de Fallo </w:t>
            </w:r>
            <w:r w:rsidR="00794BB8">
              <w:rPr>
                <w:rFonts w:ascii="ITC Avant Garde" w:eastAsia="Times New Roman" w:hAnsi="ITC Avant Garde"/>
                <w:color w:val="000000"/>
                <w:sz w:val="20"/>
                <w:szCs w:val="20"/>
                <w:lang w:eastAsia="es-MX"/>
              </w:rPr>
              <w:t>(subrayados para pronta referencia)</w:t>
            </w:r>
            <w:r w:rsidRPr="000B7F85">
              <w:rPr>
                <w:rFonts w:ascii="ITC Avant Garde" w:eastAsia="Times New Roman" w:hAnsi="ITC Avant Garde"/>
                <w:color w:val="000000"/>
                <w:sz w:val="20"/>
                <w:szCs w:val="20"/>
                <w:lang w:eastAsia="es-MX"/>
              </w:rPr>
              <w:t>:</w:t>
            </w:r>
          </w:p>
          <w:p w14:paraId="75E436B0"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4F130104" w14:textId="77777777" w:rsidR="009A3B1B" w:rsidRPr="00C4627E" w:rsidRDefault="009A3B1B" w:rsidP="00E06BAC">
            <w:pPr>
              <w:spacing w:after="0" w:line="240" w:lineRule="auto"/>
              <w:ind w:left="384"/>
              <w:jc w:val="both"/>
              <w:rPr>
                <w:rFonts w:ascii="ITC Avant Garde" w:hAnsi="ITC Avant Garde"/>
                <w:i/>
                <w:sz w:val="20"/>
                <w:szCs w:val="20"/>
              </w:rPr>
            </w:pPr>
            <w:r w:rsidRPr="000B7F85">
              <w:rPr>
                <w:rFonts w:ascii="ITC Avant Garde" w:eastAsia="Times New Roman" w:hAnsi="ITC Avant Garde"/>
                <w:color w:val="000000"/>
                <w:sz w:val="20"/>
                <w:szCs w:val="20"/>
                <w:lang w:eastAsia="es-MX"/>
              </w:rPr>
              <w:t>“</w:t>
            </w:r>
            <w:r w:rsidRPr="00C4627E">
              <w:rPr>
                <w:rFonts w:ascii="ITC Avant Garde" w:hAnsi="ITC Avant Garde"/>
                <w:i/>
                <w:sz w:val="20"/>
                <w:szCs w:val="20"/>
              </w:rPr>
              <w:t xml:space="preserve">Por otro lado, en caso de no encontrarse Oferta Subsecuente más Alta por ese Bloque específico, o en el caso de que no haya una Oferta Válida por un Bloque específico y, en consecuencia, no se pueda obtener una Oferta Ganadora, </w:t>
            </w:r>
            <w:r w:rsidR="00E55299" w:rsidRPr="002B780D">
              <w:rPr>
                <w:rFonts w:ascii="ITC Avant Garde" w:hAnsi="ITC Avant Garde"/>
                <w:i/>
                <w:sz w:val="20"/>
                <w:szCs w:val="20"/>
                <w:u w:val="single"/>
              </w:rPr>
              <w:t>o en caso de que</w:t>
            </w:r>
            <w:r w:rsidR="00E55299">
              <w:rPr>
                <w:rFonts w:ascii="ITC Avant Garde" w:hAnsi="ITC Avant Garde"/>
                <w:i/>
                <w:sz w:val="20"/>
                <w:szCs w:val="20"/>
                <w:u w:val="single"/>
              </w:rPr>
              <w:t xml:space="preserve"> el Participante Ganador no hubiera cumplido con las obligaciones establecidas en el numeral 6.4.1 de las Bases para un Bloque, </w:t>
            </w:r>
            <w:r w:rsidRPr="00C4627E">
              <w:rPr>
                <w:rFonts w:ascii="ITC Avant Garde" w:hAnsi="ITC Avant Garde"/>
                <w:i/>
                <w:sz w:val="20"/>
                <w:szCs w:val="20"/>
              </w:rPr>
              <w:t xml:space="preserve">éste será considerado como Bloque disponible. </w:t>
            </w:r>
          </w:p>
          <w:p w14:paraId="271AE2E0" w14:textId="77777777" w:rsidR="009A3B1B" w:rsidRPr="00C4627E" w:rsidRDefault="009A3B1B" w:rsidP="00E06BAC">
            <w:pPr>
              <w:spacing w:after="0" w:line="240" w:lineRule="auto"/>
              <w:ind w:left="384"/>
              <w:jc w:val="both"/>
              <w:rPr>
                <w:rFonts w:ascii="ITC Avant Garde" w:hAnsi="ITC Avant Garde"/>
                <w:i/>
                <w:sz w:val="20"/>
                <w:szCs w:val="20"/>
              </w:rPr>
            </w:pPr>
          </w:p>
          <w:p w14:paraId="4D7E7ED8" w14:textId="77777777" w:rsidR="009A3B1B" w:rsidRPr="00C4627E" w:rsidRDefault="009A3B1B" w:rsidP="00E06BAC">
            <w:pPr>
              <w:spacing w:after="0" w:line="240" w:lineRule="auto"/>
              <w:ind w:left="384"/>
              <w:jc w:val="both"/>
              <w:rPr>
                <w:rFonts w:ascii="ITC Avant Garde" w:hAnsi="ITC Avant Garde"/>
                <w:i/>
                <w:sz w:val="20"/>
                <w:szCs w:val="20"/>
              </w:rPr>
            </w:pPr>
            <w:r w:rsidRPr="00C4627E">
              <w:rPr>
                <w:rFonts w:ascii="ITC Avant Garde" w:hAnsi="ITC Avant Garde"/>
                <w:i/>
                <w:sz w:val="20"/>
                <w:szCs w:val="20"/>
              </w:rPr>
              <w:lastRenderedPageBreak/>
              <w:t xml:space="preserve">A fin de obtener una Oferta Ganadora por el Bloque disponible, se tomará en cuenta </w:t>
            </w:r>
            <w:r w:rsidR="009F2BAB" w:rsidRPr="00E06BAC">
              <w:rPr>
                <w:rFonts w:ascii="ITC Avant Garde" w:hAnsi="ITC Avant Garde"/>
                <w:i/>
                <w:sz w:val="20"/>
                <w:szCs w:val="20"/>
                <w:u w:val="single"/>
              </w:rPr>
              <w:t xml:space="preserve">(i) </w:t>
            </w:r>
            <w:r w:rsidRPr="00C4627E">
              <w:rPr>
                <w:rFonts w:ascii="ITC Avant Garde" w:hAnsi="ITC Avant Garde"/>
                <w:i/>
                <w:sz w:val="20"/>
                <w:szCs w:val="20"/>
              </w:rPr>
              <w:t>la Oferta Subsecuente más Alta del otro Bloque, siempre y cuando se trate de un Bloque asignado, es decir, un Bloque para el cual ya se haya determinado previamente una Oferta Ganadora</w:t>
            </w:r>
            <w:r w:rsidR="00E55299">
              <w:rPr>
                <w:rFonts w:ascii="ITC Avant Garde" w:hAnsi="ITC Avant Garde"/>
                <w:i/>
                <w:sz w:val="20"/>
                <w:szCs w:val="20"/>
                <w:u w:val="single"/>
              </w:rPr>
              <w:t xml:space="preserve"> o (</w:t>
            </w:r>
            <w:r w:rsidR="00E55299" w:rsidRPr="002B780D">
              <w:rPr>
                <w:rFonts w:ascii="ITC Avant Garde" w:hAnsi="ITC Avant Garde"/>
                <w:i/>
                <w:sz w:val="20"/>
                <w:szCs w:val="20"/>
                <w:u w:val="single"/>
              </w:rPr>
              <w:t xml:space="preserve">ii) la Oferta Subsecuente más Alta del Bloque en cuestión, </w:t>
            </w:r>
            <w:r w:rsidR="00E55299">
              <w:rPr>
                <w:rFonts w:ascii="ITC Avant Garde" w:hAnsi="ITC Avant Garde"/>
                <w:i/>
                <w:sz w:val="20"/>
                <w:szCs w:val="20"/>
                <w:u w:val="single"/>
              </w:rPr>
              <w:t xml:space="preserve">en caso </w:t>
            </w:r>
            <w:r w:rsidR="00E55299" w:rsidRPr="002B780D">
              <w:rPr>
                <w:rFonts w:ascii="ITC Avant Garde" w:hAnsi="ITC Avant Garde"/>
                <w:i/>
                <w:sz w:val="20"/>
                <w:szCs w:val="20"/>
                <w:u w:val="single"/>
              </w:rPr>
              <w:t>que el Participante Ganador no hubiera cumplido</w:t>
            </w:r>
            <w:r w:rsidR="00E55299">
              <w:rPr>
                <w:rFonts w:ascii="ITC Avant Garde" w:hAnsi="ITC Avant Garde"/>
                <w:i/>
                <w:sz w:val="20"/>
                <w:szCs w:val="20"/>
                <w:u w:val="single"/>
              </w:rPr>
              <w:t xml:space="preserve"> con </w:t>
            </w:r>
            <w:r w:rsidR="009F2BAB">
              <w:rPr>
                <w:rFonts w:ascii="ITC Avant Garde" w:hAnsi="ITC Avant Garde"/>
                <w:i/>
                <w:sz w:val="20"/>
                <w:szCs w:val="20"/>
                <w:u w:val="single"/>
              </w:rPr>
              <w:t xml:space="preserve">alguna de </w:t>
            </w:r>
            <w:r w:rsidR="00E55299">
              <w:rPr>
                <w:rFonts w:ascii="ITC Avant Garde" w:hAnsi="ITC Avant Garde"/>
                <w:i/>
                <w:sz w:val="20"/>
                <w:szCs w:val="20"/>
                <w:u w:val="single"/>
              </w:rPr>
              <w:t>las obligaciones establecidas en el numeral 6.4.1 de las Bases</w:t>
            </w:r>
            <w:r w:rsidRPr="00C4627E">
              <w:rPr>
                <w:rFonts w:ascii="ITC Avant Garde" w:hAnsi="ITC Avant Garde"/>
                <w:i/>
                <w:sz w:val="20"/>
                <w:szCs w:val="20"/>
              </w:rPr>
              <w:t>.</w:t>
            </w:r>
          </w:p>
          <w:p w14:paraId="08D50BA6" w14:textId="77777777" w:rsidR="009A3B1B" w:rsidRPr="00C4627E" w:rsidRDefault="009A3B1B" w:rsidP="00E06BAC">
            <w:pPr>
              <w:spacing w:after="0" w:line="240" w:lineRule="auto"/>
              <w:ind w:left="384"/>
              <w:jc w:val="both"/>
              <w:rPr>
                <w:rFonts w:ascii="ITC Avant Garde" w:hAnsi="ITC Avant Garde"/>
                <w:i/>
                <w:sz w:val="20"/>
                <w:szCs w:val="20"/>
              </w:rPr>
            </w:pPr>
          </w:p>
          <w:p w14:paraId="702C9759" w14:textId="77777777" w:rsidR="009A3B1B" w:rsidRDefault="009A3B1B" w:rsidP="00E06BAC">
            <w:pPr>
              <w:pStyle w:val="Prrafodelista"/>
              <w:numPr>
                <w:ilvl w:val="0"/>
                <w:numId w:val="30"/>
              </w:numPr>
              <w:spacing w:after="0" w:line="240" w:lineRule="auto"/>
              <w:ind w:left="384" w:firstLine="0"/>
              <w:contextualSpacing/>
              <w:jc w:val="both"/>
              <w:rPr>
                <w:rFonts w:ascii="ITC Avant Garde" w:hAnsi="ITC Avant Garde"/>
                <w:i/>
                <w:sz w:val="20"/>
                <w:szCs w:val="20"/>
              </w:rPr>
            </w:pPr>
            <w:r w:rsidRPr="00C4627E">
              <w:rPr>
                <w:rFonts w:ascii="ITC Avant Garde" w:hAnsi="ITC Avant Garde"/>
                <w:i/>
                <w:sz w:val="20"/>
                <w:szCs w:val="20"/>
              </w:rPr>
              <w:t>Si en algún momento del procedimiento de la selección de la Oferta Ganadora para el Bloque disponible, existe solamente un Participante con Oferta Subsecuente más Alta en el Bloque asignado, éste tendrá la oportunidad de obtener el Bloque disponible si acepta el monto de la Oferta Ganadora del Bloque asignado. En caso de aceptarla, ésta será considera como la Oferta más Alta y, en consecuencia, la Oferta Ganadora para el Bloque disponible. Por otro lado, si dicho Participante no acepta, se tomará en cuenta al Participante con la siguiente Oferta Subsecuente más Alta y se repetirá este procedimiento hasta que algún Participante acepte dicha Oferta o ya no existan otros Participantes con Oferta Válida; en este último caso, el Bloque disponible se declarará desierto en términos del numeral 7.3.5 del presente Apéndice.</w:t>
            </w:r>
          </w:p>
          <w:p w14:paraId="79B72C70" w14:textId="77777777" w:rsidR="00E55299" w:rsidRDefault="00E55299" w:rsidP="00E06BAC">
            <w:pPr>
              <w:pStyle w:val="Prrafodelista"/>
              <w:spacing w:after="0" w:line="240" w:lineRule="auto"/>
              <w:ind w:left="384"/>
              <w:contextualSpacing/>
              <w:jc w:val="both"/>
              <w:rPr>
                <w:rFonts w:ascii="ITC Avant Garde" w:hAnsi="ITC Avant Garde"/>
                <w:i/>
                <w:sz w:val="20"/>
                <w:szCs w:val="20"/>
              </w:rPr>
            </w:pPr>
          </w:p>
          <w:p w14:paraId="0330AF51" w14:textId="77777777" w:rsidR="003C20EE" w:rsidRPr="00E06BAC" w:rsidRDefault="003C20EE" w:rsidP="00E06BAC">
            <w:pPr>
              <w:pStyle w:val="Prrafodelista"/>
              <w:numPr>
                <w:ilvl w:val="0"/>
                <w:numId w:val="30"/>
              </w:numPr>
              <w:spacing w:after="0" w:line="240" w:lineRule="auto"/>
              <w:ind w:left="384" w:firstLine="0"/>
              <w:contextualSpacing/>
              <w:jc w:val="both"/>
              <w:rPr>
                <w:rFonts w:ascii="ITC Avant Garde" w:hAnsi="ITC Avant Garde"/>
                <w:i/>
                <w:sz w:val="20"/>
                <w:szCs w:val="20"/>
              </w:rPr>
            </w:pPr>
            <w:r w:rsidRPr="003C1509">
              <w:rPr>
                <w:rFonts w:ascii="ITC Avant Garde" w:hAnsi="ITC Avant Garde"/>
                <w:i/>
                <w:sz w:val="20"/>
                <w:szCs w:val="20"/>
                <w:u w:val="single"/>
              </w:rPr>
              <w:t xml:space="preserve">En el caso en que no se presente al menos una Oferta Válida por un Bloque específico o que habiendo una Oferta Ganadora por dicho Bloque </w:t>
            </w:r>
            <w:r w:rsidRPr="00C0646A">
              <w:rPr>
                <w:rFonts w:ascii="ITC Avant Garde" w:hAnsi="ITC Avant Garde"/>
                <w:i/>
                <w:sz w:val="20"/>
                <w:szCs w:val="20"/>
                <w:u w:val="single"/>
              </w:rPr>
              <w:t xml:space="preserve">el Participante Ganador incumpliera </w:t>
            </w:r>
            <w:r>
              <w:rPr>
                <w:rFonts w:ascii="ITC Avant Garde" w:hAnsi="ITC Avant Garde"/>
                <w:i/>
                <w:sz w:val="20"/>
                <w:szCs w:val="20"/>
                <w:u w:val="single"/>
              </w:rPr>
              <w:t xml:space="preserve">alguna de </w:t>
            </w:r>
            <w:r w:rsidRPr="00C0646A">
              <w:rPr>
                <w:rFonts w:ascii="ITC Avant Garde" w:hAnsi="ITC Avant Garde"/>
                <w:i/>
                <w:sz w:val="20"/>
                <w:szCs w:val="20"/>
                <w:u w:val="single"/>
              </w:rPr>
              <w:t>las obl</w:t>
            </w:r>
            <w:r w:rsidRPr="00CE552F">
              <w:rPr>
                <w:rFonts w:ascii="ITC Avant Garde" w:hAnsi="ITC Avant Garde"/>
                <w:i/>
                <w:sz w:val="20"/>
                <w:szCs w:val="20"/>
                <w:u w:val="single"/>
              </w:rPr>
              <w:t>igaciones establecidas en el numeral 6.4.1 de las Bases</w:t>
            </w:r>
            <w:r w:rsidRPr="003C1509">
              <w:rPr>
                <w:rFonts w:ascii="ITC Avant Garde" w:hAnsi="ITC Avant Garde"/>
                <w:i/>
                <w:sz w:val="20"/>
                <w:szCs w:val="20"/>
                <w:u w:val="single"/>
              </w:rPr>
              <w:t xml:space="preserve"> y que por el otro Bloque existan Ofertas Válidas </w:t>
            </w:r>
            <w:r w:rsidR="00952E94">
              <w:rPr>
                <w:rFonts w:ascii="ITC Avant Garde" w:hAnsi="ITC Avant Garde"/>
                <w:i/>
                <w:sz w:val="20"/>
                <w:szCs w:val="20"/>
                <w:u w:val="single"/>
              </w:rPr>
              <w:t>presentadas</w:t>
            </w:r>
            <w:r>
              <w:rPr>
                <w:rFonts w:ascii="ITC Avant Garde" w:hAnsi="ITC Avant Garde"/>
                <w:i/>
                <w:sz w:val="20"/>
                <w:szCs w:val="20"/>
                <w:u w:val="single"/>
              </w:rPr>
              <w:t xml:space="preserve"> </w:t>
            </w:r>
            <w:r w:rsidRPr="003C1509">
              <w:rPr>
                <w:rFonts w:ascii="ITC Avant Garde" w:hAnsi="ITC Avant Garde"/>
                <w:i/>
                <w:sz w:val="20"/>
                <w:szCs w:val="20"/>
                <w:u w:val="single"/>
              </w:rPr>
              <w:t xml:space="preserve">tanto (i) </w:t>
            </w:r>
            <w:r>
              <w:rPr>
                <w:rFonts w:ascii="ITC Avant Garde" w:hAnsi="ITC Avant Garde"/>
                <w:i/>
                <w:sz w:val="20"/>
                <w:szCs w:val="20"/>
                <w:u w:val="single"/>
              </w:rPr>
              <w:t xml:space="preserve">por </w:t>
            </w:r>
            <w:r w:rsidRPr="003C1509">
              <w:rPr>
                <w:rFonts w:ascii="ITC Avant Garde" w:hAnsi="ITC Avant Garde"/>
                <w:i/>
                <w:sz w:val="20"/>
                <w:szCs w:val="20"/>
                <w:u w:val="single"/>
              </w:rPr>
              <w:t>una Autorizada</w:t>
            </w:r>
            <w:r>
              <w:rPr>
                <w:rFonts w:ascii="ITC Avant Garde" w:hAnsi="ITC Avant Garde"/>
                <w:i/>
                <w:sz w:val="20"/>
                <w:szCs w:val="20"/>
                <w:u w:val="single"/>
              </w:rPr>
              <w:t xml:space="preserve">, su GIE </w:t>
            </w:r>
            <w:r w:rsidRPr="003C1509">
              <w:rPr>
                <w:rFonts w:ascii="ITC Avant Garde" w:hAnsi="ITC Avant Garde"/>
                <w:i/>
                <w:sz w:val="20"/>
                <w:szCs w:val="20"/>
                <w:u w:val="single"/>
              </w:rPr>
              <w:t xml:space="preserve">o </w:t>
            </w:r>
            <w:r>
              <w:rPr>
                <w:rFonts w:ascii="ITC Avant Garde" w:hAnsi="ITC Avant Garde"/>
                <w:i/>
                <w:sz w:val="20"/>
                <w:szCs w:val="20"/>
                <w:u w:val="single"/>
              </w:rPr>
              <w:t xml:space="preserve">de una </w:t>
            </w:r>
            <w:r w:rsidRPr="003C1509">
              <w:rPr>
                <w:rFonts w:ascii="ITC Avant Garde" w:hAnsi="ITC Avant Garde"/>
                <w:i/>
                <w:sz w:val="20"/>
                <w:szCs w:val="20"/>
                <w:u w:val="single"/>
              </w:rPr>
              <w:t xml:space="preserve">persona con la </w:t>
            </w:r>
            <w:r>
              <w:rPr>
                <w:rFonts w:ascii="ITC Avant Garde" w:hAnsi="ITC Avant Garde"/>
                <w:i/>
                <w:sz w:val="20"/>
                <w:szCs w:val="20"/>
                <w:u w:val="single"/>
              </w:rPr>
              <w:t xml:space="preserve">que </w:t>
            </w:r>
            <w:r w:rsidRPr="003C1509">
              <w:rPr>
                <w:rFonts w:ascii="ITC Avant Garde" w:hAnsi="ITC Avant Garde"/>
                <w:i/>
                <w:sz w:val="20"/>
                <w:szCs w:val="20"/>
                <w:u w:val="single"/>
              </w:rPr>
              <w:t xml:space="preserve">su GIE tiene </w:t>
            </w:r>
            <w:r w:rsidR="00952E94" w:rsidRPr="003C1509">
              <w:rPr>
                <w:rFonts w:ascii="ITC Avant Garde" w:hAnsi="ITC Avant Garde"/>
                <w:i/>
                <w:sz w:val="20"/>
                <w:szCs w:val="20"/>
                <w:u w:val="single"/>
              </w:rPr>
              <w:t>Vínculos</w:t>
            </w:r>
            <w:r>
              <w:rPr>
                <w:rFonts w:ascii="ITC Avant Garde" w:hAnsi="ITC Avant Garde"/>
                <w:i/>
                <w:sz w:val="20"/>
                <w:szCs w:val="20"/>
                <w:u w:val="single"/>
              </w:rPr>
              <w:t>,</w:t>
            </w:r>
            <w:r w:rsidRPr="003C1509">
              <w:rPr>
                <w:rFonts w:ascii="ITC Avant Garde" w:hAnsi="ITC Avant Garde"/>
                <w:i/>
                <w:sz w:val="20"/>
                <w:szCs w:val="20"/>
                <w:u w:val="single"/>
              </w:rPr>
              <w:t xml:space="preserve"> como (ii) </w:t>
            </w:r>
            <w:r>
              <w:rPr>
                <w:rFonts w:ascii="ITC Avant Garde" w:hAnsi="ITC Avant Garde"/>
                <w:i/>
                <w:sz w:val="20"/>
                <w:szCs w:val="20"/>
                <w:u w:val="single"/>
              </w:rPr>
              <w:t xml:space="preserve">por </w:t>
            </w:r>
            <w:r w:rsidRPr="003C1509">
              <w:rPr>
                <w:rFonts w:ascii="ITC Avant Garde" w:hAnsi="ITC Avant Garde"/>
                <w:i/>
                <w:sz w:val="20"/>
                <w:szCs w:val="20"/>
                <w:u w:val="single"/>
              </w:rPr>
              <w:t>uno o más Participantes que carezcan de tales Vínculos con el Autorizado en cuestión, las Ofertas Válidas de los Participantes que carezcan de Vínculos con el Autorizado se entenderán automáticamente presentadas para el primer Bloque, el cual se considerará como disponible. En dado caso las Ofer</w:t>
            </w:r>
            <w:r>
              <w:rPr>
                <w:rFonts w:ascii="ITC Avant Garde" w:hAnsi="ITC Avant Garde"/>
                <w:i/>
                <w:sz w:val="20"/>
                <w:szCs w:val="20"/>
                <w:u w:val="single"/>
              </w:rPr>
              <w:t>ta</w:t>
            </w:r>
            <w:r w:rsidRPr="003C1509">
              <w:rPr>
                <w:rFonts w:ascii="ITC Avant Garde" w:hAnsi="ITC Avant Garde"/>
                <w:i/>
                <w:sz w:val="20"/>
                <w:szCs w:val="20"/>
                <w:u w:val="single"/>
              </w:rPr>
              <w:t>s Válidas asignadas al Bloque disponible serán ordenadas de mayor a menor para determinar la Oferta más Alta por dicho Bloque y se procederá a seleccionar la Oferta Ganadora en los términos del primer párrafo de este numeral.</w:t>
            </w:r>
          </w:p>
          <w:p w14:paraId="7DC255D1" w14:textId="77777777" w:rsidR="00E06BAC" w:rsidRPr="00E06BAC" w:rsidRDefault="00E06BAC" w:rsidP="00E06BAC">
            <w:pPr>
              <w:pStyle w:val="Prrafodelista"/>
              <w:rPr>
                <w:rFonts w:ascii="ITC Avant Garde" w:hAnsi="ITC Avant Garde"/>
                <w:i/>
                <w:sz w:val="20"/>
                <w:szCs w:val="20"/>
              </w:rPr>
            </w:pPr>
          </w:p>
          <w:p w14:paraId="23633741" w14:textId="77777777" w:rsidR="00E55299" w:rsidRPr="00C4627E" w:rsidRDefault="00E55299" w:rsidP="00E06BAC">
            <w:pPr>
              <w:pStyle w:val="Prrafodelista"/>
              <w:numPr>
                <w:ilvl w:val="0"/>
                <w:numId w:val="30"/>
              </w:numPr>
              <w:spacing w:after="0" w:line="240" w:lineRule="auto"/>
              <w:ind w:left="384" w:firstLine="0"/>
              <w:contextualSpacing/>
              <w:jc w:val="both"/>
              <w:rPr>
                <w:rFonts w:ascii="ITC Avant Garde" w:hAnsi="ITC Avant Garde"/>
                <w:i/>
                <w:sz w:val="20"/>
                <w:szCs w:val="20"/>
              </w:rPr>
            </w:pPr>
            <w:r w:rsidRPr="005E3FA5">
              <w:rPr>
                <w:rFonts w:ascii="ITC Avant Garde" w:hAnsi="ITC Avant Garde"/>
                <w:i/>
                <w:sz w:val="20"/>
                <w:szCs w:val="20"/>
                <w:u w:val="single"/>
              </w:rPr>
              <w:t xml:space="preserve">En el caso de un Bloque por el cual el Participante Ganador incumpliera </w:t>
            </w:r>
            <w:r w:rsidR="009F2BAB">
              <w:rPr>
                <w:rFonts w:ascii="ITC Avant Garde" w:hAnsi="ITC Avant Garde"/>
                <w:i/>
                <w:sz w:val="20"/>
                <w:szCs w:val="20"/>
                <w:u w:val="single"/>
              </w:rPr>
              <w:t xml:space="preserve">alguna de </w:t>
            </w:r>
            <w:r w:rsidRPr="005E3FA5">
              <w:rPr>
                <w:rFonts w:ascii="ITC Avant Garde" w:hAnsi="ITC Avant Garde"/>
                <w:i/>
                <w:sz w:val="20"/>
                <w:szCs w:val="20"/>
                <w:u w:val="single"/>
              </w:rPr>
              <w:t xml:space="preserve">las obligaciones establecidas en el numeral 6.4.1 de las Bases, de existir </w:t>
            </w:r>
            <w:r w:rsidR="009F2BAB">
              <w:rPr>
                <w:rFonts w:ascii="ITC Avant Garde" w:hAnsi="ITC Avant Garde"/>
                <w:i/>
                <w:sz w:val="20"/>
                <w:szCs w:val="20"/>
                <w:u w:val="single"/>
              </w:rPr>
              <w:t xml:space="preserve">solamente </w:t>
            </w:r>
            <w:r w:rsidRPr="005E3FA5">
              <w:rPr>
                <w:rFonts w:ascii="ITC Avant Garde" w:hAnsi="ITC Avant Garde"/>
                <w:i/>
                <w:sz w:val="20"/>
                <w:szCs w:val="20"/>
                <w:u w:val="single"/>
              </w:rPr>
              <w:t xml:space="preserve">un Participante con Oferta Subsecuente más Alta en el mismo Bloque éste tendrá la oportunidad de obtener el Bloque </w:t>
            </w:r>
            <w:r w:rsidR="009F2BAB">
              <w:rPr>
                <w:rFonts w:ascii="ITC Avant Garde" w:hAnsi="ITC Avant Garde"/>
                <w:i/>
                <w:sz w:val="20"/>
                <w:szCs w:val="20"/>
                <w:u w:val="single"/>
              </w:rPr>
              <w:t>disponible por el monto de su Oferta</w:t>
            </w:r>
            <w:r w:rsidRPr="005E3FA5">
              <w:rPr>
                <w:rFonts w:ascii="ITC Avant Garde" w:hAnsi="ITC Avant Garde"/>
                <w:i/>
                <w:sz w:val="20"/>
                <w:szCs w:val="20"/>
                <w:u w:val="single"/>
              </w:rPr>
              <w:t>. En caso de aceptar el Bloque, ésta será considera</w:t>
            </w:r>
            <w:r w:rsidR="00AB71B3">
              <w:rPr>
                <w:rFonts w:ascii="ITC Avant Garde" w:hAnsi="ITC Avant Garde"/>
                <w:i/>
                <w:sz w:val="20"/>
                <w:szCs w:val="20"/>
                <w:u w:val="single"/>
              </w:rPr>
              <w:t>da</w:t>
            </w:r>
            <w:r w:rsidRPr="005E3FA5">
              <w:rPr>
                <w:rFonts w:ascii="ITC Avant Garde" w:hAnsi="ITC Avant Garde"/>
                <w:i/>
                <w:sz w:val="20"/>
                <w:szCs w:val="20"/>
                <w:u w:val="single"/>
              </w:rPr>
              <w:t xml:space="preserve"> como la Oferta más Alta y, en consecuencia, la Oferta Ganadora para el Bloque disponible. Por otro lado, si dicho Participante no acepta, se tomará en cuenta al Participante con la siguiente Oferta Subsecuente más Alta y se repetirá este procedimiento hasta que algún Participante acepte el Bloque o ya no existan otros Participantes con Oferta Válida; en este último caso, el Bloque disponible se declarará desierto en términos del numeral 7.3.5 del presente Apéndice.</w:t>
            </w:r>
          </w:p>
          <w:p w14:paraId="304B7AA0" w14:textId="77777777" w:rsidR="009A3B1B" w:rsidRPr="00C4627E" w:rsidRDefault="009A3B1B" w:rsidP="00E06BAC">
            <w:pPr>
              <w:pStyle w:val="Prrafodelista"/>
              <w:spacing w:after="0" w:line="240" w:lineRule="auto"/>
              <w:ind w:left="384"/>
              <w:jc w:val="both"/>
              <w:rPr>
                <w:rFonts w:ascii="ITC Avant Garde" w:hAnsi="ITC Avant Garde"/>
                <w:i/>
                <w:sz w:val="20"/>
                <w:szCs w:val="20"/>
              </w:rPr>
            </w:pPr>
          </w:p>
          <w:p w14:paraId="5AAC26F0" w14:textId="77777777" w:rsidR="009A3B1B" w:rsidRPr="00C4627E" w:rsidRDefault="009A3B1B" w:rsidP="00E06BAC">
            <w:pPr>
              <w:pStyle w:val="Prrafodelista"/>
              <w:numPr>
                <w:ilvl w:val="0"/>
                <w:numId w:val="30"/>
              </w:numPr>
              <w:spacing w:after="0" w:line="240" w:lineRule="auto"/>
              <w:ind w:left="384" w:firstLine="0"/>
              <w:contextualSpacing/>
              <w:jc w:val="both"/>
              <w:rPr>
                <w:rFonts w:ascii="ITC Avant Garde" w:hAnsi="ITC Avant Garde"/>
                <w:i/>
                <w:sz w:val="20"/>
                <w:szCs w:val="20"/>
              </w:rPr>
            </w:pPr>
            <w:r w:rsidRPr="00C4627E">
              <w:rPr>
                <w:rFonts w:ascii="ITC Avant Garde" w:hAnsi="ITC Avant Garde"/>
                <w:i/>
                <w:sz w:val="20"/>
                <w:szCs w:val="20"/>
              </w:rPr>
              <w:lastRenderedPageBreak/>
              <w:t xml:space="preserve">Si en algún momento del procedimiento de la selección de la Oferta Ganadora para el Bloque disponible, </w:t>
            </w:r>
            <w:r w:rsidR="00794BB8" w:rsidRPr="00794BB8">
              <w:rPr>
                <w:rFonts w:ascii="ITC Avant Garde" w:hAnsi="ITC Avant Garde"/>
                <w:i/>
                <w:sz w:val="20"/>
                <w:szCs w:val="20"/>
                <w:u w:val="single"/>
              </w:rPr>
              <w:t>se presenta un empate entre</w:t>
            </w:r>
            <w:r w:rsidR="00794BB8">
              <w:rPr>
                <w:rFonts w:ascii="ITC Avant Garde" w:hAnsi="ITC Avant Garde"/>
                <w:i/>
                <w:sz w:val="20"/>
                <w:szCs w:val="20"/>
              </w:rPr>
              <w:t xml:space="preserve"> </w:t>
            </w:r>
            <w:r w:rsidRPr="00C4627E">
              <w:rPr>
                <w:rFonts w:ascii="ITC Avant Garde" w:hAnsi="ITC Avant Garde"/>
                <w:i/>
                <w:sz w:val="20"/>
                <w:szCs w:val="20"/>
              </w:rPr>
              <w:t>dos o más Participantes con una Oferta Subsecuente más Alta, tendrán la oportunidad de participar en el mecanismo de desempate por el Bloque disponible si aceptan al menos el monto de la Oferta Ganadora del Bloque asignado. En caso de que dos o más Participantes acepten la Oferta, se aplicará el mecanismo de desempate, conforme al numeral 7.3.4 del presente Apéndice. En el caso de que solamente un Participante acepte la Oferta, se procederá a declararla como la Oferta más Alta y, en consecuencia, la Oferta Ganadora para el Bloque disponible. En el caso de que ningún Participante acepte la Oferta, se procederá a observar si existe otro Participante con la siguiente Oferta Subsecuente más Alta y se repetirá este procedimiento hasta que algún Participante acepte la Oferta o no existan Participantes con Oferta Válida; en este último caso, el Bloque disponible se declarará desierto en términos del numeral 7.3.5 del presente Apéndice.</w:t>
            </w:r>
          </w:p>
          <w:p w14:paraId="195EA4B9" w14:textId="77777777" w:rsidR="009A3B1B" w:rsidRPr="00C4627E" w:rsidRDefault="009A3B1B" w:rsidP="00E06BAC">
            <w:pPr>
              <w:pStyle w:val="Prrafodelista"/>
              <w:spacing w:after="0" w:line="240" w:lineRule="auto"/>
              <w:ind w:left="384"/>
              <w:jc w:val="both"/>
              <w:rPr>
                <w:rFonts w:ascii="ITC Avant Garde" w:hAnsi="ITC Avant Garde"/>
                <w:i/>
                <w:sz w:val="20"/>
                <w:szCs w:val="20"/>
              </w:rPr>
            </w:pPr>
          </w:p>
          <w:p w14:paraId="5EE21762" w14:textId="77777777" w:rsidR="009A3B1B" w:rsidRPr="000B7F85" w:rsidRDefault="009A3B1B" w:rsidP="00E06BAC">
            <w:pPr>
              <w:pStyle w:val="Prrafodelista"/>
              <w:numPr>
                <w:ilvl w:val="0"/>
                <w:numId w:val="30"/>
              </w:numPr>
              <w:spacing w:after="0" w:line="240" w:lineRule="auto"/>
              <w:ind w:left="384" w:firstLine="0"/>
              <w:contextualSpacing/>
              <w:jc w:val="both"/>
              <w:rPr>
                <w:rFonts w:ascii="ITC Avant Garde" w:hAnsi="ITC Avant Garde"/>
                <w:sz w:val="20"/>
                <w:szCs w:val="20"/>
              </w:rPr>
            </w:pPr>
            <w:r w:rsidRPr="00C4627E">
              <w:rPr>
                <w:rFonts w:ascii="ITC Avant Garde" w:hAnsi="ITC Avant Garde"/>
                <w:i/>
                <w:sz w:val="20"/>
                <w:szCs w:val="20"/>
              </w:rPr>
              <w:t>De no encontrarse Oferta Subsecuente más Alta en el Bloque asignado</w:t>
            </w:r>
            <w:r w:rsidR="00F019C4" w:rsidRPr="003C1509">
              <w:rPr>
                <w:rFonts w:ascii="ITC Avant Garde" w:hAnsi="ITC Avant Garde"/>
                <w:i/>
                <w:sz w:val="20"/>
                <w:szCs w:val="20"/>
                <w:u w:val="single"/>
              </w:rPr>
              <w:t xml:space="preserve"> o en el Bloque por el cual</w:t>
            </w:r>
            <w:r w:rsidR="00F019C4" w:rsidRPr="002B780D">
              <w:rPr>
                <w:rFonts w:ascii="ITC Avant Garde" w:hAnsi="ITC Avant Garde"/>
                <w:i/>
                <w:sz w:val="20"/>
                <w:szCs w:val="20"/>
                <w:u w:val="single"/>
              </w:rPr>
              <w:t xml:space="preserve"> el Participante Ganador no hubiera cumplido</w:t>
            </w:r>
            <w:r w:rsidR="00F019C4">
              <w:rPr>
                <w:rFonts w:ascii="ITC Avant Garde" w:hAnsi="ITC Avant Garde"/>
                <w:i/>
                <w:sz w:val="20"/>
                <w:szCs w:val="20"/>
                <w:u w:val="single"/>
              </w:rPr>
              <w:t xml:space="preserve"> con alguna de las obligaciones establecidas en el numeral 6.4.1 de las Bases</w:t>
            </w:r>
            <w:r w:rsidRPr="00C4627E">
              <w:rPr>
                <w:rFonts w:ascii="ITC Avant Garde" w:hAnsi="ITC Avant Garde"/>
                <w:i/>
                <w:sz w:val="20"/>
                <w:szCs w:val="20"/>
              </w:rPr>
              <w:t>, se procederá a declarar desierto el Bloque disponible en términos del numeral 7.3.5 del presente Apéndice.</w:t>
            </w:r>
          </w:p>
          <w:p w14:paraId="22A80410" w14:textId="77777777" w:rsidR="009A3B1B" w:rsidRPr="00E06BAC" w:rsidRDefault="009A3B1B" w:rsidP="00E06BAC">
            <w:pPr>
              <w:spacing w:after="0" w:line="240" w:lineRule="auto"/>
              <w:ind w:left="384"/>
              <w:contextualSpacing/>
              <w:jc w:val="both"/>
              <w:rPr>
                <w:rFonts w:ascii="ITC Avant Garde" w:hAnsi="ITC Avant Garde"/>
                <w:i/>
                <w:sz w:val="20"/>
                <w:szCs w:val="20"/>
              </w:rPr>
            </w:pPr>
          </w:p>
          <w:p w14:paraId="22B09E26" w14:textId="77777777" w:rsidR="00F019C4" w:rsidRPr="00E06BAC" w:rsidRDefault="00F019C4" w:rsidP="00E06BAC">
            <w:pPr>
              <w:spacing w:after="0" w:line="240" w:lineRule="auto"/>
              <w:ind w:left="384"/>
              <w:contextualSpacing/>
              <w:jc w:val="both"/>
              <w:rPr>
                <w:rFonts w:ascii="ITC Avant Garde" w:hAnsi="ITC Avant Garde"/>
                <w:i/>
                <w:sz w:val="20"/>
                <w:szCs w:val="20"/>
              </w:rPr>
            </w:pPr>
            <w:r w:rsidRPr="00E06BAC">
              <w:rPr>
                <w:rFonts w:ascii="ITC Avant Garde" w:hAnsi="ITC Avant Garde"/>
                <w:i/>
                <w:sz w:val="20"/>
                <w:szCs w:val="20"/>
              </w:rPr>
              <w:t xml:space="preserve">La aceptación de la Oferta que otorga la posibilidad de obtener el Bloque disponible, señalada en los incisos </w:t>
            </w:r>
            <w:r w:rsidRPr="00E06BAC">
              <w:rPr>
                <w:rFonts w:ascii="ITC Avant Garde" w:hAnsi="ITC Avant Garde"/>
                <w:i/>
                <w:sz w:val="20"/>
                <w:szCs w:val="20"/>
                <w:u w:val="single"/>
              </w:rPr>
              <w:t>a, b, c y d inmediatamente anteriores</w:t>
            </w:r>
            <w:r w:rsidRPr="00E06BAC">
              <w:rPr>
                <w:rFonts w:ascii="ITC Avant Garde" w:hAnsi="ITC Avant Garde"/>
                <w:i/>
                <w:sz w:val="20"/>
                <w:szCs w:val="20"/>
              </w:rPr>
              <w:t>, deberá presentarse en el Domicilio del Instituto, por escrito, utilizando el Anexo B-2 del presente Apéndice, en presencia del Testigo Social y del fedatario público, al día hábil siguiente del evento que la haya motivado. Para tal fin, el Instituto dará aviso el mismo día del evento por medio del correo electrónico de la Mesa de Ayuda, a el (los) Participante(s) con la(s) Oferta(s) Subsecuente(s) más Alta(s) en este supuesto.</w:t>
            </w:r>
            <w:r w:rsidRPr="00E06BAC">
              <w:rPr>
                <w:rFonts w:ascii="ITC Avant Garde" w:hAnsi="ITC Avant Garde"/>
                <w:sz w:val="20"/>
                <w:szCs w:val="20"/>
              </w:rPr>
              <w:t>”</w:t>
            </w:r>
          </w:p>
          <w:p w14:paraId="6CAFE474" w14:textId="77777777" w:rsidR="00F019C4" w:rsidRDefault="00F019C4" w:rsidP="009A3B1B">
            <w:pPr>
              <w:spacing w:after="0" w:line="240" w:lineRule="auto"/>
              <w:contextualSpacing/>
              <w:jc w:val="both"/>
              <w:rPr>
                <w:rFonts w:ascii="ITC Avant Garde" w:hAnsi="ITC Avant Garde"/>
                <w:sz w:val="20"/>
                <w:szCs w:val="20"/>
              </w:rPr>
            </w:pPr>
          </w:p>
          <w:p w14:paraId="734ABC3D" w14:textId="4DAC5858" w:rsidR="00087241" w:rsidRPr="00E06BAC" w:rsidRDefault="00087241" w:rsidP="00E06BAC">
            <w:pPr>
              <w:pStyle w:val="Textocomentario"/>
              <w:jc w:val="both"/>
            </w:pPr>
          </w:p>
        </w:tc>
      </w:tr>
      <w:tr w:rsidR="009A3B1B" w:rsidRPr="00F36A5D" w14:paraId="09053591" w14:textId="77777777" w:rsidTr="005F3F0A">
        <w:trPr>
          <w:trHeight w:val="290"/>
        </w:trPr>
        <w:tc>
          <w:tcPr>
            <w:tcW w:w="979" w:type="pct"/>
            <w:shd w:val="clear" w:color="auto" w:fill="auto"/>
            <w:vAlign w:val="center"/>
          </w:tcPr>
          <w:p w14:paraId="330E44EA" w14:textId="77777777" w:rsidR="009A3B1B" w:rsidRPr="000B7F85" w:rsidRDefault="009A3B1B" w:rsidP="009A3B1B">
            <w:pPr>
              <w:spacing w:after="0" w:line="240" w:lineRule="auto"/>
              <w:jc w:val="center"/>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lastRenderedPageBreak/>
              <w:t xml:space="preserve">Numeral 7.3.4 del Apéndice B </w:t>
            </w:r>
          </w:p>
        </w:tc>
        <w:tc>
          <w:tcPr>
            <w:tcW w:w="4021" w:type="pct"/>
            <w:shd w:val="clear" w:color="auto" w:fill="auto"/>
            <w:vAlign w:val="center"/>
          </w:tcPr>
          <w:p w14:paraId="45768E4A"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El segundo párrafo del numeral 7.3.4 “Mecanismo de desempate” establece que en caso de que el monto de la Garantía de Seriedad entregada en su momento sea inferior al 20% (veinte por ciento) de la nueva Oferta, a fin de cumplir con lo señalado en el inciso vii del numeral 7.1 del presente Apéndice, se deberá entregar una nueva Garantía de Seriedad o la actualización de la original, que ampare al menos el 50% (cincuenta por ciento) del valor de la nueva Oferta.</w:t>
            </w:r>
          </w:p>
          <w:p w14:paraId="703D7915"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015B106C"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 xml:space="preserve">En virtud de lo señalado en </w:t>
            </w:r>
            <w:r>
              <w:rPr>
                <w:rFonts w:ascii="ITC Avant Garde" w:eastAsia="Times New Roman" w:hAnsi="ITC Avant Garde"/>
                <w:color w:val="000000"/>
                <w:sz w:val="20"/>
                <w:szCs w:val="20"/>
                <w:lang w:eastAsia="es-MX"/>
              </w:rPr>
              <w:t>el Numeral</w:t>
            </w:r>
            <w:r w:rsidRPr="000B7F85">
              <w:rPr>
                <w:rFonts w:ascii="ITC Avant Garde" w:eastAsia="Times New Roman" w:hAnsi="ITC Avant Garde"/>
                <w:color w:val="000000"/>
                <w:sz w:val="20"/>
                <w:szCs w:val="20"/>
                <w:lang w:eastAsia="es-MX"/>
              </w:rPr>
              <w:t xml:space="preserve"> 11.7 y el tercer párrafo del </w:t>
            </w:r>
            <w:r w:rsidR="008D2BB0">
              <w:rPr>
                <w:rFonts w:ascii="ITC Avant Garde" w:eastAsia="Times New Roman" w:hAnsi="ITC Avant Garde"/>
                <w:color w:val="000000"/>
                <w:sz w:val="20"/>
                <w:szCs w:val="20"/>
                <w:lang w:eastAsia="es-MX"/>
              </w:rPr>
              <w:t>N</w:t>
            </w:r>
            <w:r w:rsidRPr="000B7F85">
              <w:rPr>
                <w:rFonts w:ascii="ITC Avant Garde" w:eastAsia="Times New Roman" w:hAnsi="ITC Avant Garde"/>
                <w:color w:val="000000"/>
                <w:sz w:val="20"/>
                <w:szCs w:val="20"/>
                <w:lang w:eastAsia="es-MX"/>
              </w:rPr>
              <w:t>umeral 5 del Apéndice B, se sugiere modificar la redacción de la siguiente manera</w:t>
            </w:r>
            <w:r w:rsidR="008D2BB0">
              <w:rPr>
                <w:rFonts w:ascii="ITC Avant Garde" w:eastAsia="Times New Roman" w:hAnsi="ITC Avant Garde"/>
                <w:color w:val="000000"/>
                <w:sz w:val="20"/>
                <w:szCs w:val="20"/>
                <w:lang w:eastAsia="es-MX"/>
              </w:rPr>
              <w:t xml:space="preserve"> (subrayado para pronta referencia)</w:t>
            </w:r>
            <w:r w:rsidRPr="000B7F85">
              <w:rPr>
                <w:rFonts w:ascii="ITC Avant Garde" w:eastAsia="Times New Roman" w:hAnsi="ITC Avant Garde"/>
                <w:color w:val="000000"/>
                <w:sz w:val="20"/>
                <w:szCs w:val="20"/>
                <w:lang w:eastAsia="es-MX"/>
              </w:rPr>
              <w:t>:</w:t>
            </w:r>
          </w:p>
          <w:p w14:paraId="1D91A108" w14:textId="77777777" w:rsidR="009A3B1B" w:rsidRPr="000B7F85" w:rsidRDefault="009A3B1B" w:rsidP="009A3B1B">
            <w:pPr>
              <w:spacing w:after="0" w:line="240" w:lineRule="auto"/>
              <w:jc w:val="both"/>
              <w:rPr>
                <w:rFonts w:ascii="ITC Avant Garde" w:eastAsia="Times New Roman" w:hAnsi="ITC Avant Garde"/>
                <w:color w:val="000000"/>
                <w:sz w:val="20"/>
                <w:szCs w:val="20"/>
                <w:lang w:eastAsia="es-MX"/>
              </w:rPr>
            </w:pPr>
          </w:p>
          <w:p w14:paraId="76DB604F" w14:textId="77777777" w:rsidR="009A3B1B" w:rsidRDefault="009A3B1B" w:rsidP="00E06BAC">
            <w:pPr>
              <w:spacing w:after="0" w:line="240" w:lineRule="auto"/>
              <w:ind w:left="384"/>
              <w:jc w:val="both"/>
              <w:rPr>
                <w:rFonts w:ascii="ITC Avant Garde" w:eastAsia="Times New Roman" w:hAnsi="ITC Avant Garde"/>
                <w:color w:val="000000"/>
                <w:sz w:val="20"/>
                <w:szCs w:val="20"/>
                <w:lang w:eastAsia="es-MX"/>
              </w:rPr>
            </w:pPr>
            <w:r w:rsidRPr="000B7F85">
              <w:rPr>
                <w:sz w:val="20"/>
                <w:szCs w:val="20"/>
              </w:rPr>
              <w:t>“…</w:t>
            </w:r>
            <w:r w:rsidR="00087241">
              <w:rPr>
                <w:sz w:val="20"/>
                <w:szCs w:val="20"/>
              </w:rPr>
              <w:t xml:space="preserve"> </w:t>
            </w:r>
            <w:r w:rsidRPr="00087241">
              <w:rPr>
                <w:rFonts w:ascii="ITC Avant Garde" w:eastAsia="Times New Roman" w:hAnsi="ITC Avant Garde"/>
                <w:i/>
                <w:color w:val="000000"/>
                <w:sz w:val="20"/>
                <w:szCs w:val="20"/>
                <w:lang w:eastAsia="es-MX"/>
              </w:rPr>
              <w:t xml:space="preserve">en caso de que el monto de la Garantía de Seriedad entregada en su momento sea inferior al 20% (veinte por ciento) de la nueva Oferta, a fin de cumplir con lo señalado en el inciso vii del numeral 7.1 del presente Apéndice, se deberá entregar una nueva Garantía de Seriedad o la actualización de la original, que ampare al menos el </w:t>
            </w:r>
            <w:r w:rsidRPr="00087241">
              <w:rPr>
                <w:rFonts w:ascii="ITC Avant Garde" w:eastAsia="Times New Roman" w:hAnsi="ITC Avant Garde"/>
                <w:i/>
                <w:color w:val="000000"/>
                <w:sz w:val="20"/>
                <w:szCs w:val="20"/>
                <w:u w:val="single"/>
                <w:lang w:eastAsia="es-MX"/>
              </w:rPr>
              <w:t>20% (veinte por ciento)</w:t>
            </w:r>
            <w:r w:rsidRPr="00087241">
              <w:rPr>
                <w:rFonts w:ascii="ITC Avant Garde" w:eastAsia="Times New Roman" w:hAnsi="ITC Avant Garde"/>
                <w:i/>
                <w:color w:val="000000"/>
                <w:sz w:val="20"/>
                <w:szCs w:val="20"/>
                <w:lang w:eastAsia="es-MX"/>
              </w:rPr>
              <w:t xml:space="preserve"> del valor de la nueva Oferta.</w:t>
            </w:r>
            <w:r w:rsidRPr="000B7F85">
              <w:rPr>
                <w:rFonts w:ascii="ITC Avant Garde" w:eastAsia="Times New Roman" w:hAnsi="ITC Avant Garde"/>
                <w:color w:val="000000"/>
                <w:sz w:val="20"/>
                <w:szCs w:val="20"/>
                <w:lang w:eastAsia="es-MX"/>
              </w:rPr>
              <w:t>”</w:t>
            </w:r>
          </w:p>
          <w:p w14:paraId="590AA913" w14:textId="77777777" w:rsidR="00087241" w:rsidRPr="000B7F85" w:rsidRDefault="00087241" w:rsidP="009A3B1B">
            <w:pPr>
              <w:spacing w:after="0" w:line="240" w:lineRule="auto"/>
              <w:jc w:val="both"/>
              <w:rPr>
                <w:rFonts w:ascii="ITC Avant Garde" w:eastAsia="Times New Roman" w:hAnsi="ITC Avant Garde"/>
                <w:color w:val="000000"/>
                <w:sz w:val="20"/>
                <w:szCs w:val="20"/>
                <w:lang w:eastAsia="es-MX"/>
              </w:rPr>
            </w:pPr>
          </w:p>
        </w:tc>
      </w:tr>
      <w:tr w:rsidR="009A3B1B" w:rsidRPr="00F36A5D" w14:paraId="7ED8F7AC" w14:textId="77777777" w:rsidTr="005F3F0A">
        <w:trPr>
          <w:trHeight w:val="290"/>
        </w:trPr>
        <w:tc>
          <w:tcPr>
            <w:tcW w:w="979" w:type="pct"/>
            <w:shd w:val="clear" w:color="auto" w:fill="auto"/>
            <w:vAlign w:val="center"/>
          </w:tcPr>
          <w:p w14:paraId="27E4B23A" w14:textId="77777777" w:rsidR="009A3B1B" w:rsidRPr="000B7F85" w:rsidRDefault="009A3B1B" w:rsidP="009A3B1B">
            <w:pPr>
              <w:spacing w:after="0" w:line="240" w:lineRule="auto"/>
              <w:jc w:val="center"/>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lastRenderedPageBreak/>
              <w:t>Apéndice E</w:t>
            </w:r>
          </w:p>
        </w:tc>
        <w:tc>
          <w:tcPr>
            <w:tcW w:w="4021" w:type="pct"/>
            <w:shd w:val="clear" w:color="auto" w:fill="auto"/>
            <w:vAlign w:val="center"/>
          </w:tcPr>
          <w:p w14:paraId="0B96178A" w14:textId="77777777" w:rsidR="009A3B1B" w:rsidRDefault="009A3B1B" w:rsidP="008D2BB0">
            <w:pPr>
              <w:spacing w:after="0" w:line="240" w:lineRule="auto"/>
              <w:jc w:val="both"/>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Respecto al apartado 1. “DATOS GENERALES E INFORMACIÓN CORPORATIVA”, aclarar si todas las especificaciones que se requieren de los Relacionados Accionistas es solamente sobre empresas mexicanas o también extranjeras. Asimismo, aclarar si sólo se requieren las especificaciones solicitadas cuando los Relacionados Accionistas se dediquen al sector de telecomunicaciones o radiodifusión, o aplica para cualquier sector.</w:t>
            </w:r>
          </w:p>
          <w:p w14:paraId="1811D304" w14:textId="77777777" w:rsidR="008D2BB0" w:rsidRPr="000B7F85" w:rsidRDefault="008D2BB0" w:rsidP="008D2BB0">
            <w:pPr>
              <w:spacing w:after="0" w:line="240" w:lineRule="auto"/>
              <w:jc w:val="both"/>
              <w:rPr>
                <w:rFonts w:ascii="ITC Avant Garde" w:eastAsia="Times New Roman" w:hAnsi="ITC Avant Garde"/>
                <w:color w:val="000000"/>
                <w:sz w:val="20"/>
                <w:szCs w:val="20"/>
                <w:lang w:eastAsia="es-MX"/>
              </w:rPr>
            </w:pPr>
          </w:p>
        </w:tc>
      </w:tr>
      <w:tr w:rsidR="008D2BB0" w:rsidRPr="00F36A5D" w14:paraId="09C24675" w14:textId="77777777" w:rsidTr="005F3F0A">
        <w:trPr>
          <w:trHeight w:val="290"/>
        </w:trPr>
        <w:tc>
          <w:tcPr>
            <w:tcW w:w="979" w:type="pct"/>
            <w:shd w:val="clear" w:color="auto" w:fill="auto"/>
            <w:vAlign w:val="center"/>
          </w:tcPr>
          <w:p w14:paraId="64A27CAA" w14:textId="77777777" w:rsidR="008D2BB0" w:rsidRPr="000B7F85" w:rsidRDefault="008D2BB0" w:rsidP="008D2BB0">
            <w:pPr>
              <w:spacing w:after="0" w:line="240" w:lineRule="auto"/>
              <w:jc w:val="center"/>
              <w:rPr>
                <w:rFonts w:ascii="ITC Avant Garde" w:eastAsia="Times New Roman" w:hAnsi="ITC Avant Garde"/>
                <w:color w:val="000000"/>
                <w:sz w:val="20"/>
                <w:szCs w:val="20"/>
                <w:lang w:eastAsia="es-MX"/>
              </w:rPr>
            </w:pPr>
            <w:r w:rsidRPr="000B7F85">
              <w:rPr>
                <w:rFonts w:ascii="ITC Avant Garde" w:eastAsia="Times New Roman" w:hAnsi="ITC Avant Garde"/>
                <w:color w:val="000000"/>
                <w:sz w:val="20"/>
                <w:szCs w:val="20"/>
                <w:lang w:eastAsia="es-MX"/>
              </w:rPr>
              <w:t>Apéndice E</w:t>
            </w:r>
          </w:p>
        </w:tc>
        <w:tc>
          <w:tcPr>
            <w:tcW w:w="4021" w:type="pct"/>
            <w:shd w:val="clear" w:color="auto" w:fill="auto"/>
            <w:vAlign w:val="center"/>
          </w:tcPr>
          <w:p w14:paraId="48957746" w14:textId="77777777" w:rsidR="00476C80" w:rsidRPr="000B7F85" w:rsidRDefault="008D2BB0" w:rsidP="00476C80">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Es necesario incluir un requerimiento de información específica para verificar si el Inter</w:t>
            </w:r>
            <w:r w:rsidR="00476C80">
              <w:rPr>
                <w:rFonts w:ascii="ITC Avant Garde" w:eastAsia="Times New Roman" w:hAnsi="ITC Avant Garde"/>
                <w:color w:val="000000"/>
                <w:sz w:val="20"/>
                <w:szCs w:val="20"/>
                <w:lang w:eastAsia="es-MX"/>
              </w:rPr>
              <w:t>e</w:t>
            </w:r>
            <w:r>
              <w:rPr>
                <w:rFonts w:ascii="ITC Avant Garde" w:eastAsia="Times New Roman" w:hAnsi="ITC Avant Garde"/>
                <w:color w:val="000000"/>
                <w:sz w:val="20"/>
                <w:szCs w:val="20"/>
                <w:lang w:eastAsia="es-MX"/>
              </w:rPr>
              <w:t>sado</w:t>
            </w:r>
            <w:r w:rsidR="00476C80">
              <w:rPr>
                <w:rFonts w:ascii="ITC Avant Garde" w:eastAsia="Times New Roman" w:hAnsi="ITC Avant Garde"/>
                <w:color w:val="000000"/>
                <w:sz w:val="20"/>
                <w:szCs w:val="20"/>
                <w:lang w:eastAsia="es-MX"/>
              </w:rPr>
              <w:t xml:space="preserve"> (o cualquier Agente Económico de su mismo GIE)</w:t>
            </w:r>
            <w:r>
              <w:rPr>
                <w:rFonts w:ascii="ITC Avant Garde" w:eastAsia="Times New Roman" w:hAnsi="ITC Avant Garde"/>
                <w:color w:val="000000"/>
                <w:sz w:val="20"/>
                <w:szCs w:val="20"/>
                <w:lang w:eastAsia="es-MX"/>
              </w:rPr>
              <w:t xml:space="preserve"> tiene un Vínculo con alg</w:t>
            </w:r>
            <w:r w:rsidR="00476C80">
              <w:rPr>
                <w:rFonts w:ascii="ITC Avant Garde" w:eastAsia="Times New Roman" w:hAnsi="ITC Avant Garde"/>
                <w:color w:val="000000"/>
                <w:sz w:val="20"/>
                <w:szCs w:val="20"/>
                <w:lang w:eastAsia="es-MX"/>
              </w:rPr>
              <w:t xml:space="preserve">ún tercero </w:t>
            </w:r>
            <w:r w:rsidR="00476C80" w:rsidRPr="000B7F85">
              <w:rPr>
                <w:rFonts w:ascii="ITC Avant Garde" w:eastAsia="Times New Roman" w:hAnsi="ITC Avant Garde"/>
                <w:color w:val="000000"/>
                <w:sz w:val="20"/>
                <w:szCs w:val="20"/>
                <w:lang w:eastAsia="es-MX"/>
              </w:rPr>
              <w:t xml:space="preserve">o </w:t>
            </w:r>
            <w:r w:rsidR="00476C80">
              <w:rPr>
                <w:rFonts w:ascii="ITC Avant Garde" w:eastAsia="Times New Roman" w:hAnsi="ITC Avant Garde"/>
                <w:color w:val="000000"/>
                <w:sz w:val="20"/>
                <w:szCs w:val="20"/>
                <w:lang w:eastAsia="es-MX"/>
              </w:rPr>
              <w:t>con cualquier</w:t>
            </w:r>
            <w:r w:rsidR="00476C80" w:rsidRPr="000B7F85">
              <w:rPr>
                <w:rFonts w:ascii="ITC Avant Garde" w:eastAsia="Times New Roman" w:hAnsi="ITC Avant Garde"/>
                <w:color w:val="000000"/>
                <w:sz w:val="20"/>
                <w:szCs w:val="20"/>
                <w:lang w:eastAsia="es-MX"/>
              </w:rPr>
              <w:t xml:space="preserve"> Agente Económico </w:t>
            </w:r>
            <w:r w:rsidR="00476C80">
              <w:rPr>
                <w:rFonts w:ascii="ITC Avant Garde" w:eastAsia="Times New Roman" w:hAnsi="ITC Avant Garde"/>
                <w:color w:val="000000"/>
                <w:sz w:val="20"/>
                <w:szCs w:val="20"/>
                <w:lang w:eastAsia="es-MX"/>
              </w:rPr>
              <w:t>del mismo</w:t>
            </w:r>
            <w:r w:rsidR="00476C80" w:rsidRPr="000B7F85">
              <w:rPr>
                <w:rFonts w:ascii="ITC Avant Garde" w:eastAsia="Times New Roman" w:hAnsi="ITC Avant Garde"/>
                <w:color w:val="000000"/>
                <w:sz w:val="20"/>
                <w:szCs w:val="20"/>
                <w:lang w:eastAsia="es-MX"/>
              </w:rPr>
              <w:t xml:space="preserve"> GIE </w:t>
            </w:r>
            <w:r w:rsidR="00476C80">
              <w:rPr>
                <w:rFonts w:ascii="ITC Avant Garde" w:eastAsia="Times New Roman" w:hAnsi="ITC Avant Garde"/>
                <w:color w:val="000000"/>
                <w:sz w:val="20"/>
                <w:szCs w:val="20"/>
                <w:lang w:eastAsia="es-MX"/>
              </w:rPr>
              <w:t xml:space="preserve">del tercero. Lo anterior, en el entendido de que se </w:t>
            </w:r>
            <w:r w:rsidR="00476C80" w:rsidRPr="000B7F85">
              <w:rPr>
                <w:rFonts w:ascii="ITC Avant Garde" w:eastAsia="Times New Roman" w:hAnsi="ITC Avant Garde"/>
                <w:color w:val="000000"/>
                <w:sz w:val="20"/>
                <w:szCs w:val="20"/>
                <w:lang w:eastAsia="es-MX"/>
              </w:rPr>
              <w:t xml:space="preserve">tiene </w:t>
            </w:r>
            <w:r w:rsidR="00476C80">
              <w:rPr>
                <w:rFonts w:ascii="ITC Avant Garde" w:eastAsia="Times New Roman" w:hAnsi="ITC Avant Garde"/>
                <w:color w:val="000000"/>
                <w:sz w:val="20"/>
                <w:szCs w:val="20"/>
                <w:lang w:eastAsia="es-MX"/>
              </w:rPr>
              <w:t xml:space="preserve">que definir de manera clara el concepto de Vínculo </w:t>
            </w:r>
            <w:r w:rsidR="00476C80" w:rsidRPr="000B7F85">
              <w:rPr>
                <w:rFonts w:ascii="ITC Avant Garde" w:eastAsia="Times New Roman" w:hAnsi="ITC Avant Garde"/>
                <w:color w:val="000000"/>
                <w:sz w:val="20"/>
                <w:szCs w:val="20"/>
                <w:lang w:eastAsia="es-MX"/>
              </w:rPr>
              <w:t>de tipo comercial, organizativo, económico o jurídico</w:t>
            </w:r>
            <w:r w:rsidR="00476C80">
              <w:rPr>
                <w:rFonts w:ascii="ITC Avant Garde" w:eastAsia="Times New Roman" w:hAnsi="ITC Avant Garde"/>
                <w:color w:val="000000"/>
                <w:sz w:val="20"/>
                <w:szCs w:val="20"/>
                <w:lang w:eastAsia="es-MX"/>
              </w:rPr>
              <w:t>, ya que es relevante para su aplicación como parte del límite de acumulación de espectro, como se señala anteriormente y en el siguiente apartado III</w:t>
            </w:r>
            <w:r w:rsidR="00476C80" w:rsidRPr="000B7F85">
              <w:rPr>
                <w:rFonts w:ascii="ITC Avant Garde" w:eastAsia="Times New Roman" w:hAnsi="ITC Avant Garde"/>
                <w:color w:val="000000"/>
                <w:sz w:val="20"/>
                <w:szCs w:val="20"/>
                <w:lang w:eastAsia="es-MX"/>
              </w:rPr>
              <w:t xml:space="preserve">. </w:t>
            </w:r>
          </w:p>
          <w:p w14:paraId="290D9963" w14:textId="77777777" w:rsidR="00476C80" w:rsidRPr="000B7F85" w:rsidRDefault="00476C80" w:rsidP="008D2BB0">
            <w:pPr>
              <w:spacing w:after="0" w:line="240" w:lineRule="auto"/>
              <w:jc w:val="both"/>
              <w:rPr>
                <w:rFonts w:ascii="ITC Avant Garde" w:eastAsia="Times New Roman" w:hAnsi="ITC Avant Garde"/>
                <w:color w:val="000000"/>
                <w:sz w:val="20"/>
                <w:szCs w:val="20"/>
                <w:lang w:eastAsia="es-MX"/>
              </w:rPr>
            </w:pPr>
          </w:p>
        </w:tc>
      </w:tr>
      <w:tr w:rsidR="008D2BB0" w:rsidRPr="00F36A5D" w14:paraId="41E7C236" w14:textId="77777777" w:rsidTr="005F3F0A">
        <w:trPr>
          <w:trHeight w:val="224"/>
        </w:trPr>
        <w:tc>
          <w:tcPr>
            <w:tcW w:w="5000" w:type="pct"/>
            <w:gridSpan w:val="2"/>
            <w:shd w:val="clear" w:color="auto" w:fill="C5E0B3"/>
            <w:vAlign w:val="center"/>
          </w:tcPr>
          <w:p w14:paraId="7D15A1A9" w14:textId="77777777" w:rsidR="008D2BB0" w:rsidRPr="00F36A5D" w:rsidRDefault="008D2BB0" w:rsidP="008D2BB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73126828" w14:textId="77777777" w:rsidR="005F3F0A" w:rsidRDefault="005F3F0A" w:rsidP="00170916">
      <w:pPr>
        <w:spacing w:after="0"/>
        <w:jc w:val="both"/>
        <w:rPr>
          <w:rFonts w:ascii="ITC Avant Garde" w:hAnsi="ITC Avant Garde"/>
          <w:sz w:val="20"/>
        </w:rPr>
      </w:pPr>
    </w:p>
    <w:tbl>
      <w:tblPr>
        <w:tblpPr w:leftFromText="141" w:rightFromText="141" w:vertAnchor="text" w:horzAnchor="margin" w:tblpY="2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21"/>
      </w:tblGrid>
      <w:tr w:rsidR="004729CC" w:rsidRPr="0079329B" w14:paraId="49D119B3" w14:textId="77777777" w:rsidTr="004D2479">
        <w:trPr>
          <w:trHeight w:val="581"/>
        </w:trPr>
        <w:tc>
          <w:tcPr>
            <w:tcW w:w="5000" w:type="pct"/>
            <w:tcBorders>
              <w:bottom w:val="single" w:sz="4" w:space="0" w:color="auto"/>
            </w:tcBorders>
            <w:shd w:val="clear" w:color="auto" w:fill="D9D9D9"/>
            <w:vAlign w:val="center"/>
            <w:hideMark/>
          </w:tcPr>
          <w:p w14:paraId="2432BEDE" w14:textId="77777777" w:rsidR="004729CC" w:rsidRPr="00CD4A12" w:rsidRDefault="004910FA" w:rsidP="00470294">
            <w:pPr>
              <w:pStyle w:val="Prrafodelista"/>
              <w:numPr>
                <w:ilvl w:val="0"/>
                <w:numId w:val="2"/>
              </w:numPr>
              <w:spacing w:after="0" w:line="240" w:lineRule="auto"/>
              <w:ind w:left="1626" w:right="1069"/>
              <w:contextualSpacing/>
              <w:jc w:val="center"/>
              <w:rPr>
                <w:rFonts w:ascii="ITC Avant Garde" w:eastAsia="Times New Roman" w:hAnsi="ITC Avant Garde"/>
                <w:b/>
                <w:bCs/>
                <w:color w:val="FFFFFF"/>
                <w:lang w:eastAsia="es-MX"/>
              </w:rPr>
            </w:pPr>
            <w:r w:rsidRPr="004910FA">
              <w:rPr>
                <w:rFonts w:ascii="ITC Avant Garde" w:eastAsia="Times New Roman" w:hAnsi="ITC Avant Garde"/>
                <w:b/>
                <w:bCs/>
                <w:color w:val="000000"/>
                <w:lang w:eastAsia="es-MX"/>
              </w:rPr>
              <w:t xml:space="preserve">El Instituto invita a cualquier persona o grupo interesado a comentar respecto </w:t>
            </w:r>
            <w:r>
              <w:rPr>
                <w:rFonts w:ascii="ITC Avant Garde" w:eastAsia="Times New Roman" w:hAnsi="ITC Avant Garde"/>
                <w:b/>
                <w:bCs/>
                <w:color w:val="000000"/>
                <w:lang w:eastAsia="es-MX"/>
              </w:rPr>
              <w:t xml:space="preserve">de los </w:t>
            </w:r>
            <w:r w:rsidR="00470294">
              <w:rPr>
                <w:rFonts w:ascii="ITC Avant Garde" w:eastAsia="Times New Roman" w:hAnsi="ITC Avant Garde"/>
                <w:b/>
                <w:bCs/>
                <w:color w:val="000000"/>
                <w:lang w:eastAsia="es-MX"/>
              </w:rPr>
              <w:t xml:space="preserve"> temas </w:t>
            </w:r>
            <w:r>
              <w:rPr>
                <w:rFonts w:ascii="ITC Avant Garde" w:eastAsia="Times New Roman" w:hAnsi="ITC Avant Garde"/>
                <w:b/>
                <w:bCs/>
                <w:color w:val="000000"/>
                <w:lang w:eastAsia="es-MX"/>
              </w:rPr>
              <w:t>siguientes:</w:t>
            </w:r>
          </w:p>
        </w:tc>
      </w:tr>
      <w:tr w:rsidR="004729CC" w:rsidRPr="005D0B9B" w14:paraId="3FDE7CEB" w14:textId="77777777" w:rsidTr="004D55DC">
        <w:trPr>
          <w:trHeight w:val="1380"/>
        </w:trPr>
        <w:tc>
          <w:tcPr>
            <w:tcW w:w="5000" w:type="pct"/>
            <w:shd w:val="clear" w:color="auto" w:fill="C5E0B3"/>
            <w:vAlign w:val="center"/>
            <w:hideMark/>
          </w:tcPr>
          <w:p w14:paraId="75D3B3B4" w14:textId="77777777" w:rsidR="004729CC" w:rsidRPr="005D0B9B" w:rsidRDefault="004729CC" w:rsidP="00D52016">
            <w:pPr>
              <w:spacing w:after="0" w:line="240" w:lineRule="auto"/>
              <w:ind w:left="709" w:hanging="283"/>
              <w:jc w:val="both"/>
              <w:rPr>
                <w:rFonts w:ascii="ITC Avant Garde" w:eastAsia="Times New Roman" w:hAnsi="ITC Avant Garde"/>
                <w:color w:val="000000"/>
                <w:sz w:val="18"/>
                <w:lang w:eastAsia="es-MX"/>
              </w:rPr>
            </w:pPr>
          </w:p>
          <w:p w14:paraId="55A1EBC3" w14:textId="77777777" w:rsidR="004D55DC" w:rsidRPr="004D55DC" w:rsidRDefault="004910FA" w:rsidP="004D55DC">
            <w:pPr>
              <w:numPr>
                <w:ilvl w:val="0"/>
                <w:numId w:val="16"/>
              </w:numPr>
              <w:spacing w:line="240" w:lineRule="auto"/>
              <w:ind w:left="709" w:right="421" w:hanging="283"/>
              <w:jc w:val="both"/>
              <w:rPr>
                <w:rFonts w:ascii="ITC Avant Garde" w:hAnsi="ITC Avant Garde"/>
                <w:bCs/>
                <w:color w:val="000000"/>
                <w:sz w:val="18"/>
                <w:lang w:eastAsia="es-MX"/>
              </w:rPr>
            </w:pPr>
            <w:r>
              <w:rPr>
                <w:rFonts w:ascii="ITC Avant Garde" w:hAnsi="ITC Avant Garde"/>
                <w:bCs/>
                <w:color w:val="000000"/>
                <w:sz w:val="18"/>
                <w:lang w:eastAsia="es-MX"/>
              </w:rPr>
              <w:t>La p</w:t>
            </w:r>
            <w:r w:rsidR="007B61A7" w:rsidRPr="007B61A7">
              <w:rPr>
                <w:rFonts w:ascii="ITC Avant Garde" w:hAnsi="ITC Avant Garde"/>
                <w:bCs/>
                <w:color w:val="000000"/>
                <w:sz w:val="18"/>
                <w:lang w:eastAsia="es-MX"/>
              </w:rPr>
              <w:t>ropuesta de segmentación de las bandas de frecuencias 2000-2010/2190-2200 MHz y 2</w:t>
            </w:r>
            <w:r w:rsidR="007B61A7">
              <w:rPr>
                <w:rFonts w:ascii="ITC Avant Garde" w:hAnsi="ITC Avant Garde"/>
                <w:bCs/>
                <w:color w:val="000000"/>
                <w:sz w:val="18"/>
                <w:lang w:eastAsia="es-MX"/>
              </w:rPr>
              <w:t>010-2020/2180-2190 MHz, a saber d</w:t>
            </w:r>
            <w:r w:rsidR="007B61A7" w:rsidRPr="007B61A7">
              <w:rPr>
                <w:rFonts w:ascii="ITC Avant Garde" w:hAnsi="ITC Avant Garde"/>
                <w:bCs/>
                <w:color w:val="000000"/>
                <w:sz w:val="18"/>
                <w:lang w:eastAsia="es-MX"/>
              </w:rPr>
              <w:t>os (2) Bloques de 10 + 10 MHz, denominados S1 y S2 con cobertura nacional, conf</w:t>
            </w:r>
            <w:r w:rsidR="007B61A7">
              <w:rPr>
                <w:rFonts w:ascii="ITC Avant Garde" w:hAnsi="ITC Avant Garde"/>
                <w:bCs/>
                <w:color w:val="000000"/>
                <w:sz w:val="18"/>
                <w:lang w:eastAsia="es-MX"/>
              </w:rPr>
              <w:t>orme a la figura 1 y a la tabla 1 del numeral 3.1</w:t>
            </w:r>
            <w:r w:rsidR="007B61A7" w:rsidRPr="007B61A7">
              <w:rPr>
                <w:rFonts w:ascii="ITC Avant Garde" w:hAnsi="ITC Avant Garde"/>
                <w:bCs/>
                <w:color w:val="000000"/>
                <w:sz w:val="18"/>
                <w:lang w:eastAsia="es-MX"/>
              </w:rPr>
              <w:t xml:space="preserve"> del proyecto de </w:t>
            </w:r>
            <w:r w:rsidR="00160550">
              <w:rPr>
                <w:rFonts w:ascii="ITC Avant Garde" w:hAnsi="ITC Avant Garde"/>
                <w:bCs/>
                <w:color w:val="000000"/>
                <w:sz w:val="18"/>
                <w:lang w:eastAsia="es-MX"/>
              </w:rPr>
              <w:t>Numeral</w:t>
            </w:r>
            <w:r w:rsidR="007B61A7" w:rsidRPr="007B61A7">
              <w:rPr>
                <w:rFonts w:ascii="ITC Avant Garde" w:hAnsi="ITC Avant Garde"/>
                <w:bCs/>
                <w:color w:val="000000"/>
                <w:sz w:val="18"/>
                <w:lang w:eastAsia="es-MX"/>
              </w:rPr>
              <w:t>.</w:t>
            </w:r>
          </w:p>
        </w:tc>
      </w:tr>
      <w:tr w:rsidR="00F3483C" w:rsidRPr="00901C87" w14:paraId="03AA511B" w14:textId="77777777" w:rsidTr="00B12B82">
        <w:trPr>
          <w:trHeight w:val="290"/>
        </w:trPr>
        <w:tc>
          <w:tcPr>
            <w:tcW w:w="5000" w:type="pct"/>
            <w:shd w:val="clear" w:color="auto" w:fill="auto"/>
            <w:vAlign w:val="center"/>
          </w:tcPr>
          <w:p w14:paraId="556B1E7C" w14:textId="77777777" w:rsidR="00F3483C" w:rsidRPr="00A52646" w:rsidRDefault="00F3483C" w:rsidP="00F3483C">
            <w:pPr>
              <w:spacing w:after="0" w:line="240" w:lineRule="auto"/>
              <w:rPr>
                <w:rFonts w:ascii="ITC Avant Garde" w:hAnsi="ITC Avant Garde"/>
                <w:bCs/>
                <w:color w:val="000000"/>
                <w:sz w:val="18"/>
                <w:lang w:eastAsia="es-MX"/>
              </w:rPr>
            </w:pPr>
          </w:p>
          <w:p w14:paraId="097D5018" w14:textId="77777777" w:rsidR="00901C87" w:rsidRPr="00901C87" w:rsidRDefault="00901C87" w:rsidP="00901C87">
            <w:pPr>
              <w:spacing w:line="240" w:lineRule="auto"/>
              <w:ind w:right="421"/>
              <w:jc w:val="both"/>
              <w:rPr>
                <w:rFonts w:ascii="ITC Avant Garde" w:eastAsia="Times New Roman" w:hAnsi="ITC Avant Garde"/>
                <w:color w:val="000000"/>
                <w:sz w:val="18"/>
                <w:lang w:eastAsia="es-MX"/>
              </w:rPr>
            </w:pPr>
            <w:r w:rsidRPr="00901C87">
              <w:rPr>
                <w:rFonts w:ascii="ITC Avant Garde" w:eastAsia="Times New Roman" w:hAnsi="ITC Avant Garde"/>
                <w:color w:val="000000"/>
                <w:sz w:val="18"/>
                <w:lang w:eastAsia="es-MX"/>
              </w:rPr>
              <w:t>Omnispace está de acuerdo con la segmentación de la banda indicada en el proyecto de Bases de la licitación.</w:t>
            </w:r>
          </w:p>
          <w:p w14:paraId="2776626A" w14:textId="77777777" w:rsidR="00F3483C" w:rsidRPr="00901C87" w:rsidRDefault="00F3483C" w:rsidP="00F3483C">
            <w:pPr>
              <w:spacing w:after="0" w:line="240" w:lineRule="auto"/>
              <w:rPr>
                <w:rFonts w:ascii="ITC Avant Garde" w:eastAsia="Times New Roman" w:hAnsi="ITC Avant Garde"/>
                <w:color w:val="000000"/>
                <w:sz w:val="18"/>
                <w:lang w:eastAsia="es-MX"/>
              </w:rPr>
            </w:pPr>
          </w:p>
        </w:tc>
      </w:tr>
      <w:tr w:rsidR="007B61A7" w:rsidRPr="005D0B9B" w14:paraId="26C7B8AE" w14:textId="77777777" w:rsidTr="00B12B82">
        <w:trPr>
          <w:trHeight w:val="678"/>
        </w:trPr>
        <w:tc>
          <w:tcPr>
            <w:tcW w:w="5000" w:type="pct"/>
            <w:shd w:val="clear" w:color="auto" w:fill="C5E0B3"/>
            <w:vAlign w:val="center"/>
          </w:tcPr>
          <w:p w14:paraId="37F62F0F" w14:textId="77777777" w:rsidR="004D55DC" w:rsidRPr="00901C87" w:rsidRDefault="004D55DC" w:rsidP="004D55DC">
            <w:pPr>
              <w:spacing w:line="240" w:lineRule="auto"/>
              <w:ind w:right="421"/>
              <w:jc w:val="both"/>
              <w:rPr>
                <w:rFonts w:ascii="ITC Avant Garde" w:eastAsia="Times New Roman" w:hAnsi="ITC Avant Garde"/>
                <w:color w:val="000000"/>
                <w:sz w:val="18"/>
                <w:lang w:eastAsia="es-MX"/>
              </w:rPr>
            </w:pPr>
          </w:p>
          <w:p w14:paraId="7A781967" w14:textId="77777777" w:rsidR="007B61A7" w:rsidRDefault="004910FA" w:rsidP="00C96789">
            <w:pPr>
              <w:numPr>
                <w:ilvl w:val="0"/>
                <w:numId w:val="16"/>
              </w:numPr>
              <w:spacing w:line="240" w:lineRule="auto"/>
              <w:ind w:left="709" w:right="421" w:hanging="283"/>
              <w:jc w:val="both"/>
              <w:rPr>
                <w:rFonts w:ascii="ITC Avant Garde" w:eastAsia="Times New Roman" w:hAnsi="ITC Avant Garde"/>
                <w:color w:val="000000"/>
                <w:sz w:val="18"/>
                <w:lang w:eastAsia="es-MX"/>
              </w:rPr>
            </w:pPr>
            <w:r>
              <w:rPr>
                <w:rFonts w:ascii="ITC Avant Garde" w:hAnsi="ITC Avant Garde"/>
                <w:bCs/>
                <w:color w:val="000000"/>
                <w:sz w:val="18"/>
                <w:lang w:eastAsia="es-MX"/>
              </w:rPr>
              <w:t>La n</w:t>
            </w:r>
            <w:r w:rsidR="007B61A7" w:rsidRPr="007B61A7">
              <w:rPr>
                <w:rFonts w:ascii="ITC Avant Garde" w:eastAsia="Times New Roman" w:hAnsi="ITC Avant Garde"/>
                <w:color w:val="000000"/>
                <w:sz w:val="18"/>
                <w:lang w:eastAsia="es-MX"/>
              </w:rPr>
              <w:t>ecesidad de establecer bandas de guarda entre las bandas de frecuencias 2000-2010/2190-2200 MHz y 2010-2020/2180-2190 MHz, a fin de asegurar la operación libre de potenciales interferencias perjudiciales de canal adyacente.</w:t>
            </w:r>
          </w:p>
          <w:p w14:paraId="6C738524" w14:textId="77777777" w:rsidR="004D55DC" w:rsidRPr="007B61A7" w:rsidRDefault="00D52016" w:rsidP="004D55DC">
            <w:pPr>
              <w:spacing w:line="240" w:lineRule="auto"/>
              <w:ind w:left="709" w:right="421"/>
              <w:jc w:val="both"/>
              <w:rPr>
                <w:rFonts w:ascii="ITC Avant Garde" w:eastAsia="Times New Roman" w:hAnsi="ITC Avant Garde"/>
                <w:color w:val="000000"/>
                <w:sz w:val="18"/>
                <w:lang w:eastAsia="es-MX"/>
              </w:rPr>
            </w:pPr>
            <w:r w:rsidRPr="007B61A7">
              <w:rPr>
                <w:rFonts w:ascii="ITC Avant Garde" w:eastAsia="Times New Roman" w:hAnsi="ITC Avant Garde"/>
                <w:color w:val="000000"/>
                <w:sz w:val="18"/>
                <w:lang w:eastAsia="es-MX"/>
              </w:rPr>
              <w:t>En caso de ser afirmativa la respuesta, el Instituto busca obtener información acerca de la cantidad de MHz que deberían tener las bandas de guarda propuestas y qué segmentos específicos de frecuencias las compondrían. Por favor agregue la información y referencias técnicas que sustenten su propuesta.</w:t>
            </w:r>
          </w:p>
        </w:tc>
      </w:tr>
      <w:tr w:rsidR="007B61A7" w:rsidRPr="00265FCC" w14:paraId="01E0BCEF" w14:textId="77777777" w:rsidTr="007B61A7">
        <w:trPr>
          <w:trHeight w:val="678"/>
        </w:trPr>
        <w:tc>
          <w:tcPr>
            <w:tcW w:w="5000" w:type="pct"/>
            <w:shd w:val="clear" w:color="auto" w:fill="auto"/>
            <w:vAlign w:val="center"/>
          </w:tcPr>
          <w:p w14:paraId="5704B5C3" w14:textId="77777777" w:rsidR="007B61A7" w:rsidRPr="00A52646" w:rsidRDefault="007B61A7" w:rsidP="00A52646">
            <w:pPr>
              <w:spacing w:after="0" w:line="240" w:lineRule="auto"/>
              <w:ind w:left="709"/>
              <w:rPr>
                <w:rFonts w:ascii="ITC Avant Garde" w:hAnsi="ITC Avant Garde"/>
                <w:bCs/>
                <w:color w:val="000000"/>
                <w:sz w:val="18"/>
                <w:lang w:eastAsia="es-MX"/>
              </w:rPr>
            </w:pPr>
          </w:p>
          <w:p w14:paraId="6ABDEFC6" w14:textId="77777777" w:rsidR="00901C87" w:rsidRPr="00901C87" w:rsidRDefault="00901C87" w:rsidP="00901C87">
            <w:pPr>
              <w:pStyle w:val="HTMLconformatoprevio"/>
              <w:shd w:val="clear" w:color="auto" w:fill="FFFFFF"/>
              <w:jc w:val="both"/>
              <w:rPr>
                <w:rFonts w:asciiTheme="minorHAnsi" w:hAnsiTheme="minorHAnsi"/>
                <w:color w:val="000000" w:themeColor="text1"/>
                <w:sz w:val="18"/>
                <w:szCs w:val="18"/>
                <w:lang w:val="es-CO"/>
              </w:rPr>
            </w:pPr>
            <w:r w:rsidRPr="00901C87">
              <w:rPr>
                <w:rFonts w:asciiTheme="minorHAnsi" w:hAnsiTheme="minorHAnsi"/>
                <w:color w:val="000000" w:themeColor="text1"/>
                <w:sz w:val="18"/>
                <w:szCs w:val="18"/>
                <w:lang w:val="es-CO"/>
              </w:rPr>
              <w:t>No consideramos necesario el establecimiento de una banda de guarda si las operaciones, tanto en la banda de interés como en la banda adyacente, se realizan en la misma configuración del sentido de las comunicaciones entre las estaciones base/satélite y los terminales de usuario (</w:t>
            </w:r>
            <w:r w:rsidRPr="00901C87">
              <w:rPr>
                <w:rFonts w:asciiTheme="minorHAnsi" w:hAnsiTheme="minorHAnsi"/>
                <w:i/>
                <w:color w:val="000000" w:themeColor="text1"/>
                <w:sz w:val="18"/>
                <w:szCs w:val="18"/>
                <w:lang w:val="es-CO"/>
              </w:rPr>
              <w:t>uplink, downlink</w:t>
            </w:r>
            <w:r w:rsidRPr="00901C87">
              <w:rPr>
                <w:rFonts w:asciiTheme="minorHAnsi" w:hAnsiTheme="minorHAnsi"/>
                <w:color w:val="000000" w:themeColor="text1"/>
                <w:sz w:val="18"/>
                <w:szCs w:val="18"/>
                <w:lang w:val="es-CO"/>
              </w:rPr>
              <w:t xml:space="preserve">), (p.e. se usa el segmento más bajo de la banda para las </w:t>
            </w:r>
            <w:r w:rsidR="00952E94" w:rsidRPr="00901C87">
              <w:rPr>
                <w:rFonts w:asciiTheme="minorHAnsi" w:hAnsiTheme="minorHAnsi"/>
                <w:color w:val="000000" w:themeColor="text1"/>
                <w:sz w:val="18"/>
                <w:szCs w:val="18"/>
                <w:lang w:val="es-CO"/>
              </w:rPr>
              <w:t>transmisiones</w:t>
            </w:r>
            <w:r w:rsidRPr="00901C87">
              <w:rPr>
                <w:rFonts w:asciiTheme="minorHAnsi" w:hAnsiTheme="minorHAnsi"/>
                <w:color w:val="000000" w:themeColor="text1"/>
                <w:sz w:val="18"/>
                <w:szCs w:val="18"/>
                <w:lang w:val="es-CO"/>
              </w:rPr>
              <w:t xml:space="preserve"> del terminal hacia la estación base/satélite (</w:t>
            </w:r>
            <w:r w:rsidRPr="00901C87">
              <w:rPr>
                <w:rFonts w:asciiTheme="minorHAnsi" w:hAnsiTheme="minorHAnsi"/>
                <w:i/>
                <w:color w:val="000000" w:themeColor="text1"/>
                <w:sz w:val="18"/>
                <w:szCs w:val="18"/>
                <w:lang w:val="es-CO"/>
              </w:rPr>
              <w:t>uplink</w:t>
            </w:r>
            <w:r w:rsidRPr="00901C87">
              <w:rPr>
                <w:rFonts w:asciiTheme="minorHAnsi" w:hAnsiTheme="minorHAnsi"/>
                <w:color w:val="000000" w:themeColor="text1"/>
                <w:sz w:val="18"/>
                <w:szCs w:val="18"/>
                <w:lang w:val="es-CO"/>
              </w:rPr>
              <w:t>) en el servicio por satélite como en el Componente Complementaria Terrestre del Servicio Móvil por Satélite).</w:t>
            </w:r>
          </w:p>
          <w:p w14:paraId="13A47B63" w14:textId="77777777" w:rsidR="00901C87" w:rsidRPr="00901C87" w:rsidRDefault="00901C87" w:rsidP="00901C87">
            <w:pPr>
              <w:pStyle w:val="HTMLconformatoprevio"/>
              <w:shd w:val="clear" w:color="auto" w:fill="FFFFFF"/>
              <w:jc w:val="both"/>
              <w:rPr>
                <w:rFonts w:asciiTheme="minorHAnsi" w:hAnsiTheme="minorHAnsi"/>
                <w:color w:val="000000" w:themeColor="text1"/>
                <w:sz w:val="18"/>
                <w:szCs w:val="18"/>
                <w:lang w:val="es-CO"/>
              </w:rPr>
            </w:pPr>
            <w:r w:rsidRPr="00901C87">
              <w:rPr>
                <w:rFonts w:asciiTheme="minorHAnsi" w:hAnsiTheme="minorHAnsi"/>
                <w:color w:val="000000" w:themeColor="text1"/>
                <w:sz w:val="18"/>
                <w:szCs w:val="18"/>
                <w:lang w:val="es-CO"/>
              </w:rPr>
              <w:t xml:space="preserve"> </w:t>
            </w:r>
          </w:p>
          <w:p w14:paraId="281E537E" w14:textId="77777777" w:rsidR="00901C87" w:rsidRDefault="00901C87" w:rsidP="00901C87">
            <w:pPr>
              <w:pStyle w:val="HTMLconformatoprevio"/>
              <w:shd w:val="clear" w:color="auto" w:fill="FFFFFF"/>
              <w:jc w:val="both"/>
              <w:rPr>
                <w:rFonts w:asciiTheme="minorHAnsi" w:hAnsiTheme="minorHAnsi"/>
                <w:color w:val="000000" w:themeColor="text1"/>
                <w:sz w:val="18"/>
                <w:szCs w:val="18"/>
                <w:lang w:val="es-CO"/>
              </w:rPr>
            </w:pPr>
            <w:r w:rsidRPr="00901C87">
              <w:rPr>
                <w:rFonts w:asciiTheme="minorHAnsi" w:hAnsiTheme="minorHAnsi"/>
                <w:color w:val="000000" w:themeColor="text1"/>
                <w:sz w:val="18"/>
                <w:szCs w:val="18"/>
                <w:lang w:val="es-CO"/>
              </w:rPr>
              <w:t xml:space="preserve">Sin embargo, tal y como han demostrado los </w:t>
            </w:r>
            <w:r w:rsidR="00952E94" w:rsidRPr="00901C87">
              <w:rPr>
                <w:rFonts w:asciiTheme="minorHAnsi" w:hAnsiTheme="minorHAnsi"/>
                <w:color w:val="000000" w:themeColor="text1"/>
                <w:sz w:val="18"/>
                <w:szCs w:val="18"/>
                <w:lang w:val="es-CO"/>
              </w:rPr>
              <w:t>estudios</w:t>
            </w:r>
            <w:r w:rsidRPr="00901C87">
              <w:rPr>
                <w:rFonts w:asciiTheme="minorHAnsi" w:hAnsiTheme="minorHAnsi"/>
                <w:color w:val="000000" w:themeColor="text1"/>
                <w:sz w:val="18"/>
                <w:szCs w:val="18"/>
                <w:lang w:val="es-CO"/>
              </w:rPr>
              <w:t xml:space="preserve"> realizados por la UIT-R, las transmisiones del Servicio Móvil por </w:t>
            </w:r>
            <w:r w:rsidR="00952E94" w:rsidRPr="00901C87">
              <w:rPr>
                <w:rFonts w:asciiTheme="minorHAnsi" w:hAnsiTheme="minorHAnsi"/>
                <w:color w:val="000000" w:themeColor="text1"/>
                <w:sz w:val="18"/>
                <w:szCs w:val="18"/>
                <w:lang w:val="es-CO"/>
              </w:rPr>
              <w:t>Satélite</w:t>
            </w:r>
            <w:r w:rsidRPr="00901C87">
              <w:rPr>
                <w:rFonts w:asciiTheme="minorHAnsi" w:hAnsiTheme="minorHAnsi"/>
                <w:color w:val="000000" w:themeColor="text1"/>
                <w:sz w:val="18"/>
                <w:szCs w:val="18"/>
                <w:lang w:val="es-CO"/>
              </w:rPr>
              <w:t xml:space="preserve"> (SMS) en la banda 1990-2100 MHz pueden ser objeto de interferencia perjudicial si la banda es utilizada para las </w:t>
            </w:r>
            <w:r w:rsidRPr="00901C87">
              <w:rPr>
                <w:rFonts w:asciiTheme="minorHAnsi" w:hAnsiTheme="minorHAnsi"/>
                <w:color w:val="000000" w:themeColor="text1"/>
                <w:sz w:val="18"/>
                <w:szCs w:val="18"/>
                <w:lang w:val="es-CO"/>
              </w:rPr>
              <w:lastRenderedPageBreak/>
              <w:t>transmisiones entre la estación base y el terminal de usuario (</w:t>
            </w:r>
            <w:r w:rsidRPr="00901C87">
              <w:rPr>
                <w:rFonts w:asciiTheme="minorHAnsi" w:hAnsiTheme="minorHAnsi"/>
                <w:i/>
                <w:color w:val="000000" w:themeColor="text1"/>
                <w:sz w:val="18"/>
                <w:szCs w:val="18"/>
                <w:lang w:val="es-CO"/>
              </w:rPr>
              <w:t>downlink</w:t>
            </w:r>
            <w:r w:rsidRPr="00901C87">
              <w:rPr>
                <w:rFonts w:asciiTheme="minorHAnsi" w:hAnsiTheme="minorHAnsi"/>
                <w:color w:val="000000" w:themeColor="text1"/>
                <w:sz w:val="18"/>
                <w:szCs w:val="18"/>
                <w:lang w:val="es-CO"/>
              </w:rPr>
              <w:t>).</w:t>
            </w:r>
            <w:r w:rsidRPr="00901C87">
              <w:rPr>
                <w:rStyle w:val="Refdenotaalpie"/>
                <w:rFonts w:asciiTheme="minorHAnsi" w:hAnsiTheme="minorHAnsi"/>
                <w:color w:val="000000" w:themeColor="text1"/>
                <w:sz w:val="18"/>
                <w:szCs w:val="18"/>
                <w:lang w:val="es-CO"/>
              </w:rPr>
              <w:footnoteReference w:id="2"/>
            </w:r>
            <w:r w:rsidRPr="00901C87">
              <w:rPr>
                <w:rFonts w:asciiTheme="minorHAnsi" w:hAnsiTheme="minorHAnsi"/>
                <w:color w:val="000000" w:themeColor="text1"/>
                <w:sz w:val="18"/>
                <w:szCs w:val="18"/>
                <w:lang w:val="es-CO"/>
              </w:rPr>
              <w:t xml:space="preserve"> </w:t>
            </w:r>
            <w:r>
              <w:rPr>
                <w:rFonts w:asciiTheme="minorHAnsi" w:hAnsiTheme="minorHAnsi"/>
                <w:color w:val="000000" w:themeColor="text1"/>
                <w:sz w:val="18"/>
                <w:szCs w:val="18"/>
                <w:lang w:val="es-CO"/>
              </w:rPr>
              <w:t xml:space="preserve"> </w:t>
            </w:r>
            <w:r w:rsidRPr="00901C87">
              <w:rPr>
                <w:rFonts w:asciiTheme="minorHAnsi" w:hAnsiTheme="minorHAnsi"/>
                <w:color w:val="000000" w:themeColor="text1"/>
                <w:sz w:val="18"/>
                <w:szCs w:val="18"/>
                <w:lang w:val="es-CO"/>
              </w:rPr>
              <w:t xml:space="preserve">Esta parte de la banda es utilizada para las transmisiones en </w:t>
            </w:r>
            <w:r w:rsidRPr="00901C87">
              <w:rPr>
                <w:rFonts w:asciiTheme="minorHAnsi" w:hAnsiTheme="minorHAnsi"/>
                <w:i/>
                <w:color w:val="000000" w:themeColor="text1"/>
                <w:sz w:val="18"/>
                <w:szCs w:val="18"/>
                <w:lang w:val="es-CO"/>
              </w:rPr>
              <w:t>uplink</w:t>
            </w:r>
            <w:r w:rsidRPr="00901C87">
              <w:rPr>
                <w:rFonts w:asciiTheme="minorHAnsi" w:hAnsiTheme="minorHAnsi"/>
                <w:color w:val="000000" w:themeColor="text1"/>
                <w:sz w:val="18"/>
                <w:szCs w:val="18"/>
                <w:lang w:val="es-CO"/>
              </w:rPr>
              <w:t xml:space="preserve"> del SMS alrededor del mundo, lo que es consistente con la atribución de la UIT y también con la forma en la que el </w:t>
            </w:r>
            <w:r w:rsidR="0001552C">
              <w:rPr>
                <w:rFonts w:asciiTheme="minorHAnsi" w:hAnsiTheme="minorHAnsi"/>
                <w:color w:val="000000" w:themeColor="text1"/>
                <w:sz w:val="18"/>
                <w:szCs w:val="18"/>
                <w:lang w:val="es-CO"/>
              </w:rPr>
              <w:t>Instituto</w:t>
            </w:r>
            <w:r w:rsidR="0001552C" w:rsidRPr="00901C87">
              <w:rPr>
                <w:rFonts w:asciiTheme="minorHAnsi" w:hAnsiTheme="minorHAnsi"/>
                <w:color w:val="000000" w:themeColor="text1"/>
                <w:sz w:val="18"/>
                <w:szCs w:val="18"/>
                <w:lang w:val="es-CO"/>
              </w:rPr>
              <w:t xml:space="preserve"> </w:t>
            </w:r>
            <w:r w:rsidRPr="00901C87">
              <w:rPr>
                <w:rFonts w:asciiTheme="minorHAnsi" w:hAnsiTheme="minorHAnsi"/>
                <w:color w:val="000000" w:themeColor="text1"/>
                <w:sz w:val="18"/>
                <w:szCs w:val="18"/>
                <w:lang w:val="es-CO"/>
              </w:rPr>
              <w:t>ha otorgado las licencias para la operación del SMS en la banda 1990-2010</w:t>
            </w:r>
            <w:r w:rsidR="00457884">
              <w:rPr>
                <w:rFonts w:asciiTheme="minorHAnsi" w:hAnsiTheme="minorHAnsi"/>
                <w:color w:val="000000" w:themeColor="text1"/>
                <w:sz w:val="18"/>
                <w:szCs w:val="18"/>
                <w:lang w:val="es-CO"/>
              </w:rPr>
              <w:t xml:space="preserve"> </w:t>
            </w:r>
            <w:r w:rsidRPr="00901C87">
              <w:rPr>
                <w:rFonts w:asciiTheme="minorHAnsi" w:hAnsiTheme="minorHAnsi"/>
                <w:color w:val="000000" w:themeColor="text1"/>
                <w:sz w:val="18"/>
                <w:szCs w:val="18"/>
                <w:lang w:val="es-CO"/>
              </w:rPr>
              <w:t xml:space="preserve">MHz. Sin embargo, debido a que la administración de los Estados Unidos de América decidió cambiar la atribución y las reglas de uso de la banda para permitir las transmisiones de </w:t>
            </w:r>
            <w:r w:rsidRPr="00901C87">
              <w:rPr>
                <w:rFonts w:asciiTheme="minorHAnsi" w:hAnsiTheme="minorHAnsi"/>
                <w:i/>
                <w:color w:val="000000" w:themeColor="text1"/>
                <w:sz w:val="18"/>
                <w:szCs w:val="18"/>
                <w:lang w:val="es-CO"/>
              </w:rPr>
              <w:t xml:space="preserve">downlink, </w:t>
            </w:r>
            <w:r w:rsidRPr="00901C87">
              <w:rPr>
                <w:rFonts w:asciiTheme="minorHAnsi" w:hAnsiTheme="minorHAnsi"/>
                <w:color w:val="000000" w:themeColor="text1"/>
                <w:sz w:val="18"/>
                <w:szCs w:val="18"/>
                <w:lang w:val="es-CO"/>
              </w:rPr>
              <w:t xml:space="preserve">las </w:t>
            </w:r>
            <w:r w:rsidR="00952E94" w:rsidRPr="00901C87">
              <w:rPr>
                <w:rFonts w:asciiTheme="minorHAnsi" w:hAnsiTheme="minorHAnsi"/>
                <w:color w:val="000000" w:themeColor="text1"/>
                <w:sz w:val="18"/>
                <w:szCs w:val="18"/>
                <w:lang w:val="es-CO"/>
              </w:rPr>
              <w:t>transmisiones</w:t>
            </w:r>
            <w:r w:rsidRPr="00901C87">
              <w:rPr>
                <w:rFonts w:asciiTheme="minorHAnsi" w:hAnsiTheme="minorHAnsi"/>
                <w:color w:val="000000" w:themeColor="text1"/>
                <w:sz w:val="18"/>
                <w:szCs w:val="18"/>
                <w:lang w:val="es-CO"/>
              </w:rPr>
              <w:t xml:space="preserve"> del SMS en territorio mexicano serán objeto de interferencia perjudicial por el despliegue en territorio estadounidense utilizando esta configuración de la banda. </w:t>
            </w:r>
          </w:p>
          <w:p w14:paraId="2E75CA0A" w14:textId="77777777" w:rsidR="00901C87" w:rsidRPr="00901C87" w:rsidRDefault="00901C87" w:rsidP="00901C87">
            <w:pPr>
              <w:pStyle w:val="HTMLconformatoprevio"/>
              <w:shd w:val="clear" w:color="auto" w:fill="FFFFFF"/>
              <w:jc w:val="both"/>
              <w:rPr>
                <w:rFonts w:asciiTheme="minorHAnsi" w:hAnsiTheme="minorHAnsi"/>
                <w:color w:val="000000" w:themeColor="text1"/>
                <w:sz w:val="18"/>
                <w:szCs w:val="18"/>
                <w:lang w:val="es-CO"/>
              </w:rPr>
            </w:pPr>
          </w:p>
          <w:p w14:paraId="77D49D1F" w14:textId="77777777" w:rsidR="00901C87" w:rsidRPr="00901C87" w:rsidRDefault="00901C87" w:rsidP="00901C87">
            <w:pPr>
              <w:pStyle w:val="HTMLconformatoprevio"/>
              <w:shd w:val="clear" w:color="auto" w:fill="FFFFFF"/>
              <w:jc w:val="both"/>
              <w:rPr>
                <w:rFonts w:asciiTheme="minorHAnsi" w:hAnsiTheme="minorHAnsi"/>
                <w:color w:val="000000" w:themeColor="text1"/>
                <w:sz w:val="18"/>
                <w:szCs w:val="18"/>
                <w:lang w:val="es-CO"/>
              </w:rPr>
            </w:pPr>
            <w:r w:rsidRPr="00901C87">
              <w:rPr>
                <w:rFonts w:asciiTheme="minorHAnsi" w:hAnsiTheme="minorHAnsi"/>
                <w:color w:val="000000" w:themeColor="text1"/>
                <w:sz w:val="18"/>
                <w:szCs w:val="18"/>
                <w:lang w:val="es-CO"/>
              </w:rPr>
              <w:t xml:space="preserve">El IFT debe asegurarse de que las transmisiones del SMS y del Componente Complementario Terrestre del Servicio Móvil por Satélite en la banda objeto del presente proceso de licitación estén libres de interferencia perjudicial proveniente de otros países. En la </w:t>
            </w:r>
            <w:r w:rsidR="00952E94" w:rsidRPr="00901C87">
              <w:rPr>
                <w:rFonts w:asciiTheme="minorHAnsi" w:hAnsiTheme="minorHAnsi"/>
                <w:color w:val="000000" w:themeColor="text1"/>
                <w:sz w:val="18"/>
                <w:szCs w:val="18"/>
                <w:lang w:val="es-CO"/>
              </w:rPr>
              <w:t>respuesta</w:t>
            </w:r>
            <w:r w:rsidRPr="00901C87">
              <w:rPr>
                <w:rFonts w:asciiTheme="minorHAnsi" w:hAnsiTheme="minorHAnsi"/>
                <w:color w:val="000000" w:themeColor="text1"/>
                <w:sz w:val="18"/>
                <w:szCs w:val="18"/>
                <w:lang w:val="es-CO"/>
              </w:rPr>
              <w:t xml:space="preserve"> a la pregunta 7 se aborda el tema de los potenciales </w:t>
            </w:r>
            <w:r w:rsidR="00952E94" w:rsidRPr="00901C87">
              <w:rPr>
                <w:rFonts w:asciiTheme="minorHAnsi" w:hAnsiTheme="minorHAnsi"/>
                <w:color w:val="000000" w:themeColor="text1"/>
                <w:sz w:val="18"/>
                <w:szCs w:val="18"/>
                <w:lang w:val="es-CO"/>
              </w:rPr>
              <w:t>escenarios</w:t>
            </w:r>
            <w:r w:rsidRPr="00901C87">
              <w:rPr>
                <w:rFonts w:asciiTheme="minorHAnsi" w:hAnsiTheme="minorHAnsi"/>
                <w:color w:val="000000" w:themeColor="text1"/>
                <w:sz w:val="18"/>
                <w:szCs w:val="18"/>
                <w:lang w:val="es-CO"/>
              </w:rPr>
              <w:t xml:space="preserve"> de interferencias </w:t>
            </w:r>
            <w:r w:rsidR="00952E94" w:rsidRPr="00901C87">
              <w:rPr>
                <w:rFonts w:asciiTheme="minorHAnsi" w:hAnsiTheme="minorHAnsi"/>
                <w:color w:val="000000" w:themeColor="text1"/>
                <w:sz w:val="18"/>
                <w:szCs w:val="18"/>
                <w:lang w:val="es-CO"/>
              </w:rPr>
              <w:t>perjudícales</w:t>
            </w:r>
            <w:r w:rsidRPr="00901C87">
              <w:rPr>
                <w:rFonts w:asciiTheme="minorHAnsi" w:hAnsiTheme="minorHAnsi"/>
                <w:color w:val="000000" w:themeColor="text1"/>
                <w:sz w:val="18"/>
                <w:szCs w:val="18"/>
                <w:lang w:val="es-CO"/>
              </w:rPr>
              <w:t xml:space="preserve"> con más detalle.</w:t>
            </w:r>
          </w:p>
          <w:p w14:paraId="329CB702" w14:textId="77777777" w:rsidR="00901C87" w:rsidRPr="00901C87" w:rsidRDefault="00901C87" w:rsidP="00A92626">
            <w:pPr>
              <w:spacing w:after="0" w:line="240" w:lineRule="auto"/>
              <w:jc w:val="both"/>
              <w:rPr>
                <w:rFonts w:ascii="ITC Avant Garde" w:hAnsi="ITC Avant Garde"/>
                <w:bCs/>
                <w:color w:val="000000"/>
                <w:sz w:val="18"/>
                <w:lang w:val="es-CO" w:eastAsia="es-MX"/>
              </w:rPr>
            </w:pPr>
          </w:p>
          <w:p w14:paraId="41258E3C" w14:textId="77777777" w:rsidR="00265FCC" w:rsidRDefault="00265FCC" w:rsidP="00A92626">
            <w:pPr>
              <w:spacing w:after="0" w:line="240" w:lineRule="auto"/>
              <w:jc w:val="both"/>
              <w:rPr>
                <w:rFonts w:ascii="ITC Avant Garde" w:eastAsia="Times New Roman" w:hAnsi="ITC Avant Garde"/>
                <w:color w:val="000000"/>
                <w:sz w:val="18"/>
                <w:lang w:eastAsia="es-MX"/>
              </w:rPr>
            </w:pPr>
            <w:r w:rsidRPr="00265FCC">
              <w:rPr>
                <w:rFonts w:ascii="ITC Avant Garde" w:eastAsia="Times New Roman" w:hAnsi="ITC Avant Garde"/>
                <w:color w:val="000000"/>
                <w:sz w:val="18"/>
                <w:lang w:eastAsia="es-MX"/>
              </w:rPr>
              <w:t>Lo anterior, sin perjuicio de los demás comentarios planteados de manera específica en el apartado II anterior.</w:t>
            </w:r>
          </w:p>
          <w:p w14:paraId="58CE6AB6" w14:textId="77777777" w:rsidR="00A92626" w:rsidRPr="00A52646" w:rsidRDefault="00A92626" w:rsidP="00A92626">
            <w:pPr>
              <w:spacing w:after="0" w:line="240" w:lineRule="auto"/>
              <w:jc w:val="both"/>
              <w:rPr>
                <w:rFonts w:ascii="ITC Avant Garde" w:hAnsi="ITC Avant Garde"/>
                <w:bCs/>
                <w:color w:val="000000"/>
                <w:sz w:val="18"/>
                <w:lang w:eastAsia="es-MX"/>
              </w:rPr>
            </w:pPr>
          </w:p>
        </w:tc>
      </w:tr>
      <w:tr w:rsidR="00C647B4" w:rsidRPr="005D0B9B" w14:paraId="6906E3B9" w14:textId="77777777" w:rsidTr="004D55DC">
        <w:trPr>
          <w:trHeight w:val="2224"/>
        </w:trPr>
        <w:tc>
          <w:tcPr>
            <w:tcW w:w="5000" w:type="pct"/>
            <w:shd w:val="clear" w:color="auto" w:fill="C5E0B3"/>
            <w:vAlign w:val="center"/>
          </w:tcPr>
          <w:p w14:paraId="25BCD71F" w14:textId="77777777" w:rsidR="004D55DC" w:rsidRPr="00265FCC" w:rsidRDefault="004D55DC" w:rsidP="000571D4">
            <w:pPr>
              <w:spacing w:after="0" w:line="240" w:lineRule="auto"/>
              <w:ind w:right="421"/>
              <w:jc w:val="both"/>
              <w:rPr>
                <w:rFonts w:ascii="ITC Avant Garde" w:eastAsia="Times New Roman" w:hAnsi="ITC Avant Garde"/>
                <w:sz w:val="18"/>
                <w:lang w:eastAsia="es-MX"/>
              </w:rPr>
            </w:pPr>
          </w:p>
          <w:p w14:paraId="58957FE1" w14:textId="77777777" w:rsidR="00D52016" w:rsidRPr="00D81ECC" w:rsidRDefault="00D73ADA" w:rsidP="00C96789">
            <w:pPr>
              <w:numPr>
                <w:ilvl w:val="0"/>
                <w:numId w:val="16"/>
              </w:numPr>
              <w:spacing w:after="0" w:line="240" w:lineRule="auto"/>
              <w:ind w:left="709" w:right="421" w:hanging="283"/>
              <w:jc w:val="both"/>
              <w:rPr>
                <w:rFonts w:ascii="ITC Avant Garde" w:eastAsia="Times New Roman" w:hAnsi="ITC Avant Garde"/>
                <w:sz w:val="18"/>
                <w:lang w:eastAsia="es-MX"/>
              </w:rPr>
            </w:pPr>
            <w:r>
              <w:rPr>
                <w:rFonts w:ascii="ITC Avant Garde" w:eastAsia="Times New Roman" w:hAnsi="ITC Avant Garde"/>
                <w:sz w:val="18"/>
                <w:lang w:eastAsia="es-MX"/>
              </w:rPr>
              <w:t>L</w:t>
            </w:r>
            <w:r w:rsidR="00C647B4" w:rsidRPr="00D81ECC">
              <w:rPr>
                <w:rFonts w:ascii="ITC Avant Garde" w:eastAsia="Times New Roman" w:hAnsi="ITC Avant Garde"/>
                <w:sz w:val="18"/>
                <w:lang w:eastAsia="es-MX"/>
              </w:rPr>
              <w:t xml:space="preserve">as </w:t>
            </w:r>
            <w:r w:rsidR="00D52016" w:rsidRPr="00D81ECC">
              <w:rPr>
                <w:rFonts w:ascii="ITC Avant Garde" w:eastAsia="Times New Roman" w:hAnsi="ITC Avant Garde"/>
                <w:sz w:val="18"/>
                <w:lang w:eastAsia="es-MX"/>
              </w:rPr>
              <w:t xml:space="preserve">condiciones de operación, plazos y términos establecidos </w:t>
            </w:r>
            <w:r w:rsidR="00C647B4" w:rsidRPr="00D81ECC">
              <w:rPr>
                <w:rFonts w:ascii="ITC Avant Garde" w:eastAsia="Times New Roman" w:hAnsi="ITC Avant Garde"/>
                <w:sz w:val="18"/>
                <w:lang w:eastAsia="es-MX"/>
              </w:rPr>
              <w:t>a las que deberán sujetarse los potenciales concesionarios que no cuenten con una Autorización de Aterrizaje de Se</w:t>
            </w:r>
            <w:r w:rsidR="00D81ECC">
              <w:rPr>
                <w:rFonts w:ascii="ITC Avant Garde" w:eastAsia="Times New Roman" w:hAnsi="ITC Avant Garde"/>
                <w:sz w:val="18"/>
                <w:lang w:eastAsia="es-MX"/>
              </w:rPr>
              <w:t xml:space="preserve">ñales de Satélites Extranjeros, contenidos en el </w:t>
            </w:r>
            <w:r w:rsidR="00D81ECC">
              <w:rPr>
                <w:rFonts w:ascii="ITC Avant Garde" w:hAnsi="ITC Avant Garde"/>
                <w:bCs/>
                <w:sz w:val="18"/>
                <w:lang w:eastAsia="es-MX"/>
              </w:rPr>
              <w:t>n</w:t>
            </w:r>
            <w:r w:rsidR="00C647B4" w:rsidRPr="00D81ECC">
              <w:rPr>
                <w:rFonts w:ascii="ITC Avant Garde" w:hAnsi="ITC Avant Garde"/>
                <w:bCs/>
                <w:sz w:val="18"/>
                <w:lang w:eastAsia="es-MX"/>
              </w:rPr>
              <w:t>umeral 4.1 de</w:t>
            </w:r>
            <w:r w:rsidR="00D81ECC">
              <w:rPr>
                <w:rFonts w:ascii="ITC Avant Garde" w:hAnsi="ITC Avant Garde"/>
                <w:bCs/>
                <w:sz w:val="18"/>
                <w:lang w:eastAsia="es-MX"/>
              </w:rPr>
              <w:t>l</w:t>
            </w:r>
            <w:r w:rsidR="00C647B4" w:rsidRPr="00D81ECC">
              <w:rPr>
                <w:rFonts w:ascii="ITC Avant Garde" w:hAnsi="ITC Avant Garde"/>
                <w:bCs/>
                <w:sz w:val="18"/>
                <w:lang w:eastAsia="es-MX"/>
              </w:rPr>
              <w:t xml:space="preserve"> </w:t>
            </w:r>
            <w:r w:rsidR="00D81ECC">
              <w:rPr>
                <w:rFonts w:ascii="ITC Avant Garde" w:hAnsi="ITC Avant Garde"/>
                <w:bCs/>
                <w:sz w:val="18"/>
                <w:lang w:eastAsia="es-MX"/>
              </w:rPr>
              <w:t xml:space="preserve">proyecto de </w:t>
            </w:r>
            <w:r w:rsidR="00160550">
              <w:rPr>
                <w:rFonts w:ascii="ITC Avant Garde" w:hAnsi="ITC Avant Garde"/>
                <w:bCs/>
                <w:sz w:val="18"/>
                <w:lang w:eastAsia="es-MX"/>
              </w:rPr>
              <w:t>Numeral</w:t>
            </w:r>
            <w:r w:rsidR="00D81ECC">
              <w:rPr>
                <w:rFonts w:ascii="ITC Avant Garde" w:hAnsi="ITC Avant Garde"/>
                <w:bCs/>
                <w:sz w:val="18"/>
                <w:lang w:eastAsia="es-MX"/>
              </w:rPr>
              <w:t>.</w:t>
            </w:r>
          </w:p>
          <w:p w14:paraId="7A57AD62" w14:textId="77777777" w:rsidR="00D52016" w:rsidRPr="00AA52E2" w:rsidRDefault="00D52016" w:rsidP="00C96789">
            <w:pPr>
              <w:spacing w:after="0" w:line="240" w:lineRule="auto"/>
              <w:ind w:left="709" w:right="421"/>
              <w:jc w:val="both"/>
              <w:rPr>
                <w:rFonts w:ascii="ITC Avant Garde" w:eastAsia="Times New Roman" w:hAnsi="ITC Avant Garde"/>
                <w:sz w:val="18"/>
                <w:highlight w:val="yellow"/>
                <w:lang w:eastAsia="es-MX"/>
              </w:rPr>
            </w:pPr>
          </w:p>
          <w:p w14:paraId="10A36FDB" w14:textId="77777777" w:rsidR="007B61A7" w:rsidRPr="00D81ECC" w:rsidRDefault="007B61A7" w:rsidP="00D81ECC">
            <w:pPr>
              <w:spacing w:after="0" w:line="240" w:lineRule="auto"/>
              <w:ind w:left="709" w:right="421"/>
              <w:jc w:val="both"/>
              <w:rPr>
                <w:rFonts w:ascii="ITC Avant Garde" w:eastAsia="Times New Roman" w:hAnsi="ITC Avant Garde"/>
                <w:sz w:val="18"/>
                <w:lang w:eastAsia="es-MX"/>
              </w:rPr>
            </w:pPr>
            <w:r w:rsidRPr="00D81ECC">
              <w:rPr>
                <w:rFonts w:ascii="ITC Avant Garde" w:eastAsia="Times New Roman" w:hAnsi="ITC Avant Garde"/>
                <w:bCs/>
                <w:sz w:val="18"/>
                <w:szCs w:val="18"/>
                <w:lang w:eastAsia="es-MX"/>
              </w:rPr>
              <w:t xml:space="preserve">En caso de incluir alguna propuesta, favor de acompañarla de la referencia y justificación correspondiente. </w:t>
            </w:r>
          </w:p>
        </w:tc>
      </w:tr>
      <w:tr w:rsidR="00C647B4" w:rsidRPr="005D0B9B" w14:paraId="28053463" w14:textId="77777777" w:rsidTr="00C647B4">
        <w:trPr>
          <w:trHeight w:val="678"/>
        </w:trPr>
        <w:tc>
          <w:tcPr>
            <w:tcW w:w="5000" w:type="pct"/>
            <w:shd w:val="clear" w:color="auto" w:fill="auto"/>
            <w:vAlign w:val="center"/>
          </w:tcPr>
          <w:p w14:paraId="485B0EC4" w14:textId="77777777" w:rsidR="008D2BB0" w:rsidRDefault="008D2BB0" w:rsidP="008D2BB0">
            <w:pPr>
              <w:spacing w:after="0" w:line="240" w:lineRule="auto"/>
              <w:ind w:left="709"/>
              <w:rPr>
                <w:rFonts w:ascii="ITC Avant Garde" w:eastAsia="Times New Roman" w:hAnsi="ITC Avant Garde"/>
                <w:color w:val="000000"/>
                <w:sz w:val="18"/>
                <w:lang w:eastAsia="es-MX"/>
              </w:rPr>
            </w:pPr>
          </w:p>
          <w:p w14:paraId="685257E2" w14:textId="77777777" w:rsidR="00A52646" w:rsidRDefault="00A52646" w:rsidP="00A92626">
            <w:pPr>
              <w:spacing w:after="0" w:line="240" w:lineRule="auto"/>
              <w:jc w:val="both"/>
              <w:rPr>
                <w:rFonts w:ascii="ITC Avant Garde" w:eastAsia="Times New Roman" w:hAnsi="ITC Avant Garde"/>
                <w:color w:val="000000"/>
                <w:sz w:val="18"/>
                <w:lang w:eastAsia="es-MX"/>
              </w:rPr>
            </w:pPr>
            <w:r w:rsidRPr="00A52646">
              <w:rPr>
                <w:rFonts w:ascii="ITC Avant Garde" w:eastAsia="Times New Roman" w:hAnsi="ITC Avant Garde"/>
                <w:color w:val="000000"/>
                <w:sz w:val="18"/>
                <w:lang w:eastAsia="es-MX"/>
              </w:rPr>
              <w:t>Proponemos la inclusión de los siguientes párrafos al final de la redacción actual del numeral 4.1:</w:t>
            </w:r>
          </w:p>
          <w:p w14:paraId="3A025B68" w14:textId="77777777" w:rsidR="00A52646" w:rsidRPr="00A52646" w:rsidRDefault="00A52646" w:rsidP="00A92626">
            <w:pPr>
              <w:spacing w:after="0" w:line="240" w:lineRule="auto"/>
              <w:ind w:left="709"/>
              <w:jc w:val="both"/>
              <w:rPr>
                <w:rFonts w:ascii="ITC Avant Garde" w:eastAsia="Times New Roman" w:hAnsi="ITC Avant Garde"/>
                <w:color w:val="000000"/>
                <w:sz w:val="18"/>
                <w:lang w:eastAsia="es-MX"/>
              </w:rPr>
            </w:pPr>
          </w:p>
          <w:p w14:paraId="07798A9D" w14:textId="77777777" w:rsidR="00A52646" w:rsidRDefault="00A52646" w:rsidP="00A92626">
            <w:pPr>
              <w:spacing w:after="0" w:line="240" w:lineRule="auto"/>
              <w:ind w:left="709"/>
              <w:jc w:val="both"/>
              <w:rPr>
                <w:rFonts w:ascii="ITC Avant Garde" w:eastAsia="Times New Roman" w:hAnsi="ITC Avant Garde"/>
                <w:i/>
                <w:color w:val="000000"/>
                <w:sz w:val="18"/>
                <w:lang w:eastAsia="es-MX"/>
              </w:rPr>
            </w:pPr>
            <w:r w:rsidRPr="00A52646">
              <w:rPr>
                <w:rFonts w:ascii="ITC Avant Garde" w:eastAsia="Times New Roman" w:hAnsi="ITC Avant Garde"/>
                <w:color w:val="000000"/>
                <w:sz w:val="18"/>
                <w:lang w:eastAsia="es-MX"/>
              </w:rPr>
              <w:t>“</w:t>
            </w:r>
            <w:r w:rsidRPr="00A52646">
              <w:rPr>
                <w:rFonts w:ascii="ITC Avant Garde" w:eastAsia="Times New Roman" w:hAnsi="ITC Avant Garde"/>
                <w:i/>
                <w:color w:val="000000"/>
                <w:sz w:val="18"/>
                <w:lang w:eastAsia="es-MX"/>
              </w:rPr>
              <w:t>Para efectos del presente numeral, en ningún caso el titular de la Concesión de Espectro Radioeléctrico de Uso Comercial que preste el Servicio Complementario Terrestre de Servicio Móvil por Satélite, podrá:</w:t>
            </w:r>
          </w:p>
          <w:p w14:paraId="5CC756BD" w14:textId="77777777" w:rsidR="00A52646" w:rsidRDefault="00A52646" w:rsidP="00A92626">
            <w:pPr>
              <w:spacing w:after="0" w:line="240" w:lineRule="auto"/>
              <w:ind w:left="709"/>
              <w:jc w:val="both"/>
              <w:rPr>
                <w:rFonts w:ascii="ITC Avant Garde" w:eastAsia="Times New Roman" w:hAnsi="ITC Avant Garde"/>
                <w:i/>
                <w:color w:val="000000"/>
                <w:sz w:val="18"/>
                <w:lang w:eastAsia="es-MX"/>
              </w:rPr>
            </w:pPr>
          </w:p>
          <w:p w14:paraId="66578938" w14:textId="77777777" w:rsidR="00A52646" w:rsidRDefault="00A52646" w:rsidP="00A92626">
            <w:pPr>
              <w:pStyle w:val="Prrafodelista"/>
              <w:numPr>
                <w:ilvl w:val="0"/>
                <w:numId w:val="34"/>
              </w:numPr>
              <w:spacing w:after="0" w:line="240" w:lineRule="auto"/>
              <w:jc w:val="both"/>
              <w:rPr>
                <w:rFonts w:ascii="ITC Avant Garde" w:eastAsia="Times New Roman" w:hAnsi="ITC Avant Garde"/>
                <w:i/>
                <w:color w:val="000000"/>
                <w:sz w:val="18"/>
                <w:lang w:eastAsia="es-MX"/>
              </w:rPr>
            </w:pPr>
            <w:r w:rsidRPr="00A52646">
              <w:rPr>
                <w:rFonts w:ascii="ITC Avant Garde" w:eastAsia="Times New Roman" w:hAnsi="ITC Avant Garde"/>
                <w:i/>
                <w:color w:val="000000"/>
                <w:sz w:val="18"/>
                <w:lang w:eastAsia="es-MX"/>
              </w:rPr>
              <w:t>Celebrar el acuerdo de asociación de capacidad satelital del Bloque que le corresponda con el titular de la Concesión de Espectro Radioeléctrico de Uso Comercial que preste el Servicio Complementario Terrestre de Servicio Móvil por Satélite del otro Bloque que tenga el carácter de Autorizado o con cualquier Agente Económico que forme parte del mismo GIE de éste (incluyendo sin limitar las personas con las que el GIE tiene Vínculos), o</w:t>
            </w:r>
          </w:p>
          <w:p w14:paraId="47380D26" w14:textId="77777777" w:rsidR="00A52646" w:rsidRDefault="00A52646" w:rsidP="00A92626">
            <w:pPr>
              <w:pStyle w:val="Prrafodelista"/>
              <w:spacing w:after="0" w:line="240" w:lineRule="auto"/>
              <w:ind w:left="1069"/>
              <w:jc w:val="both"/>
              <w:rPr>
                <w:rFonts w:ascii="ITC Avant Garde" w:eastAsia="Times New Roman" w:hAnsi="ITC Avant Garde"/>
                <w:i/>
                <w:color w:val="000000"/>
                <w:sz w:val="18"/>
                <w:lang w:eastAsia="es-MX"/>
              </w:rPr>
            </w:pPr>
          </w:p>
          <w:p w14:paraId="4C5D428C" w14:textId="77777777" w:rsidR="00A52646" w:rsidRPr="00A52646" w:rsidRDefault="00A52646" w:rsidP="00A92626">
            <w:pPr>
              <w:pStyle w:val="Prrafodelista"/>
              <w:numPr>
                <w:ilvl w:val="0"/>
                <w:numId w:val="34"/>
              </w:numPr>
              <w:spacing w:after="0" w:line="240" w:lineRule="auto"/>
              <w:jc w:val="both"/>
              <w:rPr>
                <w:rFonts w:ascii="ITC Avant Garde" w:eastAsia="Times New Roman" w:hAnsi="ITC Avant Garde"/>
                <w:i/>
                <w:color w:val="000000"/>
                <w:sz w:val="18"/>
                <w:lang w:eastAsia="es-MX"/>
              </w:rPr>
            </w:pPr>
            <w:r>
              <w:rPr>
                <w:rFonts w:ascii="ITC Avant Garde" w:eastAsia="Times New Roman" w:hAnsi="ITC Avant Garde"/>
                <w:i/>
                <w:color w:val="000000"/>
                <w:sz w:val="18"/>
                <w:lang w:eastAsia="es-MX"/>
              </w:rPr>
              <w:t>T</w:t>
            </w:r>
            <w:r w:rsidRPr="00A52646">
              <w:rPr>
                <w:rFonts w:ascii="ITC Avant Garde" w:eastAsia="Times New Roman" w:hAnsi="ITC Avant Garde"/>
                <w:i/>
                <w:color w:val="000000"/>
                <w:sz w:val="18"/>
                <w:lang w:eastAsia="es-MX"/>
              </w:rPr>
              <w:t>ener un Vínculo, ya sea de hecho o de derecho, directa o indirectamente, con o ser parte del mismo GIE del titular de la Concesión de Espectro Radioeléctrico de Uso Comercial que preste el Servicio Complementario Terrestre de Servicio Móvil por Satélite del otro Bloque</w:t>
            </w:r>
            <w:r w:rsidRPr="00A52646">
              <w:rPr>
                <w:rFonts w:ascii="ITC Avant Garde" w:eastAsia="Times New Roman" w:hAnsi="ITC Avant Garde"/>
                <w:color w:val="000000"/>
                <w:sz w:val="18"/>
                <w:lang w:eastAsia="es-MX"/>
              </w:rPr>
              <w:t>.</w:t>
            </w:r>
          </w:p>
          <w:p w14:paraId="30CEC33C" w14:textId="77777777" w:rsidR="00A52646" w:rsidRDefault="00A52646" w:rsidP="00A92626">
            <w:pPr>
              <w:spacing w:after="0" w:line="240" w:lineRule="auto"/>
              <w:ind w:left="709"/>
              <w:jc w:val="both"/>
              <w:rPr>
                <w:rFonts w:ascii="ITC Avant Garde" w:eastAsia="Times New Roman" w:hAnsi="ITC Avant Garde"/>
                <w:i/>
                <w:color w:val="000000"/>
                <w:sz w:val="18"/>
                <w:lang w:eastAsia="es-MX"/>
              </w:rPr>
            </w:pPr>
          </w:p>
          <w:p w14:paraId="0724AE7D" w14:textId="77777777" w:rsidR="00A52646" w:rsidRPr="00A52646" w:rsidRDefault="00A52646" w:rsidP="00A92626">
            <w:pPr>
              <w:spacing w:after="0" w:line="240" w:lineRule="auto"/>
              <w:ind w:left="709"/>
              <w:jc w:val="both"/>
              <w:rPr>
                <w:rFonts w:ascii="ITC Avant Garde" w:eastAsia="Times New Roman" w:hAnsi="ITC Avant Garde"/>
                <w:color w:val="000000"/>
                <w:sz w:val="18"/>
                <w:lang w:eastAsia="es-MX"/>
              </w:rPr>
            </w:pPr>
            <w:r w:rsidRPr="00A52646">
              <w:rPr>
                <w:rFonts w:ascii="ITC Avant Garde" w:eastAsia="Times New Roman" w:hAnsi="ITC Avant Garde"/>
                <w:i/>
                <w:color w:val="000000"/>
                <w:sz w:val="18"/>
                <w:lang w:eastAsia="es-MX"/>
              </w:rPr>
              <w:t>Las anteriores prohibiciones se incluyen en el título de Concesión de Espectro Radioeléctrico para Uso Comercial, las cuales se aplicarán durante la vigencia de la misma, salvo autorización previa del Instituto. En caso de incumplimiento a cualquier de dichas obligaciones, procederá la revocación de dicha concesión en los términos de la fracción XX del artículo 303 de la Ley.</w:t>
            </w:r>
            <w:r w:rsidRPr="00A52646">
              <w:rPr>
                <w:rFonts w:ascii="ITC Avant Garde" w:eastAsia="Times New Roman" w:hAnsi="ITC Avant Garde"/>
                <w:color w:val="000000"/>
                <w:sz w:val="18"/>
                <w:lang w:eastAsia="es-MX"/>
              </w:rPr>
              <w:t>”</w:t>
            </w:r>
          </w:p>
          <w:p w14:paraId="2546B526" w14:textId="77777777" w:rsidR="00A52646" w:rsidRDefault="00A52646" w:rsidP="00A92626">
            <w:pPr>
              <w:spacing w:after="0" w:line="240" w:lineRule="auto"/>
              <w:ind w:left="709"/>
              <w:jc w:val="both"/>
              <w:rPr>
                <w:rFonts w:ascii="ITC Avant Garde" w:eastAsia="Times New Roman" w:hAnsi="ITC Avant Garde"/>
                <w:color w:val="000000"/>
                <w:sz w:val="18"/>
                <w:lang w:eastAsia="es-MX"/>
              </w:rPr>
            </w:pPr>
          </w:p>
          <w:p w14:paraId="24A02E13" w14:textId="77777777" w:rsidR="002D39F4" w:rsidRDefault="00A52646" w:rsidP="00A92626">
            <w:pPr>
              <w:spacing w:after="0" w:line="240" w:lineRule="auto"/>
              <w:jc w:val="both"/>
              <w:rPr>
                <w:rFonts w:ascii="ITC Avant Garde" w:eastAsia="Times New Roman" w:hAnsi="ITC Avant Garde"/>
                <w:color w:val="000000"/>
                <w:sz w:val="18"/>
                <w:lang w:eastAsia="es-MX"/>
              </w:rPr>
            </w:pPr>
            <w:r w:rsidRPr="00A52646">
              <w:rPr>
                <w:rFonts w:ascii="ITC Avant Garde" w:eastAsia="Times New Roman" w:hAnsi="ITC Avant Garde"/>
                <w:color w:val="000000"/>
                <w:sz w:val="18"/>
                <w:lang w:eastAsia="es-MX"/>
              </w:rPr>
              <w:lastRenderedPageBreak/>
              <w:t xml:space="preserve">En adición a lo anterior, </w:t>
            </w:r>
            <w:r w:rsidR="002D39F4">
              <w:rPr>
                <w:rFonts w:ascii="ITC Avant Garde" w:eastAsia="Times New Roman" w:hAnsi="ITC Avant Garde"/>
                <w:color w:val="000000"/>
                <w:sz w:val="18"/>
                <w:lang w:eastAsia="es-MX"/>
              </w:rPr>
              <w:t>se considera necesario</w:t>
            </w:r>
            <w:r w:rsidRPr="00A52646">
              <w:rPr>
                <w:rFonts w:ascii="ITC Avant Garde" w:eastAsia="Times New Roman" w:hAnsi="ITC Avant Garde"/>
                <w:color w:val="000000"/>
                <w:sz w:val="18"/>
                <w:lang w:eastAsia="es-MX"/>
              </w:rPr>
              <w:t xml:space="preserve"> que el concepto de “Vínculo” (incluyendo cada elemento del mismo desde el punto de vista comercial, organizativo, económico o jurídico) se defina de manera clara para evitar cualquier evento en el cual dos empresas que tengan un Vínculo participen en la licitación por los dos bloques. </w:t>
            </w:r>
            <w:r w:rsidR="002D39F4" w:rsidRPr="00E06BAC">
              <w:rPr>
                <w:rFonts w:ascii="ITC Avant Garde" w:eastAsia="Times New Roman" w:hAnsi="ITC Avant Garde"/>
                <w:color w:val="000000"/>
                <w:sz w:val="18"/>
                <w:lang w:eastAsia="es-MX"/>
              </w:rPr>
              <w:t>En este sentido, se sugiere que el concepto de “Vínculo” sea lo suficientemente claro y esté explicado para identificar qué se entiende por cada uno de los elementos ahí incluidos. Por ejemplo en el caso de cada uno de los términos: “comercial”, aclarar si se refiere a un plano contractual (incluyendo opciones, cartas de intención, memorándums de entendimiento o promesas o documentos similares) y de relaciones de negocios o hasta qué nivel; “organizativo”, aclarar si se refiere a un nivel societario o de estructura corporativa; “económico” o “jurídico, aclarar si se alude a formar parte de un mismo grupo económico, incluyendo o no tener la capacidad de influir significativamente o de tomar decisiones; ya sea de hecho o de derecho, directa o indirectamente.</w:t>
            </w:r>
          </w:p>
          <w:p w14:paraId="30145C61" w14:textId="77777777" w:rsidR="002D39F4" w:rsidRDefault="002D39F4" w:rsidP="00A92626">
            <w:pPr>
              <w:spacing w:after="0" w:line="240" w:lineRule="auto"/>
              <w:jc w:val="both"/>
              <w:rPr>
                <w:rFonts w:ascii="ITC Avant Garde" w:eastAsia="Times New Roman" w:hAnsi="ITC Avant Garde"/>
                <w:color w:val="000000"/>
                <w:sz w:val="18"/>
                <w:lang w:eastAsia="es-MX"/>
              </w:rPr>
            </w:pPr>
          </w:p>
          <w:p w14:paraId="1828C809" w14:textId="77777777" w:rsidR="00A52646" w:rsidRPr="00A52646" w:rsidRDefault="00A52646" w:rsidP="00A92626">
            <w:pPr>
              <w:spacing w:after="0" w:line="240" w:lineRule="auto"/>
              <w:jc w:val="both"/>
              <w:rPr>
                <w:rFonts w:ascii="ITC Avant Garde" w:eastAsia="Times New Roman" w:hAnsi="ITC Avant Garde"/>
                <w:color w:val="000000"/>
                <w:sz w:val="18"/>
                <w:lang w:eastAsia="es-MX"/>
              </w:rPr>
            </w:pPr>
            <w:r w:rsidRPr="00A52646">
              <w:rPr>
                <w:rFonts w:ascii="ITC Avant Garde" w:eastAsia="Times New Roman" w:hAnsi="ITC Avant Garde"/>
                <w:color w:val="000000"/>
                <w:sz w:val="18"/>
                <w:lang w:eastAsia="es-MX"/>
              </w:rPr>
              <w:t xml:space="preserve">Para asegurar </w:t>
            </w:r>
            <w:bookmarkStart w:id="1" w:name="_cp_text_1_5"/>
            <w:r w:rsidR="002D39F4" w:rsidRPr="00E06BAC">
              <w:rPr>
                <w:rFonts w:ascii="ITC Avant Garde" w:eastAsia="Times New Roman" w:hAnsi="ITC Avant Garde"/>
                <w:color w:val="000000"/>
                <w:sz w:val="18"/>
                <w:lang w:eastAsia="es-MX"/>
              </w:rPr>
              <w:t>que dos empresas que tengan un Vínculo participen en la licitación por los dos bloques</w:t>
            </w:r>
            <w:bookmarkEnd w:id="1"/>
            <w:r w:rsidRPr="00A52646">
              <w:rPr>
                <w:rFonts w:ascii="ITC Avant Garde" w:eastAsia="Times New Roman" w:hAnsi="ITC Avant Garde"/>
                <w:color w:val="000000"/>
                <w:sz w:val="18"/>
                <w:lang w:eastAsia="es-MX"/>
              </w:rPr>
              <w:t>, también se propone la inclusión de una fracción en el numeral 2.3 del proyecto de Bases, como conducta contraria al desarrollo efectivo de la Licitación, en los siguientes términos:</w:t>
            </w:r>
          </w:p>
          <w:p w14:paraId="6F8ED017" w14:textId="77777777" w:rsidR="00A52646" w:rsidRDefault="00A52646" w:rsidP="00A92626">
            <w:pPr>
              <w:spacing w:after="0" w:line="240" w:lineRule="auto"/>
              <w:ind w:left="709"/>
              <w:jc w:val="both"/>
              <w:rPr>
                <w:rFonts w:ascii="ITC Avant Garde" w:eastAsia="Times New Roman" w:hAnsi="ITC Avant Garde"/>
                <w:color w:val="000000"/>
                <w:sz w:val="18"/>
                <w:lang w:eastAsia="es-MX"/>
              </w:rPr>
            </w:pPr>
          </w:p>
          <w:p w14:paraId="54D205DB" w14:textId="77777777" w:rsidR="00A52646" w:rsidRPr="00A52646" w:rsidRDefault="00A52646" w:rsidP="00A92626">
            <w:pPr>
              <w:spacing w:after="0" w:line="240" w:lineRule="auto"/>
              <w:ind w:left="709"/>
              <w:jc w:val="both"/>
              <w:rPr>
                <w:rFonts w:ascii="ITC Avant Garde" w:eastAsia="Times New Roman" w:hAnsi="ITC Avant Garde"/>
                <w:color w:val="000000"/>
                <w:sz w:val="18"/>
                <w:lang w:eastAsia="es-MX"/>
              </w:rPr>
            </w:pPr>
            <w:r w:rsidRPr="00A52646">
              <w:rPr>
                <w:rFonts w:ascii="ITC Avant Garde" w:eastAsia="Times New Roman" w:hAnsi="ITC Avant Garde"/>
                <w:color w:val="000000"/>
                <w:sz w:val="18"/>
                <w:lang w:eastAsia="es-MX"/>
              </w:rPr>
              <w:t>“</w:t>
            </w:r>
            <w:r w:rsidRPr="00A52646">
              <w:rPr>
                <w:rFonts w:ascii="ITC Avant Garde" w:eastAsia="Times New Roman" w:hAnsi="ITC Avant Garde"/>
                <w:i/>
                <w:color w:val="000000"/>
                <w:sz w:val="18"/>
                <w:lang w:eastAsia="es-MX"/>
              </w:rPr>
              <w:t>No declarar, a través del Apéndice E, o celebrar posteriormente a la presentación de dicho Apéndice E, cualquier vínculo de tipo comercial, organizativo, económico o jurídico (Vínculo), ya sea de hecho o de derecho, directa o indirectamente, con algún otro Interesado, Participante o Participante Ganador o con cualquier Agente Económico que forme parte del mismo GIE de cualquier</w:t>
            </w:r>
            <w:r w:rsidR="002D39F4">
              <w:rPr>
                <w:rFonts w:ascii="ITC Avant Garde" w:eastAsia="Times New Roman" w:hAnsi="ITC Avant Garde"/>
                <w:i/>
                <w:color w:val="000000"/>
                <w:sz w:val="18"/>
                <w:lang w:eastAsia="es-MX"/>
              </w:rPr>
              <w:t>a</w:t>
            </w:r>
            <w:r w:rsidRPr="00A52646">
              <w:rPr>
                <w:rFonts w:ascii="ITC Avant Garde" w:eastAsia="Times New Roman" w:hAnsi="ITC Avant Garde"/>
                <w:i/>
                <w:color w:val="000000"/>
                <w:sz w:val="18"/>
                <w:lang w:eastAsia="es-MX"/>
              </w:rPr>
              <w:t xml:space="preserve"> de éstos.</w:t>
            </w:r>
            <w:r w:rsidRPr="00A52646">
              <w:rPr>
                <w:rFonts w:ascii="ITC Avant Garde" w:eastAsia="Times New Roman" w:hAnsi="ITC Avant Garde"/>
                <w:color w:val="000000"/>
                <w:sz w:val="18"/>
                <w:lang w:eastAsia="es-MX"/>
              </w:rPr>
              <w:t>”</w:t>
            </w:r>
          </w:p>
          <w:p w14:paraId="18377402" w14:textId="77777777" w:rsidR="00A52646" w:rsidRDefault="00A52646" w:rsidP="00A92626">
            <w:pPr>
              <w:spacing w:after="0" w:line="240" w:lineRule="auto"/>
              <w:ind w:left="709"/>
              <w:jc w:val="both"/>
              <w:rPr>
                <w:rFonts w:ascii="ITC Avant Garde" w:eastAsia="Times New Roman" w:hAnsi="ITC Avant Garde"/>
                <w:color w:val="000000"/>
                <w:sz w:val="18"/>
                <w:lang w:eastAsia="es-MX"/>
              </w:rPr>
            </w:pPr>
          </w:p>
          <w:p w14:paraId="226A3537" w14:textId="77777777" w:rsidR="00A52646" w:rsidRPr="00A52646" w:rsidRDefault="00A52646" w:rsidP="00A92626">
            <w:pPr>
              <w:spacing w:after="0" w:line="240" w:lineRule="auto"/>
              <w:jc w:val="both"/>
              <w:rPr>
                <w:rFonts w:ascii="ITC Avant Garde" w:eastAsia="Times New Roman" w:hAnsi="ITC Avant Garde"/>
                <w:color w:val="000000"/>
                <w:sz w:val="18"/>
                <w:lang w:eastAsia="es-MX"/>
              </w:rPr>
            </w:pPr>
            <w:r w:rsidRPr="00A52646">
              <w:rPr>
                <w:rFonts w:ascii="ITC Avant Garde" w:eastAsia="Times New Roman" w:hAnsi="ITC Avant Garde"/>
                <w:color w:val="000000"/>
                <w:sz w:val="18"/>
                <w:lang w:eastAsia="es-MX"/>
              </w:rPr>
              <w:t>La inclusión de la anterior fracción implica una descalificación del Participante en términos de la fracción vii del numeral 12.2 del proyecto de Bases</w:t>
            </w:r>
          </w:p>
          <w:p w14:paraId="5F883334" w14:textId="77777777" w:rsidR="00A52646" w:rsidRDefault="00A52646" w:rsidP="00A92626">
            <w:pPr>
              <w:spacing w:after="0" w:line="240" w:lineRule="auto"/>
              <w:ind w:left="709"/>
              <w:jc w:val="both"/>
              <w:rPr>
                <w:rFonts w:ascii="ITC Avant Garde" w:eastAsia="Times New Roman" w:hAnsi="ITC Avant Garde"/>
                <w:color w:val="000000"/>
                <w:sz w:val="18"/>
                <w:lang w:eastAsia="es-MX"/>
              </w:rPr>
            </w:pPr>
          </w:p>
          <w:p w14:paraId="072142E3" w14:textId="77777777" w:rsidR="00A52646" w:rsidRPr="00A52646" w:rsidRDefault="00A52646" w:rsidP="00A92626">
            <w:pPr>
              <w:spacing w:after="0" w:line="240" w:lineRule="auto"/>
              <w:jc w:val="both"/>
              <w:rPr>
                <w:rFonts w:ascii="ITC Avant Garde" w:eastAsia="Times New Roman" w:hAnsi="ITC Avant Garde"/>
                <w:color w:val="000000"/>
                <w:sz w:val="18"/>
                <w:lang w:eastAsia="es-MX"/>
              </w:rPr>
            </w:pPr>
            <w:r w:rsidRPr="00A52646">
              <w:rPr>
                <w:rFonts w:ascii="ITC Avant Garde" w:eastAsia="Times New Roman" w:hAnsi="ITC Avant Garde"/>
                <w:color w:val="000000"/>
                <w:sz w:val="18"/>
                <w:lang w:eastAsia="es-MX"/>
              </w:rPr>
              <w:t>Por otro lado, se considera que el plazo de un año para que el titular de la Concesión celebre el acuerdo con el Autorizado puede ser extenso, tomando en cuenta además que el Instituto tiene un plazo de 180 días para resolver en caso de desacuerdo. Por lo anterior, se estima conveniente que el plazo original sea de seis meses, en lugar de un año, y que el plazo para que resuelva el Instituto se mantenga en 180 días naturales. Así, en total se tendría alrededor de un año, en lugar de un año y medio. Finalmente, se propone que se señale con mayor claridad el procedimiento y demás términos y condiciones que seguirá el Instituto para resolver las condiciones no convenidas.</w:t>
            </w:r>
          </w:p>
          <w:p w14:paraId="220FAEA5" w14:textId="77777777" w:rsidR="00A52646" w:rsidRDefault="00A52646" w:rsidP="00A92626">
            <w:pPr>
              <w:spacing w:after="0" w:line="240" w:lineRule="auto"/>
              <w:jc w:val="both"/>
              <w:rPr>
                <w:rFonts w:ascii="ITC Avant Garde" w:eastAsia="Times New Roman" w:hAnsi="ITC Avant Garde"/>
                <w:color w:val="000000"/>
                <w:sz w:val="18"/>
                <w:lang w:eastAsia="es-MX"/>
              </w:rPr>
            </w:pPr>
          </w:p>
          <w:p w14:paraId="4EABC1EA" w14:textId="77777777" w:rsidR="00A52646" w:rsidRDefault="00A52646" w:rsidP="00A92626">
            <w:pPr>
              <w:spacing w:after="0" w:line="240" w:lineRule="auto"/>
              <w:jc w:val="both"/>
              <w:rPr>
                <w:rFonts w:ascii="ITC Avant Garde" w:eastAsia="Times New Roman" w:hAnsi="ITC Avant Garde"/>
                <w:color w:val="000000"/>
                <w:sz w:val="18"/>
                <w:lang w:eastAsia="es-MX"/>
              </w:rPr>
            </w:pPr>
            <w:r w:rsidRPr="00A52646">
              <w:rPr>
                <w:rFonts w:ascii="ITC Avant Garde" w:eastAsia="Times New Roman" w:hAnsi="ITC Avant Garde"/>
                <w:color w:val="000000"/>
                <w:sz w:val="18"/>
                <w:lang w:eastAsia="es-MX"/>
              </w:rPr>
              <w:t>Lo anterior, sin perjuicio de los demás comentarios planteados de manera específica en el apartado II anterior.</w:t>
            </w:r>
          </w:p>
          <w:p w14:paraId="2E3AFCE9" w14:textId="77777777" w:rsidR="00A92626" w:rsidRPr="005B1BEA" w:rsidRDefault="00A92626" w:rsidP="00A52646">
            <w:pPr>
              <w:spacing w:after="0" w:line="240" w:lineRule="auto"/>
              <w:rPr>
                <w:rFonts w:ascii="ITC Avant Garde" w:eastAsia="Times New Roman" w:hAnsi="ITC Avant Garde"/>
                <w:color w:val="000000"/>
                <w:sz w:val="18"/>
                <w:lang w:eastAsia="es-MX"/>
              </w:rPr>
            </w:pPr>
          </w:p>
        </w:tc>
      </w:tr>
      <w:tr w:rsidR="00C647B4" w:rsidRPr="005D0B9B" w14:paraId="73DE85E2" w14:textId="77777777" w:rsidTr="004D55DC">
        <w:trPr>
          <w:trHeight w:val="678"/>
        </w:trPr>
        <w:tc>
          <w:tcPr>
            <w:tcW w:w="5000" w:type="pct"/>
            <w:shd w:val="clear" w:color="auto" w:fill="C5E0B3"/>
          </w:tcPr>
          <w:p w14:paraId="6AB78737" w14:textId="77777777" w:rsidR="004D55DC" w:rsidRDefault="004D55DC" w:rsidP="004D55DC">
            <w:pPr>
              <w:ind w:right="421"/>
              <w:jc w:val="both"/>
              <w:rPr>
                <w:rFonts w:ascii="ITC Avant Garde" w:hAnsi="ITC Avant Garde"/>
                <w:bCs/>
                <w:color w:val="000000"/>
                <w:sz w:val="18"/>
                <w:lang w:eastAsia="es-MX"/>
              </w:rPr>
            </w:pPr>
          </w:p>
          <w:p w14:paraId="1DCB2D3D" w14:textId="77777777" w:rsidR="00C647B4" w:rsidRDefault="006740FE" w:rsidP="005B1BEA">
            <w:pPr>
              <w:numPr>
                <w:ilvl w:val="0"/>
                <w:numId w:val="16"/>
              </w:numPr>
              <w:ind w:left="709" w:right="421" w:hanging="283"/>
              <w:jc w:val="both"/>
              <w:rPr>
                <w:rFonts w:ascii="ITC Avant Garde" w:hAnsi="ITC Avant Garde"/>
                <w:bCs/>
                <w:color w:val="000000"/>
                <w:sz w:val="18"/>
                <w:lang w:eastAsia="es-MX"/>
              </w:rPr>
            </w:pPr>
            <w:r>
              <w:rPr>
                <w:rFonts w:ascii="ITC Avant Garde" w:hAnsi="ITC Avant Garde"/>
                <w:bCs/>
                <w:color w:val="000000"/>
                <w:sz w:val="18"/>
                <w:lang w:eastAsia="es-MX"/>
              </w:rPr>
              <w:t>E</w:t>
            </w:r>
            <w:r w:rsidR="007B61A7" w:rsidRPr="007B61A7">
              <w:rPr>
                <w:rFonts w:ascii="ITC Avant Garde" w:hAnsi="ITC Avant Garde"/>
                <w:bCs/>
                <w:color w:val="000000"/>
                <w:sz w:val="18"/>
                <w:lang w:eastAsia="es-MX"/>
              </w:rPr>
              <w:t xml:space="preserve">l plazo máximo </w:t>
            </w:r>
            <w:r w:rsidR="00D81ECC">
              <w:rPr>
                <w:rFonts w:ascii="ITC Avant Garde" w:hAnsi="ITC Avant Garde"/>
                <w:bCs/>
                <w:color w:val="000000"/>
                <w:sz w:val="18"/>
                <w:lang w:eastAsia="es-MX"/>
              </w:rPr>
              <w:t xml:space="preserve">de un año </w:t>
            </w:r>
            <w:r w:rsidR="007B61A7" w:rsidRPr="007B61A7">
              <w:rPr>
                <w:rFonts w:ascii="ITC Avant Garde" w:hAnsi="ITC Avant Garde"/>
                <w:bCs/>
                <w:color w:val="000000"/>
                <w:sz w:val="18"/>
                <w:lang w:eastAsia="es-MX"/>
              </w:rPr>
              <w:t xml:space="preserve">para </w:t>
            </w:r>
            <w:r w:rsidR="00D81ECC">
              <w:rPr>
                <w:rFonts w:ascii="ITC Avant Garde" w:hAnsi="ITC Avant Garde"/>
                <w:bCs/>
                <w:color w:val="000000"/>
                <w:sz w:val="18"/>
                <w:lang w:eastAsia="es-MX"/>
              </w:rPr>
              <w:t>iniciar</w:t>
            </w:r>
            <w:r w:rsidR="007B61A7" w:rsidRPr="007B61A7">
              <w:rPr>
                <w:rFonts w:ascii="ITC Avant Garde" w:hAnsi="ITC Avant Garde"/>
                <w:bCs/>
                <w:color w:val="000000"/>
                <w:sz w:val="18"/>
                <w:lang w:eastAsia="es-MX"/>
              </w:rPr>
              <w:t xml:space="preserve"> operaciones a partir del día siguiente al otorgamiento y firma del título de Concesión de Espectro Radioeléctrico para Uso Comercial corresp</w:t>
            </w:r>
            <w:r w:rsidR="00D81ECC">
              <w:rPr>
                <w:rFonts w:ascii="ITC Avant Garde" w:hAnsi="ITC Avant Garde"/>
                <w:bCs/>
                <w:color w:val="000000"/>
                <w:sz w:val="18"/>
                <w:lang w:eastAsia="es-MX"/>
              </w:rPr>
              <w:t>ondiente</w:t>
            </w:r>
            <w:r w:rsidR="007B61A7" w:rsidRPr="007B61A7">
              <w:rPr>
                <w:rFonts w:ascii="ITC Avant Garde" w:hAnsi="ITC Avant Garde"/>
                <w:bCs/>
                <w:color w:val="000000"/>
                <w:sz w:val="18"/>
                <w:lang w:eastAsia="es-MX"/>
              </w:rPr>
              <w:t xml:space="preserve"> para los Concesionarios con Vínculos con el Autorizado, o</w:t>
            </w:r>
            <w:r w:rsidR="00D81ECC">
              <w:rPr>
                <w:rFonts w:ascii="ITC Avant Garde" w:hAnsi="ITC Avant Garde"/>
                <w:bCs/>
                <w:color w:val="000000"/>
                <w:sz w:val="18"/>
                <w:lang w:eastAsia="es-MX"/>
              </w:rPr>
              <w:t>, en su defecto,</w:t>
            </w:r>
            <w:r w:rsidR="007B61A7" w:rsidRPr="007B61A7">
              <w:rPr>
                <w:rFonts w:ascii="ITC Avant Garde" w:hAnsi="ITC Avant Garde"/>
                <w:bCs/>
                <w:color w:val="000000"/>
                <w:sz w:val="18"/>
                <w:lang w:eastAsia="es-MX"/>
              </w:rPr>
              <w:t xml:space="preserve"> a partir de la firma de acuerdo </w:t>
            </w:r>
            <w:r>
              <w:rPr>
                <w:rFonts w:ascii="ITC Avant Garde" w:hAnsi="ITC Avant Garde"/>
                <w:bCs/>
                <w:color w:val="000000"/>
                <w:sz w:val="18"/>
                <w:lang w:eastAsia="es-MX"/>
              </w:rPr>
              <w:t xml:space="preserve">con </w:t>
            </w:r>
            <w:r w:rsidR="00D81ECC">
              <w:rPr>
                <w:rFonts w:ascii="ITC Avant Garde" w:hAnsi="ITC Avant Garde"/>
                <w:bCs/>
                <w:color w:val="000000"/>
                <w:sz w:val="18"/>
                <w:lang w:eastAsia="es-MX"/>
              </w:rPr>
              <w:t xml:space="preserve">un Autorizado cuando no los tenga; lo anterior, conforme a lo establecido en el numeral 4.2 del proyecto de </w:t>
            </w:r>
            <w:r w:rsidR="00160550">
              <w:rPr>
                <w:rFonts w:ascii="ITC Avant Garde" w:hAnsi="ITC Avant Garde"/>
                <w:bCs/>
                <w:color w:val="000000"/>
                <w:sz w:val="18"/>
                <w:lang w:eastAsia="es-MX"/>
              </w:rPr>
              <w:t>Numeral</w:t>
            </w:r>
            <w:r w:rsidR="007B61A7" w:rsidRPr="007B61A7">
              <w:rPr>
                <w:rFonts w:ascii="ITC Avant Garde" w:hAnsi="ITC Avant Garde"/>
                <w:bCs/>
                <w:color w:val="000000"/>
                <w:sz w:val="18"/>
                <w:lang w:eastAsia="es-MX"/>
              </w:rPr>
              <w:t>.</w:t>
            </w:r>
          </w:p>
          <w:p w14:paraId="169331FD" w14:textId="77777777" w:rsidR="005B1BEA" w:rsidRDefault="00D81ECC" w:rsidP="005B1BEA">
            <w:pPr>
              <w:spacing w:after="0" w:line="240" w:lineRule="auto"/>
              <w:ind w:left="709" w:right="421"/>
              <w:jc w:val="both"/>
              <w:rPr>
                <w:rFonts w:ascii="ITC Avant Garde" w:eastAsia="Times New Roman" w:hAnsi="ITC Avant Garde"/>
                <w:bCs/>
                <w:sz w:val="18"/>
                <w:szCs w:val="18"/>
                <w:lang w:eastAsia="es-MX"/>
              </w:rPr>
            </w:pPr>
            <w:r w:rsidRPr="00D81ECC">
              <w:rPr>
                <w:rFonts w:ascii="ITC Avant Garde" w:eastAsia="Times New Roman" w:hAnsi="ITC Avant Garde"/>
                <w:bCs/>
                <w:sz w:val="18"/>
                <w:szCs w:val="18"/>
                <w:lang w:eastAsia="es-MX"/>
              </w:rPr>
              <w:t>En caso de incluir alguna propuesta, favor de acompañarla de la referencia y justificación correspondiente.</w:t>
            </w:r>
          </w:p>
          <w:p w14:paraId="27F16C90" w14:textId="77777777" w:rsidR="004D55DC" w:rsidRPr="005B1BEA" w:rsidRDefault="004D55DC" w:rsidP="005B1BEA">
            <w:pPr>
              <w:spacing w:after="0" w:line="240" w:lineRule="auto"/>
              <w:ind w:left="709" w:right="421"/>
              <w:jc w:val="both"/>
              <w:rPr>
                <w:rFonts w:ascii="ITC Avant Garde" w:eastAsia="Times New Roman" w:hAnsi="ITC Avant Garde"/>
                <w:sz w:val="18"/>
                <w:lang w:eastAsia="es-MX"/>
              </w:rPr>
            </w:pPr>
          </w:p>
        </w:tc>
      </w:tr>
      <w:tr w:rsidR="00C647B4" w:rsidRPr="005D0B9B" w14:paraId="17A78DD2" w14:textId="77777777" w:rsidTr="00C647B4">
        <w:trPr>
          <w:trHeight w:val="678"/>
        </w:trPr>
        <w:tc>
          <w:tcPr>
            <w:tcW w:w="5000" w:type="pct"/>
            <w:shd w:val="clear" w:color="auto" w:fill="auto"/>
            <w:vAlign w:val="center"/>
          </w:tcPr>
          <w:p w14:paraId="3AC32A6F" w14:textId="77777777" w:rsidR="00A52646" w:rsidRDefault="00A52646" w:rsidP="00A52646">
            <w:pPr>
              <w:spacing w:after="0" w:line="240" w:lineRule="auto"/>
              <w:ind w:left="709"/>
              <w:rPr>
                <w:rFonts w:ascii="ITC Avant Garde" w:eastAsia="Times New Roman" w:hAnsi="ITC Avant Garde"/>
                <w:color w:val="000000"/>
                <w:sz w:val="18"/>
                <w:lang w:eastAsia="es-MX"/>
              </w:rPr>
            </w:pPr>
          </w:p>
          <w:p w14:paraId="6C3FBD90" w14:textId="77777777" w:rsidR="00A52646" w:rsidRPr="00A52646" w:rsidRDefault="00A52646" w:rsidP="00E06BAC">
            <w:pPr>
              <w:spacing w:after="0" w:line="240" w:lineRule="auto"/>
              <w:jc w:val="both"/>
              <w:rPr>
                <w:rFonts w:ascii="ITC Avant Garde" w:eastAsia="Times New Roman" w:hAnsi="ITC Avant Garde"/>
                <w:bCs/>
                <w:color w:val="000000"/>
                <w:sz w:val="18"/>
                <w:lang w:val="es-CO" w:eastAsia="es-MX"/>
              </w:rPr>
            </w:pPr>
            <w:r w:rsidRPr="00A52646">
              <w:rPr>
                <w:rFonts w:ascii="ITC Avant Garde" w:eastAsia="Times New Roman" w:hAnsi="ITC Avant Garde"/>
                <w:color w:val="000000"/>
                <w:sz w:val="18"/>
                <w:lang w:eastAsia="es-MX"/>
              </w:rPr>
              <w:t>En principio consideramos que e</w:t>
            </w:r>
            <w:r w:rsidRPr="00A52646">
              <w:rPr>
                <w:rFonts w:ascii="ITC Avant Garde" w:eastAsia="Times New Roman" w:hAnsi="ITC Avant Garde"/>
                <w:bCs/>
                <w:color w:val="000000"/>
                <w:sz w:val="18"/>
                <w:lang w:val="es-CO" w:eastAsia="es-MX"/>
              </w:rPr>
              <w:t>l plazo máximo de un año para iniciar operaciones es en términos generales correcto. Sin embargo, consideramos conveniente incluir una prórroga de por lo menos 6 meses en caso de que existan causas justificadas (incluyendo sin limitar por caso fortuito o fuerza mayor) que impidan cumplir con dicho plazo, por lo que se propone incluir la posibilidad de que previa solicitud del concesionario se pueda obtener una prórroga de hasta 6 meses para el cumplimiento de dicho plazo. Esta propuesta también se incluye en los comentarios específicos al numeral 4.2 del proyecto de Bases.</w:t>
            </w:r>
          </w:p>
          <w:p w14:paraId="645823F6" w14:textId="77777777" w:rsidR="00A52646" w:rsidRDefault="00A52646" w:rsidP="00E06BAC">
            <w:pPr>
              <w:spacing w:after="0" w:line="240" w:lineRule="auto"/>
              <w:ind w:left="709"/>
              <w:jc w:val="both"/>
              <w:rPr>
                <w:rFonts w:ascii="ITC Avant Garde" w:eastAsia="Times New Roman" w:hAnsi="ITC Avant Garde"/>
                <w:color w:val="000000"/>
                <w:sz w:val="18"/>
                <w:lang w:eastAsia="es-MX"/>
              </w:rPr>
            </w:pPr>
          </w:p>
          <w:p w14:paraId="24688EE0" w14:textId="77777777" w:rsidR="00A52646" w:rsidRPr="00A52646" w:rsidRDefault="00A52646" w:rsidP="00E06BAC">
            <w:pPr>
              <w:spacing w:after="0" w:line="240" w:lineRule="auto"/>
              <w:jc w:val="both"/>
              <w:rPr>
                <w:rFonts w:ascii="ITC Avant Garde" w:eastAsia="Times New Roman" w:hAnsi="ITC Avant Garde"/>
                <w:color w:val="000000"/>
                <w:sz w:val="18"/>
                <w:lang w:eastAsia="es-MX"/>
              </w:rPr>
            </w:pPr>
            <w:r w:rsidRPr="00A52646">
              <w:rPr>
                <w:rFonts w:ascii="ITC Avant Garde" w:eastAsia="Times New Roman" w:hAnsi="ITC Avant Garde"/>
                <w:color w:val="000000"/>
                <w:sz w:val="18"/>
                <w:lang w:eastAsia="es-MX"/>
              </w:rPr>
              <w:t>Lo anterior, sin perjuicio de los demás comentarios planteados de manera específica en el apartado II anterior.</w:t>
            </w:r>
          </w:p>
          <w:p w14:paraId="5A3E008A" w14:textId="77777777" w:rsidR="00C647B4" w:rsidRPr="005B1BEA" w:rsidRDefault="00C647B4" w:rsidP="008D2BB0">
            <w:pPr>
              <w:spacing w:after="0" w:line="240" w:lineRule="auto"/>
              <w:ind w:left="709"/>
              <w:rPr>
                <w:rFonts w:ascii="ITC Avant Garde" w:eastAsia="Times New Roman" w:hAnsi="ITC Avant Garde"/>
                <w:color w:val="000000"/>
                <w:sz w:val="18"/>
                <w:lang w:eastAsia="es-MX"/>
              </w:rPr>
            </w:pPr>
          </w:p>
        </w:tc>
      </w:tr>
      <w:tr w:rsidR="000D26D1" w:rsidRPr="005D0B9B" w14:paraId="7EB620D6" w14:textId="77777777" w:rsidTr="00D81ECC">
        <w:trPr>
          <w:trHeight w:val="269"/>
        </w:trPr>
        <w:tc>
          <w:tcPr>
            <w:tcW w:w="5000" w:type="pct"/>
            <w:shd w:val="clear" w:color="auto" w:fill="C5E0B3"/>
            <w:vAlign w:val="center"/>
          </w:tcPr>
          <w:p w14:paraId="11F8630B" w14:textId="77777777" w:rsidR="004D55DC" w:rsidRPr="004D55DC" w:rsidRDefault="004D55DC" w:rsidP="004D55DC">
            <w:pPr>
              <w:spacing w:line="240" w:lineRule="auto"/>
              <w:ind w:right="421"/>
              <w:jc w:val="both"/>
              <w:rPr>
                <w:rFonts w:ascii="ITC Avant Garde" w:eastAsia="Times New Roman" w:hAnsi="ITC Avant Garde"/>
                <w:color w:val="000000"/>
                <w:sz w:val="18"/>
                <w:lang w:eastAsia="es-MX"/>
              </w:rPr>
            </w:pPr>
          </w:p>
          <w:p w14:paraId="00FC67DB" w14:textId="77777777" w:rsidR="005B1BEA" w:rsidRPr="00917436" w:rsidRDefault="004910FA" w:rsidP="00917436">
            <w:pPr>
              <w:numPr>
                <w:ilvl w:val="0"/>
                <w:numId w:val="16"/>
              </w:numPr>
              <w:spacing w:line="240" w:lineRule="auto"/>
              <w:ind w:left="709" w:right="421" w:hanging="283"/>
              <w:jc w:val="both"/>
              <w:rPr>
                <w:rFonts w:ascii="ITC Avant Garde" w:eastAsia="Times New Roman" w:hAnsi="ITC Avant Garde"/>
                <w:color w:val="000000"/>
                <w:sz w:val="18"/>
                <w:lang w:eastAsia="es-MX"/>
              </w:rPr>
            </w:pPr>
            <w:r>
              <w:rPr>
                <w:rFonts w:ascii="ITC Avant Garde" w:hAnsi="ITC Avant Garde"/>
                <w:bCs/>
                <w:color w:val="000000"/>
                <w:sz w:val="18"/>
                <w:lang w:eastAsia="es-MX"/>
              </w:rPr>
              <w:t>L</w:t>
            </w:r>
            <w:r w:rsidR="00651300">
              <w:rPr>
                <w:rFonts w:ascii="ITC Avant Garde" w:hAnsi="ITC Avant Garde"/>
                <w:bCs/>
                <w:color w:val="000000"/>
                <w:sz w:val="18"/>
                <w:lang w:eastAsia="es-MX"/>
              </w:rPr>
              <w:t>os elementos mínimos y</w:t>
            </w:r>
            <w:r w:rsidR="00696B2B">
              <w:rPr>
                <w:rFonts w:ascii="ITC Avant Garde" w:hAnsi="ITC Avant Garde"/>
                <w:bCs/>
                <w:color w:val="000000"/>
                <w:sz w:val="18"/>
                <w:lang w:eastAsia="es-MX"/>
              </w:rPr>
              <w:t xml:space="preserve"> arquitectura de red </w:t>
            </w:r>
            <w:r w:rsidR="00651300">
              <w:rPr>
                <w:rFonts w:ascii="ITC Avant Garde" w:hAnsi="ITC Avant Garde"/>
                <w:bCs/>
                <w:color w:val="000000"/>
                <w:sz w:val="18"/>
                <w:lang w:eastAsia="es-MX"/>
              </w:rPr>
              <w:t xml:space="preserve">contenidos </w:t>
            </w:r>
            <w:r w:rsidR="00696B2B">
              <w:rPr>
                <w:rFonts w:ascii="ITC Avant Garde" w:hAnsi="ITC Avant Garde"/>
                <w:bCs/>
                <w:color w:val="000000"/>
                <w:sz w:val="18"/>
                <w:lang w:eastAsia="es-MX"/>
              </w:rPr>
              <w:t xml:space="preserve">en el numeral 4.3 </w:t>
            </w:r>
            <w:r w:rsidR="000D26D1" w:rsidRPr="00696B2B">
              <w:rPr>
                <w:rFonts w:ascii="ITC Avant Garde" w:hAnsi="ITC Avant Garde"/>
                <w:bCs/>
                <w:color w:val="000000"/>
                <w:sz w:val="18"/>
                <w:lang w:eastAsia="es-MX"/>
              </w:rPr>
              <w:t xml:space="preserve">del proyecto de </w:t>
            </w:r>
            <w:r w:rsidR="00160550">
              <w:rPr>
                <w:rFonts w:ascii="ITC Avant Garde" w:hAnsi="ITC Avant Garde"/>
                <w:bCs/>
                <w:color w:val="000000"/>
                <w:sz w:val="18"/>
                <w:lang w:eastAsia="es-MX"/>
              </w:rPr>
              <w:t>Numeral</w:t>
            </w:r>
            <w:r w:rsidR="00696B2B">
              <w:rPr>
                <w:rFonts w:ascii="ITC Avant Garde" w:hAnsi="ITC Avant Garde"/>
                <w:bCs/>
                <w:color w:val="000000"/>
                <w:sz w:val="18"/>
                <w:lang w:eastAsia="es-MX"/>
              </w:rPr>
              <w:t>.</w:t>
            </w:r>
            <w:r w:rsidR="00696B2B" w:rsidRPr="005D0B9B">
              <w:rPr>
                <w:rFonts w:ascii="ITC Avant Garde" w:eastAsia="Times New Roman" w:hAnsi="ITC Avant Garde"/>
                <w:color w:val="000000"/>
                <w:sz w:val="18"/>
                <w:lang w:eastAsia="es-MX"/>
              </w:rPr>
              <w:t xml:space="preserve"> </w:t>
            </w:r>
          </w:p>
          <w:p w14:paraId="6E28DB47" w14:textId="77777777" w:rsidR="007B61A7" w:rsidRDefault="005B1BEA" w:rsidP="00E3674F">
            <w:pPr>
              <w:spacing w:after="0" w:line="240" w:lineRule="auto"/>
              <w:ind w:left="709" w:right="421"/>
              <w:jc w:val="both"/>
              <w:rPr>
                <w:rFonts w:ascii="ITC Avant Garde" w:eastAsia="Times New Roman" w:hAnsi="ITC Avant Garde"/>
                <w:bCs/>
                <w:sz w:val="18"/>
                <w:szCs w:val="18"/>
                <w:lang w:eastAsia="es-MX"/>
              </w:rPr>
            </w:pPr>
            <w:r w:rsidRPr="00E3674F">
              <w:rPr>
                <w:rFonts w:ascii="ITC Avant Garde" w:eastAsia="Times New Roman" w:hAnsi="ITC Avant Garde"/>
                <w:bCs/>
                <w:sz w:val="18"/>
                <w:szCs w:val="18"/>
                <w:lang w:eastAsia="es-MX"/>
              </w:rPr>
              <w:t xml:space="preserve">En caso de incluir alguna propuesta, favor de acompañarla de la referencia y justificación correspondiente. </w:t>
            </w:r>
          </w:p>
          <w:p w14:paraId="30711EC4" w14:textId="77777777" w:rsidR="004D55DC" w:rsidRPr="005B1BEA" w:rsidRDefault="004D55DC" w:rsidP="00E3674F">
            <w:pPr>
              <w:spacing w:after="0" w:line="240" w:lineRule="auto"/>
              <w:ind w:left="709" w:right="421"/>
              <w:jc w:val="both"/>
              <w:rPr>
                <w:rFonts w:ascii="ITC Avant Garde" w:eastAsia="Times New Roman" w:hAnsi="ITC Avant Garde"/>
                <w:sz w:val="18"/>
                <w:lang w:eastAsia="es-MX"/>
              </w:rPr>
            </w:pPr>
          </w:p>
        </w:tc>
      </w:tr>
      <w:tr w:rsidR="000D26D1" w:rsidRPr="00265FCC" w14:paraId="5D4C9202" w14:textId="77777777" w:rsidTr="005B1BEA">
        <w:trPr>
          <w:trHeight w:val="718"/>
        </w:trPr>
        <w:tc>
          <w:tcPr>
            <w:tcW w:w="5000" w:type="pct"/>
            <w:shd w:val="clear" w:color="auto" w:fill="auto"/>
            <w:vAlign w:val="center"/>
          </w:tcPr>
          <w:p w14:paraId="2C16B791" w14:textId="77777777" w:rsidR="00265FCC" w:rsidRPr="00E06BAC" w:rsidRDefault="00265FCC" w:rsidP="00265FCC">
            <w:pPr>
              <w:spacing w:after="0" w:line="240" w:lineRule="auto"/>
              <w:rPr>
                <w:rFonts w:ascii="ITC Avant Garde" w:eastAsia="Times New Roman" w:hAnsi="ITC Avant Garde"/>
                <w:color w:val="000000"/>
                <w:sz w:val="18"/>
                <w:highlight w:val="green"/>
                <w:lang w:eastAsia="es-MX"/>
              </w:rPr>
            </w:pPr>
          </w:p>
          <w:p w14:paraId="7E8CF908" w14:textId="77777777" w:rsidR="00901C87" w:rsidRPr="00901C87" w:rsidRDefault="00901C87" w:rsidP="00901C87">
            <w:pPr>
              <w:spacing w:after="0" w:line="240" w:lineRule="auto"/>
              <w:rPr>
                <w:rFonts w:ascii="ITC Avant Garde" w:eastAsia="Times New Roman" w:hAnsi="ITC Avant Garde"/>
                <w:color w:val="000000"/>
                <w:sz w:val="18"/>
                <w:lang w:eastAsia="es-MX"/>
              </w:rPr>
            </w:pPr>
            <w:r w:rsidRPr="00901C87">
              <w:rPr>
                <w:rFonts w:ascii="ITC Avant Garde" w:eastAsia="Times New Roman" w:hAnsi="ITC Avant Garde"/>
                <w:color w:val="000000"/>
                <w:sz w:val="18"/>
                <w:lang w:eastAsia="es-MX"/>
              </w:rPr>
              <w:t xml:space="preserve">Omnispace ha revisado la arquitectura de la red explicada en el numeral 4.3 del Proyecto de Bases y está de acuerdo en términos generales con la forma en la que está expuesta dicha arquitectura en la medida en que sea consistente con los documentos de la UIT.  </w:t>
            </w:r>
          </w:p>
          <w:p w14:paraId="013AB36D" w14:textId="77777777" w:rsidR="00265FCC" w:rsidRPr="00901C87" w:rsidRDefault="00265FCC" w:rsidP="00265FCC">
            <w:pPr>
              <w:spacing w:after="0" w:line="240" w:lineRule="auto"/>
              <w:rPr>
                <w:rFonts w:ascii="ITC Avant Garde" w:eastAsia="Times New Roman" w:hAnsi="ITC Avant Garde"/>
                <w:color w:val="000000"/>
                <w:sz w:val="18"/>
                <w:highlight w:val="green"/>
                <w:lang w:eastAsia="es-MX"/>
              </w:rPr>
            </w:pPr>
          </w:p>
          <w:p w14:paraId="44021877" w14:textId="77777777" w:rsidR="00265FCC" w:rsidRPr="00265FCC" w:rsidRDefault="00265FCC" w:rsidP="00265FCC">
            <w:pPr>
              <w:spacing w:after="0" w:line="240" w:lineRule="auto"/>
              <w:rPr>
                <w:rFonts w:ascii="ITC Avant Garde" w:eastAsia="Times New Roman" w:hAnsi="ITC Avant Garde"/>
                <w:color w:val="000000"/>
                <w:sz w:val="18"/>
                <w:lang w:eastAsia="es-MX"/>
              </w:rPr>
            </w:pPr>
            <w:r w:rsidRPr="00265FCC">
              <w:rPr>
                <w:rFonts w:ascii="ITC Avant Garde" w:eastAsia="Times New Roman" w:hAnsi="ITC Avant Garde"/>
                <w:color w:val="000000"/>
                <w:sz w:val="18"/>
                <w:lang w:eastAsia="es-MX"/>
              </w:rPr>
              <w:t>Lo anterior, sin perjuicio de los demás comentarios planteados de manera específica en el apartado II anterior.</w:t>
            </w:r>
          </w:p>
          <w:p w14:paraId="1F716C18" w14:textId="77777777" w:rsidR="00265FCC" w:rsidRPr="00265FCC" w:rsidRDefault="00265FCC" w:rsidP="00265FCC">
            <w:pPr>
              <w:spacing w:after="0" w:line="240" w:lineRule="auto"/>
              <w:rPr>
                <w:rFonts w:ascii="ITC Avant Garde" w:eastAsia="Times New Roman" w:hAnsi="ITC Avant Garde"/>
                <w:color w:val="000000"/>
                <w:sz w:val="18"/>
                <w:highlight w:val="green"/>
                <w:lang w:eastAsia="es-MX"/>
              </w:rPr>
            </w:pPr>
          </w:p>
        </w:tc>
      </w:tr>
      <w:tr w:rsidR="00425261" w:rsidRPr="005D0B9B" w14:paraId="3C55FF24" w14:textId="77777777" w:rsidTr="00DA2DEB">
        <w:trPr>
          <w:trHeight w:val="269"/>
        </w:trPr>
        <w:tc>
          <w:tcPr>
            <w:tcW w:w="5000" w:type="pct"/>
            <w:shd w:val="clear" w:color="auto" w:fill="C5E0B3"/>
            <w:vAlign w:val="center"/>
          </w:tcPr>
          <w:p w14:paraId="5D8A46E5" w14:textId="77777777" w:rsidR="00425261" w:rsidRPr="00265FCC" w:rsidRDefault="00425261" w:rsidP="00425261">
            <w:pPr>
              <w:spacing w:line="240" w:lineRule="auto"/>
              <w:ind w:right="421"/>
              <w:jc w:val="both"/>
              <w:rPr>
                <w:rFonts w:ascii="ITC Avant Garde" w:eastAsia="Times New Roman" w:hAnsi="ITC Avant Garde"/>
                <w:color w:val="000000"/>
                <w:sz w:val="18"/>
                <w:lang w:eastAsia="es-MX"/>
              </w:rPr>
            </w:pPr>
          </w:p>
          <w:p w14:paraId="1CCE95D0" w14:textId="77777777" w:rsidR="00425261" w:rsidRPr="00425261" w:rsidRDefault="004910FA" w:rsidP="00FA5549">
            <w:pPr>
              <w:numPr>
                <w:ilvl w:val="0"/>
                <w:numId w:val="16"/>
              </w:numPr>
              <w:spacing w:line="240" w:lineRule="auto"/>
              <w:ind w:left="709" w:right="421" w:hanging="283"/>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E</w:t>
            </w:r>
            <w:r w:rsidR="00425261" w:rsidRPr="00B01E4E">
              <w:rPr>
                <w:rFonts w:ascii="ITC Avant Garde" w:eastAsia="Times New Roman" w:hAnsi="ITC Avant Garde"/>
                <w:color w:val="000000"/>
                <w:sz w:val="18"/>
                <w:lang w:eastAsia="es-MX"/>
              </w:rPr>
              <w:t>l plazo máximo de 12 meses durante el cual los Componentes Complementarios Terrestres del Servicio Móvil por Satélite podrán operar de forma independiente de los Sistemas Satelitales en caso de falla de éstos que no permita la prestación del Servicio Móvil por Satélite, plazo contado a partir del día siguiente al de</w:t>
            </w:r>
            <w:r w:rsidR="00425261">
              <w:rPr>
                <w:rFonts w:ascii="ITC Avant Garde" w:eastAsia="Times New Roman" w:hAnsi="ITC Avant Garde"/>
                <w:color w:val="000000"/>
                <w:sz w:val="18"/>
                <w:lang w:eastAsia="es-MX"/>
              </w:rPr>
              <w:t xml:space="preserve"> la falla del Sistema Satelital, contenido en el </w:t>
            </w:r>
            <w:r w:rsidR="00425261" w:rsidRPr="00B01E4E">
              <w:rPr>
                <w:rFonts w:ascii="ITC Avant Garde" w:eastAsia="Times New Roman" w:hAnsi="ITC Avant Garde"/>
                <w:color w:val="000000"/>
                <w:sz w:val="18"/>
                <w:lang w:eastAsia="es-MX"/>
              </w:rPr>
              <w:t xml:space="preserve">numeral </w:t>
            </w:r>
            <w:r w:rsidR="00425261">
              <w:rPr>
                <w:rFonts w:ascii="ITC Avant Garde" w:eastAsia="Times New Roman" w:hAnsi="ITC Avant Garde"/>
                <w:color w:val="000000"/>
                <w:sz w:val="18"/>
                <w:lang w:eastAsia="es-MX"/>
              </w:rPr>
              <w:t xml:space="preserve">4.3, punto 4 de </w:t>
            </w:r>
            <w:r w:rsidR="00160550">
              <w:rPr>
                <w:rFonts w:ascii="ITC Avant Garde" w:eastAsia="Times New Roman" w:hAnsi="ITC Avant Garde"/>
                <w:color w:val="000000"/>
                <w:sz w:val="18"/>
                <w:lang w:eastAsia="es-MX"/>
              </w:rPr>
              <w:t>el Numeral</w:t>
            </w:r>
            <w:r w:rsidR="00425261">
              <w:rPr>
                <w:rFonts w:ascii="ITC Avant Garde" w:hAnsi="ITC Avant Garde"/>
                <w:bCs/>
                <w:color w:val="000000"/>
                <w:sz w:val="18"/>
                <w:lang w:eastAsia="es-MX"/>
              </w:rPr>
              <w:t>.</w:t>
            </w:r>
            <w:r w:rsidR="00425261" w:rsidRPr="005D0B9B">
              <w:rPr>
                <w:rFonts w:ascii="ITC Avant Garde" w:eastAsia="Times New Roman" w:hAnsi="ITC Avant Garde"/>
                <w:color w:val="000000"/>
                <w:sz w:val="18"/>
                <w:lang w:eastAsia="es-MX"/>
              </w:rPr>
              <w:t xml:space="preserve"> </w:t>
            </w:r>
          </w:p>
        </w:tc>
      </w:tr>
      <w:tr w:rsidR="00425261" w:rsidRPr="00265FCC" w14:paraId="05487525" w14:textId="77777777" w:rsidTr="005B1BEA">
        <w:trPr>
          <w:trHeight w:val="718"/>
        </w:trPr>
        <w:tc>
          <w:tcPr>
            <w:tcW w:w="5000" w:type="pct"/>
            <w:shd w:val="clear" w:color="auto" w:fill="auto"/>
            <w:vAlign w:val="center"/>
          </w:tcPr>
          <w:p w14:paraId="4A29D2DB" w14:textId="77777777" w:rsidR="00A52646" w:rsidRPr="00E06BAC" w:rsidRDefault="00A52646" w:rsidP="00425261">
            <w:pPr>
              <w:spacing w:after="0" w:line="240" w:lineRule="auto"/>
              <w:ind w:left="709"/>
              <w:rPr>
                <w:rFonts w:ascii="ITC Avant Garde" w:eastAsia="Times New Roman" w:hAnsi="ITC Avant Garde"/>
                <w:color w:val="000000"/>
                <w:sz w:val="18"/>
                <w:lang w:eastAsia="es-MX"/>
              </w:rPr>
            </w:pPr>
          </w:p>
          <w:p w14:paraId="418B000A" w14:textId="77777777" w:rsidR="00901C87" w:rsidRPr="00901C87" w:rsidRDefault="00901C87" w:rsidP="00901C87">
            <w:pPr>
              <w:jc w:val="both"/>
              <w:rPr>
                <w:sz w:val="18"/>
                <w:szCs w:val="18"/>
                <w:lang w:val="es-CO"/>
              </w:rPr>
            </w:pPr>
            <w:r w:rsidRPr="00901C87">
              <w:rPr>
                <w:sz w:val="18"/>
                <w:szCs w:val="18"/>
                <w:lang w:val="es-CO"/>
              </w:rPr>
              <w:t xml:space="preserve">Consideramos que el </w:t>
            </w:r>
            <w:r w:rsidR="00882F06">
              <w:rPr>
                <w:sz w:val="18"/>
                <w:szCs w:val="18"/>
                <w:lang w:val="es-CO"/>
              </w:rPr>
              <w:t xml:space="preserve">Instituto </w:t>
            </w:r>
            <w:r w:rsidRPr="00901C87">
              <w:rPr>
                <w:sz w:val="18"/>
                <w:szCs w:val="18"/>
                <w:lang w:val="es-CO"/>
              </w:rPr>
              <w:t xml:space="preserve">debe tener en cuenta </w:t>
            </w:r>
            <w:r w:rsidR="00952E94" w:rsidRPr="00901C87">
              <w:rPr>
                <w:sz w:val="18"/>
                <w:szCs w:val="18"/>
                <w:lang w:val="es-CO"/>
              </w:rPr>
              <w:t>que,</w:t>
            </w:r>
            <w:r w:rsidRPr="00901C87">
              <w:rPr>
                <w:sz w:val="18"/>
                <w:szCs w:val="18"/>
                <w:lang w:val="es-CO"/>
              </w:rPr>
              <w:t xml:space="preserve"> si hay una falla del Sistema Satelital, será muy difícil reemplazar el satélite en un (1) año. De hecho, otros países que han otorgado licencias para el SMS y su Componente Complementario Terrestre confieren un plazo de hasta 4 años para el remplazo de los satélites, como es el caso de Canadá. </w:t>
            </w:r>
          </w:p>
          <w:p w14:paraId="0C8D495E" w14:textId="77777777" w:rsidR="00901C87" w:rsidRPr="00901C87" w:rsidRDefault="00901C87" w:rsidP="00901C87">
            <w:pPr>
              <w:jc w:val="both"/>
              <w:rPr>
                <w:sz w:val="18"/>
                <w:szCs w:val="18"/>
                <w:lang w:val="es-CO"/>
              </w:rPr>
            </w:pPr>
            <w:r w:rsidRPr="00901C87">
              <w:rPr>
                <w:sz w:val="18"/>
                <w:szCs w:val="18"/>
                <w:lang w:val="es-CO"/>
              </w:rPr>
              <w:t xml:space="preserve">Otro aspecto a tener en cuenta al fijar este plazo, es que el </w:t>
            </w:r>
            <w:r w:rsidR="00E91314">
              <w:rPr>
                <w:sz w:val="18"/>
                <w:szCs w:val="18"/>
                <w:lang w:val="es-CO"/>
              </w:rPr>
              <w:t xml:space="preserve">numeral </w:t>
            </w:r>
            <w:r w:rsidR="009359BA">
              <w:rPr>
                <w:sz w:val="18"/>
                <w:szCs w:val="18"/>
                <w:lang w:val="es-CO"/>
              </w:rPr>
              <w:t>11.49 de</w:t>
            </w:r>
            <w:r w:rsidR="008F7306">
              <w:rPr>
                <w:sz w:val="18"/>
                <w:szCs w:val="18"/>
                <w:lang w:val="es-CO"/>
              </w:rPr>
              <w:t xml:space="preserve">l </w:t>
            </w:r>
            <w:r w:rsidRPr="00901C87">
              <w:rPr>
                <w:sz w:val="18"/>
                <w:szCs w:val="18"/>
                <w:lang w:val="es-CO"/>
              </w:rPr>
              <w:t>Reglamento de Radiocomunicaciones (RR) de la UIT, permite que una aplicación para que un sistema satelital (</w:t>
            </w:r>
            <w:r w:rsidRPr="00901C87">
              <w:rPr>
                <w:i/>
                <w:sz w:val="18"/>
                <w:szCs w:val="18"/>
                <w:lang w:val="es-CO"/>
              </w:rPr>
              <w:t>filing</w:t>
            </w:r>
            <w:r w:rsidRPr="00901C87">
              <w:rPr>
                <w:sz w:val="18"/>
                <w:szCs w:val="18"/>
                <w:lang w:val="es-CO"/>
              </w:rPr>
              <w:t xml:space="preserve">) sea suspendida hasta por tres años con el fin de brindar tiempo suficiente para el reemplazo de un satélite. </w:t>
            </w:r>
          </w:p>
          <w:p w14:paraId="23444470" w14:textId="77777777" w:rsidR="00901C87" w:rsidRPr="00901C87" w:rsidRDefault="00901C87" w:rsidP="00901C87">
            <w:pPr>
              <w:spacing w:after="0" w:line="240" w:lineRule="auto"/>
              <w:jc w:val="both"/>
              <w:rPr>
                <w:rFonts w:ascii="ITC Avant Garde" w:eastAsia="Times New Roman" w:hAnsi="ITC Avant Garde"/>
                <w:color w:val="000000"/>
                <w:sz w:val="18"/>
                <w:szCs w:val="18"/>
                <w:lang w:eastAsia="es-MX"/>
              </w:rPr>
            </w:pPr>
            <w:r w:rsidRPr="00901C87">
              <w:rPr>
                <w:sz w:val="18"/>
                <w:szCs w:val="18"/>
                <w:lang w:val="es-CO"/>
              </w:rPr>
              <w:t xml:space="preserve">Por esto, Omnispace respetuosamente solicita al Instituto que </w:t>
            </w:r>
            <w:r w:rsidR="00952E94" w:rsidRPr="00901C87">
              <w:rPr>
                <w:sz w:val="18"/>
                <w:szCs w:val="18"/>
                <w:lang w:val="es-CO"/>
              </w:rPr>
              <w:t>amplíe</w:t>
            </w:r>
            <w:r w:rsidRPr="00901C87">
              <w:rPr>
                <w:sz w:val="18"/>
                <w:szCs w:val="18"/>
                <w:lang w:val="es-CO"/>
              </w:rPr>
              <w:t xml:space="preserve"> el plazo propuesto </w:t>
            </w:r>
            <w:r w:rsidR="00952E94" w:rsidRPr="00901C87">
              <w:rPr>
                <w:sz w:val="18"/>
                <w:szCs w:val="18"/>
                <w:lang w:val="es-CO"/>
              </w:rPr>
              <w:t>bien</w:t>
            </w:r>
            <w:r w:rsidRPr="00901C87">
              <w:rPr>
                <w:sz w:val="18"/>
                <w:szCs w:val="18"/>
                <w:lang w:val="es-CO"/>
              </w:rPr>
              <w:t xml:space="preserve"> sea a tres años (en línea con lo dispuesto en el RR) o de cuatro años (acogiendo la práctica </w:t>
            </w:r>
            <w:r w:rsidR="00952E94" w:rsidRPr="00901C87">
              <w:rPr>
                <w:sz w:val="18"/>
                <w:szCs w:val="18"/>
                <w:lang w:val="es-CO"/>
              </w:rPr>
              <w:t>canadiense</w:t>
            </w:r>
            <w:r w:rsidRPr="00901C87">
              <w:rPr>
                <w:sz w:val="18"/>
                <w:szCs w:val="18"/>
                <w:lang w:val="es-CO"/>
              </w:rPr>
              <w:t>) para que el Componente Complementario Terrestre del Servicio Móvil por Satélite opere independientemente mientras que se realiza el reemplazo del Sistema Satelital.</w:t>
            </w:r>
          </w:p>
          <w:p w14:paraId="0D023363" w14:textId="77777777" w:rsidR="00A52646" w:rsidRPr="00901C87" w:rsidRDefault="00A52646" w:rsidP="00E06BAC">
            <w:pPr>
              <w:spacing w:after="0" w:line="240" w:lineRule="auto"/>
              <w:jc w:val="both"/>
              <w:rPr>
                <w:rFonts w:ascii="ITC Avant Garde" w:eastAsia="Times New Roman" w:hAnsi="ITC Avant Garde"/>
                <w:color w:val="000000"/>
                <w:sz w:val="18"/>
                <w:lang w:eastAsia="es-MX"/>
              </w:rPr>
            </w:pPr>
          </w:p>
          <w:p w14:paraId="287A275F" w14:textId="77777777" w:rsidR="00265FCC" w:rsidRPr="00265FCC" w:rsidRDefault="00265FCC" w:rsidP="00E06BAC">
            <w:pPr>
              <w:spacing w:after="0" w:line="240" w:lineRule="auto"/>
              <w:jc w:val="both"/>
              <w:rPr>
                <w:rFonts w:ascii="ITC Avant Garde" w:eastAsia="Times New Roman" w:hAnsi="ITC Avant Garde"/>
                <w:color w:val="000000"/>
                <w:sz w:val="18"/>
                <w:lang w:eastAsia="es-MX"/>
              </w:rPr>
            </w:pPr>
            <w:r w:rsidRPr="00265FCC">
              <w:rPr>
                <w:rFonts w:ascii="ITC Avant Garde" w:eastAsia="Times New Roman" w:hAnsi="ITC Avant Garde"/>
                <w:color w:val="000000"/>
                <w:sz w:val="18"/>
                <w:lang w:eastAsia="es-MX"/>
              </w:rPr>
              <w:t>Lo anterior, sin perjuicio de los demás comentarios planteados de manera específica en el apartado II anterior.</w:t>
            </w:r>
          </w:p>
          <w:p w14:paraId="71452925" w14:textId="77777777" w:rsidR="00265FCC" w:rsidRPr="00265FCC" w:rsidRDefault="00265FCC" w:rsidP="00265FCC">
            <w:pPr>
              <w:spacing w:after="0" w:line="240" w:lineRule="auto"/>
              <w:rPr>
                <w:rFonts w:ascii="ITC Avant Garde" w:eastAsia="Times New Roman" w:hAnsi="ITC Avant Garde"/>
                <w:color w:val="000000"/>
                <w:sz w:val="18"/>
                <w:lang w:eastAsia="es-MX"/>
              </w:rPr>
            </w:pPr>
          </w:p>
        </w:tc>
      </w:tr>
      <w:tr w:rsidR="00F3483C" w:rsidRPr="005D0B9B" w14:paraId="50C08CE1" w14:textId="77777777" w:rsidTr="00B12B82">
        <w:trPr>
          <w:trHeight w:val="678"/>
        </w:trPr>
        <w:tc>
          <w:tcPr>
            <w:tcW w:w="5000" w:type="pct"/>
            <w:shd w:val="clear" w:color="auto" w:fill="C5E0B3"/>
            <w:vAlign w:val="center"/>
          </w:tcPr>
          <w:p w14:paraId="47C2B3EE" w14:textId="77777777" w:rsidR="0011625E" w:rsidRPr="00265FCC" w:rsidRDefault="0011625E" w:rsidP="0011625E">
            <w:pPr>
              <w:spacing w:after="0" w:line="240" w:lineRule="auto"/>
              <w:ind w:left="567"/>
              <w:jc w:val="both"/>
              <w:rPr>
                <w:rFonts w:ascii="ITC Avant Garde" w:eastAsia="Times New Roman" w:hAnsi="ITC Avant Garde"/>
                <w:color w:val="000000"/>
                <w:sz w:val="18"/>
                <w:lang w:eastAsia="es-MX"/>
              </w:rPr>
            </w:pPr>
          </w:p>
          <w:p w14:paraId="137D80BD" w14:textId="77777777" w:rsidR="00D838EA" w:rsidRPr="00E75F11" w:rsidRDefault="004910FA" w:rsidP="00E75F11">
            <w:pPr>
              <w:numPr>
                <w:ilvl w:val="0"/>
                <w:numId w:val="16"/>
              </w:numPr>
              <w:spacing w:after="0" w:line="240" w:lineRule="auto"/>
              <w:ind w:left="709" w:right="421" w:hanging="283"/>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L</w:t>
            </w:r>
            <w:r w:rsidR="00C647B4">
              <w:rPr>
                <w:rFonts w:ascii="ITC Avant Garde" w:eastAsia="Times New Roman" w:hAnsi="ITC Avant Garde"/>
                <w:color w:val="000000"/>
                <w:sz w:val="18"/>
                <w:lang w:eastAsia="es-MX"/>
              </w:rPr>
              <w:t xml:space="preserve">as condiciones de operación que eviten interferencias </w:t>
            </w:r>
            <w:r w:rsidR="003F1B42">
              <w:rPr>
                <w:rFonts w:ascii="ITC Avant Garde" w:eastAsia="Times New Roman" w:hAnsi="ITC Avant Garde"/>
                <w:color w:val="000000"/>
                <w:sz w:val="18"/>
                <w:lang w:eastAsia="es-MX"/>
              </w:rPr>
              <w:t>perjudiciales</w:t>
            </w:r>
            <w:r w:rsidR="00C647B4">
              <w:rPr>
                <w:rFonts w:ascii="ITC Avant Garde" w:eastAsia="Times New Roman" w:hAnsi="ITC Avant Garde"/>
                <w:color w:val="000000"/>
                <w:sz w:val="18"/>
                <w:lang w:eastAsia="es-MX"/>
              </w:rPr>
              <w:t xml:space="preserve"> con los servicios móviles </w:t>
            </w:r>
            <w:r w:rsidR="00D838EA">
              <w:rPr>
                <w:rFonts w:ascii="ITC Avant Garde" w:eastAsia="Times New Roman" w:hAnsi="ITC Avant Garde"/>
                <w:color w:val="000000"/>
                <w:sz w:val="18"/>
                <w:lang w:eastAsia="es-MX"/>
              </w:rPr>
              <w:t xml:space="preserve">u otros servicios </w:t>
            </w:r>
            <w:r w:rsidR="00C647B4">
              <w:rPr>
                <w:rFonts w:ascii="ITC Avant Garde" w:eastAsia="Times New Roman" w:hAnsi="ITC Avant Garde"/>
                <w:color w:val="000000"/>
                <w:sz w:val="18"/>
                <w:lang w:eastAsia="es-MX"/>
              </w:rPr>
              <w:t xml:space="preserve">que se prestan en bandas adyacentes a la banda 2000-2020/2180-2200 MHz, </w:t>
            </w:r>
            <w:r w:rsidR="00C647B4" w:rsidRPr="00C647B4">
              <w:rPr>
                <w:rFonts w:ascii="ITC Avant Garde" w:hAnsi="ITC Avant Garde"/>
                <w:bCs/>
                <w:color w:val="000000"/>
                <w:sz w:val="18"/>
                <w:lang w:eastAsia="es-MX"/>
              </w:rPr>
              <w:t xml:space="preserve"> contenidos e</w:t>
            </w:r>
            <w:r w:rsidR="00C647B4">
              <w:rPr>
                <w:rFonts w:ascii="ITC Avant Garde" w:hAnsi="ITC Avant Garde"/>
                <w:bCs/>
                <w:color w:val="000000"/>
                <w:sz w:val="18"/>
                <w:lang w:eastAsia="es-MX"/>
              </w:rPr>
              <w:t>n el numeral 4.4</w:t>
            </w:r>
            <w:r w:rsidR="00C647B4" w:rsidRPr="00C647B4">
              <w:rPr>
                <w:rFonts w:ascii="ITC Avant Garde" w:hAnsi="ITC Avant Garde"/>
                <w:bCs/>
                <w:color w:val="000000"/>
                <w:sz w:val="18"/>
                <w:lang w:eastAsia="es-MX"/>
              </w:rPr>
              <w:t xml:space="preserve"> del proyecto de </w:t>
            </w:r>
            <w:r w:rsidR="00160550">
              <w:rPr>
                <w:rFonts w:ascii="ITC Avant Garde" w:hAnsi="ITC Avant Garde"/>
                <w:bCs/>
                <w:color w:val="000000"/>
                <w:sz w:val="18"/>
                <w:lang w:eastAsia="es-MX"/>
              </w:rPr>
              <w:t>Numeral</w:t>
            </w:r>
            <w:r w:rsidR="00C647B4" w:rsidRPr="00C647B4">
              <w:rPr>
                <w:rFonts w:ascii="ITC Avant Garde" w:hAnsi="ITC Avant Garde"/>
                <w:bCs/>
                <w:color w:val="000000"/>
                <w:sz w:val="18"/>
                <w:lang w:eastAsia="es-MX"/>
              </w:rPr>
              <w:t>.</w:t>
            </w:r>
          </w:p>
        </w:tc>
      </w:tr>
      <w:tr w:rsidR="004729CC" w:rsidRPr="005D0B9B" w14:paraId="1BB19501" w14:textId="77777777" w:rsidTr="004D55DC">
        <w:trPr>
          <w:trHeight w:val="903"/>
        </w:trPr>
        <w:tc>
          <w:tcPr>
            <w:tcW w:w="5000" w:type="pct"/>
            <w:shd w:val="clear" w:color="auto" w:fill="auto"/>
            <w:vAlign w:val="center"/>
          </w:tcPr>
          <w:p w14:paraId="05E972C0" w14:textId="77777777" w:rsidR="004729CC" w:rsidRPr="005D0B9B" w:rsidRDefault="004729CC" w:rsidP="004729CC">
            <w:pPr>
              <w:spacing w:after="0" w:line="240" w:lineRule="auto"/>
              <w:rPr>
                <w:rFonts w:ascii="ITC Avant Garde" w:eastAsia="Times New Roman" w:hAnsi="ITC Avant Garde"/>
                <w:color w:val="000000"/>
                <w:sz w:val="18"/>
                <w:lang w:eastAsia="es-MX"/>
              </w:rPr>
            </w:pPr>
          </w:p>
          <w:p w14:paraId="67E3EF83" w14:textId="77777777" w:rsidR="00A52646" w:rsidRDefault="00A52646" w:rsidP="00E06BAC">
            <w:pPr>
              <w:spacing w:after="0" w:line="240" w:lineRule="auto"/>
              <w:jc w:val="both"/>
              <w:rPr>
                <w:rFonts w:ascii="ITC Avant Garde" w:eastAsia="Times New Roman" w:hAnsi="ITC Avant Garde"/>
                <w:color w:val="000000"/>
                <w:sz w:val="18"/>
                <w:lang w:val="es-CO" w:eastAsia="es-MX"/>
              </w:rPr>
            </w:pPr>
            <w:r w:rsidRPr="00A52646">
              <w:rPr>
                <w:rFonts w:ascii="ITC Avant Garde" w:eastAsia="Times New Roman" w:hAnsi="ITC Avant Garde"/>
                <w:color w:val="000000"/>
                <w:sz w:val="18"/>
                <w:lang w:val="es-CO" w:eastAsia="es-MX"/>
              </w:rPr>
              <w:t xml:space="preserve">Con respecto a la convivencia entre las operaciones del Componente Complementario Terrestre del Servicio Móvil por Satélite y las operaciones de los sistemas en las bandas adyacentes, Omnispace considera que se trata de dos casos muy distintos dependiendo del escenario y rango analizado, según se analiza en las siguientes secciones. </w:t>
            </w:r>
          </w:p>
          <w:p w14:paraId="2E686489" w14:textId="77777777" w:rsidR="00A52646" w:rsidRPr="00A52646" w:rsidRDefault="00A52646" w:rsidP="00E06BAC">
            <w:pPr>
              <w:spacing w:after="0" w:line="240" w:lineRule="auto"/>
              <w:ind w:left="709"/>
              <w:jc w:val="both"/>
              <w:rPr>
                <w:rFonts w:ascii="ITC Avant Garde" w:eastAsia="Times New Roman" w:hAnsi="ITC Avant Garde"/>
                <w:color w:val="000000"/>
                <w:sz w:val="18"/>
                <w:lang w:val="es-CO" w:eastAsia="es-MX"/>
              </w:rPr>
            </w:pPr>
          </w:p>
          <w:p w14:paraId="75E59D7B" w14:textId="77777777" w:rsidR="00A52646" w:rsidRPr="00A52646" w:rsidRDefault="00A52646" w:rsidP="00E06BAC">
            <w:pPr>
              <w:numPr>
                <w:ilvl w:val="0"/>
                <w:numId w:val="35"/>
              </w:numPr>
              <w:spacing w:after="0" w:line="240" w:lineRule="auto"/>
              <w:jc w:val="both"/>
              <w:rPr>
                <w:rFonts w:ascii="ITC Avant Garde" w:eastAsia="Times New Roman" w:hAnsi="ITC Avant Garde"/>
                <w:b/>
                <w:i/>
                <w:color w:val="000000"/>
                <w:sz w:val="18"/>
                <w:lang w:val="es-CO" w:eastAsia="es-MX"/>
              </w:rPr>
            </w:pPr>
            <w:r w:rsidRPr="00A52646">
              <w:rPr>
                <w:rFonts w:ascii="ITC Avant Garde" w:eastAsia="Times New Roman" w:hAnsi="ITC Avant Garde"/>
                <w:b/>
                <w:i/>
                <w:color w:val="000000"/>
                <w:sz w:val="18"/>
                <w:lang w:val="es-CO" w:eastAsia="es-MX"/>
              </w:rPr>
              <w:t>Convivencia con usuarios de bandas adyacentes en el rango 2000-2020 MHz</w:t>
            </w:r>
          </w:p>
          <w:p w14:paraId="04D75CFE" w14:textId="77777777" w:rsidR="00A52646" w:rsidRDefault="00A52646" w:rsidP="00E06BAC">
            <w:pPr>
              <w:spacing w:after="0" w:line="240" w:lineRule="auto"/>
              <w:ind w:left="709"/>
              <w:jc w:val="both"/>
              <w:rPr>
                <w:rFonts w:ascii="ITC Avant Garde" w:eastAsia="Times New Roman" w:hAnsi="ITC Avant Garde"/>
                <w:color w:val="000000"/>
                <w:sz w:val="18"/>
                <w:lang w:val="es-CO" w:eastAsia="es-MX"/>
              </w:rPr>
            </w:pPr>
          </w:p>
          <w:p w14:paraId="55171F90" w14:textId="77777777" w:rsidR="00A52646" w:rsidRPr="00A52646" w:rsidRDefault="00A52646" w:rsidP="00E06BAC">
            <w:pPr>
              <w:spacing w:after="0" w:line="240" w:lineRule="auto"/>
              <w:ind w:left="709"/>
              <w:jc w:val="both"/>
              <w:rPr>
                <w:rFonts w:ascii="ITC Avant Garde" w:eastAsia="Times New Roman" w:hAnsi="ITC Avant Garde"/>
                <w:color w:val="000000"/>
                <w:sz w:val="18"/>
                <w:lang w:val="es-CO" w:eastAsia="es-MX"/>
              </w:rPr>
            </w:pPr>
            <w:r w:rsidRPr="00A52646">
              <w:rPr>
                <w:rFonts w:ascii="ITC Avant Garde" w:eastAsia="Times New Roman" w:hAnsi="ITC Avant Garde"/>
                <w:color w:val="000000"/>
                <w:sz w:val="18"/>
                <w:lang w:val="es-CO" w:eastAsia="es-MX"/>
              </w:rPr>
              <w:t>El caso que más dificultades podría presentar se da en el rango de 2000-2020 MHz, ya que hay que tener en cuenta que la banda de 1900 MHz (conocida como la banda PCS) que es usada actualmente para las transmisiones entre la estación base y la terminal del usuario (</w:t>
            </w:r>
            <w:r w:rsidRPr="00A52646">
              <w:rPr>
                <w:rFonts w:ascii="ITC Avant Garde" w:eastAsia="Times New Roman" w:hAnsi="ITC Avant Garde"/>
                <w:i/>
                <w:color w:val="000000"/>
                <w:sz w:val="18"/>
                <w:lang w:val="es-CO" w:eastAsia="es-MX"/>
              </w:rPr>
              <w:t>downlink</w:t>
            </w:r>
            <w:r w:rsidRPr="00A52646">
              <w:rPr>
                <w:rFonts w:ascii="ITC Avant Garde" w:eastAsia="Times New Roman" w:hAnsi="ITC Avant Garde"/>
                <w:color w:val="000000"/>
                <w:sz w:val="18"/>
                <w:lang w:val="es-CO" w:eastAsia="es-MX"/>
              </w:rPr>
              <w:t xml:space="preserve">), mientras que el rango de 2000-2020 MHz es usado para las transmisiones entre la terminal de usuario y la estación base/satélite </w:t>
            </w:r>
            <w:r w:rsidRPr="00A52646">
              <w:rPr>
                <w:rFonts w:ascii="ITC Avant Garde" w:eastAsia="Times New Roman" w:hAnsi="ITC Avant Garde"/>
                <w:i/>
                <w:color w:val="000000"/>
                <w:sz w:val="18"/>
                <w:lang w:val="es-CO" w:eastAsia="es-MX"/>
              </w:rPr>
              <w:t>(upink)</w:t>
            </w:r>
            <w:r w:rsidRPr="00A52646">
              <w:rPr>
                <w:rFonts w:ascii="ITC Avant Garde" w:eastAsia="Times New Roman" w:hAnsi="ITC Avant Garde"/>
                <w:color w:val="000000"/>
                <w:sz w:val="18"/>
                <w:lang w:val="es-CO" w:eastAsia="es-MX"/>
              </w:rPr>
              <w:t xml:space="preserve"> del Servicio Móvil por Satélite y el Componente Complementario Terrestre del Servicio Móvil por Satélite. </w:t>
            </w:r>
          </w:p>
          <w:p w14:paraId="7322C65A" w14:textId="77777777" w:rsidR="00A70899" w:rsidRDefault="00A70899" w:rsidP="00E06BAC">
            <w:pPr>
              <w:spacing w:after="0" w:line="240" w:lineRule="auto"/>
              <w:ind w:left="709"/>
              <w:jc w:val="both"/>
              <w:rPr>
                <w:rFonts w:ascii="ITC Avant Garde" w:eastAsia="Times New Roman" w:hAnsi="ITC Avant Garde"/>
                <w:color w:val="000000"/>
                <w:sz w:val="18"/>
                <w:lang w:val="es-CO" w:eastAsia="es-MX"/>
              </w:rPr>
            </w:pPr>
          </w:p>
          <w:p w14:paraId="1820723E" w14:textId="655ED5D2" w:rsidR="00A52646" w:rsidRPr="00A52646" w:rsidRDefault="00A52646" w:rsidP="00E06BAC">
            <w:pPr>
              <w:spacing w:after="0" w:line="240" w:lineRule="auto"/>
              <w:ind w:left="709"/>
              <w:jc w:val="both"/>
              <w:rPr>
                <w:rFonts w:ascii="ITC Avant Garde" w:eastAsia="Times New Roman" w:hAnsi="ITC Avant Garde"/>
                <w:color w:val="000000"/>
                <w:sz w:val="18"/>
                <w:lang w:val="es-CO" w:eastAsia="es-MX"/>
              </w:rPr>
            </w:pPr>
            <w:r w:rsidRPr="00A52646">
              <w:rPr>
                <w:rFonts w:ascii="ITC Avant Garde" w:eastAsia="Times New Roman" w:hAnsi="ITC Avant Garde"/>
                <w:color w:val="000000"/>
                <w:sz w:val="18"/>
                <w:lang w:val="es-CO" w:eastAsia="es-MX"/>
              </w:rPr>
              <w:lastRenderedPageBreak/>
              <w:t xml:space="preserve">Si bien hay una separación de 10 MHz entre la banda de 1900 MHz asignada y la banda de 2 GHz objeto de la licitación, es muy importante que las emisiones fuera de banda se mantengan en los niveles descritos en los estándares técnicos y las recomendaciones internacionales como por ejemplo el 3GPP (3GPP TS 25.106 </w:t>
            </w:r>
            <w:r w:rsidR="00952E94" w:rsidRPr="00A52646">
              <w:rPr>
                <w:rFonts w:ascii="ITC Avant Garde" w:eastAsia="Times New Roman" w:hAnsi="ITC Avant Garde"/>
                <w:color w:val="000000"/>
                <w:sz w:val="18"/>
                <w:lang w:val="es-CO" w:eastAsia="es-MX"/>
              </w:rPr>
              <w:t>versión</w:t>
            </w:r>
            <w:r w:rsidRPr="00A52646">
              <w:rPr>
                <w:rFonts w:ascii="ITC Avant Garde" w:eastAsia="Times New Roman" w:hAnsi="ITC Avant Garde"/>
                <w:color w:val="000000"/>
                <w:sz w:val="18"/>
                <w:lang w:val="es-CO" w:eastAsia="es-MX"/>
              </w:rPr>
              <w:t xml:space="preserve"> 12.1.0 Release 12), la ETSI (ETSI TS 125 106 V12.1.0)</w:t>
            </w:r>
            <w:r w:rsidRPr="00A52646">
              <w:rPr>
                <w:rFonts w:ascii="ITC Avant Garde" w:eastAsia="Times New Roman" w:hAnsi="ITC Avant Garde"/>
                <w:color w:val="000000"/>
                <w:sz w:val="18"/>
                <w:vertAlign w:val="superscript"/>
                <w:lang w:val="es-CO" w:eastAsia="es-MX"/>
              </w:rPr>
              <w:footnoteReference w:id="3"/>
            </w:r>
            <w:r w:rsidRPr="00A52646">
              <w:rPr>
                <w:rFonts w:ascii="ITC Avant Garde" w:eastAsia="Times New Roman" w:hAnsi="ITC Avant Garde"/>
                <w:color w:val="000000"/>
                <w:sz w:val="18"/>
                <w:lang w:val="es-CO" w:eastAsia="es-MX"/>
              </w:rPr>
              <w:t xml:space="preserve"> y la ECC (</w:t>
            </w:r>
            <w:r w:rsidRPr="00A52646">
              <w:rPr>
                <w:rFonts w:ascii="ITC Avant Garde" w:eastAsia="Times New Roman" w:hAnsi="ITC Avant Garde"/>
                <w:color w:val="000000"/>
                <w:sz w:val="18"/>
                <w:lang w:eastAsia="es-MX"/>
              </w:rPr>
              <w:t>Doc. SE21 (14)09</w:t>
            </w:r>
            <w:r w:rsidRPr="00A52646">
              <w:rPr>
                <w:rFonts w:ascii="ITC Avant Garde" w:eastAsia="Times New Roman" w:hAnsi="ITC Avant Garde"/>
                <w:color w:val="000000"/>
                <w:sz w:val="18"/>
                <w:lang w:val="es-CO" w:eastAsia="es-MX"/>
              </w:rPr>
              <w:t>), así como la recomendación ITU-R M.1580</w:t>
            </w:r>
            <w:r w:rsidRPr="00A52646">
              <w:rPr>
                <w:rFonts w:ascii="ITC Avant Garde" w:eastAsia="Times New Roman" w:hAnsi="ITC Avant Garde"/>
                <w:color w:val="000000"/>
                <w:sz w:val="18"/>
                <w:vertAlign w:val="superscript"/>
                <w:lang w:val="es-CO" w:eastAsia="es-MX"/>
              </w:rPr>
              <w:footnoteReference w:id="4"/>
            </w:r>
            <w:r w:rsidRPr="00A52646">
              <w:rPr>
                <w:rFonts w:ascii="ITC Avant Garde" w:eastAsia="Times New Roman" w:hAnsi="ITC Avant Garde"/>
                <w:color w:val="000000"/>
                <w:sz w:val="18"/>
                <w:lang w:val="es-CO" w:eastAsia="es-MX"/>
              </w:rPr>
              <w:t xml:space="preserve">. </w:t>
            </w:r>
            <w:r w:rsidR="00A737FC" w:rsidRPr="00134AA8">
              <w:rPr>
                <w:rFonts w:ascii="ITC Avant Garde" w:eastAsia="Times New Roman" w:hAnsi="ITC Avant Garde"/>
                <w:color w:val="000000"/>
                <w:sz w:val="18"/>
                <w:lang w:val="es-CO" w:eastAsia="es-MX"/>
              </w:rPr>
              <w:t xml:space="preserve">Para garantizar el correcto funcionamiento del componente </w:t>
            </w:r>
            <w:r w:rsidR="00A737FC">
              <w:rPr>
                <w:rFonts w:ascii="ITC Avant Garde" w:eastAsia="Times New Roman" w:hAnsi="ITC Avant Garde"/>
                <w:color w:val="000000"/>
                <w:sz w:val="18"/>
                <w:lang w:val="es-CO" w:eastAsia="es-MX"/>
              </w:rPr>
              <w:t xml:space="preserve">SMS </w:t>
            </w:r>
            <w:r w:rsidR="00A737FC" w:rsidRPr="00134AA8">
              <w:rPr>
                <w:rFonts w:ascii="ITC Avant Garde" w:eastAsia="Times New Roman" w:hAnsi="ITC Avant Garde"/>
                <w:color w:val="000000"/>
                <w:sz w:val="18"/>
                <w:lang w:val="es-CO" w:eastAsia="es-MX"/>
              </w:rPr>
              <w:t>y el Componente Complementario del Servicio Móvil, las emisiones acumuladas fuera de banda de los servicios terrenales en la banda adyacente (1990-2000</w:t>
            </w:r>
            <w:r w:rsidR="00A737FC">
              <w:rPr>
                <w:rFonts w:ascii="ITC Avant Garde" w:eastAsia="Times New Roman" w:hAnsi="ITC Avant Garde"/>
                <w:color w:val="000000"/>
                <w:sz w:val="18"/>
                <w:lang w:val="es-CO" w:eastAsia="es-MX"/>
              </w:rPr>
              <w:t xml:space="preserve"> </w:t>
            </w:r>
            <w:r w:rsidR="00A737FC" w:rsidRPr="00134AA8">
              <w:rPr>
                <w:rFonts w:ascii="ITC Avant Garde" w:eastAsia="Times New Roman" w:hAnsi="ITC Avant Garde"/>
                <w:color w:val="000000"/>
                <w:sz w:val="18"/>
                <w:lang w:val="es-CO" w:eastAsia="es-MX"/>
              </w:rPr>
              <w:t>MHz) deben mantenerse como máximo en -106</w:t>
            </w:r>
            <w:r w:rsidR="00B11FF5">
              <w:rPr>
                <w:rFonts w:ascii="ITC Avant Garde" w:eastAsia="Times New Roman" w:hAnsi="ITC Avant Garde"/>
                <w:color w:val="000000"/>
                <w:sz w:val="18"/>
                <w:lang w:val="es-CO" w:eastAsia="es-MX"/>
              </w:rPr>
              <w:t xml:space="preserve"> </w:t>
            </w:r>
            <w:r w:rsidR="00A737FC" w:rsidRPr="00134AA8">
              <w:rPr>
                <w:rFonts w:ascii="ITC Avant Garde" w:eastAsia="Times New Roman" w:hAnsi="ITC Avant Garde"/>
                <w:color w:val="000000"/>
                <w:sz w:val="18"/>
                <w:lang w:val="es-CO" w:eastAsia="es-MX"/>
              </w:rPr>
              <w:t>dBm/MHz en el borde de la banda de 2000</w:t>
            </w:r>
            <w:r w:rsidR="00A737FC">
              <w:rPr>
                <w:rFonts w:ascii="ITC Avant Garde" w:eastAsia="Times New Roman" w:hAnsi="ITC Avant Garde"/>
                <w:color w:val="000000"/>
                <w:sz w:val="18"/>
                <w:lang w:val="es-CO" w:eastAsia="es-MX"/>
              </w:rPr>
              <w:t xml:space="preserve"> </w:t>
            </w:r>
            <w:r w:rsidR="00A737FC" w:rsidRPr="00134AA8">
              <w:rPr>
                <w:rFonts w:ascii="ITC Avant Garde" w:eastAsia="Times New Roman" w:hAnsi="ITC Avant Garde"/>
                <w:color w:val="000000"/>
                <w:sz w:val="18"/>
                <w:lang w:val="es-CO" w:eastAsia="es-MX"/>
              </w:rPr>
              <w:t>MHz.</w:t>
            </w:r>
          </w:p>
          <w:p w14:paraId="2FCB7EA1" w14:textId="77777777" w:rsidR="00A70899" w:rsidRDefault="00A70899" w:rsidP="00E06BAC">
            <w:pPr>
              <w:spacing w:after="0" w:line="240" w:lineRule="auto"/>
              <w:ind w:left="709"/>
              <w:jc w:val="both"/>
              <w:rPr>
                <w:rFonts w:ascii="ITC Avant Garde" w:eastAsia="Times New Roman" w:hAnsi="ITC Avant Garde"/>
                <w:color w:val="000000"/>
                <w:sz w:val="18"/>
                <w:lang w:val="es-CO" w:eastAsia="es-MX"/>
              </w:rPr>
            </w:pPr>
          </w:p>
          <w:p w14:paraId="2CC5B29E" w14:textId="77777777" w:rsidR="00A52646" w:rsidRDefault="00A52646" w:rsidP="00E06BAC">
            <w:pPr>
              <w:spacing w:after="0" w:line="240" w:lineRule="auto"/>
              <w:ind w:left="709"/>
              <w:jc w:val="both"/>
              <w:rPr>
                <w:rFonts w:ascii="ITC Avant Garde" w:eastAsia="Times New Roman" w:hAnsi="ITC Avant Garde"/>
                <w:color w:val="000000"/>
                <w:sz w:val="18"/>
                <w:lang w:val="es-CO" w:eastAsia="es-MX"/>
              </w:rPr>
            </w:pPr>
            <w:r w:rsidRPr="00A52646">
              <w:rPr>
                <w:rFonts w:ascii="ITC Avant Garde" w:eastAsia="Times New Roman" w:hAnsi="ITC Avant Garde"/>
                <w:color w:val="000000"/>
                <w:sz w:val="18"/>
                <w:lang w:val="es-CO" w:eastAsia="es-MX"/>
              </w:rPr>
              <w:t xml:space="preserve">Si bien es cierto que el concesionario del Componente Complementario Terrestre del Servicio Móvil por Satélite deberá colaborar permanentemente con garantizar el adecuado funcionamiento de las redes de IMT adyacentes y que las capacidades y la flexibilidad del sistema de Omnispace podrían dinámicamente hacer frente a algunas restricciones debido a dichas emisiones fuera de banda, es importante que el(los) concesionarios de la parte alta de la banda de 1900 MHz tengan controladas sus emisiones fuera de banda para lograr el piso de ruido indicado anteriormente y así el adecuado funcionamiento tanto del Servicio Móvil por Satélite como del Componente Complementario Terrestre del Servicio Móvil por Satélite. </w:t>
            </w:r>
          </w:p>
          <w:p w14:paraId="37621FDB" w14:textId="77777777" w:rsidR="00A70899" w:rsidRPr="00A52646" w:rsidRDefault="00A70899" w:rsidP="00E06BAC">
            <w:pPr>
              <w:spacing w:after="0" w:line="240" w:lineRule="auto"/>
              <w:ind w:left="709"/>
              <w:jc w:val="both"/>
              <w:rPr>
                <w:rFonts w:ascii="ITC Avant Garde" w:eastAsia="Times New Roman" w:hAnsi="ITC Avant Garde"/>
                <w:color w:val="000000"/>
                <w:sz w:val="18"/>
                <w:lang w:val="es-CO" w:eastAsia="es-MX"/>
              </w:rPr>
            </w:pPr>
          </w:p>
          <w:p w14:paraId="4A6CE0D6" w14:textId="77777777" w:rsidR="00A52646" w:rsidRPr="00A52646" w:rsidRDefault="00A52646" w:rsidP="00E06BAC">
            <w:pPr>
              <w:numPr>
                <w:ilvl w:val="0"/>
                <w:numId w:val="35"/>
              </w:numPr>
              <w:spacing w:after="0" w:line="240" w:lineRule="auto"/>
              <w:jc w:val="both"/>
              <w:rPr>
                <w:rFonts w:ascii="ITC Avant Garde" w:eastAsia="Times New Roman" w:hAnsi="ITC Avant Garde"/>
                <w:b/>
                <w:i/>
                <w:color w:val="000000"/>
                <w:sz w:val="18"/>
                <w:lang w:val="es-CO" w:eastAsia="es-MX"/>
              </w:rPr>
            </w:pPr>
            <w:r w:rsidRPr="00A52646">
              <w:rPr>
                <w:rFonts w:ascii="ITC Avant Garde" w:eastAsia="Times New Roman" w:hAnsi="ITC Avant Garde"/>
                <w:b/>
                <w:i/>
                <w:color w:val="000000"/>
                <w:sz w:val="18"/>
                <w:lang w:val="es-CO" w:eastAsia="es-MX"/>
              </w:rPr>
              <w:t>Convivencia con usuarios de bandas adyacentes en el rango 2180-2200 MHz</w:t>
            </w:r>
          </w:p>
          <w:p w14:paraId="4DFA4822" w14:textId="77777777" w:rsidR="00A70899" w:rsidRDefault="00A70899" w:rsidP="00E06BAC">
            <w:pPr>
              <w:spacing w:after="0" w:line="240" w:lineRule="auto"/>
              <w:ind w:left="709"/>
              <w:jc w:val="both"/>
              <w:rPr>
                <w:rFonts w:ascii="ITC Avant Garde" w:eastAsia="Times New Roman" w:hAnsi="ITC Avant Garde"/>
                <w:color w:val="000000"/>
                <w:sz w:val="18"/>
                <w:lang w:val="es-CO" w:eastAsia="es-MX"/>
              </w:rPr>
            </w:pPr>
          </w:p>
          <w:p w14:paraId="15AE2AC1" w14:textId="77777777" w:rsidR="00A52646" w:rsidRDefault="00A52646" w:rsidP="00E06BAC">
            <w:pPr>
              <w:spacing w:after="0" w:line="240" w:lineRule="auto"/>
              <w:ind w:left="709"/>
              <w:jc w:val="both"/>
              <w:rPr>
                <w:rFonts w:ascii="ITC Avant Garde" w:eastAsia="Times New Roman" w:hAnsi="ITC Avant Garde"/>
                <w:color w:val="000000"/>
                <w:sz w:val="18"/>
                <w:lang w:val="es-CO" w:eastAsia="es-MX"/>
              </w:rPr>
            </w:pPr>
            <w:r w:rsidRPr="00A52646">
              <w:rPr>
                <w:rFonts w:ascii="ITC Avant Garde" w:eastAsia="Times New Roman" w:hAnsi="ITC Avant Garde"/>
                <w:color w:val="000000"/>
                <w:sz w:val="18"/>
                <w:lang w:val="es-CO" w:eastAsia="es-MX"/>
              </w:rPr>
              <w:t>En el caso del rango de 2180-2200 MHz, es más fácil la coexistencia con usuarios de bandas adyacentes, teniendo en cuenta que en este caso tanto las emisiones de las IMT provenientes de la banda adyacente (AWS-3) como las emisiones del Servicio Móvil por Satélite y del Componente Complementario Terrestre del Servicio Móvil por Satélite</w:t>
            </w:r>
            <w:r w:rsidRPr="00A52646" w:rsidDel="007E4352">
              <w:rPr>
                <w:rFonts w:ascii="ITC Avant Garde" w:eastAsia="Times New Roman" w:hAnsi="ITC Avant Garde"/>
                <w:color w:val="000000"/>
                <w:sz w:val="18"/>
                <w:lang w:val="es-CO" w:eastAsia="es-MX"/>
              </w:rPr>
              <w:t xml:space="preserve"> </w:t>
            </w:r>
            <w:r w:rsidRPr="00A52646">
              <w:rPr>
                <w:rFonts w:ascii="ITC Avant Garde" w:eastAsia="Times New Roman" w:hAnsi="ITC Avant Garde"/>
                <w:color w:val="000000"/>
                <w:sz w:val="18"/>
                <w:lang w:val="es-CO" w:eastAsia="es-MX"/>
              </w:rPr>
              <w:t xml:space="preserve"> se dan entre la estación base y la terminal del usuario (</w:t>
            </w:r>
            <w:r w:rsidRPr="00A52646">
              <w:rPr>
                <w:rFonts w:ascii="ITC Avant Garde" w:eastAsia="Times New Roman" w:hAnsi="ITC Avant Garde"/>
                <w:i/>
                <w:color w:val="000000"/>
                <w:sz w:val="18"/>
                <w:lang w:val="es-CO" w:eastAsia="es-MX"/>
              </w:rPr>
              <w:t>downlink</w:t>
            </w:r>
            <w:r w:rsidRPr="00A52646">
              <w:rPr>
                <w:rFonts w:ascii="ITC Avant Garde" w:eastAsia="Times New Roman" w:hAnsi="ITC Avant Garde"/>
                <w:color w:val="000000"/>
                <w:sz w:val="18"/>
                <w:lang w:val="es-CO" w:eastAsia="es-MX"/>
              </w:rPr>
              <w:t xml:space="preserve">). En este caso también se requiere que las emisiones fuera de banda de los usuarios de ambos rangos se mantengan en los niveles descritos en los estándares señalados anteriormente. Es posible que en algunos casos puntuales se requiera de adecuada coordinación, en la que la colaboración de los concesionarios a ambos lados de la banda será esencial para evitar interferencias </w:t>
            </w:r>
            <w:r w:rsidR="00952E94" w:rsidRPr="00A52646">
              <w:rPr>
                <w:rFonts w:ascii="ITC Avant Garde" w:eastAsia="Times New Roman" w:hAnsi="ITC Avant Garde"/>
                <w:color w:val="000000"/>
                <w:sz w:val="18"/>
                <w:lang w:val="es-CO" w:eastAsia="es-MX"/>
              </w:rPr>
              <w:t>perjudiciales</w:t>
            </w:r>
            <w:r w:rsidRPr="00A52646">
              <w:rPr>
                <w:rFonts w:ascii="ITC Avant Garde" w:eastAsia="Times New Roman" w:hAnsi="ITC Avant Garde"/>
                <w:color w:val="000000"/>
                <w:sz w:val="18"/>
                <w:lang w:val="es-CO" w:eastAsia="es-MX"/>
              </w:rPr>
              <w:t xml:space="preserve"> en ambos casos, en beneficio de los usuarios finales. </w:t>
            </w:r>
          </w:p>
          <w:p w14:paraId="55AADEE4" w14:textId="77777777" w:rsidR="00A70899" w:rsidRPr="00A52646" w:rsidRDefault="00A70899" w:rsidP="00E06BAC">
            <w:pPr>
              <w:spacing w:after="0" w:line="240" w:lineRule="auto"/>
              <w:ind w:left="709"/>
              <w:jc w:val="both"/>
              <w:rPr>
                <w:rFonts w:ascii="ITC Avant Garde" w:eastAsia="Times New Roman" w:hAnsi="ITC Avant Garde"/>
                <w:color w:val="000000"/>
                <w:sz w:val="18"/>
                <w:lang w:val="es-CO" w:eastAsia="es-MX"/>
              </w:rPr>
            </w:pPr>
          </w:p>
          <w:p w14:paraId="1735B430" w14:textId="77777777" w:rsidR="00A52646" w:rsidRPr="00A52646" w:rsidRDefault="00A52646" w:rsidP="00E06BAC">
            <w:pPr>
              <w:numPr>
                <w:ilvl w:val="0"/>
                <w:numId w:val="35"/>
              </w:numPr>
              <w:spacing w:after="0" w:line="240" w:lineRule="auto"/>
              <w:jc w:val="both"/>
              <w:rPr>
                <w:rFonts w:ascii="ITC Avant Garde" w:eastAsia="Times New Roman" w:hAnsi="ITC Avant Garde"/>
                <w:b/>
                <w:i/>
                <w:color w:val="000000"/>
                <w:sz w:val="18"/>
                <w:lang w:val="es-CO" w:eastAsia="es-MX"/>
              </w:rPr>
            </w:pPr>
            <w:r w:rsidRPr="00A52646">
              <w:rPr>
                <w:rFonts w:ascii="ITC Avant Garde" w:eastAsia="Times New Roman" w:hAnsi="ITC Avant Garde"/>
                <w:b/>
                <w:i/>
                <w:color w:val="000000"/>
                <w:sz w:val="18"/>
                <w:lang w:val="es-CO" w:eastAsia="es-MX"/>
              </w:rPr>
              <w:t>Convivencia con usuarios dentro de la banda 2 GHz en el territorio mexicano</w:t>
            </w:r>
          </w:p>
          <w:p w14:paraId="024E435F" w14:textId="77777777" w:rsidR="00A70899" w:rsidRDefault="00A70899" w:rsidP="00E06BAC">
            <w:pPr>
              <w:spacing w:after="0" w:line="240" w:lineRule="auto"/>
              <w:ind w:left="709"/>
              <w:jc w:val="both"/>
              <w:rPr>
                <w:rFonts w:ascii="ITC Avant Garde" w:eastAsia="Times New Roman" w:hAnsi="ITC Avant Garde"/>
                <w:color w:val="000000"/>
                <w:sz w:val="18"/>
                <w:lang w:val="es-CO" w:eastAsia="es-MX"/>
              </w:rPr>
            </w:pPr>
          </w:p>
          <w:p w14:paraId="0F7B5441" w14:textId="77777777" w:rsidR="00A52646" w:rsidRPr="00A52646" w:rsidRDefault="00A52646" w:rsidP="00E06BAC">
            <w:pPr>
              <w:spacing w:after="0" w:line="240" w:lineRule="auto"/>
              <w:ind w:left="709"/>
              <w:jc w:val="both"/>
              <w:rPr>
                <w:rFonts w:ascii="ITC Avant Garde" w:eastAsia="Times New Roman" w:hAnsi="ITC Avant Garde"/>
                <w:color w:val="000000"/>
                <w:sz w:val="18"/>
                <w:lang w:val="es-CO" w:eastAsia="es-MX"/>
              </w:rPr>
            </w:pPr>
            <w:r w:rsidRPr="00A52646">
              <w:rPr>
                <w:rFonts w:ascii="ITC Avant Garde" w:eastAsia="Times New Roman" w:hAnsi="ITC Avant Garde"/>
                <w:color w:val="000000"/>
                <w:sz w:val="18"/>
                <w:lang w:val="es-CO" w:eastAsia="es-MX"/>
              </w:rPr>
              <w:t xml:space="preserve">En el numeral 4.4 del proyecto de Bases se menciona el caso de la convivencia entre actuales usuarios de la banda de 2 GHz (Servicio Móvil por Satélite) y los eventuales concesionarios del Componente Complementario Terrestre del Servicio Móvil por Satélite materia de la presente licitación. </w:t>
            </w:r>
          </w:p>
          <w:p w14:paraId="095BF2B3" w14:textId="77777777" w:rsidR="00A70899" w:rsidRDefault="00A70899" w:rsidP="00E06BAC">
            <w:pPr>
              <w:spacing w:after="0" w:line="240" w:lineRule="auto"/>
              <w:ind w:left="709"/>
              <w:jc w:val="both"/>
              <w:rPr>
                <w:rFonts w:ascii="ITC Avant Garde" w:eastAsia="Times New Roman" w:hAnsi="ITC Avant Garde"/>
                <w:color w:val="000000"/>
                <w:sz w:val="18"/>
                <w:lang w:val="es-CO" w:eastAsia="es-MX"/>
              </w:rPr>
            </w:pPr>
          </w:p>
          <w:p w14:paraId="277A602C" w14:textId="77777777" w:rsidR="00A52646" w:rsidRPr="00A52646" w:rsidRDefault="00A52646" w:rsidP="00E06BAC">
            <w:pPr>
              <w:spacing w:after="0" w:line="240" w:lineRule="auto"/>
              <w:ind w:left="709"/>
              <w:jc w:val="both"/>
              <w:rPr>
                <w:rFonts w:ascii="ITC Avant Garde" w:eastAsia="Times New Roman" w:hAnsi="ITC Avant Garde"/>
                <w:color w:val="000000"/>
                <w:sz w:val="18"/>
                <w:lang w:val="es-CO" w:eastAsia="es-MX"/>
              </w:rPr>
            </w:pPr>
            <w:r w:rsidRPr="00A52646">
              <w:rPr>
                <w:rFonts w:ascii="ITC Avant Garde" w:eastAsia="Times New Roman" w:hAnsi="ITC Avant Garde"/>
                <w:color w:val="000000"/>
                <w:sz w:val="18"/>
                <w:lang w:val="es-CO" w:eastAsia="es-MX"/>
              </w:rPr>
              <w:t>Si bien Omnispace está consciente que, en su caso, los eventuales concesionarios del Servicio Móvil por Satélite como del Componente Complementario Terrestre del Servicio Móvil por Satélite que no tengan el carácter de Autorizados, tendrán que llegar a un acuerdo con los usuarios actuales de la banda de 2 GHz (con un Autorizado), en los términos descritos en el numeral 4.1 del proyecto de Bases, recomendamos que a la hora de revisar los acuerdos entre las partes, así como a la hora de resolver un eventual desacuerdo en caso de que las partes no puedan concretar uno, el Instituto tenga en cuenta los trabajos que viene realizando la UIT con respecto a la convivencia y compatibilidad de los componentes satelitales y te</w:t>
            </w:r>
            <w:r w:rsidR="00A70899">
              <w:rPr>
                <w:rFonts w:ascii="ITC Avant Garde" w:eastAsia="Times New Roman" w:hAnsi="ITC Avant Garde"/>
                <w:color w:val="000000"/>
                <w:sz w:val="18"/>
                <w:lang w:val="es-CO" w:eastAsia="es-MX"/>
              </w:rPr>
              <w:t xml:space="preserve">rrestres en la banda de 2 GHz. </w:t>
            </w:r>
            <w:r w:rsidRPr="00A52646">
              <w:rPr>
                <w:rFonts w:ascii="ITC Avant Garde" w:eastAsia="Times New Roman" w:hAnsi="ITC Avant Garde"/>
                <w:color w:val="000000"/>
                <w:sz w:val="18"/>
                <w:lang w:val="es-CO" w:eastAsia="es-MX"/>
              </w:rPr>
              <w:t>Estos trabajos han venido siendo compilados en un documento de trabajo por los grupos de trabajo 4C y 5D del sector de Radiocomunicaciones de la UIT (UIT-R).</w:t>
            </w:r>
            <w:r w:rsidRPr="00A52646">
              <w:rPr>
                <w:rFonts w:ascii="ITC Avant Garde" w:eastAsia="Times New Roman" w:hAnsi="ITC Avant Garde"/>
                <w:color w:val="000000"/>
                <w:sz w:val="18"/>
                <w:vertAlign w:val="superscript"/>
                <w:lang w:val="es-CO" w:eastAsia="es-MX"/>
              </w:rPr>
              <w:footnoteReference w:id="5"/>
            </w:r>
            <w:r w:rsidRPr="00A52646">
              <w:rPr>
                <w:rFonts w:ascii="ITC Avant Garde" w:eastAsia="Times New Roman" w:hAnsi="ITC Avant Garde"/>
                <w:color w:val="000000"/>
                <w:sz w:val="18"/>
                <w:lang w:val="es-CO" w:eastAsia="es-MX"/>
              </w:rPr>
              <w:t xml:space="preserve">  En este documento se presentan todos los posibles escenarios de interferencia y se estudian los posibles impactos para redes IMT y para redes satelitales de órbita </w:t>
            </w:r>
            <w:r w:rsidRPr="00A52646">
              <w:rPr>
                <w:rFonts w:ascii="ITC Avant Garde" w:eastAsia="Times New Roman" w:hAnsi="ITC Avant Garde"/>
                <w:color w:val="000000"/>
                <w:sz w:val="18"/>
                <w:lang w:val="es-CO" w:eastAsia="es-MX"/>
              </w:rPr>
              <w:lastRenderedPageBreak/>
              <w:t xml:space="preserve">geoestacionaria (GEO), órbita media (MEO) y órbita baja (LEO). Para este caso particular, recomendamos que el Instituto tenga en cuenta los casos de interferencia A1, B1 y B2 que se describen en el documento mencionado. </w:t>
            </w:r>
          </w:p>
          <w:p w14:paraId="1CC832BB" w14:textId="77777777" w:rsidR="00A70899" w:rsidRDefault="00A70899" w:rsidP="00E06BAC">
            <w:pPr>
              <w:spacing w:after="0" w:line="240" w:lineRule="auto"/>
              <w:ind w:left="709"/>
              <w:jc w:val="both"/>
              <w:rPr>
                <w:rFonts w:ascii="ITC Avant Garde" w:eastAsia="Times New Roman" w:hAnsi="ITC Avant Garde"/>
                <w:color w:val="000000"/>
                <w:sz w:val="18"/>
                <w:lang w:val="es-CO" w:eastAsia="es-MX"/>
              </w:rPr>
            </w:pPr>
          </w:p>
          <w:p w14:paraId="474EF2FF" w14:textId="77777777" w:rsidR="00A52646" w:rsidRDefault="00A52646" w:rsidP="00E06BAC">
            <w:pPr>
              <w:spacing w:after="0" w:line="240" w:lineRule="auto"/>
              <w:ind w:left="709"/>
              <w:jc w:val="both"/>
              <w:rPr>
                <w:rFonts w:ascii="ITC Avant Garde" w:eastAsia="Times New Roman" w:hAnsi="ITC Avant Garde"/>
                <w:color w:val="000000"/>
                <w:sz w:val="18"/>
                <w:lang w:val="es-CO" w:eastAsia="es-MX"/>
              </w:rPr>
            </w:pPr>
            <w:r w:rsidRPr="00A52646">
              <w:rPr>
                <w:rFonts w:ascii="ITC Avant Garde" w:eastAsia="Times New Roman" w:hAnsi="ITC Avant Garde"/>
                <w:color w:val="000000"/>
                <w:sz w:val="18"/>
                <w:lang w:val="es-CO" w:eastAsia="es-MX"/>
              </w:rPr>
              <w:t xml:space="preserve">Consideramos también, que las Bases de licitación </w:t>
            </w:r>
            <w:r w:rsidR="0018135F">
              <w:rPr>
                <w:rFonts w:ascii="ITC Avant Garde" w:eastAsia="Times New Roman" w:hAnsi="ITC Avant Garde"/>
                <w:color w:val="000000"/>
                <w:sz w:val="18"/>
                <w:lang w:val="es-CO" w:eastAsia="es-MX"/>
              </w:rPr>
              <w:t xml:space="preserve">y el título de concesión que se otorgue </w:t>
            </w:r>
            <w:r w:rsidRPr="00A52646">
              <w:rPr>
                <w:rFonts w:ascii="ITC Avant Garde" w:eastAsia="Times New Roman" w:hAnsi="ITC Avant Garde"/>
                <w:color w:val="000000"/>
                <w:sz w:val="18"/>
                <w:lang w:val="es-CO" w:eastAsia="es-MX"/>
              </w:rPr>
              <w:t>deben ser más explícit</w:t>
            </w:r>
            <w:r w:rsidR="0018135F">
              <w:rPr>
                <w:rFonts w:ascii="ITC Avant Garde" w:eastAsia="Times New Roman" w:hAnsi="ITC Avant Garde"/>
                <w:color w:val="000000"/>
                <w:sz w:val="18"/>
                <w:lang w:val="es-CO" w:eastAsia="es-MX"/>
              </w:rPr>
              <w:t>o</w:t>
            </w:r>
            <w:r w:rsidRPr="00A52646">
              <w:rPr>
                <w:rFonts w:ascii="ITC Avant Garde" w:eastAsia="Times New Roman" w:hAnsi="ITC Avant Garde"/>
                <w:color w:val="000000"/>
                <w:sz w:val="18"/>
                <w:lang w:val="es-CO" w:eastAsia="es-MX"/>
              </w:rPr>
              <w:t xml:space="preserve">s al definir la necesidad de protección de los sistemas móviles por satélite que actualmente cuentan con una Autorización o Concesión y operan en la banda. Así, se recomienda que se incluya un texto explícito que indique que los eventuales concesionarios del Componente Complementario Terrestre del Servicio Móvil por Satélite deberán proteger y no podrán causar interferencias perjudiciales a los servicios satelitales autorizados en la banda 2 GHz. </w:t>
            </w:r>
          </w:p>
          <w:p w14:paraId="3ACCE9EB" w14:textId="77777777" w:rsidR="00A70899" w:rsidRPr="00A52646" w:rsidRDefault="00A70899" w:rsidP="00E06BAC">
            <w:pPr>
              <w:spacing w:after="0" w:line="240" w:lineRule="auto"/>
              <w:ind w:left="709"/>
              <w:jc w:val="both"/>
              <w:rPr>
                <w:rFonts w:ascii="ITC Avant Garde" w:eastAsia="Times New Roman" w:hAnsi="ITC Avant Garde"/>
                <w:color w:val="000000"/>
                <w:sz w:val="18"/>
                <w:lang w:val="es-CO" w:eastAsia="es-MX"/>
              </w:rPr>
            </w:pPr>
          </w:p>
          <w:p w14:paraId="6236A892" w14:textId="77777777" w:rsidR="00A52646" w:rsidRPr="00A52646" w:rsidRDefault="00A52646" w:rsidP="00E06BAC">
            <w:pPr>
              <w:numPr>
                <w:ilvl w:val="0"/>
                <w:numId w:val="35"/>
              </w:numPr>
              <w:spacing w:after="0" w:line="240" w:lineRule="auto"/>
              <w:jc w:val="both"/>
              <w:rPr>
                <w:rFonts w:ascii="ITC Avant Garde" w:eastAsia="Times New Roman" w:hAnsi="ITC Avant Garde"/>
                <w:b/>
                <w:i/>
                <w:color w:val="000000"/>
                <w:sz w:val="18"/>
                <w:lang w:val="es-CO" w:eastAsia="es-MX"/>
              </w:rPr>
            </w:pPr>
            <w:r w:rsidRPr="00A52646">
              <w:rPr>
                <w:rFonts w:ascii="ITC Avant Garde" w:eastAsia="Times New Roman" w:hAnsi="ITC Avant Garde"/>
                <w:b/>
                <w:i/>
                <w:color w:val="000000"/>
                <w:sz w:val="18"/>
                <w:lang w:val="es-CO" w:eastAsia="es-MX"/>
              </w:rPr>
              <w:t>Convivencia y compatibilidad en las zonas de frontera</w:t>
            </w:r>
          </w:p>
          <w:p w14:paraId="65EDDED3" w14:textId="77777777" w:rsidR="00A52646" w:rsidRPr="00A52646" w:rsidRDefault="00A52646" w:rsidP="00E06BAC">
            <w:pPr>
              <w:spacing w:after="0" w:line="240" w:lineRule="auto"/>
              <w:ind w:left="709"/>
              <w:jc w:val="both"/>
              <w:rPr>
                <w:rFonts w:ascii="ITC Avant Garde" w:eastAsia="Times New Roman" w:hAnsi="ITC Avant Garde"/>
                <w:color w:val="000000"/>
                <w:sz w:val="18"/>
                <w:lang w:val="es-CO" w:eastAsia="es-MX"/>
              </w:rPr>
            </w:pPr>
            <w:r w:rsidRPr="00A52646">
              <w:rPr>
                <w:rFonts w:ascii="ITC Avant Garde" w:eastAsia="Times New Roman" w:hAnsi="ITC Avant Garde"/>
                <w:color w:val="000000"/>
                <w:sz w:val="18"/>
                <w:lang w:val="es-CO" w:eastAsia="es-MX"/>
              </w:rPr>
              <w:t xml:space="preserve">Omnispace considera de suma importancia recordar al Instituto que existe la posibilidad de que en los Estados Unidos de América se implemente el uso del todo el rango de 2000-2020 MHz, o partes del mismo, para el </w:t>
            </w:r>
            <w:r w:rsidRPr="00A52646">
              <w:rPr>
                <w:rFonts w:ascii="ITC Avant Garde" w:eastAsia="Times New Roman" w:hAnsi="ITC Avant Garde"/>
                <w:i/>
                <w:color w:val="000000"/>
                <w:sz w:val="18"/>
                <w:lang w:val="es-CO" w:eastAsia="es-MX"/>
              </w:rPr>
              <w:t>downlink</w:t>
            </w:r>
            <w:r w:rsidRPr="00A52646">
              <w:rPr>
                <w:rFonts w:ascii="ITC Avant Garde" w:eastAsia="Times New Roman" w:hAnsi="ITC Avant Garde"/>
                <w:color w:val="000000"/>
                <w:sz w:val="18"/>
                <w:lang w:val="es-CO" w:eastAsia="es-MX"/>
              </w:rPr>
              <w:t xml:space="preserve"> del componente terrestre de las IMT. El despliegue del componente terrestre de las IMT en </w:t>
            </w:r>
            <w:r w:rsidRPr="00A52646">
              <w:rPr>
                <w:rFonts w:ascii="ITC Avant Garde" w:eastAsia="Times New Roman" w:hAnsi="ITC Avant Garde"/>
                <w:i/>
                <w:color w:val="000000"/>
                <w:sz w:val="18"/>
                <w:lang w:val="es-CO" w:eastAsia="es-MX"/>
              </w:rPr>
              <w:t>downlink</w:t>
            </w:r>
            <w:r w:rsidRPr="00A52646">
              <w:rPr>
                <w:rFonts w:ascii="ITC Avant Garde" w:eastAsia="Times New Roman" w:hAnsi="ITC Avant Garde"/>
                <w:color w:val="000000"/>
                <w:sz w:val="18"/>
                <w:lang w:val="es-CO" w:eastAsia="es-MX"/>
              </w:rPr>
              <w:t xml:space="preserve"> afecta severamente la recepción de los sistemas satelitales (LEO, MEO y GEO) llegando a bloquear la posibilidad de recepción de señales, no sólo en la zona fronteriza entre México y los Estados Unidos de América, sino incluso mucho más allá. En el peor caso de interferencia, se puede presentar bloqueo de señales en todo Centroamérica y el Caribe e incluso parte de Sudamérica, debido al despliegue de estaciones base en </w:t>
            </w:r>
            <w:r w:rsidRPr="00A52646">
              <w:rPr>
                <w:rFonts w:ascii="ITC Avant Garde" w:eastAsia="Times New Roman" w:hAnsi="ITC Avant Garde"/>
                <w:i/>
                <w:color w:val="000000"/>
                <w:sz w:val="18"/>
                <w:lang w:val="es-CO" w:eastAsia="es-MX"/>
              </w:rPr>
              <w:t>downlink</w:t>
            </w:r>
            <w:r w:rsidRPr="00A52646">
              <w:rPr>
                <w:rFonts w:ascii="ITC Avant Garde" w:eastAsia="Times New Roman" w:hAnsi="ITC Avant Garde"/>
                <w:color w:val="000000"/>
                <w:sz w:val="18"/>
                <w:lang w:val="es-CO" w:eastAsia="es-MX"/>
              </w:rPr>
              <w:t xml:space="preserve"> en Estados Unidos de América.  Estos estudios realizados por Omnispace, se encuentran incluidos en el documento de trabajo que se está desarrollando en los grupos de trabajo 4C y 5D del UIT-R.</w:t>
            </w:r>
            <w:r w:rsidRPr="00A52646">
              <w:rPr>
                <w:rFonts w:ascii="ITC Avant Garde" w:eastAsia="Times New Roman" w:hAnsi="ITC Avant Garde"/>
                <w:color w:val="000000"/>
                <w:sz w:val="18"/>
                <w:vertAlign w:val="superscript"/>
                <w:lang w:val="es-CO" w:eastAsia="es-MX"/>
              </w:rPr>
              <w:footnoteReference w:id="6"/>
            </w:r>
          </w:p>
          <w:p w14:paraId="718A332B" w14:textId="77777777" w:rsidR="00A70899" w:rsidRDefault="00A70899" w:rsidP="00E06BAC">
            <w:pPr>
              <w:spacing w:after="0" w:line="240" w:lineRule="auto"/>
              <w:ind w:left="709"/>
              <w:jc w:val="both"/>
              <w:rPr>
                <w:rFonts w:ascii="ITC Avant Garde" w:eastAsia="Times New Roman" w:hAnsi="ITC Avant Garde"/>
                <w:color w:val="000000"/>
                <w:sz w:val="18"/>
                <w:lang w:val="es-CO" w:eastAsia="es-MX"/>
              </w:rPr>
            </w:pPr>
          </w:p>
          <w:p w14:paraId="5DD9F5C0" w14:textId="77777777" w:rsidR="00A52646" w:rsidRPr="00A52646" w:rsidRDefault="00A52646" w:rsidP="00E06BAC">
            <w:pPr>
              <w:spacing w:after="0" w:line="240" w:lineRule="auto"/>
              <w:ind w:left="709"/>
              <w:jc w:val="both"/>
              <w:rPr>
                <w:rFonts w:ascii="ITC Avant Garde" w:eastAsia="Times New Roman" w:hAnsi="ITC Avant Garde"/>
                <w:color w:val="000000"/>
                <w:sz w:val="18"/>
                <w:lang w:val="es-CO" w:eastAsia="es-MX"/>
              </w:rPr>
            </w:pPr>
            <w:r w:rsidRPr="00A52646">
              <w:rPr>
                <w:rFonts w:ascii="ITC Avant Garde" w:eastAsia="Times New Roman" w:hAnsi="ITC Avant Garde"/>
                <w:color w:val="000000"/>
                <w:sz w:val="18"/>
                <w:lang w:val="es-CO" w:eastAsia="es-MX"/>
              </w:rPr>
              <w:t xml:space="preserve">Para el caso del Componente Complementario Terrestre del Servicio Móvil por Satélite, su despliegue podría representar casos de interferencia perjudicial en las zonas de frontera con los Estados Unidos de América. Las señales de alta potencia (debido a la configuración de </w:t>
            </w:r>
            <w:r w:rsidRPr="00A52646">
              <w:rPr>
                <w:rFonts w:ascii="ITC Avant Garde" w:eastAsia="Times New Roman" w:hAnsi="ITC Avant Garde"/>
                <w:i/>
                <w:color w:val="000000"/>
                <w:sz w:val="18"/>
                <w:lang w:val="es-CO" w:eastAsia="es-MX"/>
              </w:rPr>
              <w:t>downlink</w:t>
            </w:r>
            <w:r w:rsidRPr="00A52646">
              <w:rPr>
                <w:rFonts w:ascii="ITC Avant Garde" w:eastAsia="Times New Roman" w:hAnsi="ITC Avant Garde"/>
                <w:color w:val="000000"/>
                <w:sz w:val="18"/>
                <w:lang w:val="es-CO" w:eastAsia="es-MX"/>
              </w:rPr>
              <w:t>) provenientes del lado estadounidense podrían afectar la recepción de las radio bases (</w:t>
            </w:r>
            <w:r w:rsidRPr="00A52646">
              <w:rPr>
                <w:rFonts w:ascii="ITC Avant Garde" w:eastAsia="Times New Roman" w:hAnsi="ITC Avant Garde"/>
                <w:i/>
                <w:color w:val="000000"/>
                <w:sz w:val="18"/>
                <w:lang w:val="es-CO" w:eastAsia="es-MX"/>
              </w:rPr>
              <w:t xml:space="preserve">uplink) </w:t>
            </w:r>
            <w:r w:rsidRPr="00A52646">
              <w:rPr>
                <w:rFonts w:ascii="ITC Avant Garde" w:eastAsia="Times New Roman" w:hAnsi="ITC Avant Garde"/>
                <w:color w:val="000000"/>
                <w:sz w:val="18"/>
                <w:lang w:val="es-CO" w:eastAsia="es-MX"/>
              </w:rPr>
              <w:t xml:space="preserve">en el lado mexicano de la frontera. </w:t>
            </w:r>
          </w:p>
          <w:p w14:paraId="0DB5ADC8" w14:textId="77777777" w:rsidR="00A70899" w:rsidRDefault="00A70899" w:rsidP="00E06BAC">
            <w:pPr>
              <w:spacing w:after="0" w:line="240" w:lineRule="auto"/>
              <w:ind w:left="709"/>
              <w:jc w:val="both"/>
              <w:rPr>
                <w:rFonts w:ascii="ITC Avant Garde" w:eastAsia="Times New Roman" w:hAnsi="ITC Avant Garde"/>
                <w:color w:val="000000"/>
                <w:sz w:val="18"/>
                <w:lang w:val="es-CO" w:eastAsia="es-MX"/>
              </w:rPr>
            </w:pPr>
          </w:p>
          <w:p w14:paraId="0DD87BC5" w14:textId="77777777" w:rsidR="00A52646" w:rsidRPr="00A52646" w:rsidRDefault="00A52646" w:rsidP="00E06BAC">
            <w:pPr>
              <w:spacing w:after="0" w:line="240" w:lineRule="auto"/>
              <w:ind w:left="709"/>
              <w:jc w:val="both"/>
              <w:rPr>
                <w:rFonts w:ascii="ITC Avant Garde" w:eastAsia="Times New Roman" w:hAnsi="ITC Avant Garde"/>
                <w:color w:val="000000"/>
                <w:sz w:val="18"/>
                <w:lang w:val="es-CO" w:eastAsia="es-MX"/>
              </w:rPr>
            </w:pPr>
            <w:r w:rsidRPr="00A52646">
              <w:rPr>
                <w:rFonts w:ascii="ITC Avant Garde" w:eastAsia="Times New Roman" w:hAnsi="ITC Avant Garde"/>
                <w:color w:val="000000"/>
                <w:sz w:val="18"/>
                <w:lang w:val="es-CO" w:eastAsia="es-MX"/>
              </w:rPr>
              <w:t xml:space="preserve">Advertimos </w:t>
            </w:r>
            <w:r w:rsidRPr="00A52646">
              <w:rPr>
                <w:rFonts w:ascii="ITC Avant Garde" w:eastAsia="Times New Roman" w:hAnsi="ITC Avant Garde"/>
                <w:color w:val="000000"/>
                <w:sz w:val="18"/>
                <w:lang w:eastAsia="es-MX"/>
              </w:rPr>
              <w:t>que</w:t>
            </w:r>
            <w:r w:rsidRPr="00A52646">
              <w:rPr>
                <w:rFonts w:ascii="ITC Avant Garde" w:eastAsia="Times New Roman" w:hAnsi="ITC Avant Garde"/>
                <w:color w:val="000000"/>
                <w:sz w:val="18"/>
                <w:lang w:val="es-CO" w:eastAsia="es-MX"/>
              </w:rPr>
              <w:t xml:space="preserve"> sería necesaria una combinación de amplias zonas de exclusión y soluciones técnicas tales como filtrado adicional, aislamiento electromagnético, modificación de alturas e inclinaciones de las antenas, entre otros, para asegurar la protección y adecuado funcionamiento de los sistemas del Componente Complementario Terrestre del Servicio Móvil por Satélite. </w:t>
            </w:r>
          </w:p>
          <w:p w14:paraId="4510EB30" w14:textId="77777777" w:rsidR="00A52646" w:rsidRDefault="00A52646" w:rsidP="00E06BAC">
            <w:pPr>
              <w:spacing w:after="0" w:line="240" w:lineRule="auto"/>
              <w:jc w:val="both"/>
              <w:rPr>
                <w:rFonts w:ascii="ITC Avant Garde" w:eastAsia="Times New Roman" w:hAnsi="ITC Avant Garde"/>
                <w:color w:val="000000"/>
                <w:sz w:val="18"/>
                <w:lang w:val="es-CO" w:eastAsia="es-MX"/>
              </w:rPr>
            </w:pPr>
          </w:p>
          <w:p w14:paraId="351B7A3D" w14:textId="77777777" w:rsidR="004729CC" w:rsidRDefault="00A52646" w:rsidP="00E06BAC">
            <w:pPr>
              <w:spacing w:after="0" w:line="240" w:lineRule="auto"/>
              <w:jc w:val="both"/>
              <w:rPr>
                <w:rFonts w:ascii="ITC Avant Garde" w:eastAsia="Times New Roman" w:hAnsi="ITC Avant Garde"/>
                <w:color w:val="000000"/>
                <w:sz w:val="18"/>
                <w:lang w:val="es-CO" w:eastAsia="es-MX"/>
              </w:rPr>
            </w:pPr>
            <w:r w:rsidRPr="00A52646">
              <w:rPr>
                <w:rFonts w:ascii="ITC Avant Garde" w:eastAsia="Times New Roman" w:hAnsi="ITC Avant Garde"/>
                <w:color w:val="000000"/>
                <w:sz w:val="18"/>
                <w:lang w:val="es-CO" w:eastAsia="es-MX"/>
              </w:rPr>
              <w:t xml:space="preserve">En vista de lo anterior, Omnispace solicita que el Instituto tenga presente los anteriores requerimientos técnicos y los incluya en las Bases de licitación y en el proyecto de título de concesión correspondiente. </w:t>
            </w:r>
          </w:p>
          <w:p w14:paraId="7A2D3BEA" w14:textId="77777777" w:rsidR="00A52646" w:rsidRDefault="00A52646" w:rsidP="00E06BAC">
            <w:pPr>
              <w:spacing w:after="0" w:line="240" w:lineRule="auto"/>
              <w:jc w:val="both"/>
              <w:rPr>
                <w:rFonts w:ascii="ITC Avant Garde" w:eastAsia="Times New Roman" w:hAnsi="ITC Avant Garde"/>
                <w:color w:val="000000"/>
                <w:sz w:val="18"/>
                <w:lang w:eastAsia="es-MX"/>
              </w:rPr>
            </w:pPr>
          </w:p>
          <w:p w14:paraId="34608455" w14:textId="77777777" w:rsidR="00265FCC" w:rsidRDefault="00265FCC" w:rsidP="00E06BAC">
            <w:pPr>
              <w:spacing w:after="0" w:line="240" w:lineRule="auto"/>
              <w:jc w:val="both"/>
              <w:rPr>
                <w:rFonts w:ascii="ITC Avant Garde" w:eastAsia="Times New Roman" w:hAnsi="ITC Avant Garde"/>
                <w:color w:val="000000"/>
                <w:sz w:val="18"/>
                <w:lang w:eastAsia="es-MX"/>
              </w:rPr>
            </w:pPr>
            <w:r w:rsidRPr="00265FCC">
              <w:rPr>
                <w:rFonts w:ascii="ITC Avant Garde" w:eastAsia="Times New Roman" w:hAnsi="ITC Avant Garde"/>
                <w:color w:val="000000"/>
                <w:sz w:val="18"/>
                <w:lang w:eastAsia="es-MX"/>
              </w:rPr>
              <w:t>Lo anterior, sin perjuicio de los demás comentarios planteados de manera específica en el apartado II anterior.</w:t>
            </w:r>
          </w:p>
          <w:p w14:paraId="75C18253" w14:textId="77777777" w:rsidR="00265FCC" w:rsidRPr="005D0B9B" w:rsidRDefault="00265FCC" w:rsidP="00A52646">
            <w:pPr>
              <w:spacing w:after="0" w:line="240" w:lineRule="auto"/>
              <w:rPr>
                <w:rFonts w:ascii="ITC Avant Garde" w:eastAsia="Times New Roman" w:hAnsi="ITC Avant Garde"/>
                <w:color w:val="000000"/>
                <w:sz w:val="18"/>
                <w:lang w:eastAsia="es-MX"/>
              </w:rPr>
            </w:pPr>
          </w:p>
        </w:tc>
      </w:tr>
      <w:tr w:rsidR="00917436" w:rsidRPr="00917436" w14:paraId="5B9F5A39" w14:textId="77777777" w:rsidTr="00917436">
        <w:trPr>
          <w:trHeight w:val="903"/>
        </w:trPr>
        <w:tc>
          <w:tcPr>
            <w:tcW w:w="5000" w:type="pct"/>
            <w:shd w:val="clear" w:color="auto" w:fill="C5E0B3" w:themeFill="accent6" w:themeFillTint="66"/>
            <w:vAlign w:val="center"/>
          </w:tcPr>
          <w:p w14:paraId="06ADFBBE" w14:textId="77777777" w:rsidR="00917436" w:rsidRPr="001E7DF4" w:rsidRDefault="00B00311" w:rsidP="00B00311">
            <w:pPr>
              <w:pStyle w:val="Prrafodelista"/>
              <w:numPr>
                <w:ilvl w:val="0"/>
                <w:numId w:val="16"/>
              </w:numPr>
              <w:spacing w:after="0" w:line="240" w:lineRule="auto"/>
              <w:ind w:left="776" w:hanging="284"/>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lastRenderedPageBreak/>
              <w:t>La posible incorporación de u</w:t>
            </w:r>
            <w:r w:rsidR="00917436" w:rsidRPr="001E7DF4">
              <w:rPr>
                <w:rFonts w:ascii="ITC Avant Garde" w:eastAsia="Times New Roman" w:hAnsi="ITC Avant Garde"/>
                <w:color w:val="000000"/>
                <w:sz w:val="18"/>
                <w:lang w:eastAsia="es-MX"/>
              </w:rPr>
              <w:t>na obligación para que el Sistema Satelital cuente con la capacidad técnica para proveer servicios en al menos el 75% de las 24 horas de cada día.</w:t>
            </w:r>
          </w:p>
        </w:tc>
      </w:tr>
      <w:tr w:rsidR="00055A98" w:rsidRPr="00265FCC" w14:paraId="5CB7D31F" w14:textId="77777777" w:rsidTr="004D55DC">
        <w:trPr>
          <w:trHeight w:val="903"/>
        </w:trPr>
        <w:tc>
          <w:tcPr>
            <w:tcW w:w="5000" w:type="pct"/>
            <w:shd w:val="clear" w:color="auto" w:fill="auto"/>
            <w:vAlign w:val="center"/>
          </w:tcPr>
          <w:p w14:paraId="0B553160" w14:textId="77777777" w:rsidR="00055A98" w:rsidRPr="00055A98" w:rsidRDefault="00055A98" w:rsidP="00055A98">
            <w:pPr>
              <w:jc w:val="both"/>
              <w:rPr>
                <w:sz w:val="18"/>
                <w:szCs w:val="18"/>
                <w:lang w:val="es-CO"/>
              </w:rPr>
            </w:pPr>
            <w:r w:rsidRPr="00055A98">
              <w:rPr>
                <w:sz w:val="18"/>
                <w:szCs w:val="18"/>
                <w:lang w:val="es-CO"/>
              </w:rPr>
              <w:t xml:space="preserve">Omnispace considera que no es necesario ni deseable incluir una obligación en este proceso de subasta que requiera que el Sistema Satelital tenga capacidad técnica para proveer servicios en al menos el 75% de las horas de cada día. La inclusión de tal obligación está más allá del ámbito y el objetivo de esta licitación, ya que no se aplica al espectro terrestre que se está subastando, podría </w:t>
            </w:r>
            <w:r w:rsidR="00952E94" w:rsidRPr="00055A98">
              <w:rPr>
                <w:sz w:val="18"/>
                <w:szCs w:val="18"/>
                <w:lang w:val="es-CO"/>
              </w:rPr>
              <w:t>generar potenciales</w:t>
            </w:r>
            <w:r w:rsidRPr="00055A98">
              <w:rPr>
                <w:sz w:val="18"/>
                <w:szCs w:val="18"/>
                <w:lang w:val="es-CO"/>
              </w:rPr>
              <w:t xml:space="preserve"> distorsiones competitivas. Además, creemos que las reglas de licitaciones propuestas por el Instituto ya ofrecen garantías suficientes, en forma de planes y compromisos de inversión y cobertura, para garantizar el uso efectivo del espectro en la banda de 2 GHz que sea asignado para el Componente Complementario Terrestre del Servicio Móvil por Satélite.</w:t>
            </w:r>
          </w:p>
          <w:p w14:paraId="5E53DC3B" w14:textId="77777777" w:rsidR="00055A98" w:rsidRPr="00055A98" w:rsidRDefault="00055A98" w:rsidP="00055A98">
            <w:pPr>
              <w:pStyle w:val="Prrafodelista"/>
              <w:numPr>
                <w:ilvl w:val="0"/>
                <w:numId w:val="36"/>
              </w:numPr>
              <w:jc w:val="both"/>
              <w:rPr>
                <w:sz w:val="18"/>
                <w:szCs w:val="18"/>
                <w:lang w:val="es-CO"/>
              </w:rPr>
            </w:pPr>
            <w:r w:rsidRPr="00055A98">
              <w:rPr>
                <w:rFonts w:eastAsia="Times New Roman"/>
                <w:color w:val="000000"/>
                <w:sz w:val="18"/>
                <w:szCs w:val="18"/>
                <w:lang w:val="es-CO" w:eastAsia="es-MX"/>
              </w:rPr>
              <w:lastRenderedPageBreak/>
              <w:t>Omnispace cree que imponer obligaciones al Sistema Satelital escapa del ámbito y objeto de este proceso de licitación y el Instituto debería abstenerse de adoptarlas. La Licitación IFT-9 tiene por objeto asignar derechos de uso de espectro para el Componente Complementario Terrestre para Sistemas Satelitales existentes. Además, las reglas de la licitación reconocen que terceros, independientes de los Autorizados en la banda de 2 GHz, podrían ganar el espectro en este proceso. Por ello, Omnispace considera que imponer obligaciones al Sistema Satelital, que puede ser operador por una persona distinta al Participante Ganador de esta Licitación, sería desproporcionado y escaparía del objeto de este proceso. Además, dicha obligación afectaría la autorización y concesión para servicios sat</w:t>
            </w:r>
            <w:r w:rsidR="00275C10">
              <w:rPr>
                <w:rFonts w:eastAsia="Times New Roman"/>
                <w:color w:val="000000"/>
                <w:sz w:val="18"/>
                <w:szCs w:val="18"/>
                <w:lang w:val="es-CO" w:eastAsia="es-MX"/>
              </w:rPr>
              <w:t>e</w:t>
            </w:r>
            <w:r w:rsidRPr="00055A98">
              <w:rPr>
                <w:rFonts w:eastAsia="Times New Roman"/>
                <w:color w:val="000000"/>
                <w:sz w:val="18"/>
                <w:szCs w:val="18"/>
                <w:lang w:val="es-CO" w:eastAsia="es-MX"/>
              </w:rPr>
              <w:t>lit</w:t>
            </w:r>
            <w:r w:rsidR="006D2C24">
              <w:rPr>
                <w:rFonts w:eastAsia="Times New Roman"/>
                <w:color w:val="000000"/>
                <w:sz w:val="18"/>
                <w:szCs w:val="18"/>
                <w:lang w:val="es-CO" w:eastAsia="es-MX"/>
              </w:rPr>
              <w:t>al</w:t>
            </w:r>
            <w:r w:rsidRPr="00055A98">
              <w:rPr>
                <w:rFonts w:eastAsia="Times New Roman"/>
                <w:color w:val="000000"/>
                <w:sz w:val="18"/>
                <w:szCs w:val="18"/>
                <w:lang w:val="es-CO" w:eastAsia="es-MX"/>
              </w:rPr>
              <w:t>es actualmente en vigor para la banda de 2 GHz.</w:t>
            </w:r>
          </w:p>
          <w:p w14:paraId="5234B1A7" w14:textId="51D68780" w:rsidR="00055A98" w:rsidRPr="00055A98" w:rsidRDefault="00055A98" w:rsidP="00055A98">
            <w:pPr>
              <w:pStyle w:val="Prrafodelista"/>
              <w:numPr>
                <w:ilvl w:val="0"/>
                <w:numId w:val="36"/>
              </w:numPr>
              <w:jc w:val="both"/>
              <w:rPr>
                <w:sz w:val="18"/>
                <w:szCs w:val="18"/>
                <w:lang w:val="es-CO"/>
              </w:rPr>
            </w:pPr>
            <w:r w:rsidRPr="00055A98">
              <w:rPr>
                <w:sz w:val="18"/>
                <w:szCs w:val="18"/>
                <w:lang w:val="es-CO"/>
              </w:rPr>
              <w:t xml:space="preserve">Omnispace entiende que esta propuesta (así como la obligación de cobertura geográfica propuesta para discusión y que se analiza en la pregunta 9) tiene como objetivo garantizar el uso </w:t>
            </w:r>
            <w:r w:rsidR="00275C10">
              <w:rPr>
                <w:sz w:val="18"/>
                <w:szCs w:val="18"/>
                <w:lang w:val="es-CO"/>
              </w:rPr>
              <w:t>eficiente</w:t>
            </w:r>
            <w:r w:rsidRPr="00055A98">
              <w:rPr>
                <w:sz w:val="18"/>
                <w:szCs w:val="18"/>
                <w:lang w:val="es-CO"/>
              </w:rPr>
              <w:t xml:space="preserve"> de los recursos de espectro asignados en este proceso de licitación. Omnispace apoya este objetivo de política pública, ya que el Instituto debe garantizar que los recursos escasos que administra, como es el espectro, se utilicen de la forma que genere mayor </w:t>
            </w:r>
            <w:r w:rsidR="00952E94" w:rsidRPr="00055A98">
              <w:rPr>
                <w:sz w:val="18"/>
                <w:szCs w:val="18"/>
                <w:lang w:val="es-CO"/>
              </w:rPr>
              <w:t>valor</w:t>
            </w:r>
            <w:r w:rsidRPr="00055A98">
              <w:rPr>
                <w:sz w:val="18"/>
                <w:szCs w:val="18"/>
                <w:lang w:val="es-CO"/>
              </w:rPr>
              <w:t xml:space="preserve"> para la sociedad. Dicho esto, se debe tener en cuenta que los demás países que han asignado la banda de 2 GHz para la implementación del Componente Complementario Terrestre, como Estados Unidos, Canadá y la Unión Europea (UE), han otorgado el espectro mediante asignaciones directas al proveedor que obtuvo la licencia para el Servicio Móvil </w:t>
            </w:r>
            <w:r w:rsidR="00A66803">
              <w:rPr>
                <w:sz w:val="18"/>
                <w:szCs w:val="18"/>
                <w:lang w:val="es-CO"/>
              </w:rPr>
              <w:t xml:space="preserve">por </w:t>
            </w:r>
            <w:r w:rsidRPr="00055A98">
              <w:rPr>
                <w:sz w:val="18"/>
                <w:szCs w:val="18"/>
                <w:lang w:val="es-CO"/>
              </w:rPr>
              <w:t>Sat</w:t>
            </w:r>
            <w:r w:rsidR="00A66803">
              <w:rPr>
                <w:sz w:val="18"/>
                <w:szCs w:val="18"/>
                <w:lang w:val="es-CO"/>
              </w:rPr>
              <w:t>é</w:t>
            </w:r>
            <w:r w:rsidRPr="00055A98">
              <w:rPr>
                <w:sz w:val="18"/>
                <w:szCs w:val="18"/>
                <w:lang w:val="es-CO"/>
              </w:rPr>
              <w:t>lit</w:t>
            </w:r>
            <w:r w:rsidR="00D97903">
              <w:rPr>
                <w:sz w:val="18"/>
                <w:szCs w:val="18"/>
                <w:lang w:val="es-CO"/>
              </w:rPr>
              <w:t>e</w:t>
            </w:r>
            <w:r w:rsidRPr="00055A98">
              <w:rPr>
                <w:sz w:val="18"/>
                <w:szCs w:val="18"/>
                <w:lang w:val="es-CO"/>
              </w:rPr>
              <w:t xml:space="preserve"> (ver nuestra respuesta a la pregunta 11 para mayor detalle). Las asignaciones directas pueden generar incertidumbre con respecto al uso </w:t>
            </w:r>
            <w:r w:rsidR="0087563D">
              <w:rPr>
                <w:sz w:val="18"/>
                <w:szCs w:val="18"/>
                <w:lang w:val="es-CO"/>
              </w:rPr>
              <w:t>eficiente</w:t>
            </w:r>
            <w:r w:rsidRPr="00055A98">
              <w:rPr>
                <w:sz w:val="18"/>
                <w:szCs w:val="18"/>
                <w:lang w:val="es-CO"/>
              </w:rPr>
              <w:t xml:space="preserve"> del espectro para el Componente Complementario Terrestre del Servicio Móvil por Satélite, si no se adjuntan a la licencia/concesión compromisos específicos, bien sea </w:t>
            </w:r>
            <w:r w:rsidR="00952E94" w:rsidRPr="00055A98">
              <w:rPr>
                <w:sz w:val="18"/>
                <w:szCs w:val="18"/>
                <w:lang w:val="es-CO"/>
              </w:rPr>
              <w:t>asumidos</w:t>
            </w:r>
            <w:r w:rsidRPr="00055A98">
              <w:rPr>
                <w:sz w:val="18"/>
                <w:szCs w:val="18"/>
                <w:lang w:val="es-CO"/>
              </w:rPr>
              <w:t xml:space="preserve"> por </w:t>
            </w:r>
            <w:r w:rsidR="00952E94" w:rsidRPr="00055A98">
              <w:rPr>
                <w:sz w:val="18"/>
                <w:szCs w:val="18"/>
                <w:lang w:val="es-CO"/>
              </w:rPr>
              <w:t>el operador</w:t>
            </w:r>
            <w:r w:rsidRPr="00055A98">
              <w:rPr>
                <w:sz w:val="18"/>
                <w:szCs w:val="18"/>
                <w:lang w:val="es-CO"/>
              </w:rPr>
              <w:t xml:space="preserve"> o impuestos por el regulador.  Sin embargo, a diferencia de estos países, el Instituto está llevando a cabo un proceso de licitación competitivo para asignar la banda de 2 GHz para uso del Componente Complementario Terrestre y requiere que los participantes identifiquen claramente sus planes de inversión y cobertura y compromisos</w:t>
            </w:r>
            <w:r w:rsidRPr="00055A98">
              <w:rPr>
                <w:rStyle w:val="Refdenotaalpie"/>
                <w:sz w:val="18"/>
                <w:szCs w:val="18"/>
                <w:lang w:val="es-CO"/>
              </w:rPr>
              <w:footnoteReference w:id="7"/>
            </w:r>
            <w:r w:rsidRPr="00055A98">
              <w:rPr>
                <w:sz w:val="18"/>
                <w:szCs w:val="18"/>
                <w:lang w:val="es-CO"/>
              </w:rPr>
              <w:t xml:space="preserve">. Creemos que esto asegurará que el Instituto pueda evaluar como los participantes planean hacer uso efectivo del espectro para el Componente Complementario Terrestre del Servicio Móvil por Satélite y las condiciones </w:t>
            </w:r>
            <w:r w:rsidR="00952E94" w:rsidRPr="00055A98">
              <w:rPr>
                <w:sz w:val="18"/>
                <w:szCs w:val="18"/>
                <w:lang w:val="es-CO"/>
              </w:rPr>
              <w:t>y</w:t>
            </w:r>
            <w:r w:rsidRPr="00055A98">
              <w:rPr>
                <w:sz w:val="18"/>
                <w:szCs w:val="18"/>
                <w:lang w:val="es-CO"/>
              </w:rPr>
              <w:t xml:space="preserve"> planes de despliegue aplicables. Más importante aún, este enfoque permitirá a los participantes desarrollar planes y compromisos impulsados por la demanda esperada del mercado y no impuestos por el Instituto. En consecuencia, Omnispace cree que el enfoque que ya está incorporado en las Bases de Licitación hace que sea innecesario imponer un requisito de cobertura basado en tiempo de servicio del Sistema Satelital.</w:t>
            </w:r>
          </w:p>
          <w:p w14:paraId="4A9034ED" w14:textId="77777777" w:rsidR="00055A98" w:rsidRPr="00055A98" w:rsidRDefault="00055A98" w:rsidP="00055A98">
            <w:pPr>
              <w:pStyle w:val="Prrafodelista"/>
              <w:numPr>
                <w:ilvl w:val="0"/>
                <w:numId w:val="36"/>
              </w:numPr>
              <w:jc w:val="both"/>
              <w:rPr>
                <w:sz w:val="18"/>
                <w:szCs w:val="18"/>
                <w:lang w:val="es-CO"/>
              </w:rPr>
            </w:pPr>
            <w:r w:rsidRPr="00055A98">
              <w:rPr>
                <w:sz w:val="18"/>
                <w:szCs w:val="18"/>
                <w:lang w:val="es-CO"/>
              </w:rPr>
              <w:t>Observamos igualmente que este requisito podría generar distorsiones competitivas en el mercado de Servicios Móviles por Satélite. Las especificaciones técnicas para el sistema del Servicio Móvil por Satélite ya han sido incorporadas por el Instituto en las autorizaciones y concesiones pertinentes emitidas a operadores satelitales extranjeros. En el caso de Omnispace, estas condiciones se establecen en el anexo de su autorización vigente</w:t>
            </w:r>
            <w:r w:rsidRPr="00055A98">
              <w:rPr>
                <w:rStyle w:val="Refdenotaalpie"/>
                <w:rFonts w:eastAsia="Times New Roman"/>
                <w:color w:val="000000"/>
                <w:sz w:val="18"/>
                <w:szCs w:val="18"/>
                <w:lang w:eastAsia="es-MX"/>
              </w:rPr>
              <w:footnoteReference w:id="8"/>
            </w:r>
            <w:r w:rsidRPr="00055A98">
              <w:rPr>
                <w:sz w:val="18"/>
                <w:szCs w:val="18"/>
                <w:lang w:val="es-CO"/>
              </w:rPr>
              <w:t xml:space="preserve">. La inclusión de condiciones técnicas adicionales en las Bases de la Licitación podría dar lugar a asimetrías en los requisitos técnicos para los distintos proveedores de Servicios Móviles por Satélite, dependiendo del resultado de este </w:t>
            </w:r>
            <w:r w:rsidR="00952E94" w:rsidRPr="00055A98">
              <w:rPr>
                <w:sz w:val="18"/>
                <w:szCs w:val="18"/>
                <w:lang w:val="es-CO"/>
              </w:rPr>
              <w:t>proceso.</w:t>
            </w:r>
            <w:r w:rsidRPr="00055A98">
              <w:rPr>
                <w:sz w:val="18"/>
                <w:szCs w:val="18"/>
                <w:lang w:val="es-CO"/>
              </w:rPr>
              <w:t xml:space="preserve"> Por ejemplo, en caso de que Omnispace ganara una Concesión en esta licitación, nuestros competidores de Servicios Móviles por Satélite actuales y/o potenciales que no participen en esta subasta no estarían sujetos a requisitos similares, por lo que tendrían potenciales ventajas de costos y flexibilidad comercial adicional sobre Omnispace</w:t>
            </w:r>
            <w:r w:rsidR="004B1BEF">
              <w:rPr>
                <w:sz w:val="18"/>
                <w:szCs w:val="18"/>
                <w:lang w:val="es-CO"/>
              </w:rPr>
              <w:t>.</w:t>
            </w:r>
            <w:r w:rsidRPr="00055A98">
              <w:rPr>
                <w:sz w:val="18"/>
                <w:szCs w:val="18"/>
                <w:lang w:val="es-CO"/>
              </w:rPr>
              <w:t xml:space="preserve"> Además, es importante anotar que no existe ningún precedente en México donde tales obligaciones se impongan a las partes autorizadas o concesionarios de señales satelitales extranjeras usadas en México y, si se imponen, podrían tratarse de manera diferente con respecto al resto de partes autorizadas o concesionarios de señales satelitales extranjeras.</w:t>
            </w:r>
          </w:p>
          <w:p w14:paraId="194B3919" w14:textId="77777777" w:rsidR="00055A98" w:rsidRPr="00055A98" w:rsidRDefault="00055A98" w:rsidP="00055A98">
            <w:pPr>
              <w:jc w:val="both"/>
              <w:rPr>
                <w:sz w:val="18"/>
                <w:szCs w:val="18"/>
                <w:lang w:val="es-CO"/>
              </w:rPr>
            </w:pPr>
            <w:r w:rsidRPr="00055A98">
              <w:rPr>
                <w:sz w:val="18"/>
                <w:szCs w:val="18"/>
                <w:lang w:val="es-CO"/>
              </w:rPr>
              <w:lastRenderedPageBreak/>
              <w:t>De manera subsidiaria, si el Instituto decidiera avanzar en el establecimiento de esta obligación, Omnispace solicita respetuosamente que la obligación en cuestión incorpore los siguientes elementos adicionales:</w:t>
            </w:r>
          </w:p>
          <w:p w14:paraId="75DA351E" w14:textId="77777777" w:rsidR="00055A98" w:rsidRPr="00055A98" w:rsidRDefault="00055A98" w:rsidP="00055A98">
            <w:pPr>
              <w:pStyle w:val="Prrafodelista"/>
              <w:numPr>
                <w:ilvl w:val="0"/>
                <w:numId w:val="36"/>
              </w:numPr>
              <w:jc w:val="both"/>
              <w:rPr>
                <w:sz w:val="18"/>
                <w:szCs w:val="18"/>
                <w:lang w:val="es-CO"/>
              </w:rPr>
            </w:pPr>
            <w:r w:rsidRPr="00055A98">
              <w:rPr>
                <w:sz w:val="18"/>
                <w:szCs w:val="18"/>
                <w:lang w:val="es-CO"/>
              </w:rPr>
              <w:t xml:space="preserve">Para abordar los problemas potenciales relacionados con la extralimitación en el objetivo y ámbito de </w:t>
            </w:r>
            <w:r w:rsidR="00952E94" w:rsidRPr="00055A98">
              <w:rPr>
                <w:sz w:val="18"/>
                <w:szCs w:val="18"/>
                <w:lang w:val="es-CO"/>
              </w:rPr>
              <w:t>este proceso</w:t>
            </w:r>
            <w:r w:rsidRPr="00055A98">
              <w:rPr>
                <w:sz w:val="18"/>
                <w:szCs w:val="18"/>
                <w:lang w:val="es-CO"/>
              </w:rPr>
              <w:t>, si un tercero independiente</w:t>
            </w:r>
            <w:r w:rsidRPr="00055A98">
              <w:rPr>
                <w:rStyle w:val="Refdenotaalpie"/>
                <w:sz w:val="18"/>
                <w:szCs w:val="18"/>
                <w:lang w:val="es-CO"/>
              </w:rPr>
              <w:footnoteReference w:id="9"/>
            </w:r>
            <w:r w:rsidRPr="00055A98">
              <w:rPr>
                <w:sz w:val="18"/>
                <w:szCs w:val="18"/>
                <w:lang w:val="es-CO"/>
              </w:rPr>
              <w:t xml:space="preserve"> gana uno o más de los Bloques licitados en la banda de 2 GHz, entonces la obligación en cuestión no debe aplicarse al Sistema Satelital autorizado en el Bloque ganado por el tercero. Esto aseguraría que cualquier obligación asociada con este proceso solo se extienda a las entidades que ganen una Concesión en la Licitación IFT-9.</w:t>
            </w:r>
          </w:p>
          <w:p w14:paraId="4F34B336" w14:textId="77777777" w:rsidR="00055A98" w:rsidRPr="00055A98" w:rsidRDefault="00055A98" w:rsidP="00055A98">
            <w:pPr>
              <w:pStyle w:val="Prrafodelista"/>
              <w:numPr>
                <w:ilvl w:val="0"/>
                <w:numId w:val="36"/>
              </w:numPr>
              <w:jc w:val="both"/>
              <w:rPr>
                <w:sz w:val="18"/>
                <w:szCs w:val="18"/>
                <w:lang w:val="es-CO"/>
              </w:rPr>
            </w:pPr>
            <w:r w:rsidRPr="00055A98">
              <w:rPr>
                <w:sz w:val="18"/>
                <w:szCs w:val="18"/>
                <w:lang w:val="es-CO"/>
              </w:rPr>
              <w:t xml:space="preserve">Para garantizar que el requisito sea neutral desde el punto de vista tecnológico, recomendamos que el Instituto adopte una de dos obligaciones: (i) un requisito para que el Sistema Satelital tenga capacidad para proporcionar servicios durante al menos el 75% de las horas de cada día; o (ii) un requisito para que el Sistema Satelital tenga capacidad para brindar servicios en al menos el 75% del territorio mexicano. Se debería permitir a los proveedores elegir qué obligación cumplirán y se consideraría que cumplen si satisfacen al menos una de las mencionadas obligaciones. Esta flexibilidad fomentará un enfoque neutral desde el punto de vista tecnológico entre los sistemas satelitales en </w:t>
            </w:r>
            <w:r w:rsidR="00952E94" w:rsidRPr="00055A98">
              <w:rPr>
                <w:sz w:val="18"/>
                <w:szCs w:val="18"/>
                <w:lang w:val="es-CO"/>
              </w:rPr>
              <w:t>órbita</w:t>
            </w:r>
            <w:r w:rsidRPr="00055A98">
              <w:rPr>
                <w:sz w:val="18"/>
                <w:szCs w:val="18"/>
                <w:lang w:val="es-CO"/>
              </w:rPr>
              <w:t xml:space="preserve"> geoestacionaria (GSO) y en </w:t>
            </w:r>
            <w:r w:rsidR="00952E94" w:rsidRPr="00055A98">
              <w:rPr>
                <w:sz w:val="18"/>
                <w:szCs w:val="18"/>
                <w:lang w:val="es-CO"/>
              </w:rPr>
              <w:t>órbita</w:t>
            </w:r>
            <w:r w:rsidR="00952E94">
              <w:rPr>
                <w:sz w:val="18"/>
                <w:szCs w:val="18"/>
                <w:lang w:val="es-CO"/>
              </w:rPr>
              <w:t>s</w:t>
            </w:r>
            <w:r w:rsidRPr="00055A98">
              <w:rPr>
                <w:sz w:val="18"/>
                <w:szCs w:val="18"/>
                <w:lang w:val="es-CO"/>
              </w:rPr>
              <w:t xml:space="preserve"> no </w:t>
            </w:r>
            <w:r w:rsidR="00952E94" w:rsidRPr="00055A98">
              <w:rPr>
                <w:sz w:val="18"/>
                <w:szCs w:val="18"/>
                <w:lang w:val="es-CO"/>
              </w:rPr>
              <w:t>geoestacionarias</w:t>
            </w:r>
            <w:r w:rsidRPr="00055A98">
              <w:rPr>
                <w:sz w:val="18"/>
                <w:szCs w:val="18"/>
                <w:lang w:val="es-CO"/>
              </w:rPr>
              <w:t xml:space="preserve"> (NGSO), al tiempo que respaldará el objetivo del Instituto de garantizar un uso efectivo del espectro.</w:t>
            </w:r>
          </w:p>
          <w:p w14:paraId="33CC0D70" w14:textId="77777777" w:rsidR="00055A98" w:rsidRPr="00055A98" w:rsidRDefault="00055A98" w:rsidP="00055A98">
            <w:pPr>
              <w:pStyle w:val="Prrafodelista"/>
              <w:numPr>
                <w:ilvl w:val="0"/>
                <w:numId w:val="36"/>
              </w:numPr>
              <w:jc w:val="both"/>
              <w:rPr>
                <w:sz w:val="18"/>
                <w:szCs w:val="18"/>
                <w:lang w:val="es-CO"/>
              </w:rPr>
            </w:pPr>
            <w:r w:rsidRPr="00055A98">
              <w:rPr>
                <w:sz w:val="18"/>
                <w:szCs w:val="18"/>
                <w:lang w:val="es-CO"/>
              </w:rPr>
              <w:t xml:space="preserve">Para evitar cualquier posible </w:t>
            </w:r>
            <w:r w:rsidR="00952E94" w:rsidRPr="00055A98">
              <w:rPr>
                <w:sz w:val="18"/>
                <w:szCs w:val="18"/>
                <w:lang w:val="es-CO"/>
              </w:rPr>
              <w:t>distorsión</w:t>
            </w:r>
            <w:r w:rsidRPr="00055A98">
              <w:rPr>
                <w:sz w:val="18"/>
                <w:szCs w:val="18"/>
                <w:lang w:val="es-CO"/>
              </w:rPr>
              <w:t xml:space="preserve"> en el mercado y brindar mayor certidumbre a los inversionistas, Omnispace recomienda que cualquier requisito de cobertura adoptado, ya sea con respecto al tiempo o área geográfica cubierta, no debe aplicarse inmediatamente una vez concluya la licitación. Ciertamente, de ser adoptada, esta obligación debe implementarse gradualmente durante un período de 3 a 4 años para permitir que los operadores afectados tengan el tiempo suficiente para planificar e invertir, según sea necesario, para cumplirla.</w:t>
            </w:r>
          </w:p>
          <w:p w14:paraId="362C4DF7" w14:textId="77777777" w:rsidR="00055A98" w:rsidRPr="00055A98" w:rsidRDefault="00055A98" w:rsidP="00055A98">
            <w:pPr>
              <w:spacing w:after="0" w:line="240" w:lineRule="auto"/>
              <w:rPr>
                <w:rFonts w:ascii="ITC Avant Garde" w:eastAsia="Times New Roman" w:hAnsi="ITC Avant Garde"/>
                <w:color w:val="000000"/>
                <w:sz w:val="18"/>
                <w:szCs w:val="18"/>
                <w:lang w:eastAsia="es-MX"/>
              </w:rPr>
            </w:pPr>
            <w:r w:rsidRPr="00055A98">
              <w:rPr>
                <w:sz w:val="18"/>
                <w:szCs w:val="18"/>
                <w:lang w:val="es-CO"/>
              </w:rPr>
              <w:t>Sobre la base de lo anterior, Omnispace solicita que el Instituto no incluya una obligación que requiera que el Sistema Satelital tenga capacidad para ofrecer servicios durante al menos el 75% de las horas de cada día. Sin embargo, si el Instituto considera necesario imponer una obligación de esta naturaleza en este proceso, proponemos que la misma releje los términos descritos anteriormente.</w:t>
            </w:r>
          </w:p>
        </w:tc>
      </w:tr>
      <w:tr w:rsidR="00055A98" w:rsidRPr="005D0B9B" w14:paraId="4E064A48" w14:textId="77777777" w:rsidTr="00917436">
        <w:trPr>
          <w:trHeight w:val="903"/>
        </w:trPr>
        <w:tc>
          <w:tcPr>
            <w:tcW w:w="5000" w:type="pct"/>
            <w:shd w:val="clear" w:color="auto" w:fill="C5E0B3" w:themeFill="accent6" w:themeFillTint="66"/>
            <w:vAlign w:val="center"/>
          </w:tcPr>
          <w:p w14:paraId="132B36AA" w14:textId="77777777" w:rsidR="00055A98" w:rsidRPr="00265FCC" w:rsidRDefault="00055A98" w:rsidP="00055A98">
            <w:pPr>
              <w:spacing w:after="0" w:line="240" w:lineRule="auto"/>
              <w:ind w:left="776" w:hanging="284"/>
              <w:rPr>
                <w:rFonts w:ascii="ITC Avant Garde" w:eastAsia="Times New Roman" w:hAnsi="ITC Avant Garde"/>
                <w:color w:val="000000"/>
                <w:sz w:val="18"/>
                <w:lang w:eastAsia="es-MX"/>
              </w:rPr>
            </w:pPr>
          </w:p>
          <w:p w14:paraId="7BDCC888" w14:textId="77777777" w:rsidR="00055A98" w:rsidRPr="001E7DF4" w:rsidRDefault="00055A98" w:rsidP="00055A98">
            <w:pPr>
              <w:pStyle w:val="Prrafodelista"/>
              <w:numPr>
                <w:ilvl w:val="0"/>
                <w:numId w:val="16"/>
              </w:numPr>
              <w:spacing w:after="0" w:line="240" w:lineRule="auto"/>
              <w:ind w:left="776" w:hanging="284"/>
              <w:rPr>
                <w:rFonts w:ascii="ITC Avant Garde" w:eastAsia="Times New Roman" w:hAnsi="ITC Avant Garde"/>
                <w:color w:val="000000"/>
                <w:sz w:val="18"/>
                <w:lang w:eastAsia="es-MX"/>
              </w:rPr>
            </w:pPr>
            <w:r w:rsidRPr="001E7DF4">
              <w:rPr>
                <w:rFonts w:ascii="ITC Avant Garde" w:eastAsia="Times New Roman" w:hAnsi="ITC Avant Garde"/>
                <w:color w:val="000000"/>
                <w:sz w:val="18"/>
                <w:lang w:eastAsia="es-MX"/>
              </w:rPr>
              <w:t>La</w:t>
            </w:r>
            <w:r>
              <w:rPr>
                <w:rFonts w:ascii="ITC Avant Garde" w:eastAsia="Times New Roman" w:hAnsi="ITC Avant Garde"/>
                <w:color w:val="000000"/>
                <w:sz w:val="18"/>
                <w:lang w:eastAsia="es-MX"/>
              </w:rPr>
              <w:t xml:space="preserve"> posible </w:t>
            </w:r>
            <w:r w:rsidRPr="001E7DF4">
              <w:rPr>
                <w:rFonts w:ascii="ITC Avant Garde" w:eastAsia="Times New Roman" w:hAnsi="ITC Avant Garde"/>
                <w:color w:val="000000"/>
                <w:sz w:val="18"/>
                <w:lang w:eastAsia="es-MX"/>
              </w:rPr>
              <w:t xml:space="preserve"> inclus</w:t>
            </w:r>
            <w:r>
              <w:rPr>
                <w:rFonts w:ascii="ITC Avant Garde" w:eastAsia="Times New Roman" w:hAnsi="ITC Avant Garde"/>
                <w:color w:val="000000"/>
                <w:sz w:val="18"/>
                <w:lang w:eastAsia="es-MX"/>
              </w:rPr>
              <w:t>i</w:t>
            </w:r>
            <w:r w:rsidRPr="001E7DF4">
              <w:rPr>
                <w:rFonts w:ascii="ITC Avant Garde" w:eastAsia="Times New Roman" w:hAnsi="ITC Avant Garde"/>
                <w:color w:val="000000"/>
                <w:sz w:val="18"/>
                <w:lang w:eastAsia="es-MX"/>
              </w:rPr>
              <w:t xml:space="preserve">ón de obligaciones de cobertura para prestar el Servicio Complementario Terrestre del Servicio Móvil por Satélite. </w:t>
            </w:r>
          </w:p>
          <w:p w14:paraId="6006131F" w14:textId="77777777" w:rsidR="00055A98" w:rsidRPr="00917436" w:rsidRDefault="00055A98" w:rsidP="00055A98">
            <w:pPr>
              <w:spacing w:after="0" w:line="240" w:lineRule="auto"/>
              <w:ind w:left="776" w:hanging="284"/>
              <w:rPr>
                <w:rFonts w:ascii="ITC Avant Garde" w:eastAsia="Times New Roman" w:hAnsi="ITC Avant Garde"/>
                <w:color w:val="000000"/>
                <w:sz w:val="18"/>
                <w:lang w:eastAsia="es-MX"/>
              </w:rPr>
            </w:pPr>
          </w:p>
          <w:p w14:paraId="64188711" w14:textId="77777777" w:rsidR="00055A98" w:rsidRPr="00B00311" w:rsidRDefault="00055A98" w:rsidP="00055A98">
            <w:pPr>
              <w:spacing w:after="0" w:line="240" w:lineRule="auto"/>
              <w:ind w:left="776"/>
              <w:rPr>
                <w:rFonts w:ascii="ITC Avant Garde" w:eastAsia="Times New Roman" w:hAnsi="ITC Avant Garde"/>
                <w:color w:val="000000"/>
                <w:sz w:val="18"/>
                <w:lang w:eastAsia="es-MX"/>
              </w:rPr>
            </w:pPr>
            <w:r w:rsidRPr="00B00311">
              <w:rPr>
                <w:rFonts w:ascii="ITC Avant Garde" w:eastAsia="Times New Roman" w:hAnsi="ITC Avant Garde"/>
                <w:color w:val="000000"/>
                <w:sz w:val="18"/>
                <w:lang w:eastAsia="es-MX"/>
              </w:rPr>
              <w:t xml:space="preserve">Para mayor referencia sobre obligaciones de cobertura, puede consultar el caso de Canadá en la siguiente liga: </w:t>
            </w:r>
            <w:hyperlink r:id="rId20" w:history="1">
              <w:r w:rsidRPr="00555814">
                <w:rPr>
                  <w:rFonts w:ascii="ITC Avant Garde" w:eastAsia="Times New Roman" w:hAnsi="ITC Avant Garde"/>
                  <w:color w:val="000000"/>
                  <w:sz w:val="18"/>
                  <w:u w:val="single"/>
                  <w:lang w:eastAsia="es-MX"/>
                </w:rPr>
                <w:t>https://www.ic.gc.ca/eic/site/smt-gst.nsf/vwapj/AWS-4_Dec2014-e.pdf/$file/AWS-4_Dec2014-e.pdf</w:t>
              </w:r>
            </w:hyperlink>
            <w:r>
              <w:rPr>
                <w:rFonts w:ascii="ITC Avant Garde" w:eastAsia="Times New Roman" w:hAnsi="ITC Avant Garde"/>
                <w:color w:val="000000"/>
                <w:sz w:val="18"/>
                <w:lang w:eastAsia="es-MX"/>
              </w:rPr>
              <w:t>.</w:t>
            </w:r>
            <w:r w:rsidRPr="00B00311">
              <w:rPr>
                <w:rFonts w:ascii="ITC Avant Garde" w:eastAsia="Times New Roman" w:hAnsi="ITC Avant Garde"/>
                <w:color w:val="000000"/>
                <w:sz w:val="18"/>
                <w:lang w:eastAsia="es-MX"/>
              </w:rPr>
              <w:t xml:space="preserve">  </w:t>
            </w:r>
          </w:p>
          <w:p w14:paraId="1C028C37" w14:textId="77777777" w:rsidR="00055A98" w:rsidRPr="00B00311" w:rsidRDefault="00055A98" w:rsidP="00055A98">
            <w:pPr>
              <w:spacing w:after="0" w:line="240" w:lineRule="auto"/>
              <w:ind w:left="776"/>
              <w:rPr>
                <w:rFonts w:ascii="ITC Avant Garde" w:eastAsia="Times New Roman" w:hAnsi="ITC Avant Garde"/>
                <w:color w:val="000000"/>
                <w:sz w:val="18"/>
                <w:lang w:eastAsia="es-MX"/>
              </w:rPr>
            </w:pPr>
          </w:p>
          <w:p w14:paraId="28C9E92E" w14:textId="77777777" w:rsidR="00055A98" w:rsidRPr="00B00311" w:rsidRDefault="00055A98" w:rsidP="00055A98">
            <w:pPr>
              <w:spacing w:after="0" w:line="240" w:lineRule="auto"/>
              <w:ind w:left="776"/>
              <w:rPr>
                <w:rFonts w:ascii="ITC Avant Garde" w:eastAsia="Times New Roman" w:hAnsi="ITC Avant Garde"/>
                <w:color w:val="000000"/>
                <w:sz w:val="18"/>
                <w:lang w:eastAsia="es-MX"/>
              </w:rPr>
            </w:pPr>
            <w:r w:rsidRPr="00B00311">
              <w:rPr>
                <w:rFonts w:ascii="ITC Avant Garde" w:eastAsia="Times New Roman" w:hAnsi="ITC Avant Garde"/>
                <w:color w:val="000000"/>
                <w:sz w:val="18"/>
                <w:lang w:eastAsia="es-MX"/>
              </w:rPr>
              <w:t>Anexo C. Requisitos de despliegue, Tablas 1.  Requisitos de despliegue a 5, y Tabla 2. Requisitos de despliegue a 10 años.</w:t>
            </w:r>
          </w:p>
          <w:p w14:paraId="65036353" w14:textId="77777777" w:rsidR="00055A98" w:rsidRDefault="00055A98" w:rsidP="00055A98">
            <w:pPr>
              <w:spacing w:after="0" w:line="240" w:lineRule="auto"/>
              <w:ind w:left="776" w:hanging="284"/>
              <w:rPr>
                <w:rFonts w:ascii="ITC Avant Garde" w:eastAsia="Times New Roman" w:hAnsi="ITC Avant Garde"/>
                <w:color w:val="000000"/>
                <w:sz w:val="18"/>
                <w:lang w:eastAsia="es-MX"/>
              </w:rPr>
            </w:pPr>
          </w:p>
        </w:tc>
      </w:tr>
      <w:tr w:rsidR="00055A98" w:rsidRPr="00265FCC" w14:paraId="371F6686" w14:textId="77777777" w:rsidTr="004D55DC">
        <w:trPr>
          <w:trHeight w:val="903"/>
        </w:trPr>
        <w:tc>
          <w:tcPr>
            <w:tcW w:w="5000" w:type="pct"/>
            <w:shd w:val="clear" w:color="auto" w:fill="auto"/>
            <w:vAlign w:val="center"/>
          </w:tcPr>
          <w:p w14:paraId="625C91E8" w14:textId="77777777" w:rsidR="00055A98" w:rsidRPr="0087563D" w:rsidRDefault="00055A98" w:rsidP="00055A98">
            <w:pPr>
              <w:spacing w:after="0" w:line="240" w:lineRule="auto"/>
              <w:jc w:val="both"/>
              <w:rPr>
                <w:rFonts w:ascii="ITC Avant Garde" w:eastAsia="Times New Roman" w:hAnsi="ITC Avant Garde"/>
                <w:color w:val="000000"/>
                <w:sz w:val="18"/>
                <w:highlight w:val="green"/>
                <w:lang w:eastAsia="es-MX"/>
              </w:rPr>
            </w:pPr>
          </w:p>
          <w:p w14:paraId="145664C0" w14:textId="77777777" w:rsidR="00055A98" w:rsidRPr="00055A98" w:rsidRDefault="00055A98" w:rsidP="00055A98">
            <w:pPr>
              <w:jc w:val="both"/>
              <w:rPr>
                <w:sz w:val="18"/>
                <w:szCs w:val="18"/>
                <w:lang w:val="es-CO"/>
              </w:rPr>
            </w:pPr>
            <w:r w:rsidRPr="00055A98">
              <w:rPr>
                <w:sz w:val="18"/>
                <w:szCs w:val="18"/>
                <w:lang w:val="es-CO"/>
              </w:rPr>
              <w:t xml:space="preserve">Omnispace considera que no se justifica la inclusión </w:t>
            </w:r>
            <w:r w:rsidR="00952E94" w:rsidRPr="00055A98">
              <w:rPr>
                <w:sz w:val="18"/>
                <w:szCs w:val="18"/>
                <w:lang w:val="es-CO"/>
              </w:rPr>
              <w:t>de obligaciones</w:t>
            </w:r>
            <w:r w:rsidRPr="00055A98">
              <w:rPr>
                <w:sz w:val="18"/>
                <w:szCs w:val="18"/>
                <w:lang w:val="es-CO"/>
              </w:rPr>
              <w:t xml:space="preserve"> de cobertura para el Componente Complementario Terrestre en la Licitación No. IFT-9 precisamente porque se trata de un proceso competitivo que ya </w:t>
            </w:r>
            <w:r w:rsidR="00952E94" w:rsidRPr="00055A98">
              <w:rPr>
                <w:sz w:val="18"/>
                <w:szCs w:val="18"/>
                <w:lang w:val="es-CO"/>
              </w:rPr>
              <w:t>incorpora</w:t>
            </w:r>
            <w:r w:rsidRPr="00055A98">
              <w:rPr>
                <w:sz w:val="18"/>
                <w:szCs w:val="18"/>
                <w:lang w:val="es-CO"/>
              </w:rPr>
              <w:t xml:space="preserve"> este elemento. </w:t>
            </w:r>
          </w:p>
          <w:p w14:paraId="5163C9B4" w14:textId="77777777" w:rsidR="00055A98" w:rsidRPr="00055A98" w:rsidRDefault="00055A98" w:rsidP="00055A98">
            <w:pPr>
              <w:jc w:val="both"/>
              <w:rPr>
                <w:sz w:val="18"/>
                <w:szCs w:val="18"/>
                <w:lang w:val="es-CO"/>
              </w:rPr>
            </w:pPr>
            <w:r w:rsidRPr="00055A98">
              <w:rPr>
                <w:sz w:val="18"/>
                <w:szCs w:val="18"/>
                <w:lang w:val="es-CO"/>
              </w:rPr>
              <w:t xml:space="preserve">Al observar el caso de Canadá y específicamente la decisión de Industry Canada (ahora Industry, Science, and Economic Development Canada) de imponer obligaciones de cobertura </w:t>
            </w:r>
            <w:r w:rsidR="00952E94" w:rsidRPr="00055A98">
              <w:rPr>
                <w:sz w:val="18"/>
                <w:szCs w:val="18"/>
                <w:lang w:val="es-CO"/>
              </w:rPr>
              <w:t>al Componente</w:t>
            </w:r>
            <w:r w:rsidRPr="00055A98">
              <w:rPr>
                <w:sz w:val="18"/>
                <w:szCs w:val="18"/>
                <w:lang w:val="es-CO"/>
              </w:rPr>
              <w:t xml:space="preserve"> Complementario Terrestre, debe señalarse que existen diferencias sustanciales entre los enfoques canadiense y mexicano para el otorgamiento del Componente Complementario </w:t>
            </w:r>
            <w:r w:rsidR="00952E94" w:rsidRPr="00055A98">
              <w:rPr>
                <w:sz w:val="18"/>
                <w:szCs w:val="18"/>
                <w:lang w:val="es-CO"/>
              </w:rPr>
              <w:t>Terrestre que</w:t>
            </w:r>
            <w:r w:rsidRPr="00055A98">
              <w:rPr>
                <w:sz w:val="18"/>
                <w:szCs w:val="18"/>
                <w:lang w:val="es-CO"/>
              </w:rPr>
              <w:t xml:space="preserve"> justifican el uso de diferentes aproximaciones para cada caso. Específicamente, en 2014, Canadá asignó directamente a un licenciatario de SMS el derecho de ofrecer el Componente Complementario Terrestre, </w:t>
            </w:r>
            <w:r w:rsidRPr="00055A98">
              <w:rPr>
                <w:sz w:val="18"/>
                <w:szCs w:val="18"/>
                <w:lang w:val="es-CO"/>
              </w:rPr>
              <w:lastRenderedPageBreak/>
              <w:t>en lugar de realizar una licitación. En el caso de Canadá, la imposición de obligaciones de cobertura puede ser vista como herramienta razonable para garantizar que el titular de la licencia de SMS utilizara el espectro que se le otorgó para el uso terrestre complementario.</w:t>
            </w:r>
          </w:p>
          <w:p w14:paraId="7C3DE1D1" w14:textId="77777777" w:rsidR="00055A98" w:rsidRPr="00055A98" w:rsidRDefault="00055A98" w:rsidP="00055A98">
            <w:pPr>
              <w:jc w:val="both"/>
              <w:rPr>
                <w:sz w:val="18"/>
                <w:szCs w:val="18"/>
                <w:lang w:val="es-CO"/>
              </w:rPr>
            </w:pPr>
            <w:r w:rsidRPr="00055A98">
              <w:rPr>
                <w:sz w:val="18"/>
                <w:szCs w:val="18"/>
                <w:lang w:val="es-CO"/>
              </w:rPr>
              <w:t>Además, como se señaló en la respuesta a la pregunta 8, la subasta crea un compromiso público por parte de cada Participante con respecto al uso que hará del espectro, y el Instituto podrá evaluar la implementación del servicio y el uso del espectro como parte del proceso de selección. Estos compromisos también proporcionarán al Instituto una herramienta para evaluar el despliegue real del Componente Complementario Terrestre, lo que hace innecesario el establecimiento de obligaciones de cobertura en el presente proceso de Licitación. Además, el formato de la licitación en sí mismo requiere una inversión considerable por parte de los Participantes para presentar Ofertas por el espectro. Esta situación crea un incentivo claro para el despliegue de la red y la prestación de servicios que hace innecesarios los requisitos específicos de cobertura.</w:t>
            </w:r>
          </w:p>
          <w:p w14:paraId="6D0D108D"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r w:rsidRPr="00265FCC">
              <w:rPr>
                <w:rFonts w:ascii="ITC Avant Garde" w:eastAsia="Times New Roman" w:hAnsi="ITC Avant Garde"/>
                <w:color w:val="000000"/>
                <w:sz w:val="18"/>
                <w:lang w:eastAsia="es-MX"/>
              </w:rPr>
              <w:t>Lo anterior, sin perjuicio de los demás comentarios planteados de manera específica en el apartado II anterior.</w:t>
            </w:r>
          </w:p>
          <w:p w14:paraId="2940D45B" w14:textId="77777777" w:rsidR="00055A98" w:rsidRPr="00265FCC" w:rsidRDefault="00055A98" w:rsidP="00055A98">
            <w:pPr>
              <w:spacing w:after="0" w:line="240" w:lineRule="auto"/>
              <w:rPr>
                <w:rFonts w:ascii="ITC Avant Garde" w:eastAsia="Times New Roman" w:hAnsi="ITC Avant Garde"/>
                <w:color w:val="000000"/>
                <w:sz w:val="18"/>
                <w:highlight w:val="green"/>
                <w:lang w:eastAsia="es-MX"/>
              </w:rPr>
            </w:pPr>
          </w:p>
        </w:tc>
      </w:tr>
      <w:tr w:rsidR="00055A98" w:rsidRPr="005D0B9B" w14:paraId="29975F58" w14:textId="77777777" w:rsidTr="004D2479">
        <w:trPr>
          <w:trHeight w:val="678"/>
        </w:trPr>
        <w:tc>
          <w:tcPr>
            <w:tcW w:w="5000" w:type="pct"/>
            <w:shd w:val="clear" w:color="auto" w:fill="C5E0B3"/>
            <w:vAlign w:val="center"/>
            <w:hideMark/>
          </w:tcPr>
          <w:p w14:paraId="4AACF6C0" w14:textId="77777777" w:rsidR="00055A98" w:rsidRPr="00265FCC" w:rsidRDefault="00055A98" w:rsidP="00055A98">
            <w:pPr>
              <w:pStyle w:val="Prrafodelista"/>
              <w:spacing w:after="0" w:line="240" w:lineRule="auto"/>
              <w:ind w:left="492" w:right="355"/>
              <w:jc w:val="both"/>
              <w:rPr>
                <w:rFonts w:ascii="ITC Avant Garde" w:eastAsia="Times New Roman" w:hAnsi="ITC Avant Garde"/>
                <w:color w:val="000000"/>
                <w:sz w:val="18"/>
                <w:lang w:eastAsia="es-MX"/>
              </w:rPr>
            </w:pPr>
          </w:p>
          <w:p w14:paraId="6882F5F2" w14:textId="77777777" w:rsidR="00055A98" w:rsidRPr="00E3674F" w:rsidRDefault="00055A98" w:rsidP="00055A98">
            <w:pPr>
              <w:pStyle w:val="Prrafodelista"/>
              <w:numPr>
                <w:ilvl w:val="0"/>
                <w:numId w:val="16"/>
              </w:numPr>
              <w:spacing w:after="0" w:line="240" w:lineRule="auto"/>
              <w:ind w:left="709" w:right="421" w:hanging="425"/>
              <w:contextualSpacing/>
              <w:jc w:val="both"/>
              <w:rPr>
                <w:rFonts w:ascii="ITC Avant Garde" w:eastAsia="Times New Roman" w:hAnsi="ITC Avant Garde"/>
                <w:color w:val="000000"/>
                <w:sz w:val="18"/>
                <w:lang w:eastAsia="es-MX"/>
              </w:rPr>
            </w:pPr>
            <w:r w:rsidRPr="005D0B9B">
              <w:rPr>
                <w:rFonts w:ascii="ITC Avant Garde" w:hAnsi="ITC Avant Garde"/>
                <w:bCs/>
                <w:color w:val="000000"/>
                <w:sz w:val="18"/>
                <w:lang w:eastAsia="es-MX"/>
              </w:rPr>
              <w:t xml:space="preserve">El límite </w:t>
            </w:r>
            <w:r>
              <w:rPr>
                <w:rFonts w:ascii="ITC Avant Garde" w:hAnsi="ITC Avant Garde"/>
                <w:bCs/>
                <w:color w:val="000000"/>
                <w:sz w:val="18"/>
                <w:lang w:eastAsia="es-MX"/>
              </w:rPr>
              <w:t>de acumulación de espectro</w:t>
            </w:r>
            <w:r>
              <w:t xml:space="preserve">  </w:t>
            </w:r>
            <w:r w:rsidRPr="00AC666A">
              <w:rPr>
                <w:rFonts w:ascii="ITC Avant Garde" w:hAnsi="ITC Avant Garde"/>
                <w:bCs/>
                <w:color w:val="000000"/>
                <w:sz w:val="18"/>
                <w:lang w:eastAsia="es-MX"/>
              </w:rPr>
              <w:t>de un Bloque de espectro pareado de 10 +10 MHz en l</w:t>
            </w:r>
            <w:r>
              <w:rPr>
                <w:rFonts w:ascii="ITC Avant Garde" w:hAnsi="ITC Avant Garde"/>
                <w:bCs/>
                <w:color w:val="000000"/>
                <w:sz w:val="18"/>
                <w:lang w:eastAsia="es-MX"/>
              </w:rPr>
              <w:t>a Banda de 2 GHz, señalado en el numeral 8.2 de</w:t>
            </w:r>
            <w:r w:rsidRPr="00AC666A">
              <w:rPr>
                <w:rFonts w:ascii="ITC Avant Garde" w:hAnsi="ITC Avant Garde"/>
                <w:bCs/>
                <w:color w:val="000000"/>
                <w:sz w:val="18"/>
                <w:lang w:eastAsia="es-MX"/>
              </w:rPr>
              <w:t>l</w:t>
            </w:r>
            <w:r>
              <w:rPr>
                <w:rFonts w:ascii="ITC Avant Garde" w:hAnsi="ITC Avant Garde"/>
                <w:bCs/>
                <w:color w:val="000000"/>
                <w:sz w:val="18"/>
                <w:lang w:eastAsia="es-MX"/>
              </w:rPr>
              <w:t xml:space="preserve"> proyecto de</w:t>
            </w:r>
            <w:r w:rsidRPr="00AC666A">
              <w:rPr>
                <w:rFonts w:ascii="ITC Avant Garde" w:hAnsi="ITC Avant Garde"/>
                <w:bCs/>
                <w:color w:val="000000"/>
                <w:sz w:val="18"/>
                <w:lang w:eastAsia="es-MX"/>
              </w:rPr>
              <w:t xml:space="preserve"> </w:t>
            </w:r>
            <w:r>
              <w:rPr>
                <w:rFonts w:ascii="ITC Avant Garde" w:hAnsi="ITC Avant Garde"/>
                <w:bCs/>
                <w:color w:val="000000"/>
                <w:sz w:val="18"/>
                <w:lang w:eastAsia="es-MX"/>
              </w:rPr>
              <w:t>Numeral</w:t>
            </w:r>
            <w:r w:rsidRPr="005F3F0A">
              <w:rPr>
                <w:rFonts w:ascii="ITC Avant Garde" w:hAnsi="ITC Avant Garde"/>
                <w:bCs/>
                <w:color w:val="000000"/>
                <w:sz w:val="18"/>
                <w:lang w:eastAsia="es-MX"/>
              </w:rPr>
              <w:t xml:space="preserve">. </w:t>
            </w:r>
          </w:p>
          <w:p w14:paraId="032228B9" w14:textId="77777777" w:rsidR="00055A98" w:rsidRPr="00E3674F" w:rsidRDefault="00055A98" w:rsidP="00055A98">
            <w:pPr>
              <w:pStyle w:val="Prrafodelista"/>
              <w:spacing w:after="0" w:line="240" w:lineRule="auto"/>
              <w:ind w:left="709" w:right="421"/>
              <w:contextualSpacing/>
              <w:jc w:val="both"/>
              <w:rPr>
                <w:rFonts w:ascii="ITC Avant Garde" w:eastAsia="Times New Roman" w:hAnsi="ITC Avant Garde"/>
                <w:color w:val="000000"/>
                <w:sz w:val="18"/>
                <w:lang w:eastAsia="es-MX"/>
              </w:rPr>
            </w:pPr>
          </w:p>
          <w:p w14:paraId="5080F296" w14:textId="77777777" w:rsidR="00055A98" w:rsidRPr="005F3F0A" w:rsidRDefault="00055A98" w:rsidP="00055A98">
            <w:pPr>
              <w:pStyle w:val="Prrafodelista"/>
              <w:spacing w:after="0" w:line="240" w:lineRule="auto"/>
              <w:ind w:left="709" w:right="421"/>
              <w:contextualSpacing/>
              <w:jc w:val="both"/>
              <w:rPr>
                <w:rFonts w:ascii="ITC Avant Garde" w:eastAsia="Times New Roman" w:hAnsi="ITC Avant Garde"/>
                <w:color w:val="000000"/>
                <w:sz w:val="18"/>
                <w:lang w:eastAsia="es-MX"/>
              </w:rPr>
            </w:pPr>
            <w:r w:rsidRPr="005F3F0A">
              <w:rPr>
                <w:rFonts w:ascii="ITC Avant Garde" w:hAnsi="ITC Avant Garde"/>
                <w:bCs/>
                <w:color w:val="000000"/>
                <w:sz w:val="18"/>
                <w:lang w:eastAsia="es-MX"/>
              </w:rPr>
              <w:t xml:space="preserve">En caso de incluir alguna propuesta, favor de acompañarla con </w:t>
            </w:r>
            <w:r>
              <w:rPr>
                <w:rFonts w:ascii="ITC Avant Garde" w:hAnsi="ITC Avant Garde"/>
                <w:bCs/>
                <w:color w:val="000000"/>
                <w:sz w:val="18"/>
                <w:lang w:eastAsia="es-MX"/>
              </w:rPr>
              <w:t xml:space="preserve">la </w:t>
            </w:r>
            <w:r w:rsidRPr="005F3F0A">
              <w:rPr>
                <w:rFonts w:ascii="ITC Avant Garde" w:hAnsi="ITC Avant Garde"/>
                <w:bCs/>
                <w:color w:val="000000"/>
                <w:sz w:val="18"/>
                <w:lang w:eastAsia="es-MX"/>
              </w:rPr>
              <w:t xml:space="preserve">justificación correspondiente. </w:t>
            </w:r>
          </w:p>
          <w:p w14:paraId="7DE732DE" w14:textId="77777777" w:rsidR="00055A98" w:rsidRPr="005D0B9B" w:rsidRDefault="00055A98" w:rsidP="00055A98">
            <w:pPr>
              <w:pStyle w:val="Prrafodelista"/>
              <w:spacing w:after="0" w:line="240" w:lineRule="auto"/>
              <w:ind w:left="0" w:right="355"/>
              <w:contextualSpacing/>
              <w:jc w:val="both"/>
              <w:rPr>
                <w:rFonts w:ascii="ITC Avant Garde" w:eastAsia="Times New Roman" w:hAnsi="ITC Avant Garde"/>
                <w:color w:val="000000"/>
                <w:sz w:val="18"/>
                <w:lang w:eastAsia="es-MX"/>
              </w:rPr>
            </w:pPr>
          </w:p>
        </w:tc>
      </w:tr>
      <w:tr w:rsidR="00055A98" w:rsidRPr="005D0B9B" w14:paraId="73602157" w14:textId="77777777" w:rsidTr="004D2479">
        <w:trPr>
          <w:trHeight w:val="290"/>
        </w:trPr>
        <w:tc>
          <w:tcPr>
            <w:tcW w:w="5000" w:type="pct"/>
            <w:shd w:val="clear" w:color="auto" w:fill="auto"/>
            <w:vAlign w:val="center"/>
          </w:tcPr>
          <w:p w14:paraId="2F316DA4" w14:textId="77777777" w:rsidR="00055A98" w:rsidRDefault="00055A98" w:rsidP="00055A98">
            <w:pPr>
              <w:spacing w:after="0" w:line="240" w:lineRule="auto"/>
              <w:rPr>
                <w:rFonts w:ascii="ITC Avant Garde" w:eastAsia="Times New Roman" w:hAnsi="ITC Avant Garde"/>
                <w:color w:val="000000"/>
                <w:sz w:val="18"/>
                <w:lang w:eastAsia="es-MX"/>
              </w:rPr>
            </w:pPr>
          </w:p>
          <w:p w14:paraId="1647E8AC"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r w:rsidRPr="00265FCC">
              <w:rPr>
                <w:rFonts w:ascii="ITC Avant Garde" w:eastAsia="Times New Roman" w:hAnsi="ITC Avant Garde"/>
                <w:color w:val="000000"/>
                <w:sz w:val="18"/>
                <w:lang w:eastAsia="es-MX"/>
              </w:rPr>
              <w:t>Consideramos que el límite de acumulación de espectro propuesto es correcto.  El segundo párrafo señala que dicho límite se aplicará a los Interesados evaluados bajo su dimensión de GIE y considerando las personas con la que el GIE tiene Vínculos.</w:t>
            </w:r>
          </w:p>
          <w:p w14:paraId="5FB5DBE2" w14:textId="77777777" w:rsidR="00055A98" w:rsidRPr="00265FCC" w:rsidRDefault="00055A98" w:rsidP="00055A98">
            <w:pPr>
              <w:spacing w:after="0" w:line="240" w:lineRule="auto"/>
              <w:rPr>
                <w:rFonts w:ascii="ITC Avant Garde" w:eastAsia="Times New Roman" w:hAnsi="ITC Avant Garde"/>
                <w:color w:val="000000"/>
                <w:sz w:val="18"/>
                <w:lang w:eastAsia="es-MX"/>
              </w:rPr>
            </w:pPr>
          </w:p>
          <w:p w14:paraId="5EC15F4A"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r w:rsidRPr="00265FCC">
              <w:rPr>
                <w:rFonts w:ascii="ITC Avant Garde" w:eastAsia="Times New Roman" w:hAnsi="ITC Avant Garde"/>
                <w:color w:val="000000"/>
                <w:sz w:val="18"/>
                <w:lang w:eastAsia="es-MX"/>
              </w:rPr>
              <w:t>Para que lo anterior sea verificable, es necesario incluir en el Apéndice E el requerimiento de información en relación con el tema de Vínculos (previa definición con mayor claridad de este término).</w:t>
            </w:r>
          </w:p>
          <w:p w14:paraId="3B719331"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p>
          <w:p w14:paraId="0F289B91"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r w:rsidRPr="00265FCC">
              <w:rPr>
                <w:rFonts w:ascii="ITC Avant Garde" w:eastAsia="Times New Roman" w:hAnsi="ITC Avant Garde"/>
                <w:color w:val="000000"/>
                <w:sz w:val="18"/>
                <w:lang w:eastAsia="es-MX"/>
              </w:rPr>
              <w:t>La obligación del límite de acumulación de espectro también debe resultar aplicable a los Participantes Ganadores, por lo que debe ajustarse la redacción del primer párrafo del numeral 8.2 para incluir expresamente a dichos sujetos como obligados al mismo.</w:t>
            </w:r>
          </w:p>
          <w:p w14:paraId="23E4B835"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p>
          <w:p w14:paraId="187B9B61"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r w:rsidRPr="00265FCC">
              <w:rPr>
                <w:rFonts w:ascii="ITC Avant Garde" w:eastAsia="Times New Roman" w:hAnsi="ITC Avant Garde"/>
                <w:color w:val="000000"/>
                <w:sz w:val="18"/>
                <w:lang w:eastAsia="es-MX"/>
              </w:rPr>
              <w:t>Adicionalmente, se propone la inclusión de un segundo párrafo al numeral 3 del Apéndice B, en los siguientes términos:</w:t>
            </w:r>
          </w:p>
          <w:p w14:paraId="59048EB6"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p>
          <w:p w14:paraId="1EE3B7FB"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r w:rsidRPr="00265FCC">
              <w:rPr>
                <w:rFonts w:ascii="ITC Avant Garde" w:eastAsia="Times New Roman" w:hAnsi="ITC Avant Garde"/>
                <w:color w:val="000000"/>
                <w:sz w:val="18"/>
                <w:lang w:eastAsia="es-MX"/>
              </w:rPr>
              <w:tab/>
              <w:t>“</w:t>
            </w:r>
            <w:r w:rsidRPr="00265FCC">
              <w:rPr>
                <w:rFonts w:ascii="ITC Avant Garde" w:eastAsia="Times New Roman" w:hAnsi="ITC Avant Garde"/>
                <w:i/>
                <w:color w:val="000000"/>
                <w:sz w:val="18"/>
                <w:lang w:eastAsia="es-MX"/>
              </w:rPr>
              <w:t xml:space="preserve">Los Participantes que presenten Ofertas para un Bloque no podrán estar vinculados directa o indirectamente a </w:t>
            </w:r>
            <w:r w:rsidRPr="00265FCC">
              <w:rPr>
                <w:rFonts w:ascii="ITC Avant Garde" w:eastAsia="Times New Roman" w:hAnsi="ITC Avant Garde"/>
                <w:i/>
                <w:color w:val="000000"/>
                <w:sz w:val="18"/>
                <w:lang w:eastAsia="es-MX"/>
              </w:rPr>
              <w:tab/>
              <w:t xml:space="preserve">través de agentes, intermediarios, socios de negocio u otro tercero con quien tengan Vínculos, de hecho o de </w:t>
            </w:r>
            <w:r w:rsidRPr="00265FCC">
              <w:rPr>
                <w:rFonts w:ascii="ITC Avant Garde" w:eastAsia="Times New Roman" w:hAnsi="ITC Avant Garde"/>
                <w:i/>
                <w:color w:val="000000"/>
                <w:sz w:val="18"/>
                <w:lang w:eastAsia="es-MX"/>
              </w:rPr>
              <w:tab/>
              <w:t>derecho, de manera directa o indirecta, con Participantes que presenten Ofertas para el otro Bloque</w:t>
            </w:r>
            <w:r w:rsidRPr="00265FCC">
              <w:rPr>
                <w:rFonts w:ascii="ITC Avant Garde" w:eastAsia="Times New Roman" w:hAnsi="ITC Avant Garde"/>
                <w:color w:val="000000"/>
                <w:sz w:val="18"/>
                <w:lang w:eastAsia="es-MX"/>
              </w:rPr>
              <w:t>.”</w:t>
            </w:r>
          </w:p>
          <w:p w14:paraId="2115E630"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p>
          <w:p w14:paraId="602C7649"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r w:rsidRPr="00265FCC">
              <w:rPr>
                <w:rFonts w:ascii="ITC Avant Garde" w:eastAsia="Times New Roman" w:hAnsi="ITC Avant Garde"/>
                <w:color w:val="000000"/>
                <w:sz w:val="18"/>
                <w:lang w:eastAsia="es-MX"/>
              </w:rPr>
              <w:t>Lo anterior es consistente con la propuesta de adición al numeral 2.3 del proyecto de Bases señalado anteriormente, cuya conducta estaría prevista como causal de descalificación bajo el numeral 12.2 del proyecto de Bases.</w:t>
            </w:r>
          </w:p>
          <w:p w14:paraId="24C2A6DD"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p>
          <w:p w14:paraId="5A8825AE"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r w:rsidRPr="00265FCC">
              <w:rPr>
                <w:rFonts w:ascii="ITC Avant Garde" w:eastAsia="Times New Roman" w:hAnsi="ITC Avant Garde"/>
                <w:color w:val="000000"/>
                <w:sz w:val="18"/>
                <w:lang w:eastAsia="es-MX"/>
              </w:rPr>
              <w:t>Lo anterior, sin perjuicio de los demás comentarios planteados de manera específica en el apartado II anterior.</w:t>
            </w:r>
          </w:p>
          <w:p w14:paraId="341A634C" w14:textId="77777777" w:rsidR="00055A98" w:rsidRPr="005D0B9B" w:rsidRDefault="00055A98" w:rsidP="00055A98">
            <w:pPr>
              <w:spacing w:after="0" w:line="240" w:lineRule="auto"/>
              <w:rPr>
                <w:rFonts w:ascii="ITC Avant Garde" w:eastAsia="Times New Roman" w:hAnsi="ITC Avant Garde"/>
                <w:color w:val="000000"/>
                <w:sz w:val="18"/>
                <w:lang w:eastAsia="es-MX"/>
              </w:rPr>
            </w:pPr>
          </w:p>
        </w:tc>
      </w:tr>
      <w:tr w:rsidR="00055A98" w:rsidRPr="005D0B9B" w14:paraId="6AE94887" w14:textId="77777777" w:rsidTr="004D2479">
        <w:trPr>
          <w:trHeight w:val="678"/>
        </w:trPr>
        <w:tc>
          <w:tcPr>
            <w:tcW w:w="5000" w:type="pct"/>
            <w:shd w:val="clear" w:color="auto" w:fill="C5E0B3"/>
            <w:vAlign w:val="center"/>
            <w:hideMark/>
          </w:tcPr>
          <w:p w14:paraId="49EBF26D" w14:textId="77777777" w:rsidR="00055A98" w:rsidRPr="00555814" w:rsidRDefault="00055A98" w:rsidP="00055A98">
            <w:pPr>
              <w:pStyle w:val="Prrafodelista"/>
              <w:spacing w:after="0" w:line="240" w:lineRule="auto"/>
              <w:ind w:left="1080"/>
              <w:jc w:val="both"/>
              <w:rPr>
                <w:rFonts w:ascii="ITC Avant Garde" w:eastAsia="Times New Roman" w:hAnsi="ITC Avant Garde"/>
                <w:color w:val="000000"/>
                <w:sz w:val="18"/>
                <w:lang w:eastAsia="es-MX"/>
              </w:rPr>
            </w:pPr>
          </w:p>
          <w:p w14:paraId="7BC0281F" w14:textId="77777777" w:rsidR="00055A98" w:rsidRPr="00555814" w:rsidRDefault="00055A98" w:rsidP="00055A98">
            <w:pPr>
              <w:pStyle w:val="Prrafodelista"/>
              <w:numPr>
                <w:ilvl w:val="0"/>
                <w:numId w:val="16"/>
              </w:numPr>
              <w:spacing w:after="0" w:line="240" w:lineRule="auto"/>
              <w:ind w:left="709" w:right="421" w:hanging="425"/>
              <w:contextualSpacing/>
              <w:jc w:val="both"/>
              <w:rPr>
                <w:rFonts w:ascii="ITC Avant Garde" w:eastAsia="Times New Roman" w:hAnsi="ITC Avant Garde"/>
                <w:color w:val="000000"/>
                <w:sz w:val="18"/>
                <w:lang w:eastAsia="es-MX"/>
              </w:rPr>
            </w:pPr>
            <w:r>
              <w:rPr>
                <w:rFonts w:ascii="ITC Avant Garde" w:eastAsia="Times New Roman" w:hAnsi="ITC Avant Garde"/>
                <w:bCs/>
                <w:color w:val="000000"/>
                <w:sz w:val="18"/>
                <w:lang w:eastAsia="es-MX"/>
              </w:rPr>
              <w:t>Los precios de reserva iniciales para u</w:t>
            </w:r>
            <w:r w:rsidRPr="00555814">
              <w:rPr>
                <w:rFonts w:ascii="ITC Avant Garde" w:hAnsi="ITC Avant Garde"/>
                <w:bCs/>
                <w:color w:val="000000"/>
                <w:sz w:val="18"/>
                <w:lang w:eastAsia="es-MX"/>
              </w:rPr>
              <w:t xml:space="preserve">n Bloque de espectro pareado de 10 +10 MHz en la Banda de 2 GHz. (Numeral 8.2 de </w:t>
            </w:r>
            <w:r>
              <w:rPr>
                <w:rFonts w:ascii="ITC Avant Garde" w:hAnsi="ITC Avant Garde"/>
                <w:bCs/>
                <w:color w:val="000000"/>
                <w:sz w:val="18"/>
                <w:lang w:eastAsia="es-MX"/>
              </w:rPr>
              <w:t>el Numeral</w:t>
            </w:r>
            <w:r w:rsidRPr="00555814">
              <w:rPr>
                <w:rFonts w:ascii="ITC Avant Garde" w:hAnsi="ITC Avant Garde"/>
                <w:bCs/>
                <w:color w:val="000000"/>
                <w:sz w:val="18"/>
                <w:lang w:eastAsia="es-MX"/>
              </w:rPr>
              <w:t xml:space="preserve">). En caso de incluir alguna propuesta, favor de acompañarla con la justificación correspondiente. </w:t>
            </w:r>
          </w:p>
          <w:p w14:paraId="15D01604" w14:textId="77777777" w:rsidR="00055A98" w:rsidRPr="00555814" w:rsidRDefault="00055A98" w:rsidP="00055A98">
            <w:pPr>
              <w:pStyle w:val="Prrafodelista"/>
              <w:spacing w:after="0" w:line="240" w:lineRule="auto"/>
              <w:ind w:left="0"/>
              <w:rPr>
                <w:rFonts w:ascii="ITC Avant Garde" w:eastAsia="Times New Roman" w:hAnsi="ITC Avant Garde"/>
                <w:color w:val="000000"/>
                <w:sz w:val="18"/>
                <w:lang w:eastAsia="es-MX"/>
              </w:rPr>
            </w:pPr>
          </w:p>
        </w:tc>
      </w:tr>
      <w:tr w:rsidR="00055A98" w:rsidRPr="00491EE4" w14:paraId="7D1E6F6E" w14:textId="77777777" w:rsidTr="004D2479">
        <w:trPr>
          <w:trHeight w:val="290"/>
        </w:trPr>
        <w:tc>
          <w:tcPr>
            <w:tcW w:w="5000" w:type="pct"/>
            <w:shd w:val="clear" w:color="auto" w:fill="auto"/>
            <w:vAlign w:val="center"/>
          </w:tcPr>
          <w:p w14:paraId="12906246" w14:textId="77777777" w:rsidR="00055A98" w:rsidRPr="00055A98" w:rsidRDefault="00055A98" w:rsidP="00055A98">
            <w:pPr>
              <w:spacing w:after="0" w:line="240" w:lineRule="auto"/>
              <w:rPr>
                <w:rFonts w:ascii="ITC Avant Garde" w:eastAsia="Times New Roman" w:hAnsi="ITC Avant Garde"/>
                <w:color w:val="000000"/>
                <w:sz w:val="18"/>
                <w:szCs w:val="18"/>
                <w:lang w:eastAsia="es-MX"/>
              </w:rPr>
            </w:pPr>
          </w:p>
          <w:p w14:paraId="4816DB64" w14:textId="2E19277F" w:rsidR="00055A98" w:rsidRPr="00055A98" w:rsidRDefault="00055A98" w:rsidP="00055A98">
            <w:pPr>
              <w:jc w:val="both"/>
              <w:rPr>
                <w:sz w:val="18"/>
                <w:szCs w:val="18"/>
                <w:lang w:val="es-CO"/>
              </w:rPr>
            </w:pPr>
            <w:r w:rsidRPr="00055A98">
              <w:rPr>
                <w:sz w:val="18"/>
                <w:szCs w:val="18"/>
                <w:lang w:val="es-CO"/>
              </w:rPr>
              <w:lastRenderedPageBreak/>
              <w:t xml:space="preserve">Con el fin de contribuir para </w:t>
            </w:r>
            <w:r w:rsidR="001F1BF8">
              <w:rPr>
                <w:sz w:val="18"/>
                <w:szCs w:val="18"/>
                <w:lang w:val="es-CO"/>
              </w:rPr>
              <w:t>a</w:t>
            </w:r>
            <w:r w:rsidR="0087563D">
              <w:rPr>
                <w:sz w:val="18"/>
                <w:szCs w:val="18"/>
                <w:lang w:val="es-CO"/>
              </w:rPr>
              <w:t>y</w:t>
            </w:r>
            <w:r w:rsidR="001F1BF8">
              <w:rPr>
                <w:sz w:val="18"/>
                <w:szCs w:val="18"/>
                <w:lang w:val="es-CO"/>
              </w:rPr>
              <w:t xml:space="preserve">udar el Instituto </w:t>
            </w:r>
            <w:r w:rsidRPr="00055A98">
              <w:rPr>
                <w:sz w:val="18"/>
                <w:szCs w:val="18"/>
                <w:lang w:val="es-CO"/>
              </w:rPr>
              <w:t xml:space="preserve">establecer el Valor Mínimo de Referencia, en las siguientes secciones </w:t>
            </w:r>
            <w:r w:rsidR="00952E94" w:rsidRPr="00055A98">
              <w:rPr>
                <w:sz w:val="18"/>
                <w:szCs w:val="18"/>
                <w:lang w:val="es-CO"/>
              </w:rPr>
              <w:t>Omnispace respetuosamente</w:t>
            </w:r>
            <w:r w:rsidRPr="00055A98">
              <w:rPr>
                <w:sz w:val="18"/>
                <w:szCs w:val="18"/>
                <w:lang w:val="es-CO"/>
              </w:rPr>
              <w:t xml:space="preserve"> presenta para la consideración del Instituto una metodología para establecer tal valor en esta licitación.</w:t>
            </w:r>
          </w:p>
          <w:p w14:paraId="2FEB5B81" w14:textId="77777777" w:rsidR="00055A98" w:rsidRPr="00055A98" w:rsidRDefault="00055A98" w:rsidP="00055A98">
            <w:pPr>
              <w:contextualSpacing/>
              <w:jc w:val="both"/>
              <w:rPr>
                <w:b/>
                <w:i/>
                <w:sz w:val="18"/>
                <w:szCs w:val="18"/>
                <w:u w:val="single"/>
                <w:lang w:val="es-CO"/>
              </w:rPr>
            </w:pPr>
            <w:r w:rsidRPr="00055A98">
              <w:rPr>
                <w:b/>
                <w:i/>
                <w:sz w:val="18"/>
                <w:szCs w:val="18"/>
                <w:u w:val="single"/>
                <w:lang w:val="es-CO"/>
              </w:rPr>
              <w:t>Metodología propuesta para fijar el Valor Mínimo de Referencia para esta Licitación.</w:t>
            </w:r>
          </w:p>
          <w:p w14:paraId="732224F9" w14:textId="77777777" w:rsidR="00055A98" w:rsidRPr="00055A98" w:rsidRDefault="00055A98" w:rsidP="00055A98">
            <w:pPr>
              <w:contextualSpacing/>
              <w:jc w:val="both"/>
              <w:rPr>
                <w:sz w:val="18"/>
                <w:szCs w:val="18"/>
                <w:lang w:val="es-CO"/>
              </w:rPr>
            </w:pPr>
          </w:p>
          <w:p w14:paraId="7FF15EBD" w14:textId="77777777" w:rsidR="00055A98" w:rsidRPr="00055A98" w:rsidRDefault="00055A98" w:rsidP="00055A98">
            <w:pPr>
              <w:contextualSpacing/>
              <w:jc w:val="both"/>
              <w:rPr>
                <w:sz w:val="18"/>
                <w:szCs w:val="18"/>
                <w:lang w:val="es-CO"/>
              </w:rPr>
            </w:pPr>
            <w:r w:rsidRPr="00055A98">
              <w:rPr>
                <w:sz w:val="18"/>
                <w:szCs w:val="18"/>
                <w:lang w:val="es-CO"/>
              </w:rPr>
              <w:t xml:space="preserve">Omnispace considera que el Valor Mínimo de Referencia para cada Bloque de 10 + 10 MHz en la banda de 2 GHz debe reflejar el valor de mercado del espectro para uso del Componente Complementario Terrestre. Sin embargo, a diferencia de otras bandas de espectro que han sido subastadas por el Instituto, las comparativas internacionales y otras metodologías de valoración son difíciles de aplicar en este caso, ya que el uso del Componente </w:t>
            </w:r>
            <w:r w:rsidR="00952E94" w:rsidRPr="00055A98">
              <w:rPr>
                <w:sz w:val="18"/>
                <w:szCs w:val="18"/>
                <w:lang w:val="es-CO"/>
              </w:rPr>
              <w:t>Complementario Terrestre</w:t>
            </w:r>
            <w:r w:rsidRPr="00055A98">
              <w:rPr>
                <w:sz w:val="18"/>
                <w:szCs w:val="18"/>
                <w:lang w:val="es-CO"/>
              </w:rPr>
              <w:t xml:space="preserve"> en la banda de 2 GHz está significativamente limitado por las asignaciones existentes para el servicio móvil por satélite (SMS). Ello generará costos adicionales y complejidades considerables para los operadores independientes que intenten compartir la banda de 2 GHz para los servicios satelitales y terrestres en la misma área geográfica. Por ello, el valor de mercado de este espectro para uso del Componente Complementario Terrestre es bajo.</w:t>
            </w:r>
          </w:p>
          <w:p w14:paraId="69CC6348" w14:textId="77777777" w:rsidR="00055A98" w:rsidRPr="00055A98" w:rsidRDefault="00055A98" w:rsidP="00055A98">
            <w:pPr>
              <w:contextualSpacing/>
              <w:jc w:val="both"/>
              <w:rPr>
                <w:sz w:val="18"/>
                <w:szCs w:val="18"/>
                <w:lang w:val="es-CO"/>
              </w:rPr>
            </w:pPr>
          </w:p>
          <w:p w14:paraId="6109AD47" w14:textId="77777777" w:rsidR="00055A98" w:rsidRPr="00055A98" w:rsidRDefault="00055A98" w:rsidP="00055A98">
            <w:pPr>
              <w:contextualSpacing/>
              <w:jc w:val="both"/>
              <w:rPr>
                <w:sz w:val="18"/>
                <w:szCs w:val="18"/>
                <w:lang w:val="es-CO"/>
              </w:rPr>
            </w:pPr>
            <w:r w:rsidRPr="00055A98">
              <w:rPr>
                <w:sz w:val="18"/>
                <w:szCs w:val="18"/>
                <w:lang w:val="es-CO"/>
              </w:rPr>
              <w:t>De acuerdo con lo anterior, el Instituto debería considerar establecer un Valor Mínimo de Referencia en esta licitación, siguiendo un enfoque compuesto por dos pasos:</w:t>
            </w:r>
          </w:p>
          <w:p w14:paraId="4B495AC1" w14:textId="77777777" w:rsidR="00055A98" w:rsidRPr="00055A98" w:rsidRDefault="00055A98" w:rsidP="00055A98">
            <w:pPr>
              <w:pStyle w:val="Prrafodelista"/>
              <w:numPr>
                <w:ilvl w:val="0"/>
                <w:numId w:val="36"/>
              </w:numPr>
              <w:jc w:val="both"/>
              <w:rPr>
                <w:sz w:val="18"/>
                <w:szCs w:val="18"/>
                <w:lang w:val="es-CO"/>
              </w:rPr>
            </w:pPr>
            <w:r w:rsidRPr="00055A98">
              <w:rPr>
                <w:sz w:val="18"/>
                <w:szCs w:val="18"/>
                <w:lang w:val="es-CO"/>
              </w:rPr>
              <w:t xml:space="preserve">Primero, considerando que no hay precios internacionales de referencia para este espectro, el Instituto podría usar los precios pagados en la última licitación de espectro para servicios de telecomunicaciones móviles internacionales (IMT) (i.e., la banda de 2500-2690 MHz (2.5 GHz)) como valor de comparación para fijar el Valor Mínimo de </w:t>
            </w:r>
            <w:r w:rsidR="00952E94" w:rsidRPr="00055A98">
              <w:rPr>
                <w:sz w:val="18"/>
                <w:szCs w:val="18"/>
                <w:lang w:val="es-CO"/>
              </w:rPr>
              <w:t>Referencia en</w:t>
            </w:r>
            <w:r w:rsidRPr="00055A98">
              <w:rPr>
                <w:sz w:val="18"/>
                <w:szCs w:val="18"/>
                <w:lang w:val="es-CO"/>
              </w:rPr>
              <w:t xml:space="preserve"> esta licitación.</w:t>
            </w:r>
          </w:p>
          <w:p w14:paraId="582B6F69" w14:textId="77777777" w:rsidR="00055A98" w:rsidRPr="00055A98" w:rsidRDefault="00055A98" w:rsidP="00055A98">
            <w:pPr>
              <w:pStyle w:val="Prrafodelista"/>
              <w:numPr>
                <w:ilvl w:val="0"/>
                <w:numId w:val="36"/>
              </w:numPr>
              <w:jc w:val="both"/>
              <w:rPr>
                <w:sz w:val="18"/>
                <w:szCs w:val="18"/>
                <w:lang w:val="es-CO"/>
              </w:rPr>
            </w:pPr>
            <w:r w:rsidRPr="00055A98">
              <w:rPr>
                <w:sz w:val="18"/>
                <w:szCs w:val="18"/>
                <w:lang w:val="es-CO"/>
              </w:rPr>
              <w:t>Segundo, proponemos que el Instituto descuente aún más dicho valor de comparación por un factor de descuento asociado a la limitación del uso de la banda para obtener un valor de mercado justo para el espectro. Los factores de descuento de este tipo se utilizan comúnmente a nivel internacional para establecer los precios de reserva o son internalizados por los postores y se reflejan en los montos pagados en la subasta. Además, el uso de un factor de descuento es consistente con la práctica del Instituto par afijar el Valor Mínimo de Referencia, como se discute más adelante.</w:t>
            </w:r>
          </w:p>
          <w:p w14:paraId="155DEC0F" w14:textId="77777777" w:rsidR="00055A98" w:rsidRPr="00055A98" w:rsidRDefault="00055A98" w:rsidP="00055A98">
            <w:pPr>
              <w:jc w:val="both"/>
              <w:rPr>
                <w:sz w:val="18"/>
                <w:szCs w:val="18"/>
                <w:lang w:val="es-CO"/>
              </w:rPr>
            </w:pPr>
            <w:r w:rsidRPr="00055A98">
              <w:rPr>
                <w:sz w:val="18"/>
                <w:szCs w:val="18"/>
                <w:lang w:val="es-CO"/>
              </w:rPr>
              <w:t xml:space="preserve">En las siguientes secciones, analizamos cómo </w:t>
            </w:r>
            <w:r w:rsidR="00952E94" w:rsidRPr="00055A98">
              <w:rPr>
                <w:sz w:val="18"/>
                <w:szCs w:val="18"/>
                <w:lang w:val="es-CO"/>
              </w:rPr>
              <w:t>las limitaciones de uso afectan</w:t>
            </w:r>
            <w:r w:rsidRPr="00055A98">
              <w:rPr>
                <w:sz w:val="18"/>
                <w:szCs w:val="18"/>
                <w:lang w:val="es-CO"/>
              </w:rPr>
              <w:t xml:space="preserve"> el valor de mercado de este espectro y describimos de forma más detallada los pasos propuestos para establecer el Valor Mínimo de Referencia en esta licitación.</w:t>
            </w:r>
          </w:p>
          <w:p w14:paraId="4F35B7EA" w14:textId="77777777" w:rsidR="00055A98" w:rsidRPr="00055A98" w:rsidRDefault="00055A98" w:rsidP="00055A98">
            <w:pPr>
              <w:pStyle w:val="Ttulo1"/>
              <w:numPr>
                <w:ilvl w:val="0"/>
                <w:numId w:val="42"/>
              </w:numPr>
              <w:spacing w:before="0" w:after="160"/>
              <w:jc w:val="both"/>
              <w:rPr>
                <w:i/>
                <w:color w:val="auto"/>
                <w:sz w:val="18"/>
                <w:szCs w:val="18"/>
                <w:lang w:val="es-CO"/>
              </w:rPr>
            </w:pPr>
            <w:r w:rsidRPr="00055A98">
              <w:rPr>
                <w:i/>
                <w:color w:val="auto"/>
                <w:sz w:val="18"/>
                <w:szCs w:val="18"/>
                <w:lang w:val="es-CO"/>
              </w:rPr>
              <w:t xml:space="preserve">El </w:t>
            </w:r>
            <w:r>
              <w:rPr>
                <w:i/>
                <w:color w:val="auto"/>
                <w:sz w:val="18"/>
                <w:szCs w:val="18"/>
                <w:lang w:val="es-CO"/>
              </w:rPr>
              <w:t xml:space="preserve">Instituto </w:t>
            </w:r>
            <w:r w:rsidRPr="00055A98">
              <w:rPr>
                <w:i/>
                <w:color w:val="auto"/>
                <w:sz w:val="18"/>
                <w:szCs w:val="18"/>
                <w:lang w:val="es-CO"/>
              </w:rPr>
              <w:t>debe tener en cuenta las limitaciones al uso que afecta la banda de 2 GHz al fijar el valor de mercado del espectro</w:t>
            </w:r>
          </w:p>
          <w:p w14:paraId="5ADD7C40" w14:textId="77777777" w:rsidR="00055A98" w:rsidRPr="00055A98" w:rsidRDefault="00055A98" w:rsidP="00055A98">
            <w:pPr>
              <w:jc w:val="both"/>
              <w:rPr>
                <w:sz w:val="18"/>
                <w:szCs w:val="18"/>
                <w:lang w:val="es-CO"/>
              </w:rPr>
            </w:pPr>
            <w:r w:rsidRPr="00055A98">
              <w:rPr>
                <w:sz w:val="18"/>
                <w:szCs w:val="18"/>
                <w:lang w:val="es-CO"/>
              </w:rPr>
              <w:t xml:space="preserve">Reconociendo el alto grado de limitación que afecta el uso del Componente Complementario Terrestre en la banda de 2 </w:t>
            </w:r>
            <w:r w:rsidR="00952E94" w:rsidRPr="00055A98">
              <w:rPr>
                <w:sz w:val="18"/>
                <w:szCs w:val="18"/>
                <w:lang w:val="es-CO"/>
              </w:rPr>
              <w:t>GHz,</w:t>
            </w:r>
            <w:r w:rsidRPr="00055A98">
              <w:rPr>
                <w:sz w:val="18"/>
                <w:szCs w:val="18"/>
                <w:lang w:val="es-CO"/>
              </w:rPr>
              <w:t xml:space="preserve"> los reguladores de </w:t>
            </w:r>
            <w:r w:rsidR="0082178B">
              <w:rPr>
                <w:sz w:val="18"/>
                <w:szCs w:val="18"/>
                <w:lang w:val="es-CO"/>
              </w:rPr>
              <w:t xml:space="preserve">los </w:t>
            </w:r>
            <w:r w:rsidRPr="00055A98">
              <w:rPr>
                <w:sz w:val="18"/>
                <w:szCs w:val="18"/>
                <w:lang w:val="es-CO"/>
              </w:rPr>
              <w:t xml:space="preserve">Estados Unidos, Canadá y de la Unión Europea (UE) han asignado este espectro directamente a los titulares de licencias de Servicios Móviles por Satélite, es decir, sin emplear un proceso de licitación competitivo. Esto reconoce que </w:t>
            </w:r>
            <w:r w:rsidR="00952E94" w:rsidRPr="00055A98">
              <w:rPr>
                <w:sz w:val="18"/>
                <w:szCs w:val="18"/>
                <w:lang w:val="es-CO"/>
              </w:rPr>
              <w:t>las limitaciones</w:t>
            </w:r>
            <w:r w:rsidRPr="00055A98">
              <w:rPr>
                <w:sz w:val="18"/>
                <w:szCs w:val="18"/>
                <w:lang w:val="es-CO"/>
              </w:rPr>
              <w:t xml:space="preserve"> al uso de la banda de 2 GHz son significativas.</w:t>
            </w:r>
          </w:p>
          <w:p w14:paraId="7DF480D5" w14:textId="77777777" w:rsidR="00055A98" w:rsidRPr="00055A98" w:rsidRDefault="00055A98" w:rsidP="00055A98">
            <w:pPr>
              <w:jc w:val="both"/>
              <w:rPr>
                <w:sz w:val="18"/>
                <w:szCs w:val="18"/>
                <w:lang w:val="es-CO"/>
              </w:rPr>
            </w:pPr>
            <w:r w:rsidRPr="00055A98">
              <w:rPr>
                <w:sz w:val="18"/>
                <w:szCs w:val="18"/>
                <w:lang w:val="es-CO"/>
              </w:rPr>
              <w:t>El Instituto, por otro lado, ha propuesto emplear un proceso competitivo para asignar la banda de 2 GHz para uso comercial</w:t>
            </w:r>
            <w:r w:rsidRPr="00055A98">
              <w:rPr>
                <w:rStyle w:val="Refdenotaalpie"/>
                <w:rFonts w:cs="Arial"/>
                <w:sz w:val="18"/>
                <w:szCs w:val="18"/>
              </w:rPr>
              <w:footnoteReference w:id="10"/>
            </w:r>
            <w:r w:rsidRPr="00055A98">
              <w:rPr>
                <w:sz w:val="18"/>
                <w:szCs w:val="18"/>
                <w:lang w:val="es-CO"/>
              </w:rPr>
              <w:t>, que exige un precio de reserva</w:t>
            </w:r>
            <w:r w:rsidRPr="00055A98">
              <w:rPr>
                <w:rStyle w:val="Refdenotaalpie"/>
                <w:rFonts w:cs="Arial"/>
                <w:sz w:val="18"/>
                <w:szCs w:val="18"/>
              </w:rPr>
              <w:footnoteReference w:id="11"/>
            </w:r>
            <w:r w:rsidRPr="00055A98">
              <w:rPr>
                <w:sz w:val="18"/>
                <w:szCs w:val="18"/>
                <w:lang w:val="es-CO"/>
              </w:rPr>
              <w:t xml:space="preserve">. Actualmente, el Proyecto de Bases permite que terceros no vinculados con los actuales Autorizados en la banda puedan participar en la Licitación. En caso de que alguno gane, el </w:t>
            </w:r>
            <w:r w:rsidR="00952E94" w:rsidRPr="00055A98">
              <w:rPr>
                <w:sz w:val="18"/>
                <w:szCs w:val="18"/>
                <w:lang w:val="es-CO"/>
              </w:rPr>
              <w:t>Proyecto</w:t>
            </w:r>
            <w:r w:rsidRPr="00055A98">
              <w:rPr>
                <w:sz w:val="18"/>
                <w:szCs w:val="18"/>
                <w:lang w:val="es-CO"/>
              </w:rPr>
              <w:t xml:space="preserve"> de Bases </w:t>
            </w:r>
            <w:r w:rsidRPr="00055A98">
              <w:rPr>
                <w:sz w:val="18"/>
                <w:szCs w:val="18"/>
                <w:lang w:val="es-CO"/>
              </w:rPr>
              <w:lastRenderedPageBreak/>
              <w:t>indica que dichos terceros deberán negociar acuerdos de coordinación con los Autorizados del Servicios Móviles por Satélite</w:t>
            </w:r>
            <w:r w:rsidRPr="00055A98">
              <w:rPr>
                <w:rStyle w:val="Refdenotaalpie"/>
                <w:sz w:val="18"/>
                <w:szCs w:val="18"/>
              </w:rPr>
              <w:footnoteReference w:id="12"/>
            </w:r>
            <w:r w:rsidRPr="00055A98">
              <w:rPr>
                <w:sz w:val="18"/>
                <w:szCs w:val="18"/>
                <w:lang w:val="es-CO"/>
              </w:rPr>
              <w:t>.</w:t>
            </w:r>
          </w:p>
          <w:p w14:paraId="27FF6690" w14:textId="77777777" w:rsidR="00055A98" w:rsidRPr="00055A98" w:rsidRDefault="00055A98" w:rsidP="00055A98">
            <w:pPr>
              <w:jc w:val="both"/>
              <w:rPr>
                <w:sz w:val="18"/>
                <w:szCs w:val="18"/>
                <w:lang w:val="es-CO"/>
              </w:rPr>
            </w:pPr>
            <w:r w:rsidRPr="00055A98">
              <w:rPr>
                <w:sz w:val="18"/>
                <w:szCs w:val="18"/>
                <w:lang w:val="es-CO"/>
              </w:rPr>
              <w:t xml:space="preserve">Teniendo en cuenta lo anterior, Omnispace considera que el valor de mercado de </w:t>
            </w:r>
            <w:r w:rsidR="00FA16B7">
              <w:rPr>
                <w:sz w:val="18"/>
                <w:szCs w:val="18"/>
                <w:lang w:val="es-CO"/>
              </w:rPr>
              <w:t xml:space="preserve">la banda </w:t>
            </w:r>
            <w:r w:rsidRPr="00055A98">
              <w:rPr>
                <w:sz w:val="18"/>
                <w:szCs w:val="18"/>
                <w:lang w:val="es-CO"/>
              </w:rPr>
              <w:t>2 GHz en México es bajo, ya que la banda se ve afectada por las mismas limitaciones y problemas de interferencia y coexistencia que los reconocidos por los reguladores en otros países.</w:t>
            </w:r>
          </w:p>
          <w:p w14:paraId="0C0E6D78" w14:textId="77777777" w:rsidR="00055A98" w:rsidRPr="00055A98" w:rsidRDefault="00055A98" w:rsidP="00055A98">
            <w:pPr>
              <w:pStyle w:val="Prrafodelista"/>
              <w:numPr>
                <w:ilvl w:val="0"/>
                <w:numId w:val="36"/>
              </w:numPr>
              <w:jc w:val="both"/>
              <w:rPr>
                <w:sz w:val="18"/>
                <w:szCs w:val="18"/>
                <w:lang w:val="es-CO"/>
              </w:rPr>
            </w:pPr>
            <w:r w:rsidRPr="00055A98">
              <w:rPr>
                <w:sz w:val="18"/>
                <w:szCs w:val="18"/>
                <w:lang w:val="es-CO"/>
              </w:rPr>
              <w:t>Primero, existen retos significativos para que la banda sea compartida entre un Concesionario del Componente Complementario Terrestre independiente del Autorizado del Servicio Móvil por Satélite en la misma área geográfica sin que se causen interferencias al sistema satelital</w:t>
            </w:r>
            <w:r w:rsidRPr="00055A98">
              <w:rPr>
                <w:rStyle w:val="Refdenotaalpie"/>
                <w:rFonts w:cs="Arial"/>
                <w:sz w:val="18"/>
                <w:szCs w:val="18"/>
              </w:rPr>
              <w:footnoteReference w:id="13"/>
            </w:r>
            <w:r w:rsidRPr="00055A98">
              <w:rPr>
                <w:sz w:val="18"/>
                <w:szCs w:val="18"/>
                <w:lang w:val="es-CO"/>
              </w:rPr>
              <w:t xml:space="preserve">. Para superar estos problemas de compartición, se requiere una coordinación muy estrecha entre el Componente Terrestre Complementario y el componente satelital. La compartición es técnicamente viable si ambos sistemas están asignados a la misma persona (el titular del Servicio Móvil por Satélite o sus </w:t>
            </w:r>
            <w:r w:rsidR="00BD17CF">
              <w:rPr>
                <w:sz w:val="18"/>
                <w:szCs w:val="18"/>
                <w:lang w:val="es-CO"/>
              </w:rPr>
              <w:t>V</w:t>
            </w:r>
            <w:r w:rsidRPr="00055A98">
              <w:rPr>
                <w:sz w:val="18"/>
                <w:szCs w:val="18"/>
                <w:lang w:val="es-CO"/>
              </w:rPr>
              <w:t>inculadas) ya que se presume que ésta puede gestionar cualquier posible interferencia en su sistema combinado (</w:t>
            </w:r>
            <w:r w:rsidR="00952E94" w:rsidRPr="00055A98">
              <w:rPr>
                <w:sz w:val="18"/>
                <w:szCs w:val="18"/>
                <w:lang w:val="es-CO"/>
              </w:rPr>
              <w:t>Componente Complementario</w:t>
            </w:r>
            <w:r w:rsidRPr="00055A98">
              <w:rPr>
                <w:sz w:val="18"/>
                <w:szCs w:val="18"/>
                <w:lang w:val="es-CO"/>
              </w:rPr>
              <w:t xml:space="preserve"> Terrestre y Servicio Móvil por Satélite). Esto es consistente con el análisis realizado, por ejemplo, en los Estados Unidos</w:t>
            </w:r>
            <w:r w:rsidRPr="00055A98">
              <w:rPr>
                <w:rStyle w:val="Refdenotaalpie"/>
                <w:rFonts w:cs="Arial"/>
                <w:sz w:val="18"/>
                <w:szCs w:val="18"/>
              </w:rPr>
              <w:footnoteReference w:id="14"/>
            </w:r>
            <w:r w:rsidRPr="00055A98">
              <w:rPr>
                <w:rFonts w:cs="Arial"/>
                <w:sz w:val="18"/>
                <w:szCs w:val="18"/>
                <w:lang w:val="es-CO"/>
              </w:rPr>
              <w:t xml:space="preserve"> </w:t>
            </w:r>
            <w:r w:rsidRPr="00055A98">
              <w:rPr>
                <w:sz w:val="18"/>
                <w:szCs w:val="18"/>
                <w:lang w:val="es-CO"/>
              </w:rPr>
              <w:t>y en Europa</w:t>
            </w:r>
            <w:r w:rsidRPr="00055A98">
              <w:rPr>
                <w:rStyle w:val="Refdenotaalpie"/>
                <w:rFonts w:cs="Arial"/>
                <w:sz w:val="18"/>
                <w:szCs w:val="18"/>
              </w:rPr>
              <w:footnoteReference w:id="15"/>
            </w:r>
            <w:r w:rsidRPr="00055A98">
              <w:rPr>
                <w:sz w:val="18"/>
                <w:szCs w:val="18"/>
                <w:lang w:val="es-CO"/>
              </w:rPr>
              <w:t>.</w:t>
            </w:r>
          </w:p>
          <w:p w14:paraId="208A4F31" w14:textId="77777777" w:rsidR="00055A98" w:rsidRPr="00055A98" w:rsidRDefault="00055A98" w:rsidP="00055A98">
            <w:pPr>
              <w:pStyle w:val="Prrafodelista"/>
              <w:numPr>
                <w:ilvl w:val="0"/>
                <w:numId w:val="36"/>
              </w:numPr>
              <w:jc w:val="both"/>
              <w:rPr>
                <w:sz w:val="18"/>
                <w:szCs w:val="18"/>
                <w:lang w:val="es-CO"/>
              </w:rPr>
            </w:pPr>
            <w:r w:rsidRPr="00055A98">
              <w:rPr>
                <w:sz w:val="18"/>
                <w:szCs w:val="18"/>
                <w:lang w:val="es-CO"/>
              </w:rPr>
              <w:t>En segundo lugar, incluso  de darse la coordinación entre un Concesionario del Componente Complementario Terrestre independiente del Autorizado del Servicio Móvil por Satélite que opera en la banda de 2 GHz, las considerables restricciones en las operaciones terrestres (e.g., restricciones geográficas y/o de tiempo) junto con los costos esperados de implementación de posibles soluciones técnicas, impactarían directamente el valor comercial de la banda para uso del Componente Complementario Terrestre. Estas restricciones, y la incertidumbre comercial que generan, limitan la prestación del Componente Complementario Terrestre por parte de una entidad independiente, lo que lleva nuevamente a una baja valoración de mercado para la banda, incluso en el caso de que un tercero manifieste interés en este procedimiento.</w:t>
            </w:r>
          </w:p>
          <w:p w14:paraId="750CBFEC" w14:textId="77777777" w:rsidR="00055A98" w:rsidRPr="00055A98" w:rsidRDefault="00055A98" w:rsidP="00055A98">
            <w:pPr>
              <w:pStyle w:val="Prrafodelista"/>
              <w:numPr>
                <w:ilvl w:val="0"/>
                <w:numId w:val="36"/>
              </w:numPr>
              <w:jc w:val="both"/>
              <w:rPr>
                <w:sz w:val="18"/>
                <w:szCs w:val="18"/>
                <w:lang w:val="es-CO"/>
              </w:rPr>
            </w:pPr>
            <w:r w:rsidRPr="00055A98">
              <w:rPr>
                <w:sz w:val="18"/>
                <w:szCs w:val="18"/>
                <w:lang w:val="es-CO"/>
              </w:rPr>
              <w:t>En tercer lugar, el ecosistema de dispositivos en la banda se encuentra en una etapa inicial de desarrollo en este momento. El Instituto ha reconocido que este es un factor que tiene un impacto directo en el valor de mercado del espectro en el marco de licitaciones previas de espectro IMT (IFT-7).</w:t>
            </w:r>
          </w:p>
          <w:p w14:paraId="052BB8A0" w14:textId="77777777" w:rsidR="00055A98" w:rsidRPr="00055A98" w:rsidRDefault="00055A98" w:rsidP="00055A98">
            <w:pPr>
              <w:pStyle w:val="Ttulo1"/>
              <w:numPr>
                <w:ilvl w:val="0"/>
                <w:numId w:val="42"/>
              </w:numPr>
              <w:spacing w:before="0" w:after="160"/>
              <w:jc w:val="both"/>
              <w:rPr>
                <w:i/>
                <w:color w:val="auto"/>
                <w:sz w:val="18"/>
                <w:szCs w:val="18"/>
                <w:lang w:val="es-CO"/>
              </w:rPr>
            </w:pPr>
            <w:r w:rsidRPr="00055A98">
              <w:rPr>
                <w:i/>
                <w:color w:val="auto"/>
                <w:sz w:val="18"/>
                <w:szCs w:val="18"/>
                <w:lang w:val="es-CO"/>
              </w:rPr>
              <w:t>Descripción de la metodología propuesta para fijar precios de reserva.</w:t>
            </w:r>
          </w:p>
          <w:p w14:paraId="79567736" w14:textId="77777777" w:rsidR="00055A98" w:rsidRPr="00055A98" w:rsidRDefault="00055A98" w:rsidP="00055A98">
            <w:pPr>
              <w:jc w:val="both"/>
              <w:rPr>
                <w:sz w:val="18"/>
                <w:szCs w:val="18"/>
                <w:lang w:val="es-CO"/>
              </w:rPr>
            </w:pPr>
            <w:r w:rsidRPr="00055A98">
              <w:rPr>
                <w:sz w:val="18"/>
                <w:szCs w:val="18"/>
                <w:lang w:val="es-CO"/>
              </w:rPr>
              <w:t xml:space="preserve">De acuerdo con la práctica internacional y las restricciones de compartición antes señaladas, Omnispace cree que es razonable que el Instituto establezca un Valor Mínimo de Referencia bajo para la próxima subasta de la banda de 2 GHz, </w:t>
            </w:r>
            <w:r w:rsidRPr="00055A98">
              <w:rPr>
                <w:sz w:val="18"/>
                <w:szCs w:val="18"/>
                <w:lang w:val="es-CO"/>
              </w:rPr>
              <w:lastRenderedPageBreak/>
              <w:t>ya que éste reflejaría el valor de mercado de dicho espectro. Al efecto se describe una metodología para la estimación de este valor:</w:t>
            </w:r>
          </w:p>
          <w:p w14:paraId="05284F74" w14:textId="77777777" w:rsidR="00055A98" w:rsidRPr="00055A98" w:rsidRDefault="00055A98" w:rsidP="00055A98">
            <w:pPr>
              <w:pStyle w:val="Ttulo1"/>
              <w:numPr>
                <w:ilvl w:val="0"/>
                <w:numId w:val="43"/>
              </w:numPr>
              <w:spacing w:before="0" w:after="160"/>
              <w:jc w:val="both"/>
              <w:rPr>
                <w:b w:val="0"/>
                <w:i/>
                <w:color w:val="auto"/>
                <w:sz w:val="18"/>
                <w:szCs w:val="18"/>
                <w:lang w:val="es-CO"/>
              </w:rPr>
            </w:pPr>
            <w:r w:rsidRPr="00055A98">
              <w:rPr>
                <w:b w:val="0"/>
                <w:i/>
                <w:color w:val="auto"/>
                <w:sz w:val="18"/>
                <w:szCs w:val="18"/>
                <w:lang w:val="es-CO"/>
              </w:rPr>
              <w:t>Valor de comparación para la banda de 2 GHz</w:t>
            </w:r>
          </w:p>
          <w:p w14:paraId="767CB9ED" w14:textId="77777777" w:rsidR="00055A98" w:rsidRPr="00055A98" w:rsidRDefault="00055A98" w:rsidP="00055A98">
            <w:pPr>
              <w:jc w:val="both"/>
              <w:rPr>
                <w:sz w:val="18"/>
                <w:szCs w:val="18"/>
                <w:lang w:val="es-CO"/>
              </w:rPr>
            </w:pPr>
            <w:r w:rsidRPr="00055A98">
              <w:rPr>
                <w:sz w:val="18"/>
                <w:szCs w:val="18"/>
                <w:lang w:val="es-CO"/>
              </w:rPr>
              <w:t xml:space="preserve">Como primer paso, el Instituto debe usar los precios resultantes de la subasta de 2.5 GHz como valor de comparación para establecer el Valor Mínimo de Referencia en este proceso. Ello es consistente con el objetivo de establecer un Valor Mínimo de Referencia que refleje el valor de mercado y tenga en cuenta las limitaciones que afectan la banda para uso del Componente Complementario Terrestre. También garantiza que los precios más recientes pagados por el espectro IMT en el mercado mexicano se utilicen para establecer </w:t>
            </w:r>
            <w:r w:rsidR="00952E94" w:rsidRPr="00055A98">
              <w:rPr>
                <w:sz w:val="18"/>
                <w:szCs w:val="18"/>
                <w:lang w:val="es-CO"/>
              </w:rPr>
              <w:t>el Valor</w:t>
            </w:r>
            <w:r w:rsidRPr="00055A98">
              <w:rPr>
                <w:sz w:val="18"/>
                <w:szCs w:val="18"/>
                <w:lang w:val="es-CO"/>
              </w:rPr>
              <w:t xml:space="preserve"> Mínimo de Referencia.</w:t>
            </w:r>
          </w:p>
          <w:p w14:paraId="29F5C06B" w14:textId="77777777" w:rsidR="00055A98" w:rsidRPr="00055A98" w:rsidRDefault="00055A98" w:rsidP="00055A98">
            <w:pPr>
              <w:jc w:val="both"/>
              <w:rPr>
                <w:sz w:val="18"/>
                <w:szCs w:val="18"/>
                <w:lang w:val="es-CO"/>
              </w:rPr>
            </w:pPr>
            <w:r w:rsidRPr="00055A98">
              <w:rPr>
                <w:sz w:val="18"/>
                <w:szCs w:val="18"/>
                <w:lang w:val="es-CO"/>
              </w:rPr>
              <w:t>La Tabla 1 resume los resultados de la subasta de 2.5 GHz. La última columna ajusta los resultados teniendo en cuenta una asignación de 10 + 10 MHz, por un plazo de concesión de 10 años</w:t>
            </w:r>
            <w:r w:rsidRPr="00055A98">
              <w:rPr>
                <w:rStyle w:val="Refdenotaalpie"/>
                <w:sz w:val="18"/>
                <w:szCs w:val="18"/>
              </w:rPr>
              <w:footnoteReference w:id="16"/>
            </w:r>
            <w:r w:rsidRPr="00055A98">
              <w:rPr>
                <w:sz w:val="18"/>
                <w:szCs w:val="18"/>
                <w:lang w:val="es-CO"/>
              </w:rPr>
              <w:t>:</w:t>
            </w:r>
          </w:p>
          <w:p w14:paraId="53E3A482" w14:textId="77777777" w:rsidR="00055A98" w:rsidRPr="00055A98" w:rsidRDefault="00055A98" w:rsidP="00055A98">
            <w:pPr>
              <w:pStyle w:val="Descripcin"/>
              <w:spacing w:before="240"/>
              <w:rPr>
                <w:color w:val="auto"/>
                <w:sz w:val="18"/>
                <w:lang w:val="es-CO"/>
              </w:rPr>
            </w:pPr>
            <w:r w:rsidRPr="00055A98">
              <w:rPr>
                <w:sz w:val="18"/>
                <w:lang w:val="es-CO"/>
              </w:rPr>
              <w:t xml:space="preserve">Tabla </w:t>
            </w:r>
            <w:r w:rsidRPr="00055A98">
              <w:rPr>
                <w:sz w:val="18"/>
              </w:rPr>
              <w:fldChar w:fldCharType="begin"/>
            </w:r>
            <w:r w:rsidRPr="00055A98">
              <w:rPr>
                <w:sz w:val="18"/>
                <w:lang w:val="es-CO"/>
              </w:rPr>
              <w:instrText xml:space="preserve"> SEQ Table \* ARABIC </w:instrText>
            </w:r>
            <w:r w:rsidRPr="00055A98">
              <w:rPr>
                <w:sz w:val="18"/>
              </w:rPr>
              <w:fldChar w:fldCharType="separate"/>
            </w:r>
            <w:r w:rsidRPr="00055A98">
              <w:rPr>
                <w:noProof/>
                <w:sz w:val="18"/>
                <w:lang w:val="es-CO"/>
              </w:rPr>
              <w:t>1</w:t>
            </w:r>
            <w:r w:rsidRPr="00055A98">
              <w:rPr>
                <w:sz w:val="18"/>
              </w:rPr>
              <w:fldChar w:fldCharType="end"/>
            </w:r>
            <w:r w:rsidRPr="00055A98">
              <w:rPr>
                <w:sz w:val="18"/>
                <w:lang w:val="es-CO"/>
              </w:rPr>
              <w:t xml:space="preserve">:  </w:t>
            </w:r>
            <w:r w:rsidRPr="00055A98">
              <w:rPr>
                <w:color w:val="auto"/>
                <w:sz w:val="18"/>
                <w:lang w:val="es-CO"/>
              </w:rPr>
              <w:t>Resultados de la Licitación IFT-7 - banda 2.5 GHz (2018)</w:t>
            </w:r>
          </w:p>
          <w:tbl>
            <w:tblPr>
              <w:tblW w:w="84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09"/>
              <w:gridCol w:w="671"/>
              <w:gridCol w:w="1240"/>
              <w:gridCol w:w="1027"/>
              <w:gridCol w:w="1308"/>
              <w:gridCol w:w="1308"/>
              <w:gridCol w:w="1621"/>
            </w:tblGrid>
            <w:tr w:rsidR="00055A98" w:rsidRPr="00055A98" w14:paraId="259B1946" w14:textId="77777777" w:rsidTr="00AD26FE">
              <w:trPr>
                <w:trHeight w:val="286"/>
              </w:trPr>
              <w:tc>
                <w:tcPr>
                  <w:tcW w:w="1309" w:type="dxa"/>
                  <w:shd w:val="clear" w:color="auto" w:fill="DEEAF6" w:themeFill="accent1" w:themeFillTint="33"/>
                  <w:tcMar>
                    <w:top w:w="0" w:type="dxa"/>
                    <w:left w:w="108" w:type="dxa"/>
                    <w:bottom w:w="0" w:type="dxa"/>
                    <w:right w:w="108" w:type="dxa"/>
                  </w:tcMar>
                  <w:hideMark/>
                </w:tcPr>
                <w:p w14:paraId="5F2AEEAF" w14:textId="77777777" w:rsidR="00055A98" w:rsidRPr="00055A98" w:rsidRDefault="00055A98" w:rsidP="002A411C">
                  <w:pPr>
                    <w:framePr w:hSpace="141" w:wrap="around" w:vAnchor="text" w:hAnchor="margin" w:y="260"/>
                    <w:spacing w:after="120"/>
                    <w:jc w:val="center"/>
                    <w:rPr>
                      <w:rFonts w:cstheme="minorHAnsi"/>
                      <w:sz w:val="18"/>
                      <w:szCs w:val="18"/>
                    </w:rPr>
                  </w:pPr>
                  <w:r w:rsidRPr="00055A98">
                    <w:rPr>
                      <w:rFonts w:cstheme="minorHAnsi"/>
                      <w:sz w:val="18"/>
                      <w:szCs w:val="18"/>
                    </w:rPr>
                    <w:t>Concesionario</w:t>
                  </w:r>
                </w:p>
              </w:tc>
              <w:tc>
                <w:tcPr>
                  <w:tcW w:w="671" w:type="dxa"/>
                  <w:shd w:val="clear" w:color="auto" w:fill="DEEAF6" w:themeFill="accent1" w:themeFillTint="33"/>
                  <w:noWrap/>
                  <w:tcMar>
                    <w:top w:w="0" w:type="dxa"/>
                    <w:left w:w="108" w:type="dxa"/>
                    <w:bottom w:w="0" w:type="dxa"/>
                    <w:right w:w="108" w:type="dxa"/>
                  </w:tcMar>
                  <w:hideMark/>
                </w:tcPr>
                <w:p w14:paraId="0D139927" w14:textId="77777777" w:rsidR="00055A98" w:rsidRPr="00055A98" w:rsidRDefault="00055A98" w:rsidP="002A411C">
                  <w:pPr>
                    <w:framePr w:hSpace="141" w:wrap="around" w:vAnchor="text" w:hAnchor="margin" w:y="260"/>
                    <w:spacing w:after="120"/>
                    <w:jc w:val="center"/>
                    <w:rPr>
                      <w:rFonts w:cstheme="minorHAnsi"/>
                      <w:sz w:val="18"/>
                      <w:szCs w:val="18"/>
                    </w:rPr>
                  </w:pPr>
                  <w:r w:rsidRPr="00055A98">
                    <w:rPr>
                      <w:rFonts w:cstheme="minorHAnsi"/>
                      <w:sz w:val="18"/>
                      <w:szCs w:val="18"/>
                    </w:rPr>
                    <w:t>Total MHz</w:t>
                  </w:r>
                </w:p>
              </w:tc>
              <w:tc>
                <w:tcPr>
                  <w:tcW w:w="1240" w:type="dxa"/>
                  <w:shd w:val="clear" w:color="auto" w:fill="DEEAF6" w:themeFill="accent1" w:themeFillTint="33"/>
                  <w:noWrap/>
                  <w:tcMar>
                    <w:top w:w="0" w:type="dxa"/>
                    <w:left w:w="108" w:type="dxa"/>
                    <w:bottom w:w="0" w:type="dxa"/>
                    <w:right w:w="108" w:type="dxa"/>
                  </w:tcMar>
                  <w:hideMark/>
                </w:tcPr>
                <w:p w14:paraId="43E71E05" w14:textId="77777777" w:rsidR="00055A98" w:rsidRPr="00055A98" w:rsidRDefault="00055A98" w:rsidP="002A411C">
                  <w:pPr>
                    <w:framePr w:hSpace="141" w:wrap="around" w:vAnchor="text" w:hAnchor="margin" w:y="260"/>
                    <w:spacing w:after="120"/>
                    <w:jc w:val="center"/>
                    <w:rPr>
                      <w:rFonts w:cstheme="minorHAnsi"/>
                      <w:sz w:val="18"/>
                      <w:szCs w:val="18"/>
                    </w:rPr>
                  </w:pPr>
                  <w:r w:rsidRPr="00055A98">
                    <w:rPr>
                      <w:rFonts w:cstheme="minorHAnsi"/>
                      <w:sz w:val="18"/>
                      <w:szCs w:val="18"/>
                    </w:rPr>
                    <w:t xml:space="preserve">Bloque de </w:t>
                  </w:r>
                  <w:r w:rsidR="0094068B">
                    <w:rPr>
                      <w:rFonts w:cstheme="minorHAnsi"/>
                      <w:sz w:val="18"/>
                      <w:szCs w:val="18"/>
                    </w:rPr>
                    <w:t>Espectro</w:t>
                  </w:r>
                  <w:r w:rsidR="0094068B" w:rsidRPr="00055A98">
                    <w:rPr>
                      <w:rFonts w:cstheme="minorHAnsi"/>
                      <w:sz w:val="18"/>
                      <w:szCs w:val="18"/>
                    </w:rPr>
                    <w:t xml:space="preserve"> </w:t>
                  </w:r>
                  <w:r w:rsidRPr="00055A98">
                    <w:rPr>
                      <w:rFonts w:cstheme="minorHAnsi"/>
                      <w:sz w:val="18"/>
                      <w:szCs w:val="18"/>
                    </w:rPr>
                    <w:t>(MHz)</w:t>
                  </w:r>
                </w:p>
              </w:tc>
              <w:tc>
                <w:tcPr>
                  <w:tcW w:w="1027" w:type="dxa"/>
                  <w:shd w:val="clear" w:color="auto" w:fill="DEEAF6" w:themeFill="accent1" w:themeFillTint="33"/>
                  <w:noWrap/>
                  <w:tcMar>
                    <w:top w:w="0" w:type="dxa"/>
                    <w:left w:w="108" w:type="dxa"/>
                    <w:bottom w:w="0" w:type="dxa"/>
                    <w:right w:w="108" w:type="dxa"/>
                  </w:tcMar>
                  <w:hideMark/>
                </w:tcPr>
                <w:p w14:paraId="14779025" w14:textId="77777777" w:rsidR="00055A98" w:rsidRPr="00055A98" w:rsidRDefault="00055A98" w:rsidP="002A411C">
                  <w:pPr>
                    <w:framePr w:hSpace="141" w:wrap="around" w:vAnchor="text" w:hAnchor="margin" w:y="260"/>
                    <w:spacing w:after="120"/>
                    <w:jc w:val="center"/>
                    <w:rPr>
                      <w:rFonts w:cstheme="minorHAnsi"/>
                      <w:sz w:val="18"/>
                      <w:szCs w:val="18"/>
                    </w:rPr>
                  </w:pPr>
                  <w:r w:rsidRPr="00055A98">
                    <w:rPr>
                      <w:rFonts w:cstheme="minorHAnsi"/>
                      <w:sz w:val="18"/>
                      <w:szCs w:val="18"/>
                    </w:rPr>
                    <w:t>Plazo de la Concesión (años)</w:t>
                  </w:r>
                </w:p>
              </w:tc>
              <w:tc>
                <w:tcPr>
                  <w:tcW w:w="1308" w:type="dxa"/>
                  <w:shd w:val="clear" w:color="auto" w:fill="DEEAF6" w:themeFill="accent1" w:themeFillTint="33"/>
                  <w:tcMar>
                    <w:top w:w="0" w:type="dxa"/>
                    <w:left w:w="108" w:type="dxa"/>
                    <w:bottom w:w="0" w:type="dxa"/>
                    <w:right w:w="108" w:type="dxa"/>
                  </w:tcMar>
                  <w:hideMark/>
                </w:tcPr>
                <w:p w14:paraId="49E18540" w14:textId="160CFF7E" w:rsidR="0087563D" w:rsidRDefault="0087563D" w:rsidP="002A411C">
                  <w:pPr>
                    <w:framePr w:hSpace="141" w:wrap="around" w:vAnchor="text" w:hAnchor="margin" w:y="260"/>
                    <w:spacing w:after="120"/>
                    <w:jc w:val="center"/>
                    <w:rPr>
                      <w:rFonts w:cstheme="minorHAnsi"/>
                      <w:sz w:val="18"/>
                      <w:szCs w:val="18"/>
                    </w:rPr>
                  </w:pPr>
                  <w:r>
                    <w:rPr>
                      <w:rFonts w:cstheme="minorHAnsi"/>
                      <w:sz w:val="18"/>
                      <w:szCs w:val="18"/>
                    </w:rPr>
                    <w:t>Valor Mínimo</w:t>
                  </w:r>
                  <w:r w:rsidR="00055A98" w:rsidRPr="00055A98">
                    <w:rPr>
                      <w:rFonts w:cstheme="minorHAnsi"/>
                      <w:sz w:val="18"/>
                      <w:szCs w:val="18"/>
                    </w:rPr>
                    <w:t xml:space="preserve"> de Re</w:t>
                  </w:r>
                  <w:r>
                    <w:rPr>
                      <w:rFonts w:cstheme="minorHAnsi"/>
                      <w:sz w:val="18"/>
                      <w:szCs w:val="18"/>
                    </w:rPr>
                    <w:t>ferencia</w:t>
                  </w:r>
                </w:p>
                <w:p w14:paraId="6BC1CFB9" w14:textId="4FABDAD8" w:rsidR="00055A98" w:rsidRPr="00055A98" w:rsidRDefault="00055A98" w:rsidP="002A411C">
                  <w:pPr>
                    <w:framePr w:hSpace="141" w:wrap="around" w:vAnchor="text" w:hAnchor="margin" w:y="260"/>
                    <w:spacing w:after="120"/>
                    <w:jc w:val="center"/>
                    <w:rPr>
                      <w:rFonts w:cstheme="minorHAnsi"/>
                      <w:sz w:val="18"/>
                      <w:szCs w:val="18"/>
                    </w:rPr>
                  </w:pPr>
                </w:p>
                <w:p w14:paraId="054AE67E" w14:textId="77777777" w:rsidR="00055A98" w:rsidRPr="00055A98" w:rsidRDefault="00055A98" w:rsidP="002A411C">
                  <w:pPr>
                    <w:framePr w:hSpace="141" w:wrap="around" w:vAnchor="text" w:hAnchor="margin" w:y="260"/>
                    <w:spacing w:after="120"/>
                    <w:jc w:val="center"/>
                    <w:rPr>
                      <w:rFonts w:cstheme="minorHAnsi"/>
                      <w:sz w:val="18"/>
                      <w:szCs w:val="18"/>
                    </w:rPr>
                  </w:pPr>
                  <w:r w:rsidRPr="00055A98">
                    <w:rPr>
                      <w:rFonts w:cstheme="minorHAnsi"/>
                      <w:sz w:val="18"/>
                      <w:szCs w:val="18"/>
                    </w:rPr>
                    <w:t>(pesos MX)</w:t>
                  </w:r>
                </w:p>
              </w:tc>
              <w:tc>
                <w:tcPr>
                  <w:tcW w:w="1308" w:type="dxa"/>
                  <w:shd w:val="clear" w:color="auto" w:fill="DEEAF6" w:themeFill="accent1" w:themeFillTint="33"/>
                  <w:tcMar>
                    <w:top w:w="0" w:type="dxa"/>
                    <w:left w:w="108" w:type="dxa"/>
                    <w:bottom w:w="0" w:type="dxa"/>
                    <w:right w:w="108" w:type="dxa"/>
                  </w:tcMar>
                  <w:hideMark/>
                </w:tcPr>
                <w:p w14:paraId="25793409" w14:textId="77777777" w:rsidR="00055A98" w:rsidRPr="00055A98" w:rsidRDefault="00055A98" w:rsidP="002A411C">
                  <w:pPr>
                    <w:framePr w:hSpace="141" w:wrap="around" w:vAnchor="text" w:hAnchor="margin" w:y="260"/>
                    <w:spacing w:after="120"/>
                    <w:jc w:val="center"/>
                    <w:rPr>
                      <w:rFonts w:cstheme="minorHAnsi"/>
                      <w:sz w:val="18"/>
                      <w:szCs w:val="18"/>
                    </w:rPr>
                  </w:pPr>
                  <w:r w:rsidRPr="00055A98">
                    <w:rPr>
                      <w:rFonts w:cstheme="minorHAnsi"/>
                      <w:sz w:val="18"/>
                      <w:szCs w:val="18"/>
                    </w:rPr>
                    <w:t xml:space="preserve">Final </w:t>
                  </w:r>
                </w:p>
                <w:p w14:paraId="35CE02F4" w14:textId="77777777" w:rsidR="00055A98" w:rsidRPr="00055A98" w:rsidRDefault="00952E94" w:rsidP="002A411C">
                  <w:pPr>
                    <w:framePr w:hSpace="141" w:wrap="around" w:vAnchor="text" w:hAnchor="margin" w:y="260"/>
                    <w:spacing w:after="120"/>
                    <w:jc w:val="center"/>
                    <w:rPr>
                      <w:rFonts w:cstheme="minorHAnsi"/>
                      <w:sz w:val="18"/>
                      <w:szCs w:val="18"/>
                    </w:rPr>
                  </w:pPr>
                  <w:r w:rsidRPr="00055A98">
                    <w:rPr>
                      <w:rFonts w:cstheme="minorHAnsi"/>
                      <w:sz w:val="18"/>
                      <w:szCs w:val="18"/>
                    </w:rPr>
                    <w:t>(pesos</w:t>
                  </w:r>
                  <w:r w:rsidR="00055A98" w:rsidRPr="00055A98">
                    <w:rPr>
                      <w:rFonts w:cstheme="minorHAnsi"/>
                      <w:sz w:val="18"/>
                      <w:szCs w:val="18"/>
                    </w:rPr>
                    <w:t xml:space="preserve"> MX) </w:t>
                  </w:r>
                </w:p>
              </w:tc>
              <w:tc>
                <w:tcPr>
                  <w:tcW w:w="1621" w:type="dxa"/>
                  <w:shd w:val="clear" w:color="auto" w:fill="DEEAF6" w:themeFill="accent1" w:themeFillTint="33"/>
                </w:tcPr>
                <w:p w14:paraId="3B5421A2"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Precio final ajustado a 10 + 10 MHz, por 10 años (MX pesos)</w:t>
                  </w:r>
                </w:p>
              </w:tc>
            </w:tr>
            <w:tr w:rsidR="00055A98" w:rsidRPr="00055A98" w14:paraId="19C5D2BF" w14:textId="77777777" w:rsidTr="00AD26FE">
              <w:trPr>
                <w:trHeight w:val="286"/>
              </w:trPr>
              <w:tc>
                <w:tcPr>
                  <w:tcW w:w="1309" w:type="dxa"/>
                  <w:shd w:val="clear" w:color="auto" w:fill="FFFFFF"/>
                  <w:tcMar>
                    <w:top w:w="0" w:type="dxa"/>
                    <w:left w:w="108" w:type="dxa"/>
                    <w:bottom w:w="0" w:type="dxa"/>
                    <w:right w:w="108" w:type="dxa"/>
                  </w:tcMar>
                  <w:hideMark/>
                </w:tcPr>
                <w:p w14:paraId="4A25489A"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Telefónica</w:t>
                  </w:r>
                </w:p>
              </w:tc>
              <w:tc>
                <w:tcPr>
                  <w:tcW w:w="671" w:type="dxa"/>
                  <w:noWrap/>
                  <w:tcMar>
                    <w:top w:w="0" w:type="dxa"/>
                    <w:left w:w="108" w:type="dxa"/>
                    <w:bottom w:w="0" w:type="dxa"/>
                    <w:right w:w="108" w:type="dxa"/>
                  </w:tcMar>
                  <w:hideMark/>
                </w:tcPr>
                <w:p w14:paraId="135F224D"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20+20 MHz</w:t>
                  </w:r>
                </w:p>
              </w:tc>
              <w:tc>
                <w:tcPr>
                  <w:tcW w:w="1240" w:type="dxa"/>
                  <w:noWrap/>
                  <w:tcMar>
                    <w:top w:w="0" w:type="dxa"/>
                    <w:left w:w="108" w:type="dxa"/>
                    <w:bottom w:w="0" w:type="dxa"/>
                    <w:right w:w="108" w:type="dxa"/>
                  </w:tcMar>
                  <w:hideMark/>
                </w:tcPr>
                <w:p w14:paraId="43B39C18"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2550-2570/ 2670-2690</w:t>
                  </w:r>
                </w:p>
              </w:tc>
              <w:tc>
                <w:tcPr>
                  <w:tcW w:w="1027" w:type="dxa"/>
                  <w:noWrap/>
                  <w:tcMar>
                    <w:top w:w="0" w:type="dxa"/>
                    <w:left w:w="108" w:type="dxa"/>
                    <w:bottom w:w="0" w:type="dxa"/>
                    <w:right w:w="108" w:type="dxa"/>
                  </w:tcMar>
                  <w:hideMark/>
                </w:tcPr>
                <w:p w14:paraId="5C78206E"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15</w:t>
                  </w:r>
                </w:p>
              </w:tc>
              <w:tc>
                <w:tcPr>
                  <w:tcW w:w="1308" w:type="dxa"/>
                  <w:tcMar>
                    <w:top w:w="0" w:type="dxa"/>
                    <w:left w:w="108" w:type="dxa"/>
                    <w:bottom w:w="0" w:type="dxa"/>
                    <w:right w:w="108" w:type="dxa"/>
                  </w:tcMar>
                  <w:hideMark/>
                </w:tcPr>
                <w:p w14:paraId="07810264"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700,000,000</w:t>
                  </w:r>
                </w:p>
              </w:tc>
              <w:tc>
                <w:tcPr>
                  <w:tcW w:w="1308" w:type="dxa"/>
                  <w:tcMar>
                    <w:top w:w="0" w:type="dxa"/>
                    <w:left w:w="108" w:type="dxa"/>
                    <w:bottom w:w="0" w:type="dxa"/>
                    <w:right w:w="108" w:type="dxa"/>
                  </w:tcMar>
                  <w:hideMark/>
                </w:tcPr>
                <w:p w14:paraId="7B45756A"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700,000,000</w:t>
                  </w:r>
                </w:p>
              </w:tc>
              <w:tc>
                <w:tcPr>
                  <w:tcW w:w="1621" w:type="dxa"/>
                  <w:shd w:val="clear" w:color="auto" w:fill="E7E6E6" w:themeFill="background2"/>
                </w:tcPr>
                <w:p w14:paraId="32B66177"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233,333,333</w:t>
                  </w:r>
                </w:p>
              </w:tc>
            </w:tr>
            <w:tr w:rsidR="00055A98" w:rsidRPr="00055A98" w14:paraId="384E1B28" w14:textId="77777777" w:rsidTr="00AD26FE">
              <w:trPr>
                <w:trHeight w:val="286"/>
              </w:trPr>
              <w:tc>
                <w:tcPr>
                  <w:tcW w:w="1309" w:type="dxa"/>
                  <w:shd w:val="clear" w:color="auto" w:fill="FFFFFF"/>
                  <w:tcMar>
                    <w:top w:w="0" w:type="dxa"/>
                    <w:left w:w="108" w:type="dxa"/>
                    <w:bottom w:w="0" w:type="dxa"/>
                    <w:right w:w="108" w:type="dxa"/>
                  </w:tcMar>
                </w:tcPr>
                <w:p w14:paraId="5532ABEC"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AT&amp;T</w:t>
                  </w:r>
                </w:p>
              </w:tc>
              <w:tc>
                <w:tcPr>
                  <w:tcW w:w="671" w:type="dxa"/>
                  <w:noWrap/>
                  <w:tcMar>
                    <w:top w:w="0" w:type="dxa"/>
                    <w:left w:w="108" w:type="dxa"/>
                    <w:bottom w:w="0" w:type="dxa"/>
                    <w:right w:w="108" w:type="dxa"/>
                  </w:tcMar>
                </w:tcPr>
                <w:p w14:paraId="13FA61F7"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20+20 MHz</w:t>
                  </w:r>
                </w:p>
              </w:tc>
              <w:tc>
                <w:tcPr>
                  <w:tcW w:w="1240" w:type="dxa"/>
                  <w:noWrap/>
                  <w:tcMar>
                    <w:top w:w="0" w:type="dxa"/>
                    <w:left w:w="108" w:type="dxa"/>
                    <w:bottom w:w="0" w:type="dxa"/>
                    <w:right w:w="108" w:type="dxa"/>
                  </w:tcMar>
                </w:tcPr>
                <w:p w14:paraId="078D036C"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2530-2550/ 2650-2670</w:t>
                  </w:r>
                </w:p>
              </w:tc>
              <w:tc>
                <w:tcPr>
                  <w:tcW w:w="1027" w:type="dxa"/>
                  <w:noWrap/>
                  <w:tcMar>
                    <w:top w:w="0" w:type="dxa"/>
                    <w:left w:w="108" w:type="dxa"/>
                    <w:bottom w:w="0" w:type="dxa"/>
                    <w:right w:w="108" w:type="dxa"/>
                  </w:tcMar>
                </w:tcPr>
                <w:p w14:paraId="47C8ECAC"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15</w:t>
                  </w:r>
                </w:p>
              </w:tc>
              <w:tc>
                <w:tcPr>
                  <w:tcW w:w="1308" w:type="dxa"/>
                  <w:tcMar>
                    <w:top w:w="0" w:type="dxa"/>
                    <w:left w:w="108" w:type="dxa"/>
                    <w:bottom w:w="0" w:type="dxa"/>
                    <w:right w:w="108" w:type="dxa"/>
                  </w:tcMar>
                </w:tcPr>
                <w:p w14:paraId="022C634C"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700,000,000</w:t>
                  </w:r>
                </w:p>
              </w:tc>
              <w:tc>
                <w:tcPr>
                  <w:tcW w:w="1308" w:type="dxa"/>
                  <w:tcMar>
                    <w:top w:w="0" w:type="dxa"/>
                    <w:left w:w="108" w:type="dxa"/>
                    <w:bottom w:w="0" w:type="dxa"/>
                    <w:right w:w="108" w:type="dxa"/>
                  </w:tcMar>
                </w:tcPr>
                <w:p w14:paraId="7BEA01CB"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700,101,288</w:t>
                  </w:r>
                </w:p>
              </w:tc>
              <w:tc>
                <w:tcPr>
                  <w:tcW w:w="1621" w:type="dxa"/>
                  <w:shd w:val="clear" w:color="auto" w:fill="E7E6E6" w:themeFill="background2"/>
                </w:tcPr>
                <w:p w14:paraId="5B53C8E0"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233,367,096</w:t>
                  </w:r>
                </w:p>
              </w:tc>
            </w:tr>
            <w:tr w:rsidR="00055A98" w:rsidRPr="00055A98" w14:paraId="24F16896" w14:textId="77777777" w:rsidTr="00AD26FE">
              <w:trPr>
                <w:trHeight w:val="286"/>
              </w:trPr>
              <w:tc>
                <w:tcPr>
                  <w:tcW w:w="1309" w:type="dxa"/>
                  <w:shd w:val="clear" w:color="auto" w:fill="FFFFFF"/>
                  <w:tcMar>
                    <w:top w:w="0" w:type="dxa"/>
                    <w:left w:w="108" w:type="dxa"/>
                    <w:bottom w:w="0" w:type="dxa"/>
                    <w:right w:w="108" w:type="dxa"/>
                  </w:tcMar>
                  <w:hideMark/>
                </w:tcPr>
                <w:p w14:paraId="2774A8F2"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AT&amp;T</w:t>
                  </w:r>
                </w:p>
              </w:tc>
              <w:tc>
                <w:tcPr>
                  <w:tcW w:w="671" w:type="dxa"/>
                  <w:noWrap/>
                  <w:tcMar>
                    <w:top w:w="0" w:type="dxa"/>
                    <w:left w:w="108" w:type="dxa"/>
                    <w:bottom w:w="0" w:type="dxa"/>
                    <w:right w:w="108" w:type="dxa"/>
                  </w:tcMar>
                  <w:hideMark/>
                </w:tcPr>
                <w:p w14:paraId="41821678"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40 MHz</w:t>
                  </w:r>
                </w:p>
              </w:tc>
              <w:tc>
                <w:tcPr>
                  <w:tcW w:w="1240" w:type="dxa"/>
                  <w:noWrap/>
                  <w:tcMar>
                    <w:top w:w="0" w:type="dxa"/>
                    <w:left w:w="108" w:type="dxa"/>
                    <w:bottom w:w="0" w:type="dxa"/>
                    <w:right w:w="108" w:type="dxa"/>
                  </w:tcMar>
                  <w:hideMark/>
                </w:tcPr>
                <w:p w14:paraId="36A4C92B"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2575-2615</w:t>
                  </w:r>
                </w:p>
              </w:tc>
              <w:tc>
                <w:tcPr>
                  <w:tcW w:w="1027" w:type="dxa"/>
                  <w:noWrap/>
                  <w:tcMar>
                    <w:top w:w="0" w:type="dxa"/>
                    <w:left w:w="108" w:type="dxa"/>
                    <w:bottom w:w="0" w:type="dxa"/>
                    <w:right w:w="108" w:type="dxa"/>
                  </w:tcMar>
                  <w:hideMark/>
                </w:tcPr>
                <w:p w14:paraId="6AC64CB6"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15</w:t>
                  </w:r>
                </w:p>
              </w:tc>
              <w:tc>
                <w:tcPr>
                  <w:tcW w:w="1308" w:type="dxa"/>
                  <w:tcMar>
                    <w:top w:w="0" w:type="dxa"/>
                    <w:left w:w="108" w:type="dxa"/>
                    <w:bottom w:w="0" w:type="dxa"/>
                    <w:right w:w="108" w:type="dxa"/>
                  </w:tcMar>
                  <w:hideMark/>
                </w:tcPr>
                <w:p w14:paraId="5479D701"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700,000,000</w:t>
                  </w:r>
                </w:p>
              </w:tc>
              <w:tc>
                <w:tcPr>
                  <w:tcW w:w="1308" w:type="dxa"/>
                  <w:tcMar>
                    <w:top w:w="0" w:type="dxa"/>
                    <w:left w:w="108" w:type="dxa"/>
                    <w:bottom w:w="0" w:type="dxa"/>
                    <w:right w:w="108" w:type="dxa"/>
                  </w:tcMar>
                </w:tcPr>
                <w:p w14:paraId="613A28FD" w14:textId="77777777" w:rsidR="00055A98" w:rsidRPr="00055A98" w:rsidRDefault="00055A98" w:rsidP="002A411C">
                  <w:pPr>
                    <w:framePr w:hSpace="141" w:wrap="around" w:vAnchor="text" w:hAnchor="margin" w:y="260"/>
                    <w:spacing w:after="120"/>
                    <w:jc w:val="center"/>
                    <w:rPr>
                      <w:rFonts w:cstheme="minorHAnsi"/>
                      <w:b/>
                      <w:sz w:val="18"/>
                      <w:szCs w:val="18"/>
                      <w:lang w:val="es-CO"/>
                    </w:rPr>
                  </w:pPr>
                  <w:r w:rsidRPr="00055A98">
                    <w:rPr>
                      <w:rFonts w:cstheme="minorHAnsi"/>
                      <w:sz w:val="18"/>
                      <w:szCs w:val="18"/>
                      <w:lang w:val="es-CO"/>
                    </w:rPr>
                    <w:t>700,000,000</w:t>
                  </w:r>
                </w:p>
              </w:tc>
              <w:tc>
                <w:tcPr>
                  <w:tcW w:w="1621" w:type="dxa"/>
                  <w:shd w:val="clear" w:color="auto" w:fill="E7E6E6" w:themeFill="background2"/>
                </w:tcPr>
                <w:p w14:paraId="0F4353C5"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233,333,333</w:t>
                  </w:r>
                </w:p>
              </w:tc>
            </w:tr>
          </w:tbl>
          <w:p w14:paraId="5C4608EC" w14:textId="77777777" w:rsidR="00055A98" w:rsidRPr="00055A98" w:rsidRDefault="00055A98" w:rsidP="00055A98">
            <w:pPr>
              <w:rPr>
                <w:sz w:val="18"/>
                <w:szCs w:val="18"/>
                <w:lang w:val="es-CO"/>
              </w:rPr>
            </w:pPr>
            <w:r w:rsidRPr="00055A98">
              <w:rPr>
                <w:sz w:val="18"/>
                <w:szCs w:val="18"/>
                <w:lang w:val="es-CO"/>
              </w:rPr>
              <w:t xml:space="preserve">Fuente: Basado en los resultados publicados por el </w:t>
            </w:r>
            <w:r>
              <w:rPr>
                <w:sz w:val="18"/>
                <w:szCs w:val="18"/>
                <w:lang w:val="es-CO"/>
              </w:rPr>
              <w:t>Instituto</w:t>
            </w:r>
          </w:p>
          <w:p w14:paraId="05D13C0D" w14:textId="77777777" w:rsidR="00055A98" w:rsidRPr="00055A98" w:rsidRDefault="00055A98" w:rsidP="00055A98">
            <w:pPr>
              <w:pStyle w:val="Ttulo1"/>
              <w:numPr>
                <w:ilvl w:val="0"/>
                <w:numId w:val="43"/>
              </w:numPr>
              <w:spacing w:before="240" w:after="240" w:line="240" w:lineRule="auto"/>
              <w:jc w:val="both"/>
              <w:rPr>
                <w:b w:val="0"/>
                <w:i/>
                <w:color w:val="auto"/>
                <w:sz w:val="18"/>
                <w:szCs w:val="18"/>
                <w:lang w:val="es-CO"/>
              </w:rPr>
            </w:pPr>
            <w:r w:rsidRPr="00055A98">
              <w:rPr>
                <w:b w:val="0"/>
                <w:i/>
                <w:color w:val="auto"/>
                <w:sz w:val="18"/>
                <w:szCs w:val="18"/>
                <w:lang w:val="es-CO"/>
              </w:rPr>
              <w:t xml:space="preserve">El valor de comparación debe descontarse significativamente para tener en cuenta las limitaciones que afectan la banda. </w:t>
            </w:r>
          </w:p>
          <w:p w14:paraId="46F96AEE" w14:textId="77777777" w:rsidR="00055A98" w:rsidRPr="00055A98" w:rsidRDefault="00055A98" w:rsidP="00055A98">
            <w:pPr>
              <w:rPr>
                <w:sz w:val="18"/>
                <w:szCs w:val="18"/>
                <w:lang w:val="es-CO"/>
              </w:rPr>
            </w:pPr>
            <w:r w:rsidRPr="00055A98">
              <w:rPr>
                <w:sz w:val="18"/>
                <w:szCs w:val="18"/>
                <w:lang w:val="es-CO"/>
              </w:rPr>
              <w:t xml:space="preserve">Omnispace considera además que el Valor Mínimo de Referencia en este proceso debe incluir un factor de descuento significativo para tener en cuenta las limitaciones que afectan a la banda y que fuera analizada anteriormente. Esto es consistente con precedentes internacionales y del Instituto, que han reconocido </w:t>
            </w:r>
            <w:r w:rsidR="00952E94" w:rsidRPr="00055A98">
              <w:rPr>
                <w:sz w:val="18"/>
                <w:szCs w:val="18"/>
                <w:lang w:val="es-CO"/>
              </w:rPr>
              <w:t>que,</w:t>
            </w:r>
            <w:r w:rsidRPr="00055A98">
              <w:rPr>
                <w:sz w:val="18"/>
                <w:szCs w:val="18"/>
                <w:lang w:val="es-CO"/>
              </w:rPr>
              <w:t xml:space="preserve"> para alcanzar un precio de mercado, el valor del espectro afectado por limitaciones debe descontarse en la licitación.</w:t>
            </w:r>
          </w:p>
          <w:p w14:paraId="69880CBE" w14:textId="77777777" w:rsidR="00055A98" w:rsidRPr="00055A98" w:rsidRDefault="00055A98" w:rsidP="00055A98">
            <w:pPr>
              <w:rPr>
                <w:sz w:val="18"/>
                <w:szCs w:val="18"/>
                <w:lang w:val="es-CO"/>
              </w:rPr>
            </w:pPr>
            <w:r w:rsidRPr="00055A98">
              <w:rPr>
                <w:sz w:val="18"/>
                <w:szCs w:val="18"/>
                <w:lang w:val="es-CO"/>
              </w:rPr>
              <w:t>Los reguladores comúnmente descuentan bloques de espectro que están afectados por limitaciones de algún tipo. Esto incluye fijar Valores Mínimos de Referencia reducidos destinados a compensar las limitaciones técnicas o de otro tipo impuestas al uso del espectro que restringen los servicios que puede proporcionar haciendo uso de este recurso. En procesos de asignación competitivos, como las licitaciones, las limitaciones u otros impedimentos se reflejan en los precios más bajos de las ofertas finales, que típicamente también suelen ir acompañados de Valores Mínimos de Referencia más bajos para una banda con limitaciones técnicas o de otro tipo.</w:t>
            </w:r>
          </w:p>
          <w:p w14:paraId="235DBE86" w14:textId="0EF767FD" w:rsidR="00055A98" w:rsidRPr="00055A98" w:rsidRDefault="00055A98" w:rsidP="00055A98">
            <w:pPr>
              <w:rPr>
                <w:sz w:val="18"/>
                <w:szCs w:val="18"/>
                <w:lang w:val="es-CO"/>
              </w:rPr>
            </w:pPr>
            <w:r w:rsidRPr="00055A98">
              <w:rPr>
                <w:sz w:val="18"/>
                <w:szCs w:val="18"/>
                <w:lang w:val="es-CO"/>
              </w:rPr>
              <w:lastRenderedPageBreak/>
              <w:t xml:space="preserve">Existen múltiples ejemplos internacionales de subastas de espectro con limitaciones técnicas donde el precio pagado por el recurso refleja descuentos significativos debido a las limitaciones existentes. Los ejemplos de México, </w:t>
            </w:r>
            <w:r w:rsidR="00C85750" w:rsidRPr="00055A98">
              <w:rPr>
                <w:sz w:val="18"/>
                <w:szCs w:val="18"/>
                <w:lang w:val="es-CO"/>
              </w:rPr>
              <w:t xml:space="preserve">Alemania, </w:t>
            </w:r>
            <w:r w:rsidRPr="00055A98">
              <w:rPr>
                <w:sz w:val="18"/>
                <w:szCs w:val="18"/>
                <w:lang w:val="es-CO"/>
              </w:rPr>
              <w:t xml:space="preserve">los Estados Unidos </w:t>
            </w:r>
            <w:r w:rsidR="00C85750">
              <w:rPr>
                <w:sz w:val="18"/>
                <w:szCs w:val="18"/>
                <w:lang w:val="es-CO"/>
              </w:rPr>
              <w:t xml:space="preserve">y el Reino Unido </w:t>
            </w:r>
            <w:r w:rsidRPr="00055A98">
              <w:rPr>
                <w:sz w:val="18"/>
                <w:szCs w:val="18"/>
                <w:lang w:val="es-CO"/>
              </w:rPr>
              <w:t xml:space="preserve">se resumen en la </w:t>
            </w:r>
            <w:r w:rsidRPr="00055A98">
              <w:rPr>
                <w:rFonts w:cstheme="minorHAnsi"/>
                <w:sz w:val="18"/>
                <w:szCs w:val="18"/>
              </w:rPr>
              <w:fldChar w:fldCharType="begin"/>
            </w:r>
            <w:r w:rsidRPr="00055A98">
              <w:rPr>
                <w:rFonts w:cstheme="minorHAnsi"/>
                <w:sz w:val="18"/>
                <w:szCs w:val="18"/>
                <w:lang w:val="es-CO"/>
              </w:rPr>
              <w:instrText xml:space="preserve"> REF _Ref516504090 \h </w:instrText>
            </w:r>
            <w:r>
              <w:rPr>
                <w:rFonts w:cstheme="minorHAnsi"/>
                <w:sz w:val="18"/>
                <w:szCs w:val="18"/>
              </w:rPr>
              <w:instrText xml:space="preserve"> \* MERGEFORMAT </w:instrText>
            </w:r>
            <w:r w:rsidRPr="00055A98">
              <w:rPr>
                <w:rFonts w:cstheme="minorHAnsi"/>
                <w:sz w:val="18"/>
                <w:szCs w:val="18"/>
              </w:rPr>
            </w:r>
            <w:r w:rsidRPr="00055A98">
              <w:rPr>
                <w:rFonts w:cstheme="minorHAnsi"/>
                <w:sz w:val="18"/>
                <w:szCs w:val="18"/>
              </w:rPr>
              <w:fldChar w:fldCharType="separate"/>
            </w:r>
            <w:r w:rsidRPr="00055A98">
              <w:rPr>
                <w:rFonts w:cstheme="minorHAnsi"/>
                <w:sz w:val="18"/>
                <w:szCs w:val="18"/>
                <w:lang w:val="es-CO"/>
              </w:rPr>
              <w:t>T</w:t>
            </w:r>
            <w:r w:rsidRPr="00055A98">
              <w:rPr>
                <w:sz w:val="18"/>
                <w:szCs w:val="18"/>
                <w:lang w:val="es-CO"/>
              </w:rPr>
              <w:t xml:space="preserve">abla </w:t>
            </w:r>
            <w:r w:rsidRPr="00055A98">
              <w:rPr>
                <w:noProof/>
                <w:sz w:val="18"/>
                <w:szCs w:val="18"/>
                <w:lang w:val="es-CO"/>
              </w:rPr>
              <w:t>2</w:t>
            </w:r>
            <w:r w:rsidRPr="00055A98">
              <w:rPr>
                <w:rFonts w:cstheme="minorHAnsi"/>
                <w:sz w:val="18"/>
                <w:szCs w:val="18"/>
              </w:rPr>
              <w:fldChar w:fldCharType="end"/>
            </w:r>
            <w:r w:rsidRPr="00055A98">
              <w:rPr>
                <w:rFonts w:cstheme="minorHAnsi"/>
                <w:sz w:val="18"/>
                <w:szCs w:val="18"/>
              </w:rPr>
              <w:t>:</w:t>
            </w:r>
          </w:p>
          <w:p w14:paraId="5E62EAED" w14:textId="77777777" w:rsidR="00055A98" w:rsidRPr="00055A98" w:rsidRDefault="00055A98" w:rsidP="00055A98">
            <w:pPr>
              <w:pStyle w:val="Descripcin"/>
              <w:rPr>
                <w:rFonts w:cstheme="minorHAnsi"/>
                <w:sz w:val="18"/>
                <w:lang w:val="es-CO"/>
              </w:rPr>
            </w:pPr>
            <w:bookmarkStart w:id="2" w:name="_Ref516504090"/>
            <w:r w:rsidRPr="00055A98">
              <w:rPr>
                <w:rFonts w:cstheme="minorHAnsi"/>
                <w:sz w:val="18"/>
                <w:lang w:val="es-CO"/>
              </w:rPr>
              <w:t>T</w:t>
            </w:r>
            <w:r w:rsidRPr="00055A98">
              <w:rPr>
                <w:sz w:val="18"/>
                <w:lang w:val="es-CO"/>
              </w:rPr>
              <w:t xml:space="preserve">abla </w:t>
            </w:r>
            <w:r w:rsidRPr="00055A98">
              <w:rPr>
                <w:noProof/>
                <w:sz w:val="18"/>
              </w:rPr>
              <w:fldChar w:fldCharType="begin"/>
            </w:r>
            <w:r w:rsidRPr="00055A98">
              <w:rPr>
                <w:noProof/>
                <w:sz w:val="18"/>
                <w:lang w:val="es-CO"/>
              </w:rPr>
              <w:instrText xml:space="preserve"> SEQ Table \* ARABIC </w:instrText>
            </w:r>
            <w:r w:rsidRPr="00055A98">
              <w:rPr>
                <w:noProof/>
                <w:sz w:val="18"/>
              </w:rPr>
              <w:fldChar w:fldCharType="separate"/>
            </w:r>
            <w:r w:rsidRPr="00055A98">
              <w:rPr>
                <w:noProof/>
                <w:sz w:val="18"/>
                <w:lang w:val="es-CO"/>
              </w:rPr>
              <w:t>2</w:t>
            </w:r>
            <w:r w:rsidRPr="00055A98">
              <w:rPr>
                <w:noProof/>
                <w:sz w:val="18"/>
              </w:rPr>
              <w:fldChar w:fldCharType="end"/>
            </w:r>
            <w:bookmarkEnd w:id="2"/>
            <w:r w:rsidRPr="00055A98">
              <w:rPr>
                <w:sz w:val="18"/>
                <w:lang w:val="es-CO"/>
              </w:rPr>
              <w:t xml:space="preserve">: Ejemplos de Países con Descuentos por Limitaciones al Espectro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3692"/>
              <w:gridCol w:w="2730"/>
            </w:tblGrid>
            <w:tr w:rsidR="00055A98" w:rsidRPr="00055A98" w14:paraId="7A33C30C" w14:textId="77777777" w:rsidTr="00AD26FE">
              <w:trPr>
                <w:trHeight w:val="665"/>
              </w:trPr>
              <w:tc>
                <w:tcPr>
                  <w:tcW w:w="2349" w:type="dxa"/>
                  <w:shd w:val="clear" w:color="auto" w:fill="DEEAF6" w:themeFill="accent1" w:themeFillTint="33"/>
                </w:tcPr>
                <w:p w14:paraId="13DB748C" w14:textId="77777777" w:rsidR="00055A98" w:rsidRPr="00055A98" w:rsidRDefault="00055A98" w:rsidP="002A411C">
                  <w:pPr>
                    <w:framePr w:hSpace="141" w:wrap="around" w:vAnchor="text" w:hAnchor="margin" w:y="260"/>
                    <w:rPr>
                      <w:rFonts w:cstheme="minorHAnsi"/>
                      <w:sz w:val="18"/>
                      <w:szCs w:val="18"/>
                      <w:lang w:val="en-US"/>
                    </w:rPr>
                  </w:pPr>
                  <w:r w:rsidRPr="00055A98">
                    <w:rPr>
                      <w:rFonts w:cstheme="minorHAnsi"/>
                      <w:sz w:val="18"/>
                      <w:szCs w:val="18"/>
                    </w:rPr>
                    <w:t>País</w:t>
                  </w:r>
                  <w:r w:rsidRPr="00055A98">
                    <w:rPr>
                      <w:rFonts w:cstheme="minorHAnsi"/>
                      <w:sz w:val="18"/>
                      <w:szCs w:val="18"/>
                      <w:lang w:val="en-US"/>
                    </w:rPr>
                    <w:t>/Subasta</w:t>
                  </w:r>
                </w:p>
              </w:tc>
              <w:tc>
                <w:tcPr>
                  <w:tcW w:w="3692" w:type="dxa"/>
                  <w:shd w:val="clear" w:color="auto" w:fill="DEEAF6" w:themeFill="accent1" w:themeFillTint="33"/>
                </w:tcPr>
                <w:p w14:paraId="6512C84B" w14:textId="77777777" w:rsidR="00055A98" w:rsidRPr="00055A98" w:rsidRDefault="00055A98" w:rsidP="002A411C">
                  <w:pPr>
                    <w:framePr w:hSpace="141" w:wrap="around" w:vAnchor="text" w:hAnchor="margin" w:y="260"/>
                    <w:rPr>
                      <w:rFonts w:cstheme="minorHAnsi"/>
                      <w:sz w:val="18"/>
                      <w:szCs w:val="18"/>
                      <w:lang w:val="es-CO"/>
                    </w:rPr>
                  </w:pPr>
                  <w:r w:rsidRPr="00055A98">
                    <w:rPr>
                      <w:rFonts w:cstheme="minorHAnsi"/>
                      <w:sz w:val="18"/>
                      <w:szCs w:val="18"/>
                    </w:rPr>
                    <w:t>Raz</w:t>
                  </w:r>
                  <w:r w:rsidRPr="00055A98">
                    <w:rPr>
                      <w:rFonts w:cstheme="minorHAnsi"/>
                      <w:sz w:val="18"/>
                      <w:szCs w:val="18"/>
                      <w:lang w:val="es-CO"/>
                    </w:rPr>
                    <w:t>ón de la Limitación</w:t>
                  </w:r>
                </w:p>
              </w:tc>
              <w:tc>
                <w:tcPr>
                  <w:tcW w:w="2730" w:type="dxa"/>
                  <w:shd w:val="clear" w:color="auto" w:fill="DEEAF6" w:themeFill="accent1" w:themeFillTint="33"/>
                </w:tcPr>
                <w:p w14:paraId="1C9AD03F" w14:textId="77777777" w:rsidR="00055A98" w:rsidRPr="00055A98" w:rsidRDefault="00055A98" w:rsidP="002A411C">
                  <w:pPr>
                    <w:framePr w:hSpace="141" w:wrap="around" w:vAnchor="text" w:hAnchor="margin" w:y="260"/>
                    <w:rPr>
                      <w:rFonts w:cstheme="minorHAnsi"/>
                      <w:sz w:val="18"/>
                      <w:szCs w:val="18"/>
                    </w:rPr>
                  </w:pPr>
                  <w:r w:rsidRPr="00055A98">
                    <w:rPr>
                      <w:rFonts w:cstheme="minorHAnsi"/>
                      <w:sz w:val="18"/>
                      <w:szCs w:val="18"/>
                    </w:rPr>
                    <w:t xml:space="preserve">Factor de </w:t>
                  </w:r>
                  <w:r w:rsidR="00952E94" w:rsidRPr="00055A98">
                    <w:rPr>
                      <w:rFonts w:cstheme="minorHAnsi"/>
                      <w:sz w:val="18"/>
                      <w:szCs w:val="18"/>
                    </w:rPr>
                    <w:t>Descuento (</w:t>
                  </w:r>
                  <w:r w:rsidRPr="00055A98">
                    <w:rPr>
                      <w:rFonts w:cstheme="minorHAnsi"/>
                      <w:sz w:val="18"/>
                      <w:szCs w:val="18"/>
                    </w:rPr>
                    <w:t>%)</w:t>
                  </w:r>
                </w:p>
              </w:tc>
            </w:tr>
            <w:tr w:rsidR="00055A98" w:rsidRPr="00055A98" w14:paraId="13EDB1BB" w14:textId="77777777" w:rsidTr="00AD26FE">
              <w:trPr>
                <w:trHeight w:val="20"/>
              </w:trPr>
              <w:tc>
                <w:tcPr>
                  <w:tcW w:w="2349" w:type="dxa"/>
                </w:tcPr>
                <w:p w14:paraId="2ECE8C1C" w14:textId="77777777" w:rsidR="00055A98" w:rsidRPr="00055A98" w:rsidRDefault="00055A98" w:rsidP="002A411C">
                  <w:pPr>
                    <w:framePr w:hSpace="141" w:wrap="around" w:vAnchor="text" w:hAnchor="margin" w:y="260"/>
                    <w:rPr>
                      <w:rFonts w:cstheme="minorHAnsi"/>
                      <w:sz w:val="18"/>
                      <w:szCs w:val="18"/>
                    </w:rPr>
                  </w:pPr>
                  <w:r w:rsidRPr="00055A98">
                    <w:rPr>
                      <w:rFonts w:cstheme="minorHAnsi"/>
                      <w:sz w:val="18"/>
                      <w:szCs w:val="18"/>
                    </w:rPr>
                    <w:t xml:space="preserve">México: Banda AWS-3 </w:t>
                  </w:r>
                </w:p>
              </w:tc>
              <w:tc>
                <w:tcPr>
                  <w:tcW w:w="3692" w:type="dxa"/>
                </w:tcPr>
                <w:p w14:paraId="44E1E59D" w14:textId="77777777" w:rsidR="00055A98" w:rsidRPr="00055A98" w:rsidRDefault="00055A98" w:rsidP="002A411C">
                  <w:pPr>
                    <w:framePr w:hSpace="141" w:wrap="around" w:vAnchor="text" w:hAnchor="margin" w:y="260"/>
                    <w:rPr>
                      <w:rFonts w:cstheme="minorHAnsi"/>
                      <w:sz w:val="18"/>
                      <w:szCs w:val="18"/>
                      <w:lang w:val="es-CO"/>
                    </w:rPr>
                  </w:pPr>
                  <w:r w:rsidRPr="00055A98">
                    <w:rPr>
                      <w:rFonts w:cstheme="minorHAnsi"/>
                      <w:sz w:val="18"/>
                      <w:szCs w:val="18"/>
                      <w:lang w:val="es-CO"/>
                    </w:rPr>
                    <w:t xml:space="preserve">Restricciones a la disponibilidad de equipos en diferentes sub-bandas. </w:t>
                  </w:r>
                </w:p>
              </w:tc>
              <w:tc>
                <w:tcPr>
                  <w:tcW w:w="2730" w:type="dxa"/>
                </w:tcPr>
                <w:p w14:paraId="293290E7" w14:textId="77777777" w:rsidR="00055A98" w:rsidRPr="00055A98" w:rsidRDefault="00055A98" w:rsidP="002A411C">
                  <w:pPr>
                    <w:framePr w:hSpace="141" w:wrap="around" w:vAnchor="text" w:hAnchor="margin" w:y="260"/>
                    <w:jc w:val="center"/>
                    <w:rPr>
                      <w:rFonts w:cstheme="minorHAnsi"/>
                      <w:sz w:val="18"/>
                      <w:szCs w:val="18"/>
                    </w:rPr>
                  </w:pPr>
                  <w:r w:rsidRPr="00055A98">
                    <w:rPr>
                      <w:rFonts w:cstheme="minorHAnsi"/>
                      <w:sz w:val="18"/>
                      <w:szCs w:val="18"/>
                    </w:rPr>
                    <w:t>93.7%</w:t>
                  </w:r>
                </w:p>
              </w:tc>
            </w:tr>
            <w:tr w:rsidR="00055A98" w:rsidRPr="00055A98" w14:paraId="7D5C1B98" w14:textId="77777777" w:rsidTr="00AD26FE">
              <w:trPr>
                <w:trHeight w:val="20"/>
              </w:trPr>
              <w:tc>
                <w:tcPr>
                  <w:tcW w:w="2349" w:type="dxa"/>
                </w:tcPr>
                <w:p w14:paraId="20C8152C" w14:textId="77777777" w:rsidR="00055A98" w:rsidRPr="00055A98" w:rsidRDefault="00055A98" w:rsidP="002A411C">
                  <w:pPr>
                    <w:framePr w:hSpace="141" w:wrap="around" w:vAnchor="text" w:hAnchor="margin" w:y="260"/>
                    <w:rPr>
                      <w:rFonts w:cstheme="minorHAnsi"/>
                      <w:sz w:val="18"/>
                      <w:szCs w:val="18"/>
                    </w:rPr>
                  </w:pPr>
                  <w:r w:rsidRPr="00055A98">
                    <w:rPr>
                      <w:rFonts w:cstheme="minorHAnsi"/>
                      <w:sz w:val="18"/>
                      <w:szCs w:val="18"/>
                    </w:rPr>
                    <w:t>Alemania: Banda 1800 MHz</w:t>
                  </w:r>
                </w:p>
              </w:tc>
              <w:tc>
                <w:tcPr>
                  <w:tcW w:w="3692" w:type="dxa"/>
                </w:tcPr>
                <w:p w14:paraId="36E10257" w14:textId="77777777" w:rsidR="00055A98" w:rsidRPr="00055A98" w:rsidRDefault="00055A98" w:rsidP="002A411C">
                  <w:pPr>
                    <w:framePr w:hSpace="141" w:wrap="around" w:vAnchor="text" w:hAnchor="margin" w:y="260"/>
                    <w:rPr>
                      <w:rFonts w:cstheme="minorHAnsi"/>
                      <w:sz w:val="18"/>
                      <w:szCs w:val="18"/>
                      <w:lang w:val="es-CO"/>
                    </w:rPr>
                  </w:pPr>
                  <w:r w:rsidRPr="00055A98">
                    <w:rPr>
                      <w:rFonts w:cstheme="minorHAnsi"/>
                      <w:sz w:val="18"/>
                      <w:szCs w:val="18"/>
                      <w:lang w:val="es-CO"/>
                    </w:rPr>
                    <w:t>Limitaciones técnicas impuestas para evitar interferencias en bandas adyacentes.</w:t>
                  </w:r>
                </w:p>
              </w:tc>
              <w:tc>
                <w:tcPr>
                  <w:tcW w:w="2730" w:type="dxa"/>
                </w:tcPr>
                <w:p w14:paraId="712396C6" w14:textId="77777777" w:rsidR="00055A98" w:rsidRPr="00055A98" w:rsidRDefault="00055A98" w:rsidP="002A411C">
                  <w:pPr>
                    <w:framePr w:hSpace="141" w:wrap="around" w:vAnchor="text" w:hAnchor="margin" w:y="260"/>
                    <w:jc w:val="center"/>
                    <w:rPr>
                      <w:rFonts w:cstheme="minorHAnsi"/>
                      <w:sz w:val="18"/>
                      <w:szCs w:val="18"/>
                    </w:rPr>
                  </w:pPr>
                  <w:r w:rsidRPr="00055A98">
                    <w:rPr>
                      <w:rFonts w:cstheme="minorHAnsi"/>
                      <w:sz w:val="18"/>
                      <w:szCs w:val="18"/>
                    </w:rPr>
                    <w:t>27.1%</w:t>
                  </w:r>
                </w:p>
              </w:tc>
            </w:tr>
            <w:tr w:rsidR="00055A98" w:rsidRPr="00055A98" w14:paraId="7E75E6F6" w14:textId="77777777" w:rsidTr="00AD26FE">
              <w:trPr>
                <w:trHeight w:val="20"/>
              </w:trPr>
              <w:tc>
                <w:tcPr>
                  <w:tcW w:w="2349" w:type="dxa"/>
                </w:tcPr>
                <w:p w14:paraId="519B8530" w14:textId="77777777" w:rsidR="00055A98" w:rsidRPr="00055A98" w:rsidRDefault="00055A98" w:rsidP="002A411C">
                  <w:pPr>
                    <w:framePr w:hSpace="141" w:wrap="around" w:vAnchor="text" w:hAnchor="margin" w:y="260"/>
                    <w:rPr>
                      <w:rFonts w:cstheme="minorHAnsi"/>
                      <w:sz w:val="18"/>
                      <w:szCs w:val="18"/>
                    </w:rPr>
                  </w:pPr>
                  <w:r w:rsidRPr="00055A98">
                    <w:rPr>
                      <w:rFonts w:cstheme="minorHAnsi"/>
                      <w:sz w:val="18"/>
                      <w:szCs w:val="18"/>
                    </w:rPr>
                    <w:t>Estados Unidos: Banda 2.3 GHz</w:t>
                  </w:r>
                </w:p>
              </w:tc>
              <w:tc>
                <w:tcPr>
                  <w:tcW w:w="3692" w:type="dxa"/>
                </w:tcPr>
                <w:p w14:paraId="56515CBA" w14:textId="77777777" w:rsidR="00055A98" w:rsidRPr="00055A98" w:rsidRDefault="00055A98" w:rsidP="002A411C">
                  <w:pPr>
                    <w:framePr w:hSpace="141" w:wrap="around" w:vAnchor="text" w:hAnchor="margin" w:y="260"/>
                    <w:rPr>
                      <w:rFonts w:cstheme="minorHAnsi"/>
                      <w:sz w:val="18"/>
                      <w:szCs w:val="18"/>
                      <w:lang w:val="es-CO"/>
                    </w:rPr>
                  </w:pPr>
                  <w:r w:rsidRPr="00055A98">
                    <w:rPr>
                      <w:rFonts w:cstheme="minorHAnsi"/>
                      <w:sz w:val="18"/>
                      <w:szCs w:val="18"/>
                      <w:lang w:val="es-CO"/>
                    </w:rPr>
                    <w:t>Limitaciones técnicas impuestas para evitar interferencias en bandas adyacentes.</w:t>
                  </w:r>
                </w:p>
              </w:tc>
              <w:tc>
                <w:tcPr>
                  <w:tcW w:w="2730" w:type="dxa"/>
                </w:tcPr>
                <w:p w14:paraId="0A5F20B1" w14:textId="77777777" w:rsidR="00055A98" w:rsidRPr="00055A98" w:rsidRDefault="00055A98" w:rsidP="002A411C">
                  <w:pPr>
                    <w:framePr w:hSpace="141" w:wrap="around" w:vAnchor="text" w:hAnchor="margin" w:y="260"/>
                    <w:jc w:val="center"/>
                    <w:rPr>
                      <w:rFonts w:cstheme="minorHAnsi"/>
                      <w:sz w:val="18"/>
                      <w:szCs w:val="18"/>
                    </w:rPr>
                  </w:pPr>
                  <w:r w:rsidRPr="00055A98">
                    <w:rPr>
                      <w:rFonts w:cstheme="minorHAnsi"/>
                      <w:sz w:val="18"/>
                      <w:szCs w:val="18"/>
                      <w:lang w:val="en-US"/>
                    </w:rPr>
                    <w:t>&gt;99%</w:t>
                  </w:r>
                </w:p>
              </w:tc>
            </w:tr>
            <w:tr w:rsidR="00055A98" w:rsidRPr="00055A98" w14:paraId="78AB0FE2" w14:textId="77777777" w:rsidTr="00AD26FE">
              <w:trPr>
                <w:trHeight w:val="20"/>
              </w:trPr>
              <w:tc>
                <w:tcPr>
                  <w:tcW w:w="2349" w:type="dxa"/>
                </w:tcPr>
                <w:p w14:paraId="0C2A6235" w14:textId="77777777" w:rsidR="00055A98" w:rsidRPr="00055A98" w:rsidRDefault="00055A98" w:rsidP="002A411C">
                  <w:pPr>
                    <w:framePr w:hSpace="141" w:wrap="around" w:vAnchor="text" w:hAnchor="margin" w:y="260"/>
                    <w:rPr>
                      <w:rFonts w:cstheme="minorHAnsi"/>
                      <w:sz w:val="18"/>
                      <w:szCs w:val="18"/>
                    </w:rPr>
                  </w:pPr>
                  <w:r w:rsidRPr="00055A98">
                    <w:rPr>
                      <w:rFonts w:cstheme="minorHAnsi"/>
                      <w:sz w:val="18"/>
                      <w:szCs w:val="18"/>
                    </w:rPr>
                    <w:t>Reino Unido: Banda L (1.5 GHz)</w:t>
                  </w:r>
                </w:p>
              </w:tc>
              <w:tc>
                <w:tcPr>
                  <w:tcW w:w="3692" w:type="dxa"/>
                </w:tcPr>
                <w:p w14:paraId="51064207" w14:textId="77777777" w:rsidR="00055A98" w:rsidRPr="00055A98" w:rsidRDefault="00055A98" w:rsidP="002A411C">
                  <w:pPr>
                    <w:framePr w:hSpace="141" w:wrap="around" w:vAnchor="text" w:hAnchor="margin" w:y="260"/>
                    <w:rPr>
                      <w:rFonts w:cstheme="minorHAnsi"/>
                      <w:sz w:val="18"/>
                      <w:szCs w:val="18"/>
                      <w:lang w:val="es-CO"/>
                    </w:rPr>
                  </w:pPr>
                  <w:r w:rsidRPr="00055A98">
                    <w:rPr>
                      <w:rFonts w:cstheme="minorHAnsi"/>
                      <w:sz w:val="18"/>
                      <w:szCs w:val="18"/>
                      <w:lang w:val="es-CO"/>
                    </w:rPr>
                    <w:t>Limitaciones técnicas impuestas para evitar interferencias en bandas adyacentes.</w:t>
                  </w:r>
                </w:p>
              </w:tc>
              <w:tc>
                <w:tcPr>
                  <w:tcW w:w="2730" w:type="dxa"/>
                </w:tcPr>
                <w:p w14:paraId="781FD7E9" w14:textId="77777777" w:rsidR="00055A98" w:rsidRPr="00055A98" w:rsidRDefault="00055A98" w:rsidP="002A411C">
                  <w:pPr>
                    <w:framePr w:hSpace="141" w:wrap="around" w:vAnchor="text" w:hAnchor="margin" w:y="260"/>
                    <w:jc w:val="center"/>
                    <w:rPr>
                      <w:rFonts w:cstheme="minorHAnsi"/>
                      <w:sz w:val="18"/>
                      <w:szCs w:val="18"/>
                      <w:lang w:val="es-CO"/>
                    </w:rPr>
                  </w:pPr>
                  <w:r w:rsidRPr="00055A98">
                    <w:rPr>
                      <w:rFonts w:cstheme="minorHAnsi"/>
                      <w:sz w:val="18"/>
                      <w:szCs w:val="18"/>
                      <w:lang w:val="es-CO"/>
                    </w:rPr>
                    <w:t>58%</w:t>
                  </w:r>
                </w:p>
              </w:tc>
            </w:tr>
          </w:tbl>
          <w:p w14:paraId="558D5640" w14:textId="77777777" w:rsidR="00055A98" w:rsidRPr="00055A98" w:rsidRDefault="00055A98" w:rsidP="00055A98">
            <w:pPr>
              <w:rPr>
                <w:sz w:val="18"/>
                <w:szCs w:val="18"/>
                <w:lang w:val="es-CO"/>
              </w:rPr>
            </w:pPr>
            <w:r w:rsidRPr="00055A98">
              <w:rPr>
                <w:sz w:val="18"/>
                <w:szCs w:val="18"/>
                <w:lang w:val="es-CO"/>
              </w:rPr>
              <w:t>Fuente: Basado en decisiones de reguladores nacionales</w:t>
            </w:r>
          </w:p>
          <w:p w14:paraId="2A32A68D" w14:textId="77777777" w:rsidR="00055A98" w:rsidRPr="00055A98" w:rsidRDefault="00055A98" w:rsidP="00055A98">
            <w:pPr>
              <w:jc w:val="both"/>
              <w:rPr>
                <w:sz w:val="18"/>
                <w:szCs w:val="18"/>
                <w:lang w:val="es-CO"/>
              </w:rPr>
            </w:pPr>
            <w:r w:rsidRPr="00055A98">
              <w:rPr>
                <w:sz w:val="18"/>
                <w:szCs w:val="18"/>
                <w:lang w:val="es-CO"/>
              </w:rPr>
              <w:t xml:space="preserve">En México, el Instituto utilizó este enfoque en la subasta de AWS que concluyó en 2016 (1710-1755/2110-2155 MHz, "AWS-1" y 1755-1770/2155-2170 MHz, "AWS-3"), estableciendo </w:t>
            </w:r>
            <w:r w:rsidR="00952E94" w:rsidRPr="00055A98">
              <w:rPr>
                <w:sz w:val="18"/>
                <w:szCs w:val="18"/>
                <w:lang w:val="es-CO"/>
              </w:rPr>
              <w:t>diferentes Valores</w:t>
            </w:r>
            <w:r w:rsidRPr="00055A98">
              <w:rPr>
                <w:sz w:val="18"/>
                <w:szCs w:val="18"/>
                <w:lang w:val="es-CO"/>
              </w:rPr>
              <w:t xml:space="preserve"> Mínimos de Referencia para diferentes sub-bandas para tener en cuenta la disponibilidad de equipos</w:t>
            </w:r>
            <w:r w:rsidRPr="00055A98">
              <w:rPr>
                <w:rStyle w:val="Refdenotaalpie"/>
                <w:rFonts w:cstheme="minorHAnsi"/>
                <w:sz w:val="18"/>
                <w:szCs w:val="18"/>
              </w:rPr>
              <w:footnoteReference w:id="17"/>
            </w:r>
            <w:r w:rsidRPr="00055A98">
              <w:rPr>
                <w:sz w:val="18"/>
                <w:szCs w:val="18"/>
                <w:lang w:val="es-CO"/>
              </w:rPr>
              <w:t xml:space="preserve">. Como se muestra en la </w:t>
            </w:r>
            <w:r w:rsidRPr="00055A98">
              <w:rPr>
                <w:rFonts w:cstheme="minorHAnsi"/>
                <w:sz w:val="18"/>
                <w:szCs w:val="18"/>
              </w:rPr>
              <w:fldChar w:fldCharType="begin"/>
            </w:r>
            <w:r w:rsidRPr="00055A98">
              <w:rPr>
                <w:rFonts w:cstheme="minorHAnsi"/>
                <w:sz w:val="18"/>
                <w:szCs w:val="18"/>
                <w:lang w:val="es-CO"/>
              </w:rPr>
              <w:instrText xml:space="preserve"> REF _Ref526171286 \h </w:instrText>
            </w:r>
            <w:r>
              <w:rPr>
                <w:rFonts w:cstheme="minorHAnsi"/>
                <w:sz w:val="18"/>
                <w:szCs w:val="18"/>
              </w:rPr>
              <w:instrText xml:space="preserve"> \* MERGEFORMAT </w:instrText>
            </w:r>
            <w:r w:rsidRPr="00055A98">
              <w:rPr>
                <w:rFonts w:cstheme="minorHAnsi"/>
                <w:sz w:val="18"/>
                <w:szCs w:val="18"/>
              </w:rPr>
            </w:r>
            <w:r w:rsidRPr="00055A98">
              <w:rPr>
                <w:rFonts w:cstheme="minorHAnsi"/>
                <w:sz w:val="18"/>
                <w:szCs w:val="18"/>
              </w:rPr>
              <w:fldChar w:fldCharType="separate"/>
            </w:r>
            <w:r w:rsidRPr="00055A98">
              <w:rPr>
                <w:sz w:val="18"/>
                <w:szCs w:val="18"/>
                <w:lang w:val="es-CO"/>
              </w:rPr>
              <w:t xml:space="preserve">Tabla </w:t>
            </w:r>
            <w:r w:rsidRPr="00055A98">
              <w:rPr>
                <w:noProof/>
                <w:sz w:val="18"/>
                <w:szCs w:val="18"/>
                <w:lang w:val="es-CO"/>
              </w:rPr>
              <w:t>3</w:t>
            </w:r>
            <w:r w:rsidRPr="00055A98">
              <w:rPr>
                <w:rFonts w:cstheme="minorHAnsi"/>
                <w:sz w:val="18"/>
                <w:szCs w:val="18"/>
              </w:rPr>
              <w:fldChar w:fldCharType="end"/>
            </w:r>
            <w:r w:rsidRPr="00055A98">
              <w:rPr>
                <w:rFonts w:cstheme="minorHAnsi"/>
                <w:sz w:val="18"/>
                <w:szCs w:val="18"/>
                <w:lang w:val="es-CO"/>
              </w:rPr>
              <w:t xml:space="preserve">, </w:t>
            </w:r>
            <w:r w:rsidRPr="00055A98">
              <w:rPr>
                <w:sz w:val="18"/>
                <w:szCs w:val="18"/>
                <w:lang w:val="es-CO"/>
              </w:rPr>
              <w:t>el factor de descuento por deterioro fue de alrededor del 94% para la banda AWS-3 en México.</w:t>
            </w:r>
          </w:p>
          <w:p w14:paraId="742C25C5" w14:textId="77777777" w:rsidR="00055A98" w:rsidRPr="00055A98" w:rsidRDefault="00055A98" w:rsidP="00055A98">
            <w:pPr>
              <w:pStyle w:val="Descripcin"/>
              <w:spacing w:after="120"/>
              <w:rPr>
                <w:color w:val="auto"/>
                <w:sz w:val="18"/>
                <w:lang w:val="es-CO"/>
              </w:rPr>
            </w:pPr>
            <w:bookmarkStart w:id="3" w:name="_Ref526171286"/>
            <w:r w:rsidRPr="00055A98">
              <w:rPr>
                <w:sz w:val="18"/>
                <w:lang w:val="es-CO"/>
              </w:rPr>
              <w:t xml:space="preserve">Tabla </w:t>
            </w:r>
            <w:r w:rsidRPr="00055A98">
              <w:rPr>
                <w:noProof/>
                <w:sz w:val="18"/>
              </w:rPr>
              <w:fldChar w:fldCharType="begin"/>
            </w:r>
            <w:r w:rsidRPr="00055A98">
              <w:rPr>
                <w:noProof/>
                <w:sz w:val="18"/>
                <w:lang w:val="es-CO"/>
              </w:rPr>
              <w:instrText xml:space="preserve"> SEQ Table \* ARABIC </w:instrText>
            </w:r>
            <w:r w:rsidRPr="00055A98">
              <w:rPr>
                <w:noProof/>
                <w:sz w:val="18"/>
              </w:rPr>
              <w:fldChar w:fldCharType="separate"/>
            </w:r>
            <w:r w:rsidRPr="00055A98">
              <w:rPr>
                <w:noProof/>
                <w:sz w:val="18"/>
                <w:lang w:val="es-CO"/>
              </w:rPr>
              <w:t>3</w:t>
            </w:r>
            <w:r w:rsidRPr="00055A98">
              <w:rPr>
                <w:noProof/>
                <w:sz w:val="18"/>
              </w:rPr>
              <w:fldChar w:fldCharType="end"/>
            </w:r>
            <w:bookmarkEnd w:id="3"/>
            <w:r w:rsidRPr="00055A98">
              <w:rPr>
                <w:sz w:val="18"/>
                <w:lang w:val="es-CO"/>
              </w:rPr>
              <w:t>: Factor de descuento en la banda AWS-3 en México</w:t>
            </w:r>
          </w:p>
          <w:tbl>
            <w:tblPr>
              <w:tblW w:w="8544"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72"/>
              <w:gridCol w:w="658"/>
              <w:gridCol w:w="1235"/>
              <w:gridCol w:w="969"/>
              <w:gridCol w:w="1276"/>
              <w:gridCol w:w="1308"/>
              <w:gridCol w:w="1100"/>
              <w:gridCol w:w="1026"/>
            </w:tblGrid>
            <w:tr w:rsidR="00055A98" w:rsidRPr="00055A98" w14:paraId="4AB2DA13" w14:textId="77777777" w:rsidTr="00AD26FE">
              <w:trPr>
                <w:trHeight w:val="300"/>
              </w:trPr>
              <w:tc>
                <w:tcPr>
                  <w:tcW w:w="1036" w:type="dxa"/>
                  <w:shd w:val="clear" w:color="auto" w:fill="DEEAF6" w:themeFill="accent1" w:themeFillTint="33"/>
                  <w:tcMar>
                    <w:top w:w="0" w:type="dxa"/>
                    <w:left w:w="108" w:type="dxa"/>
                    <w:bottom w:w="0" w:type="dxa"/>
                    <w:right w:w="108" w:type="dxa"/>
                  </w:tcMar>
                  <w:hideMark/>
                </w:tcPr>
                <w:p w14:paraId="5CB1D965" w14:textId="77777777" w:rsidR="00055A98" w:rsidRPr="00055A98" w:rsidRDefault="00055A98" w:rsidP="002A411C">
                  <w:pPr>
                    <w:framePr w:hSpace="141" w:wrap="around" w:vAnchor="text" w:hAnchor="margin" w:y="260"/>
                    <w:spacing w:after="120"/>
                    <w:jc w:val="center"/>
                    <w:rPr>
                      <w:rFonts w:cstheme="minorHAnsi"/>
                      <w:sz w:val="18"/>
                      <w:szCs w:val="18"/>
                      <w:lang w:val="es-CO"/>
                    </w:rPr>
                  </w:pPr>
                </w:p>
              </w:tc>
              <w:tc>
                <w:tcPr>
                  <w:tcW w:w="658" w:type="dxa"/>
                  <w:shd w:val="clear" w:color="auto" w:fill="DEEAF6" w:themeFill="accent1" w:themeFillTint="33"/>
                  <w:noWrap/>
                  <w:tcMar>
                    <w:top w:w="0" w:type="dxa"/>
                    <w:left w:w="108" w:type="dxa"/>
                    <w:bottom w:w="0" w:type="dxa"/>
                    <w:right w:w="108" w:type="dxa"/>
                  </w:tcMar>
                  <w:hideMark/>
                </w:tcPr>
                <w:p w14:paraId="2DEDE803" w14:textId="77777777" w:rsidR="00055A98" w:rsidRPr="00055A98" w:rsidRDefault="00055A98" w:rsidP="002A411C">
                  <w:pPr>
                    <w:framePr w:hSpace="141" w:wrap="around" w:vAnchor="text" w:hAnchor="margin" w:y="260"/>
                    <w:spacing w:after="120"/>
                    <w:jc w:val="center"/>
                    <w:rPr>
                      <w:rFonts w:cstheme="minorHAnsi"/>
                      <w:sz w:val="18"/>
                      <w:szCs w:val="18"/>
                      <w:lang w:val="en-US"/>
                    </w:rPr>
                  </w:pPr>
                  <w:r w:rsidRPr="00055A98">
                    <w:rPr>
                      <w:rFonts w:cstheme="minorHAnsi"/>
                      <w:sz w:val="18"/>
                      <w:szCs w:val="18"/>
                      <w:lang w:val="en-US"/>
                    </w:rPr>
                    <w:t>Total MHz</w:t>
                  </w:r>
                </w:p>
              </w:tc>
              <w:tc>
                <w:tcPr>
                  <w:tcW w:w="1235" w:type="dxa"/>
                  <w:shd w:val="clear" w:color="auto" w:fill="DEEAF6" w:themeFill="accent1" w:themeFillTint="33"/>
                  <w:noWrap/>
                  <w:tcMar>
                    <w:top w:w="0" w:type="dxa"/>
                    <w:left w:w="108" w:type="dxa"/>
                    <w:bottom w:w="0" w:type="dxa"/>
                    <w:right w:w="108" w:type="dxa"/>
                  </w:tcMar>
                  <w:hideMark/>
                </w:tcPr>
                <w:p w14:paraId="1AEA7948" w14:textId="77777777" w:rsidR="00055A98" w:rsidRPr="00055A98" w:rsidRDefault="00055A98" w:rsidP="002A411C">
                  <w:pPr>
                    <w:framePr w:hSpace="141" w:wrap="around" w:vAnchor="text" w:hAnchor="margin" w:y="260"/>
                    <w:spacing w:after="120"/>
                    <w:jc w:val="center"/>
                    <w:rPr>
                      <w:rFonts w:cstheme="minorHAnsi"/>
                      <w:sz w:val="18"/>
                      <w:szCs w:val="18"/>
                      <w:lang w:val="en-US"/>
                    </w:rPr>
                  </w:pPr>
                  <w:r w:rsidRPr="00055A98">
                    <w:rPr>
                      <w:rFonts w:cstheme="minorHAnsi"/>
                      <w:sz w:val="18"/>
                      <w:szCs w:val="18"/>
                      <w:lang w:val="en-US"/>
                    </w:rPr>
                    <w:t>Banda (MHz)</w:t>
                  </w:r>
                </w:p>
              </w:tc>
              <w:tc>
                <w:tcPr>
                  <w:tcW w:w="798" w:type="dxa"/>
                  <w:shd w:val="clear" w:color="auto" w:fill="DEEAF6" w:themeFill="accent1" w:themeFillTint="33"/>
                  <w:noWrap/>
                  <w:tcMar>
                    <w:top w:w="0" w:type="dxa"/>
                    <w:left w:w="108" w:type="dxa"/>
                    <w:bottom w:w="0" w:type="dxa"/>
                    <w:right w:w="108" w:type="dxa"/>
                  </w:tcMar>
                  <w:hideMark/>
                </w:tcPr>
                <w:p w14:paraId="303B8FDB" w14:textId="77777777" w:rsidR="00055A98" w:rsidRPr="00055A98" w:rsidRDefault="00055A98" w:rsidP="002A411C">
                  <w:pPr>
                    <w:framePr w:hSpace="141" w:wrap="around" w:vAnchor="text" w:hAnchor="margin" w:y="260"/>
                    <w:spacing w:after="0"/>
                    <w:jc w:val="center"/>
                    <w:rPr>
                      <w:rFonts w:cstheme="minorHAnsi"/>
                      <w:sz w:val="18"/>
                      <w:szCs w:val="18"/>
                      <w:lang w:val="es-CO"/>
                    </w:rPr>
                  </w:pPr>
                  <w:r w:rsidRPr="00055A98">
                    <w:rPr>
                      <w:rFonts w:cstheme="minorHAnsi"/>
                      <w:sz w:val="18"/>
                      <w:szCs w:val="18"/>
                      <w:lang w:val="es-CO"/>
                    </w:rPr>
                    <w:t>Plazo de la Concesión</w:t>
                  </w:r>
                </w:p>
                <w:p w14:paraId="780A9015"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(años)</w:t>
                  </w:r>
                </w:p>
              </w:tc>
              <w:tc>
                <w:tcPr>
                  <w:tcW w:w="1278" w:type="dxa"/>
                  <w:shd w:val="clear" w:color="auto" w:fill="DEEAF6" w:themeFill="accent1" w:themeFillTint="33"/>
                  <w:tcMar>
                    <w:top w:w="0" w:type="dxa"/>
                    <w:left w:w="108" w:type="dxa"/>
                    <w:bottom w:w="0" w:type="dxa"/>
                    <w:right w:w="108" w:type="dxa"/>
                  </w:tcMar>
                  <w:hideMark/>
                </w:tcPr>
                <w:p w14:paraId="4846796D" w14:textId="445D0E61" w:rsidR="00055A98" w:rsidRPr="00055A98" w:rsidRDefault="0087563D" w:rsidP="002A411C">
                  <w:pPr>
                    <w:framePr w:hSpace="141" w:wrap="around" w:vAnchor="text" w:hAnchor="margin" w:y="260"/>
                    <w:spacing w:after="0"/>
                    <w:jc w:val="center"/>
                    <w:rPr>
                      <w:rFonts w:cstheme="minorHAnsi"/>
                      <w:sz w:val="18"/>
                      <w:szCs w:val="18"/>
                      <w:lang w:val="es-CO"/>
                    </w:rPr>
                  </w:pPr>
                  <w:r>
                    <w:rPr>
                      <w:rFonts w:cstheme="minorHAnsi"/>
                      <w:sz w:val="18"/>
                      <w:szCs w:val="18"/>
                      <w:lang w:val="es-CO"/>
                    </w:rPr>
                    <w:t xml:space="preserve">Valor Mínimo de </w:t>
                  </w:r>
                  <w:r w:rsidR="00055A98" w:rsidRPr="00055A98">
                    <w:rPr>
                      <w:rFonts w:cstheme="minorHAnsi"/>
                      <w:sz w:val="18"/>
                      <w:szCs w:val="18"/>
                      <w:lang w:val="es-CO"/>
                    </w:rPr>
                    <w:t>Re</w:t>
                  </w:r>
                  <w:r>
                    <w:rPr>
                      <w:rFonts w:cstheme="minorHAnsi"/>
                      <w:sz w:val="18"/>
                      <w:szCs w:val="18"/>
                      <w:lang w:val="es-CO"/>
                    </w:rPr>
                    <w:t xml:space="preserve">ferencia </w:t>
                  </w:r>
                </w:p>
                <w:p w14:paraId="52AD37EB" w14:textId="77777777" w:rsidR="00055A98" w:rsidRPr="00055A98" w:rsidRDefault="00952E94"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(pesos</w:t>
                  </w:r>
                  <w:r w:rsidR="00055A98" w:rsidRPr="00055A98">
                    <w:rPr>
                      <w:rFonts w:cstheme="minorHAnsi"/>
                      <w:sz w:val="18"/>
                      <w:szCs w:val="18"/>
                      <w:lang w:val="es-CO"/>
                    </w:rPr>
                    <w:t xml:space="preserve"> MX)</w:t>
                  </w:r>
                </w:p>
              </w:tc>
              <w:tc>
                <w:tcPr>
                  <w:tcW w:w="1317" w:type="dxa"/>
                  <w:shd w:val="clear" w:color="auto" w:fill="DEEAF6" w:themeFill="accent1" w:themeFillTint="33"/>
                  <w:tcMar>
                    <w:top w:w="0" w:type="dxa"/>
                    <w:left w:w="108" w:type="dxa"/>
                    <w:bottom w:w="0" w:type="dxa"/>
                    <w:right w:w="108" w:type="dxa"/>
                  </w:tcMar>
                  <w:hideMark/>
                </w:tcPr>
                <w:p w14:paraId="5A470CBC"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Final (pesos MX) *</w:t>
                  </w:r>
                </w:p>
              </w:tc>
              <w:tc>
                <w:tcPr>
                  <w:tcW w:w="1152" w:type="dxa"/>
                  <w:shd w:val="clear" w:color="auto" w:fill="DEEAF6" w:themeFill="accent1" w:themeFillTint="33"/>
                </w:tcPr>
                <w:p w14:paraId="72C06462"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 xml:space="preserve">Precio Final por MHz </w:t>
                  </w:r>
                  <w:r w:rsidR="00952E94" w:rsidRPr="00055A98">
                    <w:rPr>
                      <w:rFonts w:cstheme="minorHAnsi"/>
                      <w:sz w:val="18"/>
                      <w:szCs w:val="18"/>
                      <w:lang w:val="es-CO"/>
                    </w:rPr>
                    <w:t>(pesos</w:t>
                  </w:r>
                  <w:r w:rsidRPr="00055A98">
                    <w:rPr>
                      <w:rFonts w:cstheme="minorHAnsi"/>
                      <w:sz w:val="18"/>
                      <w:szCs w:val="18"/>
                      <w:lang w:val="es-CO"/>
                    </w:rPr>
                    <w:t xml:space="preserve"> MX)</w:t>
                  </w:r>
                </w:p>
              </w:tc>
              <w:tc>
                <w:tcPr>
                  <w:tcW w:w="1070" w:type="dxa"/>
                  <w:shd w:val="clear" w:color="auto" w:fill="DEEAF6" w:themeFill="accent1" w:themeFillTint="33"/>
                </w:tcPr>
                <w:p w14:paraId="59D7E681"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 Diferencial AWS-3/AWS-1 precio final**</w:t>
                  </w:r>
                </w:p>
              </w:tc>
            </w:tr>
            <w:tr w:rsidR="00055A98" w:rsidRPr="00055A98" w14:paraId="3598F159" w14:textId="77777777" w:rsidTr="00AD26FE">
              <w:trPr>
                <w:trHeight w:val="300"/>
              </w:trPr>
              <w:tc>
                <w:tcPr>
                  <w:tcW w:w="1036" w:type="dxa"/>
                  <w:shd w:val="clear" w:color="auto" w:fill="FFFFFF"/>
                  <w:tcMar>
                    <w:top w:w="0" w:type="dxa"/>
                    <w:left w:w="108" w:type="dxa"/>
                    <w:bottom w:w="0" w:type="dxa"/>
                    <w:right w:w="108" w:type="dxa"/>
                  </w:tcMar>
                  <w:hideMark/>
                </w:tcPr>
                <w:p w14:paraId="4A64E45E" w14:textId="77777777" w:rsidR="00055A98" w:rsidRPr="00055A98" w:rsidRDefault="00055A98" w:rsidP="002A411C">
                  <w:pPr>
                    <w:framePr w:hSpace="141" w:wrap="around" w:vAnchor="text" w:hAnchor="margin" w:y="260"/>
                    <w:spacing w:after="120"/>
                    <w:rPr>
                      <w:rFonts w:cstheme="minorHAnsi"/>
                      <w:sz w:val="18"/>
                      <w:szCs w:val="18"/>
                      <w:lang w:val="es-CO"/>
                    </w:rPr>
                  </w:pPr>
                  <w:r w:rsidRPr="00055A98">
                    <w:rPr>
                      <w:rFonts w:cstheme="minorHAnsi"/>
                      <w:sz w:val="18"/>
                      <w:szCs w:val="18"/>
                      <w:lang w:val="es-CO"/>
                    </w:rPr>
                    <w:t>AWS-1</w:t>
                  </w:r>
                </w:p>
                <w:p w14:paraId="1B99BF58" w14:textId="77777777" w:rsidR="00055A98" w:rsidRPr="00055A98" w:rsidRDefault="00055A98" w:rsidP="002A411C">
                  <w:pPr>
                    <w:framePr w:hSpace="141" w:wrap="around" w:vAnchor="text" w:hAnchor="margin" w:y="260"/>
                    <w:spacing w:after="120"/>
                    <w:rPr>
                      <w:rFonts w:cstheme="minorHAnsi"/>
                      <w:sz w:val="18"/>
                      <w:szCs w:val="18"/>
                      <w:lang w:val="es-CO"/>
                    </w:rPr>
                  </w:pPr>
                  <w:r w:rsidRPr="00055A98">
                    <w:rPr>
                      <w:rFonts w:cstheme="minorHAnsi"/>
                      <w:sz w:val="18"/>
                      <w:szCs w:val="18"/>
                      <w:lang w:val="es-CO"/>
                    </w:rPr>
                    <w:t>Telcel</w:t>
                  </w:r>
                </w:p>
              </w:tc>
              <w:tc>
                <w:tcPr>
                  <w:tcW w:w="658" w:type="dxa"/>
                  <w:noWrap/>
                  <w:tcMar>
                    <w:top w:w="0" w:type="dxa"/>
                    <w:left w:w="108" w:type="dxa"/>
                    <w:bottom w:w="0" w:type="dxa"/>
                    <w:right w:w="108" w:type="dxa"/>
                  </w:tcMar>
                  <w:hideMark/>
                </w:tcPr>
                <w:p w14:paraId="744E5A99"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20</w:t>
                  </w:r>
                </w:p>
              </w:tc>
              <w:tc>
                <w:tcPr>
                  <w:tcW w:w="1235" w:type="dxa"/>
                  <w:noWrap/>
                  <w:tcMar>
                    <w:top w:w="0" w:type="dxa"/>
                    <w:left w:w="108" w:type="dxa"/>
                    <w:bottom w:w="0" w:type="dxa"/>
                    <w:right w:w="108" w:type="dxa"/>
                  </w:tcMar>
                  <w:hideMark/>
                </w:tcPr>
                <w:p w14:paraId="7CF6924B"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1710-1720/ 2110-2120</w:t>
                  </w:r>
                </w:p>
              </w:tc>
              <w:tc>
                <w:tcPr>
                  <w:tcW w:w="798" w:type="dxa"/>
                  <w:noWrap/>
                  <w:tcMar>
                    <w:top w:w="0" w:type="dxa"/>
                    <w:left w:w="108" w:type="dxa"/>
                    <w:bottom w:w="0" w:type="dxa"/>
                    <w:right w:w="108" w:type="dxa"/>
                  </w:tcMar>
                  <w:hideMark/>
                </w:tcPr>
                <w:p w14:paraId="1A574B0C"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15</w:t>
                  </w:r>
                </w:p>
              </w:tc>
              <w:tc>
                <w:tcPr>
                  <w:tcW w:w="1278" w:type="dxa"/>
                  <w:tcMar>
                    <w:top w:w="0" w:type="dxa"/>
                    <w:left w:w="108" w:type="dxa"/>
                    <w:bottom w:w="0" w:type="dxa"/>
                    <w:right w:w="108" w:type="dxa"/>
                  </w:tcMar>
                  <w:hideMark/>
                </w:tcPr>
                <w:p w14:paraId="21E6D252" w14:textId="77777777" w:rsidR="00055A98" w:rsidRPr="00055A98" w:rsidRDefault="00055A98" w:rsidP="002A411C">
                  <w:pPr>
                    <w:framePr w:hSpace="141" w:wrap="around" w:vAnchor="text" w:hAnchor="margin" w:y="260"/>
                    <w:spacing w:after="120"/>
                    <w:jc w:val="right"/>
                    <w:rPr>
                      <w:rFonts w:cstheme="minorHAnsi"/>
                      <w:sz w:val="18"/>
                      <w:szCs w:val="18"/>
                      <w:lang w:val="es-CO"/>
                    </w:rPr>
                  </w:pPr>
                  <w:r w:rsidRPr="00055A98">
                    <w:rPr>
                      <w:rFonts w:cstheme="minorHAnsi"/>
                      <w:sz w:val="18"/>
                      <w:szCs w:val="18"/>
                      <w:lang w:val="es-CO"/>
                    </w:rPr>
                    <w:t>1,874,000,000</w:t>
                  </w:r>
                </w:p>
              </w:tc>
              <w:tc>
                <w:tcPr>
                  <w:tcW w:w="1317" w:type="dxa"/>
                  <w:tcMar>
                    <w:top w:w="0" w:type="dxa"/>
                    <w:left w:w="108" w:type="dxa"/>
                    <w:bottom w:w="0" w:type="dxa"/>
                    <w:right w:w="108" w:type="dxa"/>
                  </w:tcMar>
                  <w:hideMark/>
                </w:tcPr>
                <w:p w14:paraId="2F1F47CA" w14:textId="77777777" w:rsidR="00055A98" w:rsidRPr="00055A98" w:rsidRDefault="00055A98" w:rsidP="002A411C">
                  <w:pPr>
                    <w:framePr w:hSpace="141" w:wrap="around" w:vAnchor="text" w:hAnchor="margin" w:y="260"/>
                    <w:spacing w:after="120"/>
                    <w:jc w:val="right"/>
                    <w:rPr>
                      <w:rFonts w:cstheme="minorHAnsi"/>
                      <w:sz w:val="18"/>
                      <w:szCs w:val="18"/>
                      <w:lang w:val="es-CO"/>
                    </w:rPr>
                  </w:pPr>
                  <w:r w:rsidRPr="00055A98">
                    <w:rPr>
                      <w:rFonts w:cstheme="minorHAnsi"/>
                      <w:sz w:val="18"/>
                      <w:szCs w:val="18"/>
                      <w:lang w:val="es-CO"/>
                    </w:rPr>
                    <w:t>1,862,019,961</w:t>
                  </w:r>
                </w:p>
              </w:tc>
              <w:tc>
                <w:tcPr>
                  <w:tcW w:w="1152" w:type="dxa"/>
                </w:tcPr>
                <w:p w14:paraId="5E11EC78" w14:textId="77777777" w:rsidR="00055A98" w:rsidRPr="00055A98" w:rsidRDefault="00055A98" w:rsidP="002A411C">
                  <w:pPr>
                    <w:framePr w:hSpace="141" w:wrap="around" w:vAnchor="text" w:hAnchor="margin" w:y="260"/>
                    <w:spacing w:after="120"/>
                    <w:jc w:val="right"/>
                    <w:rPr>
                      <w:rFonts w:cstheme="minorHAnsi"/>
                      <w:sz w:val="18"/>
                      <w:szCs w:val="18"/>
                      <w:lang w:val="es-CO"/>
                    </w:rPr>
                  </w:pPr>
                  <w:r w:rsidRPr="00055A98">
                    <w:rPr>
                      <w:rFonts w:cstheme="minorHAnsi"/>
                      <w:sz w:val="18"/>
                      <w:szCs w:val="18"/>
                      <w:lang w:val="es-CO"/>
                    </w:rPr>
                    <w:t>93,100,998</w:t>
                  </w:r>
                </w:p>
              </w:tc>
              <w:tc>
                <w:tcPr>
                  <w:tcW w:w="1070" w:type="dxa"/>
                </w:tcPr>
                <w:p w14:paraId="70A99A7F" w14:textId="77777777" w:rsidR="00055A98" w:rsidRPr="00055A98" w:rsidRDefault="00055A98" w:rsidP="002A411C">
                  <w:pPr>
                    <w:framePr w:hSpace="141" w:wrap="around" w:vAnchor="text" w:hAnchor="margin" w:y="260"/>
                    <w:spacing w:after="120"/>
                    <w:jc w:val="right"/>
                    <w:rPr>
                      <w:rFonts w:cstheme="minorHAnsi"/>
                      <w:sz w:val="18"/>
                      <w:szCs w:val="18"/>
                      <w:lang w:val="es-CO"/>
                    </w:rPr>
                  </w:pPr>
                  <w:r w:rsidRPr="00055A98">
                    <w:rPr>
                      <w:rFonts w:cstheme="minorHAnsi"/>
                      <w:sz w:val="18"/>
                      <w:szCs w:val="18"/>
                      <w:lang w:val="es-CO"/>
                    </w:rPr>
                    <w:t>N/A</w:t>
                  </w:r>
                </w:p>
              </w:tc>
            </w:tr>
            <w:tr w:rsidR="00055A98" w:rsidRPr="00055A98" w14:paraId="2D1578A1" w14:textId="77777777" w:rsidTr="00AD26FE">
              <w:trPr>
                <w:trHeight w:val="300"/>
              </w:trPr>
              <w:tc>
                <w:tcPr>
                  <w:tcW w:w="1036" w:type="dxa"/>
                  <w:shd w:val="clear" w:color="auto" w:fill="FFFFFF"/>
                  <w:tcMar>
                    <w:top w:w="0" w:type="dxa"/>
                    <w:left w:w="108" w:type="dxa"/>
                    <w:bottom w:w="0" w:type="dxa"/>
                    <w:right w:w="108" w:type="dxa"/>
                  </w:tcMar>
                </w:tcPr>
                <w:p w14:paraId="476FBCDF" w14:textId="77777777" w:rsidR="00055A98" w:rsidRPr="00055A98" w:rsidRDefault="00055A98" w:rsidP="002A411C">
                  <w:pPr>
                    <w:framePr w:hSpace="141" w:wrap="around" w:vAnchor="text" w:hAnchor="margin" w:y="260"/>
                    <w:spacing w:after="120"/>
                    <w:rPr>
                      <w:rFonts w:cstheme="minorHAnsi"/>
                      <w:sz w:val="18"/>
                      <w:szCs w:val="18"/>
                      <w:lang w:val="es-CO"/>
                    </w:rPr>
                  </w:pPr>
                  <w:r w:rsidRPr="00055A98">
                    <w:rPr>
                      <w:rFonts w:cstheme="minorHAnsi"/>
                      <w:sz w:val="18"/>
                      <w:szCs w:val="18"/>
                      <w:lang w:val="es-CO"/>
                    </w:rPr>
                    <w:t>AWS-1</w:t>
                  </w:r>
                </w:p>
                <w:p w14:paraId="24AD932D" w14:textId="77777777" w:rsidR="00055A98" w:rsidRPr="00055A98" w:rsidRDefault="00055A98" w:rsidP="002A411C">
                  <w:pPr>
                    <w:framePr w:hSpace="141" w:wrap="around" w:vAnchor="text" w:hAnchor="margin" w:y="260"/>
                    <w:spacing w:after="120"/>
                    <w:rPr>
                      <w:rFonts w:cstheme="minorHAnsi"/>
                      <w:sz w:val="18"/>
                      <w:szCs w:val="18"/>
                      <w:lang w:val="es-CO"/>
                    </w:rPr>
                  </w:pPr>
                  <w:r w:rsidRPr="00055A98">
                    <w:rPr>
                      <w:rFonts w:cstheme="minorHAnsi"/>
                      <w:sz w:val="18"/>
                      <w:szCs w:val="18"/>
                      <w:lang w:val="es-CO"/>
                    </w:rPr>
                    <w:t>AT&amp;T</w:t>
                  </w:r>
                </w:p>
              </w:tc>
              <w:tc>
                <w:tcPr>
                  <w:tcW w:w="658" w:type="dxa"/>
                  <w:noWrap/>
                  <w:tcMar>
                    <w:top w:w="0" w:type="dxa"/>
                    <w:left w:w="108" w:type="dxa"/>
                    <w:bottom w:w="0" w:type="dxa"/>
                    <w:right w:w="108" w:type="dxa"/>
                  </w:tcMar>
                </w:tcPr>
                <w:p w14:paraId="31F3E8DC"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20</w:t>
                  </w:r>
                </w:p>
              </w:tc>
              <w:tc>
                <w:tcPr>
                  <w:tcW w:w="1235" w:type="dxa"/>
                  <w:noWrap/>
                  <w:tcMar>
                    <w:top w:w="0" w:type="dxa"/>
                    <w:left w:w="108" w:type="dxa"/>
                    <w:bottom w:w="0" w:type="dxa"/>
                    <w:right w:w="108" w:type="dxa"/>
                  </w:tcMar>
                </w:tcPr>
                <w:p w14:paraId="75390CA5"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1730-1740/ 2130-2140</w:t>
                  </w:r>
                </w:p>
              </w:tc>
              <w:tc>
                <w:tcPr>
                  <w:tcW w:w="798" w:type="dxa"/>
                  <w:noWrap/>
                  <w:tcMar>
                    <w:top w:w="0" w:type="dxa"/>
                    <w:left w:w="108" w:type="dxa"/>
                    <w:bottom w:w="0" w:type="dxa"/>
                    <w:right w:w="108" w:type="dxa"/>
                  </w:tcMar>
                </w:tcPr>
                <w:p w14:paraId="28A71625"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15</w:t>
                  </w:r>
                </w:p>
              </w:tc>
              <w:tc>
                <w:tcPr>
                  <w:tcW w:w="1278" w:type="dxa"/>
                  <w:tcMar>
                    <w:top w:w="0" w:type="dxa"/>
                    <w:left w:w="108" w:type="dxa"/>
                    <w:bottom w:w="0" w:type="dxa"/>
                    <w:right w:w="108" w:type="dxa"/>
                  </w:tcMar>
                </w:tcPr>
                <w:p w14:paraId="2D095B31" w14:textId="77777777" w:rsidR="00055A98" w:rsidRPr="00055A98" w:rsidRDefault="00055A98" w:rsidP="002A411C">
                  <w:pPr>
                    <w:framePr w:hSpace="141" w:wrap="around" w:vAnchor="text" w:hAnchor="margin" w:y="260"/>
                    <w:spacing w:after="120"/>
                    <w:jc w:val="right"/>
                    <w:rPr>
                      <w:rFonts w:cstheme="minorHAnsi"/>
                      <w:sz w:val="18"/>
                      <w:szCs w:val="18"/>
                      <w:lang w:val="es-CO"/>
                    </w:rPr>
                  </w:pPr>
                  <w:r w:rsidRPr="00055A98">
                    <w:rPr>
                      <w:rFonts w:cstheme="minorHAnsi"/>
                      <w:sz w:val="18"/>
                      <w:szCs w:val="18"/>
                      <w:lang w:val="es-CO"/>
                    </w:rPr>
                    <w:t>1,874,000,000</w:t>
                  </w:r>
                </w:p>
              </w:tc>
              <w:tc>
                <w:tcPr>
                  <w:tcW w:w="1317" w:type="dxa"/>
                  <w:tcMar>
                    <w:top w:w="0" w:type="dxa"/>
                    <w:left w:w="108" w:type="dxa"/>
                    <w:bottom w:w="0" w:type="dxa"/>
                    <w:right w:w="108" w:type="dxa"/>
                  </w:tcMar>
                </w:tcPr>
                <w:p w14:paraId="5AFC20CB" w14:textId="77777777" w:rsidR="00055A98" w:rsidRPr="00055A98" w:rsidRDefault="00055A98" w:rsidP="002A411C">
                  <w:pPr>
                    <w:framePr w:hSpace="141" w:wrap="around" w:vAnchor="text" w:hAnchor="margin" w:y="260"/>
                    <w:spacing w:after="120"/>
                    <w:jc w:val="right"/>
                    <w:rPr>
                      <w:rFonts w:cstheme="minorHAnsi"/>
                      <w:sz w:val="18"/>
                      <w:szCs w:val="18"/>
                      <w:lang w:val="es-CO"/>
                    </w:rPr>
                  </w:pPr>
                  <w:r w:rsidRPr="00055A98">
                    <w:rPr>
                      <w:rFonts w:cstheme="minorHAnsi"/>
                      <w:sz w:val="18"/>
                      <w:szCs w:val="18"/>
                      <w:lang w:val="es-CO"/>
                    </w:rPr>
                    <w:t>1,031,683,850</w:t>
                  </w:r>
                </w:p>
              </w:tc>
              <w:tc>
                <w:tcPr>
                  <w:tcW w:w="1152" w:type="dxa"/>
                </w:tcPr>
                <w:p w14:paraId="1582FC37" w14:textId="77777777" w:rsidR="00055A98" w:rsidRPr="00055A98" w:rsidRDefault="00055A98" w:rsidP="002A411C">
                  <w:pPr>
                    <w:framePr w:hSpace="141" w:wrap="around" w:vAnchor="text" w:hAnchor="margin" w:y="260"/>
                    <w:spacing w:after="120"/>
                    <w:jc w:val="right"/>
                    <w:rPr>
                      <w:rFonts w:cstheme="minorHAnsi"/>
                      <w:sz w:val="18"/>
                      <w:szCs w:val="18"/>
                      <w:lang w:val="es-CO"/>
                    </w:rPr>
                  </w:pPr>
                  <w:r w:rsidRPr="00055A98">
                    <w:rPr>
                      <w:rFonts w:cstheme="minorHAnsi"/>
                      <w:sz w:val="18"/>
                      <w:szCs w:val="18"/>
                      <w:lang w:val="es-CO"/>
                    </w:rPr>
                    <w:t>51,584,192</w:t>
                  </w:r>
                </w:p>
              </w:tc>
              <w:tc>
                <w:tcPr>
                  <w:tcW w:w="1070" w:type="dxa"/>
                </w:tcPr>
                <w:p w14:paraId="5D12961B" w14:textId="77777777" w:rsidR="00055A98" w:rsidRPr="00055A98" w:rsidRDefault="00055A98" w:rsidP="002A411C">
                  <w:pPr>
                    <w:framePr w:hSpace="141" w:wrap="around" w:vAnchor="text" w:hAnchor="margin" w:y="260"/>
                    <w:spacing w:after="120"/>
                    <w:jc w:val="right"/>
                    <w:rPr>
                      <w:rFonts w:cstheme="minorHAnsi"/>
                      <w:sz w:val="18"/>
                      <w:szCs w:val="18"/>
                      <w:lang w:val="es-CO"/>
                    </w:rPr>
                  </w:pPr>
                  <w:r w:rsidRPr="00055A98">
                    <w:rPr>
                      <w:rFonts w:cstheme="minorHAnsi"/>
                      <w:sz w:val="18"/>
                      <w:szCs w:val="18"/>
                      <w:lang w:val="es-CO"/>
                    </w:rPr>
                    <w:t>N/A</w:t>
                  </w:r>
                </w:p>
              </w:tc>
            </w:tr>
            <w:tr w:rsidR="00055A98" w:rsidRPr="00055A98" w14:paraId="3E94DD55" w14:textId="77777777" w:rsidTr="00AD26FE">
              <w:trPr>
                <w:trHeight w:val="300"/>
              </w:trPr>
              <w:tc>
                <w:tcPr>
                  <w:tcW w:w="1036" w:type="dxa"/>
                  <w:shd w:val="clear" w:color="auto" w:fill="FFFFFF"/>
                  <w:tcMar>
                    <w:top w:w="0" w:type="dxa"/>
                    <w:left w:w="108" w:type="dxa"/>
                    <w:bottom w:w="0" w:type="dxa"/>
                    <w:right w:w="108" w:type="dxa"/>
                  </w:tcMar>
                  <w:hideMark/>
                </w:tcPr>
                <w:p w14:paraId="2BC184C4" w14:textId="77777777" w:rsidR="00055A98" w:rsidRPr="00055A98" w:rsidRDefault="00055A98" w:rsidP="002A411C">
                  <w:pPr>
                    <w:framePr w:hSpace="141" w:wrap="around" w:vAnchor="text" w:hAnchor="margin" w:y="260"/>
                    <w:spacing w:after="120"/>
                    <w:rPr>
                      <w:rFonts w:cstheme="minorHAnsi"/>
                      <w:sz w:val="18"/>
                      <w:szCs w:val="18"/>
                      <w:lang w:val="es-CO"/>
                    </w:rPr>
                  </w:pPr>
                  <w:r w:rsidRPr="00055A98">
                    <w:rPr>
                      <w:rFonts w:cstheme="minorHAnsi"/>
                      <w:sz w:val="18"/>
                      <w:szCs w:val="18"/>
                      <w:lang w:val="es-CO"/>
                    </w:rPr>
                    <w:t>AWS-3</w:t>
                  </w:r>
                </w:p>
                <w:p w14:paraId="3A0F2999" w14:textId="77777777" w:rsidR="00055A98" w:rsidRPr="00055A98" w:rsidRDefault="00055A98" w:rsidP="002A411C">
                  <w:pPr>
                    <w:framePr w:hSpace="141" w:wrap="around" w:vAnchor="text" w:hAnchor="margin" w:y="260"/>
                    <w:spacing w:after="120"/>
                    <w:rPr>
                      <w:rFonts w:cstheme="minorHAnsi"/>
                      <w:sz w:val="18"/>
                      <w:szCs w:val="18"/>
                      <w:lang w:val="es-CO"/>
                    </w:rPr>
                  </w:pPr>
                  <w:r w:rsidRPr="00055A98">
                    <w:rPr>
                      <w:rFonts w:cstheme="minorHAnsi"/>
                      <w:sz w:val="18"/>
                      <w:szCs w:val="18"/>
                      <w:lang w:val="es-CO"/>
                    </w:rPr>
                    <w:t>Telcel</w:t>
                  </w:r>
                </w:p>
              </w:tc>
              <w:tc>
                <w:tcPr>
                  <w:tcW w:w="658" w:type="dxa"/>
                  <w:noWrap/>
                  <w:tcMar>
                    <w:top w:w="0" w:type="dxa"/>
                    <w:left w:w="108" w:type="dxa"/>
                    <w:bottom w:w="0" w:type="dxa"/>
                    <w:right w:w="108" w:type="dxa"/>
                  </w:tcMar>
                  <w:hideMark/>
                </w:tcPr>
                <w:p w14:paraId="72BB969D"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40</w:t>
                  </w:r>
                </w:p>
              </w:tc>
              <w:tc>
                <w:tcPr>
                  <w:tcW w:w="1235" w:type="dxa"/>
                  <w:noWrap/>
                  <w:tcMar>
                    <w:top w:w="0" w:type="dxa"/>
                    <w:left w:w="108" w:type="dxa"/>
                    <w:bottom w:w="0" w:type="dxa"/>
                    <w:right w:w="108" w:type="dxa"/>
                  </w:tcMar>
                  <w:hideMark/>
                </w:tcPr>
                <w:p w14:paraId="218E028B"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1760-1780/</w:t>
                  </w:r>
                </w:p>
                <w:p w14:paraId="60044B90"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2160-2180</w:t>
                  </w:r>
                </w:p>
              </w:tc>
              <w:tc>
                <w:tcPr>
                  <w:tcW w:w="798" w:type="dxa"/>
                  <w:noWrap/>
                  <w:tcMar>
                    <w:top w:w="0" w:type="dxa"/>
                    <w:left w:w="108" w:type="dxa"/>
                    <w:bottom w:w="0" w:type="dxa"/>
                    <w:right w:w="108" w:type="dxa"/>
                  </w:tcMar>
                  <w:hideMark/>
                </w:tcPr>
                <w:p w14:paraId="1FD3AE94"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15</w:t>
                  </w:r>
                </w:p>
              </w:tc>
              <w:tc>
                <w:tcPr>
                  <w:tcW w:w="1278" w:type="dxa"/>
                  <w:tcMar>
                    <w:top w:w="0" w:type="dxa"/>
                    <w:left w:w="108" w:type="dxa"/>
                    <w:bottom w:w="0" w:type="dxa"/>
                    <w:right w:w="108" w:type="dxa"/>
                  </w:tcMar>
                  <w:hideMark/>
                </w:tcPr>
                <w:p w14:paraId="16DD2063" w14:textId="77777777" w:rsidR="00055A98" w:rsidRPr="00055A98" w:rsidRDefault="00055A98" w:rsidP="002A411C">
                  <w:pPr>
                    <w:framePr w:hSpace="141" w:wrap="around" w:vAnchor="text" w:hAnchor="margin" w:y="260"/>
                    <w:spacing w:after="120"/>
                    <w:jc w:val="right"/>
                    <w:rPr>
                      <w:rFonts w:cstheme="minorHAnsi"/>
                      <w:sz w:val="18"/>
                      <w:szCs w:val="18"/>
                      <w:lang w:val="es-CO"/>
                    </w:rPr>
                  </w:pPr>
                  <w:r w:rsidRPr="00055A98">
                    <w:rPr>
                      <w:rFonts w:cstheme="minorHAnsi"/>
                      <w:sz w:val="18"/>
                      <w:szCs w:val="18"/>
                      <w:lang w:val="es-CO"/>
                    </w:rPr>
                    <w:t>260,000,000</w:t>
                  </w:r>
                </w:p>
              </w:tc>
              <w:tc>
                <w:tcPr>
                  <w:tcW w:w="1317" w:type="dxa"/>
                  <w:tcMar>
                    <w:top w:w="0" w:type="dxa"/>
                    <w:left w:w="108" w:type="dxa"/>
                    <w:bottom w:w="0" w:type="dxa"/>
                    <w:right w:w="108" w:type="dxa"/>
                  </w:tcMar>
                  <w:hideMark/>
                </w:tcPr>
                <w:p w14:paraId="3C30276B" w14:textId="77777777" w:rsidR="00055A98" w:rsidRPr="00055A98" w:rsidRDefault="00055A98" w:rsidP="002A411C">
                  <w:pPr>
                    <w:framePr w:hSpace="141" w:wrap="around" w:vAnchor="text" w:hAnchor="margin" w:y="260"/>
                    <w:spacing w:after="120"/>
                    <w:jc w:val="right"/>
                    <w:rPr>
                      <w:rFonts w:cstheme="minorHAnsi"/>
                      <w:sz w:val="18"/>
                      <w:szCs w:val="18"/>
                      <w:lang w:val="es-CO"/>
                    </w:rPr>
                  </w:pPr>
                  <w:r w:rsidRPr="00055A98">
                    <w:rPr>
                      <w:rFonts w:cstheme="minorHAnsi"/>
                      <w:sz w:val="18"/>
                      <w:szCs w:val="18"/>
                      <w:lang w:val="es-CO"/>
                    </w:rPr>
                    <w:t>236,039,922</w:t>
                  </w:r>
                </w:p>
              </w:tc>
              <w:tc>
                <w:tcPr>
                  <w:tcW w:w="1152" w:type="dxa"/>
                </w:tcPr>
                <w:p w14:paraId="1E650937" w14:textId="77777777" w:rsidR="00055A98" w:rsidRPr="00055A98" w:rsidRDefault="00055A98" w:rsidP="002A411C">
                  <w:pPr>
                    <w:framePr w:hSpace="141" w:wrap="around" w:vAnchor="text" w:hAnchor="margin" w:y="260"/>
                    <w:spacing w:after="120"/>
                    <w:jc w:val="right"/>
                    <w:rPr>
                      <w:rFonts w:cstheme="minorHAnsi"/>
                      <w:sz w:val="18"/>
                      <w:szCs w:val="18"/>
                      <w:lang w:val="es-CO"/>
                    </w:rPr>
                  </w:pPr>
                  <w:r w:rsidRPr="00055A98">
                    <w:rPr>
                      <w:rFonts w:cstheme="minorHAnsi"/>
                      <w:sz w:val="18"/>
                      <w:szCs w:val="18"/>
                      <w:lang w:val="es-CO"/>
                    </w:rPr>
                    <w:t>5,900,998</w:t>
                  </w:r>
                </w:p>
              </w:tc>
              <w:tc>
                <w:tcPr>
                  <w:tcW w:w="1070" w:type="dxa"/>
                </w:tcPr>
                <w:p w14:paraId="251F588D" w14:textId="77777777" w:rsidR="00055A98" w:rsidRPr="00055A98" w:rsidRDefault="00055A98" w:rsidP="002A411C">
                  <w:pPr>
                    <w:framePr w:hSpace="141" w:wrap="around" w:vAnchor="text" w:hAnchor="margin" w:y="260"/>
                    <w:spacing w:after="120"/>
                    <w:jc w:val="right"/>
                    <w:rPr>
                      <w:rFonts w:cstheme="minorHAnsi"/>
                      <w:sz w:val="18"/>
                      <w:szCs w:val="18"/>
                      <w:lang w:val="es-CO"/>
                    </w:rPr>
                  </w:pPr>
                  <w:r w:rsidRPr="00055A98">
                    <w:rPr>
                      <w:rFonts w:cstheme="minorHAnsi"/>
                      <w:sz w:val="18"/>
                      <w:szCs w:val="18"/>
                      <w:lang w:val="es-CO"/>
                    </w:rPr>
                    <w:t>-93.7%</w:t>
                  </w:r>
                </w:p>
              </w:tc>
            </w:tr>
          </w:tbl>
          <w:p w14:paraId="6FFBE3FC" w14:textId="77777777" w:rsidR="00055A98" w:rsidRPr="00055A98" w:rsidRDefault="00055A98" w:rsidP="00055A98">
            <w:pPr>
              <w:spacing w:after="0" w:line="240" w:lineRule="auto"/>
              <w:rPr>
                <w:sz w:val="18"/>
                <w:szCs w:val="18"/>
                <w:lang w:val="es-CO"/>
              </w:rPr>
            </w:pPr>
            <w:r w:rsidRPr="00055A98">
              <w:rPr>
                <w:rFonts w:cstheme="minorHAnsi"/>
                <w:sz w:val="18"/>
                <w:szCs w:val="18"/>
                <w:lang w:val="es-CO"/>
              </w:rPr>
              <w:t>*</w:t>
            </w:r>
            <w:r w:rsidRPr="00055A98">
              <w:rPr>
                <w:sz w:val="18"/>
                <w:szCs w:val="18"/>
                <w:lang w:val="es-CO"/>
              </w:rPr>
              <w:t>Los precios finales de Telcel se calcularon mediante la asignación de descuentos otorgados por el Instituto por la devolución del espectro sobre su oferta en ambos bloques AWS-1 y AWS-3. El crédito de descuento se aplicó por igual en los dos bloques de espectro de 2 x 10 MHz en AWS-3 y un espectro de 2 x 10 MHz en AWS-1 para obtener un precio final por banda (AWS-1 o AWS-3).</w:t>
            </w:r>
          </w:p>
          <w:p w14:paraId="2D664025" w14:textId="77777777" w:rsidR="00055A98" w:rsidRPr="00055A98" w:rsidRDefault="00055A98" w:rsidP="00055A98">
            <w:pPr>
              <w:spacing w:after="0" w:line="240" w:lineRule="auto"/>
              <w:rPr>
                <w:sz w:val="18"/>
                <w:szCs w:val="18"/>
                <w:lang w:val="es-CO"/>
              </w:rPr>
            </w:pPr>
            <w:r w:rsidRPr="00055A98">
              <w:rPr>
                <w:sz w:val="18"/>
                <w:szCs w:val="18"/>
                <w:lang w:val="es-CO"/>
              </w:rPr>
              <w:lastRenderedPageBreak/>
              <w:t>** El diferencial se calculó comparando el precio final de AWS-3 de Telcel con su precio final de AWS-1, para tener una base de comparación similar, considerando el crédito por el espectro devuelto.</w:t>
            </w:r>
            <w:r w:rsidR="0089123E">
              <w:rPr>
                <w:sz w:val="18"/>
                <w:szCs w:val="18"/>
                <w:lang w:val="es-CO"/>
              </w:rPr>
              <w:t xml:space="preserve">  </w:t>
            </w:r>
            <w:r w:rsidRPr="00055A98">
              <w:rPr>
                <w:sz w:val="18"/>
                <w:szCs w:val="18"/>
                <w:lang w:val="es-CO"/>
              </w:rPr>
              <w:t>El precio final de AT&amp;T es más bajo porque devolvió un mayor valor de espectro, lo que resultó en un mayor descuento en el crédito.</w:t>
            </w:r>
          </w:p>
          <w:p w14:paraId="46B7A02F" w14:textId="77777777" w:rsidR="00055A98" w:rsidRPr="00055A98" w:rsidRDefault="00055A98" w:rsidP="00055A98">
            <w:pPr>
              <w:rPr>
                <w:sz w:val="18"/>
                <w:szCs w:val="18"/>
                <w:lang w:val="es-CO"/>
              </w:rPr>
            </w:pPr>
            <w:r w:rsidRPr="00055A98">
              <w:rPr>
                <w:sz w:val="18"/>
                <w:szCs w:val="18"/>
                <w:lang w:val="es-CO"/>
              </w:rPr>
              <w:t xml:space="preserve">Fuente: basado en documentos </w:t>
            </w:r>
            <w:r w:rsidR="0089123E">
              <w:rPr>
                <w:sz w:val="18"/>
                <w:szCs w:val="18"/>
                <w:lang w:val="es-CO"/>
              </w:rPr>
              <w:t xml:space="preserve">públicos </w:t>
            </w:r>
            <w:r w:rsidRPr="00055A98">
              <w:rPr>
                <w:sz w:val="18"/>
                <w:szCs w:val="18"/>
                <w:lang w:val="es-CO"/>
              </w:rPr>
              <w:t>de</w:t>
            </w:r>
            <w:r w:rsidR="0089123E">
              <w:rPr>
                <w:sz w:val="18"/>
                <w:szCs w:val="18"/>
                <w:lang w:val="es-CO"/>
              </w:rPr>
              <w:t>l</w:t>
            </w:r>
            <w:r w:rsidRPr="00055A98">
              <w:rPr>
                <w:sz w:val="18"/>
                <w:szCs w:val="18"/>
                <w:lang w:val="es-CO"/>
              </w:rPr>
              <w:t xml:space="preserve"> Instituto.</w:t>
            </w:r>
          </w:p>
          <w:p w14:paraId="0D8915A0" w14:textId="77777777" w:rsidR="00055A98" w:rsidRPr="00055A98" w:rsidRDefault="00055A98" w:rsidP="00055A98">
            <w:pPr>
              <w:jc w:val="both"/>
              <w:rPr>
                <w:sz w:val="18"/>
                <w:szCs w:val="18"/>
                <w:lang w:val="es-CO"/>
              </w:rPr>
            </w:pPr>
            <w:r w:rsidRPr="00055A98">
              <w:rPr>
                <w:sz w:val="18"/>
                <w:szCs w:val="18"/>
                <w:lang w:val="es-CO"/>
              </w:rPr>
              <w:t>En línea con la práctica internacional, el precedente del Instituto reconoce que los factores externos (en el caso de la licitación IFT-3 (AWS-1 y AWS-3), la falta de disponibilidad de un ecosistema de dispositivos robusto en el momento de la asignación) tienen un impacto directo en el valor del espectro.</w:t>
            </w:r>
          </w:p>
          <w:p w14:paraId="5F0F59D7" w14:textId="77777777" w:rsidR="00055A98" w:rsidRDefault="00055A98" w:rsidP="00055A98">
            <w:pPr>
              <w:spacing w:after="0" w:line="240" w:lineRule="auto"/>
              <w:rPr>
                <w:sz w:val="18"/>
                <w:szCs w:val="18"/>
                <w:lang w:val="es-CO"/>
              </w:rPr>
            </w:pPr>
            <w:r w:rsidRPr="00055A98">
              <w:rPr>
                <w:sz w:val="18"/>
                <w:szCs w:val="18"/>
                <w:lang w:val="es-CO"/>
              </w:rPr>
              <w:t xml:space="preserve">Teniendo en cuenta que la banda de 2 GHz se encuentra </w:t>
            </w:r>
            <w:r w:rsidR="00952E94" w:rsidRPr="00055A98">
              <w:rPr>
                <w:sz w:val="18"/>
                <w:szCs w:val="18"/>
                <w:lang w:val="es-CO"/>
              </w:rPr>
              <w:t>afectada por</w:t>
            </w:r>
            <w:r w:rsidRPr="00055A98">
              <w:rPr>
                <w:sz w:val="18"/>
                <w:szCs w:val="18"/>
                <w:lang w:val="es-CO"/>
              </w:rPr>
              <w:t xml:space="preserve"> un nivel significativo de limitación como se analizó anteriormente, es razonable que el Instituto descuente el valor de comparación (el resultado de la licitación IFT-7) por un factor de descuento mayor al utilizado en la licitación IFT-3. Como se señaló en la sección a anterior, las limitaciones técnicas para el uso independiente del Componente </w:t>
            </w:r>
            <w:r w:rsidR="00952E94" w:rsidRPr="00055A98">
              <w:rPr>
                <w:sz w:val="18"/>
                <w:szCs w:val="18"/>
                <w:lang w:val="es-CO"/>
              </w:rPr>
              <w:t>Complementario</w:t>
            </w:r>
            <w:r w:rsidRPr="00055A98">
              <w:rPr>
                <w:sz w:val="18"/>
                <w:szCs w:val="18"/>
                <w:lang w:val="es-CO"/>
              </w:rPr>
              <w:t xml:space="preserve"> Terrestre y el Componente Satelital en esta banda causan restricciones más significativas que las observadas en el bloque AWS-3 en la subasta de 2016 (i.e., el retraso en la disponibilidad de equipos). Como resultado, los reguladores han renunciado por completo a los procesos competitivos para asignar esta banda para re-uso terrestre en otros países (i.e., lo que equivale a un precio implícito de cero).</w:t>
            </w:r>
          </w:p>
          <w:p w14:paraId="6AF66837" w14:textId="77777777" w:rsidR="00055A98" w:rsidRDefault="00055A98" w:rsidP="00055A98">
            <w:pPr>
              <w:spacing w:after="0" w:line="240" w:lineRule="auto"/>
              <w:rPr>
                <w:sz w:val="18"/>
                <w:szCs w:val="18"/>
                <w:lang w:val="es-CO"/>
              </w:rPr>
            </w:pPr>
          </w:p>
          <w:p w14:paraId="0A090164" w14:textId="77777777" w:rsidR="00055A98" w:rsidRPr="00265FCC" w:rsidRDefault="00055A98" w:rsidP="00055A98">
            <w:pPr>
              <w:spacing w:after="0" w:line="240" w:lineRule="auto"/>
              <w:jc w:val="both"/>
              <w:rPr>
                <w:rFonts w:ascii="ITC Avant Garde" w:eastAsia="Times New Roman" w:hAnsi="ITC Avant Garde"/>
                <w:color w:val="000000"/>
                <w:sz w:val="18"/>
                <w:lang w:eastAsia="es-MX"/>
              </w:rPr>
            </w:pPr>
            <w:r w:rsidRPr="00265FCC">
              <w:rPr>
                <w:rFonts w:ascii="ITC Avant Garde" w:eastAsia="Times New Roman" w:hAnsi="ITC Avant Garde"/>
                <w:color w:val="000000"/>
                <w:sz w:val="18"/>
                <w:lang w:eastAsia="es-MX"/>
              </w:rPr>
              <w:t>Lo anterior, sin perjuicio de los demás comentarios planteados de manera específica en el apartado II anterior.</w:t>
            </w:r>
          </w:p>
          <w:p w14:paraId="1687131A" w14:textId="77777777" w:rsidR="00055A98" w:rsidRPr="00055A98" w:rsidRDefault="00055A98" w:rsidP="00055A98">
            <w:pPr>
              <w:spacing w:after="0" w:line="240" w:lineRule="auto"/>
              <w:rPr>
                <w:sz w:val="18"/>
                <w:szCs w:val="18"/>
              </w:rPr>
            </w:pPr>
          </w:p>
          <w:p w14:paraId="56F481A5" w14:textId="77777777" w:rsidR="00055A98" w:rsidRPr="00055A98" w:rsidRDefault="00055A98" w:rsidP="00055A98">
            <w:pPr>
              <w:spacing w:after="0" w:line="240" w:lineRule="auto"/>
              <w:rPr>
                <w:rFonts w:ascii="ITC Avant Garde" w:eastAsia="Times New Roman" w:hAnsi="ITC Avant Garde"/>
                <w:color w:val="000000"/>
                <w:sz w:val="18"/>
                <w:szCs w:val="18"/>
                <w:lang w:eastAsia="es-MX"/>
              </w:rPr>
            </w:pPr>
          </w:p>
        </w:tc>
      </w:tr>
      <w:tr w:rsidR="00055A98" w:rsidRPr="005D0B9B" w14:paraId="4B3FB556" w14:textId="77777777" w:rsidTr="009B2558">
        <w:trPr>
          <w:trHeight w:val="290"/>
        </w:trPr>
        <w:tc>
          <w:tcPr>
            <w:tcW w:w="5000" w:type="pct"/>
            <w:shd w:val="clear" w:color="auto" w:fill="C5E0B3"/>
            <w:vAlign w:val="center"/>
          </w:tcPr>
          <w:p w14:paraId="13A5BCA9" w14:textId="77777777" w:rsidR="00055A98" w:rsidRPr="00491EE4" w:rsidRDefault="00055A98" w:rsidP="00055A98">
            <w:pPr>
              <w:pStyle w:val="Prrafodelista"/>
              <w:spacing w:after="0" w:line="240" w:lineRule="auto"/>
              <w:ind w:left="709" w:right="421"/>
              <w:contextualSpacing/>
              <w:jc w:val="both"/>
              <w:rPr>
                <w:rFonts w:ascii="Century Gothic" w:eastAsia="Times New Roman" w:hAnsi="Century Gothic"/>
                <w:color w:val="000000"/>
                <w:sz w:val="18"/>
                <w:szCs w:val="18"/>
                <w:lang w:eastAsia="es-MX"/>
              </w:rPr>
            </w:pPr>
          </w:p>
          <w:p w14:paraId="58434FDF" w14:textId="77777777" w:rsidR="00055A98" w:rsidRPr="006D2996" w:rsidRDefault="00055A98" w:rsidP="00055A98">
            <w:pPr>
              <w:pStyle w:val="Prrafodelista"/>
              <w:numPr>
                <w:ilvl w:val="0"/>
                <w:numId w:val="16"/>
              </w:numPr>
              <w:spacing w:after="0" w:line="240" w:lineRule="auto"/>
              <w:ind w:left="776" w:right="421" w:hanging="567"/>
              <w:contextualSpacing/>
              <w:jc w:val="both"/>
              <w:rPr>
                <w:rFonts w:ascii="Century Gothic" w:eastAsia="Times New Roman" w:hAnsi="Century Gothic"/>
                <w:color w:val="000000"/>
                <w:sz w:val="18"/>
                <w:szCs w:val="18"/>
                <w:lang w:eastAsia="es-MX"/>
              </w:rPr>
            </w:pPr>
            <w:r w:rsidRPr="006D2996">
              <w:rPr>
                <w:rFonts w:ascii="ITC Avant Garde" w:eastAsia="Times New Roman" w:hAnsi="ITC Avant Garde"/>
                <w:color w:val="000000"/>
                <w:sz w:val="18"/>
                <w:lang w:eastAsia="es-MX"/>
              </w:rPr>
              <w:t xml:space="preserve">El mecanismo de asignación y las reglas del Procedimiento de Presentación de Ofertas propuesto, el cual se encuentra descrito en el Apéndice B del proyecto de </w:t>
            </w:r>
            <w:r>
              <w:rPr>
                <w:rFonts w:ascii="ITC Avant Garde" w:eastAsia="Times New Roman" w:hAnsi="ITC Avant Garde"/>
                <w:color w:val="000000"/>
                <w:sz w:val="18"/>
                <w:lang w:eastAsia="es-MX"/>
              </w:rPr>
              <w:t>Numeral</w:t>
            </w:r>
            <w:r w:rsidRPr="006D2996">
              <w:rPr>
                <w:rFonts w:ascii="ITC Avant Garde" w:eastAsia="Times New Roman" w:hAnsi="ITC Avant Garde"/>
                <w:color w:val="000000"/>
                <w:sz w:val="18"/>
                <w:lang w:eastAsia="es-MX"/>
              </w:rPr>
              <w:t>.</w:t>
            </w:r>
          </w:p>
          <w:p w14:paraId="295C0BDC" w14:textId="77777777" w:rsidR="00055A98" w:rsidRPr="005F3F0A" w:rsidRDefault="00055A98" w:rsidP="00055A98">
            <w:pPr>
              <w:pStyle w:val="Prrafodelista"/>
              <w:spacing w:after="0" w:line="240" w:lineRule="auto"/>
              <w:ind w:right="421"/>
              <w:contextualSpacing/>
              <w:jc w:val="both"/>
              <w:rPr>
                <w:rFonts w:ascii="ITC Avant Garde" w:eastAsia="Times New Roman" w:hAnsi="ITC Avant Garde"/>
                <w:color w:val="000000"/>
                <w:sz w:val="18"/>
                <w:szCs w:val="18"/>
                <w:lang w:eastAsia="es-MX"/>
              </w:rPr>
            </w:pPr>
          </w:p>
        </w:tc>
      </w:tr>
      <w:tr w:rsidR="00055A98" w:rsidRPr="005D0B9B" w14:paraId="21542FAF" w14:textId="77777777" w:rsidTr="004D2479">
        <w:trPr>
          <w:trHeight w:val="290"/>
        </w:trPr>
        <w:tc>
          <w:tcPr>
            <w:tcW w:w="5000" w:type="pct"/>
            <w:shd w:val="clear" w:color="auto" w:fill="auto"/>
            <w:vAlign w:val="center"/>
          </w:tcPr>
          <w:p w14:paraId="661C89D8" w14:textId="77777777" w:rsidR="00055A98" w:rsidRDefault="00055A98" w:rsidP="00055A98">
            <w:pPr>
              <w:spacing w:after="0" w:line="240" w:lineRule="auto"/>
              <w:rPr>
                <w:rFonts w:ascii="ITC Avant Garde" w:eastAsia="Times New Roman" w:hAnsi="ITC Avant Garde"/>
                <w:color w:val="000000"/>
                <w:sz w:val="18"/>
                <w:lang w:eastAsia="es-MX"/>
              </w:rPr>
            </w:pPr>
          </w:p>
          <w:p w14:paraId="6FE108FE" w14:textId="77777777" w:rsidR="00055A98" w:rsidRDefault="00952E94" w:rsidP="00055A98">
            <w:pPr>
              <w:spacing w:after="0" w:line="240" w:lineRule="auto"/>
              <w:jc w:val="both"/>
              <w:rPr>
                <w:rFonts w:ascii="ITC Avant Garde" w:eastAsia="Times New Roman" w:hAnsi="ITC Avant Garde"/>
                <w:color w:val="000000"/>
                <w:sz w:val="18"/>
                <w:szCs w:val="18"/>
                <w:lang w:eastAsia="es-MX"/>
              </w:rPr>
            </w:pPr>
            <w:r w:rsidRPr="00491EE4">
              <w:rPr>
                <w:rFonts w:ascii="ITC Avant Garde" w:eastAsia="Times New Roman" w:hAnsi="ITC Avant Garde"/>
                <w:color w:val="000000"/>
                <w:sz w:val="18"/>
                <w:szCs w:val="18"/>
                <w:lang w:eastAsia="es-MX"/>
              </w:rPr>
              <w:t>Omnispace</w:t>
            </w:r>
            <w:r w:rsidR="00055A98" w:rsidRPr="00491EE4">
              <w:rPr>
                <w:rFonts w:ascii="ITC Avant Garde" w:eastAsia="Times New Roman" w:hAnsi="ITC Avant Garde"/>
                <w:color w:val="000000"/>
                <w:sz w:val="18"/>
                <w:szCs w:val="18"/>
                <w:lang w:eastAsia="es-MX"/>
              </w:rPr>
              <w:t xml:space="preserve"> tiene cuatro comentarios al mecanismo de asignación y reglas del procedimiento de presentación de ofertas señalado en el Apéndice B. </w:t>
            </w:r>
          </w:p>
          <w:p w14:paraId="2722FD33" w14:textId="77777777" w:rsidR="00055A98" w:rsidRPr="00491EE4" w:rsidRDefault="00055A98" w:rsidP="00055A98">
            <w:pPr>
              <w:spacing w:after="0" w:line="240" w:lineRule="auto"/>
              <w:jc w:val="both"/>
              <w:rPr>
                <w:rFonts w:ascii="ITC Avant Garde" w:eastAsia="Times New Roman" w:hAnsi="ITC Avant Garde"/>
                <w:color w:val="000000"/>
                <w:sz w:val="18"/>
                <w:szCs w:val="18"/>
                <w:lang w:eastAsia="es-MX"/>
              </w:rPr>
            </w:pPr>
          </w:p>
          <w:p w14:paraId="04584A00" w14:textId="77777777" w:rsidR="00055A98" w:rsidRDefault="00055A98" w:rsidP="00055A98">
            <w:pPr>
              <w:spacing w:after="0" w:line="240" w:lineRule="auto"/>
              <w:jc w:val="both"/>
              <w:rPr>
                <w:rFonts w:ascii="ITC Avant Garde" w:eastAsia="Times New Roman" w:hAnsi="ITC Avant Garde"/>
                <w:color w:val="000000"/>
                <w:sz w:val="18"/>
                <w:szCs w:val="18"/>
                <w:lang w:eastAsia="es-MX"/>
              </w:rPr>
            </w:pPr>
            <w:r w:rsidRPr="00491EE4">
              <w:rPr>
                <w:rFonts w:ascii="ITC Avant Garde" w:eastAsia="Times New Roman" w:hAnsi="ITC Avant Garde"/>
                <w:color w:val="000000"/>
                <w:sz w:val="18"/>
                <w:szCs w:val="18"/>
                <w:lang w:eastAsia="es-MX"/>
              </w:rPr>
              <w:t>En primer lugar, consideramos que no se describe de manera clara y precisa el caso en el que se presenten más de dos Ofertas por un Bloque y no se presenten Ofertas por el otro Bloque, en cuyo caso este último Bloque debería de considerarse automáticamente como Bloque disponible. Se considera que debe preverse que en dicha situación, la Oferta Subsecuente más Alta del Bloque para el cual se haya determinado previamente una Oferta Ganadora, tendrá la oportunidad de obtener el Bloque disponible si acepta el monto de la Oferta Ganadora del Bloque asignado.</w:t>
            </w:r>
          </w:p>
          <w:p w14:paraId="4A1B8584" w14:textId="77777777" w:rsidR="00055A98" w:rsidRPr="00491EE4" w:rsidRDefault="00055A98" w:rsidP="00055A98">
            <w:pPr>
              <w:spacing w:after="0" w:line="240" w:lineRule="auto"/>
              <w:jc w:val="both"/>
              <w:rPr>
                <w:rFonts w:ascii="ITC Avant Garde" w:eastAsia="Times New Roman" w:hAnsi="ITC Avant Garde"/>
                <w:color w:val="000000"/>
                <w:sz w:val="18"/>
                <w:szCs w:val="18"/>
                <w:lang w:eastAsia="es-MX"/>
              </w:rPr>
            </w:pPr>
          </w:p>
          <w:p w14:paraId="1CDDF68B" w14:textId="77777777" w:rsidR="00055A98" w:rsidRDefault="00055A98" w:rsidP="00055A98">
            <w:pPr>
              <w:spacing w:after="0" w:line="240" w:lineRule="auto"/>
              <w:jc w:val="both"/>
              <w:rPr>
                <w:rFonts w:ascii="ITC Avant Garde" w:eastAsia="Times New Roman" w:hAnsi="ITC Avant Garde"/>
                <w:color w:val="000000"/>
                <w:sz w:val="18"/>
                <w:szCs w:val="18"/>
                <w:lang w:eastAsia="es-MX"/>
              </w:rPr>
            </w:pPr>
            <w:r w:rsidRPr="00491EE4">
              <w:rPr>
                <w:rFonts w:ascii="ITC Avant Garde" w:eastAsia="Times New Roman" w:hAnsi="ITC Avant Garde"/>
                <w:color w:val="000000"/>
                <w:sz w:val="18"/>
                <w:szCs w:val="18"/>
                <w:lang w:eastAsia="es-MX"/>
              </w:rPr>
              <w:t>Parece que la redacción contenida en los incisos d., e. y f. del numeral 7.3.3 del Apéndice B únicamente resulta aplicable en el caso de desempates, pero no en el caso en que sólo existan Ofertas en un Bloque pero no en el otro Bloque, por lo que debe aclararse dicha situación con las adecuaciones correspondientes a dicho numeral.</w:t>
            </w:r>
          </w:p>
          <w:p w14:paraId="0A47E0F5" w14:textId="77777777" w:rsidR="00055A98" w:rsidRPr="00491EE4" w:rsidRDefault="00055A98" w:rsidP="00055A98">
            <w:pPr>
              <w:spacing w:after="0" w:line="240" w:lineRule="auto"/>
              <w:jc w:val="both"/>
              <w:rPr>
                <w:rFonts w:ascii="ITC Avant Garde" w:eastAsia="Times New Roman" w:hAnsi="ITC Avant Garde"/>
                <w:color w:val="000000"/>
                <w:sz w:val="18"/>
                <w:szCs w:val="18"/>
                <w:lang w:eastAsia="es-MX"/>
              </w:rPr>
            </w:pPr>
          </w:p>
          <w:p w14:paraId="028DBBCC" w14:textId="77777777" w:rsidR="00055A98" w:rsidRPr="00491EE4" w:rsidRDefault="00055A98" w:rsidP="00055A98">
            <w:pPr>
              <w:spacing w:after="0" w:line="240" w:lineRule="auto"/>
              <w:jc w:val="both"/>
              <w:rPr>
                <w:rFonts w:ascii="ITC Avant Garde" w:eastAsia="Times New Roman" w:hAnsi="ITC Avant Garde"/>
                <w:color w:val="000000"/>
                <w:sz w:val="18"/>
                <w:szCs w:val="18"/>
                <w:lang w:eastAsia="es-MX"/>
              </w:rPr>
            </w:pPr>
            <w:r w:rsidRPr="00491EE4">
              <w:rPr>
                <w:rFonts w:ascii="ITC Avant Garde" w:eastAsia="Times New Roman" w:hAnsi="ITC Avant Garde"/>
                <w:color w:val="000000"/>
                <w:sz w:val="18"/>
                <w:szCs w:val="18"/>
                <w:lang w:eastAsia="es-MX"/>
              </w:rPr>
              <w:t>En segundo lugar, se considera necesario que las reglas de la licitación aborden el caso en el que un Participante Ganador incumpla los requerimientos del numeral 6.4.1 de las Bases de la Licitación, es decir, que no pag</w:t>
            </w:r>
            <w:r w:rsidR="002D2E10">
              <w:rPr>
                <w:rFonts w:ascii="ITC Avant Garde" w:eastAsia="Times New Roman" w:hAnsi="ITC Avant Garde"/>
                <w:color w:val="000000"/>
                <w:sz w:val="18"/>
                <w:szCs w:val="18"/>
                <w:lang w:eastAsia="es-MX"/>
              </w:rPr>
              <w:t>u</w:t>
            </w:r>
            <w:r w:rsidRPr="00491EE4">
              <w:rPr>
                <w:rFonts w:ascii="ITC Avant Garde" w:eastAsia="Times New Roman" w:hAnsi="ITC Avant Garde"/>
                <w:color w:val="000000"/>
                <w:sz w:val="18"/>
                <w:szCs w:val="18"/>
                <w:lang w:eastAsia="es-MX"/>
              </w:rPr>
              <w:t xml:space="preserve">e la Contraprestación o que no constituya la sociedad mercantil en el caso de Consorcio. En dicho caso, se estima que el Bloque de espectro en cuestión debe ser igualmente considerado como un Bloque disponible y debe permitirse que sea asignado al Participante que hubiera presentado la Oferta Subsecuente más Alta por dicho Bloque. Este supuesto no se encuentra previsto en el texto del Proyecto sometido a consulta pública y es necesario incluirlo para resguardar el proceso de licitación de potenciales conductas dirigidas a impedir su conclusión y/o retrasar la asignación del espectro en la banda 2 GHz. </w:t>
            </w:r>
          </w:p>
          <w:p w14:paraId="126A3BB5" w14:textId="77777777" w:rsidR="00055A98" w:rsidRDefault="00055A98" w:rsidP="00055A98">
            <w:pPr>
              <w:spacing w:after="0" w:line="240" w:lineRule="auto"/>
              <w:jc w:val="both"/>
              <w:rPr>
                <w:rFonts w:ascii="ITC Avant Garde" w:eastAsia="Times New Roman" w:hAnsi="ITC Avant Garde"/>
                <w:color w:val="000000"/>
                <w:sz w:val="18"/>
                <w:szCs w:val="18"/>
                <w:lang w:eastAsia="es-MX"/>
              </w:rPr>
            </w:pPr>
          </w:p>
          <w:p w14:paraId="108143E2" w14:textId="77777777" w:rsidR="00055A98" w:rsidRPr="00491EE4" w:rsidRDefault="00055A98" w:rsidP="00055A98">
            <w:pPr>
              <w:spacing w:after="0" w:line="240" w:lineRule="auto"/>
              <w:jc w:val="both"/>
              <w:rPr>
                <w:rFonts w:ascii="ITC Avant Garde" w:eastAsia="Times New Roman" w:hAnsi="ITC Avant Garde"/>
                <w:color w:val="000000"/>
                <w:sz w:val="18"/>
                <w:szCs w:val="18"/>
                <w:lang w:eastAsia="es-MX"/>
              </w:rPr>
            </w:pPr>
            <w:r w:rsidRPr="00491EE4">
              <w:rPr>
                <w:rFonts w:ascii="ITC Avant Garde" w:eastAsia="Times New Roman" w:hAnsi="ITC Avant Garde"/>
                <w:color w:val="000000"/>
                <w:sz w:val="18"/>
                <w:szCs w:val="18"/>
                <w:lang w:eastAsia="es-MX"/>
              </w:rPr>
              <w:t xml:space="preserve">En tercer lugar, Omnispace estima necesario establecer una regla que promueva que el Componente Complementario Terrestre del Servicio Móvil por Satélite sea asignado al Autorizado que opere en el Bloque en cuestión, bajo ciertos supuestos. Específicamente, se propone que en el caso en que (i) tanto un Autorizado (a sus </w:t>
            </w:r>
            <w:r w:rsidR="00D333D2">
              <w:rPr>
                <w:rFonts w:ascii="ITC Avant Garde" w:eastAsia="Times New Roman" w:hAnsi="ITC Avant Garde"/>
                <w:color w:val="000000"/>
                <w:sz w:val="18"/>
                <w:szCs w:val="18"/>
                <w:lang w:eastAsia="es-MX"/>
              </w:rPr>
              <w:t>V</w:t>
            </w:r>
            <w:r w:rsidRPr="00491EE4">
              <w:rPr>
                <w:rFonts w:ascii="ITC Avant Garde" w:eastAsia="Times New Roman" w:hAnsi="ITC Avant Garde"/>
                <w:color w:val="000000"/>
                <w:sz w:val="18"/>
                <w:szCs w:val="18"/>
                <w:lang w:eastAsia="es-MX"/>
              </w:rPr>
              <w:t xml:space="preserve">inculadas) como uno o más terceros presenten Ofertas Válidas por el Bloque asignado al Sistema Satelital de dicho Autorizado y (ii) no existan Ofertas Válidas u Ofertas Ganadoras por el otro Bloque, entonces todas las Ofertas Válidas presentadas por terceros diferentes </w:t>
            </w:r>
            <w:r w:rsidRPr="00491EE4">
              <w:rPr>
                <w:rFonts w:ascii="ITC Avant Garde" w:eastAsia="Times New Roman" w:hAnsi="ITC Avant Garde"/>
                <w:color w:val="000000"/>
                <w:sz w:val="18"/>
                <w:szCs w:val="18"/>
                <w:lang w:eastAsia="es-MX"/>
              </w:rPr>
              <w:lastRenderedPageBreak/>
              <w:t xml:space="preserve">al Autorizado del Bloque en cuestión (o sus </w:t>
            </w:r>
            <w:r w:rsidR="00215B34">
              <w:rPr>
                <w:rFonts w:ascii="ITC Avant Garde" w:eastAsia="Times New Roman" w:hAnsi="ITC Avant Garde"/>
                <w:color w:val="000000"/>
                <w:sz w:val="18"/>
                <w:szCs w:val="18"/>
                <w:lang w:eastAsia="es-MX"/>
              </w:rPr>
              <w:t>V</w:t>
            </w:r>
            <w:r w:rsidRPr="00491EE4">
              <w:rPr>
                <w:rFonts w:ascii="ITC Avant Garde" w:eastAsia="Times New Roman" w:hAnsi="ITC Avant Garde"/>
                <w:color w:val="000000"/>
                <w:sz w:val="18"/>
                <w:szCs w:val="18"/>
                <w:lang w:eastAsia="es-MX"/>
              </w:rPr>
              <w:t>inculadas) deberán ser automáticamente consideradas como presentadas por el otro Bloque que, a su vez, deberá ser calificado como disponible (según se argumentó en el primer punto de este comentario). Un</w:t>
            </w:r>
            <w:r>
              <w:rPr>
                <w:rFonts w:ascii="ITC Avant Garde" w:eastAsia="Times New Roman" w:hAnsi="ITC Avant Garde"/>
                <w:color w:val="000000"/>
                <w:sz w:val="18"/>
                <w:szCs w:val="18"/>
                <w:lang w:eastAsia="es-MX"/>
              </w:rPr>
              <w:t>a</w:t>
            </w:r>
            <w:r w:rsidRPr="00491EE4">
              <w:rPr>
                <w:rFonts w:ascii="ITC Avant Garde" w:eastAsia="Times New Roman" w:hAnsi="ITC Avant Garde"/>
                <w:color w:val="000000"/>
                <w:sz w:val="18"/>
                <w:szCs w:val="18"/>
                <w:lang w:eastAsia="es-MX"/>
              </w:rPr>
              <w:t xml:space="preserve"> regla de este tipo facilitaría la coordinación en el uso del espectro para servicios móviles satelitales y terrestres, reduciendo el potencial de interferencias perjudiciales y los costos de implementación del sistema en los Bloques de la banda de 2 GHz. Asimismo, esta propuesta promovería la eficiencia del proceso de asignación, fomentando la asignación de todos los bloques licitados en el caso en el que un Autorizado hubiera presentado la Oferta Ganadora.</w:t>
            </w:r>
          </w:p>
          <w:p w14:paraId="4A15F743" w14:textId="77777777" w:rsidR="00055A98" w:rsidRDefault="00055A98" w:rsidP="00055A98">
            <w:pPr>
              <w:spacing w:after="0" w:line="240" w:lineRule="auto"/>
              <w:jc w:val="both"/>
              <w:rPr>
                <w:rFonts w:ascii="ITC Avant Garde" w:eastAsia="Times New Roman" w:hAnsi="ITC Avant Garde"/>
                <w:color w:val="000000"/>
                <w:sz w:val="18"/>
                <w:szCs w:val="18"/>
                <w:lang w:eastAsia="es-MX"/>
              </w:rPr>
            </w:pPr>
          </w:p>
          <w:p w14:paraId="47BBAE17" w14:textId="77777777" w:rsidR="00055A98" w:rsidRDefault="00055A98" w:rsidP="00055A98">
            <w:pPr>
              <w:spacing w:after="0" w:line="240" w:lineRule="auto"/>
              <w:jc w:val="both"/>
              <w:rPr>
                <w:rFonts w:ascii="ITC Avant Garde" w:eastAsia="Times New Roman" w:hAnsi="ITC Avant Garde"/>
                <w:color w:val="000000"/>
                <w:sz w:val="18"/>
                <w:szCs w:val="18"/>
                <w:lang w:eastAsia="es-MX"/>
              </w:rPr>
            </w:pPr>
            <w:r w:rsidRPr="00491EE4">
              <w:rPr>
                <w:rFonts w:ascii="ITC Avant Garde" w:eastAsia="Times New Roman" w:hAnsi="ITC Avant Garde"/>
                <w:color w:val="000000"/>
                <w:sz w:val="18"/>
                <w:szCs w:val="18"/>
                <w:lang w:eastAsia="es-MX"/>
              </w:rPr>
              <w:t xml:space="preserve">Por último, y en línea con los objetivos planteados en el punto anterior, Omnispace estima que también será necesario incluir una regla que promueva que los Autorizados (y sus </w:t>
            </w:r>
            <w:r w:rsidR="004E0C31">
              <w:rPr>
                <w:rFonts w:ascii="ITC Avant Garde" w:eastAsia="Times New Roman" w:hAnsi="ITC Avant Garde"/>
                <w:color w:val="000000"/>
                <w:sz w:val="18"/>
                <w:szCs w:val="18"/>
                <w:lang w:eastAsia="es-MX"/>
              </w:rPr>
              <w:t>V</w:t>
            </w:r>
            <w:r w:rsidRPr="00491EE4">
              <w:rPr>
                <w:rFonts w:ascii="ITC Avant Garde" w:eastAsia="Times New Roman" w:hAnsi="ITC Avant Garde"/>
                <w:color w:val="000000"/>
                <w:sz w:val="18"/>
                <w:szCs w:val="18"/>
                <w:lang w:eastAsia="es-MX"/>
              </w:rPr>
              <w:t xml:space="preserve">inculadas) deban presentar Ofertas por el Bloque asociados con sus respectivos sistemas satelitales. Teniendo en cuenta el nivel de restricciones que afectan el uso independiente </w:t>
            </w:r>
            <w:r w:rsidR="00952E94" w:rsidRPr="00491EE4">
              <w:rPr>
                <w:rFonts w:ascii="ITC Avant Garde" w:eastAsia="Times New Roman" w:hAnsi="ITC Avant Garde"/>
                <w:color w:val="000000"/>
                <w:sz w:val="18"/>
                <w:szCs w:val="18"/>
                <w:lang w:eastAsia="es-MX"/>
              </w:rPr>
              <w:t>de</w:t>
            </w:r>
            <w:r w:rsidR="007B31A7">
              <w:rPr>
                <w:rFonts w:ascii="ITC Avant Garde" w:eastAsia="Times New Roman" w:hAnsi="ITC Avant Garde"/>
                <w:color w:val="000000"/>
                <w:sz w:val="18"/>
                <w:szCs w:val="18"/>
                <w:lang w:eastAsia="es-MX"/>
              </w:rPr>
              <w:t xml:space="preserve"> </w:t>
            </w:r>
            <w:r w:rsidR="00952E94" w:rsidRPr="00491EE4">
              <w:rPr>
                <w:rFonts w:ascii="ITC Avant Garde" w:eastAsia="Times New Roman" w:hAnsi="ITC Avant Garde"/>
                <w:color w:val="000000"/>
                <w:sz w:val="18"/>
                <w:szCs w:val="18"/>
                <w:lang w:eastAsia="es-MX"/>
              </w:rPr>
              <w:t>l</w:t>
            </w:r>
            <w:r w:rsidR="007B31A7">
              <w:rPr>
                <w:rFonts w:ascii="ITC Avant Garde" w:eastAsia="Times New Roman" w:hAnsi="ITC Avant Garde"/>
                <w:color w:val="000000"/>
                <w:sz w:val="18"/>
                <w:szCs w:val="18"/>
                <w:lang w:eastAsia="es-MX"/>
              </w:rPr>
              <w:t>os</w:t>
            </w:r>
            <w:r w:rsidRPr="00491EE4">
              <w:rPr>
                <w:rFonts w:ascii="ITC Avant Garde" w:eastAsia="Times New Roman" w:hAnsi="ITC Avant Garde"/>
                <w:color w:val="000000"/>
                <w:sz w:val="18"/>
                <w:szCs w:val="18"/>
                <w:lang w:eastAsia="es-MX"/>
              </w:rPr>
              <w:t xml:space="preserve"> componente terrestre</w:t>
            </w:r>
            <w:r w:rsidR="007B31A7">
              <w:rPr>
                <w:rFonts w:ascii="ITC Avant Garde" w:eastAsia="Times New Roman" w:hAnsi="ITC Avant Garde"/>
                <w:color w:val="000000"/>
                <w:sz w:val="18"/>
                <w:szCs w:val="18"/>
                <w:lang w:eastAsia="es-MX"/>
              </w:rPr>
              <w:t>s</w:t>
            </w:r>
            <w:r w:rsidRPr="00491EE4">
              <w:rPr>
                <w:rFonts w:ascii="ITC Avant Garde" w:eastAsia="Times New Roman" w:hAnsi="ITC Avant Garde"/>
                <w:color w:val="000000"/>
                <w:sz w:val="18"/>
                <w:szCs w:val="18"/>
                <w:lang w:eastAsia="es-MX"/>
              </w:rPr>
              <w:t xml:space="preserve"> y satelital</w:t>
            </w:r>
            <w:r w:rsidR="007B31A7">
              <w:rPr>
                <w:rFonts w:ascii="ITC Avant Garde" w:eastAsia="Times New Roman" w:hAnsi="ITC Avant Garde"/>
                <w:color w:val="000000"/>
                <w:sz w:val="18"/>
                <w:szCs w:val="18"/>
                <w:lang w:eastAsia="es-MX"/>
              </w:rPr>
              <w:t>es</w:t>
            </w:r>
            <w:r w:rsidRPr="00491EE4">
              <w:rPr>
                <w:rFonts w:ascii="ITC Avant Garde" w:eastAsia="Times New Roman" w:hAnsi="ITC Avant Garde"/>
                <w:color w:val="000000"/>
                <w:sz w:val="18"/>
                <w:szCs w:val="18"/>
                <w:lang w:eastAsia="es-MX"/>
              </w:rPr>
              <w:t xml:space="preserve"> en la banda 2 GHz ya discutidos, no existe justificación técnica o económica para que estos participantes presenten una Oferta por el otro Bloque. Hacerlo sería una estrategia de subasta sub-óptima, ya que reduciría la eficiencia de la licitación y el potencial para que el espectro fuera destinado al uso de mayor valor social. </w:t>
            </w:r>
            <w:r w:rsidR="002C5D4C">
              <w:t xml:space="preserve"> </w:t>
            </w:r>
            <w:r w:rsidR="002C5D4C" w:rsidRPr="002C5D4C">
              <w:rPr>
                <w:rFonts w:ascii="ITC Avant Garde" w:eastAsia="Times New Roman" w:hAnsi="ITC Avant Garde"/>
                <w:color w:val="000000"/>
                <w:sz w:val="18"/>
                <w:szCs w:val="18"/>
                <w:lang w:eastAsia="es-MX"/>
              </w:rPr>
              <w:t xml:space="preserve">Aunado a ello, esta estrategia podría tener resultados adversos a la libre competencia, toda vez que requeriría acuerdos entre competidores en el mercado de servicios satelitales con el objeto de garantizar la coordinación en la prestación del servicio complementario móvil terrestre. </w:t>
            </w:r>
            <w:r w:rsidR="002C5D4C">
              <w:rPr>
                <w:rFonts w:ascii="ITC Avant Garde" w:eastAsia="Times New Roman" w:hAnsi="ITC Avant Garde"/>
                <w:color w:val="000000"/>
                <w:sz w:val="18"/>
                <w:szCs w:val="18"/>
                <w:lang w:eastAsia="es-MX"/>
              </w:rPr>
              <w:t xml:space="preserve"> </w:t>
            </w:r>
            <w:r w:rsidRPr="00491EE4">
              <w:rPr>
                <w:rFonts w:ascii="ITC Avant Garde" w:eastAsia="Times New Roman" w:hAnsi="ITC Avant Garde"/>
                <w:color w:val="000000"/>
                <w:sz w:val="18"/>
                <w:szCs w:val="18"/>
                <w:lang w:eastAsia="es-MX"/>
              </w:rPr>
              <w:t>Por tanto, el Instituto debe limitar este posible escenario en las reglas del procedimiento de presentación de Ofertas.</w:t>
            </w:r>
          </w:p>
          <w:p w14:paraId="06127FA7" w14:textId="77777777" w:rsidR="00055A98" w:rsidRDefault="00055A98" w:rsidP="00055A98">
            <w:pPr>
              <w:spacing w:after="0" w:line="240" w:lineRule="auto"/>
              <w:jc w:val="both"/>
              <w:rPr>
                <w:rFonts w:ascii="ITC Avant Garde" w:eastAsia="Times New Roman" w:hAnsi="ITC Avant Garde"/>
                <w:color w:val="000000"/>
                <w:sz w:val="18"/>
                <w:szCs w:val="18"/>
                <w:lang w:eastAsia="es-MX"/>
              </w:rPr>
            </w:pPr>
          </w:p>
          <w:p w14:paraId="0EB7CE3C" w14:textId="77777777" w:rsidR="00055A98" w:rsidRDefault="00055A98" w:rsidP="00055A98">
            <w:pPr>
              <w:spacing w:after="0" w:line="240" w:lineRule="auto"/>
              <w:jc w:val="both"/>
              <w:rPr>
                <w:rFonts w:ascii="ITC Avant Garde" w:eastAsia="Times New Roman" w:hAnsi="ITC Avant Garde"/>
                <w:color w:val="000000"/>
                <w:sz w:val="18"/>
                <w:szCs w:val="18"/>
                <w:lang w:eastAsia="es-MX"/>
              </w:rPr>
            </w:pPr>
            <w:r w:rsidRPr="00491EE4">
              <w:rPr>
                <w:rFonts w:ascii="ITC Avant Garde" w:eastAsia="Times New Roman" w:hAnsi="ITC Avant Garde"/>
                <w:color w:val="000000"/>
                <w:sz w:val="18"/>
                <w:szCs w:val="18"/>
                <w:lang w:eastAsia="es-MX"/>
              </w:rPr>
              <w:t>Lo anterior, sin perjuicio de los comentarios específicos sobre dicho punto contenidos en el apartado II anterior.</w:t>
            </w:r>
          </w:p>
          <w:p w14:paraId="3C6F9FDA" w14:textId="77777777" w:rsidR="00055A98" w:rsidRPr="005F3F0A" w:rsidRDefault="00055A98" w:rsidP="00055A98">
            <w:pPr>
              <w:spacing w:after="0" w:line="240" w:lineRule="auto"/>
              <w:rPr>
                <w:rFonts w:ascii="ITC Avant Garde" w:eastAsia="Times New Roman" w:hAnsi="ITC Avant Garde"/>
                <w:color w:val="000000"/>
                <w:sz w:val="18"/>
                <w:szCs w:val="18"/>
                <w:lang w:eastAsia="es-MX"/>
              </w:rPr>
            </w:pPr>
          </w:p>
        </w:tc>
      </w:tr>
      <w:tr w:rsidR="00055A98" w:rsidRPr="005D0B9B" w14:paraId="3EF02EAB" w14:textId="77777777" w:rsidTr="009B2558">
        <w:trPr>
          <w:trHeight w:val="290"/>
        </w:trPr>
        <w:tc>
          <w:tcPr>
            <w:tcW w:w="5000" w:type="pct"/>
            <w:shd w:val="clear" w:color="auto" w:fill="C5E0B3"/>
            <w:vAlign w:val="center"/>
          </w:tcPr>
          <w:p w14:paraId="35B61CF9" w14:textId="77777777" w:rsidR="00055A98" w:rsidRPr="00055A98" w:rsidRDefault="00055A98" w:rsidP="00055A98">
            <w:pPr>
              <w:pStyle w:val="Prrafodelista"/>
              <w:spacing w:after="0" w:line="240" w:lineRule="auto"/>
              <w:ind w:left="776" w:hanging="567"/>
              <w:contextualSpacing/>
              <w:jc w:val="both"/>
              <w:rPr>
                <w:rFonts w:ascii="Century Gothic" w:eastAsia="Times New Roman" w:hAnsi="Century Gothic"/>
                <w:color w:val="000000"/>
                <w:sz w:val="18"/>
                <w:szCs w:val="18"/>
                <w:lang w:eastAsia="es-MX"/>
              </w:rPr>
            </w:pPr>
          </w:p>
          <w:p w14:paraId="2682527A" w14:textId="77777777" w:rsidR="00055A98" w:rsidRPr="00055A98" w:rsidRDefault="00055A98" w:rsidP="00055A98">
            <w:pPr>
              <w:pStyle w:val="Prrafodelista"/>
              <w:numPr>
                <w:ilvl w:val="0"/>
                <w:numId w:val="16"/>
              </w:numPr>
              <w:spacing w:after="0" w:line="240" w:lineRule="auto"/>
              <w:ind w:left="776" w:right="421" w:hanging="567"/>
              <w:contextualSpacing/>
              <w:jc w:val="both"/>
              <w:rPr>
                <w:rFonts w:ascii="Century Gothic" w:eastAsia="Times New Roman" w:hAnsi="Century Gothic"/>
                <w:color w:val="000000"/>
                <w:sz w:val="18"/>
                <w:szCs w:val="18"/>
                <w:lang w:eastAsia="es-MX"/>
              </w:rPr>
            </w:pPr>
            <w:r w:rsidRPr="00055A98">
              <w:rPr>
                <w:rFonts w:ascii="ITC Avant Garde" w:hAnsi="ITC Avant Garde"/>
                <w:bCs/>
                <w:color w:val="000000"/>
                <w:sz w:val="18"/>
                <w:szCs w:val="18"/>
                <w:lang w:eastAsia="es-MX"/>
              </w:rPr>
              <w:t>La posible inclusión de un componente no económico (incentivo) adicional en el Procedimiento de Presentación Económico a valorar como parte de la Oferta, señalado en el Apéndice B del proyecto de Numeral. Lo anterior, en razón de los elementos no económicos que forman parte del propio proceso descrito en el Numeral.</w:t>
            </w:r>
          </w:p>
          <w:p w14:paraId="70A2D9E0" w14:textId="77777777" w:rsidR="00055A98" w:rsidRPr="00055A98" w:rsidRDefault="00055A98" w:rsidP="00055A98">
            <w:pPr>
              <w:pStyle w:val="Prrafodelista"/>
              <w:spacing w:after="0" w:line="240" w:lineRule="auto"/>
              <w:ind w:left="776" w:right="421" w:hanging="567"/>
              <w:contextualSpacing/>
              <w:jc w:val="both"/>
              <w:rPr>
                <w:rFonts w:ascii="Century Gothic" w:eastAsia="Times New Roman" w:hAnsi="Century Gothic"/>
                <w:color w:val="000000"/>
                <w:sz w:val="18"/>
                <w:szCs w:val="18"/>
                <w:lang w:eastAsia="es-MX"/>
              </w:rPr>
            </w:pPr>
          </w:p>
          <w:p w14:paraId="328D521F" w14:textId="77777777" w:rsidR="00055A98" w:rsidRPr="00055A98" w:rsidRDefault="00055A98" w:rsidP="00055A98">
            <w:pPr>
              <w:pStyle w:val="Prrafodelista"/>
              <w:spacing w:after="0" w:line="240" w:lineRule="auto"/>
              <w:ind w:left="776" w:right="421"/>
              <w:contextualSpacing/>
              <w:jc w:val="both"/>
              <w:rPr>
                <w:rFonts w:ascii="Century Gothic" w:eastAsia="Times New Roman" w:hAnsi="Century Gothic"/>
                <w:color w:val="000000"/>
                <w:sz w:val="18"/>
                <w:szCs w:val="18"/>
                <w:lang w:eastAsia="es-MX"/>
              </w:rPr>
            </w:pPr>
            <w:r w:rsidRPr="00055A98">
              <w:rPr>
                <w:rFonts w:ascii="ITC Avant Garde" w:hAnsi="ITC Avant Garde"/>
                <w:bCs/>
                <w:color w:val="000000"/>
                <w:sz w:val="18"/>
                <w:szCs w:val="18"/>
                <w:lang w:eastAsia="es-MX"/>
              </w:rPr>
              <w:t xml:space="preserve">Dicho incentivo debe tener como objetivo el promover alguna condición deseable tal como la competencia, mejora tecnológica, calidad de servicios, etc. En caso de incluir alguna propuesta favor de acompañarla con su justificación correspondiente. </w:t>
            </w:r>
          </w:p>
          <w:p w14:paraId="729450E4" w14:textId="77777777" w:rsidR="00055A98" w:rsidRPr="00055A98" w:rsidRDefault="00055A98" w:rsidP="00055A98">
            <w:pPr>
              <w:spacing w:after="0" w:line="240" w:lineRule="auto"/>
              <w:jc w:val="both"/>
              <w:rPr>
                <w:rFonts w:ascii="ITC Avant Garde" w:eastAsia="Times New Roman" w:hAnsi="ITC Avant Garde"/>
                <w:color w:val="000000"/>
                <w:sz w:val="18"/>
                <w:szCs w:val="18"/>
                <w:lang w:eastAsia="es-MX"/>
              </w:rPr>
            </w:pPr>
          </w:p>
        </w:tc>
      </w:tr>
      <w:tr w:rsidR="00055A98" w:rsidRPr="00491EE4" w14:paraId="6AAEB872" w14:textId="77777777" w:rsidTr="004D2479">
        <w:trPr>
          <w:trHeight w:val="290"/>
        </w:trPr>
        <w:tc>
          <w:tcPr>
            <w:tcW w:w="5000" w:type="pct"/>
            <w:shd w:val="clear" w:color="auto" w:fill="auto"/>
            <w:vAlign w:val="center"/>
          </w:tcPr>
          <w:p w14:paraId="1F3B2912" w14:textId="77777777" w:rsidR="00055A98" w:rsidRPr="00055A98" w:rsidRDefault="00055A98" w:rsidP="00055A98">
            <w:pPr>
              <w:spacing w:after="0" w:line="240" w:lineRule="auto"/>
              <w:rPr>
                <w:rFonts w:ascii="ITC Avant Garde" w:eastAsia="Times New Roman" w:hAnsi="ITC Avant Garde"/>
                <w:color w:val="000000"/>
                <w:sz w:val="18"/>
                <w:szCs w:val="18"/>
                <w:lang w:eastAsia="es-MX"/>
              </w:rPr>
            </w:pPr>
          </w:p>
          <w:p w14:paraId="3BA34DF0" w14:textId="77777777" w:rsidR="00055A98" w:rsidRPr="00055A98" w:rsidRDefault="00055A98" w:rsidP="00055A98">
            <w:pPr>
              <w:jc w:val="both"/>
              <w:rPr>
                <w:sz w:val="18"/>
                <w:szCs w:val="18"/>
                <w:lang w:val="es-CO"/>
              </w:rPr>
            </w:pPr>
            <w:r w:rsidRPr="00055A98">
              <w:rPr>
                <w:sz w:val="18"/>
                <w:szCs w:val="18"/>
                <w:lang w:val="es-CO"/>
              </w:rPr>
              <w:t>Omnispace considera que no es necesario incluir un componente no económico adicional como parte de las Ofertas de lo Participante en este proceso de licitación. Creemos que esto agregaría al proceso de evaluación de la oferta elementos de complejidad y subjetividad injustificados, y probablemente no optimizaría el proceso de asignación y los resultados esperados, ya que solo aumentaría los costos del espectro para los posibles participantes en el proceso.</w:t>
            </w:r>
          </w:p>
          <w:p w14:paraId="02F1C516" w14:textId="77777777" w:rsidR="00055A98" w:rsidRPr="00055A98" w:rsidRDefault="00055A98" w:rsidP="00055A98">
            <w:pPr>
              <w:jc w:val="both"/>
              <w:rPr>
                <w:sz w:val="18"/>
                <w:szCs w:val="18"/>
                <w:lang w:val="es-CO"/>
              </w:rPr>
            </w:pPr>
            <w:r w:rsidRPr="00055A98">
              <w:rPr>
                <w:sz w:val="18"/>
                <w:szCs w:val="18"/>
                <w:lang w:val="es-CO"/>
              </w:rPr>
              <w:t xml:space="preserve">La inclusión de condiciones no económicas transformaría el formato del proceso de licitación propuesto de </w:t>
            </w:r>
            <w:r w:rsidR="00952E94" w:rsidRPr="00055A98">
              <w:rPr>
                <w:sz w:val="18"/>
                <w:szCs w:val="18"/>
                <w:lang w:val="es-CO"/>
              </w:rPr>
              <w:t>una licitación</w:t>
            </w:r>
            <w:r w:rsidRPr="00055A98">
              <w:rPr>
                <w:sz w:val="18"/>
                <w:szCs w:val="18"/>
                <w:lang w:val="es-CO"/>
              </w:rPr>
              <w:t xml:space="preserve"> a sobre cerrado a un “concurso de belleza” con un componente de precio, donde el precio ya no es el mecanismo objetivo para determinar el Participante Ganador. El formato del “concurso de belleza” se usa normalmente cuando la subasta busca alcanzar ciertos objetivos de política pública, como la universalización de los servicios, la mayor disponibilidad y asequibilidad, o la expansión de la cobertura. Este no es el caso de este proceso de licitación.</w:t>
            </w:r>
          </w:p>
          <w:p w14:paraId="102288C1" w14:textId="77777777" w:rsidR="00055A98" w:rsidRPr="00055A98" w:rsidRDefault="00055A98" w:rsidP="00055A98">
            <w:pPr>
              <w:jc w:val="both"/>
              <w:rPr>
                <w:sz w:val="18"/>
                <w:szCs w:val="18"/>
                <w:lang w:val="es-CO"/>
              </w:rPr>
            </w:pPr>
            <w:r w:rsidRPr="00055A98">
              <w:rPr>
                <w:sz w:val="18"/>
                <w:szCs w:val="18"/>
                <w:lang w:val="es-CO"/>
              </w:rPr>
              <w:t xml:space="preserve">Además, en un “concurso de belleza”, el Instituto debería establecer una serie de parámetros que los participantes deben cumplir o superar (a través de compromisos explícitos). La definición de dichos parámetros y los requisitos mínimos de desempeño probablemente requerirán tiempo adicional y una consideración detallada tanto por parte del Instituto como de los posibles participantes, y además pueden crear desincentivos a la participación al aumentar el costo de participación en la licitación, especialmente considerando el bajo valor de mercado de la banda de 2 GHz (según se discutió en la respuesta </w:t>
            </w:r>
            <w:r w:rsidR="00104842">
              <w:rPr>
                <w:sz w:val="18"/>
                <w:szCs w:val="18"/>
                <w:lang w:val="es-CO"/>
              </w:rPr>
              <w:t xml:space="preserve">a </w:t>
            </w:r>
            <w:r w:rsidRPr="00055A98">
              <w:rPr>
                <w:sz w:val="18"/>
                <w:szCs w:val="18"/>
                <w:lang w:val="es-CO"/>
              </w:rPr>
              <w:t>la pregunta 11).</w:t>
            </w:r>
          </w:p>
          <w:p w14:paraId="17E50A97" w14:textId="77777777" w:rsidR="00055A98" w:rsidRPr="00055A98" w:rsidRDefault="00055A98" w:rsidP="00055A98">
            <w:pPr>
              <w:jc w:val="both"/>
              <w:rPr>
                <w:sz w:val="18"/>
                <w:szCs w:val="18"/>
                <w:lang w:val="es-CO"/>
              </w:rPr>
            </w:pPr>
            <w:r w:rsidRPr="00055A98">
              <w:rPr>
                <w:sz w:val="18"/>
                <w:szCs w:val="18"/>
                <w:lang w:val="es-CO"/>
              </w:rPr>
              <w:t xml:space="preserve">Asimismo, como cada Oferta debe evaluarse de forma independiente para determinar el cumplimiento de dichos requisitos y otorgar la puntuación respectiva, el formato de “concurso de belleza” híbrido estará sujeto a un alto grado de discreción y subjetividad en comparación con el formato de licitación de sobre sellado que se describe en el Proyecto </w:t>
            </w:r>
            <w:r w:rsidRPr="00055A98">
              <w:rPr>
                <w:sz w:val="18"/>
                <w:szCs w:val="18"/>
                <w:lang w:val="es-CO"/>
              </w:rPr>
              <w:lastRenderedPageBreak/>
              <w:t xml:space="preserve">de Bases. Si bien los criterios de evaluación deberían establecerse de antemano, su evaluación y calificación tomaría tiempo y recursos adicionales del Instituto y podría generar dudas sobre la transparencia del proceso, lo que en últimas que podría conducir a </w:t>
            </w:r>
            <w:r w:rsidR="00952E94" w:rsidRPr="00055A98">
              <w:rPr>
                <w:sz w:val="18"/>
                <w:szCs w:val="18"/>
                <w:lang w:val="es-CO"/>
              </w:rPr>
              <w:t>impugnaciones</w:t>
            </w:r>
            <w:r w:rsidRPr="00055A98">
              <w:rPr>
                <w:sz w:val="18"/>
                <w:szCs w:val="18"/>
                <w:lang w:val="es-CO"/>
              </w:rPr>
              <w:t>.</w:t>
            </w:r>
          </w:p>
          <w:p w14:paraId="48D40F5B" w14:textId="77777777" w:rsidR="00055A98" w:rsidRPr="00055A98" w:rsidRDefault="00055A98" w:rsidP="00055A98">
            <w:pPr>
              <w:jc w:val="both"/>
              <w:rPr>
                <w:sz w:val="18"/>
                <w:szCs w:val="18"/>
                <w:lang w:val="es-CO"/>
              </w:rPr>
            </w:pPr>
            <w:r w:rsidRPr="00055A98">
              <w:rPr>
                <w:sz w:val="18"/>
                <w:szCs w:val="18"/>
                <w:lang w:val="es-CO"/>
              </w:rPr>
              <w:t>Finalmente, creemos que agregar un componente no económico a la licitación actual no optimizaría el proceso de asignación. El Proyecto de Bases ya estipula que los participantes deben identificar claramente sus programas y compromisos de inversión, calidad y de cobertura</w:t>
            </w:r>
            <w:r w:rsidRPr="00055A98">
              <w:rPr>
                <w:rStyle w:val="Refdenotaalpie"/>
                <w:rFonts w:eastAsia="Times New Roman"/>
                <w:color w:val="000000"/>
                <w:sz w:val="18"/>
                <w:szCs w:val="18"/>
                <w:lang w:eastAsia="es-MX"/>
              </w:rPr>
              <w:footnoteReference w:id="18"/>
            </w:r>
            <w:r w:rsidRPr="00055A98">
              <w:rPr>
                <w:sz w:val="18"/>
                <w:szCs w:val="18"/>
                <w:lang w:val="es-CO"/>
              </w:rPr>
              <w:t>, brindando a los participantes la flexibilidad para describir la implementación y otros compromisos potenciales que sean consistentes con sus planes de negocios. Imponer obligaciones específicas no económicas simplemente aumentaría los costos asociados con las Concesiones en la banda de 2 GHz, a pesar del hecho de que, como se señala en nuestra respuesta a la pregunta 11, el valor de mercado de este espectro es bajo debido a las limitaciones afectan su uso. En lugar de aumentar la eficiencia en la asignación de la banda de 2 GHz, imponer obligaciones de este tipo probablemente reduciría los incentivos para participar en la licitación. </w:t>
            </w:r>
          </w:p>
          <w:p w14:paraId="0A5E015C" w14:textId="77777777" w:rsidR="00055A98" w:rsidRPr="00055A98" w:rsidRDefault="00055A98" w:rsidP="00055A98">
            <w:pPr>
              <w:spacing w:after="0" w:line="240" w:lineRule="auto"/>
              <w:jc w:val="both"/>
              <w:rPr>
                <w:rFonts w:ascii="ITC Avant Garde" w:eastAsia="Times New Roman" w:hAnsi="ITC Avant Garde"/>
                <w:color w:val="000000"/>
                <w:sz w:val="18"/>
                <w:szCs w:val="18"/>
                <w:highlight w:val="green"/>
                <w:lang w:eastAsia="es-MX"/>
              </w:rPr>
            </w:pPr>
            <w:r w:rsidRPr="00055A98">
              <w:rPr>
                <w:sz w:val="18"/>
                <w:szCs w:val="18"/>
                <w:lang w:val="es-CO"/>
              </w:rPr>
              <w:t>Con base en lo anterior, Omnispace solicita respetuosamente que no se incluyan las condiciones no económicas como parte del proceso de evaluación de las Ofertas en esta licitación.</w:t>
            </w:r>
          </w:p>
          <w:p w14:paraId="5366DE18" w14:textId="77777777" w:rsidR="00055A98" w:rsidRPr="00F61CFB" w:rsidRDefault="00055A98" w:rsidP="00055A98">
            <w:pPr>
              <w:spacing w:after="0" w:line="240" w:lineRule="auto"/>
              <w:jc w:val="both"/>
              <w:rPr>
                <w:rFonts w:ascii="ITC Avant Garde" w:eastAsia="Times New Roman" w:hAnsi="ITC Avant Garde"/>
                <w:color w:val="000000"/>
                <w:sz w:val="18"/>
                <w:szCs w:val="18"/>
                <w:lang w:eastAsia="es-MX"/>
              </w:rPr>
            </w:pPr>
          </w:p>
          <w:p w14:paraId="2C6316FC" w14:textId="77777777" w:rsidR="00055A98" w:rsidRPr="00055A98" w:rsidRDefault="00055A98" w:rsidP="00055A98">
            <w:pPr>
              <w:spacing w:after="0" w:line="240" w:lineRule="auto"/>
              <w:jc w:val="both"/>
              <w:rPr>
                <w:rFonts w:ascii="ITC Avant Garde" w:eastAsia="Times New Roman" w:hAnsi="ITC Avant Garde"/>
                <w:color w:val="000000"/>
                <w:sz w:val="18"/>
                <w:szCs w:val="18"/>
                <w:lang w:eastAsia="es-MX"/>
              </w:rPr>
            </w:pPr>
            <w:r w:rsidRPr="00055A98">
              <w:rPr>
                <w:rFonts w:ascii="ITC Avant Garde" w:eastAsia="Times New Roman" w:hAnsi="ITC Avant Garde"/>
                <w:color w:val="000000"/>
                <w:sz w:val="18"/>
                <w:szCs w:val="18"/>
                <w:lang w:eastAsia="es-MX"/>
              </w:rPr>
              <w:t>Lo anterior, sin perjuicio de los comentarios específicos sobre dicho punto contenidos en el apartado II anterior.</w:t>
            </w:r>
          </w:p>
          <w:p w14:paraId="70759A56" w14:textId="77777777" w:rsidR="00055A98" w:rsidRPr="00055A98" w:rsidRDefault="00055A98" w:rsidP="00055A98">
            <w:pPr>
              <w:spacing w:after="0" w:line="240" w:lineRule="auto"/>
              <w:rPr>
                <w:rFonts w:ascii="ITC Avant Garde" w:eastAsia="Times New Roman" w:hAnsi="ITC Avant Garde"/>
                <w:color w:val="000000"/>
                <w:sz w:val="18"/>
                <w:szCs w:val="18"/>
                <w:lang w:eastAsia="es-MX"/>
              </w:rPr>
            </w:pPr>
          </w:p>
        </w:tc>
      </w:tr>
      <w:tr w:rsidR="00055A98" w:rsidRPr="005D0B9B" w14:paraId="230BDB0B" w14:textId="77777777" w:rsidTr="001E7890">
        <w:trPr>
          <w:trHeight w:val="290"/>
        </w:trPr>
        <w:tc>
          <w:tcPr>
            <w:tcW w:w="5000" w:type="pct"/>
            <w:shd w:val="clear" w:color="auto" w:fill="C5E0B3"/>
            <w:vAlign w:val="center"/>
          </w:tcPr>
          <w:p w14:paraId="4BE6DA22" w14:textId="77777777" w:rsidR="00055A98" w:rsidRPr="00491EE4" w:rsidRDefault="00055A98" w:rsidP="00055A98">
            <w:pPr>
              <w:spacing w:after="0" w:line="240" w:lineRule="auto"/>
              <w:jc w:val="both"/>
              <w:rPr>
                <w:rFonts w:ascii="ITC Avant Garde" w:eastAsia="Times New Roman" w:hAnsi="ITC Avant Garde"/>
                <w:color w:val="000000"/>
                <w:sz w:val="18"/>
                <w:lang w:eastAsia="es-MX"/>
              </w:rPr>
            </w:pPr>
          </w:p>
          <w:p w14:paraId="724B39B1" w14:textId="77777777" w:rsidR="00055A98" w:rsidRDefault="00055A98" w:rsidP="00055A98">
            <w:pPr>
              <w:numPr>
                <w:ilvl w:val="0"/>
                <w:numId w:val="16"/>
              </w:numPr>
              <w:spacing w:after="0" w:line="240" w:lineRule="auto"/>
              <w:ind w:left="709" w:right="421" w:hanging="500"/>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L</w:t>
            </w:r>
            <w:r w:rsidRPr="00B01E4E">
              <w:rPr>
                <w:rFonts w:ascii="ITC Avant Garde" w:eastAsia="Times New Roman" w:hAnsi="ITC Avant Garde"/>
                <w:color w:val="000000"/>
                <w:sz w:val="18"/>
                <w:lang w:eastAsia="es-MX"/>
              </w:rPr>
              <w:t xml:space="preserve">a vigencia de 10 </w:t>
            </w:r>
            <w:r>
              <w:rPr>
                <w:rFonts w:ascii="ITC Avant Garde" w:eastAsia="Times New Roman" w:hAnsi="ITC Avant Garde"/>
                <w:color w:val="000000"/>
                <w:sz w:val="18"/>
                <w:lang w:eastAsia="es-MX"/>
              </w:rPr>
              <w:t xml:space="preserve">(diez) </w:t>
            </w:r>
            <w:r w:rsidRPr="00B01E4E">
              <w:rPr>
                <w:rFonts w:ascii="ITC Avant Garde" w:eastAsia="Times New Roman" w:hAnsi="ITC Avant Garde"/>
                <w:color w:val="000000"/>
                <w:sz w:val="18"/>
                <w:lang w:eastAsia="es-MX"/>
              </w:rPr>
              <w:t>años de las Concesiones de Espectro Radioeléctrico para Uso Comercial que se otorguen con motivo de la licitación, contados a partir del otorgamiento del título de concesión correspond</w:t>
            </w:r>
            <w:r>
              <w:rPr>
                <w:rFonts w:ascii="ITC Avant Garde" w:eastAsia="Times New Roman" w:hAnsi="ITC Avant Garde"/>
                <w:color w:val="000000"/>
                <w:sz w:val="18"/>
                <w:lang w:eastAsia="es-MX"/>
              </w:rPr>
              <w:t>iente, señalado en el numeral 14.1 del proyecto de Numeral. En cualquier caso, se solicita que se agreguen las razones que sustenten su propuesta.</w:t>
            </w:r>
          </w:p>
          <w:p w14:paraId="4AF1385B" w14:textId="77777777" w:rsidR="00055A98" w:rsidRDefault="00055A98" w:rsidP="00055A98">
            <w:pPr>
              <w:spacing w:after="0" w:line="240" w:lineRule="auto"/>
              <w:jc w:val="both"/>
              <w:rPr>
                <w:rFonts w:ascii="ITC Avant Garde" w:eastAsia="Times New Roman" w:hAnsi="ITC Avant Garde"/>
                <w:color w:val="000000"/>
                <w:sz w:val="18"/>
                <w:lang w:eastAsia="es-MX"/>
              </w:rPr>
            </w:pPr>
          </w:p>
        </w:tc>
      </w:tr>
      <w:tr w:rsidR="00055A98" w:rsidRPr="00491EE4" w14:paraId="5B816930" w14:textId="77777777" w:rsidTr="004D2479">
        <w:trPr>
          <w:trHeight w:val="290"/>
        </w:trPr>
        <w:tc>
          <w:tcPr>
            <w:tcW w:w="5000" w:type="pct"/>
            <w:shd w:val="clear" w:color="auto" w:fill="auto"/>
            <w:vAlign w:val="center"/>
          </w:tcPr>
          <w:p w14:paraId="18DF02A0" w14:textId="77777777" w:rsidR="00055A98" w:rsidRDefault="00055A98" w:rsidP="00055A98">
            <w:pPr>
              <w:spacing w:after="0" w:line="240" w:lineRule="auto"/>
              <w:rPr>
                <w:rFonts w:ascii="ITC Avant Garde" w:eastAsia="Times New Roman" w:hAnsi="ITC Avant Garde"/>
                <w:color w:val="000000"/>
                <w:sz w:val="18"/>
                <w:lang w:eastAsia="es-MX"/>
              </w:rPr>
            </w:pPr>
          </w:p>
          <w:p w14:paraId="3E746E7F" w14:textId="77777777" w:rsidR="00055A98" w:rsidRPr="00055A98" w:rsidRDefault="00055A98" w:rsidP="00055A98">
            <w:pPr>
              <w:jc w:val="both"/>
              <w:rPr>
                <w:sz w:val="18"/>
                <w:szCs w:val="18"/>
                <w:lang w:val="es-CO"/>
              </w:rPr>
            </w:pPr>
            <w:r w:rsidRPr="00055A98">
              <w:rPr>
                <w:sz w:val="18"/>
                <w:szCs w:val="18"/>
                <w:lang w:val="es-CO"/>
              </w:rPr>
              <w:t xml:space="preserve">Omnispace considera que el plazo de 10 años propuesto por el Instituto para la Concesión es insuficiente. Creemos que es necesario </w:t>
            </w:r>
            <w:r w:rsidR="00952E94" w:rsidRPr="00055A98">
              <w:rPr>
                <w:sz w:val="18"/>
                <w:szCs w:val="18"/>
                <w:lang w:val="es-CO"/>
              </w:rPr>
              <w:t>otorgar</w:t>
            </w:r>
            <w:r w:rsidRPr="00055A98">
              <w:rPr>
                <w:sz w:val="18"/>
                <w:szCs w:val="18"/>
                <w:lang w:val="es-CO"/>
              </w:rPr>
              <w:t xml:space="preserve"> un plazo más largo para promover mayor certeza y promover las considerables inversiones requeridas para el despliegue del Componente Complementario Terrestre en la banda de 2 GHz en México. </w:t>
            </w:r>
          </w:p>
          <w:p w14:paraId="13BFC4B9" w14:textId="77777777" w:rsidR="00055A98" w:rsidRPr="00055A98" w:rsidRDefault="00055A98" w:rsidP="00055A98">
            <w:pPr>
              <w:jc w:val="both"/>
              <w:rPr>
                <w:sz w:val="18"/>
                <w:szCs w:val="18"/>
                <w:lang w:val="es-CO"/>
              </w:rPr>
            </w:pPr>
            <w:r w:rsidRPr="00055A98">
              <w:rPr>
                <w:sz w:val="18"/>
                <w:szCs w:val="18"/>
                <w:lang w:val="es-CO"/>
              </w:rPr>
              <w:t xml:space="preserve">De acuerdo con la práctica del Instituto, </w:t>
            </w:r>
            <w:r w:rsidR="00952E94" w:rsidRPr="00055A98">
              <w:rPr>
                <w:sz w:val="18"/>
                <w:szCs w:val="18"/>
                <w:lang w:val="es-CO"/>
              </w:rPr>
              <w:t>la disposición</w:t>
            </w:r>
            <w:r w:rsidRPr="00055A98">
              <w:rPr>
                <w:sz w:val="18"/>
                <w:szCs w:val="18"/>
                <w:lang w:val="es-CO"/>
              </w:rPr>
              <w:t xml:space="preserve"> de Ley Federal de Telecomunicaciones y Radiodifusión y la práctica internacional referida a las concesiones de espectro en la banda de 2 GHz, Omnispace solicita respetuosamente que </w:t>
            </w:r>
            <w:r w:rsidR="00952E94">
              <w:rPr>
                <w:sz w:val="18"/>
                <w:szCs w:val="18"/>
                <w:lang w:val="es-CO"/>
              </w:rPr>
              <w:t xml:space="preserve">en este proceso </w:t>
            </w:r>
            <w:r w:rsidR="00952E94" w:rsidRPr="00055A98">
              <w:rPr>
                <w:sz w:val="18"/>
                <w:szCs w:val="18"/>
                <w:lang w:val="es-CO"/>
              </w:rPr>
              <w:t xml:space="preserve">las Concesiones </w:t>
            </w:r>
            <w:r w:rsidR="00952E94">
              <w:rPr>
                <w:sz w:val="18"/>
                <w:szCs w:val="18"/>
                <w:lang w:val="es-CO"/>
              </w:rPr>
              <w:t xml:space="preserve">sean asignadas </w:t>
            </w:r>
            <w:r w:rsidRPr="00055A98">
              <w:rPr>
                <w:sz w:val="18"/>
                <w:szCs w:val="18"/>
                <w:lang w:val="es-CO"/>
              </w:rPr>
              <w:t>por plazos de al menos 15 años.</w:t>
            </w:r>
          </w:p>
          <w:p w14:paraId="3EEAA4BB" w14:textId="77777777" w:rsidR="00055A98" w:rsidRPr="00055A98" w:rsidRDefault="00055A98" w:rsidP="00055A98">
            <w:pPr>
              <w:jc w:val="both"/>
              <w:rPr>
                <w:sz w:val="18"/>
                <w:szCs w:val="18"/>
                <w:lang w:val="es-CO"/>
              </w:rPr>
            </w:pPr>
            <w:r w:rsidRPr="00055A98">
              <w:rPr>
                <w:sz w:val="18"/>
                <w:szCs w:val="18"/>
                <w:lang w:val="es-CO"/>
              </w:rPr>
              <w:t xml:space="preserve">El otorgamiento de Concesiones de Espectro </w:t>
            </w:r>
            <w:r w:rsidR="00952E94" w:rsidRPr="00055A98">
              <w:rPr>
                <w:sz w:val="18"/>
                <w:szCs w:val="18"/>
                <w:lang w:val="es-CO"/>
              </w:rPr>
              <w:t>Radioeléctrico</w:t>
            </w:r>
            <w:r w:rsidRPr="00055A98">
              <w:rPr>
                <w:sz w:val="18"/>
                <w:szCs w:val="18"/>
                <w:lang w:val="es-CO"/>
              </w:rPr>
              <w:t xml:space="preserve"> de Uso Comercial por plazos de 15 años está en línea con la práctica de IFT en la asignación de espectro IMT a través de licitaciones competitivas (como es el caso del presente proceso licitatorio). Este ha sido el caso en las dos licitaciones de espectro IMT más recientes realizadas por el IFT: (i) la licitación d</w:t>
            </w:r>
            <w:r w:rsidR="0040681D">
              <w:rPr>
                <w:sz w:val="18"/>
                <w:szCs w:val="18"/>
                <w:lang w:val="es-CO"/>
              </w:rPr>
              <w:t>e</w:t>
            </w:r>
            <w:r w:rsidRPr="00055A98">
              <w:rPr>
                <w:sz w:val="18"/>
                <w:szCs w:val="18"/>
                <w:lang w:val="es-CO"/>
              </w:rPr>
              <w:t xml:space="preserve"> las bandas AWS y AWS-3 que cerró en 2016 </w:t>
            </w:r>
            <w:r w:rsidR="00952E94" w:rsidRPr="00055A98">
              <w:rPr>
                <w:sz w:val="18"/>
                <w:szCs w:val="18"/>
                <w:lang w:val="es-CO"/>
              </w:rPr>
              <w:t>(Licitación</w:t>
            </w:r>
            <w:r w:rsidR="00952E94" w:rsidRPr="00055A98" w:rsidDel="00B705CC">
              <w:rPr>
                <w:sz w:val="18"/>
                <w:szCs w:val="18"/>
                <w:lang w:val="es-CO"/>
              </w:rPr>
              <w:t xml:space="preserve"> </w:t>
            </w:r>
            <w:r w:rsidR="00952E94" w:rsidRPr="00055A98">
              <w:rPr>
                <w:sz w:val="18"/>
                <w:szCs w:val="18"/>
                <w:lang w:val="es-CO"/>
              </w:rPr>
              <w:t>IFT</w:t>
            </w:r>
            <w:r w:rsidRPr="00055A98">
              <w:rPr>
                <w:sz w:val="18"/>
                <w:szCs w:val="18"/>
                <w:lang w:val="es-CO"/>
              </w:rPr>
              <w:t xml:space="preserve">-3) y (ii) la licitación de la banda de 2.5 GHz que </w:t>
            </w:r>
            <w:r w:rsidR="00952E94" w:rsidRPr="00055A98">
              <w:rPr>
                <w:sz w:val="18"/>
                <w:szCs w:val="18"/>
                <w:lang w:val="es-CO"/>
              </w:rPr>
              <w:t>cerró</w:t>
            </w:r>
            <w:r w:rsidRPr="00055A98">
              <w:rPr>
                <w:sz w:val="18"/>
                <w:szCs w:val="18"/>
                <w:lang w:val="es-CO"/>
              </w:rPr>
              <w:t xml:space="preserve"> en 2018 (Licitación IFT-7). Consideramos que es razonable que se otorgue espectro a los futuros Concesionarios de la banda de 2 GHz en términos similares a los otorgados a los Concesionarios de bandas similares para la prestación de servicios similares/complementarios en México. Vale la pena resaltar que la Ley Federal de Telecomunicaciones y Radiodifusión permite concesiones de hasta 20 años</w:t>
            </w:r>
            <w:r w:rsidRPr="00055A98">
              <w:rPr>
                <w:rStyle w:val="Refdenotaalpie"/>
                <w:sz w:val="18"/>
                <w:szCs w:val="18"/>
              </w:rPr>
              <w:footnoteReference w:id="19"/>
            </w:r>
            <w:r w:rsidRPr="00055A98">
              <w:rPr>
                <w:sz w:val="18"/>
                <w:szCs w:val="18"/>
                <w:lang w:val="es-CO"/>
              </w:rPr>
              <w:t>.</w:t>
            </w:r>
          </w:p>
          <w:p w14:paraId="4ABE6443" w14:textId="58EF50DB" w:rsidR="00055A98" w:rsidRPr="00055A98" w:rsidRDefault="00055A98" w:rsidP="00055A98">
            <w:pPr>
              <w:jc w:val="both"/>
              <w:rPr>
                <w:sz w:val="18"/>
                <w:szCs w:val="18"/>
                <w:lang w:val="es-CO"/>
              </w:rPr>
            </w:pPr>
            <w:r w:rsidRPr="00055A98">
              <w:rPr>
                <w:sz w:val="18"/>
                <w:szCs w:val="18"/>
                <w:lang w:val="es-CO"/>
              </w:rPr>
              <w:t xml:space="preserve">Además, observamos que el plazo de Concesión propuesto por el Instituto es significativamente más corto que el utilizado por la mayoría de las otras administraciones que han asignado la banda de 2 GHz para uso del Componente </w:t>
            </w:r>
            <w:r w:rsidRPr="00055A98">
              <w:rPr>
                <w:sz w:val="18"/>
                <w:szCs w:val="18"/>
                <w:lang w:val="es-CO"/>
              </w:rPr>
              <w:lastRenderedPageBreak/>
              <w:t>Complementario Terrestre.  Como se muestra en la Tabla 4, Canadá otorgó licencias de 20 años</w:t>
            </w:r>
            <w:r w:rsidRPr="00055A98">
              <w:rPr>
                <w:rStyle w:val="Refdenotaalpie"/>
                <w:sz w:val="18"/>
                <w:szCs w:val="18"/>
              </w:rPr>
              <w:footnoteReference w:id="20"/>
            </w:r>
            <w:r w:rsidRPr="00055A98">
              <w:rPr>
                <w:sz w:val="18"/>
                <w:szCs w:val="18"/>
                <w:lang w:val="es-CO"/>
              </w:rPr>
              <w:t>, el doble del plazo propuesto por el IFT. En la UE, las licencias se otorgaron por 18 años, lo que equivale a un 80% más de tiempo que la propuesta del IFT. En este punto vale la pena mencionar que, si bien los Estados Unidos de América otorgaron el espectro por un período inicial de 10 años, la FCC adujo que esto era "consistente con la adopción por parte de la Comisión de los términos de licencia de diez años en la mayoría de los otros servicios de</w:t>
            </w:r>
            <w:r w:rsidR="00F61CFB">
              <w:rPr>
                <w:sz w:val="18"/>
                <w:szCs w:val="18"/>
                <w:lang w:val="es-CO"/>
              </w:rPr>
              <w:t>l Capítulo</w:t>
            </w:r>
            <w:r w:rsidRPr="00055A98">
              <w:rPr>
                <w:sz w:val="18"/>
                <w:szCs w:val="18"/>
                <w:lang w:val="es-CO"/>
              </w:rPr>
              <w:t xml:space="preserve"> 27 y en servicios que utilizan un espectro similar, como el utilizado para PCS”.</w:t>
            </w:r>
            <w:r w:rsidRPr="00055A98">
              <w:rPr>
                <w:rStyle w:val="Refdenotaalpie"/>
                <w:sz w:val="18"/>
                <w:szCs w:val="18"/>
              </w:rPr>
              <w:footnoteReference w:id="21"/>
            </w:r>
            <w:r w:rsidRPr="00055A98">
              <w:rPr>
                <w:sz w:val="18"/>
                <w:szCs w:val="18"/>
                <w:lang w:val="es-CO"/>
              </w:rPr>
              <w:t xml:space="preserve"> Como consecuencia, la FCC concluyó que, al adoptar un período de licencia de 10 años, trataba “a los titulares de derechos de espectro en la banda AWS-4 de manera similar a los licencia</w:t>
            </w:r>
            <w:r w:rsidR="00F61CFB">
              <w:rPr>
                <w:sz w:val="18"/>
                <w:szCs w:val="18"/>
                <w:lang w:val="es-CO"/>
              </w:rPr>
              <w:t>tarios</w:t>
            </w:r>
            <w:r w:rsidRPr="00055A98">
              <w:rPr>
                <w:sz w:val="18"/>
                <w:szCs w:val="18"/>
                <w:lang w:val="es-CO"/>
              </w:rPr>
              <w:t xml:space="preserve"> que brindan servicios similares”. Como se mencionó anteriormente, si el Instituto utiliza el mismo razonamiento que la FCC, el plazo de la Concesión debería ser de 15 años.</w:t>
            </w:r>
          </w:p>
          <w:p w14:paraId="05193F60" w14:textId="77777777" w:rsidR="00055A98" w:rsidRPr="00055A98" w:rsidRDefault="00055A98" w:rsidP="00055A98">
            <w:pPr>
              <w:pStyle w:val="Descripcin"/>
              <w:rPr>
                <w:sz w:val="18"/>
                <w:lang w:val="es-CO"/>
              </w:rPr>
            </w:pPr>
            <w:r w:rsidRPr="00055A98">
              <w:rPr>
                <w:sz w:val="18"/>
                <w:lang w:val="es-CO"/>
              </w:rPr>
              <w:t xml:space="preserve">Tabla </w:t>
            </w:r>
            <w:r w:rsidRPr="00055A98">
              <w:rPr>
                <w:noProof/>
                <w:sz w:val="18"/>
              </w:rPr>
              <w:fldChar w:fldCharType="begin"/>
            </w:r>
            <w:r w:rsidRPr="00055A98">
              <w:rPr>
                <w:noProof/>
                <w:sz w:val="18"/>
                <w:lang w:val="es-CO"/>
              </w:rPr>
              <w:instrText xml:space="preserve"> SEQ Table \* ARABIC </w:instrText>
            </w:r>
            <w:r w:rsidRPr="00055A98">
              <w:rPr>
                <w:noProof/>
                <w:sz w:val="18"/>
              </w:rPr>
              <w:fldChar w:fldCharType="separate"/>
            </w:r>
            <w:r w:rsidRPr="00055A98">
              <w:rPr>
                <w:noProof/>
                <w:sz w:val="18"/>
                <w:lang w:val="es-CO"/>
              </w:rPr>
              <w:t>4</w:t>
            </w:r>
            <w:r w:rsidRPr="00055A98">
              <w:rPr>
                <w:noProof/>
                <w:sz w:val="18"/>
              </w:rPr>
              <w:fldChar w:fldCharType="end"/>
            </w:r>
            <w:r w:rsidRPr="00055A98">
              <w:rPr>
                <w:sz w:val="18"/>
                <w:lang w:val="es-CO"/>
              </w:rPr>
              <w:t xml:space="preserve">: </w:t>
            </w:r>
            <w:r w:rsidR="00952E94" w:rsidRPr="00055A98">
              <w:rPr>
                <w:sz w:val="18"/>
                <w:lang w:val="es-CO"/>
              </w:rPr>
              <w:t>Duración</w:t>
            </w:r>
            <w:r w:rsidRPr="00055A98">
              <w:rPr>
                <w:sz w:val="18"/>
                <w:lang w:val="es-CO"/>
              </w:rPr>
              <w:t xml:space="preserve"> de las licencias de espectro en la banda de 2GHz para el uso del Componente Complementario Terrestre.</w:t>
            </w:r>
          </w:p>
          <w:tbl>
            <w:tblPr>
              <w:tblStyle w:val="Tablaconcuadrcula"/>
              <w:tblW w:w="8683" w:type="dxa"/>
              <w:tblLook w:val="04A0" w:firstRow="1" w:lastRow="0" w:firstColumn="1" w:lastColumn="0" w:noHBand="0" w:noVBand="1"/>
            </w:tblPr>
            <w:tblGrid>
              <w:gridCol w:w="2919"/>
              <w:gridCol w:w="2506"/>
              <w:gridCol w:w="3258"/>
            </w:tblGrid>
            <w:tr w:rsidR="00055A98" w:rsidRPr="00055A98" w14:paraId="1E93D69C" w14:textId="77777777" w:rsidTr="00AD26FE">
              <w:trPr>
                <w:trHeight w:val="771"/>
              </w:trPr>
              <w:tc>
                <w:tcPr>
                  <w:tcW w:w="2919" w:type="dxa"/>
                  <w:shd w:val="clear" w:color="auto" w:fill="DEEAF6" w:themeFill="accent1" w:themeFillTint="33"/>
                </w:tcPr>
                <w:p w14:paraId="34A101F8" w14:textId="77777777" w:rsidR="00055A98" w:rsidRPr="00055A98" w:rsidRDefault="00055A98" w:rsidP="002A411C">
                  <w:pPr>
                    <w:framePr w:hSpace="141" w:wrap="around" w:vAnchor="text" w:hAnchor="margin" w:y="260"/>
                    <w:spacing w:after="120"/>
                    <w:jc w:val="center"/>
                    <w:rPr>
                      <w:rFonts w:cstheme="minorHAnsi"/>
                      <w:sz w:val="18"/>
                      <w:szCs w:val="18"/>
                      <w:lang w:val="en-US"/>
                    </w:rPr>
                  </w:pPr>
                  <w:r w:rsidRPr="00055A98">
                    <w:rPr>
                      <w:rFonts w:cstheme="minorHAnsi"/>
                      <w:sz w:val="18"/>
                      <w:szCs w:val="18"/>
                      <w:lang w:val="en-US"/>
                    </w:rPr>
                    <w:t xml:space="preserve">País / </w:t>
                  </w:r>
                  <w:r w:rsidR="00952E94" w:rsidRPr="00055A98">
                    <w:rPr>
                      <w:rFonts w:cstheme="minorHAnsi"/>
                      <w:sz w:val="18"/>
                      <w:szCs w:val="18"/>
                      <w:lang w:val="en-US"/>
                    </w:rPr>
                    <w:t>Region</w:t>
                  </w:r>
                </w:p>
              </w:tc>
              <w:tc>
                <w:tcPr>
                  <w:tcW w:w="2506" w:type="dxa"/>
                  <w:shd w:val="clear" w:color="auto" w:fill="DEEAF6" w:themeFill="accent1" w:themeFillTint="33"/>
                </w:tcPr>
                <w:p w14:paraId="1FD5547F" w14:textId="77777777" w:rsidR="00055A98" w:rsidRPr="00055A98" w:rsidRDefault="00055A98" w:rsidP="002A411C">
                  <w:pPr>
                    <w:framePr w:hSpace="141" w:wrap="around" w:vAnchor="text" w:hAnchor="margin" w:y="260"/>
                    <w:spacing w:after="0"/>
                    <w:jc w:val="center"/>
                    <w:rPr>
                      <w:rFonts w:cstheme="minorHAnsi"/>
                      <w:sz w:val="18"/>
                      <w:szCs w:val="18"/>
                      <w:lang w:val="es-CO"/>
                    </w:rPr>
                  </w:pPr>
                  <w:r w:rsidRPr="00055A98">
                    <w:rPr>
                      <w:rFonts w:cstheme="minorHAnsi"/>
                      <w:sz w:val="18"/>
                      <w:szCs w:val="18"/>
                      <w:lang w:val="es-CO"/>
                    </w:rPr>
                    <w:t>Plazo de la licencia</w:t>
                  </w:r>
                </w:p>
                <w:p w14:paraId="561757F7"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(años)</w:t>
                  </w:r>
                </w:p>
              </w:tc>
              <w:tc>
                <w:tcPr>
                  <w:tcW w:w="3258" w:type="dxa"/>
                  <w:shd w:val="clear" w:color="auto" w:fill="DEEAF6" w:themeFill="accent1" w:themeFillTint="33"/>
                </w:tcPr>
                <w:p w14:paraId="589671AD" w14:textId="77777777" w:rsidR="00055A98" w:rsidRPr="00055A98" w:rsidRDefault="00952E94"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Comparación</w:t>
                  </w:r>
                  <w:r w:rsidR="00055A98" w:rsidRPr="00055A98">
                    <w:rPr>
                      <w:rFonts w:cstheme="minorHAnsi"/>
                      <w:sz w:val="18"/>
                      <w:szCs w:val="18"/>
                      <w:lang w:val="es-CO"/>
                    </w:rPr>
                    <w:t xml:space="preserve"> con el plazo propuesto por el IFT (%)</w:t>
                  </w:r>
                </w:p>
              </w:tc>
            </w:tr>
            <w:tr w:rsidR="00055A98" w:rsidRPr="00055A98" w14:paraId="61B0C0C6" w14:textId="77777777" w:rsidTr="00AD26FE">
              <w:trPr>
                <w:trHeight w:val="390"/>
              </w:trPr>
              <w:tc>
                <w:tcPr>
                  <w:tcW w:w="2919" w:type="dxa"/>
                </w:tcPr>
                <w:p w14:paraId="289CF391" w14:textId="77777777" w:rsidR="00055A98" w:rsidRPr="00055A98" w:rsidRDefault="00055A98" w:rsidP="002A411C">
                  <w:pPr>
                    <w:framePr w:hSpace="141" w:wrap="around" w:vAnchor="text" w:hAnchor="margin" w:y="260"/>
                    <w:spacing w:after="120"/>
                    <w:rPr>
                      <w:rFonts w:cstheme="minorHAnsi"/>
                      <w:sz w:val="18"/>
                      <w:szCs w:val="18"/>
                      <w:lang w:val="es-CO"/>
                    </w:rPr>
                  </w:pPr>
                  <w:r w:rsidRPr="00055A98">
                    <w:rPr>
                      <w:rFonts w:cstheme="minorHAnsi"/>
                      <w:sz w:val="18"/>
                      <w:szCs w:val="18"/>
                      <w:lang w:val="es-CO"/>
                    </w:rPr>
                    <w:t>Unión Europea</w:t>
                  </w:r>
                </w:p>
              </w:tc>
              <w:tc>
                <w:tcPr>
                  <w:tcW w:w="2506" w:type="dxa"/>
                </w:tcPr>
                <w:p w14:paraId="2838D3CD"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18</w:t>
                  </w:r>
                </w:p>
              </w:tc>
              <w:tc>
                <w:tcPr>
                  <w:tcW w:w="3258" w:type="dxa"/>
                </w:tcPr>
                <w:p w14:paraId="272215F3"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 xml:space="preserve">80% mayor </w:t>
                  </w:r>
                </w:p>
              </w:tc>
            </w:tr>
            <w:tr w:rsidR="00055A98" w:rsidRPr="00055A98" w14:paraId="01F6683B" w14:textId="77777777" w:rsidTr="00AD26FE">
              <w:trPr>
                <w:trHeight w:val="381"/>
              </w:trPr>
              <w:tc>
                <w:tcPr>
                  <w:tcW w:w="2919" w:type="dxa"/>
                </w:tcPr>
                <w:p w14:paraId="54E0604B" w14:textId="77777777" w:rsidR="00055A98" w:rsidRPr="00055A98" w:rsidRDefault="00055A98" w:rsidP="002A411C">
                  <w:pPr>
                    <w:framePr w:hSpace="141" w:wrap="around" w:vAnchor="text" w:hAnchor="margin" w:y="260"/>
                    <w:spacing w:after="120"/>
                    <w:rPr>
                      <w:rFonts w:cstheme="minorHAnsi"/>
                      <w:sz w:val="18"/>
                      <w:szCs w:val="18"/>
                      <w:lang w:val="es-CO"/>
                    </w:rPr>
                  </w:pPr>
                  <w:r w:rsidRPr="00055A98">
                    <w:rPr>
                      <w:rFonts w:cstheme="minorHAnsi"/>
                      <w:sz w:val="18"/>
                      <w:szCs w:val="18"/>
                      <w:lang w:val="es-CO"/>
                    </w:rPr>
                    <w:t>Canadá</w:t>
                  </w:r>
                </w:p>
              </w:tc>
              <w:tc>
                <w:tcPr>
                  <w:tcW w:w="2506" w:type="dxa"/>
                </w:tcPr>
                <w:p w14:paraId="3EDAFA75"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20</w:t>
                  </w:r>
                </w:p>
              </w:tc>
              <w:tc>
                <w:tcPr>
                  <w:tcW w:w="3258" w:type="dxa"/>
                </w:tcPr>
                <w:p w14:paraId="71C732D7"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100% mayor</w:t>
                  </w:r>
                </w:p>
              </w:tc>
            </w:tr>
            <w:tr w:rsidR="00055A98" w:rsidRPr="00055A98" w14:paraId="4B15E90C" w14:textId="77777777" w:rsidTr="00AD26FE">
              <w:trPr>
                <w:trHeight w:val="390"/>
              </w:trPr>
              <w:tc>
                <w:tcPr>
                  <w:tcW w:w="2919" w:type="dxa"/>
                </w:tcPr>
                <w:p w14:paraId="6509584D" w14:textId="77777777" w:rsidR="00055A98" w:rsidRPr="00055A98" w:rsidRDefault="00055A98" w:rsidP="002A411C">
                  <w:pPr>
                    <w:framePr w:hSpace="141" w:wrap="around" w:vAnchor="text" w:hAnchor="margin" w:y="260"/>
                    <w:spacing w:after="120"/>
                    <w:rPr>
                      <w:rFonts w:cstheme="minorHAnsi"/>
                      <w:sz w:val="18"/>
                      <w:szCs w:val="18"/>
                      <w:lang w:val="es-CO"/>
                    </w:rPr>
                  </w:pPr>
                  <w:r w:rsidRPr="00055A98">
                    <w:rPr>
                      <w:rFonts w:cstheme="minorHAnsi"/>
                      <w:sz w:val="18"/>
                      <w:szCs w:val="18"/>
                      <w:lang w:val="es-CO"/>
                    </w:rPr>
                    <w:t>Estados Unidos</w:t>
                  </w:r>
                </w:p>
              </w:tc>
              <w:tc>
                <w:tcPr>
                  <w:tcW w:w="2506" w:type="dxa"/>
                </w:tcPr>
                <w:p w14:paraId="328D7D02"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10</w:t>
                  </w:r>
                </w:p>
              </w:tc>
              <w:tc>
                <w:tcPr>
                  <w:tcW w:w="3258" w:type="dxa"/>
                </w:tcPr>
                <w:p w14:paraId="790189F1" w14:textId="77777777" w:rsidR="00055A98" w:rsidRPr="00055A98" w:rsidRDefault="00055A98" w:rsidP="002A411C">
                  <w:pPr>
                    <w:framePr w:hSpace="141" w:wrap="around" w:vAnchor="text" w:hAnchor="margin" w:y="260"/>
                    <w:spacing w:after="120"/>
                    <w:jc w:val="center"/>
                    <w:rPr>
                      <w:rFonts w:cstheme="minorHAnsi"/>
                      <w:sz w:val="18"/>
                      <w:szCs w:val="18"/>
                      <w:lang w:val="es-CO"/>
                    </w:rPr>
                  </w:pPr>
                  <w:r w:rsidRPr="00055A98">
                    <w:rPr>
                      <w:rFonts w:cstheme="minorHAnsi"/>
                      <w:sz w:val="18"/>
                      <w:szCs w:val="18"/>
                      <w:lang w:val="es-CO"/>
                    </w:rPr>
                    <w:t>Igual duración</w:t>
                  </w:r>
                </w:p>
              </w:tc>
            </w:tr>
          </w:tbl>
          <w:p w14:paraId="229A4D00" w14:textId="77777777" w:rsidR="00055A98" w:rsidRPr="00055A98" w:rsidRDefault="00055A98" w:rsidP="00055A98">
            <w:pPr>
              <w:rPr>
                <w:rFonts w:cstheme="minorHAnsi"/>
                <w:sz w:val="18"/>
                <w:szCs w:val="18"/>
                <w:lang w:val="es-CO"/>
              </w:rPr>
            </w:pPr>
            <w:r w:rsidRPr="00055A98">
              <w:rPr>
                <w:rFonts w:cstheme="minorHAnsi"/>
                <w:sz w:val="18"/>
                <w:szCs w:val="18"/>
                <w:lang w:val="es-CO"/>
              </w:rPr>
              <w:t xml:space="preserve">Fuente: Basado en las decisiones regulatorias. </w:t>
            </w:r>
          </w:p>
          <w:p w14:paraId="1488B219" w14:textId="77777777" w:rsidR="00055A98" w:rsidRPr="00055A98" w:rsidRDefault="00055A98" w:rsidP="00055A98">
            <w:pPr>
              <w:rPr>
                <w:sz w:val="18"/>
                <w:szCs w:val="18"/>
                <w:lang w:val="es-CO"/>
              </w:rPr>
            </w:pPr>
            <w:r w:rsidRPr="00055A98">
              <w:rPr>
                <w:sz w:val="18"/>
                <w:szCs w:val="18"/>
                <w:lang w:val="es-CO"/>
              </w:rPr>
              <w:t>Basado en lo expuesto anteriormente, Omnispace solicita respetuosamente que IFT modifique el Proyecto de Bases para ampliar el plazo de la Concesión de espectro a por lo menos 15 años.</w:t>
            </w:r>
          </w:p>
          <w:p w14:paraId="5B252C4B" w14:textId="77777777" w:rsidR="00055A98" w:rsidRPr="00491EE4" w:rsidRDefault="00055A98" w:rsidP="00055A98">
            <w:pPr>
              <w:spacing w:after="0" w:line="240" w:lineRule="auto"/>
              <w:jc w:val="both"/>
              <w:rPr>
                <w:rFonts w:ascii="ITC Avant Garde" w:eastAsia="Times New Roman" w:hAnsi="ITC Avant Garde"/>
                <w:color w:val="000000"/>
                <w:sz w:val="18"/>
                <w:szCs w:val="18"/>
                <w:lang w:eastAsia="es-MX"/>
              </w:rPr>
            </w:pPr>
            <w:r w:rsidRPr="00491EE4">
              <w:rPr>
                <w:rFonts w:ascii="ITC Avant Garde" w:eastAsia="Times New Roman" w:hAnsi="ITC Avant Garde"/>
                <w:color w:val="000000"/>
                <w:sz w:val="18"/>
                <w:szCs w:val="18"/>
                <w:lang w:eastAsia="es-MX"/>
              </w:rPr>
              <w:t>Lo anterior, sin perjuicio de los comentarios específicos sobre dicho punto contenidos en el apartado II anterior.</w:t>
            </w:r>
          </w:p>
          <w:p w14:paraId="3C211077" w14:textId="77777777" w:rsidR="00055A98" w:rsidRPr="00491EE4" w:rsidRDefault="00055A98" w:rsidP="00055A98">
            <w:pPr>
              <w:spacing w:after="0" w:line="240" w:lineRule="auto"/>
              <w:jc w:val="both"/>
              <w:rPr>
                <w:rFonts w:ascii="ITC Avant Garde" w:eastAsia="Times New Roman" w:hAnsi="ITC Avant Garde"/>
                <w:color w:val="000000"/>
                <w:sz w:val="18"/>
                <w:lang w:eastAsia="es-MX"/>
              </w:rPr>
            </w:pPr>
          </w:p>
        </w:tc>
      </w:tr>
    </w:tbl>
    <w:p w14:paraId="0EAD4CFA" w14:textId="77777777" w:rsidR="00D838EA" w:rsidRPr="00491EE4" w:rsidRDefault="00D838EA" w:rsidP="00D838EA">
      <w:pPr>
        <w:spacing w:after="0"/>
        <w:jc w:val="both"/>
        <w:rPr>
          <w:rFonts w:ascii="ITC Avant Garde" w:hAnsi="ITC Avant Garde"/>
          <w:sz w:val="18"/>
        </w:rPr>
      </w:pPr>
    </w:p>
    <w:p w14:paraId="296ED3EF" w14:textId="77777777" w:rsidR="004729CC" w:rsidRPr="008D2BB0" w:rsidRDefault="008D2BB0" w:rsidP="008D2BB0">
      <w:pPr>
        <w:spacing w:after="0"/>
        <w:jc w:val="center"/>
        <w:rPr>
          <w:rFonts w:ascii="ITC Avant Garde" w:hAnsi="ITC Avant Garde"/>
          <w:sz w:val="18"/>
        </w:rPr>
      </w:pPr>
      <w:r w:rsidRPr="008D2BB0">
        <w:rPr>
          <w:rFonts w:ascii="ITC Avant Garde" w:hAnsi="ITC Avant Garde"/>
          <w:sz w:val="18"/>
        </w:rPr>
        <w:t>*</w:t>
      </w:r>
      <w:r w:rsidRPr="008D2BB0">
        <w:rPr>
          <w:rFonts w:ascii="ITC Avant Garde" w:hAnsi="ITC Avant Garde"/>
          <w:sz w:val="18"/>
        </w:rPr>
        <w:tab/>
        <w:t>*</w:t>
      </w:r>
      <w:r w:rsidRPr="008D2BB0">
        <w:rPr>
          <w:rFonts w:ascii="ITC Avant Garde" w:hAnsi="ITC Avant Garde"/>
          <w:sz w:val="18"/>
        </w:rPr>
        <w:tab/>
        <w:t>*</w:t>
      </w:r>
    </w:p>
    <w:p w14:paraId="1BC54BBF" w14:textId="77777777" w:rsidR="0034210A" w:rsidRPr="005D0B9B" w:rsidRDefault="0034210A" w:rsidP="00DC6631">
      <w:pPr>
        <w:spacing w:after="0" w:line="240" w:lineRule="auto"/>
        <w:rPr>
          <w:rFonts w:ascii="ITC Avant Garde" w:hAnsi="ITC Avant Garde"/>
          <w:sz w:val="18"/>
        </w:rPr>
      </w:pPr>
    </w:p>
    <w:sectPr w:rsidR="0034210A" w:rsidRPr="005D0B9B" w:rsidSect="0086154B">
      <w:headerReference w:type="even" r:id="rId21"/>
      <w:headerReference w:type="default" r:id="rId22"/>
      <w:footerReference w:type="even" r:id="rId23"/>
      <w:footerReference w:type="default" r:id="rId24"/>
      <w:headerReference w:type="first" r:id="rId25"/>
      <w:footerReference w:type="first" r:id="rId2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6C1C4" w14:textId="77777777" w:rsidR="008A01C9" w:rsidRDefault="008A01C9" w:rsidP="0038199D">
      <w:pPr>
        <w:spacing w:after="0" w:line="240" w:lineRule="auto"/>
      </w:pPr>
      <w:r>
        <w:separator/>
      </w:r>
    </w:p>
  </w:endnote>
  <w:endnote w:type="continuationSeparator" w:id="0">
    <w:p w14:paraId="4883E542" w14:textId="77777777" w:rsidR="008A01C9" w:rsidRDefault="008A01C9" w:rsidP="0038199D">
      <w:pPr>
        <w:spacing w:after="0" w:line="240" w:lineRule="auto"/>
      </w:pPr>
      <w:r>
        <w:continuationSeparator/>
      </w:r>
    </w:p>
  </w:endnote>
  <w:endnote w:type="continuationNotice" w:id="1">
    <w:p w14:paraId="00193733" w14:textId="77777777" w:rsidR="008A01C9" w:rsidRDefault="008A0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ITC Avant Garde">
    <w:altName w:val="Calibri"/>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FDC1" w14:textId="77777777" w:rsidR="00970B08" w:rsidRDefault="00970B08" w:rsidP="00E278DA">
    <w:pPr>
      <w:pStyle w:val="FooterInfo"/>
    </w:pPr>
    <w:r w:rsidRPr="00A52646">
      <w:t xml:space="preserve">  </w:t>
    </w:r>
    <w:r w:rsidRPr="00E06BAC">
      <w:t xml:space="preserve">  </w:t>
    </w:r>
    <w:r w:rsidRPr="008E1FFB">
      <w:t xml:space="preserve"> </w:t>
    </w:r>
  </w:p>
  <w:p w14:paraId="6F7C98EC" w14:textId="77777777" w:rsidR="00970B08" w:rsidRPr="00E06BAC" w:rsidRDefault="00970B08" w:rsidP="00E06BAC">
    <w:pPr>
      <w:pStyle w:val="FooterInfo"/>
    </w:pPr>
    <w:r>
      <w:fldChar w:fldCharType="begin"/>
    </w:r>
    <w:r w:rsidRPr="00E06BAC">
      <w:rPr>
        <w:sz w:val="12"/>
      </w:rPr>
      <w:instrText xml:space="preserve"> MACROBUTTON DocID  </w:instrText>
    </w:r>
    <w:r>
      <w:fldChar w:fldCharType="end"/>
    </w:r>
    <w:r w:rsidRPr="00E06BA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729A" w14:textId="77777777" w:rsidR="00970B08" w:rsidRDefault="00970B08" w:rsidP="00A52646">
    <w:pPr>
      <w:tabs>
        <w:tab w:val="center" w:pos="4550"/>
        <w:tab w:val="left" w:pos="5818"/>
      </w:tabs>
      <w:ind w:right="260"/>
      <w:jc w:val="right"/>
      <w:rPr>
        <w:rFonts w:ascii="ITC Avant Garde" w:hAnsi="ITC Avant Garde"/>
        <w:color w:val="323E4F"/>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Pr="00F61CFB">
      <w:rPr>
        <w:rFonts w:ascii="ITC Avant Garde" w:hAnsi="ITC Avant Garde"/>
        <w:noProof/>
        <w:color w:val="323E4F"/>
        <w:sz w:val="14"/>
        <w:szCs w:val="24"/>
        <w:lang w:val="es-ES"/>
      </w:rPr>
      <w:t>37</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Pr="00F61CFB">
      <w:rPr>
        <w:rFonts w:ascii="ITC Avant Garde" w:hAnsi="ITC Avant Garde"/>
        <w:noProof/>
        <w:color w:val="323E4F"/>
        <w:sz w:val="14"/>
        <w:szCs w:val="24"/>
        <w:lang w:val="es-ES"/>
      </w:rPr>
      <w:t>38</w:t>
    </w:r>
    <w:r w:rsidRPr="00DF5B3F">
      <w:rPr>
        <w:rFonts w:ascii="ITC Avant Garde" w:hAnsi="ITC Avant Garde"/>
        <w:color w:val="323E4F"/>
        <w:sz w:val="14"/>
        <w:szCs w:val="24"/>
      </w:rPr>
      <w:fldChar w:fldCharType="end"/>
    </w:r>
  </w:p>
  <w:p w14:paraId="45C32AC1" w14:textId="77777777" w:rsidR="00970B08" w:rsidRPr="00A52646" w:rsidRDefault="00970B08" w:rsidP="00E06BAC">
    <w:pPr>
      <w:pStyle w:val="FooterInfo"/>
    </w:pPr>
    <w:r>
      <w:fldChar w:fldCharType="begin"/>
    </w:r>
    <w:r w:rsidRPr="00E06BAC">
      <w:rPr>
        <w:sz w:val="12"/>
      </w:rPr>
      <w:instrText xml:space="preserve"> MACROBUTTON DocID  </w:instrText>
    </w:r>
    <w:r>
      <w:fldChar w:fldCharType="end"/>
    </w:r>
    <w:r w:rsidRPr="00E06BA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3C07" w14:textId="77777777" w:rsidR="00970B08" w:rsidRDefault="00970B08" w:rsidP="00E278DA">
    <w:pPr>
      <w:pStyle w:val="FooterInfo"/>
    </w:pPr>
    <w:r w:rsidRPr="00A52646">
      <w:t xml:space="preserve">  </w:t>
    </w:r>
    <w:r w:rsidRPr="00E06BAC">
      <w:t xml:space="preserve">  </w:t>
    </w:r>
    <w:r w:rsidRPr="008E1FFB">
      <w:t xml:space="preserve"> </w:t>
    </w:r>
  </w:p>
  <w:p w14:paraId="2336C351" w14:textId="77777777" w:rsidR="00970B08" w:rsidRPr="00E06BAC" w:rsidRDefault="00970B08" w:rsidP="00E06BAC">
    <w:pPr>
      <w:pStyle w:val="FooterInfo"/>
    </w:pPr>
    <w:r>
      <w:fldChar w:fldCharType="begin"/>
    </w:r>
    <w:r w:rsidRPr="00E06BAC">
      <w:rPr>
        <w:sz w:val="12"/>
      </w:rPr>
      <w:instrText xml:space="preserve"> MACROBUTTON DocID  </w:instrText>
    </w:r>
    <w:r>
      <w:fldChar w:fldCharType="end"/>
    </w:r>
    <w:r w:rsidRPr="00E06BA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CBE67" w14:textId="77777777" w:rsidR="008A01C9" w:rsidRDefault="008A01C9" w:rsidP="0038199D">
      <w:pPr>
        <w:spacing w:after="0" w:line="240" w:lineRule="auto"/>
      </w:pPr>
      <w:r>
        <w:separator/>
      </w:r>
    </w:p>
  </w:footnote>
  <w:footnote w:type="continuationSeparator" w:id="0">
    <w:p w14:paraId="06E5B46C" w14:textId="77777777" w:rsidR="008A01C9" w:rsidRDefault="008A01C9" w:rsidP="0038199D">
      <w:pPr>
        <w:spacing w:after="0" w:line="240" w:lineRule="auto"/>
      </w:pPr>
      <w:r>
        <w:continuationSeparator/>
      </w:r>
    </w:p>
  </w:footnote>
  <w:footnote w:type="continuationNotice" w:id="1">
    <w:p w14:paraId="08096178" w14:textId="77777777" w:rsidR="008A01C9" w:rsidRDefault="008A01C9">
      <w:pPr>
        <w:spacing w:after="0" w:line="240" w:lineRule="auto"/>
      </w:pPr>
    </w:p>
  </w:footnote>
  <w:footnote w:id="2">
    <w:p w14:paraId="454FB611" w14:textId="77777777" w:rsidR="00970B08" w:rsidRPr="005E6515" w:rsidRDefault="00970B08" w:rsidP="005E6515">
      <w:pPr>
        <w:pStyle w:val="Textonotapie"/>
        <w:spacing w:after="60"/>
        <w:rPr>
          <w:rStyle w:val="Hipervnculo"/>
          <w:sz w:val="18"/>
          <w:szCs w:val="18"/>
          <w:lang w:val="es-CO" w:eastAsia="ja-JP"/>
        </w:rPr>
      </w:pPr>
      <w:r w:rsidRPr="005E6515">
        <w:rPr>
          <w:rStyle w:val="Refdenotaalpie"/>
          <w:sz w:val="18"/>
          <w:szCs w:val="18"/>
        </w:rPr>
        <w:footnoteRef/>
      </w:r>
      <w:r w:rsidRPr="005E6515">
        <w:rPr>
          <w:sz w:val="18"/>
          <w:szCs w:val="18"/>
          <w:lang w:val="es-CO"/>
        </w:rPr>
        <w:t xml:space="preserve"> Ver UIT-R WP5D. </w:t>
      </w:r>
      <w:r w:rsidRPr="005E6515">
        <w:rPr>
          <w:sz w:val="18"/>
          <w:szCs w:val="18"/>
          <w:lang w:val="es-CO" w:eastAsia="ja-JP"/>
        </w:rPr>
        <w:t>Documento de trabajo previo al anteproyecto [de la nueva Recomendación o del nuevo Informe] UIT-R M.[MSS&amp;IMT</w:t>
      </w:r>
      <w:r w:rsidRPr="005E6515">
        <w:rPr>
          <w:sz w:val="18"/>
          <w:szCs w:val="18"/>
          <w:lang w:val="es-CO" w:eastAsia="ja-JP"/>
        </w:rPr>
        <w:noBreakHyphen/>
        <w:t xml:space="preserve">ADVANCED SHARING] Anexo 4.7. Disponible en: </w:t>
      </w:r>
      <w:hyperlink r:id="rId1" w:history="1">
        <w:r w:rsidRPr="005E6515">
          <w:rPr>
            <w:rStyle w:val="Hipervnculo"/>
            <w:sz w:val="18"/>
            <w:szCs w:val="18"/>
            <w:lang w:val="es-CO" w:eastAsia="ja-JP"/>
          </w:rPr>
          <w:t>https://www.itu.int/dms_ties/itu-r/md/15/wp5d/c/R15-WP5D-C-1110!H04!MSW-E.docx</w:t>
        </w:r>
      </w:hyperlink>
      <w:r w:rsidRPr="005E6515">
        <w:rPr>
          <w:rStyle w:val="Hipervnculo"/>
          <w:sz w:val="18"/>
          <w:szCs w:val="18"/>
          <w:lang w:val="es-CO" w:eastAsia="ja-JP"/>
        </w:rPr>
        <w:t xml:space="preserve">. </w:t>
      </w:r>
    </w:p>
    <w:p w14:paraId="1E088285" w14:textId="77777777" w:rsidR="00970B08" w:rsidRPr="005E6515" w:rsidRDefault="00970B08" w:rsidP="005E6515">
      <w:pPr>
        <w:pStyle w:val="Textonotapie"/>
        <w:spacing w:after="60"/>
        <w:rPr>
          <w:sz w:val="18"/>
          <w:szCs w:val="18"/>
          <w:lang w:val="es-CO"/>
        </w:rPr>
      </w:pPr>
      <w:r w:rsidRPr="005E6515">
        <w:rPr>
          <w:sz w:val="18"/>
          <w:szCs w:val="18"/>
          <w:lang w:val="es-CO"/>
        </w:rPr>
        <w:t xml:space="preserve">Ver también la sección 2/9.1.1/3 del borrador de informe para la preparación de la conferencia mundial de radiocomunicaciones. Disponible en: </w:t>
      </w:r>
      <w:hyperlink r:id="rId2" w:history="1">
        <w:r w:rsidRPr="005E6515">
          <w:rPr>
            <w:rStyle w:val="Hipervnculo"/>
            <w:sz w:val="18"/>
            <w:szCs w:val="18"/>
            <w:lang w:val="es-CO"/>
          </w:rPr>
          <w:t>https://www.itu.int/md/R15-CPM19.02-C-0001/en</w:t>
        </w:r>
      </w:hyperlink>
    </w:p>
  </w:footnote>
  <w:footnote w:id="3">
    <w:p w14:paraId="4783E1B6" w14:textId="77777777" w:rsidR="00970B08" w:rsidRPr="005E6515" w:rsidRDefault="00970B08" w:rsidP="005E6515">
      <w:pPr>
        <w:pStyle w:val="Textonotapie"/>
        <w:spacing w:after="60"/>
        <w:rPr>
          <w:sz w:val="18"/>
          <w:szCs w:val="18"/>
          <w:lang w:val="es-CO"/>
        </w:rPr>
      </w:pPr>
      <w:r w:rsidRPr="005E6515">
        <w:rPr>
          <w:rStyle w:val="Refdenotaalpie"/>
          <w:sz w:val="18"/>
          <w:szCs w:val="18"/>
        </w:rPr>
        <w:footnoteRef/>
      </w:r>
      <w:r w:rsidRPr="005E6515">
        <w:rPr>
          <w:sz w:val="18"/>
          <w:szCs w:val="18"/>
          <w:lang w:val="es-CO"/>
        </w:rPr>
        <w:t xml:space="preserve"> Ver sección 9 del documento disponible en: </w:t>
      </w:r>
      <w:hyperlink r:id="rId3" w:history="1">
        <w:r w:rsidRPr="005E6515">
          <w:rPr>
            <w:rStyle w:val="Hipervnculo"/>
            <w:sz w:val="18"/>
            <w:szCs w:val="18"/>
            <w:lang w:val="es-CO"/>
          </w:rPr>
          <w:t>https://www.etsi.org/deliver/etsi_ts/125100_125199/125106/12.01.00_60/ts_125106v120100p.pdf</w:t>
        </w:r>
      </w:hyperlink>
    </w:p>
  </w:footnote>
  <w:footnote w:id="4">
    <w:p w14:paraId="2976E234" w14:textId="77777777" w:rsidR="00970B08" w:rsidRPr="005E6515" w:rsidRDefault="00970B08" w:rsidP="005E6515">
      <w:pPr>
        <w:pStyle w:val="Textonotapie"/>
        <w:spacing w:after="60"/>
        <w:rPr>
          <w:sz w:val="18"/>
          <w:szCs w:val="18"/>
          <w:lang w:val="es-CO"/>
        </w:rPr>
      </w:pPr>
      <w:r w:rsidRPr="005E6515">
        <w:rPr>
          <w:rStyle w:val="Refdenotaalpie"/>
          <w:sz w:val="18"/>
          <w:szCs w:val="18"/>
        </w:rPr>
        <w:footnoteRef/>
      </w:r>
      <w:r w:rsidRPr="005E6515">
        <w:rPr>
          <w:sz w:val="18"/>
          <w:szCs w:val="18"/>
          <w:lang w:val="es-CO"/>
        </w:rPr>
        <w:t xml:space="preserve"> Ver documento disponible en: </w:t>
      </w:r>
      <w:hyperlink r:id="rId4" w:history="1">
        <w:r w:rsidRPr="005E6515">
          <w:rPr>
            <w:rStyle w:val="Hipervnculo"/>
            <w:sz w:val="18"/>
            <w:szCs w:val="18"/>
            <w:lang w:val="es-CO"/>
          </w:rPr>
          <w:t>https://www.itu.int/rec/R-REC-M.1580-5-201402-I/es</w:t>
        </w:r>
      </w:hyperlink>
    </w:p>
  </w:footnote>
  <w:footnote w:id="5">
    <w:p w14:paraId="50D0AB9F" w14:textId="77777777" w:rsidR="00970B08" w:rsidRPr="005E6515" w:rsidRDefault="00970B08" w:rsidP="005E6515">
      <w:pPr>
        <w:pStyle w:val="Textonotapie"/>
        <w:spacing w:after="60"/>
        <w:rPr>
          <w:sz w:val="18"/>
          <w:szCs w:val="18"/>
          <w:lang w:val="es-CO"/>
        </w:rPr>
      </w:pPr>
      <w:r w:rsidRPr="005E6515">
        <w:rPr>
          <w:rStyle w:val="Refdenotaalpie"/>
          <w:sz w:val="18"/>
          <w:szCs w:val="18"/>
        </w:rPr>
        <w:footnoteRef/>
      </w:r>
      <w:r w:rsidRPr="005E6515">
        <w:rPr>
          <w:sz w:val="18"/>
          <w:szCs w:val="18"/>
          <w:lang w:val="es-CO"/>
        </w:rPr>
        <w:t xml:space="preserve"> Ver UIT-R </w:t>
      </w:r>
      <w:r w:rsidRPr="005E6515">
        <w:rPr>
          <w:sz w:val="18"/>
          <w:szCs w:val="18"/>
          <w:lang w:val="es-CO" w:eastAsia="ja-JP"/>
        </w:rPr>
        <w:t>Documento de trabajo previo al anteproyecto [de la nueva Recomendación o del nuevo Informe] UIT-R M. [MSS&amp;IMT</w:t>
      </w:r>
      <w:r w:rsidRPr="005E6515">
        <w:rPr>
          <w:sz w:val="18"/>
          <w:szCs w:val="18"/>
          <w:lang w:val="es-CO" w:eastAsia="ja-JP"/>
        </w:rPr>
        <w:noBreakHyphen/>
        <w:t xml:space="preserve">ADVANCED SHARING] Anexo 4.7. Disponible en: </w:t>
      </w:r>
      <w:hyperlink r:id="rId5" w:history="1">
        <w:r w:rsidRPr="005E6515">
          <w:rPr>
            <w:rStyle w:val="Hipervnculo"/>
            <w:sz w:val="18"/>
            <w:szCs w:val="18"/>
            <w:lang w:val="es-CO" w:eastAsia="ja-JP"/>
          </w:rPr>
          <w:t>https://www.itu.int/dms_ties/itu-r/md/15/wp5d/c/R15-WP5D-C-1110!H04!MSW-E.docx</w:t>
        </w:r>
      </w:hyperlink>
    </w:p>
  </w:footnote>
  <w:footnote w:id="6">
    <w:p w14:paraId="7054DE95" w14:textId="77777777" w:rsidR="00970B08" w:rsidRPr="005E6515" w:rsidRDefault="00970B08" w:rsidP="005E6515">
      <w:pPr>
        <w:pStyle w:val="Textonotapie"/>
        <w:spacing w:after="60"/>
        <w:rPr>
          <w:sz w:val="18"/>
          <w:szCs w:val="18"/>
        </w:rPr>
      </w:pPr>
      <w:r w:rsidRPr="005E6515">
        <w:rPr>
          <w:rStyle w:val="Refdenotaalpie"/>
          <w:sz w:val="18"/>
          <w:szCs w:val="18"/>
        </w:rPr>
        <w:footnoteRef/>
      </w:r>
      <w:r w:rsidRPr="005E6515">
        <w:rPr>
          <w:sz w:val="18"/>
          <w:szCs w:val="18"/>
        </w:rPr>
        <w:t xml:space="preserve"> Ídem.</w:t>
      </w:r>
    </w:p>
  </w:footnote>
  <w:footnote w:id="7">
    <w:p w14:paraId="02EBE295" w14:textId="77777777" w:rsidR="00970B08" w:rsidRPr="005E6515" w:rsidRDefault="00970B08" w:rsidP="005E6515">
      <w:pPr>
        <w:pStyle w:val="Textonotapie"/>
        <w:spacing w:after="60"/>
        <w:rPr>
          <w:sz w:val="18"/>
          <w:szCs w:val="18"/>
          <w:lang w:val="es-CO"/>
        </w:rPr>
      </w:pPr>
      <w:r w:rsidRPr="005E6515">
        <w:rPr>
          <w:rStyle w:val="Refdenotaalpie"/>
          <w:sz w:val="18"/>
          <w:szCs w:val="18"/>
        </w:rPr>
        <w:footnoteRef/>
      </w:r>
      <w:r w:rsidRPr="005E6515">
        <w:rPr>
          <w:sz w:val="18"/>
          <w:szCs w:val="18"/>
          <w:lang w:val="es-CO"/>
        </w:rPr>
        <w:t xml:space="preserve"> </w:t>
      </w:r>
      <w:r w:rsidRPr="005E6515">
        <w:rPr>
          <w:sz w:val="18"/>
          <w:szCs w:val="18"/>
        </w:rPr>
        <w:t xml:space="preserve">Ver Licitación No. IFT-9, </w:t>
      </w:r>
      <w:r w:rsidRPr="005E6515">
        <w:rPr>
          <w:rFonts w:eastAsia="Times New Roman"/>
          <w:color w:val="000000"/>
          <w:sz w:val="18"/>
          <w:szCs w:val="18"/>
          <w:lang w:eastAsia="es-MX"/>
        </w:rPr>
        <w:t>Apéndice A, Anexo 7.</w:t>
      </w:r>
    </w:p>
  </w:footnote>
  <w:footnote w:id="8">
    <w:p w14:paraId="2E6029B3" w14:textId="77777777" w:rsidR="00970B08" w:rsidRPr="005E6515" w:rsidRDefault="00970B08" w:rsidP="005E6515">
      <w:pPr>
        <w:pStyle w:val="Textonotapie"/>
        <w:spacing w:after="60"/>
        <w:rPr>
          <w:sz w:val="18"/>
          <w:szCs w:val="18"/>
        </w:rPr>
      </w:pPr>
      <w:r w:rsidRPr="005E6515">
        <w:rPr>
          <w:rStyle w:val="Refdenotaalpie"/>
          <w:sz w:val="18"/>
          <w:szCs w:val="18"/>
        </w:rPr>
        <w:footnoteRef/>
      </w:r>
      <w:r w:rsidRPr="005E6515">
        <w:rPr>
          <w:sz w:val="18"/>
          <w:szCs w:val="18"/>
        </w:rPr>
        <w:t xml:space="preserve"> Autorización IFT/223/UCS/AUT-SAT-EXT-005/2015, disponible en </w:t>
      </w:r>
      <w:hyperlink r:id="rId6" w:history="1">
        <w:r w:rsidRPr="005E6515">
          <w:rPr>
            <w:rStyle w:val="Hipervnculo"/>
            <w:sz w:val="18"/>
            <w:szCs w:val="18"/>
          </w:rPr>
          <w:t>http://rpc.ift.org.mx/rpc/pdfs/85827_180212165705_8003.pdf</w:t>
        </w:r>
      </w:hyperlink>
      <w:r w:rsidRPr="005E6515">
        <w:rPr>
          <w:sz w:val="18"/>
          <w:szCs w:val="18"/>
        </w:rPr>
        <w:t xml:space="preserve"> </w:t>
      </w:r>
    </w:p>
  </w:footnote>
  <w:footnote w:id="9">
    <w:p w14:paraId="3A2C7B04" w14:textId="77777777" w:rsidR="00970B08" w:rsidRPr="005E6515" w:rsidRDefault="00970B08" w:rsidP="005E6515">
      <w:pPr>
        <w:pStyle w:val="Textonotapie"/>
        <w:spacing w:after="60"/>
        <w:rPr>
          <w:sz w:val="18"/>
          <w:szCs w:val="18"/>
          <w:lang w:val="es-CO"/>
        </w:rPr>
      </w:pPr>
      <w:r w:rsidRPr="005E6515">
        <w:rPr>
          <w:rStyle w:val="Refdenotaalpie"/>
          <w:sz w:val="18"/>
          <w:szCs w:val="18"/>
        </w:rPr>
        <w:footnoteRef/>
      </w:r>
      <w:r w:rsidRPr="005E6515">
        <w:rPr>
          <w:sz w:val="18"/>
          <w:szCs w:val="18"/>
          <w:lang w:val="es-CO"/>
        </w:rPr>
        <w:t xml:space="preserve"> Es decir, una entidad sin un Vínculo con alguno de los Autorizados.</w:t>
      </w:r>
    </w:p>
  </w:footnote>
  <w:footnote w:id="10">
    <w:p w14:paraId="577821C4" w14:textId="77777777" w:rsidR="00970B08" w:rsidRPr="005E6515" w:rsidRDefault="00970B08" w:rsidP="005E6515">
      <w:pPr>
        <w:pStyle w:val="Textonotapie"/>
        <w:spacing w:after="60"/>
        <w:rPr>
          <w:sz w:val="18"/>
          <w:szCs w:val="18"/>
          <w:lang w:val="es-CO"/>
        </w:rPr>
      </w:pPr>
      <w:r w:rsidRPr="005E6515">
        <w:rPr>
          <w:rStyle w:val="Refdenotaalpie"/>
          <w:sz w:val="18"/>
          <w:szCs w:val="18"/>
        </w:rPr>
        <w:footnoteRef/>
      </w:r>
      <w:r w:rsidRPr="005E6515">
        <w:rPr>
          <w:sz w:val="18"/>
          <w:szCs w:val="18"/>
          <w:lang w:val="es-CO"/>
        </w:rPr>
        <w:t xml:space="preserve"> Artículo 78 de la LFTR.</w:t>
      </w:r>
    </w:p>
  </w:footnote>
  <w:footnote w:id="11">
    <w:p w14:paraId="36B449D3" w14:textId="77777777" w:rsidR="00970B08" w:rsidRPr="005E6515" w:rsidRDefault="00970B08" w:rsidP="005E6515">
      <w:pPr>
        <w:pStyle w:val="Textonotapie"/>
        <w:spacing w:after="60"/>
        <w:rPr>
          <w:sz w:val="18"/>
          <w:szCs w:val="18"/>
          <w:lang w:val="es-CO"/>
        </w:rPr>
      </w:pPr>
      <w:r w:rsidRPr="005E6515">
        <w:rPr>
          <w:rStyle w:val="Refdenotaalpie"/>
          <w:sz w:val="18"/>
          <w:szCs w:val="18"/>
        </w:rPr>
        <w:footnoteRef/>
      </w:r>
      <w:r w:rsidRPr="005E6515">
        <w:rPr>
          <w:sz w:val="18"/>
          <w:szCs w:val="18"/>
          <w:lang w:val="es-CO"/>
        </w:rPr>
        <w:t xml:space="preserve"> Artículo 79, III de la LFTR.</w:t>
      </w:r>
    </w:p>
  </w:footnote>
  <w:footnote w:id="12">
    <w:p w14:paraId="3D80F387" w14:textId="77777777" w:rsidR="00970B08" w:rsidRPr="005E6515" w:rsidRDefault="00970B08" w:rsidP="005E6515">
      <w:pPr>
        <w:pStyle w:val="Textonotapie"/>
        <w:spacing w:after="60"/>
        <w:rPr>
          <w:sz w:val="18"/>
          <w:szCs w:val="18"/>
          <w:lang w:val="en-US"/>
        </w:rPr>
      </w:pPr>
      <w:r w:rsidRPr="005E6515">
        <w:rPr>
          <w:rStyle w:val="Refdenotaalpie"/>
          <w:sz w:val="18"/>
          <w:szCs w:val="18"/>
        </w:rPr>
        <w:footnoteRef/>
      </w:r>
      <w:r w:rsidRPr="005E6515">
        <w:rPr>
          <w:sz w:val="18"/>
          <w:szCs w:val="18"/>
          <w:lang w:val="en-US"/>
        </w:rPr>
        <w:t xml:space="preserve"> Proyecto de Bases, Numeral 4.1.</w:t>
      </w:r>
    </w:p>
  </w:footnote>
  <w:footnote w:id="13">
    <w:p w14:paraId="170B4DA6" w14:textId="77777777" w:rsidR="00970B08" w:rsidRPr="005E6515" w:rsidRDefault="00970B08" w:rsidP="005E6515">
      <w:pPr>
        <w:pStyle w:val="Textonotapie"/>
        <w:spacing w:after="60"/>
        <w:rPr>
          <w:sz w:val="18"/>
          <w:szCs w:val="18"/>
          <w:lang w:val="en-US"/>
        </w:rPr>
      </w:pPr>
      <w:r w:rsidRPr="005E6515">
        <w:rPr>
          <w:rStyle w:val="Refdenotaalpie"/>
          <w:sz w:val="18"/>
          <w:szCs w:val="18"/>
        </w:rPr>
        <w:footnoteRef/>
      </w:r>
      <w:r w:rsidRPr="005E6515">
        <w:rPr>
          <w:rFonts w:cs="Arial"/>
          <w:sz w:val="18"/>
          <w:szCs w:val="18"/>
          <w:lang w:val="en-US"/>
        </w:rPr>
        <w:t xml:space="preserve"> </w:t>
      </w:r>
      <w:r w:rsidRPr="005E6515">
        <w:rPr>
          <w:i/>
          <w:sz w:val="18"/>
          <w:szCs w:val="18"/>
          <w:lang w:val="en-US"/>
        </w:rPr>
        <w:t>Ver UIT</w:t>
      </w:r>
      <w:r w:rsidRPr="005E6515">
        <w:rPr>
          <w:sz w:val="18"/>
          <w:szCs w:val="18"/>
          <w:lang w:val="en-US"/>
        </w:rPr>
        <w:t xml:space="preserve">, ITU-R Report M.2041, Sharing and adjacent band compatibility in the 2.5 GHz band between the terrestrial and the satellite components of IMT-2000 (2003); </w:t>
      </w:r>
      <w:r w:rsidRPr="005E6515">
        <w:rPr>
          <w:i/>
          <w:sz w:val="18"/>
          <w:szCs w:val="18"/>
          <w:lang w:val="en-US"/>
        </w:rPr>
        <w:t>ver también</w:t>
      </w:r>
      <w:r w:rsidRPr="005E6515">
        <w:rPr>
          <w:sz w:val="18"/>
          <w:szCs w:val="18"/>
          <w:lang w:val="en-US"/>
        </w:rPr>
        <w:t xml:space="preserve"> Electronic Communications Committee (ECC) Report 45, Sharing adjacent band compatibility between UMST/IMT-2000 in the band 2500-2690 and other services (Feb. 2004).</w:t>
      </w:r>
    </w:p>
  </w:footnote>
  <w:footnote w:id="14">
    <w:p w14:paraId="27AE9759" w14:textId="77777777" w:rsidR="00970B08" w:rsidRPr="005E6515" w:rsidRDefault="00970B08" w:rsidP="005E6515">
      <w:pPr>
        <w:spacing w:after="60"/>
        <w:rPr>
          <w:sz w:val="18"/>
          <w:szCs w:val="18"/>
          <w:lang w:val="es-CO"/>
        </w:rPr>
      </w:pPr>
      <w:r w:rsidRPr="005E6515">
        <w:rPr>
          <w:rStyle w:val="Refdenotaalpie"/>
          <w:sz w:val="18"/>
          <w:szCs w:val="18"/>
        </w:rPr>
        <w:footnoteRef/>
      </w:r>
      <w:r w:rsidRPr="005E6515">
        <w:rPr>
          <w:sz w:val="18"/>
          <w:szCs w:val="18"/>
          <w:lang w:val="en-US"/>
        </w:rPr>
        <w:t xml:space="preserve"> </w:t>
      </w:r>
      <w:r w:rsidRPr="005E6515">
        <w:rPr>
          <w:i/>
          <w:sz w:val="18"/>
          <w:szCs w:val="18"/>
          <w:lang w:val="en-US"/>
        </w:rPr>
        <w:t xml:space="preserve">Ver </w:t>
      </w:r>
      <w:r w:rsidRPr="005E6515">
        <w:rPr>
          <w:sz w:val="18"/>
          <w:szCs w:val="18"/>
          <w:lang w:val="en-US"/>
        </w:rPr>
        <w:t xml:space="preserve">Service Rules for Advanced Wireless Services in the 2000-2020 MHz and 2180-2200 MHz Bands, WT Docket No. 12-70, </w:t>
      </w:r>
      <w:r w:rsidRPr="005E6515">
        <w:rPr>
          <w:i/>
          <w:sz w:val="18"/>
          <w:szCs w:val="18"/>
          <w:lang w:val="en-US"/>
        </w:rPr>
        <w:t>Report and Order and Order of Proposed Modification</w:t>
      </w:r>
      <w:r w:rsidRPr="005E6515">
        <w:rPr>
          <w:sz w:val="18"/>
          <w:szCs w:val="18"/>
          <w:lang w:val="en-US"/>
        </w:rPr>
        <w:t xml:space="preserve">, ¶ 169 (2012), </w:t>
      </w:r>
      <w:r w:rsidRPr="005E6515">
        <w:rPr>
          <w:i/>
          <w:sz w:val="18"/>
          <w:szCs w:val="18"/>
          <w:lang w:val="en-US"/>
        </w:rPr>
        <w:t>disponible e</w:t>
      </w:r>
      <w:r w:rsidRPr="005E6515">
        <w:rPr>
          <w:sz w:val="18"/>
          <w:szCs w:val="18"/>
          <w:lang w:val="en-US"/>
        </w:rPr>
        <w:t xml:space="preserve">n </w:t>
      </w:r>
      <w:hyperlink r:id="rId7" w:history="1">
        <w:r w:rsidRPr="005E6515">
          <w:rPr>
            <w:rStyle w:val="Hipervnculo"/>
            <w:sz w:val="18"/>
            <w:szCs w:val="18"/>
            <w:lang w:val="en-US"/>
          </w:rPr>
          <w:t>https://www.fcc.gov/document/aws-2000-20202180-2200-mhz-aws-4-order-adopted</w:t>
        </w:r>
      </w:hyperlink>
      <w:r w:rsidRPr="005E6515">
        <w:rPr>
          <w:sz w:val="18"/>
          <w:szCs w:val="18"/>
          <w:lang w:val="en-US"/>
        </w:rPr>
        <w:t xml:space="preserve">. </w:t>
      </w:r>
      <w:r w:rsidRPr="005E6515">
        <w:rPr>
          <w:sz w:val="18"/>
          <w:szCs w:val="18"/>
          <w:lang w:val="es-CO"/>
        </w:rPr>
        <w:t>[Indicando que “un escenario de compartición generalmente no es práctico en este momento y afectaría de manera inapropiada los derechos de los titulares de autorizaciones de SMS existentes.”]</w:t>
      </w:r>
    </w:p>
  </w:footnote>
  <w:footnote w:id="15">
    <w:p w14:paraId="6FF0F417" w14:textId="77777777" w:rsidR="00970B08" w:rsidRPr="005E6515" w:rsidRDefault="00970B08" w:rsidP="005E6515">
      <w:pPr>
        <w:pStyle w:val="Textonotapie"/>
        <w:spacing w:after="60"/>
        <w:rPr>
          <w:sz w:val="18"/>
          <w:szCs w:val="18"/>
          <w:lang w:val="es-CO"/>
        </w:rPr>
      </w:pPr>
      <w:r w:rsidRPr="005E6515">
        <w:rPr>
          <w:rStyle w:val="Refdenotaalpie"/>
          <w:sz w:val="18"/>
          <w:szCs w:val="18"/>
        </w:rPr>
        <w:footnoteRef/>
      </w:r>
      <w:r w:rsidRPr="005E6515">
        <w:rPr>
          <w:sz w:val="18"/>
          <w:szCs w:val="18"/>
          <w:lang w:val="es-CO"/>
        </w:rPr>
        <w:t xml:space="preserve"> </w:t>
      </w:r>
      <w:r w:rsidRPr="005E6515">
        <w:rPr>
          <w:i/>
          <w:sz w:val="18"/>
          <w:szCs w:val="18"/>
          <w:lang w:val="es-CO"/>
        </w:rPr>
        <w:t xml:space="preserve">Ver </w:t>
      </w:r>
      <w:r w:rsidRPr="005E6515">
        <w:rPr>
          <w:sz w:val="18"/>
          <w:szCs w:val="18"/>
          <w:lang w:val="es-CO"/>
        </w:rPr>
        <w:t xml:space="preserve">Commission Decision No. 2007/98/EC del 14 de febrero de 2007 sobre el uso armonizado de espectro en la banda de 2 GHz  para la implementación de sistemas que prestan servicios móviles satelitales, Recital 9, disponible en </w:t>
      </w:r>
      <w:hyperlink r:id="rId8" w:history="1">
        <w:r w:rsidRPr="005E6515">
          <w:rPr>
            <w:rStyle w:val="Hipervnculo"/>
            <w:sz w:val="18"/>
            <w:szCs w:val="18"/>
            <w:lang w:val="es-CO"/>
          </w:rPr>
          <w:t>https://eur-lex.europa.eu/legal-content/EN/TXT/?uri=CELEX%3A32007D0098</w:t>
        </w:r>
      </w:hyperlink>
      <w:r w:rsidRPr="005E6515">
        <w:rPr>
          <w:sz w:val="18"/>
          <w:szCs w:val="18"/>
          <w:lang w:val="es-CO"/>
        </w:rPr>
        <w:t>. [Afirmando que “la coexistencia de sistemas capaces de proporcionar SMS y sistemas que brindan servicios móviles solo terrestres en el mismo espectro en las bandas de 2 GHz sin interferencia perjudicial no es factible en la misma área geográfica”].</w:t>
      </w:r>
    </w:p>
  </w:footnote>
  <w:footnote w:id="16">
    <w:p w14:paraId="09D1107E" w14:textId="77777777" w:rsidR="00970B08" w:rsidRPr="005E6515" w:rsidRDefault="00970B08" w:rsidP="005E6515">
      <w:pPr>
        <w:pStyle w:val="Textonotapie"/>
        <w:spacing w:after="60"/>
        <w:rPr>
          <w:sz w:val="18"/>
          <w:szCs w:val="18"/>
          <w:lang w:val="es-CO"/>
        </w:rPr>
      </w:pPr>
      <w:r w:rsidRPr="005E6515">
        <w:rPr>
          <w:rStyle w:val="Refdenotaalpie"/>
          <w:sz w:val="18"/>
          <w:szCs w:val="18"/>
        </w:rPr>
        <w:footnoteRef/>
      </w:r>
      <w:r w:rsidRPr="005E6515">
        <w:rPr>
          <w:sz w:val="18"/>
          <w:szCs w:val="18"/>
          <w:lang w:val="es-CO"/>
        </w:rPr>
        <w:t xml:space="preserve"> Estamos ajustando el ancho de banda y el plazo de la concesión para reflejar las condiciones específicas propuestas por el IFT el Proyecto de Bases. </w:t>
      </w:r>
    </w:p>
  </w:footnote>
  <w:footnote w:id="17">
    <w:p w14:paraId="3472683F" w14:textId="77777777" w:rsidR="00970B08" w:rsidRPr="005E6515" w:rsidRDefault="00970B08" w:rsidP="005E6515">
      <w:pPr>
        <w:spacing w:after="60"/>
        <w:rPr>
          <w:rFonts w:cstheme="minorHAnsi"/>
          <w:sz w:val="18"/>
          <w:szCs w:val="18"/>
          <w:lang w:val="es-CO"/>
        </w:rPr>
      </w:pPr>
      <w:r w:rsidRPr="005E6515">
        <w:rPr>
          <w:rStyle w:val="Refdenotaalpie"/>
          <w:rFonts w:cstheme="minorHAnsi"/>
          <w:sz w:val="18"/>
          <w:szCs w:val="18"/>
        </w:rPr>
        <w:footnoteRef/>
      </w:r>
      <w:r w:rsidRPr="005E6515">
        <w:rPr>
          <w:rFonts w:cstheme="minorHAnsi"/>
          <w:sz w:val="18"/>
          <w:szCs w:val="18"/>
        </w:rPr>
        <w:t xml:space="preserve"> Ver IFT (2016), Bases de Licitación No. </w:t>
      </w:r>
      <w:r w:rsidRPr="005E6515">
        <w:rPr>
          <w:rFonts w:cstheme="minorHAnsi"/>
          <w:sz w:val="18"/>
          <w:szCs w:val="18"/>
          <w:lang w:val="es-CO"/>
        </w:rPr>
        <w:t xml:space="preserve">IFT-3, sección 7, disponible en </w:t>
      </w:r>
      <w:hyperlink r:id="rId9" w:history="1">
        <w:r w:rsidRPr="005E6515">
          <w:rPr>
            <w:rStyle w:val="Hipervnculo"/>
            <w:rFonts w:cstheme="minorHAnsi"/>
            <w:sz w:val="18"/>
            <w:szCs w:val="18"/>
            <w:lang w:val="es-CO"/>
          </w:rPr>
          <w:t>http://www.ift.org.mx/sites/default/files/industria/espectro-radioelectrico/espectro/2015/3/basesdelicitacionift-31.pdf</w:t>
        </w:r>
      </w:hyperlink>
    </w:p>
  </w:footnote>
  <w:footnote w:id="18">
    <w:p w14:paraId="241614C0" w14:textId="77777777" w:rsidR="00970B08" w:rsidRPr="005E6515" w:rsidRDefault="00970B08" w:rsidP="005E6515">
      <w:pPr>
        <w:pStyle w:val="Textonotapie"/>
        <w:spacing w:after="60"/>
        <w:rPr>
          <w:sz w:val="18"/>
          <w:szCs w:val="18"/>
        </w:rPr>
      </w:pPr>
      <w:r w:rsidRPr="005E6515">
        <w:rPr>
          <w:rStyle w:val="Refdenotaalpie"/>
          <w:sz w:val="18"/>
          <w:szCs w:val="18"/>
        </w:rPr>
        <w:footnoteRef/>
      </w:r>
      <w:r w:rsidRPr="005E6515">
        <w:rPr>
          <w:sz w:val="18"/>
          <w:szCs w:val="18"/>
          <w:lang w:val="es-CO"/>
        </w:rPr>
        <w:t xml:space="preserve"> Ver Licitación No. </w:t>
      </w:r>
      <w:r w:rsidRPr="005E6515">
        <w:rPr>
          <w:sz w:val="18"/>
          <w:szCs w:val="18"/>
        </w:rPr>
        <w:t xml:space="preserve">IFT-9, </w:t>
      </w:r>
      <w:r w:rsidRPr="005E6515">
        <w:rPr>
          <w:rFonts w:eastAsia="Times New Roman"/>
          <w:color w:val="000000"/>
          <w:sz w:val="18"/>
          <w:szCs w:val="18"/>
          <w:lang w:eastAsia="es-MX"/>
        </w:rPr>
        <w:t>Apéndice A, Anexo 7.</w:t>
      </w:r>
    </w:p>
  </w:footnote>
  <w:footnote w:id="19">
    <w:p w14:paraId="7E26D7BF" w14:textId="77777777" w:rsidR="00970B08" w:rsidRPr="005E6515" w:rsidRDefault="00970B08" w:rsidP="005E6515">
      <w:pPr>
        <w:pStyle w:val="Textonotapie"/>
        <w:spacing w:after="60"/>
        <w:rPr>
          <w:sz w:val="18"/>
          <w:szCs w:val="18"/>
          <w:lang w:val="es-CO"/>
        </w:rPr>
      </w:pPr>
      <w:r w:rsidRPr="005E6515">
        <w:rPr>
          <w:rStyle w:val="Refdenotaalpie"/>
          <w:sz w:val="18"/>
          <w:szCs w:val="18"/>
        </w:rPr>
        <w:footnoteRef/>
      </w:r>
      <w:r w:rsidRPr="005E6515">
        <w:rPr>
          <w:sz w:val="18"/>
          <w:szCs w:val="18"/>
          <w:lang w:val="es-CO"/>
        </w:rPr>
        <w:t xml:space="preserve"> Artículo 75, Ley Federal de Telecomunicaciones y Radiodifusión.</w:t>
      </w:r>
    </w:p>
  </w:footnote>
  <w:footnote w:id="20">
    <w:p w14:paraId="332FBDF6" w14:textId="77777777" w:rsidR="00970B08" w:rsidRPr="005E6515" w:rsidRDefault="00970B08" w:rsidP="005E6515">
      <w:pPr>
        <w:pStyle w:val="Textonotapie"/>
        <w:spacing w:after="60"/>
        <w:rPr>
          <w:sz w:val="18"/>
          <w:szCs w:val="18"/>
          <w:lang w:val="en-US"/>
        </w:rPr>
      </w:pPr>
      <w:r w:rsidRPr="005E6515">
        <w:rPr>
          <w:rStyle w:val="Refdenotaalpie"/>
          <w:sz w:val="18"/>
          <w:szCs w:val="18"/>
        </w:rPr>
        <w:footnoteRef/>
      </w:r>
      <w:r w:rsidRPr="005E6515">
        <w:rPr>
          <w:sz w:val="18"/>
          <w:szCs w:val="18"/>
          <w:lang w:val="en-US"/>
        </w:rPr>
        <w:t xml:space="preserve"> </w:t>
      </w:r>
      <w:r w:rsidRPr="005E6515">
        <w:rPr>
          <w:i/>
          <w:sz w:val="18"/>
          <w:szCs w:val="18"/>
          <w:lang w:val="en-US"/>
        </w:rPr>
        <w:t xml:space="preserve">Ver </w:t>
      </w:r>
      <w:r w:rsidRPr="005E6515">
        <w:rPr>
          <w:sz w:val="18"/>
          <w:szCs w:val="18"/>
          <w:lang w:val="en-US"/>
        </w:rPr>
        <w:t xml:space="preserve">Industry Canada, Decision on a Policy, Technical and Licensing Framework for Mobile Satellite Service and Advanced Wireless Service (AWS-4) in the Bands 2000-2020 MHz and 2180-2200 MHz, December 2014, pág. 93, Disponible en: </w:t>
      </w:r>
      <w:hyperlink r:id="rId10" w:history="1">
        <w:r w:rsidRPr="005E6515">
          <w:rPr>
            <w:rStyle w:val="Hipervnculo"/>
            <w:sz w:val="18"/>
            <w:szCs w:val="18"/>
            <w:lang w:val="en-US"/>
          </w:rPr>
          <w:t>https://www.ic.gc.ca/eic/site/smt-gst.nsf/vwapj/AWS-4_Dec2014-e.pdf/$file/AWS-4_Dec2014-e.pdf</w:t>
        </w:r>
      </w:hyperlink>
      <w:r w:rsidRPr="005E6515">
        <w:rPr>
          <w:rStyle w:val="Hipervnculo"/>
          <w:sz w:val="18"/>
          <w:szCs w:val="18"/>
          <w:lang w:val="en-US"/>
        </w:rPr>
        <w:t xml:space="preserve">. </w:t>
      </w:r>
      <w:r w:rsidRPr="005E6515">
        <w:rPr>
          <w:sz w:val="18"/>
          <w:szCs w:val="18"/>
          <w:lang w:val="en-US"/>
        </w:rPr>
        <w:t xml:space="preserve"> </w:t>
      </w:r>
    </w:p>
  </w:footnote>
  <w:footnote w:id="21">
    <w:p w14:paraId="49975EB5" w14:textId="77777777" w:rsidR="00970B08" w:rsidRPr="005E6515" w:rsidRDefault="00970B08" w:rsidP="005E6515">
      <w:pPr>
        <w:pStyle w:val="Textonotapie"/>
        <w:spacing w:after="60"/>
        <w:rPr>
          <w:sz w:val="18"/>
          <w:szCs w:val="18"/>
          <w:lang w:val="en-US"/>
        </w:rPr>
      </w:pPr>
      <w:r w:rsidRPr="005E6515">
        <w:rPr>
          <w:rStyle w:val="Refdenotaalpie"/>
          <w:sz w:val="18"/>
          <w:szCs w:val="18"/>
        </w:rPr>
        <w:footnoteRef/>
      </w:r>
      <w:r w:rsidRPr="005E6515">
        <w:rPr>
          <w:sz w:val="18"/>
          <w:szCs w:val="18"/>
          <w:lang w:val="en-US"/>
        </w:rPr>
        <w:t xml:space="preserve">  </w:t>
      </w:r>
      <w:r w:rsidRPr="005E6515">
        <w:rPr>
          <w:i/>
          <w:sz w:val="18"/>
          <w:szCs w:val="18"/>
          <w:lang w:val="en-US"/>
        </w:rPr>
        <w:t xml:space="preserve">Ver </w:t>
      </w:r>
      <w:r w:rsidRPr="005E6515">
        <w:rPr>
          <w:sz w:val="18"/>
          <w:szCs w:val="18"/>
          <w:lang w:val="en-US"/>
        </w:rPr>
        <w:t xml:space="preserve">Service Rules for Advanced Wireless Services in the 2000-2020 MHz and 2180-2200 MHz Bands, WT Docket No. 12-70, </w:t>
      </w:r>
      <w:r w:rsidRPr="005E6515">
        <w:rPr>
          <w:i/>
          <w:sz w:val="18"/>
          <w:szCs w:val="18"/>
          <w:lang w:val="en-US"/>
        </w:rPr>
        <w:t>Report and Order and Order of Proposed Modification</w:t>
      </w:r>
      <w:r w:rsidRPr="005E6515">
        <w:rPr>
          <w:sz w:val="18"/>
          <w:szCs w:val="18"/>
          <w:lang w:val="en-US"/>
        </w:rPr>
        <w:t>, ¶ 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A2BA" w14:textId="77777777" w:rsidR="00970B08" w:rsidRDefault="00970B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BAE4" w14:textId="77777777" w:rsidR="00970B08" w:rsidRPr="007A6974" w:rsidRDefault="00970B08" w:rsidP="00800852">
    <w:pPr>
      <w:pStyle w:val="Encabezado"/>
      <w:tabs>
        <w:tab w:val="clear" w:pos="4419"/>
      </w:tabs>
      <w:rPr>
        <w:rFonts w:ascii="Century Gothic" w:hAnsi="Century Gothic"/>
      </w:rPr>
    </w:pPr>
    <w:r>
      <w:rPr>
        <w:noProof/>
        <w:lang w:val="en-US"/>
      </w:rPr>
      <w:drawing>
        <wp:anchor distT="0" distB="762" distL="114300" distR="114300" simplePos="0" relativeHeight="251657216" behindDoc="1" locked="0" layoutInCell="1" allowOverlap="1" wp14:anchorId="49C01557" wp14:editId="68FF8019">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59EB77C" w14:textId="77777777" w:rsidR="00970B08" w:rsidRPr="009577CE" w:rsidRDefault="00970B08" w:rsidP="0080504A">
    <w:pPr>
      <w:pStyle w:val="Encabezado"/>
      <w:ind w:left="3119"/>
      <w:jc w:val="both"/>
      <w:rPr>
        <w:rFonts w:ascii="ITC Avant Garde" w:hAnsi="ITC Avant Garde"/>
        <w:b/>
        <w:i/>
        <w:sz w:val="20"/>
        <w:szCs w:val="20"/>
      </w:rPr>
    </w:pPr>
    <w:r w:rsidRPr="009577CE">
      <w:rPr>
        <w:rFonts w:ascii="ITC Avant Garde" w:hAnsi="ITC Avant Garde"/>
        <w:b/>
        <w:i/>
        <w:sz w:val="20"/>
        <w:szCs w:val="20"/>
      </w:rPr>
      <w:t>Consulta Pública sobre el “</w:t>
    </w:r>
    <w:r w:rsidRPr="009577CE">
      <w:rPr>
        <w:rFonts w:ascii="ITC Avant Garde" w:eastAsia="Times New Roman" w:hAnsi="ITC Avant Garde"/>
        <w:b/>
        <w:i/>
        <w:sz w:val="20"/>
        <w:szCs w:val="20"/>
        <w:lang w:eastAsia="es-ES"/>
      </w:rPr>
      <w:t xml:space="preserve">Proyecto de </w:t>
    </w:r>
    <w:r>
      <w:rPr>
        <w:rFonts w:ascii="ITC Avant Garde" w:eastAsia="Times New Roman" w:hAnsi="ITC Avant Garde"/>
        <w:b/>
        <w:i/>
        <w:sz w:val="20"/>
        <w:szCs w:val="20"/>
        <w:lang w:eastAsia="es-ES"/>
      </w:rPr>
      <w:t>Numeral</w:t>
    </w:r>
    <w:r w:rsidRPr="009577CE">
      <w:rPr>
        <w:rFonts w:ascii="ITC Avant Garde" w:eastAsia="Times New Roman" w:hAnsi="ITC Avant Garde"/>
        <w:b/>
        <w:i/>
        <w:sz w:val="20"/>
        <w:szCs w:val="20"/>
        <w:lang w:eastAsia="es-ES"/>
      </w:rPr>
      <w:t xml:space="preserve">s de la </w:t>
    </w:r>
    <w:r>
      <w:rPr>
        <w:rFonts w:ascii="ITC Avant Garde" w:hAnsi="ITC Avant Garde"/>
        <w:b/>
        <w:i/>
        <w:sz w:val="20"/>
        <w:szCs w:val="20"/>
      </w:rPr>
      <w:t>Li</w:t>
    </w:r>
    <w:r w:rsidRPr="009577CE">
      <w:rPr>
        <w:rFonts w:ascii="ITC Avant Garde" w:hAnsi="ITC Avant Garde"/>
        <w:b/>
        <w:i/>
        <w:sz w:val="20"/>
        <w:szCs w:val="20"/>
      </w:rPr>
      <w:t xml:space="preserve">citación Pública para concesionar el uso, aprovechamiento y explotación comercial </w:t>
    </w:r>
    <w:r w:rsidRPr="009577CE">
      <w:rPr>
        <w:rFonts w:ascii="ITC Avant Garde" w:eastAsia="MS Mincho" w:hAnsi="ITC Avant Garde"/>
        <w:b/>
        <w:i/>
        <w:sz w:val="20"/>
        <w:szCs w:val="20"/>
      </w:rPr>
      <w:t xml:space="preserve">de </w:t>
    </w:r>
    <w:r w:rsidRPr="009577CE">
      <w:rPr>
        <w:rFonts w:ascii="ITC Avant Garde" w:hAnsi="ITC Avant Garde"/>
        <w:b/>
        <w:i/>
        <w:sz w:val="20"/>
        <w:szCs w:val="20"/>
        <w:lang w:val="es-ES_tradnl"/>
      </w:rPr>
      <w:t>40 MHz de espectro radioeléctrico disponibles en la banda de frecuencias 2000-2020/2180-2200 MHz para la prestación del Servicio Complementario Terrestre del Servicio Móvil por Satélite (Licitación No. IFT-9)</w:t>
    </w:r>
    <w:r w:rsidRPr="009577CE">
      <w:rPr>
        <w:rFonts w:ascii="ITC Avant Garde" w:hAnsi="ITC Avant Garde"/>
        <w:b/>
        <w:i/>
        <w:sz w:val="20"/>
        <w:szCs w:val="20"/>
      </w:rPr>
      <w:t>”</w:t>
    </w:r>
  </w:p>
  <w:p w14:paraId="14F1F727" w14:textId="77777777" w:rsidR="00970B08" w:rsidRPr="007A6974" w:rsidRDefault="00970B08" w:rsidP="004D5EAB">
    <w:pPr>
      <w:pStyle w:val="Encabezado"/>
      <w:ind w:left="3119"/>
      <w:jc w:val="both"/>
      <w:rPr>
        <w:rFonts w:ascii="Century Gothic" w:hAnsi="Century Gothic"/>
      </w:rPr>
    </w:pPr>
    <w:r>
      <w:rPr>
        <w:noProof/>
        <w:lang w:val="en-US"/>
      </w:rPr>
      <mc:AlternateContent>
        <mc:Choice Requires="wps">
          <w:drawing>
            <wp:anchor distT="4294967295" distB="4294967295" distL="114300" distR="114300" simplePos="0" relativeHeight="251658240" behindDoc="0" locked="0" layoutInCell="1" allowOverlap="1" wp14:anchorId="2CE22297" wp14:editId="7A55B6B8">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C019C3" id="Conector recto 2" o:spid="_x0000_s1026" alt="Title: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4666" w14:textId="77777777" w:rsidR="00970B08" w:rsidRDefault="00970B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464"/>
    <w:multiLevelType w:val="hybridMultilevel"/>
    <w:tmpl w:val="2144963A"/>
    <w:lvl w:ilvl="0" w:tplc="C124F34C">
      <w:start w:val="1"/>
      <w:numFmt w:val="lowerLetter"/>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45597"/>
    <w:multiLevelType w:val="hybridMultilevel"/>
    <w:tmpl w:val="78EC6CD2"/>
    <w:lvl w:ilvl="0" w:tplc="5C12B5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A454C"/>
    <w:multiLevelType w:val="hybridMultilevel"/>
    <w:tmpl w:val="7D1E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E68BC"/>
    <w:multiLevelType w:val="hybridMultilevel"/>
    <w:tmpl w:val="8D82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D840D6"/>
    <w:multiLevelType w:val="hybridMultilevel"/>
    <w:tmpl w:val="BF465A48"/>
    <w:lvl w:ilvl="0" w:tplc="FCA28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63200B"/>
    <w:multiLevelType w:val="hybridMultilevel"/>
    <w:tmpl w:val="7BFE2D34"/>
    <w:lvl w:ilvl="0" w:tplc="9732C102">
      <w:start w:val="1"/>
      <w:numFmt w:val="decimal"/>
      <w:lvlText w:val="%1."/>
      <w:lvlJc w:val="left"/>
      <w:pPr>
        <w:ind w:left="720" w:hanging="360"/>
      </w:pPr>
      <w:rPr>
        <w:rFonts w:ascii="Calibri" w:eastAsia="Calibri" w:hAnsi="Calibri"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E5E91"/>
    <w:multiLevelType w:val="hybridMultilevel"/>
    <w:tmpl w:val="617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41180"/>
    <w:multiLevelType w:val="hybridMultilevel"/>
    <w:tmpl w:val="35569F7A"/>
    <w:lvl w:ilvl="0" w:tplc="080A000F">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537BB2"/>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8C6E95"/>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982D61"/>
    <w:multiLevelType w:val="hybridMultilevel"/>
    <w:tmpl w:val="5E8EC56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0">
    <w:nsid w:val="265701EA"/>
    <w:multiLevelType w:val="hybridMultilevel"/>
    <w:tmpl w:val="35569F7A"/>
    <w:lvl w:ilvl="0" w:tplc="080A000F">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A24359"/>
    <w:multiLevelType w:val="hybridMultilevel"/>
    <w:tmpl w:val="6098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26B88"/>
    <w:multiLevelType w:val="hybridMultilevel"/>
    <w:tmpl w:val="9B00EFBA"/>
    <w:lvl w:ilvl="0" w:tplc="F0626D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296E44"/>
    <w:multiLevelType w:val="hybridMultilevel"/>
    <w:tmpl w:val="235E4C82"/>
    <w:lvl w:ilvl="0" w:tplc="F2A4044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F49F9"/>
    <w:multiLevelType w:val="hybridMultilevel"/>
    <w:tmpl w:val="0F2EB120"/>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1" w15:restartNumberingAfterBreak="0">
    <w:nsid w:val="3EEC183A"/>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623A4E"/>
    <w:multiLevelType w:val="hybridMultilevel"/>
    <w:tmpl w:val="5DC252A2"/>
    <w:lvl w:ilvl="0" w:tplc="B4B631EA">
      <w:start w:val="1"/>
      <w:numFmt w:val="lowerLetter"/>
      <w:lvlText w:val="%1)"/>
      <w:lvlJc w:val="left"/>
      <w:pPr>
        <w:ind w:left="1440" w:hanging="360"/>
      </w:pPr>
      <w:rPr>
        <w:rFonts w:ascii="ITC Avant Garde" w:eastAsia="Calibri" w:hAnsi="ITC Avant Garde" w:cs="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5162E10"/>
    <w:multiLevelType w:val="hybridMultilevel"/>
    <w:tmpl w:val="0DC0DFA8"/>
    <w:lvl w:ilvl="0" w:tplc="F6FE2D0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7C91DED"/>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5149E7"/>
    <w:multiLevelType w:val="hybridMultilevel"/>
    <w:tmpl w:val="AF5001C2"/>
    <w:lvl w:ilvl="0" w:tplc="080A0019">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F27415"/>
    <w:multiLevelType w:val="hybridMultilevel"/>
    <w:tmpl w:val="8D82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205172"/>
    <w:multiLevelType w:val="hybridMultilevel"/>
    <w:tmpl w:val="7AE28E30"/>
    <w:lvl w:ilvl="0" w:tplc="60E6E4AA">
      <w:start w:val="1"/>
      <w:numFmt w:val="decimal"/>
      <w:lvlText w:val="%1."/>
      <w:lvlJc w:val="left"/>
      <w:pPr>
        <w:ind w:left="4406"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650BF3"/>
    <w:multiLevelType w:val="hybridMultilevel"/>
    <w:tmpl w:val="AF8E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3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F83984"/>
    <w:multiLevelType w:val="hybridMultilevel"/>
    <w:tmpl w:val="12C0CD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169E2"/>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35"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3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41" w15:restartNumberingAfterBreak="0">
    <w:nsid w:val="735A11A6"/>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7B37F9"/>
    <w:multiLevelType w:val="hybridMultilevel"/>
    <w:tmpl w:val="15AC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7"/>
  </w:num>
  <w:num w:numId="4">
    <w:abstractNumId w:val="22"/>
  </w:num>
  <w:num w:numId="5">
    <w:abstractNumId w:val="37"/>
  </w:num>
  <w:num w:numId="6">
    <w:abstractNumId w:val="18"/>
  </w:num>
  <w:num w:numId="7">
    <w:abstractNumId w:val="35"/>
  </w:num>
  <w:num w:numId="8">
    <w:abstractNumId w:val="36"/>
  </w:num>
  <w:num w:numId="9">
    <w:abstractNumId w:val="17"/>
  </w:num>
  <w:num w:numId="10">
    <w:abstractNumId w:val="3"/>
  </w:num>
  <w:num w:numId="11">
    <w:abstractNumId w:val="39"/>
  </w:num>
  <w:num w:numId="12">
    <w:abstractNumId w:val="30"/>
  </w:num>
  <w:num w:numId="13">
    <w:abstractNumId w:val="40"/>
  </w:num>
  <w:num w:numId="14">
    <w:abstractNumId w:val="34"/>
  </w:num>
  <w:num w:numId="15">
    <w:abstractNumId w:val="38"/>
  </w:num>
  <w:num w:numId="16">
    <w:abstractNumId w:val="28"/>
  </w:num>
  <w:num w:numId="17">
    <w:abstractNumId w:val="14"/>
  </w:num>
  <w:num w:numId="18">
    <w:abstractNumId w:val="23"/>
  </w:num>
  <w:num w:numId="19">
    <w:abstractNumId w:val="10"/>
  </w:num>
  <w:num w:numId="20">
    <w:abstractNumId w:val="12"/>
  </w:num>
  <w:num w:numId="21">
    <w:abstractNumId w:val="33"/>
  </w:num>
  <w:num w:numId="22">
    <w:abstractNumId w:val="13"/>
  </w:num>
  <w:num w:numId="23">
    <w:abstractNumId w:val="41"/>
  </w:num>
  <w:num w:numId="24">
    <w:abstractNumId w:val="11"/>
  </w:num>
  <w:num w:numId="25">
    <w:abstractNumId w:val="21"/>
  </w:num>
  <w:num w:numId="26">
    <w:abstractNumId w:val="25"/>
  </w:num>
  <w:num w:numId="27">
    <w:abstractNumId w:val="5"/>
  </w:num>
  <w:num w:numId="28">
    <w:abstractNumId w:val="27"/>
  </w:num>
  <w:num w:numId="29">
    <w:abstractNumId w:val="4"/>
  </w:num>
  <w:num w:numId="30">
    <w:abstractNumId w:val="26"/>
  </w:num>
  <w:num w:numId="31">
    <w:abstractNumId w:val="16"/>
  </w:num>
  <w:num w:numId="32">
    <w:abstractNumId w:val="19"/>
  </w:num>
  <w:num w:numId="33">
    <w:abstractNumId w:val="1"/>
  </w:num>
  <w:num w:numId="34">
    <w:abstractNumId w:val="24"/>
  </w:num>
  <w:num w:numId="35">
    <w:abstractNumId w:val="42"/>
  </w:num>
  <w:num w:numId="36">
    <w:abstractNumId w:val="15"/>
  </w:num>
  <w:num w:numId="37">
    <w:abstractNumId w:val="32"/>
  </w:num>
  <w:num w:numId="38">
    <w:abstractNumId w:val="6"/>
  </w:num>
  <w:num w:numId="39">
    <w:abstractNumId w:val="9"/>
  </w:num>
  <w:num w:numId="40">
    <w:abstractNumId w:val="20"/>
  </w:num>
  <w:num w:numId="41">
    <w:abstractNumId w:val="29"/>
  </w:num>
  <w:num w:numId="42">
    <w:abstractNumId w:val="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3"/>
  <w:hideSpellingErrors/>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HasDocNum" w:val="False"/>
  </w:docVars>
  <w:rsids>
    <w:rsidRoot w:val="0038199D"/>
    <w:rsid w:val="000019C8"/>
    <w:rsid w:val="000049D9"/>
    <w:rsid w:val="00004A39"/>
    <w:rsid w:val="000055EA"/>
    <w:rsid w:val="00005DB7"/>
    <w:rsid w:val="0001552C"/>
    <w:rsid w:val="000173AF"/>
    <w:rsid w:val="00024527"/>
    <w:rsid w:val="000253EE"/>
    <w:rsid w:val="00025623"/>
    <w:rsid w:val="00026370"/>
    <w:rsid w:val="00026723"/>
    <w:rsid w:val="000269AA"/>
    <w:rsid w:val="00026F44"/>
    <w:rsid w:val="0002713D"/>
    <w:rsid w:val="00030E6E"/>
    <w:rsid w:val="000354DB"/>
    <w:rsid w:val="000356DE"/>
    <w:rsid w:val="000444BC"/>
    <w:rsid w:val="00044C11"/>
    <w:rsid w:val="000454C8"/>
    <w:rsid w:val="00047097"/>
    <w:rsid w:val="00052D74"/>
    <w:rsid w:val="00055A98"/>
    <w:rsid w:val="000571D4"/>
    <w:rsid w:val="00067AF8"/>
    <w:rsid w:val="00074296"/>
    <w:rsid w:val="000748D7"/>
    <w:rsid w:val="0007511F"/>
    <w:rsid w:val="000817EB"/>
    <w:rsid w:val="00087241"/>
    <w:rsid w:val="00092755"/>
    <w:rsid w:val="000931D8"/>
    <w:rsid w:val="000969C9"/>
    <w:rsid w:val="00097B00"/>
    <w:rsid w:val="000A0CEF"/>
    <w:rsid w:val="000A0F69"/>
    <w:rsid w:val="000A3D5F"/>
    <w:rsid w:val="000A5340"/>
    <w:rsid w:val="000A5CFB"/>
    <w:rsid w:val="000A6255"/>
    <w:rsid w:val="000A6974"/>
    <w:rsid w:val="000A72CD"/>
    <w:rsid w:val="000B1019"/>
    <w:rsid w:val="000B7F85"/>
    <w:rsid w:val="000C0A9E"/>
    <w:rsid w:val="000D26D1"/>
    <w:rsid w:val="000D2838"/>
    <w:rsid w:val="000E3067"/>
    <w:rsid w:val="000E3F13"/>
    <w:rsid w:val="000E41EA"/>
    <w:rsid w:val="000E41F3"/>
    <w:rsid w:val="000E54B6"/>
    <w:rsid w:val="000E55B0"/>
    <w:rsid w:val="000F20AA"/>
    <w:rsid w:val="00100C9C"/>
    <w:rsid w:val="00104842"/>
    <w:rsid w:val="00105ECA"/>
    <w:rsid w:val="001124B6"/>
    <w:rsid w:val="0011625E"/>
    <w:rsid w:val="001208F6"/>
    <w:rsid w:val="00120D05"/>
    <w:rsid w:val="00122FA3"/>
    <w:rsid w:val="0013188C"/>
    <w:rsid w:val="001331D8"/>
    <w:rsid w:val="00134AA8"/>
    <w:rsid w:val="001472CF"/>
    <w:rsid w:val="00150417"/>
    <w:rsid w:val="00150ADD"/>
    <w:rsid w:val="00157526"/>
    <w:rsid w:val="001577CF"/>
    <w:rsid w:val="00160352"/>
    <w:rsid w:val="00160550"/>
    <w:rsid w:val="00161FF6"/>
    <w:rsid w:val="001630CB"/>
    <w:rsid w:val="00164DD0"/>
    <w:rsid w:val="00170916"/>
    <w:rsid w:val="00170C59"/>
    <w:rsid w:val="001734BC"/>
    <w:rsid w:val="00174196"/>
    <w:rsid w:val="00175BCC"/>
    <w:rsid w:val="001812F7"/>
    <w:rsid w:val="0018135F"/>
    <w:rsid w:val="00181E5E"/>
    <w:rsid w:val="00183182"/>
    <w:rsid w:val="001A15CC"/>
    <w:rsid w:val="001A3A71"/>
    <w:rsid w:val="001A4A59"/>
    <w:rsid w:val="001B6DA6"/>
    <w:rsid w:val="001C2018"/>
    <w:rsid w:val="001C3D90"/>
    <w:rsid w:val="001C73D9"/>
    <w:rsid w:val="001D4EAC"/>
    <w:rsid w:val="001E0388"/>
    <w:rsid w:val="001E7186"/>
    <w:rsid w:val="001E7890"/>
    <w:rsid w:val="001E7DF4"/>
    <w:rsid w:val="001F1BF8"/>
    <w:rsid w:val="001F3BA2"/>
    <w:rsid w:val="001F4580"/>
    <w:rsid w:val="00201EDB"/>
    <w:rsid w:val="00203C41"/>
    <w:rsid w:val="00204FA7"/>
    <w:rsid w:val="00207955"/>
    <w:rsid w:val="0021043D"/>
    <w:rsid w:val="00215B34"/>
    <w:rsid w:val="0022068A"/>
    <w:rsid w:val="00222813"/>
    <w:rsid w:val="00230BD4"/>
    <w:rsid w:val="00234608"/>
    <w:rsid w:val="0025058A"/>
    <w:rsid w:val="00250801"/>
    <w:rsid w:val="00265FCC"/>
    <w:rsid w:val="00266BE0"/>
    <w:rsid w:val="00270697"/>
    <w:rsid w:val="002715D3"/>
    <w:rsid w:val="00275C10"/>
    <w:rsid w:val="002771ED"/>
    <w:rsid w:val="00277829"/>
    <w:rsid w:val="00277F91"/>
    <w:rsid w:val="00282C78"/>
    <w:rsid w:val="002943C1"/>
    <w:rsid w:val="00297840"/>
    <w:rsid w:val="002A0A35"/>
    <w:rsid w:val="002A1C76"/>
    <w:rsid w:val="002A411C"/>
    <w:rsid w:val="002B1516"/>
    <w:rsid w:val="002B1746"/>
    <w:rsid w:val="002B4BB2"/>
    <w:rsid w:val="002B5388"/>
    <w:rsid w:val="002B558F"/>
    <w:rsid w:val="002B780D"/>
    <w:rsid w:val="002C5D4C"/>
    <w:rsid w:val="002D2440"/>
    <w:rsid w:val="002D2E10"/>
    <w:rsid w:val="002D34FE"/>
    <w:rsid w:val="002D39F4"/>
    <w:rsid w:val="002D64A7"/>
    <w:rsid w:val="002D790D"/>
    <w:rsid w:val="002E0080"/>
    <w:rsid w:val="002E0EF4"/>
    <w:rsid w:val="002E50C6"/>
    <w:rsid w:val="002E670F"/>
    <w:rsid w:val="002F12C1"/>
    <w:rsid w:val="00302E31"/>
    <w:rsid w:val="0030370C"/>
    <w:rsid w:val="00307092"/>
    <w:rsid w:val="00312AD3"/>
    <w:rsid w:val="0031642F"/>
    <w:rsid w:val="00317220"/>
    <w:rsid w:val="0032016D"/>
    <w:rsid w:val="00320F9F"/>
    <w:rsid w:val="00323F3A"/>
    <w:rsid w:val="003305EA"/>
    <w:rsid w:val="00332A2E"/>
    <w:rsid w:val="0034030F"/>
    <w:rsid w:val="0034210A"/>
    <w:rsid w:val="00344110"/>
    <w:rsid w:val="00344F59"/>
    <w:rsid w:val="003540BB"/>
    <w:rsid w:val="003564F2"/>
    <w:rsid w:val="0035699F"/>
    <w:rsid w:val="003572FC"/>
    <w:rsid w:val="00361363"/>
    <w:rsid w:val="003613DA"/>
    <w:rsid w:val="00365D31"/>
    <w:rsid w:val="00367FA7"/>
    <w:rsid w:val="00371368"/>
    <w:rsid w:val="003751EE"/>
    <w:rsid w:val="00376D80"/>
    <w:rsid w:val="00377E5B"/>
    <w:rsid w:val="0038199D"/>
    <w:rsid w:val="0038373B"/>
    <w:rsid w:val="00385726"/>
    <w:rsid w:val="00394C3F"/>
    <w:rsid w:val="0039630D"/>
    <w:rsid w:val="0039631E"/>
    <w:rsid w:val="003A68F1"/>
    <w:rsid w:val="003A7086"/>
    <w:rsid w:val="003B099C"/>
    <w:rsid w:val="003B3C7A"/>
    <w:rsid w:val="003B524B"/>
    <w:rsid w:val="003C20EE"/>
    <w:rsid w:val="003C2CF3"/>
    <w:rsid w:val="003D1CAC"/>
    <w:rsid w:val="003D220F"/>
    <w:rsid w:val="003D27A1"/>
    <w:rsid w:val="003D6B7F"/>
    <w:rsid w:val="003E0E7A"/>
    <w:rsid w:val="003E5FB6"/>
    <w:rsid w:val="003F1B42"/>
    <w:rsid w:val="003F358A"/>
    <w:rsid w:val="0040681D"/>
    <w:rsid w:val="0040752F"/>
    <w:rsid w:val="0041087B"/>
    <w:rsid w:val="00410D0E"/>
    <w:rsid w:val="00410F8E"/>
    <w:rsid w:val="00411C16"/>
    <w:rsid w:val="004141B1"/>
    <w:rsid w:val="004147B0"/>
    <w:rsid w:val="004212BA"/>
    <w:rsid w:val="00425261"/>
    <w:rsid w:val="004317BC"/>
    <w:rsid w:val="0044270D"/>
    <w:rsid w:val="00444E21"/>
    <w:rsid w:val="00447537"/>
    <w:rsid w:val="00450FCD"/>
    <w:rsid w:val="00456824"/>
    <w:rsid w:val="00457884"/>
    <w:rsid w:val="00457BD5"/>
    <w:rsid w:val="00460735"/>
    <w:rsid w:val="00461A06"/>
    <w:rsid w:val="00464849"/>
    <w:rsid w:val="00464AE1"/>
    <w:rsid w:val="00465670"/>
    <w:rsid w:val="00466FB0"/>
    <w:rsid w:val="00470294"/>
    <w:rsid w:val="004720B2"/>
    <w:rsid w:val="004729CC"/>
    <w:rsid w:val="004742AE"/>
    <w:rsid w:val="0047606C"/>
    <w:rsid w:val="00476C80"/>
    <w:rsid w:val="00477777"/>
    <w:rsid w:val="00483B80"/>
    <w:rsid w:val="004910FA"/>
    <w:rsid w:val="00491AA2"/>
    <w:rsid w:val="00491EE4"/>
    <w:rsid w:val="004970C4"/>
    <w:rsid w:val="004A1FE1"/>
    <w:rsid w:val="004A325A"/>
    <w:rsid w:val="004A7EC2"/>
    <w:rsid w:val="004B053F"/>
    <w:rsid w:val="004B1BEF"/>
    <w:rsid w:val="004B6168"/>
    <w:rsid w:val="004C4655"/>
    <w:rsid w:val="004C4695"/>
    <w:rsid w:val="004C733D"/>
    <w:rsid w:val="004D2479"/>
    <w:rsid w:val="004D285C"/>
    <w:rsid w:val="004D55DC"/>
    <w:rsid w:val="004D5EAB"/>
    <w:rsid w:val="004D64DD"/>
    <w:rsid w:val="004D6849"/>
    <w:rsid w:val="004D7960"/>
    <w:rsid w:val="004E0C31"/>
    <w:rsid w:val="004E25F4"/>
    <w:rsid w:val="004E2A3A"/>
    <w:rsid w:val="004E306E"/>
    <w:rsid w:val="004E32E6"/>
    <w:rsid w:val="004E34AD"/>
    <w:rsid w:val="004F4C27"/>
    <w:rsid w:val="004F66A5"/>
    <w:rsid w:val="005048DA"/>
    <w:rsid w:val="00511FAE"/>
    <w:rsid w:val="005169B0"/>
    <w:rsid w:val="00520D85"/>
    <w:rsid w:val="0052296A"/>
    <w:rsid w:val="00536772"/>
    <w:rsid w:val="00537C6C"/>
    <w:rsid w:val="00546807"/>
    <w:rsid w:val="00546F00"/>
    <w:rsid w:val="00554A6C"/>
    <w:rsid w:val="00555814"/>
    <w:rsid w:val="00555B10"/>
    <w:rsid w:val="005759B3"/>
    <w:rsid w:val="005768F6"/>
    <w:rsid w:val="0058551F"/>
    <w:rsid w:val="00596137"/>
    <w:rsid w:val="00597C5B"/>
    <w:rsid w:val="005A2364"/>
    <w:rsid w:val="005A7B18"/>
    <w:rsid w:val="005B0A45"/>
    <w:rsid w:val="005B12B0"/>
    <w:rsid w:val="005B1BEA"/>
    <w:rsid w:val="005B3E9A"/>
    <w:rsid w:val="005C0435"/>
    <w:rsid w:val="005C06DB"/>
    <w:rsid w:val="005C1651"/>
    <w:rsid w:val="005C2A39"/>
    <w:rsid w:val="005C48B7"/>
    <w:rsid w:val="005C6FC1"/>
    <w:rsid w:val="005D0B9B"/>
    <w:rsid w:val="005D1DEE"/>
    <w:rsid w:val="005D7FD2"/>
    <w:rsid w:val="005E3FA5"/>
    <w:rsid w:val="005E46CC"/>
    <w:rsid w:val="005E6515"/>
    <w:rsid w:val="005E6E7B"/>
    <w:rsid w:val="005E7C7B"/>
    <w:rsid w:val="005F0265"/>
    <w:rsid w:val="005F16C3"/>
    <w:rsid w:val="005F3034"/>
    <w:rsid w:val="005F3F0A"/>
    <w:rsid w:val="005F675C"/>
    <w:rsid w:val="00600B5D"/>
    <w:rsid w:val="00601AE4"/>
    <w:rsid w:val="00603B41"/>
    <w:rsid w:val="00605BD9"/>
    <w:rsid w:val="00610EB3"/>
    <w:rsid w:val="00623761"/>
    <w:rsid w:val="00625FCE"/>
    <w:rsid w:val="00637EEE"/>
    <w:rsid w:val="0064174C"/>
    <w:rsid w:val="00651300"/>
    <w:rsid w:val="00655DC2"/>
    <w:rsid w:val="00657098"/>
    <w:rsid w:val="006601AF"/>
    <w:rsid w:val="00670385"/>
    <w:rsid w:val="006710AF"/>
    <w:rsid w:val="00672068"/>
    <w:rsid w:val="006740FE"/>
    <w:rsid w:val="00674E9A"/>
    <w:rsid w:val="0068064F"/>
    <w:rsid w:val="00680E90"/>
    <w:rsid w:val="006826B3"/>
    <w:rsid w:val="00696B2B"/>
    <w:rsid w:val="006A1C17"/>
    <w:rsid w:val="006A320E"/>
    <w:rsid w:val="006A6D93"/>
    <w:rsid w:val="006B0B12"/>
    <w:rsid w:val="006B2048"/>
    <w:rsid w:val="006B6FD7"/>
    <w:rsid w:val="006D2996"/>
    <w:rsid w:val="006D2C24"/>
    <w:rsid w:val="006D2F82"/>
    <w:rsid w:val="006E2513"/>
    <w:rsid w:val="006E5FD1"/>
    <w:rsid w:val="006F5989"/>
    <w:rsid w:val="006F62C7"/>
    <w:rsid w:val="00703850"/>
    <w:rsid w:val="00704493"/>
    <w:rsid w:val="00706069"/>
    <w:rsid w:val="0071016C"/>
    <w:rsid w:val="00710749"/>
    <w:rsid w:val="007159E2"/>
    <w:rsid w:val="0072675E"/>
    <w:rsid w:val="00733581"/>
    <w:rsid w:val="00733D5A"/>
    <w:rsid w:val="00733FAC"/>
    <w:rsid w:val="00735DEE"/>
    <w:rsid w:val="0074091F"/>
    <w:rsid w:val="0074105B"/>
    <w:rsid w:val="00750539"/>
    <w:rsid w:val="00752633"/>
    <w:rsid w:val="00762996"/>
    <w:rsid w:val="00762F73"/>
    <w:rsid w:val="007640C3"/>
    <w:rsid w:val="007644BA"/>
    <w:rsid w:val="00770018"/>
    <w:rsid w:val="00770D6C"/>
    <w:rsid w:val="0077167E"/>
    <w:rsid w:val="007733D3"/>
    <w:rsid w:val="0077357C"/>
    <w:rsid w:val="00773774"/>
    <w:rsid w:val="00776272"/>
    <w:rsid w:val="007768EC"/>
    <w:rsid w:val="0077692C"/>
    <w:rsid w:val="00776D04"/>
    <w:rsid w:val="0077793E"/>
    <w:rsid w:val="0078130E"/>
    <w:rsid w:val="007843CF"/>
    <w:rsid w:val="00786209"/>
    <w:rsid w:val="00786C71"/>
    <w:rsid w:val="00787266"/>
    <w:rsid w:val="00787CD5"/>
    <w:rsid w:val="0079329B"/>
    <w:rsid w:val="00794BB8"/>
    <w:rsid w:val="007978CB"/>
    <w:rsid w:val="007A5199"/>
    <w:rsid w:val="007A6974"/>
    <w:rsid w:val="007B31A7"/>
    <w:rsid w:val="007B485C"/>
    <w:rsid w:val="007B61A7"/>
    <w:rsid w:val="007B67CA"/>
    <w:rsid w:val="007C10EA"/>
    <w:rsid w:val="007D4A23"/>
    <w:rsid w:val="007D7A4D"/>
    <w:rsid w:val="007E04FB"/>
    <w:rsid w:val="007F666E"/>
    <w:rsid w:val="00800852"/>
    <w:rsid w:val="008027ED"/>
    <w:rsid w:val="00804BB7"/>
    <w:rsid w:val="0080504A"/>
    <w:rsid w:val="00806A49"/>
    <w:rsid w:val="008077DB"/>
    <w:rsid w:val="008200BE"/>
    <w:rsid w:val="0082178B"/>
    <w:rsid w:val="00830A1E"/>
    <w:rsid w:val="00834E41"/>
    <w:rsid w:val="00835881"/>
    <w:rsid w:val="008431EC"/>
    <w:rsid w:val="008465B5"/>
    <w:rsid w:val="0085081B"/>
    <w:rsid w:val="008557EA"/>
    <w:rsid w:val="0086154B"/>
    <w:rsid w:val="00863F6F"/>
    <w:rsid w:val="008658B5"/>
    <w:rsid w:val="008711D6"/>
    <w:rsid w:val="00871C5C"/>
    <w:rsid w:val="0087563D"/>
    <w:rsid w:val="0087596E"/>
    <w:rsid w:val="0087598B"/>
    <w:rsid w:val="00876519"/>
    <w:rsid w:val="008827FC"/>
    <w:rsid w:val="00882F06"/>
    <w:rsid w:val="008843FB"/>
    <w:rsid w:val="0088623D"/>
    <w:rsid w:val="0089123E"/>
    <w:rsid w:val="008916A8"/>
    <w:rsid w:val="008A01C9"/>
    <w:rsid w:val="008A48B4"/>
    <w:rsid w:val="008A5565"/>
    <w:rsid w:val="008B2271"/>
    <w:rsid w:val="008B7FA7"/>
    <w:rsid w:val="008C679D"/>
    <w:rsid w:val="008D106B"/>
    <w:rsid w:val="008D18C4"/>
    <w:rsid w:val="008D2999"/>
    <w:rsid w:val="008D2BB0"/>
    <w:rsid w:val="008D59CB"/>
    <w:rsid w:val="008D673B"/>
    <w:rsid w:val="008E1FFB"/>
    <w:rsid w:val="008E2C37"/>
    <w:rsid w:val="008F2B1A"/>
    <w:rsid w:val="008F4A50"/>
    <w:rsid w:val="008F7306"/>
    <w:rsid w:val="00900EB8"/>
    <w:rsid w:val="00900FEC"/>
    <w:rsid w:val="00901C87"/>
    <w:rsid w:val="00903C94"/>
    <w:rsid w:val="00915CEA"/>
    <w:rsid w:val="009160D3"/>
    <w:rsid w:val="0091693D"/>
    <w:rsid w:val="00917436"/>
    <w:rsid w:val="00923F70"/>
    <w:rsid w:val="00924286"/>
    <w:rsid w:val="0093012D"/>
    <w:rsid w:val="009359BA"/>
    <w:rsid w:val="0094068B"/>
    <w:rsid w:val="009416FC"/>
    <w:rsid w:val="00942344"/>
    <w:rsid w:val="009426CC"/>
    <w:rsid w:val="009508C7"/>
    <w:rsid w:val="00952E94"/>
    <w:rsid w:val="00953CA7"/>
    <w:rsid w:val="009547A3"/>
    <w:rsid w:val="009577CE"/>
    <w:rsid w:val="00966ADF"/>
    <w:rsid w:val="00967A33"/>
    <w:rsid w:val="00970B08"/>
    <w:rsid w:val="00975C25"/>
    <w:rsid w:val="00982744"/>
    <w:rsid w:val="00985DB9"/>
    <w:rsid w:val="009912F5"/>
    <w:rsid w:val="00995D19"/>
    <w:rsid w:val="009A0263"/>
    <w:rsid w:val="009A3B1B"/>
    <w:rsid w:val="009A703D"/>
    <w:rsid w:val="009B1CAD"/>
    <w:rsid w:val="009B2558"/>
    <w:rsid w:val="009B42BE"/>
    <w:rsid w:val="009C07EA"/>
    <w:rsid w:val="009C5936"/>
    <w:rsid w:val="009C6C17"/>
    <w:rsid w:val="009D1C3B"/>
    <w:rsid w:val="009D3DDA"/>
    <w:rsid w:val="009E14A4"/>
    <w:rsid w:val="009E197F"/>
    <w:rsid w:val="009E2301"/>
    <w:rsid w:val="009F2BAB"/>
    <w:rsid w:val="009F43ED"/>
    <w:rsid w:val="009F4C3B"/>
    <w:rsid w:val="009F6C80"/>
    <w:rsid w:val="009F7743"/>
    <w:rsid w:val="00A01240"/>
    <w:rsid w:val="00A11685"/>
    <w:rsid w:val="00A11E4E"/>
    <w:rsid w:val="00A12C9D"/>
    <w:rsid w:val="00A1372C"/>
    <w:rsid w:val="00A167C3"/>
    <w:rsid w:val="00A1700C"/>
    <w:rsid w:val="00A21108"/>
    <w:rsid w:val="00A25465"/>
    <w:rsid w:val="00A27BAA"/>
    <w:rsid w:val="00A3351C"/>
    <w:rsid w:val="00A37E96"/>
    <w:rsid w:val="00A402BB"/>
    <w:rsid w:val="00A4075E"/>
    <w:rsid w:val="00A454F4"/>
    <w:rsid w:val="00A514BE"/>
    <w:rsid w:val="00A52646"/>
    <w:rsid w:val="00A57E13"/>
    <w:rsid w:val="00A60361"/>
    <w:rsid w:val="00A620F2"/>
    <w:rsid w:val="00A62E59"/>
    <w:rsid w:val="00A66803"/>
    <w:rsid w:val="00A7050F"/>
    <w:rsid w:val="00A70899"/>
    <w:rsid w:val="00A70C15"/>
    <w:rsid w:val="00A737FC"/>
    <w:rsid w:val="00A74360"/>
    <w:rsid w:val="00A751A5"/>
    <w:rsid w:val="00A75A67"/>
    <w:rsid w:val="00A815DE"/>
    <w:rsid w:val="00A8294D"/>
    <w:rsid w:val="00A8701F"/>
    <w:rsid w:val="00A87B1E"/>
    <w:rsid w:val="00A917C8"/>
    <w:rsid w:val="00A92626"/>
    <w:rsid w:val="00A92B29"/>
    <w:rsid w:val="00A951E0"/>
    <w:rsid w:val="00A96F5D"/>
    <w:rsid w:val="00A976A5"/>
    <w:rsid w:val="00AA341F"/>
    <w:rsid w:val="00AA52E2"/>
    <w:rsid w:val="00AA70C3"/>
    <w:rsid w:val="00AB4FAC"/>
    <w:rsid w:val="00AB71B3"/>
    <w:rsid w:val="00AC19D6"/>
    <w:rsid w:val="00AC4C22"/>
    <w:rsid w:val="00AC666A"/>
    <w:rsid w:val="00AD0D63"/>
    <w:rsid w:val="00AD26FE"/>
    <w:rsid w:val="00AD643F"/>
    <w:rsid w:val="00AE3E15"/>
    <w:rsid w:val="00AE778E"/>
    <w:rsid w:val="00AF03F0"/>
    <w:rsid w:val="00AF2A50"/>
    <w:rsid w:val="00B00311"/>
    <w:rsid w:val="00B0147F"/>
    <w:rsid w:val="00B01767"/>
    <w:rsid w:val="00B01E4E"/>
    <w:rsid w:val="00B11FF5"/>
    <w:rsid w:val="00B12B82"/>
    <w:rsid w:val="00B17D0B"/>
    <w:rsid w:val="00B209E7"/>
    <w:rsid w:val="00B20E15"/>
    <w:rsid w:val="00B223A2"/>
    <w:rsid w:val="00B223B8"/>
    <w:rsid w:val="00B533DC"/>
    <w:rsid w:val="00B562AC"/>
    <w:rsid w:val="00B675C6"/>
    <w:rsid w:val="00B72399"/>
    <w:rsid w:val="00B73370"/>
    <w:rsid w:val="00B80C85"/>
    <w:rsid w:val="00B8777F"/>
    <w:rsid w:val="00B928E9"/>
    <w:rsid w:val="00B97BF9"/>
    <w:rsid w:val="00BA326F"/>
    <w:rsid w:val="00BB015F"/>
    <w:rsid w:val="00BB1F72"/>
    <w:rsid w:val="00BB25F2"/>
    <w:rsid w:val="00BB3E30"/>
    <w:rsid w:val="00BB47F6"/>
    <w:rsid w:val="00BC4B45"/>
    <w:rsid w:val="00BD17CF"/>
    <w:rsid w:val="00BE72B6"/>
    <w:rsid w:val="00BE7CCF"/>
    <w:rsid w:val="00BF4527"/>
    <w:rsid w:val="00BF5CAB"/>
    <w:rsid w:val="00C027E8"/>
    <w:rsid w:val="00C06B42"/>
    <w:rsid w:val="00C11C86"/>
    <w:rsid w:val="00C20900"/>
    <w:rsid w:val="00C35A85"/>
    <w:rsid w:val="00C37D3B"/>
    <w:rsid w:val="00C41536"/>
    <w:rsid w:val="00C426F9"/>
    <w:rsid w:val="00C42DD1"/>
    <w:rsid w:val="00C45B4F"/>
    <w:rsid w:val="00C4627E"/>
    <w:rsid w:val="00C474AE"/>
    <w:rsid w:val="00C53026"/>
    <w:rsid w:val="00C56B77"/>
    <w:rsid w:val="00C60ADB"/>
    <w:rsid w:val="00C62282"/>
    <w:rsid w:val="00C6396D"/>
    <w:rsid w:val="00C63CEB"/>
    <w:rsid w:val="00C647B4"/>
    <w:rsid w:val="00C66278"/>
    <w:rsid w:val="00C714F4"/>
    <w:rsid w:val="00C718AB"/>
    <w:rsid w:val="00C72C15"/>
    <w:rsid w:val="00C77E9C"/>
    <w:rsid w:val="00C83034"/>
    <w:rsid w:val="00C8347C"/>
    <w:rsid w:val="00C83664"/>
    <w:rsid w:val="00C85750"/>
    <w:rsid w:val="00C900FF"/>
    <w:rsid w:val="00C943CD"/>
    <w:rsid w:val="00C96789"/>
    <w:rsid w:val="00CA1EDF"/>
    <w:rsid w:val="00CA32F5"/>
    <w:rsid w:val="00CA3863"/>
    <w:rsid w:val="00CA720F"/>
    <w:rsid w:val="00CA76ED"/>
    <w:rsid w:val="00CB7035"/>
    <w:rsid w:val="00CB7780"/>
    <w:rsid w:val="00CC2A0B"/>
    <w:rsid w:val="00CC382A"/>
    <w:rsid w:val="00CC53F7"/>
    <w:rsid w:val="00CC66E0"/>
    <w:rsid w:val="00CD0DDC"/>
    <w:rsid w:val="00CD4578"/>
    <w:rsid w:val="00CD4A12"/>
    <w:rsid w:val="00CD6C7C"/>
    <w:rsid w:val="00CD6F7B"/>
    <w:rsid w:val="00CF2F73"/>
    <w:rsid w:val="00CF44A3"/>
    <w:rsid w:val="00CF6206"/>
    <w:rsid w:val="00CF7375"/>
    <w:rsid w:val="00D01AE5"/>
    <w:rsid w:val="00D04390"/>
    <w:rsid w:val="00D13998"/>
    <w:rsid w:val="00D13CA5"/>
    <w:rsid w:val="00D22B9D"/>
    <w:rsid w:val="00D30E59"/>
    <w:rsid w:val="00D317EC"/>
    <w:rsid w:val="00D333D2"/>
    <w:rsid w:val="00D334B0"/>
    <w:rsid w:val="00D42FCD"/>
    <w:rsid w:val="00D45152"/>
    <w:rsid w:val="00D45924"/>
    <w:rsid w:val="00D472B6"/>
    <w:rsid w:val="00D47A99"/>
    <w:rsid w:val="00D50117"/>
    <w:rsid w:val="00D50CA1"/>
    <w:rsid w:val="00D52016"/>
    <w:rsid w:val="00D54E90"/>
    <w:rsid w:val="00D56FA6"/>
    <w:rsid w:val="00D65D0A"/>
    <w:rsid w:val="00D66951"/>
    <w:rsid w:val="00D73779"/>
    <w:rsid w:val="00D73ADA"/>
    <w:rsid w:val="00D74203"/>
    <w:rsid w:val="00D742D8"/>
    <w:rsid w:val="00D74832"/>
    <w:rsid w:val="00D75C6B"/>
    <w:rsid w:val="00D76089"/>
    <w:rsid w:val="00D77944"/>
    <w:rsid w:val="00D81ECC"/>
    <w:rsid w:val="00D838EA"/>
    <w:rsid w:val="00D9186E"/>
    <w:rsid w:val="00D93CFB"/>
    <w:rsid w:val="00D94AAB"/>
    <w:rsid w:val="00D94F82"/>
    <w:rsid w:val="00D97903"/>
    <w:rsid w:val="00DA17C1"/>
    <w:rsid w:val="00DA2DEB"/>
    <w:rsid w:val="00DA34A1"/>
    <w:rsid w:val="00DB21D0"/>
    <w:rsid w:val="00DB3233"/>
    <w:rsid w:val="00DB357E"/>
    <w:rsid w:val="00DC3C6C"/>
    <w:rsid w:val="00DC40A0"/>
    <w:rsid w:val="00DC53E9"/>
    <w:rsid w:val="00DC6352"/>
    <w:rsid w:val="00DC6631"/>
    <w:rsid w:val="00DD6196"/>
    <w:rsid w:val="00DE290B"/>
    <w:rsid w:val="00DE615D"/>
    <w:rsid w:val="00DE7522"/>
    <w:rsid w:val="00DF154A"/>
    <w:rsid w:val="00DF5B3F"/>
    <w:rsid w:val="00DF5CB5"/>
    <w:rsid w:val="00E01D07"/>
    <w:rsid w:val="00E02C0D"/>
    <w:rsid w:val="00E05D6E"/>
    <w:rsid w:val="00E06BAC"/>
    <w:rsid w:val="00E278DA"/>
    <w:rsid w:val="00E32295"/>
    <w:rsid w:val="00E3674F"/>
    <w:rsid w:val="00E45AA6"/>
    <w:rsid w:val="00E55299"/>
    <w:rsid w:val="00E5778B"/>
    <w:rsid w:val="00E64007"/>
    <w:rsid w:val="00E6433A"/>
    <w:rsid w:val="00E65980"/>
    <w:rsid w:val="00E71AFE"/>
    <w:rsid w:val="00E75F11"/>
    <w:rsid w:val="00E76941"/>
    <w:rsid w:val="00E87423"/>
    <w:rsid w:val="00E90BE9"/>
    <w:rsid w:val="00E91314"/>
    <w:rsid w:val="00E944B2"/>
    <w:rsid w:val="00EA5AD4"/>
    <w:rsid w:val="00EA6ACC"/>
    <w:rsid w:val="00EB1D99"/>
    <w:rsid w:val="00EB5D08"/>
    <w:rsid w:val="00EC144A"/>
    <w:rsid w:val="00EC1AF7"/>
    <w:rsid w:val="00EC32C5"/>
    <w:rsid w:val="00EC5F82"/>
    <w:rsid w:val="00ED1212"/>
    <w:rsid w:val="00ED2015"/>
    <w:rsid w:val="00ED586A"/>
    <w:rsid w:val="00EE7AD5"/>
    <w:rsid w:val="00EF0655"/>
    <w:rsid w:val="00EF11A1"/>
    <w:rsid w:val="00EF11BA"/>
    <w:rsid w:val="00EF3BD7"/>
    <w:rsid w:val="00EF4EDB"/>
    <w:rsid w:val="00EF53CA"/>
    <w:rsid w:val="00EF7463"/>
    <w:rsid w:val="00F019C4"/>
    <w:rsid w:val="00F03B3F"/>
    <w:rsid w:val="00F03BCA"/>
    <w:rsid w:val="00F10CB8"/>
    <w:rsid w:val="00F13C12"/>
    <w:rsid w:val="00F212B2"/>
    <w:rsid w:val="00F24E50"/>
    <w:rsid w:val="00F25CAB"/>
    <w:rsid w:val="00F3483C"/>
    <w:rsid w:val="00F351A4"/>
    <w:rsid w:val="00F362D7"/>
    <w:rsid w:val="00F36A5D"/>
    <w:rsid w:val="00F4122B"/>
    <w:rsid w:val="00F4229E"/>
    <w:rsid w:val="00F45EB4"/>
    <w:rsid w:val="00F56924"/>
    <w:rsid w:val="00F56A59"/>
    <w:rsid w:val="00F576FA"/>
    <w:rsid w:val="00F61CFB"/>
    <w:rsid w:val="00F63B9C"/>
    <w:rsid w:val="00F63D2C"/>
    <w:rsid w:val="00F6424C"/>
    <w:rsid w:val="00F812E3"/>
    <w:rsid w:val="00F84E0B"/>
    <w:rsid w:val="00F84F2D"/>
    <w:rsid w:val="00F95ACB"/>
    <w:rsid w:val="00FA16B7"/>
    <w:rsid w:val="00FA17DF"/>
    <w:rsid w:val="00FA5549"/>
    <w:rsid w:val="00FA5DD9"/>
    <w:rsid w:val="00FA7C0E"/>
    <w:rsid w:val="00FB0B43"/>
    <w:rsid w:val="00FC5D0E"/>
    <w:rsid w:val="00FD0E30"/>
    <w:rsid w:val="00FD108B"/>
    <w:rsid w:val="00FD1C45"/>
    <w:rsid w:val="00FD4958"/>
    <w:rsid w:val="00FD5399"/>
    <w:rsid w:val="00FE0D1D"/>
    <w:rsid w:val="00FE47EA"/>
    <w:rsid w:val="00FF083F"/>
    <w:rsid w:val="00FF35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EA4A"/>
  <w15:docId w15:val="{27D131A1-16E2-4C07-A0D3-B35667F8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99D"/>
    <w:pPr>
      <w:spacing w:after="160" w:line="259" w:lineRule="auto"/>
    </w:pPr>
    <w:rPr>
      <w:sz w:val="22"/>
      <w:szCs w:val="22"/>
      <w:lang w:eastAsia="en-US"/>
    </w:rPr>
  </w:style>
  <w:style w:type="paragraph" w:styleId="Ttulo1">
    <w:name w:val="heading 1"/>
    <w:basedOn w:val="Normal"/>
    <w:next w:val="Normal"/>
    <w:link w:val="Ttulo1Car"/>
    <w:uiPriority w:val="9"/>
    <w:qFormat/>
    <w:rsid w:val="005961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4 Viñ 1nivel,Numeración 1,Cuadrícula media 1 - Énfasis 21,Listas,lp1"/>
    <w:basedOn w:val="Normal"/>
    <w:link w:val="PrrafodelistaCar"/>
    <w:uiPriority w:val="34"/>
    <w:qFormat/>
    <w:rsid w:val="00F36A5D"/>
    <w:pPr>
      <w:ind w:left="708"/>
    </w:pPr>
  </w:style>
  <w:style w:type="character" w:customStyle="1" w:styleId="PrrafodelistaCar">
    <w:name w:val="Párrafo de lista Car"/>
    <w:aliases w:val="4 Viñ 1nivel Car,Numeración 1 Car,Cuadrícula media 1 - Énfasis 21 Car,Listas Car,lp1 Car"/>
    <w:link w:val="Prrafodelista"/>
    <w:uiPriority w:val="34"/>
    <w:locked/>
    <w:rsid w:val="009C07EA"/>
    <w:rPr>
      <w:sz w:val="22"/>
      <w:szCs w:val="22"/>
      <w:lang w:eastAsia="en-US"/>
    </w:rPr>
  </w:style>
  <w:style w:type="character" w:styleId="Textodelmarcadordeposicin">
    <w:name w:val="Placeholder Text"/>
    <w:uiPriority w:val="99"/>
    <w:rsid w:val="00230BD4"/>
    <w:rPr>
      <w:color w:val="808080"/>
    </w:rPr>
  </w:style>
  <w:style w:type="character" w:customStyle="1" w:styleId="Ttulo1Car">
    <w:name w:val="Título 1 Car"/>
    <w:basedOn w:val="Fuentedeprrafopredeter"/>
    <w:link w:val="Ttulo1"/>
    <w:uiPriority w:val="9"/>
    <w:rsid w:val="00596137"/>
    <w:rPr>
      <w:rFonts w:asciiTheme="majorHAnsi" w:eastAsiaTheme="majorEastAsia" w:hAnsiTheme="majorHAnsi" w:cstheme="majorBidi"/>
      <w:b/>
      <w:bCs/>
      <w:color w:val="2E74B5" w:themeColor="accent1" w:themeShade="BF"/>
      <w:sz w:val="28"/>
      <w:szCs w:val="28"/>
      <w:lang w:eastAsia="en-US"/>
    </w:rPr>
  </w:style>
  <w:style w:type="paragraph" w:customStyle="1" w:styleId="Default">
    <w:name w:val="Default"/>
    <w:rsid w:val="004147B0"/>
    <w:pPr>
      <w:autoSpaceDE w:val="0"/>
      <w:autoSpaceDN w:val="0"/>
      <w:adjustRightInd w:val="0"/>
    </w:pPr>
    <w:rPr>
      <w:rFonts w:ascii="ITC Avant Garde" w:hAnsi="ITC Avant Garde" w:cs="ITC Avant Garde"/>
      <w:color w:val="000000"/>
      <w:sz w:val="24"/>
      <w:szCs w:val="24"/>
      <w:lang w:val="en-US"/>
    </w:rPr>
  </w:style>
  <w:style w:type="paragraph" w:styleId="Textoindependiente">
    <w:name w:val="Body Text"/>
    <w:basedOn w:val="Normal"/>
    <w:link w:val="TextoindependienteCar"/>
    <w:qFormat/>
    <w:rsid w:val="00250801"/>
    <w:pPr>
      <w:spacing w:after="240" w:line="240" w:lineRule="auto"/>
    </w:pPr>
    <w:rPr>
      <w:rFonts w:asciiTheme="minorHAnsi" w:eastAsiaTheme="minorEastAsia" w:hAnsiTheme="minorHAnsi" w:cstheme="minorBidi"/>
      <w:sz w:val="24"/>
      <w:szCs w:val="24"/>
      <w:lang w:val="en-GB" w:eastAsia="ja-JP"/>
    </w:rPr>
  </w:style>
  <w:style w:type="character" w:customStyle="1" w:styleId="TextoindependienteCar">
    <w:name w:val="Texto independiente Car"/>
    <w:basedOn w:val="Fuentedeprrafopredeter"/>
    <w:link w:val="Textoindependiente"/>
    <w:rsid w:val="00250801"/>
    <w:rPr>
      <w:rFonts w:asciiTheme="minorHAnsi" w:eastAsiaTheme="minorEastAsia" w:hAnsiTheme="minorHAnsi" w:cstheme="minorBidi"/>
      <w:sz w:val="24"/>
      <w:szCs w:val="24"/>
      <w:lang w:val="en-GB" w:eastAsia="ja-JP"/>
    </w:rPr>
  </w:style>
  <w:style w:type="paragraph" w:customStyle="1" w:styleId="FooterInfo">
    <w:name w:val="FooterInfo"/>
    <w:basedOn w:val="Normal"/>
    <w:next w:val="Piedepgina"/>
    <w:link w:val="FooterInfoChar"/>
    <w:rsid w:val="00E278DA"/>
    <w:pPr>
      <w:tabs>
        <w:tab w:val="center" w:pos="4465"/>
        <w:tab w:val="right" w:pos="8931"/>
      </w:tabs>
    </w:pPr>
  </w:style>
  <w:style w:type="character" w:customStyle="1" w:styleId="FooterInfoChar">
    <w:name w:val="FooterInfo Char"/>
    <w:basedOn w:val="Fuentedeprrafopredeter"/>
    <w:link w:val="FooterInfo"/>
    <w:rsid w:val="00E278DA"/>
    <w:rPr>
      <w:sz w:val="22"/>
      <w:szCs w:val="22"/>
      <w:lang w:eastAsia="en-US"/>
    </w:rPr>
  </w:style>
  <w:style w:type="paragraph" w:styleId="Revisin">
    <w:name w:val="Revision"/>
    <w:hidden/>
    <w:uiPriority w:val="71"/>
    <w:semiHidden/>
    <w:rsid w:val="00B0147F"/>
    <w:rPr>
      <w:sz w:val="22"/>
      <w:szCs w:val="22"/>
      <w:lang w:eastAsia="en-US"/>
    </w:rPr>
  </w:style>
  <w:style w:type="paragraph" w:styleId="Textonotapie">
    <w:name w:val="footnote text"/>
    <w:basedOn w:val="Normal"/>
    <w:link w:val="TextonotapieCar"/>
    <w:uiPriority w:val="99"/>
    <w:unhideWhenUsed/>
    <w:qFormat/>
    <w:rsid w:val="00A52646"/>
    <w:pPr>
      <w:spacing w:after="0" w:line="240" w:lineRule="auto"/>
    </w:pPr>
    <w:rPr>
      <w:sz w:val="20"/>
      <w:szCs w:val="20"/>
    </w:rPr>
  </w:style>
  <w:style w:type="character" w:customStyle="1" w:styleId="TextonotapieCar">
    <w:name w:val="Texto nota pie Car"/>
    <w:basedOn w:val="Fuentedeprrafopredeter"/>
    <w:link w:val="Textonotapie"/>
    <w:uiPriority w:val="99"/>
    <w:rsid w:val="00A52646"/>
    <w:rPr>
      <w:lang w:eastAsia="en-US"/>
    </w:rPr>
  </w:style>
  <w:style w:type="character" w:styleId="Refdenotaalpie">
    <w:name w:val="footnote reference"/>
    <w:basedOn w:val="Fuentedeprrafopredeter"/>
    <w:uiPriority w:val="99"/>
    <w:unhideWhenUsed/>
    <w:rsid w:val="00A52646"/>
    <w:rPr>
      <w:vertAlign w:val="superscript"/>
    </w:rPr>
  </w:style>
  <w:style w:type="paragraph" w:styleId="Descripcin">
    <w:name w:val="caption"/>
    <w:basedOn w:val="Normal"/>
    <w:next w:val="Normal"/>
    <w:uiPriority w:val="35"/>
    <w:unhideWhenUsed/>
    <w:qFormat/>
    <w:rsid w:val="00265FCC"/>
    <w:pPr>
      <w:spacing w:after="0" w:line="240" w:lineRule="auto"/>
      <w:jc w:val="both"/>
    </w:pPr>
    <w:rPr>
      <w:rFonts w:asciiTheme="minorHAnsi" w:eastAsiaTheme="minorHAnsi" w:hAnsiTheme="minorHAnsi" w:cstheme="minorBidi"/>
      <w:b/>
      <w:bCs/>
      <w:color w:val="404040" w:themeColor="text1" w:themeTint="BF"/>
      <w:szCs w:val="18"/>
      <w:lang w:val="en-US"/>
    </w:rPr>
  </w:style>
  <w:style w:type="paragraph" w:styleId="HTMLconformatoprevio">
    <w:name w:val="HTML Preformatted"/>
    <w:basedOn w:val="Normal"/>
    <w:link w:val="HTMLconformatoprevioCar"/>
    <w:uiPriority w:val="99"/>
    <w:unhideWhenUsed/>
    <w:rsid w:val="0090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901C87"/>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025199">
      <w:bodyDiv w:val="1"/>
      <w:marLeft w:val="0"/>
      <w:marRight w:val="0"/>
      <w:marTop w:val="0"/>
      <w:marBottom w:val="0"/>
      <w:divBdr>
        <w:top w:val="none" w:sz="0" w:space="0" w:color="auto"/>
        <w:left w:val="none" w:sz="0" w:space="0" w:color="auto"/>
        <w:bottom w:val="none" w:sz="0" w:space="0" w:color="auto"/>
        <w:right w:val="none" w:sz="0" w:space="0" w:color="auto"/>
      </w:divBdr>
    </w:div>
    <w:div w:id="826432380">
      <w:bodyDiv w:val="1"/>
      <w:marLeft w:val="0"/>
      <w:marRight w:val="0"/>
      <w:marTop w:val="0"/>
      <w:marBottom w:val="0"/>
      <w:divBdr>
        <w:top w:val="none" w:sz="0" w:space="0" w:color="auto"/>
        <w:left w:val="none" w:sz="0" w:space="0" w:color="auto"/>
        <w:bottom w:val="none" w:sz="0" w:space="0" w:color="auto"/>
        <w:right w:val="none" w:sz="0" w:space="0" w:color="auto"/>
      </w:divBdr>
    </w:div>
    <w:div w:id="1077946901">
      <w:bodyDiv w:val="1"/>
      <w:marLeft w:val="0"/>
      <w:marRight w:val="0"/>
      <w:marTop w:val="0"/>
      <w:marBottom w:val="0"/>
      <w:divBdr>
        <w:top w:val="none" w:sz="0" w:space="0" w:color="auto"/>
        <w:left w:val="none" w:sz="0" w:space="0" w:color="auto"/>
        <w:bottom w:val="none" w:sz="0" w:space="0" w:color="auto"/>
        <w:right w:val="none" w:sz="0" w:space="0" w:color="auto"/>
      </w:divBdr>
      <w:divsChild>
        <w:div w:id="645820736">
          <w:marLeft w:val="0"/>
          <w:marRight w:val="0"/>
          <w:marTop w:val="0"/>
          <w:marBottom w:val="0"/>
          <w:divBdr>
            <w:top w:val="none" w:sz="0" w:space="0" w:color="auto"/>
            <w:left w:val="none" w:sz="0" w:space="0" w:color="auto"/>
            <w:bottom w:val="none" w:sz="0" w:space="0" w:color="auto"/>
            <w:right w:val="none" w:sz="0" w:space="0" w:color="auto"/>
          </w:divBdr>
        </w:div>
      </w:divsChild>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sanchezb@ift.org.mx" TargetMode="External"/><Relationship Id="rId18" Type="http://schemas.openxmlformats.org/officeDocument/2006/relationships/hyperlink" Target="mailto:isabel.delavega@ift.org.m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federico.saggiante@ift.org.m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arlos.sanchezb@ift.org.mx" TargetMode="External"/><Relationship Id="rId20" Type="http://schemas.openxmlformats.org/officeDocument/2006/relationships/hyperlink" Target="https://www.ic.gc.ca/eic/site/smt-gst.nsf/vwapj/AWS-4_Dec2014-e.pdf/$file/AWS-4_Dec2014-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ift9@ift.org.m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isabel.delavega@ift.org.mx"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derico.saggiante@ift.org.mx"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32007D0098" TargetMode="External"/><Relationship Id="rId3" Type="http://schemas.openxmlformats.org/officeDocument/2006/relationships/hyperlink" Target="https://www.etsi.org/deliver/etsi_ts/125100_125199/125106/12.01.00_60/ts_125106v120100p.pdf" TargetMode="External"/><Relationship Id="rId7" Type="http://schemas.openxmlformats.org/officeDocument/2006/relationships/hyperlink" Target="https://www.fcc.gov/document/aws-2000-20202180-2200-mhz-aws-4-order-adopted" TargetMode="External"/><Relationship Id="rId2" Type="http://schemas.openxmlformats.org/officeDocument/2006/relationships/hyperlink" Target="https://www.itu.int/md/R15-CPM19.02-C-0001/en" TargetMode="External"/><Relationship Id="rId1" Type="http://schemas.openxmlformats.org/officeDocument/2006/relationships/hyperlink" Target="https://www.itu.int/dms_ties/itu-r/md/15/wp5d/c/R15-WP5D-C-1110!H04!MSW-E.docx" TargetMode="External"/><Relationship Id="rId6" Type="http://schemas.openxmlformats.org/officeDocument/2006/relationships/hyperlink" Target="http://rpc.ift.org.mx/rpc/pdfs/85827_180212165705_8003.pdf" TargetMode="External"/><Relationship Id="rId5" Type="http://schemas.openxmlformats.org/officeDocument/2006/relationships/hyperlink" Target="https://www.itu.int/dms_ties/itu-r/md/15/wp5d/c/R15-WP5D-C-1110!H04!MSW-E.docx" TargetMode="External"/><Relationship Id="rId10" Type="http://schemas.openxmlformats.org/officeDocument/2006/relationships/hyperlink" Target="https://www.ic.gc.ca/eic/site/smt-gst.nsf/vwapj/AWS-4_Dec2014-e.pdf/$file/AWS-4_Dec2014-e.pdf" TargetMode="External"/><Relationship Id="rId4" Type="http://schemas.openxmlformats.org/officeDocument/2006/relationships/hyperlink" Target="https://www.itu.int/rec/R-REC-M.1580-5-201402-I/es" TargetMode="External"/><Relationship Id="rId9" Type="http://schemas.openxmlformats.org/officeDocument/2006/relationships/hyperlink" Target="http://www.ift.org.mx/sites/default/files/industria/espectro-radioelectrico/espectro/2015/3/basesdelicitacionift-3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75AFD12F484D6C9216514445782D19"/>
        <w:category>
          <w:name w:val="General"/>
          <w:gallery w:val="placeholder"/>
        </w:category>
        <w:types>
          <w:type w:val="bbPlcHdr"/>
        </w:types>
        <w:behaviors>
          <w:behavior w:val="content"/>
        </w:behaviors>
        <w:guid w:val="{9E122BDC-639A-40EE-8F91-C0C44E1FBE87}"/>
      </w:docPartPr>
      <w:docPartBody>
        <w:p w:rsidR="002F7BC8" w:rsidRDefault="004B5691" w:rsidP="004B5691">
          <w:pPr>
            <w:pStyle w:val="4A75AFD12F484D6C9216514445782D1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ITC Avant Garde">
    <w:altName w:val="Calibri"/>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691"/>
    <w:rsid w:val="00074B8E"/>
    <w:rsid w:val="000A12D5"/>
    <w:rsid w:val="000A1E45"/>
    <w:rsid w:val="00126144"/>
    <w:rsid w:val="002F7BC8"/>
    <w:rsid w:val="0049264A"/>
    <w:rsid w:val="004B5691"/>
    <w:rsid w:val="00767934"/>
    <w:rsid w:val="007D31B6"/>
    <w:rsid w:val="007E638F"/>
    <w:rsid w:val="0084074A"/>
    <w:rsid w:val="00942554"/>
    <w:rsid w:val="00C77A7C"/>
    <w:rsid w:val="00DC0A2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B5691"/>
    <w:rPr>
      <w:color w:val="808080"/>
    </w:rPr>
  </w:style>
  <w:style w:type="paragraph" w:customStyle="1" w:styleId="4A75AFD12F484D6C9216514445782D19">
    <w:name w:val="4A75AFD12F484D6C9216514445782D19"/>
    <w:rsid w:val="004B5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380F-5351-4F85-8561-9D95F2E82C7C}">
  <ds:schemaRefs>
    <ds:schemaRef ds:uri="http://schemas.microsoft.com/sharepoint/v3/contenttype/forms"/>
  </ds:schemaRefs>
</ds:datastoreItem>
</file>

<file path=customXml/itemProps2.xml><?xml version="1.0" encoding="utf-8"?>
<ds:datastoreItem xmlns:ds="http://schemas.openxmlformats.org/officeDocument/2006/customXml" ds:itemID="{99C861F3-C7F6-4795-8135-09B90B67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A236B9-DC6F-4079-A28D-92A38BF6D8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F2380C-226E-784D-B066-0A10F3B3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18749</Words>
  <Characters>103124</Characters>
  <Application>Microsoft Office Word</Application>
  <DocSecurity>0</DocSecurity>
  <Lines>859</Lines>
  <Paragraphs>243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Hogan Lovells US LLP</Company>
  <LinksUpToDate>false</LinksUpToDate>
  <CharactersWithSpaces>121630</CharactersWithSpaces>
  <SharedDoc>false</SharedDoc>
  <HLinks>
    <vt:vector size="54" baseType="variant">
      <vt:variant>
        <vt:i4>5046362</vt:i4>
      </vt:variant>
      <vt:variant>
        <vt:i4>24</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5832826</vt:i4>
      </vt:variant>
      <vt:variant>
        <vt:i4>21</vt:i4>
      </vt:variant>
      <vt:variant>
        <vt:i4>0</vt:i4>
      </vt:variant>
      <vt:variant>
        <vt:i4>5</vt:i4>
      </vt:variant>
      <vt:variant>
        <vt:lpwstr>mailto:isabel.delavega@ift.org.mx</vt:lpwstr>
      </vt:variant>
      <vt:variant>
        <vt:lpwstr/>
      </vt:variant>
      <vt:variant>
        <vt:i4>6291522</vt:i4>
      </vt:variant>
      <vt:variant>
        <vt:i4>18</vt:i4>
      </vt:variant>
      <vt:variant>
        <vt:i4>0</vt:i4>
      </vt:variant>
      <vt:variant>
        <vt:i4>5</vt:i4>
      </vt:variant>
      <vt:variant>
        <vt:lpwstr>mailto:federico.saggiante@ift.org.mx</vt:lpwstr>
      </vt:variant>
      <vt:variant>
        <vt:lpwstr/>
      </vt:variant>
      <vt:variant>
        <vt:i4>5177455</vt:i4>
      </vt:variant>
      <vt:variant>
        <vt:i4>15</vt:i4>
      </vt:variant>
      <vt:variant>
        <vt:i4>0</vt:i4>
      </vt:variant>
      <vt:variant>
        <vt:i4>5</vt:i4>
      </vt:variant>
      <vt:variant>
        <vt:lpwstr>mailto:carlos.sanchezb@ift.org.mx</vt:lpwstr>
      </vt:variant>
      <vt:variant>
        <vt:lpwstr/>
      </vt:variant>
      <vt:variant>
        <vt:i4>5832826</vt:i4>
      </vt:variant>
      <vt:variant>
        <vt:i4>12</vt:i4>
      </vt:variant>
      <vt:variant>
        <vt:i4>0</vt:i4>
      </vt:variant>
      <vt:variant>
        <vt:i4>5</vt:i4>
      </vt:variant>
      <vt:variant>
        <vt:lpwstr>mailto:isabel.delavega@ift.org.mx</vt:lpwstr>
      </vt:variant>
      <vt:variant>
        <vt:lpwstr/>
      </vt:variant>
      <vt:variant>
        <vt:i4>6291522</vt:i4>
      </vt:variant>
      <vt:variant>
        <vt:i4>9</vt:i4>
      </vt:variant>
      <vt:variant>
        <vt:i4>0</vt:i4>
      </vt:variant>
      <vt:variant>
        <vt:i4>5</vt:i4>
      </vt:variant>
      <vt:variant>
        <vt:lpwstr>mailto:federico.saggiante@ift.org.mx</vt:lpwstr>
      </vt:variant>
      <vt:variant>
        <vt:lpwstr/>
      </vt:variant>
      <vt:variant>
        <vt:i4>5177455</vt:i4>
      </vt:variant>
      <vt:variant>
        <vt:i4>6</vt:i4>
      </vt:variant>
      <vt:variant>
        <vt:i4>0</vt:i4>
      </vt:variant>
      <vt:variant>
        <vt:i4>5</vt:i4>
      </vt:variant>
      <vt:variant>
        <vt:lpwstr>mailto:carlos.sanchezb@ift.org.mx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2359307</vt:i4>
      </vt:variant>
      <vt:variant>
        <vt:i4>0</vt:i4>
      </vt:variant>
      <vt:variant>
        <vt:i4>0</vt:i4>
      </vt:variant>
      <vt:variant>
        <vt:i4>5</vt:i4>
      </vt:variant>
      <vt:variant>
        <vt:lpwstr>mailto:licitacionift9@ift.org.mx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Rosas Yanez</dc:creator>
  <cp:lastModifiedBy>Jose Manuel Cisneros Polo</cp:lastModifiedBy>
  <cp:revision>2</cp:revision>
  <cp:lastPrinted>2018-11-16T16:07:00Z</cp:lastPrinted>
  <dcterms:created xsi:type="dcterms:W3CDTF">2018-11-26T19:32:00Z</dcterms:created>
  <dcterms:modified xsi:type="dcterms:W3CDTF">2018-11-26T19:32:00Z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