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4A534" w14:textId="77777777" w:rsidR="0038199D" w:rsidRDefault="0038199D" w:rsidP="00FC6EE4">
      <w:pPr>
        <w:spacing w:after="0"/>
        <w:jc w:val="center"/>
        <w:rPr>
          <w:rFonts w:ascii="Century Gothic" w:hAnsi="Century Gothic"/>
          <w:b/>
        </w:rPr>
      </w:pPr>
      <w:r w:rsidRPr="007A6974">
        <w:rPr>
          <w:rFonts w:ascii="Century Gothic" w:hAnsi="Century Gothic"/>
          <w:b/>
        </w:rPr>
        <w:t>FORMATO PARA PARTICIPAR EN LA CONSULTA PÚBLICA</w:t>
      </w:r>
    </w:p>
    <w:p w14:paraId="38C298CD" w14:textId="77777777" w:rsidR="006601AF" w:rsidRPr="007A6974" w:rsidRDefault="006601AF" w:rsidP="00C900FF">
      <w:pPr>
        <w:spacing w:after="0"/>
        <w:rPr>
          <w:rFonts w:ascii="Century Gothic" w:hAnsi="Century Gothic"/>
          <w:b/>
        </w:rPr>
      </w:pPr>
    </w:p>
    <w:p w14:paraId="1C6CD34E" w14:textId="77777777"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14:paraId="15F32138" w14:textId="77777777" w:rsidR="004970C4" w:rsidRPr="007A6974" w:rsidRDefault="004970C4" w:rsidP="007A6974">
      <w:pPr>
        <w:spacing w:after="0"/>
        <w:rPr>
          <w:rFonts w:ascii="Century Gothic" w:hAnsi="Century Gothic"/>
          <w:b/>
          <w:sz w:val="16"/>
        </w:rPr>
      </w:pPr>
    </w:p>
    <w:p w14:paraId="2B4E1891" w14:textId="5507AAED" w:rsidR="0038199D" w:rsidRPr="007A6974" w:rsidRDefault="0038199D" w:rsidP="00991385">
      <w:pPr>
        <w:pStyle w:val="Listavistosa-nfasis11"/>
        <w:numPr>
          <w:ilvl w:val="0"/>
          <w:numId w:val="1"/>
        </w:numPr>
        <w:spacing w:after="0"/>
        <w:ind w:left="426" w:right="49" w:hanging="371"/>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hyperlink r:id="rId11" w:history="1">
        <w:r w:rsidR="00063D3C" w:rsidRPr="00063D3C">
          <w:rPr>
            <w:rStyle w:val="Hipervnculo"/>
            <w:rFonts w:ascii="Century Gothic" w:hAnsi="Century Gothic"/>
            <w:sz w:val="14"/>
            <w:szCs w:val="14"/>
          </w:rPr>
          <w:t>segunda_bienal_radio@ift.org.mx</w:t>
        </w:r>
      </w:hyperlink>
      <w:r w:rsidRPr="007A6974">
        <w:rPr>
          <w:rFonts w:ascii="Century Gothic" w:hAnsi="Century Gothic"/>
          <w:sz w:val="14"/>
          <w:szCs w:val="14"/>
        </w:rPr>
        <w:t>, en donde</w:t>
      </w:r>
      <w:r w:rsidR="00CC53F7">
        <w:rPr>
          <w:rFonts w:ascii="Century Gothic" w:hAnsi="Century Gothic"/>
          <w:sz w:val="14"/>
          <w:szCs w:val="14"/>
        </w:rPr>
        <w:t xml:space="preserve"> se deberá</w:t>
      </w:r>
      <w:r w:rsidR="00CC53F7" w:rsidRPr="007A6974">
        <w:rPr>
          <w:rFonts w:ascii="Century Gothic" w:hAnsi="Century Gothic"/>
          <w:sz w:val="14"/>
          <w:szCs w:val="14"/>
        </w:rPr>
        <w:t xml:space="preserve"> </w:t>
      </w:r>
      <w:r w:rsidRPr="007A6974">
        <w:rPr>
          <w:rFonts w:ascii="Century Gothic" w:hAnsi="Century Gothic"/>
          <w:sz w:val="14"/>
          <w:szCs w:val="14"/>
        </w:rPr>
        <w:t xml:space="preserve">considerar que la capacidad límite para la </w:t>
      </w:r>
      <w:r w:rsidR="00CC53F7">
        <w:rPr>
          <w:rFonts w:ascii="Century Gothic" w:hAnsi="Century Gothic"/>
          <w:sz w:val="14"/>
          <w:szCs w:val="14"/>
        </w:rPr>
        <w:t>recepción</w:t>
      </w:r>
      <w:r w:rsidR="00CC53F7" w:rsidRPr="007A6974">
        <w:rPr>
          <w:rFonts w:ascii="Century Gothic" w:hAnsi="Century Gothic"/>
          <w:sz w:val="14"/>
          <w:szCs w:val="14"/>
        </w:rPr>
        <w:t xml:space="preserve"> </w:t>
      </w:r>
      <w:r w:rsidRPr="007A6974">
        <w:rPr>
          <w:rFonts w:ascii="Century Gothic" w:hAnsi="Century Gothic"/>
          <w:sz w:val="14"/>
          <w:szCs w:val="14"/>
        </w:rPr>
        <w:t xml:space="preserve">de archivos es de </w:t>
      </w:r>
      <w:r w:rsidR="00B533DC">
        <w:rPr>
          <w:rFonts w:ascii="Century Gothic" w:hAnsi="Century Gothic"/>
          <w:sz w:val="14"/>
          <w:szCs w:val="14"/>
        </w:rPr>
        <w:t>25 Mb</w:t>
      </w:r>
      <w:r w:rsidRPr="007A6974">
        <w:rPr>
          <w:rFonts w:ascii="Century Gothic" w:hAnsi="Century Gothic"/>
          <w:sz w:val="14"/>
          <w:szCs w:val="14"/>
        </w:rPr>
        <w:t>.</w:t>
      </w:r>
    </w:p>
    <w:p w14:paraId="6E11477E" w14:textId="77777777" w:rsidR="0038199D" w:rsidRPr="007A6974" w:rsidRDefault="0038199D" w:rsidP="00C900FF">
      <w:pPr>
        <w:pStyle w:val="Listavistosa-nfasis11"/>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14:paraId="27F09E4B" w14:textId="77777777" w:rsidR="008200BE" w:rsidRPr="007A6974" w:rsidRDefault="008200BE" w:rsidP="00C900FF">
      <w:pPr>
        <w:pStyle w:val="Listavistosa-nfasis11"/>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olor w:val="000000"/>
          <w:sz w:val="14"/>
          <w:szCs w:val="16"/>
          <w:lang w:eastAsia="es-MX"/>
        </w:rPr>
        <w:t>l</w:t>
      </w:r>
      <w:r w:rsidRPr="00605BD9">
        <w:rPr>
          <w:rFonts w:ascii="Century Gothic" w:eastAsia="Times New Roman" w:hAnsi="Century Gothic"/>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14:paraId="54F55DEA" w14:textId="54C9EF04" w:rsidR="0038199D" w:rsidRDefault="00800852" w:rsidP="00C900FF">
      <w:pPr>
        <w:pStyle w:val="Listavistosa-nfasis11"/>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 xml:space="preserve">Vierta sus comentarios conforme </w:t>
      </w:r>
      <w:r w:rsidR="00311755">
        <w:rPr>
          <w:rFonts w:ascii="Century Gothic" w:hAnsi="Century Gothic"/>
          <w:sz w:val="14"/>
          <w:szCs w:val="14"/>
        </w:rPr>
        <w:t>a la estructura de la Sección IV</w:t>
      </w:r>
      <w:r>
        <w:rPr>
          <w:rFonts w:ascii="Century Gothic" w:hAnsi="Century Gothic"/>
          <w:sz w:val="14"/>
          <w:szCs w:val="14"/>
        </w:rPr>
        <w:t xml:space="preserve"> del presente formato</w:t>
      </w:r>
      <w:r w:rsidR="0038199D" w:rsidRPr="007A6974">
        <w:rPr>
          <w:rFonts w:ascii="Century Gothic" w:hAnsi="Century Gothic"/>
          <w:sz w:val="14"/>
          <w:szCs w:val="14"/>
        </w:rPr>
        <w:t>.</w:t>
      </w:r>
    </w:p>
    <w:p w14:paraId="61E35786" w14:textId="3646C047" w:rsidR="008B2F24" w:rsidRPr="008B2F24" w:rsidRDefault="008B2F24" w:rsidP="008B2F24">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 xml:space="preserve">De contar con observaciones generales o alguna aportación adicional proporciónelos en </w:t>
      </w:r>
      <w:r w:rsidR="004E66C7">
        <w:rPr>
          <w:rFonts w:ascii="ITC Avant Garde" w:hAnsi="ITC Avant Garde"/>
          <w:sz w:val="14"/>
          <w:szCs w:val="14"/>
        </w:rPr>
        <w:t>la Sección V del presente formato.</w:t>
      </w:r>
    </w:p>
    <w:p w14:paraId="56EAEEA1" w14:textId="77777777" w:rsidR="0038199D" w:rsidRPr="007A6974" w:rsidRDefault="00800852" w:rsidP="00C900FF">
      <w:pPr>
        <w:pStyle w:val="Listavistosa-nfasis11"/>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7EF9C4D4" w14:textId="43C12E05" w:rsidR="004E66C7" w:rsidRDefault="0038199D" w:rsidP="004E66C7">
      <w:pPr>
        <w:pStyle w:val="Listavistosa-nfasis11"/>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El período de consulta pública será del</w:t>
      </w:r>
      <w:r w:rsidR="000D2838" w:rsidRPr="007A6974">
        <w:rPr>
          <w:rFonts w:ascii="Century Gothic" w:hAnsi="Century Gothic"/>
          <w:sz w:val="14"/>
          <w:szCs w:val="14"/>
        </w:rPr>
        <w:t xml:space="preserve"> </w:t>
      </w:r>
      <w:r w:rsidR="00042E9E">
        <w:rPr>
          <w:rFonts w:ascii="Century Gothic" w:hAnsi="Century Gothic"/>
          <w:sz w:val="14"/>
          <w:szCs w:val="14"/>
        </w:rPr>
        <w:t>25</w:t>
      </w:r>
      <w:r w:rsidR="008C679D">
        <w:rPr>
          <w:rFonts w:ascii="Century Gothic" w:hAnsi="Century Gothic"/>
          <w:sz w:val="14"/>
          <w:szCs w:val="14"/>
        </w:rPr>
        <w:t xml:space="preserve"> de </w:t>
      </w:r>
      <w:r w:rsidR="00042E9E">
        <w:rPr>
          <w:rFonts w:ascii="Century Gothic" w:hAnsi="Century Gothic"/>
          <w:sz w:val="14"/>
          <w:szCs w:val="14"/>
        </w:rPr>
        <w:t>marzo</w:t>
      </w:r>
      <w:r w:rsidR="000D2838" w:rsidRPr="007A6974">
        <w:rPr>
          <w:rFonts w:ascii="Century Gothic" w:hAnsi="Century Gothic"/>
          <w:sz w:val="14"/>
          <w:szCs w:val="14"/>
        </w:rPr>
        <w:t xml:space="preserve"> al</w:t>
      </w:r>
      <w:r w:rsidR="00042E9E">
        <w:rPr>
          <w:rFonts w:ascii="Century Gothic" w:hAnsi="Century Gothic"/>
          <w:sz w:val="14"/>
          <w:szCs w:val="14"/>
        </w:rPr>
        <w:t xml:space="preserve"> </w:t>
      </w:r>
      <w:r w:rsidR="00B27331">
        <w:rPr>
          <w:rFonts w:ascii="Century Gothic" w:hAnsi="Century Gothic"/>
          <w:sz w:val="14"/>
          <w:szCs w:val="14"/>
        </w:rPr>
        <w:t>27</w:t>
      </w:r>
      <w:r w:rsidR="000D2838" w:rsidRPr="007A6974">
        <w:rPr>
          <w:rFonts w:ascii="Century Gothic" w:hAnsi="Century Gothic"/>
          <w:sz w:val="14"/>
          <w:szCs w:val="14"/>
        </w:rPr>
        <w:t xml:space="preserve"> de </w:t>
      </w:r>
      <w:r w:rsidR="00B27331">
        <w:rPr>
          <w:rFonts w:ascii="Century Gothic" w:hAnsi="Century Gothic"/>
          <w:sz w:val="14"/>
          <w:szCs w:val="14"/>
        </w:rPr>
        <w:t xml:space="preserve">mayo </w:t>
      </w:r>
      <w:r w:rsidR="000D2838" w:rsidRPr="007A6974">
        <w:rPr>
          <w:rFonts w:ascii="Century Gothic" w:hAnsi="Century Gothic"/>
          <w:sz w:val="14"/>
          <w:szCs w:val="14"/>
        </w:rPr>
        <w:t>de 20</w:t>
      </w:r>
      <w:r w:rsidR="00B533DC">
        <w:rPr>
          <w:rFonts w:ascii="Century Gothic" w:hAnsi="Century Gothic"/>
          <w:sz w:val="14"/>
          <w:szCs w:val="14"/>
        </w:rPr>
        <w:t>1</w:t>
      </w:r>
      <w:r w:rsidR="00042E9E">
        <w:rPr>
          <w:rFonts w:ascii="Century Gothic" w:hAnsi="Century Gothic"/>
          <w:sz w:val="14"/>
          <w:szCs w:val="14"/>
        </w:rPr>
        <w:t>9 (</w:t>
      </w:r>
      <w:r w:rsidR="00B27331">
        <w:rPr>
          <w:rFonts w:ascii="Century Gothic" w:hAnsi="Century Gothic"/>
          <w:sz w:val="14"/>
          <w:szCs w:val="14"/>
        </w:rPr>
        <w:t>i.e. 4</w:t>
      </w:r>
      <w:r w:rsidR="00042E9E">
        <w:rPr>
          <w:rFonts w:ascii="Century Gothic" w:hAnsi="Century Gothic"/>
          <w:sz w:val="14"/>
          <w:szCs w:val="14"/>
        </w:rPr>
        <w:t>0 días hábiles)</w:t>
      </w:r>
      <w:r w:rsidRPr="007A6974">
        <w:rPr>
          <w:rFonts w:ascii="Century Gothic" w:hAnsi="Century Gothic"/>
          <w:sz w:val="14"/>
          <w:szCs w:val="14"/>
        </w:rPr>
        <w:t>. Una vez concluido</w:t>
      </w:r>
      <w:r w:rsidR="00CC53F7">
        <w:rPr>
          <w:rFonts w:ascii="Century Gothic" w:hAnsi="Century Gothic"/>
          <w:sz w:val="14"/>
          <w:szCs w:val="14"/>
        </w:rPr>
        <w:t xml:space="preserve"> dicho periodo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2"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14:paraId="3A754E28" w14:textId="2A521444" w:rsidR="00D26916" w:rsidRPr="004E66C7" w:rsidRDefault="000D2838" w:rsidP="004E66C7">
      <w:pPr>
        <w:pStyle w:val="Listavistosa-nfasis11"/>
        <w:numPr>
          <w:ilvl w:val="0"/>
          <w:numId w:val="1"/>
        </w:numPr>
        <w:spacing w:after="0"/>
        <w:ind w:left="426" w:right="49" w:hanging="426"/>
        <w:jc w:val="both"/>
        <w:rPr>
          <w:rFonts w:ascii="Century Gothic" w:hAnsi="Century Gothic"/>
          <w:sz w:val="14"/>
          <w:szCs w:val="14"/>
        </w:rPr>
      </w:pPr>
      <w:r w:rsidRPr="004E66C7">
        <w:rPr>
          <w:rFonts w:ascii="Century Gothic" w:hAnsi="Century Gothic"/>
          <w:sz w:val="14"/>
          <w:szCs w:val="14"/>
        </w:rPr>
        <w:t xml:space="preserve">Para cualquier duda, comentario o inquietud sobre el presente proceso consultivo, el Instituto pone a </w:t>
      </w:r>
      <w:r w:rsidR="008F2B1A" w:rsidRPr="004E66C7">
        <w:rPr>
          <w:rFonts w:ascii="Century Gothic" w:hAnsi="Century Gothic"/>
          <w:sz w:val="14"/>
          <w:szCs w:val="14"/>
        </w:rPr>
        <w:t xml:space="preserve">su </w:t>
      </w:r>
      <w:r w:rsidR="00A75A67" w:rsidRPr="004E66C7">
        <w:rPr>
          <w:rFonts w:ascii="Century Gothic" w:hAnsi="Century Gothic"/>
          <w:sz w:val="14"/>
          <w:szCs w:val="14"/>
        </w:rPr>
        <w:t>disposición</w:t>
      </w:r>
      <w:r w:rsidR="00F212B2" w:rsidRPr="004E66C7">
        <w:rPr>
          <w:rFonts w:ascii="Century Gothic" w:hAnsi="Century Gothic"/>
          <w:sz w:val="14"/>
          <w:szCs w:val="14"/>
        </w:rPr>
        <w:t xml:space="preserve"> </w:t>
      </w:r>
      <w:r w:rsidR="00A75A67" w:rsidRPr="004E66C7">
        <w:rPr>
          <w:rFonts w:ascii="Century Gothic" w:hAnsi="Century Gothic"/>
          <w:sz w:val="14"/>
          <w:szCs w:val="14"/>
        </w:rPr>
        <w:t>el</w:t>
      </w:r>
      <w:r w:rsidRPr="004E66C7">
        <w:rPr>
          <w:rFonts w:ascii="Century Gothic" w:hAnsi="Century Gothic"/>
          <w:sz w:val="14"/>
          <w:szCs w:val="14"/>
        </w:rPr>
        <w:t xml:space="preserve"> siguiente punto de contacto:</w:t>
      </w:r>
      <w:r w:rsidR="00645CF3" w:rsidRPr="004E66C7">
        <w:rPr>
          <w:rFonts w:ascii="Century Gothic" w:hAnsi="Century Gothic"/>
          <w:sz w:val="14"/>
          <w:szCs w:val="14"/>
        </w:rPr>
        <w:t xml:space="preserve"> </w:t>
      </w:r>
      <w:r w:rsidR="003F31A2">
        <w:rPr>
          <w:rFonts w:ascii="Century Gothic" w:hAnsi="Century Gothic"/>
          <w:sz w:val="14"/>
          <w:szCs w:val="14"/>
        </w:rPr>
        <w:t>Guillermo Bueno Ibarra</w:t>
      </w:r>
      <w:r w:rsidR="00645CF3" w:rsidRPr="004E66C7" w:rsidDel="00645CF3">
        <w:rPr>
          <w:rFonts w:ascii="Century Gothic" w:hAnsi="Century Gothic"/>
          <w:sz w:val="14"/>
          <w:szCs w:val="14"/>
        </w:rPr>
        <w:t xml:space="preserve"> </w:t>
      </w:r>
      <w:r w:rsidR="000E41F3" w:rsidRPr="004E66C7">
        <w:rPr>
          <w:rFonts w:ascii="Century Gothic" w:hAnsi="Century Gothic"/>
          <w:sz w:val="14"/>
          <w:szCs w:val="14"/>
        </w:rPr>
        <w:t xml:space="preserve">, </w:t>
      </w:r>
      <w:r w:rsidR="003F31A2">
        <w:rPr>
          <w:rFonts w:ascii="Century Gothic" w:hAnsi="Century Gothic"/>
          <w:sz w:val="14"/>
          <w:szCs w:val="14"/>
        </w:rPr>
        <w:t>Subd</w:t>
      </w:r>
      <w:r w:rsidR="00645CF3" w:rsidRPr="004E66C7">
        <w:rPr>
          <w:rFonts w:ascii="Century Gothic" w:hAnsi="Century Gothic"/>
          <w:sz w:val="14"/>
          <w:szCs w:val="14"/>
        </w:rPr>
        <w:t xml:space="preserve">irector de </w:t>
      </w:r>
      <w:r w:rsidR="003F31A2">
        <w:rPr>
          <w:rFonts w:ascii="Century Gothic" w:hAnsi="Century Gothic"/>
          <w:sz w:val="14"/>
          <w:szCs w:val="14"/>
        </w:rPr>
        <w:t>Regulación</w:t>
      </w:r>
      <w:r w:rsidR="00645CF3" w:rsidRPr="004E66C7">
        <w:rPr>
          <w:rFonts w:ascii="Century Gothic" w:hAnsi="Century Gothic"/>
          <w:sz w:val="14"/>
          <w:szCs w:val="14"/>
        </w:rPr>
        <w:t xml:space="preserve"> de Redes de Telecomunicaciones y Radiodifusión de la Unidad de Política Regulatoria</w:t>
      </w:r>
      <w:r w:rsidR="000E41F3" w:rsidRPr="004E66C7">
        <w:rPr>
          <w:rFonts w:ascii="Century Gothic" w:hAnsi="Century Gothic"/>
          <w:sz w:val="14"/>
          <w:szCs w:val="14"/>
        </w:rPr>
        <w:t xml:space="preserve">, </w:t>
      </w:r>
      <w:r w:rsidRPr="004E66C7">
        <w:rPr>
          <w:rFonts w:ascii="Century Gothic" w:hAnsi="Century Gothic"/>
          <w:sz w:val="14"/>
          <w:szCs w:val="14"/>
        </w:rPr>
        <w:t xml:space="preserve">correo electrónico: </w:t>
      </w:r>
      <w:hyperlink r:id="rId13" w:history="1">
        <w:r w:rsidR="003F31A2" w:rsidRPr="000C6915">
          <w:rPr>
            <w:rStyle w:val="Hipervnculo"/>
            <w:rFonts w:ascii="Century Gothic" w:hAnsi="Century Gothic"/>
            <w:sz w:val="14"/>
            <w:szCs w:val="14"/>
          </w:rPr>
          <w:t>guillermo.bueno@ift.org.mx</w:t>
        </w:r>
      </w:hyperlink>
      <w:r w:rsidR="00A75A67" w:rsidRPr="004E66C7">
        <w:rPr>
          <w:rFonts w:ascii="Century Gothic" w:hAnsi="Century Gothic"/>
          <w:sz w:val="14"/>
          <w:szCs w:val="14"/>
        </w:rPr>
        <w:t xml:space="preserve"> o bien, a través del </w:t>
      </w:r>
      <w:r w:rsidRPr="004E66C7">
        <w:rPr>
          <w:rFonts w:ascii="Century Gothic" w:hAnsi="Century Gothic"/>
          <w:sz w:val="14"/>
          <w:szCs w:val="14"/>
        </w:rPr>
        <w:t xml:space="preserve">número telefónico (55) </w:t>
      </w:r>
      <w:r w:rsidR="004D5EAB" w:rsidRPr="004E66C7">
        <w:rPr>
          <w:rFonts w:ascii="Century Gothic" w:hAnsi="Century Gothic"/>
          <w:sz w:val="14"/>
          <w:szCs w:val="14"/>
        </w:rPr>
        <w:t>50154000</w:t>
      </w:r>
      <w:r w:rsidR="00A75A67" w:rsidRPr="004E66C7">
        <w:rPr>
          <w:rFonts w:ascii="Century Gothic" w:hAnsi="Century Gothic"/>
          <w:sz w:val="14"/>
          <w:szCs w:val="14"/>
        </w:rPr>
        <w:t>,</w:t>
      </w:r>
      <w:r w:rsidR="004D5EAB" w:rsidRPr="004E66C7">
        <w:rPr>
          <w:rFonts w:ascii="Century Gothic" w:hAnsi="Century Gothic"/>
          <w:sz w:val="14"/>
          <w:szCs w:val="14"/>
        </w:rPr>
        <w:t xml:space="preserve"> extensión </w:t>
      </w:r>
      <w:r w:rsidR="003F31A2">
        <w:rPr>
          <w:rFonts w:ascii="Century Gothic" w:hAnsi="Century Gothic"/>
          <w:sz w:val="14"/>
          <w:szCs w:val="14"/>
        </w:rPr>
        <w:t>4854</w:t>
      </w:r>
      <w:r w:rsidR="00645CF3" w:rsidRPr="004E66C7">
        <w:rPr>
          <w:rFonts w:ascii="Century Gothic" w:hAnsi="Century Gothic"/>
          <w:sz w:val="14"/>
          <w:szCs w:val="14"/>
        </w:rPr>
        <w:t>.</w:t>
      </w:r>
    </w:p>
    <w:p w14:paraId="4144314B" w14:textId="77777777" w:rsidR="006601AF" w:rsidRPr="007A6974" w:rsidRDefault="006601AF" w:rsidP="007A6974">
      <w:pPr>
        <w:pStyle w:val="Listavistosa-nfasis11"/>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4"/>
        <w:gridCol w:w="4063"/>
      </w:tblGrid>
      <w:tr w:rsidR="00DF154A" w:rsidRPr="00DF5B3F" w14:paraId="2B343A33" w14:textId="77777777" w:rsidTr="00DF5B3F">
        <w:trPr>
          <w:trHeight w:val="600"/>
          <w:jc w:val="center"/>
        </w:trPr>
        <w:tc>
          <w:tcPr>
            <w:tcW w:w="8647" w:type="dxa"/>
            <w:gridSpan w:val="2"/>
            <w:shd w:val="clear" w:color="auto" w:fill="D9D9D9"/>
            <w:vAlign w:val="center"/>
            <w:hideMark/>
          </w:tcPr>
          <w:p w14:paraId="7023DF23" w14:textId="77777777" w:rsidR="00DF154A" w:rsidRPr="007A6974" w:rsidRDefault="00DF154A">
            <w:pPr>
              <w:pStyle w:val="Listavistosa-nfasis11"/>
              <w:numPr>
                <w:ilvl w:val="0"/>
                <w:numId w:val="2"/>
              </w:numPr>
              <w:spacing w:after="0" w:line="240" w:lineRule="auto"/>
              <w:ind w:left="-70" w:firstLine="70"/>
              <w:jc w:val="center"/>
              <w:rPr>
                <w:rFonts w:ascii="Century Gothic" w:eastAsia="Times New Roman" w:hAnsi="Century Gothic"/>
                <w:b/>
                <w:bCs/>
                <w:color w:val="FFFFFF"/>
                <w:lang w:eastAsia="es-MX"/>
              </w:rPr>
            </w:pPr>
            <w:r w:rsidRPr="00C41536">
              <w:rPr>
                <w:rFonts w:ascii="Century Gothic" w:eastAsia="Times New Roman" w:hAnsi="Century Gothic"/>
                <w:b/>
                <w:bCs/>
                <w:lang w:eastAsia="es-MX"/>
              </w:rPr>
              <w:t>Datos del participante</w:t>
            </w:r>
          </w:p>
        </w:tc>
      </w:tr>
      <w:tr w:rsidR="00DF154A" w:rsidRPr="00DF5B3F" w14:paraId="06AED84F" w14:textId="77777777" w:rsidTr="00DF5B3F">
        <w:trPr>
          <w:trHeight w:val="509"/>
          <w:jc w:val="center"/>
        </w:trPr>
        <w:tc>
          <w:tcPr>
            <w:tcW w:w="4584" w:type="dxa"/>
            <w:shd w:val="clear" w:color="auto" w:fill="C5E0B3"/>
            <w:vAlign w:val="center"/>
            <w:hideMark/>
          </w:tcPr>
          <w:p w14:paraId="0DA9935E" w14:textId="77777777" w:rsidR="00DF154A" w:rsidRPr="00605BD9" w:rsidRDefault="00800852" w:rsidP="00800852">
            <w:pPr>
              <w:spacing w:after="0" w:line="240" w:lineRule="auto"/>
              <w:jc w:val="both"/>
              <w:rPr>
                <w:rFonts w:ascii="Century Gothic" w:eastAsia="Times New Roman" w:hAnsi="Century Gothic"/>
                <w:b/>
                <w:bCs/>
                <w:color w:val="000000"/>
                <w:sz w:val="18"/>
                <w:lang w:eastAsia="es-MX"/>
              </w:rPr>
            </w:pPr>
            <w:r>
              <w:rPr>
                <w:rFonts w:ascii="Century Gothic" w:eastAsia="Times New Roman" w:hAnsi="Century Gothic"/>
                <w:b/>
                <w:bCs/>
                <w:color w:val="000000"/>
                <w:sz w:val="18"/>
                <w:lang w:eastAsia="es-MX"/>
              </w:rPr>
              <w:t xml:space="preserve">Nombre, razón </w:t>
            </w:r>
            <w:r w:rsidR="00DF154A" w:rsidRPr="00605BD9">
              <w:rPr>
                <w:rFonts w:ascii="Century Gothic" w:eastAsia="Times New Roman" w:hAnsi="Century Gothic"/>
                <w:b/>
                <w:bCs/>
                <w:color w:val="000000"/>
                <w:sz w:val="18"/>
                <w:lang w:eastAsia="es-MX"/>
              </w:rPr>
              <w:t>o denominación social:</w:t>
            </w:r>
          </w:p>
        </w:tc>
        <w:tc>
          <w:tcPr>
            <w:tcW w:w="4063" w:type="dxa"/>
            <w:shd w:val="clear" w:color="auto" w:fill="auto"/>
            <w:vAlign w:val="center"/>
            <w:hideMark/>
          </w:tcPr>
          <w:p w14:paraId="3D8732A6" w14:textId="19007EA7" w:rsidR="00DF154A" w:rsidRPr="007A6974" w:rsidRDefault="001D120F">
            <w:pPr>
              <w:spacing w:after="0" w:line="240" w:lineRule="auto"/>
              <w:jc w:val="center"/>
              <w:rPr>
                <w:rFonts w:ascii="Century Gothic" w:eastAsia="Times New Roman" w:hAnsi="Century Gothic"/>
                <w:color w:val="000000"/>
                <w:sz w:val="20"/>
                <w:lang w:eastAsia="es-MX"/>
              </w:rPr>
            </w:pPr>
            <w:r>
              <w:rPr>
                <w:rFonts w:ascii="Century Gothic" w:eastAsia="Times New Roman" w:hAnsi="Century Gothic"/>
                <w:color w:val="000000"/>
                <w:sz w:val="20"/>
                <w:lang w:eastAsia="es-MX"/>
              </w:rPr>
              <w:t>ALEJANDRO OGILVIE STEVENSON BRADLEY</w:t>
            </w:r>
            <w:r w:rsidR="00DF154A" w:rsidRPr="007A6974">
              <w:rPr>
                <w:rFonts w:ascii="Century Gothic" w:eastAsia="Times New Roman" w:hAnsi="Century Gothic"/>
                <w:color w:val="000000"/>
                <w:sz w:val="20"/>
                <w:lang w:eastAsia="es-MX"/>
              </w:rPr>
              <w:t> </w:t>
            </w:r>
          </w:p>
        </w:tc>
      </w:tr>
      <w:tr w:rsidR="00DF154A" w:rsidRPr="00DF5B3F" w14:paraId="573A185C" w14:textId="77777777" w:rsidTr="00DF5B3F">
        <w:trPr>
          <w:trHeight w:val="403"/>
          <w:jc w:val="center"/>
        </w:trPr>
        <w:tc>
          <w:tcPr>
            <w:tcW w:w="4584" w:type="dxa"/>
            <w:shd w:val="clear" w:color="auto" w:fill="E2EFD9"/>
            <w:vAlign w:val="center"/>
            <w:hideMark/>
          </w:tcPr>
          <w:p w14:paraId="7CAD058B" w14:textId="77777777" w:rsidR="00DF154A" w:rsidRPr="00605BD9" w:rsidRDefault="00DF154A">
            <w:pPr>
              <w:spacing w:after="0" w:line="240" w:lineRule="auto"/>
              <w:jc w:val="both"/>
              <w:rPr>
                <w:rFonts w:ascii="Century Gothic" w:eastAsia="Times New Roman" w:hAnsi="Century Gothic"/>
                <w:b/>
                <w:bCs/>
                <w:color w:val="000000"/>
                <w:sz w:val="18"/>
                <w:lang w:eastAsia="es-MX"/>
              </w:rPr>
            </w:pPr>
            <w:r w:rsidRPr="00605BD9">
              <w:rPr>
                <w:rFonts w:ascii="Century Gothic" w:eastAsia="Times New Roman" w:hAnsi="Century Gothic"/>
                <w:b/>
                <w:bCs/>
                <w:color w:val="000000"/>
                <w:sz w:val="18"/>
                <w:lang w:eastAsia="es-MX"/>
              </w:rPr>
              <w:t>En su caso, nombre del representante legal</w:t>
            </w:r>
            <w:r w:rsidRPr="00605BD9">
              <w:rPr>
                <w:rFonts w:ascii="Century Gothic" w:eastAsia="Times New Roman" w:hAnsi="Century Gothic"/>
                <w:bCs/>
                <w:color w:val="000000"/>
                <w:sz w:val="18"/>
                <w:lang w:eastAsia="es-MX"/>
              </w:rPr>
              <w:t>:</w:t>
            </w:r>
          </w:p>
        </w:tc>
        <w:tc>
          <w:tcPr>
            <w:tcW w:w="4063" w:type="dxa"/>
            <w:shd w:val="clear" w:color="auto" w:fill="auto"/>
            <w:vAlign w:val="bottom"/>
            <w:hideMark/>
          </w:tcPr>
          <w:p w14:paraId="14BAA434" w14:textId="77777777" w:rsidR="00DF154A" w:rsidRPr="007A6974" w:rsidRDefault="00DF154A">
            <w:pPr>
              <w:spacing w:after="0" w:line="240" w:lineRule="auto"/>
              <w:jc w:val="center"/>
              <w:rPr>
                <w:rFonts w:ascii="Century Gothic" w:eastAsia="Times New Roman" w:hAnsi="Century Gothic"/>
                <w:color w:val="808080"/>
                <w:sz w:val="20"/>
                <w:lang w:eastAsia="es-MX"/>
              </w:rPr>
            </w:pPr>
            <w:r w:rsidRPr="007A6974">
              <w:rPr>
                <w:rFonts w:ascii="Century Gothic" w:eastAsia="Times New Roman" w:hAnsi="Century Gothic"/>
                <w:color w:val="808080"/>
                <w:sz w:val="20"/>
                <w:lang w:eastAsia="es-MX"/>
              </w:rPr>
              <w:t> </w:t>
            </w:r>
          </w:p>
        </w:tc>
      </w:tr>
      <w:tr w:rsidR="000814C5" w:rsidRPr="00DF5B3F" w14:paraId="11274CD5" w14:textId="77777777" w:rsidTr="00DF5B3F">
        <w:trPr>
          <w:trHeight w:val="523"/>
          <w:jc w:val="center"/>
        </w:trPr>
        <w:tc>
          <w:tcPr>
            <w:tcW w:w="4584" w:type="dxa"/>
            <w:shd w:val="clear" w:color="auto" w:fill="C5E0B3"/>
            <w:vAlign w:val="center"/>
            <w:hideMark/>
          </w:tcPr>
          <w:p w14:paraId="6AC56779" w14:textId="77777777" w:rsidR="000814C5" w:rsidRDefault="000814C5" w:rsidP="000814C5">
            <w:pPr>
              <w:spacing w:after="0" w:line="240" w:lineRule="auto"/>
              <w:jc w:val="both"/>
              <w:rPr>
                <w:rFonts w:ascii="Century Gothic" w:eastAsia="Times New Roman" w:hAnsi="Century Gothic"/>
                <w:bCs/>
                <w:color w:val="000000"/>
                <w:sz w:val="14"/>
                <w:szCs w:val="20"/>
                <w:lang w:eastAsia="es-MX"/>
              </w:rPr>
            </w:pPr>
            <w:r w:rsidRPr="00605BD9">
              <w:rPr>
                <w:rFonts w:ascii="Century Gothic" w:eastAsia="Times New Roman" w:hAnsi="Century Gothic"/>
                <w:b/>
                <w:bCs/>
                <w:color w:val="000000"/>
                <w:sz w:val="18"/>
                <w:lang w:eastAsia="es-MX"/>
              </w:rPr>
              <w:t xml:space="preserve">Documento para la acreditación de la representación: </w:t>
            </w:r>
          </w:p>
          <w:p w14:paraId="321F75EF" w14:textId="77777777" w:rsidR="000814C5" w:rsidRPr="00C900FF" w:rsidRDefault="000814C5" w:rsidP="000814C5">
            <w:pPr>
              <w:spacing w:after="0" w:line="240" w:lineRule="auto"/>
              <w:jc w:val="both"/>
              <w:rPr>
                <w:rFonts w:ascii="Century Gothic" w:eastAsia="Times New Roman" w:hAnsi="Century Gothic"/>
                <w:bCs/>
                <w:color w:val="000000"/>
                <w:sz w:val="14"/>
                <w:szCs w:val="20"/>
                <w:lang w:eastAsia="es-MX"/>
              </w:rPr>
            </w:pPr>
            <w:r w:rsidRPr="00605BD9">
              <w:rPr>
                <w:rFonts w:ascii="Century Gothic" w:eastAsia="Times New Roman" w:hAnsi="Century Gothic"/>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14:paraId="7BFC17BB" w14:textId="18A5618D" w:rsidR="000814C5" w:rsidRPr="00DC3C6C" w:rsidRDefault="009B1BCC" w:rsidP="000814C5">
            <w:pPr>
              <w:spacing w:after="0" w:line="240" w:lineRule="auto"/>
              <w:jc w:val="center"/>
              <w:rPr>
                <w:rFonts w:ascii="Century Gothic" w:eastAsia="Times New Roman" w:hAnsi="Century Gothic"/>
                <w:color w:val="000000"/>
                <w:sz w:val="20"/>
                <w:lang w:eastAsia="es-MX"/>
              </w:rPr>
            </w:pPr>
            <w:sdt>
              <w:sdtPr>
                <w:rPr>
                  <w:rFonts w:ascii="Century Gothic" w:eastAsia="Times New Roman" w:hAnsi="Century Gothic"/>
                  <w:color w:val="000000"/>
                  <w:sz w:val="20"/>
                  <w:lang w:eastAsia="es-MX"/>
                </w:rPr>
                <w:tag w:val="(Seleccione opción)"/>
                <w:id w:val="1931310767"/>
                <w:placeholder>
                  <w:docPart w:val="4D77DCBB3FC3468CBAA10745308F695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0814C5" w:rsidRPr="00DC3C6C">
                  <w:rPr>
                    <w:rStyle w:val="Textodelmarcadordeposicin"/>
                    <w:rFonts w:ascii="Century Gothic" w:hAnsi="Century Gothic"/>
                    <w:sz w:val="20"/>
                  </w:rPr>
                  <w:t>Elija un elemento.</w:t>
                </w:r>
              </w:sdtContent>
            </w:sdt>
          </w:p>
        </w:tc>
      </w:tr>
      <w:tr w:rsidR="00DF154A" w:rsidRPr="00DF5B3F" w14:paraId="4C098FFC" w14:textId="77777777" w:rsidTr="00DF5B3F">
        <w:trPr>
          <w:trHeight w:val="300"/>
          <w:jc w:val="center"/>
        </w:trPr>
        <w:tc>
          <w:tcPr>
            <w:tcW w:w="8647" w:type="dxa"/>
            <w:gridSpan w:val="2"/>
            <w:shd w:val="clear" w:color="auto" w:fill="D9D9D9"/>
            <w:noWrap/>
            <w:vAlign w:val="center"/>
            <w:hideMark/>
          </w:tcPr>
          <w:p w14:paraId="2BBB5070" w14:textId="77777777" w:rsidR="00DF154A" w:rsidRPr="00C41536" w:rsidRDefault="00DF154A" w:rsidP="000E55B0">
            <w:pPr>
              <w:spacing w:after="0" w:line="240" w:lineRule="auto"/>
              <w:jc w:val="center"/>
              <w:rPr>
                <w:rFonts w:ascii="Century Gothic" w:eastAsia="Times New Roman" w:hAnsi="Century Gothic"/>
                <w:b/>
                <w:bCs/>
                <w:color w:val="000000"/>
                <w:lang w:eastAsia="es-MX"/>
              </w:rPr>
            </w:pPr>
            <w:r w:rsidRPr="00C41536">
              <w:rPr>
                <w:rFonts w:ascii="Century Gothic" w:eastAsia="Times New Roman" w:hAnsi="Century Gothic"/>
                <w:b/>
                <w:bCs/>
                <w:color w:val="000000"/>
                <w:lang w:eastAsia="es-MX"/>
              </w:rPr>
              <w:t xml:space="preserve">AVISO </w:t>
            </w:r>
            <w:r w:rsidR="000E55B0">
              <w:rPr>
                <w:rFonts w:ascii="Century Gothic" w:eastAsia="Times New Roman" w:hAnsi="Century Gothic"/>
                <w:b/>
                <w:bCs/>
                <w:color w:val="000000"/>
                <w:lang w:eastAsia="es-MX"/>
              </w:rPr>
              <w:t>DE PRIVACIDAD</w:t>
            </w:r>
          </w:p>
        </w:tc>
      </w:tr>
      <w:tr w:rsidR="00DF154A" w:rsidRPr="00DF5B3F" w14:paraId="18ECC2D2" w14:textId="77777777" w:rsidTr="006B0B12">
        <w:trPr>
          <w:trHeight w:val="1889"/>
          <w:jc w:val="center"/>
        </w:trPr>
        <w:tc>
          <w:tcPr>
            <w:tcW w:w="8647" w:type="dxa"/>
            <w:gridSpan w:val="2"/>
            <w:shd w:val="clear" w:color="auto" w:fill="auto"/>
            <w:vAlign w:val="center"/>
            <w:hideMark/>
          </w:tcPr>
          <w:p w14:paraId="7CA49E46" w14:textId="77777777" w:rsidR="00CC1AC7" w:rsidRDefault="00CC1AC7" w:rsidP="00645CF3">
            <w:pPr>
              <w:spacing w:after="0" w:line="240" w:lineRule="auto"/>
              <w:jc w:val="both"/>
              <w:rPr>
                <w:rFonts w:ascii="ITC Avant Garde" w:eastAsia="Times New Roman" w:hAnsi="ITC Avant Garde"/>
                <w:color w:val="000000"/>
                <w:sz w:val="14"/>
                <w:szCs w:val="16"/>
                <w:lang w:eastAsia="es-MX"/>
              </w:rPr>
            </w:pPr>
          </w:p>
          <w:p w14:paraId="25E59256" w14:textId="6C61BD35" w:rsidR="00645CF3" w:rsidRPr="00F36A5D" w:rsidRDefault="00645CF3" w:rsidP="00645CF3">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732BB445" w14:textId="77777777" w:rsidR="00645CF3" w:rsidRPr="00F36A5D" w:rsidRDefault="00645CF3" w:rsidP="00645CF3">
            <w:pPr>
              <w:spacing w:after="0" w:line="240" w:lineRule="auto"/>
              <w:jc w:val="both"/>
              <w:rPr>
                <w:rFonts w:ascii="ITC Avant Garde" w:eastAsia="Times New Roman" w:hAnsi="ITC Avant Garde"/>
                <w:color w:val="000000"/>
                <w:sz w:val="14"/>
                <w:szCs w:val="16"/>
                <w:lang w:eastAsia="es-MX"/>
              </w:rPr>
            </w:pPr>
          </w:p>
          <w:p w14:paraId="6EAFC2C2" w14:textId="77777777" w:rsidR="00645CF3" w:rsidRPr="00F36A5D"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67CF8AE1"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200FC410" w14:textId="77777777" w:rsidR="00645CF3" w:rsidRPr="00F36A5D"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DF52A8">
              <w:rPr>
                <w:rFonts w:ascii="ITC Avant Garde" w:eastAsia="Times New Roman" w:hAnsi="ITC Avant Garde"/>
                <w:color w:val="000000"/>
                <w:sz w:val="14"/>
                <w:szCs w:val="16"/>
                <w:lang w:eastAsia="es-MX"/>
              </w:rPr>
              <w:t>Demarcación territorial</w:t>
            </w:r>
            <w:r w:rsidRPr="00F36A5D">
              <w:rPr>
                <w:rFonts w:ascii="ITC Avant Garde" w:eastAsia="Times New Roman" w:hAnsi="ITC Avant Garde"/>
                <w:color w:val="000000"/>
                <w:sz w:val="14"/>
                <w:szCs w:val="16"/>
                <w:lang w:eastAsia="es-MX"/>
              </w:rPr>
              <w:t xml:space="preserve"> Benito Juárez, C. P. 03720, Ciudad de México, México. </w:t>
            </w:r>
          </w:p>
          <w:p w14:paraId="17E169FD"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3DABD006" w14:textId="77777777" w:rsidR="00645CF3" w:rsidRPr="00F36A5D"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w:t>
            </w:r>
            <w:proofErr w:type="gramStart"/>
            <w:r w:rsidRPr="00F36A5D">
              <w:rPr>
                <w:rFonts w:ascii="ITC Avant Garde" w:eastAsia="Times New Roman" w:hAnsi="ITC Avant Garde"/>
                <w:color w:val="000000"/>
                <w:sz w:val="14"/>
                <w:szCs w:val="16"/>
                <w:lang w:eastAsia="es-MX"/>
              </w:rPr>
              <w:t>los mismos</w:t>
            </w:r>
            <w:proofErr w:type="gramEnd"/>
            <w:r w:rsidRPr="00F36A5D">
              <w:rPr>
                <w:rFonts w:ascii="ITC Avant Garde" w:eastAsia="Times New Roman" w:hAnsi="ITC Avant Garde"/>
                <w:color w:val="000000"/>
                <w:sz w:val="14"/>
                <w:szCs w:val="16"/>
                <w:lang w:eastAsia="es-MX"/>
              </w:rPr>
              <w:t xml:space="preserve">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03584A1A"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6D1F8BB4" w14:textId="77777777" w:rsidR="00645CF3" w:rsidRPr="00F36A5D"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6E3F646F" w14:textId="77777777" w:rsidR="00645CF3" w:rsidRPr="00F36A5D" w:rsidRDefault="00645CF3" w:rsidP="00645CF3">
            <w:pPr>
              <w:spacing w:after="0" w:line="240" w:lineRule="auto"/>
              <w:ind w:left="492" w:right="229"/>
              <w:contextualSpacing/>
              <w:jc w:val="both"/>
              <w:rPr>
                <w:rFonts w:ascii="ITC Avant Garde" w:eastAsia="Times New Roman" w:hAnsi="ITC Avant Garde"/>
                <w:color w:val="000000"/>
                <w:sz w:val="14"/>
                <w:szCs w:val="16"/>
                <w:lang w:eastAsia="es-MX"/>
              </w:rPr>
            </w:pPr>
          </w:p>
          <w:p w14:paraId="10FCF3D5" w14:textId="77777777" w:rsidR="00645CF3" w:rsidRPr="00F36A5D"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5322EF72" w14:textId="77777777" w:rsidR="00645CF3" w:rsidRPr="00F36A5D" w:rsidRDefault="00645CF3" w:rsidP="00645CF3">
            <w:pPr>
              <w:spacing w:after="0" w:line="240" w:lineRule="auto"/>
              <w:ind w:left="492" w:right="229"/>
              <w:contextualSpacing/>
              <w:jc w:val="both"/>
              <w:rPr>
                <w:rFonts w:ascii="ITC Avant Garde" w:eastAsia="Times New Roman" w:hAnsi="ITC Avant Garde"/>
                <w:color w:val="000000"/>
                <w:sz w:val="14"/>
                <w:szCs w:val="16"/>
                <w:lang w:eastAsia="es-MX"/>
              </w:rPr>
            </w:pPr>
          </w:p>
          <w:p w14:paraId="7E48C3AC" w14:textId="30E935F0" w:rsidR="00645CF3" w:rsidRPr="00F36A5D" w:rsidRDefault="00645CF3" w:rsidP="00627A19">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 a disposición </w:t>
            </w:r>
            <w:r w:rsidR="00E23C4C">
              <w:rPr>
                <w:rFonts w:ascii="ITC Avant Garde" w:eastAsia="Times New Roman" w:hAnsi="ITC Avant Garde"/>
                <w:color w:val="000000"/>
                <w:sz w:val="14"/>
                <w:szCs w:val="16"/>
                <w:lang w:eastAsia="es-MX"/>
              </w:rPr>
              <w:t>el</w:t>
            </w:r>
            <w:r w:rsidRPr="00F36A5D">
              <w:rPr>
                <w:rFonts w:ascii="ITC Avant Garde" w:eastAsia="Times New Roman" w:hAnsi="ITC Avant Garde"/>
                <w:color w:val="000000"/>
                <w:sz w:val="14"/>
                <w:szCs w:val="16"/>
                <w:lang w:eastAsia="es-MX"/>
              </w:rPr>
              <w:t xml:space="preserve"> siguiente punto de contacto: </w:t>
            </w:r>
            <w:r w:rsidR="00ED1E7F">
              <w:rPr>
                <w:rFonts w:ascii="ITC Avant Garde" w:eastAsia="Times New Roman" w:hAnsi="ITC Avant Garde"/>
                <w:color w:val="000000"/>
                <w:sz w:val="14"/>
                <w:szCs w:val="16"/>
                <w:lang w:eastAsia="es-MX"/>
              </w:rPr>
              <w:t xml:space="preserve">Erika </w:t>
            </w:r>
            <w:proofErr w:type="spellStart"/>
            <w:r w:rsidR="00ED1E7F">
              <w:rPr>
                <w:rFonts w:ascii="ITC Avant Garde" w:eastAsia="Times New Roman" w:hAnsi="ITC Avant Garde"/>
                <w:color w:val="000000"/>
                <w:sz w:val="14"/>
                <w:szCs w:val="16"/>
                <w:lang w:eastAsia="es-MX"/>
              </w:rPr>
              <w:t>Yatzil</w:t>
            </w:r>
            <w:proofErr w:type="spellEnd"/>
            <w:r w:rsidR="00ED1E7F">
              <w:rPr>
                <w:rFonts w:ascii="ITC Avant Garde" w:eastAsia="Times New Roman" w:hAnsi="ITC Avant Garde"/>
                <w:color w:val="000000"/>
                <w:sz w:val="14"/>
                <w:szCs w:val="16"/>
                <w:lang w:eastAsia="es-MX"/>
              </w:rPr>
              <w:t xml:space="preserve"> Hinojosa Cortés</w:t>
            </w:r>
            <w:r w:rsidR="00963421">
              <w:rPr>
                <w:rFonts w:ascii="ITC Avant Garde" w:eastAsia="Times New Roman" w:hAnsi="ITC Avant Garde"/>
                <w:color w:val="000000"/>
                <w:sz w:val="14"/>
                <w:szCs w:val="16"/>
                <w:lang w:eastAsia="es-MX"/>
              </w:rPr>
              <w:t xml:space="preserve">, </w:t>
            </w:r>
            <w:r w:rsidR="00ED1E7F">
              <w:rPr>
                <w:rFonts w:ascii="ITC Avant Garde" w:eastAsia="Times New Roman" w:hAnsi="ITC Avant Garde"/>
                <w:color w:val="000000"/>
                <w:sz w:val="14"/>
                <w:szCs w:val="16"/>
                <w:lang w:eastAsia="es-MX"/>
              </w:rPr>
              <w:t>Subd</w:t>
            </w:r>
            <w:r w:rsidR="00963421">
              <w:rPr>
                <w:rFonts w:ascii="ITC Avant Garde" w:eastAsia="Times New Roman" w:hAnsi="ITC Avant Garde"/>
                <w:color w:val="000000"/>
                <w:sz w:val="14"/>
                <w:szCs w:val="16"/>
                <w:lang w:eastAsia="es-MX"/>
              </w:rPr>
              <w:t>irector</w:t>
            </w:r>
            <w:r w:rsidR="00ED1E7F">
              <w:rPr>
                <w:rFonts w:ascii="ITC Avant Garde" w:eastAsia="Times New Roman" w:hAnsi="ITC Avant Garde"/>
                <w:color w:val="000000"/>
                <w:sz w:val="14"/>
                <w:szCs w:val="16"/>
                <w:lang w:eastAsia="es-MX"/>
              </w:rPr>
              <w:t>a</w:t>
            </w:r>
            <w:r w:rsidR="00963421" w:rsidRPr="00963421">
              <w:rPr>
                <w:rFonts w:ascii="ITC Avant Garde" w:eastAsia="Times New Roman" w:hAnsi="ITC Avant Garde"/>
                <w:color w:val="000000"/>
                <w:sz w:val="14"/>
                <w:szCs w:val="16"/>
                <w:lang w:eastAsia="es-MX"/>
              </w:rPr>
              <w:t xml:space="preserve"> de </w:t>
            </w:r>
            <w:r w:rsidR="00ED1E7F">
              <w:rPr>
                <w:rFonts w:ascii="ITC Avant Garde" w:eastAsia="Times New Roman" w:hAnsi="ITC Avant Garde"/>
                <w:color w:val="000000"/>
                <w:sz w:val="14"/>
                <w:szCs w:val="16"/>
                <w:lang w:eastAsia="es-MX"/>
              </w:rPr>
              <w:t>Procesos Jurídicos y Administrativos 2</w:t>
            </w:r>
            <w:r w:rsidRPr="00627A19">
              <w:rPr>
                <w:rFonts w:ascii="ITC Avant Garde" w:eastAsia="Times New Roman" w:hAnsi="ITC Avant Garde"/>
                <w:color w:val="000000"/>
                <w:sz w:val="14"/>
                <w:szCs w:val="16"/>
                <w:lang w:eastAsia="es-MX"/>
              </w:rPr>
              <w:t xml:space="preserve">, correo electrónico: </w:t>
            </w:r>
            <w:hyperlink r:id="rId14" w:history="1">
              <w:r w:rsidR="00AA69BE" w:rsidRPr="00546AC2">
                <w:rPr>
                  <w:rStyle w:val="Hipervnculo"/>
                  <w:rFonts w:ascii="ITC Avant Garde" w:eastAsia="Times New Roman" w:hAnsi="ITC Avant Garde"/>
                  <w:sz w:val="14"/>
                  <w:szCs w:val="16"/>
                  <w:lang w:eastAsia="es-MX"/>
                </w:rPr>
                <w:t>erika.hinojosa@ift.org.mx</w:t>
              </w:r>
            </w:hyperlink>
            <w:r w:rsidR="00AA69BE">
              <w:rPr>
                <w:rFonts w:ascii="ITC Avant Garde" w:eastAsia="Times New Roman" w:hAnsi="ITC Avant Garde"/>
                <w:color w:val="000000"/>
                <w:sz w:val="14"/>
                <w:szCs w:val="16"/>
                <w:lang w:eastAsia="es-MX"/>
              </w:rPr>
              <w:t xml:space="preserve"> </w:t>
            </w:r>
            <w:r w:rsidRPr="00627A19">
              <w:rPr>
                <w:rFonts w:ascii="ITC Avant Garde" w:eastAsia="Times New Roman" w:hAnsi="ITC Avant Garde"/>
                <w:color w:val="000000"/>
                <w:sz w:val="14"/>
                <w:szCs w:val="16"/>
                <w:lang w:eastAsia="es-MX"/>
              </w:rPr>
              <w:t xml:space="preserve">y número telefónico (55) 50154000 extensión </w:t>
            </w:r>
            <w:r w:rsidR="00ED1E7F">
              <w:rPr>
                <w:rFonts w:ascii="ITC Avant Garde" w:eastAsia="Times New Roman" w:hAnsi="ITC Avant Garde"/>
                <w:color w:val="000000"/>
                <w:sz w:val="14"/>
                <w:szCs w:val="16"/>
                <w:lang w:eastAsia="es-MX"/>
              </w:rPr>
              <w:t>4892</w:t>
            </w:r>
            <w:r w:rsidRPr="00627A19">
              <w:rPr>
                <w:rFonts w:ascii="ITC Avant Garde" w:eastAsia="Times New Roman" w:hAnsi="ITC Avant Garde"/>
                <w:color w:val="000000"/>
                <w:sz w:val="14"/>
                <w:szCs w:val="16"/>
                <w:lang w:eastAsia="es-MX"/>
              </w:rPr>
              <w:t>, con quien el titular</w:t>
            </w:r>
            <w:r w:rsidRPr="00F36A5D">
              <w:rPr>
                <w:rFonts w:ascii="ITC Avant Garde" w:eastAsia="Times New Roman" w:hAnsi="ITC Avant Garde"/>
                <w:color w:val="000000"/>
                <w:sz w:val="14"/>
                <w:szCs w:val="16"/>
                <w:lang w:eastAsia="es-MX"/>
              </w:rPr>
              <w:t xml:space="preserve"> de los datos personales podrá comunicarse para cualquier manifestación o inquietud al respecto. </w:t>
            </w:r>
          </w:p>
          <w:p w14:paraId="4887A6D4"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1717EAE9" w14:textId="77777777" w:rsidR="00645CF3"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0B9BA299"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6CB972AA" w14:textId="77777777" w:rsidR="00645CF3" w:rsidRDefault="00645CF3" w:rsidP="00645CF3">
            <w:pPr>
              <w:numPr>
                <w:ilvl w:val="0"/>
                <w:numId w:val="15"/>
              </w:numPr>
              <w:spacing w:after="0" w:line="240" w:lineRule="auto"/>
              <w:ind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2170CE9C" w14:textId="77777777" w:rsidR="00645CF3" w:rsidRPr="00F36A5D" w:rsidRDefault="00645CF3" w:rsidP="00645CF3">
            <w:pPr>
              <w:spacing w:after="0" w:line="240" w:lineRule="auto"/>
              <w:ind w:left="852" w:right="229"/>
              <w:jc w:val="both"/>
              <w:rPr>
                <w:rFonts w:ascii="ITC Avant Garde" w:eastAsia="Times New Roman" w:hAnsi="ITC Avant Garde"/>
                <w:color w:val="000000"/>
                <w:sz w:val="14"/>
                <w:szCs w:val="16"/>
                <w:lang w:eastAsia="es-MX"/>
              </w:rPr>
            </w:pPr>
          </w:p>
          <w:p w14:paraId="7FB2EB0B" w14:textId="77777777" w:rsidR="00645CF3" w:rsidRPr="00F36A5D" w:rsidRDefault="00645CF3" w:rsidP="00645CF3">
            <w:pPr>
              <w:numPr>
                <w:ilvl w:val="0"/>
                <w:numId w:val="1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0DF003EE" w14:textId="77777777" w:rsidR="00645CF3" w:rsidRPr="00F36A5D" w:rsidRDefault="00645CF3" w:rsidP="00645CF3">
            <w:pPr>
              <w:numPr>
                <w:ilvl w:val="0"/>
                <w:numId w:val="1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4BD3698C" w14:textId="77777777" w:rsidR="00645CF3" w:rsidRPr="00F36A5D" w:rsidRDefault="00645CF3" w:rsidP="00645CF3">
            <w:pPr>
              <w:numPr>
                <w:ilvl w:val="0"/>
                <w:numId w:val="1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08850085" w14:textId="77777777" w:rsidR="00645CF3" w:rsidRPr="00F36A5D" w:rsidRDefault="00645CF3" w:rsidP="00645CF3">
            <w:pPr>
              <w:numPr>
                <w:ilvl w:val="0"/>
                <w:numId w:val="1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7171ADEE" w14:textId="77777777" w:rsidR="00645CF3" w:rsidRPr="00F36A5D" w:rsidRDefault="00645CF3" w:rsidP="00645CF3">
            <w:pPr>
              <w:numPr>
                <w:ilvl w:val="0"/>
                <w:numId w:val="1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12A6578" w14:textId="77777777" w:rsidR="00645CF3" w:rsidRPr="00F36A5D" w:rsidRDefault="00645CF3" w:rsidP="00645CF3">
            <w:pPr>
              <w:numPr>
                <w:ilvl w:val="0"/>
                <w:numId w:val="1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4283768C"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4867BD6A"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4EDA5C34" w14:textId="77777777" w:rsidR="00645CF3" w:rsidRPr="00F36A5D" w:rsidRDefault="00645CF3" w:rsidP="00645CF3">
            <w:pPr>
              <w:spacing w:after="0" w:line="240" w:lineRule="auto"/>
              <w:ind w:left="539" w:right="229"/>
              <w:jc w:val="both"/>
              <w:rPr>
                <w:rFonts w:ascii="ITC Avant Garde" w:eastAsia="Times New Roman" w:hAnsi="ITC Avant Garde"/>
                <w:color w:val="000000"/>
                <w:sz w:val="14"/>
                <w:szCs w:val="16"/>
                <w:lang w:eastAsia="es-MX"/>
              </w:rPr>
            </w:pPr>
          </w:p>
          <w:p w14:paraId="2A1028C9" w14:textId="77777777" w:rsidR="00645CF3" w:rsidRPr="00F36A5D" w:rsidRDefault="00645CF3" w:rsidP="00645CF3">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48F95E17" w14:textId="77777777" w:rsidR="00645CF3" w:rsidRPr="00F36A5D" w:rsidRDefault="00645CF3" w:rsidP="00645CF3">
            <w:pPr>
              <w:spacing w:after="0" w:line="240" w:lineRule="auto"/>
              <w:ind w:left="539" w:right="229"/>
              <w:jc w:val="both"/>
              <w:rPr>
                <w:rFonts w:ascii="ITC Avant Garde" w:eastAsia="Times New Roman" w:hAnsi="ITC Avant Garde"/>
                <w:color w:val="000000"/>
                <w:sz w:val="14"/>
                <w:szCs w:val="16"/>
                <w:lang w:eastAsia="es-MX"/>
              </w:rPr>
            </w:pPr>
          </w:p>
          <w:p w14:paraId="219B859A" w14:textId="77777777" w:rsidR="00645CF3" w:rsidRPr="00F36A5D" w:rsidRDefault="00645CF3" w:rsidP="00645CF3">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66613857"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3ABB41D0"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3CD8AB18"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5F288C16" w14:textId="48A77539"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5"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w:t>
            </w:r>
            <w:r w:rsidR="00375F8E">
              <w:rPr>
                <w:rFonts w:ascii="ITC Avant Garde" w:eastAsia="Times New Roman" w:hAnsi="ITC Avant Garde"/>
                <w:color w:val="000000"/>
                <w:sz w:val="14"/>
                <w:szCs w:val="16"/>
                <w:lang w:eastAsia="es-MX"/>
              </w:rPr>
              <w:t>”</w:t>
            </w:r>
            <w:r>
              <w:rPr>
                <w:rFonts w:ascii="ITC Avant Garde" w:eastAsia="Times New Roman" w:hAnsi="ITC Avant Garde"/>
                <w:color w:val="000000"/>
                <w:sz w:val="14"/>
                <w:szCs w:val="16"/>
                <w:lang w:eastAsia="es-MX"/>
              </w:rPr>
              <w:t>/“Formatos”/”</w:t>
            </w:r>
            <w:r w:rsidRPr="00F36A5D">
              <w:rPr>
                <w:rFonts w:ascii="ITC Avant Garde" w:eastAsia="Times New Roman" w:hAnsi="ITC Avant Garde"/>
                <w:color w:val="000000"/>
                <w:sz w:val="14"/>
                <w:szCs w:val="16"/>
                <w:lang w:eastAsia="es-MX"/>
              </w:rPr>
              <w:t>Sector Público”.</w:t>
            </w:r>
          </w:p>
          <w:p w14:paraId="31931610"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72C23721"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1FC9EC98"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20864396"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59DB8617"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55B40DD3"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77833FF3"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0139477D"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D7843C8"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59CCFA11"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27A23C2D"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15EB4BFD"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7ECEE0E1"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61960BE0"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El plazo referido en el párrafo anterior podrá ser ampliado por una sola vez hasta por diez días cuando así lo justifiquen las circunstancias, y siempre y cuando se le notifique al titular dentro del plazo de respuesta.</w:t>
            </w:r>
          </w:p>
          <w:p w14:paraId="54527F31"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7BE66D70"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52015E71"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1990FF87"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6AA795CA"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3A2A459E"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02BD9312"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3DBFD6C2"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039E9352"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758655CD"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3D968F56"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5405A571"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77A8B9A9"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1EE791E4"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34D4974B"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5ABCEC50"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1CC2B1A0" w14:textId="77777777" w:rsidR="00645CF3" w:rsidRPr="00F36A5D"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74250490" w14:textId="77777777" w:rsidR="00645CF3" w:rsidRDefault="00645CF3" w:rsidP="00645CF3">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4B2D066B" w14:textId="77777777" w:rsidR="00645CF3" w:rsidRDefault="00645CF3" w:rsidP="00645CF3">
            <w:pPr>
              <w:spacing w:after="0" w:line="240" w:lineRule="auto"/>
              <w:ind w:left="492" w:right="229"/>
              <w:jc w:val="both"/>
              <w:rPr>
                <w:rFonts w:ascii="ITC Avant Garde" w:eastAsia="Times New Roman" w:hAnsi="ITC Avant Garde"/>
                <w:color w:val="000000"/>
                <w:sz w:val="14"/>
                <w:szCs w:val="16"/>
                <w:lang w:eastAsia="es-MX"/>
              </w:rPr>
            </w:pPr>
          </w:p>
          <w:p w14:paraId="195C0553" w14:textId="3AE4B374" w:rsidR="00645CF3"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w:t>
            </w:r>
            <w:r w:rsidR="00DF52A8" w:rsidRPr="00EC144A">
              <w:rPr>
                <w:rFonts w:ascii="ITC Avant Garde" w:eastAsia="Times New Roman" w:hAnsi="ITC Avant Garde"/>
                <w:color w:val="000000"/>
                <w:sz w:val="14"/>
                <w:szCs w:val="16"/>
                <w:lang w:eastAsia="es-MX"/>
              </w:rPr>
              <w:t>D</w:t>
            </w:r>
            <w:r w:rsidR="00DF52A8">
              <w:rPr>
                <w:rFonts w:ascii="ITC Avant Garde" w:eastAsia="Times New Roman" w:hAnsi="ITC Avant Garde"/>
                <w:color w:val="000000"/>
                <w:sz w:val="14"/>
                <w:szCs w:val="16"/>
                <w:lang w:eastAsia="es-MX"/>
              </w:rPr>
              <w:t>emarcación territorial</w:t>
            </w:r>
            <w:r w:rsidR="00DF52A8"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 xml:space="preserve">Benito Juárez, C. P. 03720, Ciudad de México, México. Planta Baja, </w:t>
            </w:r>
            <w:r>
              <w:rPr>
                <w:rFonts w:ascii="ITC Avant Garde" w:eastAsia="Times New Roman" w:hAnsi="ITC Avant Garde"/>
                <w:color w:val="000000"/>
                <w:sz w:val="14"/>
                <w:szCs w:val="16"/>
                <w:lang w:eastAsia="es-MX"/>
              </w:rPr>
              <w:t>teléfono 50154000, extensión 4267.</w:t>
            </w:r>
          </w:p>
          <w:p w14:paraId="7A44FB71" w14:textId="77777777" w:rsidR="00645CF3" w:rsidRPr="00EC144A" w:rsidRDefault="00645CF3" w:rsidP="00645CF3">
            <w:pPr>
              <w:spacing w:after="0" w:line="240" w:lineRule="auto"/>
              <w:ind w:right="229"/>
              <w:jc w:val="both"/>
              <w:rPr>
                <w:rFonts w:ascii="ITC Avant Garde" w:eastAsia="Times New Roman" w:hAnsi="ITC Avant Garde"/>
                <w:color w:val="000000"/>
                <w:sz w:val="14"/>
                <w:szCs w:val="16"/>
                <w:lang w:eastAsia="es-MX"/>
              </w:rPr>
            </w:pPr>
          </w:p>
          <w:p w14:paraId="436F2A64" w14:textId="77777777" w:rsidR="00645CF3" w:rsidRPr="00F36A5D" w:rsidRDefault="00645CF3" w:rsidP="00645CF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1ABA2069" w14:textId="77777777" w:rsidR="00645CF3" w:rsidRDefault="00645CF3" w:rsidP="00D42C6E">
            <w:pPr>
              <w:spacing w:after="0" w:line="240" w:lineRule="auto"/>
              <w:ind w:right="229"/>
              <w:jc w:val="both"/>
              <w:rPr>
                <w:rFonts w:ascii="ITC Avant Garde" w:eastAsia="Times New Roman" w:hAnsi="ITC Avant Garde"/>
                <w:color w:val="000000"/>
                <w:sz w:val="14"/>
                <w:szCs w:val="16"/>
                <w:lang w:eastAsia="es-MX"/>
              </w:rPr>
            </w:pPr>
          </w:p>
          <w:p w14:paraId="717A2D10" w14:textId="57C2BE98" w:rsidR="00645CF3" w:rsidRDefault="00645CF3" w:rsidP="00D42C6E">
            <w:pPr>
              <w:spacing w:after="0" w:line="240" w:lineRule="auto"/>
              <w:ind w:right="229"/>
              <w:jc w:val="both"/>
              <w:rPr>
                <w:rFonts w:ascii="ITC Avant Garde" w:eastAsia="Times New Roman" w:hAnsi="ITC Avant Garde"/>
                <w:color w:val="000000"/>
                <w:sz w:val="14"/>
                <w:szCs w:val="16"/>
                <w:lang w:eastAsia="es-MX"/>
              </w:rPr>
            </w:pPr>
          </w:p>
          <w:p w14:paraId="7678287D" w14:textId="77777777" w:rsidR="006B0B12" w:rsidRDefault="006B0B12" w:rsidP="004E66C7">
            <w:pPr>
              <w:pStyle w:val="Listavistosa-nfasis11"/>
              <w:spacing w:after="0" w:line="240" w:lineRule="auto"/>
              <w:ind w:left="0" w:right="229"/>
              <w:jc w:val="both"/>
              <w:rPr>
                <w:rFonts w:ascii="Century Gothic" w:eastAsia="Times New Roman" w:hAnsi="Century Gothic"/>
                <w:color w:val="000000"/>
                <w:sz w:val="14"/>
                <w:szCs w:val="16"/>
                <w:lang w:eastAsia="es-MX"/>
              </w:rPr>
            </w:pPr>
          </w:p>
          <w:p w14:paraId="771FC59B" w14:textId="14A76FC9" w:rsidR="004E66C7" w:rsidRPr="00915CEA" w:rsidRDefault="004E66C7" w:rsidP="004E66C7">
            <w:pPr>
              <w:pStyle w:val="Listavistosa-nfasis11"/>
              <w:spacing w:after="0" w:line="240" w:lineRule="auto"/>
              <w:ind w:left="0" w:right="229"/>
              <w:jc w:val="both"/>
              <w:rPr>
                <w:rFonts w:ascii="Century Gothic" w:eastAsia="Times New Roman" w:hAnsi="Century Gothic"/>
                <w:color w:val="000000"/>
                <w:sz w:val="14"/>
                <w:szCs w:val="16"/>
                <w:lang w:eastAsia="es-MX"/>
              </w:rPr>
            </w:pPr>
          </w:p>
        </w:tc>
      </w:tr>
    </w:tbl>
    <w:p w14:paraId="4DFAC156" w14:textId="77777777" w:rsidR="00DF5B3F" w:rsidRPr="00DF5B3F" w:rsidRDefault="00DF5B3F" w:rsidP="00DF5B3F">
      <w:pPr>
        <w:spacing w:after="0"/>
        <w:rPr>
          <w:vanish/>
        </w:rPr>
      </w:pPr>
    </w:p>
    <w:p w14:paraId="27D7F249" w14:textId="77777777" w:rsidR="00DF154A" w:rsidRPr="0017091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BB7008" w14:paraId="3BD2E30C" w14:textId="77777777" w:rsidTr="000D1157">
        <w:trPr>
          <w:trHeight w:val="600"/>
          <w:jc w:val="center"/>
        </w:trPr>
        <w:tc>
          <w:tcPr>
            <w:tcW w:w="8642" w:type="dxa"/>
            <w:shd w:val="clear" w:color="auto" w:fill="D9D9D9"/>
            <w:vAlign w:val="center"/>
            <w:hideMark/>
          </w:tcPr>
          <w:p w14:paraId="22769F88" w14:textId="77777777" w:rsidR="00DF154A" w:rsidRPr="00D26916" w:rsidRDefault="00FC6EE4" w:rsidP="000D1157">
            <w:pPr>
              <w:pStyle w:val="Listavistosa-nfasis11"/>
              <w:numPr>
                <w:ilvl w:val="0"/>
                <w:numId w:val="2"/>
              </w:numPr>
              <w:spacing w:after="0" w:line="240" w:lineRule="auto"/>
              <w:ind w:left="-70" w:firstLine="70"/>
              <w:jc w:val="center"/>
              <w:rPr>
                <w:rFonts w:ascii="Century Gothic" w:eastAsia="Times New Roman" w:hAnsi="Century Gothic"/>
                <w:b/>
                <w:bCs/>
                <w:lang w:eastAsia="es-MX"/>
              </w:rPr>
            </w:pPr>
            <w:r w:rsidRPr="00D26916">
              <w:rPr>
                <w:rFonts w:ascii="Century Gothic" w:eastAsia="Times New Roman" w:hAnsi="Century Gothic"/>
                <w:b/>
                <w:bCs/>
                <w:lang w:eastAsia="es-MX"/>
              </w:rPr>
              <w:t>Marco de referencia</w:t>
            </w:r>
          </w:p>
        </w:tc>
      </w:tr>
      <w:tr w:rsidR="00CA32F5" w:rsidRPr="00DF5B3F" w14:paraId="7563F0DC" w14:textId="77777777" w:rsidTr="006B0B12">
        <w:trPr>
          <w:trHeight w:val="720"/>
          <w:jc w:val="center"/>
        </w:trPr>
        <w:tc>
          <w:tcPr>
            <w:tcW w:w="8642" w:type="dxa"/>
            <w:shd w:val="clear" w:color="000000" w:fill="FFFFFF"/>
            <w:noWrap/>
            <w:hideMark/>
          </w:tcPr>
          <w:p w14:paraId="245D1782" w14:textId="77777777" w:rsidR="00771BE5" w:rsidRDefault="00771BE5" w:rsidP="00CA0A84">
            <w:pPr>
              <w:spacing w:after="0" w:line="240" w:lineRule="auto"/>
              <w:ind w:left="-75" w:right="309"/>
              <w:jc w:val="both"/>
              <w:rPr>
                <w:rFonts w:ascii="Century Gothic" w:eastAsia="Times New Roman" w:hAnsi="Century Gothic"/>
                <w:color w:val="000000"/>
                <w:sz w:val="14"/>
                <w:szCs w:val="16"/>
                <w:lang w:eastAsia="es-MX"/>
              </w:rPr>
            </w:pPr>
          </w:p>
          <w:p w14:paraId="225B8908" w14:textId="5EADCDE9" w:rsidR="00771BE5" w:rsidRPr="001A5B2D" w:rsidRDefault="00771BE5" w:rsidP="0081028F">
            <w:pPr>
              <w:spacing w:after="120" w:line="276" w:lineRule="auto"/>
              <w:ind w:right="309"/>
              <w:jc w:val="both"/>
              <w:rPr>
                <w:rFonts w:ascii="Century Gothic" w:eastAsia="Times New Roman" w:hAnsi="Century Gothic"/>
                <w:color w:val="000000"/>
                <w:sz w:val="20"/>
                <w:szCs w:val="20"/>
                <w:lang w:eastAsia="es-MX"/>
              </w:rPr>
            </w:pPr>
            <w:r w:rsidRPr="001A5B2D">
              <w:rPr>
                <w:rFonts w:ascii="Century Gothic" w:eastAsia="Times New Roman" w:hAnsi="Century Gothic"/>
                <w:color w:val="000000"/>
                <w:sz w:val="20"/>
                <w:szCs w:val="20"/>
                <w:lang w:eastAsia="es-MX"/>
              </w:rPr>
              <w:t>Con fecha 6 de marzo de 2014, el Pleno</w:t>
            </w:r>
            <w:r w:rsidR="00D42C6E">
              <w:rPr>
                <w:rFonts w:ascii="Century Gothic" w:eastAsia="Times New Roman" w:hAnsi="Century Gothic"/>
                <w:color w:val="000000"/>
                <w:sz w:val="20"/>
                <w:szCs w:val="20"/>
                <w:lang w:eastAsia="es-MX"/>
              </w:rPr>
              <w:t>,</w:t>
            </w:r>
            <w:r w:rsidRPr="001A5B2D">
              <w:rPr>
                <w:rFonts w:ascii="Century Gothic" w:eastAsia="Times New Roman" w:hAnsi="Century Gothic"/>
                <w:color w:val="000000"/>
                <w:sz w:val="20"/>
                <w:szCs w:val="20"/>
                <w:lang w:eastAsia="es-MX"/>
              </w:rPr>
              <w:t xml:space="preserve"> en su V Sesión Extraordinaria, aprobó mediante acuerdo P/IFT/EXT/060314/77</w:t>
            </w:r>
            <w:r w:rsidR="009A1BDF">
              <w:rPr>
                <w:rStyle w:val="Refdenotaalpie"/>
                <w:rFonts w:ascii="Century Gothic" w:eastAsia="Times New Roman" w:hAnsi="Century Gothic"/>
                <w:color w:val="000000"/>
                <w:sz w:val="20"/>
                <w:szCs w:val="20"/>
                <w:lang w:eastAsia="es-MX"/>
              </w:rPr>
              <w:footnoteReference w:id="2"/>
            </w:r>
            <w:r w:rsidRPr="001A5B2D">
              <w:rPr>
                <w:rFonts w:ascii="Century Gothic" w:eastAsia="Times New Roman" w:hAnsi="Century Gothic"/>
                <w:color w:val="000000"/>
                <w:sz w:val="20"/>
                <w:szCs w:val="20"/>
                <w:lang w:eastAsia="es-MX"/>
              </w:rPr>
              <w:t xml:space="preserve"> la “</w:t>
            </w:r>
            <w:r w:rsidRPr="00423C23">
              <w:rPr>
                <w:rFonts w:ascii="Century Gothic" w:eastAsia="Times New Roman" w:hAnsi="Century Gothic"/>
                <w:i/>
                <w:color w:val="000000"/>
                <w:sz w:val="20"/>
                <w:szCs w:val="20"/>
                <w:lang w:eastAsia="es-MX"/>
              </w:rPr>
              <w:t xml:space="preserve">Resolución mediante la cual el Pleno del Instituto Federal de Telecomunicaciones determina al grupo de interés económico del que forman parte Grupo Televisa S.A.B., Canales de Televisión Populares, S.A. de C.V., Radio Televisión, S.A. de C.V., </w:t>
            </w:r>
            <w:proofErr w:type="spellStart"/>
            <w:r w:rsidRPr="00423C23">
              <w:rPr>
                <w:rFonts w:ascii="Century Gothic" w:eastAsia="Times New Roman" w:hAnsi="Century Gothic"/>
                <w:i/>
                <w:color w:val="000000"/>
                <w:sz w:val="20"/>
                <w:szCs w:val="20"/>
                <w:lang w:eastAsia="es-MX"/>
              </w:rPr>
              <w:t>Radiotelevisora</w:t>
            </w:r>
            <w:proofErr w:type="spellEnd"/>
            <w:r w:rsidRPr="00423C23">
              <w:rPr>
                <w:rFonts w:ascii="Century Gothic" w:eastAsia="Times New Roman" w:hAnsi="Century Gothic"/>
                <w:i/>
                <w:color w:val="000000"/>
                <w:sz w:val="20"/>
                <w:szCs w:val="20"/>
                <w:lang w:eastAsia="es-MX"/>
              </w:rPr>
              <w:t xml:space="preserve"> de México Norte, S.A. de C.V., T.V. de los Mochis, S.A. de C.V., </w:t>
            </w:r>
            <w:proofErr w:type="spellStart"/>
            <w:r w:rsidRPr="00423C23">
              <w:rPr>
                <w:rFonts w:ascii="Century Gothic" w:eastAsia="Times New Roman" w:hAnsi="Century Gothic"/>
                <w:i/>
                <w:color w:val="000000"/>
                <w:sz w:val="20"/>
                <w:szCs w:val="20"/>
                <w:lang w:eastAsia="es-MX"/>
              </w:rPr>
              <w:t>Teleimagen</w:t>
            </w:r>
            <w:proofErr w:type="spellEnd"/>
            <w:r w:rsidRPr="00423C23">
              <w:rPr>
                <w:rFonts w:ascii="Century Gothic" w:eastAsia="Times New Roman" w:hAnsi="Century Gothic"/>
                <w:i/>
                <w:color w:val="000000"/>
                <w:sz w:val="20"/>
                <w:szCs w:val="20"/>
                <w:lang w:eastAsia="es-MX"/>
              </w:rPr>
              <w:t xml:space="preserve"> del Noroeste, S.A. de C.V., </w:t>
            </w:r>
            <w:proofErr w:type="spellStart"/>
            <w:r w:rsidRPr="00423C23">
              <w:rPr>
                <w:rFonts w:ascii="Century Gothic" w:eastAsia="Times New Roman" w:hAnsi="Century Gothic"/>
                <w:i/>
                <w:color w:val="000000"/>
                <w:sz w:val="20"/>
                <w:szCs w:val="20"/>
                <w:lang w:eastAsia="es-MX"/>
              </w:rPr>
              <w:t>Televimex</w:t>
            </w:r>
            <w:proofErr w:type="spellEnd"/>
            <w:r w:rsidRPr="00423C23">
              <w:rPr>
                <w:rFonts w:ascii="Century Gothic" w:eastAsia="Times New Roman" w:hAnsi="Century Gothic"/>
                <w:i/>
                <w:color w:val="000000"/>
                <w:sz w:val="20"/>
                <w:szCs w:val="20"/>
                <w:lang w:eastAsia="es-MX"/>
              </w:rPr>
              <w:t xml:space="preserve">, S.A. de C.V., Televisión de Puebla, S.A. de C.V., Televisora de Mexicali, S.A. de C.V., Televisora de Navojoa, S.A., Televisora de Occidente, S.A. de C.V., Televisora Peninsular, S.A. de C.V., Mario Enríquez </w:t>
            </w:r>
            <w:proofErr w:type="spellStart"/>
            <w:r w:rsidRPr="00423C23">
              <w:rPr>
                <w:rFonts w:ascii="Century Gothic" w:eastAsia="Times New Roman" w:hAnsi="Century Gothic"/>
                <w:i/>
                <w:color w:val="000000"/>
                <w:sz w:val="20"/>
                <w:szCs w:val="20"/>
                <w:lang w:eastAsia="es-MX"/>
              </w:rPr>
              <w:t>Mayans</w:t>
            </w:r>
            <w:proofErr w:type="spellEnd"/>
            <w:r w:rsidRPr="00423C23">
              <w:rPr>
                <w:rFonts w:ascii="Century Gothic" w:eastAsia="Times New Roman" w:hAnsi="Century Gothic"/>
                <w:i/>
                <w:color w:val="000000"/>
                <w:sz w:val="20"/>
                <w:szCs w:val="20"/>
                <w:lang w:eastAsia="es-MX"/>
              </w:rPr>
              <w:t xml:space="preserve"> Concha, Televisión La Paz, S.A., Televisión de la Frontera, </w:t>
            </w:r>
            <w:r w:rsidRPr="00423C23">
              <w:rPr>
                <w:rFonts w:ascii="Century Gothic" w:eastAsia="Times New Roman" w:hAnsi="Century Gothic"/>
                <w:i/>
                <w:color w:val="000000"/>
                <w:sz w:val="20"/>
                <w:szCs w:val="20"/>
                <w:lang w:eastAsia="es-MX"/>
              </w:rPr>
              <w:lastRenderedPageBreak/>
              <w:t xml:space="preserve">S.A., Pedro Luis </w:t>
            </w:r>
            <w:proofErr w:type="spellStart"/>
            <w:r w:rsidRPr="00423C23">
              <w:rPr>
                <w:rFonts w:ascii="Century Gothic" w:eastAsia="Times New Roman" w:hAnsi="Century Gothic"/>
                <w:i/>
                <w:color w:val="000000"/>
                <w:sz w:val="20"/>
                <w:szCs w:val="20"/>
                <w:lang w:eastAsia="es-MX"/>
              </w:rPr>
              <w:t>Fitzmaurice</w:t>
            </w:r>
            <w:proofErr w:type="spellEnd"/>
            <w:r w:rsidRPr="00423C23">
              <w:rPr>
                <w:rFonts w:ascii="Century Gothic" w:eastAsia="Times New Roman" w:hAnsi="Century Gothic"/>
                <w:i/>
                <w:color w:val="000000"/>
                <w:sz w:val="20"/>
                <w:szCs w:val="20"/>
                <w:lang w:eastAsia="es-MX"/>
              </w:rPr>
              <w:t xml:space="preserve"> Meneses, </w:t>
            </w:r>
            <w:proofErr w:type="spellStart"/>
            <w:r w:rsidRPr="00423C23">
              <w:rPr>
                <w:rFonts w:ascii="Century Gothic" w:eastAsia="Times New Roman" w:hAnsi="Century Gothic"/>
                <w:i/>
                <w:color w:val="000000"/>
                <w:sz w:val="20"/>
                <w:szCs w:val="20"/>
                <w:lang w:eastAsia="es-MX"/>
              </w:rPr>
              <w:t>Telemisión</w:t>
            </w:r>
            <w:proofErr w:type="spellEnd"/>
            <w:r w:rsidRPr="00423C23">
              <w:rPr>
                <w:rFonts w:ascii="Century Gothic" w:eastAsia="Times New Roman" w:hAnsi="Century Gothic"/>
                <w:i/>
                <w:color w:val="000000"/>
                <w:sz w:val="20"/>
                <w:szCs w:val="20"/>
                <w:lang w:eastAsia="es-MX"/>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423C23">
              <w:rPr>
                <w:rFonts w:ascii="Century Gothic" w:eastAsia="Times New Roman" w:hAnsi="Century Gothic"/>
                <w:i/>
                <w:color w:val="000000"/>
                <w:sz w:val="20"/>
                <w:szCs w:val="20"/>
                <w:lang w:eastAsia="es-MX"/>
              </w:rPr>
              <w:t>Loucille</w:t>
            </w:r>
            <w:proofErr w:type="spellEnd"/>
            <w:r w:rsidRPr="00423C23">
              <w:rPr>
                <w:rFonts w:ascii="Century Gothic" w:eastAsia="Times New Roman" w:hAnsi="Century Gothic"/>
                <w:i/>
                <w:color w:val="000000"/>
                <w:sz w:val="20"/>
                <w:szCs w:val="20"/>
                <w:lang w:eastAsia="es-MX"/>
              </w:rPr>
              <w:t>,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00CA0A84" w:rsidRPr="001A5B2D">
              <w:rPr>
                <w:rFonts w:ascii="Century Gothic" w:eastAsia="Times New Roman" w:hAnsi="Century Gothic"/>
                <w:color w:val="000000"/>
                <w:sz w:val="20"/>
                <w:szCs w:val="20"/>
                <w:lang w:eastAsia="es-MX"/>
              </w:rPr>
              <w:t>”</w:t>
            </w:r>
            <w:r w:rsidR="00151C08" w:rsidRPr="001A5B2D">
              <w:rPr>
                <w:rFonts w:ascii="Century Gothic" w:eastAsia="Times New Roman" w:hAnsi="Century Gothic"/>
                <w:color w:val="000000"/>
                <w:sz w:val="20"/>
                <w:szCs w:val="20"/>
                <w:lang w:eastAsia="es-MX"/>
              </w:rPr>
              <w:t xml:space="preserve"> (en lo sucesivo, </w:t>
            </w:r>
            <w:r w:rsidR="0083236B">
              <w:rPr>
                <w:rFonts w:ascii="Century Gothic" w:eastAsia="Times New Roman" w:hAnsi="Century Gothic"/>
                <w:color w:val="000000"/>
                <w:sz w:val="20"/>
                <w:szCs w:val="20"/>
                <w:lang w:eastAsia="es-MX"/>
              </w:rPr>
              <w:t xml:space="preserve">la </w:t>
            </w:r>
            <w:r w:rsidR="00151C08" w:rsidRPr="001A5B2D">
              <w:rPr>
                <w:rFonts w:ascii="Century Gothic" w:eastAsia="Times New Roman" w:hAnsi="Century Gothic"/>
                <w:color w:val="000000"/>
                <w:sz w:val="20"/>
                <w:szCs w:val="20"/>
                <w:lang w:eastAsia="es-MX"/>
              </w:rPr>
              <w:t xml:space="preserve">“Resolución de </w:t>
            </w:r>
            <w:r w:rsidR="00B8128B">
              <w:rPr>
                <w:rFonts w:ascii="Century Gothic" w:eastAsia="Times New Roman" w:hAnsi="Century Gothic"/>
                <w:color w:val="000000"/>
                <w:sz w:val="20"/>
                <w:szCs w:val="20"/>
                <w:lang w:eastAsia="es-MX"/>
              </w:rPr>
              <w:t>AEPR</w:t>
            </w:r>
            <w:r w:rsidR="00151C08" w:rsidRPr="001A5B2D">
              <w:rPr>
                <w:rFonts w:ascii="Century Gothic" w:eastAsia="Times New Roman" w:hAnsi="Century Gothic"/>
                <w:color w:val="000000"/>
                <w:sz w:val="20"/>
                <w:szCs w:val="20"/>
                <w:lang w:eastAsia="es-MX"/>
              </w:rPr>
              <w:t>”).</w:t>
            </w:r>
          </w:p>
          <w:p w14:paraId="2CA4B13A" w14:textId="2120C7BE" w:rsidR="00CA0A84" w:rsidRPr="001A5B2D" w:rsidRDefault="00CA0A84" w:rsidP="0081028F">
            <w:pPr>
              <w:spacing w:after="120" w:line="276" w:lineRule="auto"/>
              <w:ind w:right="306"/>
              <w:jc w:val="both"/>
              <w:rPr>
                <w:rFonts w:ascii="Century Gothic" w:eastAsia="Times New Roman" w:hAnsi="Century Gothic"/>
                <w:color w:val="000000"/>
                <w:sz w:val="20"/>
                <w:szCs w:val="20"/>
                <w:lang w:eastAsia="es-MX"/>
              </w:rPr>
            </w:pPr>
            <w:r w:rsidRPr="001A5B2D">
              <w:rPr>
                <w:rFonts w:ascii="Century Gothic" w:eastAsia="Times New Roman" w:hAnsi="Century Gothic"/>
                <w:color w:val="000000"/>
                <w:sz w:val="20"/>
                <w:szCs w:val="20"/>
                <w:lang w:eastAsia="es-MX"/>
              </w:rPr>
              <w:t>Con fecha 27 de febrero de 2017, el Pleno</w:t>
            </w:r>
            <w:r w:rsidR="00D42C6E">
              <w:rPr>
                <w:rFonts w:ascii="Century Gothic" w:eastAsia="Times New Roman" w:hAnsi="Century Gothic"/>
                <w:color w:val="000000"/>
                <w:sz w:val="20"/>
                <w:szCs w:val="20"/>
                <w:lang w:eastAsia="es-MX"/>
              </w:rPr>
              <w:t>,</w:t>
            </w:r>
            <w:r w:rsidRPr="001A5B2D">
              <w:rPr>
                <w:rFonts w:ascii="Century Gothic" w:eastAsia="Times New Roman" w:hAnsi="Century Gothic"/>
                <w:color w:val="000000"/>
                <w:sz w:val="20"/>
                <w:szCs w:val="20"/>
                <w:lang w:eastAsia="es-MX"/>
              </w:rPr>
              <w:t xml:space="preserve"> en su IV Sesión Extraordinaria, aprobó mediante acuerdo P/IFT/EXT/270217/120</w:t>
            </w:r>
            <w:r w:rsidR="009A1BDF">
              <w:rPr>
                <w:rStyle w:val="Refdenotaalpie"/>
                <w:rFonts w:ascii="Century Gothic" w:eastAsia="Times New Roman" w:hAnsi="Century Gothic"/>
                <w:color w:val="000000"/>
                <w:sz w:val="20"/>
                <w:szCs w:val="20"/>
                <w:lang w:eastAsia="es-MX"/>
              </w:rPr>
              <w:footnoteReference w:id="3"/>
            </w:r>
            <w:r w:rsidRPr="001A5B2D">
              <w:rPr>
                <w:rFonts w:ascii="Century Gothic" w:eastAsia="Times New Roman" w:hAnsi="Century Gothic"/>
                <w:color w:val="000000"/>
                <w:sz w:val="20"/>
                <w:szCs w:val="20"/>
                <w:lang w:eastAsia="es-MX"/>
              </w:rPr>
              <w:t xml:space="preserve"> la “</w:t>
            </w:r>
            <w:r w:rsidRPr="00423C23">
              <w:rPr>
                <w:rFonts w:ascii="Century Gothic" w:eastAsia="Times New Roman" w:hAnsi="Century Gothic"/>
                <w:i/>
                <w:color w:val="000000"/>
                <w:sz w:val="20"/>
                <w:szCs w:val="20"/>
                <w:lang w:eastAsia="es-MX"/>
              </w:rPr>
              <w:t>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w:t>
            </w:r>
            <w:r w:rsidR="00151C08" w:rsidRPr="001A5B2D">
              <w:rPr>
                <w:rFonts w:ascii="Century Gothic" w:eastAsia="Times New Roman" w:hAnsi="Century Gothic"/>
                <w:color w:val="000000"/>
                <w:sz w:val="20"/>
                <w:szCs w:val="20"/>
                <w:lang w:eastAsia="es-MX"/>
              </w:rPr>
              <w:t>” (en lo sucesivo,</w:t>
            </w:r>
            <w:r w:rsidR="0020099A">
              <w:rPr>
                <w:rFonts w:ascii="Century Gothic" w:eastAsia="Times New Roman" w:hAnsi="Century Gothic"/>
                <w:color w:val="000000"/>
                <w:sz w:val="20"/>
                <w:szCs w:val="20"/>
                <w:lang w:eastAsia="es-MX"/>
              </w:rPr>
              <w:t xml:space="preserve"> la</w:t>
            </w:r>
            <w:r w:rsidR="00151C08" w:rsidRPr="001A5B2D">
              <w:rPr>
                <w:rFonts w:ascii="Century Gothic" w:eastAsia="Times New Roman" w:hAnsi="Century Gothic"/>
                <w:color w:val="000000"/>
                <w:sz w:val="20"/>
                <w:szCs w:val="20"/>
                <w:lang w:eastAsia="es-MX"/>
              </w:rPr>
              <w:t xml:space="preserve"> “Resolución Bienal</w:t>
            </w:r>
            <w:r w:rsidR="00D514C7">
              <w:rPr>
                <w:rFonts w:ascii="Century Gothic" w:eastAsia="Times New Roman" w:hAnsi="Century Gothic"/>
                <w:color w:val="000000"/>
                <w:sz w:val="20"/>
                <w:szCs w:val="20"/>
                <w:lang w:eastAsia="es-MX"/>
              </w:rPr>
              <w:t xml:space="preserve"> de Radiodifusión</w:t>
            </w:r>
            <w:r w:rsidR="00151C08" w:rsidRPr="001A5B2D">
              <w:rPr>
                <w:rFonts w:ascii="Century Gothic" w:eastAsia="Times New Roman" w:hAnsi="Century Gothic"/>
                <w:color w:val="000000"/>
                <w:sz w:val="20"/>
                <w:szCs w:val="20"/>
                <w:lang w:eastAsia="es-MX"/>
              </w:rPr>
              <w:t>”</w:t>
            </w:r>
            <w:r w:rsidR="00D42C6E">
              <w:rPr>
                <w:rFonts w:ascii="Century Gothic" w:eastAsia="Times New Roman" w:hAnsi="Century Gothic"/>
                <w:color w:val="000000"/>
                <w:sz w:val="20"/>
                <w:szCs w:val="20"/>
                <w:lang w:eastAsia="es-MX"/>
              </w:rPr>
              <w:t>)</w:t>
            </w:r>
            <w:r w:rsidR="00151C08" w:rsidRPr="001A5B2D">
              <w:rPr>
                <w:rFonts w:ascii="Century Gothic" w:eastAsia="Times New Roman" w:hAnsi="Century Gothic"/>
                <w:color w:val="000000"/>
                <w:sz w:val="20"/>
                <w:szCs w:val="20"/>
                <w:lang w:eastAsia="es-MX"/>
              </w:rPr>
              <w:t>.</w:t>
            </w:r>
          </w:p>
          <w:p w14:paraId="452FD630" w14:textId="5BBC1EC4" w:rsidR="00464D89" w:rsidRDefault="00CA0A84" w:rsidP="0081028F">
            <w:pPr>
              <w:spacing w:after="120" w:line="276" w:lineRule="auto"/>
              <w:ind w:right="306"/>
              <w:jc w:val="both"/>
              <w:rPr>
                <w:rFonts w:ascii="Century Gothic" w:eastAsia="Times New Roman" w:hAnsi="Century Gothic"/>
                <w:color w:val="000000"/>
                <w:sz w:val="20"/>
                <w:szCs w:val="20"/>
                <w:lang w:eastAsia="es-MX"/>
              </w:rPr>
            </w:pPr>
            <w:r w:rsidRPr="001A5B2D">
              <w:rPr>
                <w:rFonts w:ascii="Century Gothic" w:eastAsia="Times New Roman" w:hAnsi="Century Gothic"/>
                <w:color w:val="000000"/>
                <w:sz w:val="20"/>
                <w:szCs w:val="20"/>
                <w:lang w:eastAsia="es-MX"/>
              </w:rPr>
              <w:t xml:space="preserve">El Instituto Federal de Telecomunicaciones (en lo sucesivo, el “Instituto”) lleva a cabo </w:t>
            </w:r>
            <w:r w:rsidR="00464D89">
              <w:rPr>
                <w:rFonts w:ascii="Century Gothic" w:eastAsia="Times New Roman" w:hAnsi="Century Gothic"/>
                <w:color w:val="000000"/>
                <w:sz w:val="20"/>
                <w:szCs w:val="20"/>
                <w:lang w:eastAsia="es-MX"/>
              </w:rPr>
              <w:t>la presente</w:t>
            </w:r>
            <w:r w:rsidR="00464D89" w:rsidRPr="001A5B2D">
              <w:rPr>
                <w:rFonts w:ascii="Century Gothic" w:eastAsia="Times New Roman" w:hAnsi="Century Gothic"/>
                <w:color w:val="000000"/>
                <w:sz w:val="20"/>
                <w:szCs w:val="20"/>
                <w:lang w:eastAsia="es-MX"/>
              </w:rPr>
              <w:t xml:space="preserve"> </w:t>
            </w:r>
            <w:r w:rsidRPr="001A5B2D">
              <w:rPr>
                <w:rFonts w:ascii="Century Gothic" w:eastAsia="Times New Roman" w:hAnsi="Century Gothic"/>
                <w:color w:val="000000"/>
                <w:sz w:val="20"/>
                <w:szCs w:val="20"/>
                <w:lang w:eastAsia="es-MX"/>
              </w:rPr>
              <w:t>consulta pública con la finalidad de</w:t>
            </w:r>
            <w:r w:rsidR="00CB2F1E">
              <w:rPr>
                <w:rFonts w:ascii="Century Gothic" w:eastAsia="Times New Roman" w:hAnsi="Century Gothic"/>
                <w:color w:val="000000"/>
                <w:sz w:val="20"/>
                <w:szCs w:val="20"/>
                <w:lang w:eastAsia="es-MX"/>
              </w:rPr>
              <w:t xml:space="preserve"> recabar</w:t>
            </w:r>
            <w:r w:rsidR="00464D89">
              <w:rPr>
                <w:rFonts w:ascii="Century Gothic" w:eastAsia="Times New Roman" w:hAnsi="Century Gothic"/>
                <w:color w:val="000000"/>
                <w:sz w:val="20"/>
                <w:szCs w:val="20"/>
                <w:lang w:eastAsia="es-MX"/>
              </w:rPr>
              <w:t>:</w:t>
            </w:r>
          </w:p>
          <w:p w14:paraId="5738BA4A" w14:textId="6633701E" w:rsidR="00CB2F1E" w:rsidRDefault="00CB2F1E" w:rsidP="0048009B">
            <w:pPr>
              <w:numPr>
                <w:ilvl w:val="0"/>
                <w:numId w:val="17"/>
              </w:numPr>
              <w:spacing w:after="120" w:line="276" w:lineRule="auto"/>
              <w:ind w:right="306"/>
              <w:jc w:val="both"/>
              <w:rPr>
                <w:rFonts w:ascii="Century Gothic" w:eastAsia="Times New Roman" w:hAnsi="Century Gothic"/>
                <w:color w:val="000000"/>
                <w:sz w:val="20"/>
                <w:szCs w:val="20"/>
                <w:lang w:eastAsia="es-MX"/>
              </w:rPr>
            </w:pPr>
            <w:r>
              <w:rPr>
                <w:rFonts w:ascii="Century Gothic" w:eastAsia="Times New Roman" w:hAnsi="Century Gothic"/>
                <w:color w:val="000000"/>
                <w:sz w:val="20"/>
                <w:szCs w:val="20"/>
                <w:lang w:eastAsia="es-MX"/>
              </w:rPr>
              <w:t>I</w:t>
            </w:r>
            <w:r w:rsidRPr="00CB2F1E">
              <w:rPr>
                <w:rFonts w:ascii="Century Gothic" w:eastAsia="Times New Roman" w:hAnsi="Century Gothic"/>
                <w:color w:val="000000"/>
                <w:sz w:val="20"/>
                <w:szCs w:val="20"/>
                <w:lang w:eastAsia="es-MX"/>
              </w:rPr>
              <w:t xml:space="preserve">nformación, comentarios, opiniones, aportaciones u otros elementos de análisis que puedan ser útiles para evaluar el impacto en términos de competencia de las medidas impuestas al Agente Económico Preponderante en el Sector de </w:t>
            </w:r>
            <w:r>
              <w:rPr>
                <w:rFonts w:ascii="Century Gothic" w:eastAsia="Times New Roman" w:hAnsi="Century Gothic"/>
                <w:color w:val="000000"/>
                <w:sz w:val="20"/>
                <w:szCs w:val="20"/>
                <w:lang w:eastAsia="es-MX"/>
              </w:rPr>
              <w:t>Radiodifusión, y</w:t>
            </w:r>
          </w:p>
          <w:p w14:paraId="0D6EF970" w14:textId="7F0FB528" w:rsidR="00771BE5" w:rsidRPr="00605BD9" w:rsidRDefault="00CB2F1E" w:rsidP="0048009B">
            <w:pPr>
              <w:numPr>
                <w:ilvl w:val="0"/>
                <w:numId w:val="17"/>
              </w:numPr>
              <w:spacing w:after="120" w:line="276" w:lineRule="auto"/>
              <w:ind w:right="306"/>
              <w:jc w:val="both"/>
              <w:rPr>
                <w:rFonts w:ascii="Century Gothic" w:eastAsia="Times New Roman" w:hAnsi="Century Gothic"/>
                <w:color w:val="000000"/>
                <w:lang w:eastAsia="es-MX"/>
              </w:rPr>
            </w:pPr>
            <w:r>
              <w:rPr>
                <w:rFonts w:ascii="Century Gothic" w:eastAsia="Times New Roman" w:hAnsi="Century Gothic"/>
                <w:color w:val="000000"/>
                <w:sz w:val="20"/>
                <w:szCs w:val="20"/>
                <w:lang w:eastAsia="es-MX"/>
              </w:rPr>
              <w:t xml:space="preserve">En su caso, </w:t>
            </w:r>
            <w:r w:rsidRPr="00CB2F1E">
              <w:rPr>
                <w:rFonts w:ascii="Century Gothic" w:eastAsia="Times New Roman" w:hAnsi="Century Gothic"/>
                <w:color w:val="000000"/>
                <w:sz w:val="20"/>
                <w:szCs w:val="20"/>
                <w:lang w:eastAsia="es-MX"/>
              </w:rPr>
              <w:t>propuestas justificadas de supresión, modificación o adición de medidas</w:t>
            </w:r>
            <w:r>
              <w:rPr>
                <w:rFonts w:ascii="Century Gothic" w:eastAsia="Times New Roman" w:hAnsi="Century Gothic"/>
                <w:color w:val="000000"/>
                <w:sz w:val="20"/>
                <w:szCs w:val="20"/>
                <w:lang w:eastAsia="es-MX"/>
              </w:rPr>
              <w:t>.</w:t>
            </w:r>
          </w:p>
        </w:tc>
      </w:tr>
      <w:tr w:rsidR="00DF154A" w:rsidRPr="00DF5B3F" w14:paraId="51954170" w14:textId="77777777" w:rsidTr="00DF5B3F">
        <w:trPr>
          <w:trHeight w:val="300"/>
          <w:jc w:val="center"/>
        </w:trPr>
        <w:tc>
          <w:tcPr>
            <w:tcW w:w="8642" w:type="dxa"/>
            <w:shd w:val="clear" w:color="auto" w:fill="C5E0B3"/>
            <w:noWrap/>
            <w:vAlign w:val="center"/>
          </w:tcPr>
          <w:p w14:paraId="161C2A73" w14:textId="77777777" w:rsidR="00DF154A" w:rsidRPr="006B0B12" w:rsidRDefault="00DF154A" w:rsidP="00C41536">
            <w:pPr>
              <w:spacing w:after="0" w:line="240" w:lineRule="auto"/>
              <w:jc w:val="both"/>
              <w:rPr>
                <w:rFonts w:ascii="Century Gothic" w:eastAsia="Times New Roman" w:hAnsi="Century Gothic"/>
                <w:color w:val="000000"/>
                <w:sz w:val="16"/>
                <w:szCs w:val="16"/>
                <w:lang w:eastAsia="es-MX"/>
              </w:rPr>
            </w:pPr>
          </w:p>
        </w:tc>
      </w:tr>
    </w:tbl>
    <w:p w14:paraId="65FC4059" w14:textId="77777777" w:rsidR="00D26916" w:rsidRDefault="00D26916" w:rsidP="00DF67B4">
      <w:pPr>
        <w:spacing w:after="0"/>
        <w:jc w:val="both"/>
        <w:rPr>
          <w:rFonts w:ascii="Century Gothic" w:hAnsi="Century Gothic"/>
          <w:sz w:val="16"/>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81028F" w:rsidRPr="00D26916" w14:paraId="6988A5AA" w14:textId="77777777" w:rsidTr="000D1157">
        <w:trPr>
          <w:trHeight w:val="600"/>
          <w:jc w:val="center"/>
        </w:trPr>
        <w:tc>
          <w:tcPr>
            <w:tcW w:w="8642" w:type="dxa"/>
            <w:shd w:val="clear" w:color="auto" w:fill="D9D9D9"/>
            <w:vAlign w:val="center"/>
            <w:hideMark/>
          </w:tcPr>
          <w:p w14:paraId="193D8E4B" w14:textId="77777777" w:rsidR="0081028F" w:rsidRPr="00D26916" w:rsidRDefault="00507C5C" w:rsidP="000D1157">
            <w:pPr>
              <w:numPr>
                <w:ilvl w:val="0"/>
                <w:numId w:val="2"/>
              </w:numPr>
              <w:spacing w:before="240" w:line="240" w:lineRule="auto"/>
              <w:ind w:left="-70" w:firstLine="70"/>
              <w:contextualSpacing/>
              <w:jc w:val="center"/>
              <w:rPr>
                <w:rFonts w:ascii="Century Gothic" w:eastAsia="Times New Roman" w:hAnsi="Century Gothic"/>
                <w:b/>
                <w:bCs/>
                <w:lang w:eastAsia="es-MX"/>
              </w:rPr>
            </w:pPr>
            <w:r>
              <w:rPr>
                <w:rFonts w:ascii="Century Gothic" w:eastAsia="Times New Roman" w:hAnsi="Century Gothic"/>
                <w:b/>
                <w:bCs/>
                <w:lang w:eastAsia="es-MX"/>
              </w:rPr>
              <w:t xml:space="preserve">Guía </w:t>
            </w:r>
            <w:r w:rsidR="00E02429">
              <w:rPr>
                <w:rFonts w:ascii="Century Gothic" w:eastAsia="Times New Roman" w:hAnsi="Century Gothic"/>
                <w:b/>
                <w:bCs/>
                <w:lang w:eastAsia="es-MX"/>
              </w:rPr>
              <w:t xml:space="preserve">para </w:t>
            </w:r>
            <w:r>
              <w:rPr>
                <w:rFonts w:ascii="Century Gothic" w:eastAsia="Times New Roman" w:hAnsi="Century Gothic"/>
                <w:b/>
                <w:bCs/>
                <w:lang w:eastAsia="es-MX"/>
              </w:rPr>
              <w:t>el llenado del formato</w:t>
            </w:r>
          </w:p>
        </w:tc>
      </w:tr>
      <w:tr w:rsidR="0081028F" w:rsidRPr="00DF5B3F" w14:paraId="39832AB2" w14:textId="77777777" w:rsidTr="00863228">
        <w:trPr>
          <w:trHeight w:val="720"/>
          <w:jc w:val="center"/>
        </w:trPr>
        <w:tc>
          <w:tcPr>
            <w:tcW w:w="8642" w:type="dxa"/>
            <w:shd w:val="clear" w:color="000000" w:fill="FFFFFF"/>
            <w:noWrap/>
            <w:hideMark/>
          </w:tcPr>
          <w:p w14:paraId="3A486378" w14:textId="77777777" w:rsidR="0081028F" w:rsidRDefault="0081028F" w:rsidP="00863228">
            <w:pPr>
              <w:spacing w:after="0" w:line="240" w:lineRule="auto"/>
              <w:ind w:left="-75" w:right="309"/>
              <w:jc w:val="both"/>
              <w:rPr>
                <w:rFonts w:ascii="Century Gothic" w:eastAsia="Times New Roman" w:hAnsi="Century Gothic"/>
                <w:color w:val="000000"/>
                <w:sz w:val="14"/>
                <w:szCs w:val="16"/>
                <w:lang w:eastAsia="es-MX"/>
              </w:rPr>
            </w:pPr>
          </w:p>
          <w:p w14:paraId="061CBDFA" w14:textId="111FB503" w:rsidR="0081028F" w:rsidRPr="00566139" w:rsidRDefault="00320887" w:rsidP="00423C23">
            <w:pPr>
              <w:spacing w:after="120" w:line="276" w:lineRule="auto"/>
              <w:ind w:right="309"/>
              <w:jc w:val="both"/>
              <w:rPr>
                <w:rFonts w:ascii="Century Gothic" w:eastAsia="Times New Roman" w:hAnsi="Century Gothic"/>
                <w:b/>
                <w:color w:val="000000"/>
                <w:sz w:val="20"/>
                <w:szCs w:val="20"/>
                <w:lang w:eastAsia="es-MX"/>
              </w:rPr>
            </w:pPr>
            <w:r>
              <w:rPr>
                <w:rFonts w:ascii="Century Gothic" w:eastAsia="Times New Roman" w:hAnsi="Century Gothic"/>
                <w:color w:val="000000"/>
                <w:sz w:val="20"/>
                <w:szCs w:val="20"/>
                <w:lang w:eastAsia="es-MX"/>
              </w:rPr>
              <w:t xml:space="preserve">A fin de llevar a cabo el proceso de revisión bienal del impacto de las medidas asimétricas </w:t>
            </w:r>
            <w:r w:rsidRPr="00320887">
              <w:rPr>
                <w:rFonts w:ascii="Century Gothic" w:eastAsia="Times New Roman" w:hAnsi="Century Gothic"/>
                <w:color w:val="000000"/>
                <w:sz w:val="20"/>
                <w:szCs w:val="20"/>
                <w:lang w:eastAsia="es-MX"/>
              </w:rPr>
              <w:t>impuestas a</w:t>
            </w:r>
            <w:r>
              <w:rPr>
                <w:rFonts w:ascii="Century Gothic" w:eastAsia="Times New Roman" w:hAnsi="Century Gothic"/>
                <w:color w:val="000000"/>
                <w:sz w:val="20"/>
                <w:szCs w:val="20"/>
                <w:lang w:eastAsia="es-MX"/>
              </w:rPr>
              <w:t xml:space="preserve">l </w:t>
            </w:r>
            <w:r w:rsidR="00790454">
              <w:rPr>
                <w:rFonts w:ascii="Century Gothic" w:eastAsia="Times New Roman" w:hAnsi="Century Gothic"/>
                <w:color w:val="000000"/>
                <w:sz w:val="20"/>
                <w:szCs w:val="20"/>
                <w:lang w:eastAsia="es-MX"/>
              </w:rPr>
              <w:t>AEPR</w:t>
            </w:r>
            <w:r w:rsidR="00E02429">
              <w:rPr>
                <w:rFonts w:ascii="Century Gothic" w:eastAsia="Times New Roman" w:hAnsi="Century Gothic"/>
                <w:color w:val="000000"/>
                <w:sz w:val="20"/>
                <w:szCs w:val="20"/>
                <w:lang w:eastAsia="es-MX"/>
              </w:rPr>
              <w:t>,</w:t>
            </w:r>
            <w:r w:rsidR="0081028F">
              <w:rPr>
                <w:rFonts w:ascii="Century Gothic" w:eastAsia="Times New Roman" w:hAnsi="Century Gothic"/>
                <w:color w:val="000000"/>
                <w:sz w:val="20"/>
                <w:szCs w:val="20"/>
                <w:lang w:eastAsia="es-MX"/>
              </w:rPr>
              <w:t xml:space="preserve"> </w:t>
            </w:r>
            <w:r>
              <w:rPr>
                <w:rFonts w:ascii="Century Gothic" w:eastAsia="Times New Roman" w:hAnsi="Century Gothic"/>
                <w:color w:val="000000"/>
                <w:sz w:val="20"/>
                <w:szCs w:val="20"/>
                <w:lang w:eastAsia="es-MX"/>
              </w:rPr>
              <w:t xml:space="preserve">se solicita a los participantes que </w:t>
            </w:r>
            <w:r w:rsidR="001D0D5A">
              <w:rPr>
                <w:rFonts w:ascii="Century Gothic" w:eastAsia="Times New Roman" w:hAnsi="Century Gothic"/>
                <w:color w:val="000000"/>
                <w:sz w:val="20"/>
                <w:szCs w:val="20"/>
                <w:lang w:eastAsia="es-MX"/>
              </w:rPr>
              <w:t>ofrezcan respuestas a las preguntas planteadas</w:t>
            </w:r>
            <w:r w:rsidR="00D42C6E">
              <w:rPr>
                <w:rFonts w:ascii="Century Gothic" w:eastAsia="Times New Roman" w:hAnsi="Century Gothic"/>
                <w:color w:val="000000"/>
                <w:sz w:val="20"/>
                <w:szCs w:val="20"/>
                <w:lang w:eastAsia="es-MX"/>
              </w:rPr>
              <w:t xml:space="preserve"> en cada</w:t>
            </w:r>
            <w:r w:rsidR="00BB2194">
              <w:rPr>
                <w:rFonts w:ascii="Century Gothic" w:eastAsia="Times New Roman" w:hAnsi="Century Gothic"/>
                <w:color w:val="000000"/>
                <w:sz w:val="20"/>
                <w:szCs w:val="20"/>
                <w:lang w:eastAsia="es-MX"/>
              </w:rPr>
              <w:t xml:space="preserve"> grupo de medidas</w:t>
            </w:r>
            <w:r w:rsidR="001D0D5A">
              <w:rPr>
                <w:rFonts w:ascii="Century Gothic" w:eastAsia="Times New Roman" w:hAnsi="Century Gothic"/>
                <w:color w:val="000000"/>
                <w:sz w:val="20"/>
                <w:szCs w:val="20"/>
                <w:lang w:eastAsia="es-MX"/>
              </w:rPr>
              <w:t xml:space="preserve">, </w:t>
            </w:r>
            <w:r w:rsidR="00046FE1">
              <w:rPr>
                <w:rFonts w:ascii="Century Gothic" w:eastAsia="Times New Roman" w:hAnsi="Century Gothic"/>
                <w:color w:val="000000"/>
                <w:sz w:val="20"/>
                <w:szCs w:val="20"/>
                <w:lang w:eastAsia="es-MX"/>
              </w:rPr>
              <w:t>en función de los efectos</w:t>
            </w:r>
            <w:r w:rsidR="00DF52A8">
              <w:rPr>
                <w:rFonts w:ascii="Century Gothic" w:eastAsia="Times New Roman" w:hAnsi="Century Gothic"/>
                <w:color w:val="000000"/>
                <w:sz w:val="20"/>
                <w:szCs w:val="20"/>
                <w:lang w:eastAsia="es-MX"/>
              </w:rPr>
              <w:t xml:space="preserve"> que se han observado </w:t>
            </w:r>
            <w:r w:rsidR="00046FE1">
              <w:rPr>
                <w:rFonts w:ascii="Century Gothic" w:eastAsia="Times New Roman" w:hAnsi="Century Gothic"/>
                <w:color w:val="000000"/>
                <w:sz w:val="20"/>
                <w:szCs w:val="20"/>
                <w:lang w:eastAsia="es-MX"/>
              </w:rPr>
              <w:t>de las medidas</w:t>
            </w:r>
            <w:r w:rsidR="00A5785A">
              <w:rPr>
                <w:rFonts w:ascii="Century Gothic" w:eastAsia="Times New Roman" w:hAnsi="Century Gothic"/>
                <w:color w:val="000000"/>
                <w:sz w:val="20"/>
                <w:szCs w:val="20"/>
                <w:lang w:eastAsia="es-MX"/>
              </w:rPr>
              <w:t xml:space="preserve"> (</w:t>
            </w:r>
            <w:r w:rsidR="00D514C7">
              <w:rPr>
                <w:rFonts w:ascii="Century Gothic" w:eastAsia="Times New Roman" w:hAnsi="Century Gothic"/>
                <w:color w:val="000000"/>
                <w:sz w:val="20"/>
                <w:szCs w:val="20"/>
                <w:lang w:eastAsia="es-MX"/>
              </w:rPr>
              <w:t>en lo individual o en su conjunto</w:t>
            </w:r>
            <w:r w:rsidR="00A5785A">
              <w:rPr>
                <w:rFonts w:ascii="Century Gothic" w:eastAsia="Times New Roman" w:hAnsi="Century Gothic"/>
                <w:color w:val="000000"/>
                <w:sz w:val="20"/>
                <w:szCs w:val="20"/>
                <w:lang w:eastAsia="es-MX"/>
              </w:rPr>
              <w:t>)</w:t>
            </w:r>
            <w:r w:rsidR="001D0D5A">
              <w:rPr>
                <w:rFonts w:ascii="Century Gothic" w:eastAsia="Times New Roman" w:hAnsi="Century Gothic"/>
                <w:color w:val="000000"/>
                <w:sz w:val="20"/>
                <w:szCs w:val="20"/>
                <w:lang w:eastAsia="es-MX"/>
              </w:rPr>
              <w:t xml:space="preserve">. </w:t>
            </w:r>
            <w:r w:rsidR="00146A08">
              <w:rPr>
                <w:rFonts w:ascii="Century Gothic" w:eastAsia="Times New Roman" w:hAnsi="Century Gothic"/>
                <w:color w:val="000000"/>
                <w:sz w:val="20"/>
                <w:szCs w:val="20"/>
                <w:lang w:eastAsia="es-MX"/>
              </w:rPr>
              <w:t xml:space="preserve">Lo anterior, sin perder de vista </w:t>
            </w:r>
            <w:r w:rsidR="001D0D5A">
              <w:rPr>
                <w:rFonts w:ascii="Century Gothic" w:eastAsia="Times New Roman" w:hAnsi="Century Gothic"/>
                <w:color w:val="000000"/>
                <w:sz w:val="20"/>
                <w:szCs w:val="20"/>
                <w:lang w:eastAsia="es-MX"/>
              </w:rPr>
              <w:t xml:space="preserve">que las medidas impuestas al AEPR tienen la finalidad de </w:t>
            </w:r>
            <w:r w:rsidR="001D0D5A" w:rsidRPr="00566139">
              <w:rPr>
                <w:rFonts w:ascii="Century Gothic" w:eastAsia="Times New Roman" w:hAnsi="Century Gothic"/>
                <w:b/>
                <w:color w:val="000000"/>
                <w:sz w:val="20"/>
                <w:szCs w:val="20"/>
                <w:lang w:eastAsia="es-MX"/>
              </w:rPr>
              <w:t>evitar que se afecte la competencia y la libre concurrencia y, con ello, a los usuarios finales.</w:t>
            </w:r>
          </w:p>
          <w:p w14:paraId="688807B4" w14:textId="77777777" w:rsidR="002B7F47" w:rsidRDefault="00C147BB" w:rsidP="00340609">
            <w:pPr>
              <w:spacing w:before="240" w:after="120" w:line="276" w:lineRule="auto"/>
              <w:ind w:right="309"/>
              <w:jc w:val="both"/>
              <w:rPr>
                <w:rFonts w:ascii="Century Gothic" w:eastAsia="Times New Roman" w:hAnsi="Century Gothic"/>
                <w:color w:val="000000"/>
                <w:sz w:val="20"/>
                <w:szCs w:val="20"/>
                <w:lang w:eastAsia="es-MX"/>
              </w:rPr>
            </w:pPr>
            <w:r w:rsidRPr="00C147BB">
              <w:rPr>
                <w:rFonts w:ascii="Century Gothic" w:eastAsia="Times New Roman" w:hAnsi="Century Gothic"/>
                <w:color w:val="000000"/>
                <w:sz w:val="20"/>
                <w:szCs w:val="20"/>
                <w:lang w:eastAsia="es-MX"/>
              </w:rPr>
              <w:lastRenderedPageBreak/>
              <w:t xml:space="preserve">En este sentido, se considera relevante precisar que se evaluará el impacto de las medidas en el sector de </w:t>
            </w:r>
            <w:r w:rsidR="000162CF">
              <w:rPr>
                <w:rFonts w:ascii="Century Gothic" w:eastAsia="Times New Roman" w:hAnsi="Century Gothic"/>
                <w:color w:val="000000"/>
                <w:sz w:val="20"/>
                <w:szCs w:val="20"/>
                <w:lang w:eastAsia="es-MX"/>
              </w:rPr>
              <w:t>radiodifusión</w:t>
            </w:r>
            <w:r w:rsidR="000162CF" w:rsidRPr="00C147BB">
              <w:rPr>
                <w:rFonts w:ascii="Century Gothic" w:eastAsia="Times New Roman" w:hAnsi="Century Gothic"/>
                <w:color w:val="000000"/>
                <w:sz w:val="20"/>
                <w:szCs w:val="20"/>
                <w:lang w:eastAsia="es-MX"/>
              </w:rPr>
              <w:t xml:space="preserve"> </w:t>
            </w:r>
            <w:r w:rsidRPr="00C147BB">
              <w:rPr>
                <w:rFonts w:ascii="Century Gothic" w:eastAsia="Times New Roman" w:hAnsi="Century Gothic"/>
                <w:color w:val="000000"/>
                <w:sz w:val="20"/>
                <w:szCs w:val="20"/>
                <w:lang w:eastAsia="es-MX"/>
              </w:rPr>
              <w:t xml:space="preserve">en función de i) los efectos que han generado las medidas en los mercados y que estos estén alineados con los objetivos por lo que se establecieron las medidas; </w:t>
            </w:r>
            <w:proofErr w:type="spellStart"/>
            <w:r w:rsidRPr="00C147BB">
              <w:rPr>
                <w:rFonts w:ascii="Century Gothic" w:eastAsia="Times New Roman" w:hAnsi="Century Gothic"/>
                <w:color w:val="000000"/>
                <w:sz w:val="20"/>
                <w:szCs w:val="20"/>
                <w:lang w:eastAsia="es-MX"/>
              </w:rPr>
              <w:t>ii</w:t>
            </w:r>
            <w:proofErr w:type="spellEnd"/>
            <w:r w:rsidRPr="00C147BB">
              <w:rPr>
                <w:rFonts w:ascii="Century Gothic" w:eastAsia="Times New Roman" w:hAnsi="Century Gothic"/>
                <w:color w:val="000000"/>
                <w:sz w:val="20"/>
                <w:szCs w:val="20"/>
                <w:lang w:eastAsia="es-MX"/>
              </w:rPr>
              <w:t>) su diseño, es decir, que la manera en que fue</w:t>
            </w:r>
            <w:r w:rsidR="00A5559B">
              <w:rPr>
                <w:rFonts w:ascii="Century Gothic" w:eastAsia="Times New Roman" w:hAnsi="Century Gothic"/>
                <w:color w:val="000000"/>
                <w:sz w:val="20"/>
                <w:szCs w:val="20"/>
                <w:lang w:eastAsia="es-MX"/>
              </w:rPr>
              <w:t>ron</w:t>
            </w:r>
            <w:r w:rsidRPr="00C147BB">
              <w:rPr>
                <w:rFonts w:ascii="Century Gothic" w:eastAsia="Times New Roman" w:hAnsi="Century Gothic"/>
                <w:color w:val="000000"/>
                <w:sz w:val="20"/>
                <w:szCs w:val="20"/>
                <w:lang w:eastAsia="es-MX"/>
              </w:rPr>
              <w:t xml:space="preserve"> mandatada</w:t>
            </w:r>
            <w:r w:rsidR="00A5559B">
              <w:rPr>
                <w:rFonts w:ascii="Century Gothic" w:eastAsia="Times New Roman" w:hAnsi="Century Gothic"/>
                <w:color w:val="000000"/>
                <w:sz w:val="20"/>
                <w:szCs w:val="20"/>
                <w:lang w:eastAsia="es-MX"/>
              </w:rPr>
              <w:t>s</w:t>
            </w:r>
            <w:r w:rsidRPr="00C147BB">
              <w:rPr>
                <w:rFonts w:ascii="Century Gothic" w:eastAsia="Times New Roman" w:hAnsi="Century Gothic"/>
                <w:color w:val="000000"/>
                <w:sz w:val="20"/>
                <w:szCs w:val="20"/>
                <w:lang w:eastAsia="es-MX"/>
              </w:rPr>
              <w:t xml:space="preserve"> la</w:t>
            </w:r>
            <w:r w:rsidR="00A5559B">
              <w:rPr>
                <w:rFonts w:ascii="Century Gothic" w:eastAsia="Times New Roman" w:hAnsi="Century Gothic"/>
                <w:color w:val="000000"/>
                <w:sz w:val="20"/>
                <w:szCs w:val="20"/>
                <w:lang w:eastAsia="es-MX"/>
              </w:rPr>
              <w:t>s</w:t>
            </w:r>
            <w:r w:rsidRPr="00C147BB">
              <w:rPr>
                <w:rFonts w:ascii="Century Gothic" w:eastAsia="Times New Roman" w:hAnsi="Century Gothic"/>
                <w:color w:val="000000"/>
                <w:sz w:val="20"/>
                <w:szCs w:val="20"/>
                <w:lang w:eastAsia="es-MX"/>
              </w:rPr>
              <w:t xml:space="preserve"> medida</w:t>
            </w:r>
            <w:r w:rsidR="00A5559B">
              <w:rPr>
                <w:rFonts w:ascii="Century Gothic" w:eastAsia="Times New Roman" w:hAnsi="Century Gothic"/>
                <w:color w:val="000000"/>
                <w:sz w:val="20"/>
                <w:szCs w:val="20"/>
                <w:lang w:eastAsia="es-MX"/>
              </w:rPr>
              <w:t>s</w:t>
            </w:r>
            <w:r w:rsidRPr="00C147BB">
              <w:rPr>
                <w:rFonts w:ascii="Century Gothic" w:eastAsia="Times New Roman" w:hAnsi="Century Gothic"/>
                <w:color w:val="000000"/>
                <w:sz w:val="20"/>
                <w:szCs w:val="20"/>
                <w:lang w:eastAsia="es-MX"/>
              </w:rPr>
              <w:t xml:space="preserve"> esté alineada con los objetivos que se pretenden alcanzar; y </w:t>
            </w:r>
            <w:proofErr w:type="spellStart"/>
            <w:r w:rsidRPr="00C147BB">
              <w:rPr>
                <w:rFonts w:ascii="Century Gothic" w:eastAsia="Times New Roman" w:hAnsi="Century Gothic"/>
                <w:color w:val="000000"/>
                <w:sz w:val="20"/>
                <w:szCs w:val="20"/>
                <w:lang w:eastAsia="es-MX"/>
              </w:rPr>
              <w:t>iii</w:t>
            </w:r>
            <w:proofErr w:type="spellEnd"/>
            <w:r w:rsidRPr="00C147BB">
              <w:rPr>
                <w:rFonts w:ascii="Century Gothic" w:eastAsia="Times New Roman" w:hAnsi="Century Gothic"/>
                <w:color w:val="000000"/>
                <w:sz w:val="20"/>
                <w:szCs w:val="20"/>
                <w:lang w:eastAsia="es-MX"/>
              </w:rPr>
              <w:t xml:space="preserve">) que las acciones </w:t>
            </w:r>
            <w:r w:rsidR="00704DCB">
              <w:rPr>
                <w:rFonts w:ascii="Century Gothic" w:eastAsia="Times New Roman" w:hAnsi="Century Gothic"/>
                <w:color w:val="000000"/>
                <w:sz w:val="20"/>
                <w:szCs w:val="20"/>
                <w:lang w:eastAsia="es-MX"/>
              </w:rPr>
              <w:t xml:space="preserve">y/o instrumentos regulatorios </w:t>
            </w:r>
            <w:r w:rsidRPr="00C147BB">
              <w:rPr>
                <w:rFonts w:ascii="Century Gothic" w:eastAsia="Times New Roman" w:hAnsi="Century Gothic"/>
                <w:color w:val="000000"/>
                <w:sz w:val="20"/>
                <w:szCs w:val="20"/>
                <w:lang w:eastAsia="es-MX"/>
              </w:rPr>
              <w:t xml:space="preserve">mediante las cuales se han </w:t>
            </w:r>
            <w:r w:rsidR="00704DCB">
              <w:rPr>
                <w:rFonts w:ascii="Century Gothic" w:eastAsia="Times New Roman" w:hAnsi="Century Gothic"/>
                <w:color w:val="000000"/>
                <w:sz w:val="20"/>
                <w:szCs w:val="20"/>
                <w:lang w:eastAsia="es-MX"/>
              </w:rPr>
              <w:t>implementado</w:t>
            </w:r>
            <w:r w:rsidR="00704DCB" w:rsidRPr="00C147BB">
              <w:rPr>
                <w:rFonts w:ascii="Century Gothic" w:eastAsia="Times New Roman" w:hAnsi="Century Gothic"/>
                <w:color w:val="000000"/>
                <w:sz w:val="20"/>
                <w:szCs w:val="20"/>
                <w:lang w:eastAsia="es-MX"/>
              </w:rPr>
              <w:t xml:space="preserve"> </w:t>
            </w:r>
            <w:r w:rsidRPr="00C147BB">
              <w:rPr>
                <w:rFonts w:ascii="Century Gothic" w:eastAsia="Times New Roman" w:hAnsi="Century Gothic"/>
                <w:color w:val="000000"/>
                <w:sz w:val="20"/>
                <w:szCs w:val="20"/>
                <w:lang w:eastAsia="es-MX"/>
              </w:rPr>
              <w:t>las medidas</w:t>
            </w:r>
            <w:r w:rsidR="000162CF">
              <w:rPr>
                <w:rFonts w:ascii="Century Gothic" w:eastAsia="Times New Roman" w:hAnsi="Century Gothic"/>
                <w:color w:val="000000"/>
                <w:sz w:val="20"/>
                <w:szCs w:val="20"/>
                <w:lang w:eastAsia="es-MX"/>
              </w:rPr>
              <w:t>, como las ofertas de referencia y Acuerdos derivados de las medidas,</w:t>
            </w:r>
            <w:r w:rsidRPr="00C147BB">
              <w:rPr>
                <w:rFonts w:ascii="Century Gothic" w:eastAsia="Times New Roman" w:hAnsi="Century Gothic"/>
                <w:color w:val="000000"/>
                <w:sz w:val="20"/>
                <w:szCs w:val="20"/>
                <w:lang w:eastAsia="es-MX"/>
              </w:rPr>
              <w:t xml:space="preserve"> permitan alcanzar los resultados esperados, haciendo el mejor uso de los recursos disponibles.</w:t>
            </w:r>
          </w:p>
          <w:p w14:paraId="17B0C8F5" w14:textId="1E89DD5C" w:rsidR="00B91052" w:rsidRDefault="002B7F47" w:rsidP="00340609">
            <w:pPr>
              <w:spacing w:before="240" w:after="120" w:line="276" w:lineRule="auto"/>
              <w:ind w:right="309"/>
              <w:jc w:val="both"/>
              <w:rPr>
                <w:rFonts w:ascii="Century Gothic" w:eastAsia="Times New Roman" w:hAnsi="Century Gothic"/>
                <w:color w:val="000000"/>
                <w:sz w:val="20"/>
                <w:szCs w:val="20"/>
                <w:lang w:eastAsia="es-MX"/>
              </w:rPr>
            </w:pPr>
            <w:r w:rsidRPr="002B7F47">
              <w:rPr>
                <w:rFonts w:ascii="Century Gothic" w:eastAsia="Times New Roman" w:hAnsi="Century Gothic"/>
                <w:color w:val="000000"/>
                <w:sz w:val="20"/>
                <w:szCs w:val="20"/>
                <w:lang w:eastAsia="es-MX"/>
              </w:rPr>
              <w:t xml:space="preserve">Con la finalidad de organizar los comentarios y la información que el participante provea, el presente formato está integrado por secciones de grupos de medidas que están asociadas a un tema en común. Asimismo, para mayor referencia se indican las medidas que se incluyen en cada grupo y, a manera de resumen, se exponen los principales objetivos </w:t>
            </w:r>
            <w:r>
              <w:rPr>
                <w:rFonts w:ascii="Century Gothic" w:eastAsia="Times New Roman" w:hAnsi="Century Gothic"/>
                <w:color w:val="000000"/>
                <w:sz w:val="20"/>
                <w:szCs w:val="20"/>
                <w:lang w:eastAsia="es-MX"/>
              </w:rPr>
              <w:t xml:space="preserve">de </w:t>
            </w:r>
            <w:proofErr w:type="gramStart"/>
            <w:r>
              <w:rPr>
                <w:rFonts w:ascii="Century Gothic" w:eastAsia="Times New Roman" w:hAnsi="Century Gothic"/>
                <w:color w:val="000000"/>
                <w:sz w:val="20"/>
                <w:szCs w:val="20"/>
                <w:lang w:eastAsia="es-MX"/>
              </w:rPr>
              <w:t>las mismas</w:t>
            </w:r>
            <w:proofErr w:type="gramEnd"/>
            <w:r w:rsidRPr="002B7F47">
              <w:rPr>
                <w:rFonts w:ascii="Century Gothic" w:eastAsia="Times New Roman" w:hAnsi="Century Gothic"/>
                <w:color w:val="000000"/>
                <w:sz w:val="20"/>
                <w:szCs w:val="20"/>
                <w:lang w:eastAsia="es-MX"/>
              </w:rPr>
              <w:t xml:space="preserve">, así como </w:t>
            </w:r>
            <w:r>
              <w:rPr>
                <w:rFonts w:ascii="Century Gothic" w:eastAsia="Times New Roman" w:hAnsi="Century Gothic"/>
                <w:color w:val="000000"/>
                <w:sz w:val="20"/>
                <w:szCs w:val="20"/>
                <w:lang w:eastAsia="es-MX"/>
              </w:rPr>
              <w:t>su</w:t>
            </w:r>
            <w:r w:rsidRPr="002B7F47">
              <w:rPr>
                <w:rFonts w:ascii="Century Gothic" w:eastAsia="Times New Roman" w:hAnsi="Century Gothic"/>
                <w:color w:val="000000"/>
                <w:sz w:val="20"/>
                <w:szCs w:val="20"/>
                <w:lang w:eastAsia="es-MX"/>
              </w:rPr>
              <w:t xml:space="preserve"> contexto.</w:t>
            </w:r>
            <w:r w:rsidR="00813945">
              <w:rPr>
                <w:rFonts w:ascii="Century Gothic" w:eastAsia="Times New Roman" w:hAnsi="Century Gothic"/>
                <w:color w:val="000000"/>
                <w:sz w:val="20"/>
                <w:szCs w:val="20"/>
                <w:lang w:eastAsia="es-MX"/>
              </w:rPr>
              <w:t xml:space="preserve"> </w:t>
            </w:r>
          </w:p>
          <w:p w14:paraId="741A2E20" w14:textId="77777777" w:rsidR="00316894" w:rsidRDefault="00507C5C" w:rsidP="00507C5C">
            <w:pPr>
              <w:spacing w:before="240" w:after="120" w:line="276" w:lineRule="auto"/>
              <w:ind w:right="309"/>
              <w:jc w:val="both"/>
              <w:rPr>
                <w:rFonts w:ascii="Century Gothic" w:eastAsia="Times New Roman" w:hAnsi="Century Gothic"/>
                <w:color w:val="000000"/>
                <w:sz w:val="20"/>
                <w:szCs w:val="20"/>
                <w:lang w:eastAsia="es-MX"/>
              </w:rPr>
            </w:pPr>
            <w:r w:rsidRPr="00507C5C">
              <w:rPr>
                <w:rFonts w:ascii="Century Gothic" w:eastAsia="Times New Roman" w:hAnsi="Century Gothic"/>
                <w:color w:val="000000"/>
                <w:sz w:val="20"/>
                <w:szCs w:val="20"/>
                <w:lang w:eastAsia="es-MX"/>
              </w:rPr>
              <w:t xml:space="preserve">A efecto de poder valorar adecuadamente la información que el participante provea, cuando este considere aportar documentos de soporte a sus </w:t>
            </w:r>
            <w:r>
              <w:rPr>
                <w:rFonts w:ascii="Century Gothic" w:eastAsia="Times New Roman" w:hAnsi="Century Gothic"/>
                <w:color w:val="000000"/>
                <w:sz w:val="20"/>
                <w:szCs w:val="20"/>
                <w:lang w:eastAsia="es-MX"/>
              </w:rPr>
              <w:t>comentarios</w:t>
            </w:r>
            <w:r w:rsidRPr="00507C5C">
              <w:rPr>
                <w:rFonts w:ascii="Century Gothic" w:eastAsia="Times New Roman" w:hAnsi="Century Gothic"/>
                <w:color w:val="000000"/>
                <w:sz w:val="20"/>
                <w:szCs w:val="20"/>
                <w:lang w:eastAsia="es-MX"/>
              </w:rPr>
              <w:t>, deberá relacionar sus argumentos con los documentos que adjunte</w:t>
            </w:r>
            <w:r w:rsidR="005C5FCB">
              <w:rPr>
                <w:rFonts w:ascii="Century Gothic" w:eastAsia="Times New Roman" w:hAnsi="Century Gothic"/>
                <w:color w:val="000000"/>
                <w:sz w:val="20"/>
                <w:szCs w:val="20"/>
                <w:lang w:eastAsia="es-MX"/>
              </w:rPr>
              <w:t xml:space="preserve">. </w:t>
            </w:r>
          </w:p>
          <w:p w14:paraId="2B687AA3" w14:textId="4FE43EEA" w:rsidR="00316894" w:rsidRDefault="00316894" w:rsidP="00507C5C">
            <w:pPr>
              <w:spacing w:before="240" w:after="120" w:line="276" w:lineRule="auto"/>
              <w:ind w:right="309"/>
              <w:jc w:val="both"/>
              <w:rPr>
                <w:rFonts w:ascii="Century Gothic" w:eastAsia="Times New Roman" w:hAnsi="Century Gothic"/>
                <w:color w:val="000000"/>
                <w:sz w:val="20"/>
                <w:szCs w:val="20"/>
                <w:lang w:eastAsia="es-MX"/>
              </w:rPr>
            </w:pPr>
            <w:r w:rsidRPr="00316894">
              <w:rPr>
                <w:rFonts w:ascii="Century Gothic" w:eastAsia="Times New Roman" w:hAnsi="Century Gothic"/>
                <w:color w:val="000000"/>
                <w:sz w:val="20"/>
                <w:szCs w:val="20"/>
                <w:lang w:eastAsia="es-MX"/>
              </w:rPr>
              <w:t>Finalmente, para mayor referencia de las medida</w:t>
            </w:r>
            <w:r>
              <w:rPr>
                <w:rFonts w:ascii="Century Gothic" w:eastAsia="Times New Roman" w:hAnsi="Century Gothic"/>
                <w:color w:val="000000"/>
                <w:sz w:val="20"/>
                <w:szCs w:val="20"/>
                <w:lang w:eastAsia="es-MX"/>
              </w:rPr>
              <w:t>s asimétricas impuestas al AEPR</w:t>
            </w:r>
            <w:r w:rsidR="00B64956">
              <w:rPr>
                <w:rFonts w:ascii="Century Gothic" w:eastAsia="Times New Roman" w:hAnsi="Century Gothic"/>
                <w:color w:val="000000"/>
                <w:sz w:val="20"/>
                <w:szCs w:val="20"/>
                <w:lang w:eastAsia="es-MX"/>
              </w:rPr>
              <w:t>,</w:t>
            </w:r>
            <w:r>
              <w:rPr>
                <w:rFonts w:ascii="Century Gothic" w:eastAsia="Times New Roman" w:hAnsi="Century Gothic"/>
                <w:color w:val="000000"/>
                <w:sz w:val="20"/>
                <w:szCs w:val="20"/>
                <w:lang w:eastAsia="es-MX"/>
              </w:rPr>
              <w:t xml:space="preserve"> </w:t>
            </w:r>
            <w:r w:rsidRPr="00316894">
              <w:rPr>
                <w:rFonts w:ascii="Century Gothic" w:eastAsia="Times New Roman" w:hAnsi="Century Gothic"/>
                <w:color w:val="000000"/>
                <w:sz w:val="20"/>
                <w:szCs w:val="20"/>
                <w:lang w:eastAsia="es-MX"/>
              </w:rPr>
              <w:t>se pone a dispo</w:t>
            </w:r>
            <w:r>
              <w:rPr>
                <w:rFonts w:ascii="Century Gothic" w:eastAsia="Times New Roman" w:hAnsi="Century Gothic"/>
                <w:color w:val="000000"/>
                <w:sz w:val="20"/>
                <w:szCs w:val="20"/>
                <w:lang w:eastAsia="es-MX"/>
              </w:rPr>
              <w:t>sición de los interesados el siguiente enlace</w:t>
            </w:r>
            <w:r w:rsidR="0075473C">
              <w:rPr>
                <w:rFonts w:ascii="Century Gothic" w:eastAsia="Times New Roman" w:hAnsi="Century Gothic"/>
                <w:color w:val="000000"/>
                <w:sz w:val="20"/>
                <w:szCs w:val="20"/>
                <w:lang w:eastAsia="es-MX"/>
              </w:rPr>
              <w:t>:</w:t>
            </w:r>
          </w:p>
          <w:p w14:paraId="6235802D" w14:textId="77777777" w:rsidR="00E02429" w:rsidRPr="00566139" w:rsidRDefault="009B1BCC" w:rsidP="00507C5C">
            <w:pPr>
              <w:spacing w:before="240" w:after="120" w:line="276" w:lineRule="auto"/>
              <w:ind w:right="309"/>
              <w:jc w:val="both"/>
              <w:rPr>
                <w:rFonts w:ascii="Century Gothic" w:eastAsia="Times New Roman" w:hAnsi="Century Gothic"/>
                <w:color w:val="000000"/>
                <w:sz w:val="20"/>
                <w:szCs w:val="20"/>
                <w:lang w:eastAsia="es-MX"/>
              </w:rPr>
            </w:pPr>
            <w:hyperlink r:id="rId16" w:history="1">
              <w:r w:rsidR="0075473C" w:rsidRPr="00D16484">
                <w:rPr>
                  <w:rStyle w:val="Hipervnculo"/>
                  <w:rFonts w:ascii="Century Gothic" w:eastAsia="Times New Roman" w:hAnsi="Century Gothic"/>
                  <w:sz w:val="20"/>
                  <w:szCs w:val="20"/>
                  <w:lang w:eastAsia="es-MX"/>
                </w:rPr>
                <w:t>http://www.ift.org.mx/sites/default/files/anexo_1_medidas_2014-2017_aep_radiodifusion.pdf</w:t>
              </w:r>
            </w:hyperlink>
            <w:r w:rsidR="0075473C">
              <w:rPr>
                <w:rFonts w:ascii="Century Gothic" w:eastAsia="Times New Roman" w:hAnsi="Century Gothic"/>
                <w:color w:val="000000"/>
                <w:sz w:val="20"/>
                <w:szCs w:val="20"/>
                <w:lang w:eastAsia="es-MX"/>
              </w:rPr>
              <w:t xml:space="preserve"> </w:t>
            </w:r>
          </w:p>
        </w:tc>
      </w:tr>
      <w:tr w:rsidR="0081028F" w:rsidRPr="00DF5B3F" w14:paraId="285E258F" w14:textId="77777777" w:rsidTr="00863228">
        <w:trPr>
          <w:trHeight w:val="300"/>
          <w:jc w:val="center"/>
        </w:trPr>
        <w:tc>
          <w:tcPr>
            <w:tcW w:w="8642" w:type="dxa"/>
            <w:shd w:val="clear" w:color="auto" w:fill="C5E0B3"/>
            <w:noWrap/>
            <w:vAlign w:val="center"/>
          </w:tcPr>
          <w:p w14:paraId="7809BB2A" w14:textId="77777777" w:rsidR="0081028F" w:rsidRPr="006B0B12" w:rsidRDefault="0081028F" w:rsidP="00863228">
            <w:pPr>
              <w:spacing w:after="0" w:line="240" w:lineRule="auto"/>
              <w:jc w:val="both"/>
              <w:rPr>
                <w:rFonts w:ascii="Century Gothic" w:eastAsia="Times New Roman" w:hAnsi="Century Gothic"/>
                <w:color w:val="000000"/>
                <w:sz w:val="16"/>
                <w:szCs w:val="16"/>
                <w:lang w:eastAsia="es-MX"/>
              </w:rPr>
            </w:pPr>
          </w:p>
        </w:tc>
      </w:tr>
    </w:tbl>
    <w:p w14:paraId="512F5304" w14:textId="27147A61" w:rsidR="004D6F66" w:rsidRDefault="004D6F66" w:rsidP="00DF67B4">
      <w:pPr>
        <w:spacing w:after="0"/>
        <w:jc w:val="both"/>
        <w:rPr>
          <w:rFonts w:ascii="Century Gothic" w:hAnsi="Century Gothic"/>
          <w:sz w:val="16"/>
        </w:rPr>
      </w:pPr>
    </w:p>
    <w:p w14:paraId="57A7A27E" w14:textId="2C6EA118" w:rsidR="004D6F66" w:rsidRDefault="004D6F66" w:rsidP="00DF67B4">
      <w:pPr>
        <w:spacing w:after="0"/>
        <w:jc w:val="both"/>
        <w:rPr>
          <w:rFonts w:ascii="Century Gothic" w:hAnsi="Century Gothic"/>
          <w:sz w:val="16"/>
        </w:rPr>
      </w:pPr>
    </w:p>
    <w:p w14:paraId="2B26D82F" w14:textId="58CC7BF6" w:rsidR="004D6F66" w:rsidRDefault="004D6F66" w:rsidP="00DF67B4">
      <w:pPr>
        <w:spacing w:after="0"/>
        <w:jc w:val="both"/>
        <w:rPr>
          <w:rFonts w:ascii="Century Gothic" w:hAnsi="Century Gothic"/>
          <w:sz w:val="16"/>
        </w:rPr>
      </w:pPr>
    </w:p>
    <w:p w14:paraId="37BC6382" w14:textId="3AC3AE45" w:rsidR="004D6F66" w:rsidRDefault="004D6F66" w:rsidP="00DF67B4">
      <w:pPr>
        <w:spacing w:after="0"/>
        <w:jc w:val="both"/>
        <w:rPr>
          <w:rFonts w:ascii="Century Gothic" w:hAnsi="Century Gothic"/>
          <w:sz w:val="16"/>
        </w:rPr>
      </w:pPr>
    </w:p>
    <w:p w14:paraId="00015022" w14:textId="68DBF245" w:rsidR="004D6F66" w:rsidRDefault="004D6F66" w:rsidP="00DF67B4">
      <w:pPr>
        <w:spacing w:after="0"/>
        <w:jc w:val="both"/>
        <w:rPr>
          <w:rFonts w:ascii="Century Gothic" w:hAnsi="Century Gothic"/>
          <w:sz w:val="16"/>
        </w:rPr>
      </w:pPr>
    </w:p>
    <w:p w14:paraId="58EA2BFD" w14:textId="222373D0" w:rsidR="004D6F66" w:rsidRDefault="004D6F66" w:rsidP="00DF67B4">
      <w:pPr>
        <w:spacing w:after="0"/>
        <w:jc w:val="both"/>
        <w:rPr>
          <w:rFonts w:ascii="Century Gothic" w:hAnsi="Century Gothic"/>
          <w:sz w:val="16"/>
        </w:rPr>
      </w:pPr>
    </w:p>
    <w:p w14:paraId="451EAAD5" w14:textId="654AD2EA" w:rsidR="004D6F66" w:rsidRDefault="004D6F66" w:rsidP="00DF67B4">
      <w:pPr>
        <w:spacing w:after="0"/>
        <w:jc w:val="both"/>
        <w:rPr>
          <w:rFonts w:ascii="Century Gothic" w:hAnsi="Century Gothic"/>
          <w:sz w:val="16"/>
        </w:rPr>
      </w:pPr>
    </w:p>
    <w:p w14:paraId="028A5718" w14:textId="77777777" w:rsidR="004D6F66" w:rsidRDefault="004D6F66" w:rsidP="00DF67B4">
      <w:pPr>
        <w:spacing w:after="0"/>
        <w:jc w:val="both"/>
        <w:rPr>
          <w:rFonts w:ascii="Century Gothic" w:hAnsi="Century Gothic"/>
          <w:sz w:val="16"/>
        </w:rPr>
      </w:pPr>
    </w:p>
    <w:tbl>
      <w:tblPr>
        <w:tblpPr w:leftFromText="141" w:rightFromText="141" w:vertAnchor="text" w:tblpX="147" w:tblpY="108"/>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1276"/>
        <w:gridCol w:w="284"/>
        <w:gridCol w:w="5310"/>
      </w:tblGrid>
      <w:tr w:rsidR="00D26916" w:rsidRPr="00DF5B3F" w14:paraId="5CC72755" w14:textId="77777777" w:rsidTr="00ED1E7F">
        <w:trPr>
          <w:trHeight w:val="581"/>
        </w:trPr>
        <w:tc>
          <w:tcPr>
            <w:tcW w:w="8641" w:type="dxa"/>
            <w:gridSpan w:val="4"/>
            <w:shd w:val="clear" w:color="auto" w:fill="D9D9D9"/>
            <w:vAlign w:val="center"/>
            <w:hideMark/>
          </w:tcPr>
          <w:p w14:paraId="56462A07" w14:textId="77777777" w:rsidR="00D26916" w:rsidRPr="00C41536" w:rsidRDefault="00D26916" w:rsidP="00ED1E7F">
            <w:pPr>
              <w:numPr>
                <w:ilvl w:val="0"/>
                <w:numId w:val="2"/>
              </w:numPr>
              <w:spacing w:after="0" w:line="240" w:lineRule="auto"/>
              <w:ind w:right="1069"/>
              <w:contextualSpacing/>
              <w:jc w:val="center"/>
              <w:rPr>
                <w:rFonts w:ascii="Century Gothic" w:eastAsia="Times New Roman" w:hAnsi="Century Gothic"/>
                <w:b/>
                <w:bCs/>
                <w:color w:val="FFFFFF"/>
                <w:lang w:eastAsia="es-MX"/>
              </w:rPr>
            </w:pPr>
            <w:r w:rsidRPr="00DF5B3F">
              <w:rPr>
                <w:rFonts w:ascii="Century Gothic" w:eastAsia="Times New Roman" w:hAnsi="Century Gothic"/>
                <w:b/>
                <w:bCs/>
                <w:color w:val="000000"/>
                <w:lang w:eastAsia="es-MX"/>
              </w:rPr>
              <w:t xml:space="preserve">Comentarios, opiniones </w:t>
            </w:r>
            <w:r w:rsidRPr="00C41536">
              <w:rPr>
                <w:rFonts w:ascii="Century Gothic" w:eastAsia="Times New Roman" w:hAnsi="Century Gothic"/>
                <w:b/>
                <w:bCs/>
                <w:lang w:eastAsia="es-MX"/>
              </w:rPr>
              <w:t>y aportaciones específic</w:t>
            </w:r>
            <w:r>
              <w:rPr>
                <w:rFonts w:ascii="Century Gothic" w:eastAsia="Times New Roman" w:hAnsi="Century Gothic"/>
                <w:b/>
                <w:bCs/>
                <w:lang w:eastAsia="es-MX"/>
              </w:rPr>
              <w:t>o</w:t>
            </w:r>
            <w:r w:rsidRPr="00C41536">
              <w:rPr>
                <w:rFonts w:ascii="Century Gothic" w:eastAsia="Times New Roman" w:hAnsi="Century Gothic"/>
                <w:b/>
                <w:bCs/>
                <w:lang w:eastAsia="es-MX"/>
              </w:rPr>
              <w:t>s del participante</w:t>
            </w:r>
            <w:r>
              <w:rPr>
                <w:rFonts w:ascii="Century Gothic" w:eastAsia="Times New Roman" w:hAnsi="Century Gothic"/>
                <w:b/>
                <w:bCs/>
                <w:lang w:eastAsia="es-MX"/>
              </w:rPr>
              <w:t xml:space="preserve"> sobre el asunto en consulta pública</w:t>
            </w:r>
          </w:p>
        </w:tc>
      </w:tr>
      <w:tr w:rsidR="00D26916" w:rsidRPr="00DF5B3F" w14:paraId="67A79917" w14:textId="77777777" w:rsidTr="004D6F66">
        <w:trPr>
          <w:trHeight w:val="414"/>
        </w:trPr>
        <w:tc>
          <w:tcPr>
            <w:tcW w:w="1771" w:type="dxa"/>
            <w:shd w:val="clear" w:color="auto" w:fill="C5E0B3"/>
            <w:vAlign w:val="center"/>
            <w:hideMark/>
          </w:tcPr>
          <w:p w14:paraId="5F3CCB15" w14:textId="77777777" w:rsidR="00566139" w:rsidRDefault="00D26916" w:rsidP="004D6F66">
            <w:pPr>
              <w:spacing w:after="0" w:line="276" w:lineRule="auto"/>
              <w:jc w:val="center"/>
              <w:rPr>
                <w:rFonts w:ascii="Century Gothic" w:eastAsia="Times New Roman" w:hAnsi="Century Gothic"/>
                <w:b/>
                <w:color w:val="000000"/>
                <w:sz w:val="20"/>
                <w:lang w:eastAsia="es-MX"/>
              </w:rPr>
            </w:pPr>
            <w:r w:rsidRPr="00D26916">
              <w:rPr>
                <w:rFonts w:ascii="Century Gothic" w:eastAsia="Times New Roman" w:hAnsi="Century Gothic"/>
                <w:b/>
                <w:color w:val="000000"/>
                <w:sz w:val="20"/>
                <w:lang w:eastAsia="es-MX"/>
              </w:rPr>
              <w:t xml:space="preserve">Medidas </w:t>
            </w:r>
            <w:r w:rsidR="00566139">
              <w:rPr>
                <w:rFonts w:ascii="Century Gothic" w:eastAsia="Times New Roman" w:hAnsi="Century Gothic"/>
                <w:b/>
                <w:color w:val="000000"/>
                <w:sz w:val="20"/>
                <w:lang w:eastAsia="es-MX"/>
              </w:rPr>
              <w:t>Tercera a Décima S</w:t>
            </w:r>
            <w:r w:rsidR="002C3BDC">
              <w:rPr>
                <w:rFonts w:ascii="Century Gothic" w:eastAsia="Times New Roman" w:hAnsi="Century Gothic"/>
                <w:b/>
                <w:color w:val="000000"/>
                <w:sz w:val="20"/>
                <w:lang w:eastAsia="es-MX"/>
              </w:rPr>
              <w:t>éptima y Trigésima Primera.</w:t>
            </w:r>
          </w:p>
          <w:p w14:paraId="3A47D15A" w14:textId="77777777" w:rsidR="00D26916" w:rsidRPr="00D26916" w:rsidRDefault="00566139" w:rsidP="004D6F66">
            <w:pPr>
              <w:spacing w:after="0" w:line="276" w:lineRule="auto"/>
              <w:jc w:val="center"/>
              <w:rPr>
                <w:rFonts w:ascii="Century Gothic" w:eastAsia="Times New Roman" w:hAnsi="Century Gothic"/>
                <w:b/>
                <w:color w:val="000000"/>
                <w:sz w:val="20"/>
                <w:lang w:eastAsia="es-MX"/>
              </w:rPr>
            </w:pPr>
            <w:r>
              <w:rPr>
                <w:rFonts w:ascii="Century Gothic" w:eastAsia="Times New Roman" w:hAnsi="Century Gothic"/>
                <w:b/>
                <w:color w:val="000000"/>
                <w:sz w:val="20"/>
                <w:lang w:eastAsia="es-MX"/>
              </w:rPr>
              <w:t>R</w:t>
            </w:r>
            <w:r w:rsidR="00D26916" w:rsidRPr="00D26916">
              <w:rPr>
                <w:rFonts w:ascii="Century Gothic" w:eastAsia="Times New Roman" w:hAnsi="Century Gothic"/>
                <w:b/>
                <w:color w:val="000000"/>
                <w:sz w:val="20"/>
                <w:lang w:eastAsia="es-MX"/>
              </w:rPr>
              <w:t xml:space="preserve">eferentes a la </w:t>
            </w:r>
            <w:r w:rsidR="00D26916" w:rsidRPr="00566139">
              <w:rPr>
                <w:rFonts w:ascii="Century Gothic" w:eastAsia="Times New Roman" w:hAnsi="Century Gothic"/>
                <w:b/>
                <w:color w:val="000000"/>
                <w:sz w:val="20"/>
                <w:u w:val="single"/>
                <w:lang w:eastAsia="es-MX"/>
              </w:rPr>
              <w:t xml:space="preserve">Compartición </w:t>
            </w:r>
            <w:r w:rsidR="00D26916" w:rsidRPr="00566139">
              <w:rPr>
                <w:rFonts w:ascii="Century Gothic" w:eastAsia="Times New Roman" w:hAnsi="Century Gothic"/>
                <w:b/>
                <w:color w:val="000000"/>
                <w:sz w:val="20"/>
                <w:u w:val="single"/>
                <w:lang w:eastAsia="es-MX"/>
              </w:rPr>
              <w:lastRenderedPageBreak/>
              <w:t>de Infraestructura</w:t>
            </w:r>
          </w:p>
        </w:tc>
        <w:tc>
          <w:tcPr>
            <w:tcW w:w="6870" w:type="dxa"/>
            <w:gridSpan w:val="3"/>
            <w:shd w:val="clear" w:color="auto" w:fill="C5E0B3"/>
            <w:vAlign w:val="center"/>
          </w:tcPr>
          <w:p w14:paraId="703732AC" w14:textId="77777777" w:rsidR="00151C08" w:rsidRPr="00DF67B4" w:rsidRDefault="001A5B2D" w:rsidP="009A1BDF">
            <w:pPr>
              <w:spacing w:before="240" w:after="0" w:line="276" w:lineRule="auto"/>
              <w:jc w:val="both"/>
              <w:rPr>
                <w:rFonts w:ascii="Century Gothic" w:eastAsia="Times New Roman" w:hAnsi="Century Gothic"/>
                <w:b/>
                <w:color w:val="000000"/>
                <w:sz w:val="20"/>
                <w:lang w:eastAsia="es-MX"/>
              </w:rPr>
            </w:pPr>
            <w:r w:rsidRPr="00DF67B4">
              <w:rPr>
                <w:rFonts w:ascii="Century Gothic" w:eastAsia="Times New Roman" w:hAnsi="Century Gothic"/>
                <w:b/>
                <w:color w:val="000000"/>
                <w:sz w:val="20"/>
                <w:lang w:eastAsia="es-MX"/>
              </w:rPr>
              <w:lastRenderedPageBreak/>
              <w:t>Objetivos</w:t>
            </w:r>
            <w:r w:rsidR="00E74B25">
              <w:rPr>
                <w:rFonts w:ascii="Century Gothic" w:eastAsia="Times New Roman" w:hAnsi="Century Gothic"/>
                <w:b/>
                <w:color w:val="000000"/>
                <w:sz w:val="20"/>
                <w:lang w:eastAsia="es-MX"/>
              </w:rPr>
              <w:t xml:space="preserve"> de las medidas</w:t>
            </w:r>
            <w:r w:rsidRPr="00DF67B4">
              <w:rPr>
                <w:rFonts w:ascii="Century Gothic" w:eastAsia="Times New Roman" w:hAnsi="Century Gothic"/>
                <w:b/>
                <w:color w:val="000000"/>
                <w:sz w:val="20"/>
                <w:lang w:eastAsia="es-MX"/>
              </w:rPr>
              <w:t xml:space="preserve">: </w:t>
            </w:r>
          </w:p>
          <w:p w14:paraId="109FED8B" w14:textId="77777777" w:rsidR="001A5B2D" w:rsidRPr="001A5B2D" w:rsidRDefault="001A5B2D" w:rsidP="0081028F">
            <w:pPr>
              <w:numPr>
                <w:ilvl w:val="0"/>
                <w:numId w:val="12"/>
              </w:numPr>
              <w:spacing w:after="0" w:line="276" w:lineRule="auto"/>
              <w:jc w:val="both"/>
              <w:rPr>
                <w:rFonts w:ascii="Century Gothic" w:eastAsia="Times New Roman" w:hAnsi="Century Gothic"/>
                <w:color w:val="000000"/>
                <w:sz w:val="20"/>
                <w:lang w:eastAsia="es-MX"/>
              </w:rPr>
            </w:pPr>
            <w:r w:rsidRPr="001A5B2D">
              <w:rPr>
                <w:rFonts w:ascii="Century Gothic" w:eastAsia="Times New Roman" w:hAnsi="Century Gothic"/>
                <w:color w:val="000000"/>
                <w:sz w:val="20"/>
                <w:lang w:eastAsia="es-MX"/>
              </w:rPr>
              <w:t>Evitar que el AEP</w:t>
            </w:r>
            <w:r w:rsidR="001F346E">
              <w:rPr>
                <w:rFonts w:ascii="Century Gothic" w:eastAsia="Times New Roman" w:hAnsi="Century Gothic"/>
                <w:color w:val="000000"/>
                <w:sz w:val="20"/>
                <w:lang w:eastAsia="es-MX"/>
              </w:rPr>
              <w:t>R</w:t>
            </w:r>
            <w:r w:rsidRPr="001A5B2D">
              <w:rPr>
                <w:rFonts w:ascii="Century Gothic" w:eastAsia="Times New Roman" w:hAnsi="Century Gothic"/>
                <w:color w:val="000000"/>
                <w:sz w:val="20"/>
                <w:lang w:eastAsia="es-MX"/>
              </w:rPr>
              <w:t xml:space="preserve"> niegue u obstaculice el acceso y aprovechamiento eficiente de la infraestructura pasiva que excede el mínimo para su operación normal.</w:t>
            </w:r>
          </w:p>
          <w:p w14:paraId="6268A71D" w14:textId="77777777" w:rsidR="001A5B2D" w:rsidRPr="001A5B2D" w:rsidRDefault="001A5B2D" w:rsidP="0081028F">
            <w:pPr>
              <w:numPr>
                <w:ilvl w:val="0"/>
                <w:numId w:val="12"/>
              </w:numPr>
              <w:spacing w:after="0" w:line="276" w:lineRule="auto"/>
              <w:jc w:val="both"/>
              <w:rPr>
                <w:rFonts w:ascii="Century Gothic" w:eastAsia="Times New Roman" w:hAnsi="Century Gothic"/>
                <w:color w:val="000000"/>
                <w:sz w:val="20"/>
                <w:lang w:eastAsia="es-MX"/>
              </w:rPr>
            </w:pPr>
            <w:r w:rsidRPr="001A5B2D">
              <w:rPr>
                <w:rFonts w:ascii="Century Gothic" w:eastAsia="Times New Roman" w:hAnsi="Century Gothic"/>
                <w:color w:val="000000"/>
                <w:sz w:val="20"/>
                <w:lang w:eastAsia="es-MX"/>
              </w:rPr>
              <w:t>Evitar la ineficiencia económica y social que implica multiplicar la infraestructura pasiva para la transmisión de señales de televisión abierta.</w:t>
            </w:r>
          </w:p>
          <w:p w14:paraId="63DFF786" w14:textId="77777777" w:rsidR="001A5B2D" w:rsidRPr="001A5B2D" w:rsidRDefault="001A5B2D" w:rsidP="0081028F">
            <w:pPr>
              <w:numPr>
                <w:ilvl w:val="0"/>
                <w:numId w:val="12"/>
              </w:numPr>
              <w:spacing w:after="0" w:line="276" w:lineRule="auto"/>
              <w:jc w:val="both"/>
              <w:rPr>
                <w:rFonts w:ascii="Century Gothic" w:eastAsia="Times New Roman" w:hAnsi="Century Gothic"/>
                <w:color w:val="000000"/>
                <w:sz w:val="20"/>
                <w:lang w:eastAsia="es-MX"/>
              </w:rPr>
            </w:pPr>
            <w:r w:rsidRPr="001A5B2D">
              <w:rPr>
                <w:rFonts w:ascii="Century Gothic" w:eastAsia="Times New Roman" w:hAnsi="Century Gothic"/>
                <w:color w:val="000000"/>
                <w:sz w:val="20"/>
                <w:lang w:eastAsia="es-MX"/>
              </w:rPr>
              <w:lastRenderedPageBreak/>
              <w:t>Reducir el tiempo de despliegue de las cadenas de televisión con cobertura nacional.</w:t>
            </w:r>
          </w:p>
          <w:p w14:paraId="2227B06A" w14:textId="77777777" w:rsidR="001A5B2D" w:rsidRPr="00C41536" w:rsidRDefault="001A5B2D" w:rsidP="009A1BDF">
            <w:pPr>
              <w:numPr>
                <w:ilvl w:val="0"/>
                <w:numId w:val="12"/>
              </w:numPr>
              <w:spacing w:line="276" w:lineRule="auto"/>
              <w:jc w:val="both"/>
              <w:rPr>
                <w:rFonts w:ascii="Century Gothic" w:eastAsia="Times New Roman" w:hAnsi="Century Gothic"/>
                <w:color w:val="000000"/>
                <w:sz w:val="20"/>
                <w:lang w:eastAsia="es-MX"/>
              </w:rPr>
            </w:pPr>
            <w:proofErr w:type="gramStart"/>
            <w:r w:rsidRPr="001A5B2D">
              <w:rPr>
                <w:rFonts w:ascii="Century Gothic" w:eastAsia="Times New Roman" w:hAnsi="Century Gothic"/>
                <w:color w:val="000000"/>
                <w:sz w:val="20"/>
                <w:lang w:eastAsia="es-MX"/>
              </w:rPr>
              <w:t>Asegurar</w:t>
            </w:r>
            <w:proofErr w:type="gramEnd"/>
            <w:r w:rsidRPr="001A5B2D">
              <w:rPr>
                <w:rFonts w:ascii="Century Gothic" w:eastAsia="Times New Roman" w:hAnsi="Century Gothic"/>
                <w:color w:val="000000"/>
                <w:sz w:val="20"/>
                <w:lang w:eastAsia="es-MX"/>
              </w:rPr>
              <w:t xml:space="preserve"> que el AEP</w:t>
            </w:r>
            <w:r w:rsidR="001F346E">
              <w:rPr>
                <w:rFonts w:ascii="Century Gothic" w:eastAsia="Times New Roman" w:hAnsi="Century Gothic"/>
                <w:color w:val="000000"/>
                <w:sz w:val="20"/>
                <w:lang w:eastAsia="es-MX"/>
              </w:rPr>
              <w:t>R</w:t>
            </w:r>
            <w:r w:rsidRPr="001A5B2D">
              <w:rPr>
                <w:rFonts w:ascii="Century Gothic" w:eastAsia="Times New Roman" w:hAnsi="Century Gothic"/>
                <w:color w:val="000000"/>
                <w:sz w:val="20"/>
                <w:lang w:eastAsia="es-MX"/>
              </w:rPr>
              <w:t xml:space="preserve"> ofrezca los elementos de infraestructura pasiva de forma desagregada.</w:t>
            </w:r>
          </w:p>
        </w:tc>
      </w:tr>
      <w:tr w:rsidR="001A5B2D" w:rsidRPr="00DF5B3F" w14:paraId="04FCB473" w14:textId="77777777" w:rsidTr="00B350F8">
        <w:trPr>
          <w:trHeight w:val="290"/>
        </w:trPr>
        <w:tc>
          <w:tcPr>
            <w:tcW w:w="8641" w:type="dxa"/>
            <w:gridSpan w:val="4"/>
            <w:shd w:val="clear" w:color="auto" w:fill="auto"/>
            <w:vAlign w:val="center"/>
          </w:tcPr>
          <w:p w14:paraId="21D490A7" w14:textId="77777777" w:rsidR="000E5F80" w:rsidRPr="000E5F80" w:rsidRDefault="000E5F80" w:rsidP="00423C23">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lastRenderedPageBreak/>
              <w:t>Contexto:</w:t>
            </w:r>
          </w:p>
          <w:p w14:paraId="21F04541" w14:textId="58E9F122" w:rsidR="00BF0BDB" w:rsidRPr="00BF0BDB" w:rsidRDefault="00BF0BDB" w:rsidP="000E5F80">
            <w:pPr>
              <w:spacing w:after="120" w:line="276" w:lineRule="auto"/>
              <w:jc w:val="both"/>
              <w:rPr>
                <w:rFonts w:ascii="Century Gothic" w:eastAsia="Times New Roman" w:hAnsi="Century Gothic"/>
                <w:color w:val="000000"/>
                <w:sz w:val="20"/>
                <w:lang w:eastAsia="es-MX"/>
              </w:rPr>
            </w:pPr>
            <w:r w:rsidRPr="00BF0BDB">
              <w:rPr>
                <w:rFonts w:ascii="Century Gothic" w:eastAsia="Times New Roman" w:hAnsi="Century Gothic"/>
                <w:color w:val="000000"/>
                <w:sz w:val="20"/>
                <w:lang w:eastAsia="es-MX"/>
              </w:rPr>
              <w:t>Los operadores deben realizar inversiones significativas para la adquisición de los elementos necesarios que les permitan desplegar una red de televisión concesionada radiodifundida destinada a transmitir su señal.</w:t>
            </w:r>
            <w:r>
              <w:rPr>
                <w:rFonts w:ascii="Century Gothic" w:eastAsia="Times New Roman" w:hAnsi="Century Gothic"/>
                <w:color w:val="000000"/>
                <w:sz w:val="20"/>
                <w:lang w:eastAsia="es-MX"/>
              </w:rPr>
              <w:t xml:space="preserve"> </w:t>
            </w:r>
            <w:r w:rsidRPr="00BF0BDB">
              <w:rPr>
                <w:rFonts w:ascii="Century Gothic" w:eastAsia="Times New Roman" w:hAnsi="Century Gothic"/>
                <w:color w:val="000000"/>
                <w:sz w:val="20"/>
                <w:lang w:eastAsia="es-MX"/>
              </w:rPr>
              <w:t>En ese contexto, la infraestructura pasiva puede considerarse como un recurso no fácilmente replicable para la provisión del servicio de televisión radiodifundida. Adicionalmente, resulta ineficiente desde el punto de vista económico que los competidores tengan que duplicar o triplicar la infraestructura pasiva existente.</w:t>
            </w:r>
          </w:p>
          <w:p w14:paraId="3A00457F" w14:textId="77777777" w:rsidR="000E5F80" w:rsidRPr="000E5F80" w:rsidRDefault="000E5F80" w:rsidP="00BF0BDB">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Resumen de medidas impuestas:</w:t>
            </w:r>
          </w:p>
          <w:p w14:paraId="4F3DB752" w14:textId="68CB3BEC" w:rsidR="003D16DB" w:rsidRDefault="000E5F80" w:rsidP="000E5F80">
            <w:pPr>
              <w:spacing w:after="120"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E</w:t>
            </w:r>
            <w:r w:rsidR="001A5B2D">
              <w:rPr>
                <w:rFonts w:ascii="Century Gothic" w:eastAsia="Times New Roman" w:hAnsi="Century Gothic"/>
                <w:color w:val="000000"/>
                <w:sz w:val="20"/>
                <w:lang w:eastAsia="es-MX"/>
              </w:rPr>
              <w:t>l I</w:t>
            </w:r>
            <w:r w:rsidR="001F346E">
              <w:rPr>
                <w:rFonts w:ascii="Century Gothic" w:eastAsia="Times New Roman" w:hAnsi="Century Gothic"/>
                <w:color w:val="000000"/>
                <w:sz w:val="20"/>
                <w:lang w:eastAsia="es-MX"/>
              </w:rPr>
              <w:t>nstituto</w:t>
            </w:r>
            <w:r w:rsidR="001A5B2D">
              <w:rPr>
                <w:rFonts w:ascii="Century Gothic" w:eastAsia="Times New Roman" w:hAnsi="Century Gothic"/>
                <w:color w:val="000000"/>
                <w:sz w:val="20"/>
                <w:lang w:eastAsia="es-MX"/>
              </w:rPr>
              <w:t xml:space="preserve"> impuso medidas al AEPR r</w:t>
            </w:r>
            <w:r w:rsidR="001A5B2D" w:rsidRPr="0056118B">
              <w:rPr>
                <w:rFonts w:ascii="Century Gothic" w:eastAsia="Times New Roman" w:hAnsi="Century Gothic"/>
                <w:color w:val="000000"/>
                <w:sz w:val="20"/>
                <w:lang w:eastAsia="es-MX"/>
              </w:rPr>
              <w:t>eferentes a la obligación de compartir infraestructura, presentar la Oferta Pública de Infraestructura</w:t>
            </w:r>
            <w:r w:rsidR="00F0452F">
              <w:rPr>
                <w:rFonts w:ascii="Century Gothic" w:eastAsia="Times New Roman" w:hAnsi="Century Gothic"/>
                <w:color w:val="000000"/>
                <w:sz w:val="20"/>
                <w:lang w:eastAsia="es-MX"/>
              </w:rPr>
              <w:t xml:space="preserve"> (en lo sucesivo, “OPI”)</w:t>
            </w:r>
            <w:r w:rsidR="001A5B2D" w:rsidRPr="0056118B">
              <w:rPr>
                <w:rFonts w:ascii="Century Gothic" w:eastAsia="Times New Roman" w:hAnsi="Century Gothic"/>
                <w:color w:val="000000"/>
                <w:sz w:val="20"/>
                <w:lang w:eastAsia="es-MX"/>
              </w:rPr>
              <w:t xml:space="preserve">, </w:t>
            </w:r>
            <w:r w:rsidR="001A5B2D">
              <w:rPr>
                <w:rFonts w:ascii="Century Gothic" w:eastAsia="Times New Roman" w:hAnsi="Century Gothic"/>
                <w:color w:val="000000"/>
                <w:sz w:val="20"/>
                <w:lang w:eastAsia="es-MX"/>
              </w:rPr>
              <w:t>suscribir</w:t>
            </w:r>
            <w:r w:rsidR="001A5B2D" w:rsidRPr="0056118B">
              <w:rPr>
                <w:rFonts w:ascii="Century Gothic" w:eastAsia="Times New Roman" w:hAnsi="Century Gothic"/>
                <w:color w:val="000000"/>
                <w:sz w:val="20"/>
                <w:lang w:eastAsia="es-MX"/>
              </w:rPr>
              <w:t xml:space="preserve"> convenios, </w:t>
            </w:r>
            <w:r w:rsidR="001A5B2D">
              <w:rPr>
                <w:rFonts w:ascii="Century Gothic" w:eastAsia="Times New Roman" w:hAnsi="Century Gothic"/>
                <w:color w:val="000000"/>
                <w:sz w:val="20"/>
                <w:lang w:eastAsia="es-MX"/>
              </w:rPr>
              <w:t>y poner</w:t>
            </w:r>
            <w:r w:rsidR="001A5B2D" w:rsidRPr="0056118B">
              <w:rPr>
                <w:rFonts w:ascii="Century Gothic" w:eastAsia="Times New Roman" w:hAnsi="Century Gothic"/>
                <w:color w:val="000000"/>
                <w:sz w:val="20"/>
                <w:lang w:eastAsia="es-MX"/>
              </w:rPr>
              <w:t xml:space="preserve"> información a disposición de los Concesionarios Solicitantes</w:t>
            </w:r>
            <w:r w:rsidR="00536AF7">
              <w:rPr>
                <w:rFonts w:ascii="Century Gothic" w:eastAsia="Times New Roman" w:hAnsi="Century Gothic"/>
                <w:color w:val="000000"/>
                <w:sz w:val="20"/>
                <w:lang w:eastAsia="es-MX"/>
              </w:rPr>
              <w:t xml:space="preserve"> (en lo sucesivo, “CS”)</w:t>
            </w:r>
            <w:r w:rsidR="001A5B2D">
              <w:rPr>
                <w:rFonts w:ascii="Century Gothic" w:eastAsia="Times New Roman" w:hAnsi="Century Gothic"/>
                <w:color w:val="000000"/>
                <w:sz w:val="20"/>
                <w:lang w:eastAsia="es-MX"/>
              </w:rPr>
              <w:t>.</w:t>
            </w:r>
          </w:p>
          <w:p w14:paraId="216F45DB" w14:textId="77777777" w:rsidR="001A5B2D" w:rsidRDefault="001A5B2D" w:rsidP="0052525D">
            <w:pPr>
              <w:spacing w:before="240" w:after="120"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A través de la Resolución Bienal</w:t>
            </w:r>
            <w:r w:rsidR="00B8128B">
              <w:rPr>
                <w:rFonts w:ascii="Century Gothic" w:eastAsia="Times New Roman" w:hAnsi="Century Gothic"/>
                <w:color w:val="000000"/>
                <w:sz w:val="20"/>
                <w:lang w:eastAsia="es-MX"/>
              </w:rPr>
              <w:t xml:space="preserve"> de Radiodifusión</w:t>
            </w:r>
            <w:r>
              <w:rPr>
                <w:rFonts w:ascii="Century Gothic" w:eastAsia="Times New Roman" w:hAnsi="Century Gothic"/>
                <w:color w:val="000000"/>
                <w:sz w:val="20"/>
                <w:lang w:eastAsia="es-MX"/>
              </w:rPr>
              <w:t>, se impuso</w:t>
            </w:r>
            <w:r w:rsidR="00DF67B4">
              <w:rPr>
                <w:rFonts w:ascii="Century Gothic" w:eastAsia="Times New Roman" w:hAnsi="Century Gothic"/>
                <w:color w:val="000000"/>
                <w:sz w:val="20"/>
                <w:lang w:eastAsia="es-MX"/>
              </w:rPr>
              <w:t>, además,</w:t>
            </w:r>
            <w:r>
              <w:rPr>
                <w:rFonts w:ascii="Century Gothic" w:eastAsia="Times New Roman" w:hAnsi="Century Gothic"/>
                <w:color w:val="000000"/>
                <w:sz w:val="20"/>
                <w:lang w:eastAsia="es-MX"/>
              </w:rPr>
              <w:t xml:space="preserve"> la prestación del servicio de Emisión de Señal, que consiste en la compartición de algunos elementos de infraestructura activa, </w:t>
            </w:r>
            <w:r w:rsidR="00DF67B4">
              <w:rPr>
                <w:rFonts w:ascii="Century Gothic" w:eastAsia="Times New Roman" w:hAnsi="Century Gothic"/>
                <w:color w:val="000000"/>
                <w:sz w:val="20"/>
                <w:lang w:eastAsia="es-MX"/>
              </w:rPr>
              <w:t>con la finalidad de</w:t>
            </w:r>
            <w:r w:rsidRPr="00151C08">
              <w:rPr>
                <w:rFonts w:ascii="Century Gothic" w:eastAsia="Times New Roman" w:hAnsi="Century Gothic"/>
                <w:color w:val="000000"/>
                <w:sz w:val="20"/>
                <w:lang w:eastAsia="es-MX"/>
              </w:rPr>
              <w:t xml:space="preserve"> favorecer las condiciones de competencia efectiva en el sector de radiodifusión.</w:t>
            </w:r>
            <w:r>
              <w:rPr>
                <w:rFonts w:ascii="Century Gothic" w:eastAsia="Times New Roman" w:hAnsi="Century Gothic"/>
                <w:color w:val="000000"/>
                <w:sz w:val="20"/>
                <w:lang w:eastAsia="es-MX"/>
              </w:rPr>
              <w:t xml:space="preserve"> Lo anterior, ante la posibilidad de que el AEP</w:t>
            </w:r>
            <w:r w:rsidR="00B64956">
              <w:rPr>
                <w:rFonts w:ascii="Century Gothic" w:eastAsia="Times New Roman" w:hAnsi="Century Gothic"/>
                <w:color w:val="000000"/>
                <w:sz w:val="20"/>
                <w:lang w:eastAsia="es-MX"/>
              </w:rPr>
              <w:t>R</w:t>
            </w:r>
            <w:r>
              <w:rPr>
                <w:rFonts w:ascii="Century Gothic" w:eastAsia="Times New Roman" w:hAnsi="Century Gothic"/>
                <w:color w:val="000000"/>
                <w:sz w:val="20"/>
                <w:lang w:eastAsia="es-MX"/>
              </w:rPr>
              <w:t xml:space="preserve"> pueda</w:t>
            </w:r>
            <w:r w:rsidRPr="00151C08">
              <w:rPr>
                <w:rFonts w:ascii="Century Gothic" w:eastAsia="Times New Roman" w:hAnsi="Century Gothic"/>
                <w:color w:val="000000"/>
                <w:sz w:val="20"/>
                <w:lang w:eastAsia="es-MX"/>
              </w:rPr>
              <w:t xml:space="preserve"> no contar con capacidad suficiente sobre su infraestructura pasiva para </w:t>
            </w:r>
            <w:proofErr w:type="spellStart"/>
            <w:r w:rsidRPr="00151C08">
              <w:rPr>
                <w:rFonts w:ascii="Century Gothic" w:eastAsia="Times New Roman" w:hAnsi="Century Gothic"/>
                <w:color w:val="000000"/>
                <w:sz w:val="20"/>
                <w:lang w:eastAsia="es-MX"/>
              </w:rPr>
              <w:t>coubicar</w:t>
            </w:r>
            <w:proofErr w:type="spellEnd"/>
            <w:r w:rsidRPr="00151C08">
              <w:rPr>
                <w:rFonts w:ascii="Century Gothic" w:eastAsia="Times New Roman" w:hAnsi="Century Gothic"/>
                <w:color w:val="000000"/>
                <w:sz w:val="20"/>
                <w:lang w:eastAsia="es-MX"/>
              </w:rPr>
              <w:t xml:space="preserve"> todo el equipo que requiera el </w:t>
            </w:r>
            <w:r w:rsidR="00536AF7">
              <w:rPr>
                <w:rFonts w:ascii="Century Gothic" w:eastAsia="Times New Roman" w:hAnsi="Century Gothic"/>
                <w:color w:val="000000"/>
                <w:sz w:val="20"/>
                <w:lang w:eastAsia="es-MX"/>
              </w:rPr>
              <w:t>CS</w:t>
            </w:r>
            <w:r w:rsidRPr="00151C08">
              <w:rPr>
                <w:rFonts w:ascii="Century Gothic" w:eastAsia="Times New Roman" w:hAnsi="Century Gothic"/>
                <w:color w:val="000000"/>
                <w:sz w:val="20"/>
                <w:lang w:eastAsia="es-MX"/>
              </w:rPr>
              <w:t xml:space="preserve"> para la eficiente prestación del Servicio de Televisión Radiodifundida Concesionada.</w:t>
            </w:r>
          </w:p>
          <w:p w14:paraId="44D79D3A" w14:textId="758FCEB2" w:rsidR="00D41607" w:rsidRDefault="003D16DB" w:rsidP="0052525D">
            <w:pPr>
              <w:spacing w:before="240" w:after="120"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Asi</w:t>
            </w:r>
            <w:r w:rsidR="00BD6FD4">
              <w:rPr>
                <w:rFonts w:ascii="Century Gothic" w:eastAsia="Times New Roman" w:hAnsi="Century Gothic"/>
                <w:color w:val="000000"/>
                <w:sz w:val="20"/>
                <w:lang w:eastAsia="es-MX"/>
              </w:rPr>
              <w:t xml:space="preserve">mismo, se determinó que la </w:t>
            </w:r>
            <w:r w:rsidR="00F0452F">
              <w:rPr>
                <w:rFonts w:ascii="Century Gothic" w:eastAsia="Times New Roman" w:hAnsi="Century Gothic"/>
                <w:color w:val="000000"/>
                <w:sz w:val="20"/>
                <w:lang w:eastAsia="es-MX"/>
              </w:rPr>
              <w:t>OPI</w:t>
            </w:r>
            <w:r w:rsidR="00BD6FD4">
              <w:rPr>
                <w:rFonts w:ascii="Century Gothic" w:eastAsia="Times New Roman" w:hAnsi="Century Gothic"/>
                <w:color w:val="000000"/>
                <w:sz w:val="20"/>
                <w:lang w:eastAsia="es-MX"/>
              </w:rPr>
              <w:t xml:space="preserve"> deberá incluir las tarifas aplicables a los servicios mayoristas regulado</w:t>
            </w:r>
            <w:r w:rsidR="00530C94">
              <w:rPr>
                <w:rFonts w:ascii="Century Gothic" w:eastAsia="Times New Roman" w:hAnsi="Century Gothic"/>
                <w:color w:val="000000"/>
                <w:sz w:val="20"/>
                <w:lang w:eastAsia="es-MX"/>
              </w:rPr>
              <w:t>s, con la finalidad de evitar</w:t>
            </w:r>
            <w:r w:rsidR="00530C94">
              <w:t xml:space="preserve"> </w:t>
            </w:r>
            <w:r w:rsidR="00530C94" w:rsidRPr="00530C94">
              <w:rPr>
                <w:rFonts w:ascii="Century Gothic" w:eastAsia="Times New Roman" w:hAnsi="Century Gothic"/>
                <w:color w:val="000000"/>
                <w:sz w:val="20"/>
                <w:lang w:eastAsia="es-MX"/>
              </w:rPr>
              <w:t xml:space="preserve">incertidumbre </w:t>
            </w:r>
            <w:r w:rsidR="00530C94">
              <w:rPr>
                <w:rFonts w:ascii="Century Gothic" w:eastAsia="Times New Roman" w:hAnsi="Century Gothic"/>
                <w:color w:val="000000"/>
                <w:sz w:val="20"/>
                <w:lang w:eastAsia="es-MX"/>
              </w:rPr>
              <w:t>par</w:t>
            </w:r>
            <w:r w:rsidR="00530C94" w:rsidRPr="00530C94">
              <w:rPr>
                <w:rFonts w:ascii="Century Gothic" w:eastAsia="Times New Roman" w:hAnsi="Century Gothic"/>
                <w:color w:val="000000"/>
                <w:sz w:val="20"/>
                <w:lang w:eastAsia="es-MX"/>
              </w:rPr>
              <w:t xml:space="preserve">a los </w:t>
            </w:r>
            <w:r w:rsidR="00B64956">
              <w:rPr>
                <w:rFonts w:ascii="Century Gothic" w:eastAsia="Times New Roman" w:hAnsi="Century Gothic"/>
                <w:color w:val="000000"/>
                <w:sz w:val="20"/>
                <w:lang w:eastAsia="es-MX"/>
              </w:rPr>
              <w:t>CS</w:t>
            </w:r>
            <w:r w:rsidR="00530C94" w:rsidRPr="00530C94">
              <w:rPr>
                <w:rFonts w:ascii="Century Gothic" w:eastAsia="Times New Roman" w:hAnsi="Century Gothic"/>
                <w:color w:val="000000"/>
                <w:sz w:val="20"/>
                <w:lang w:eastAsia="es-MX"/>
              </w:rPr>
              <w:t xml:space="preserve"> ante la falta de información para construir sus planes de negocio</w:t>
            </w:r>
            <w:r w:rsidR="00B64956">
              <w:rPr>
                <w:rFonts w:ascii="Century Gothic" w:eastAsia="Times New Roman" w:hAnsi="Century Gothic"/>
                <w:color w:val="000000"/>
                <w:sz w:val="20"/>
                <w:lang w:eastAsia="es-MX"/>
              </w:rPr>
              <w:t>,</w:t>
            </w:r>
            <w:r w:rsidR="00530C94" w:rsidRPr="00530C94">
              <w:rPr>
                <w:rFonts w:ascii="Century Gothic" w:eastAsia="Times New Roman" w:hAnsi="Century Gothic"/>
                <w:color w:val="000000"/>
                <w:sz w:val="20"/>
                <w:lang w:eastAsia="es-MX"/>
              </w:rPr>
              <w:t xml:space="preserve"> que las tarifas de acceso que of</w:t>
            </w:r>
            <w:r w:rsidR="00530C94">
              <w:rPr>
                <w:rFonts w:ascii="Century Gothic" w:eastAsia="Times New Roman" w:hAnsi="Century Gothic"/>
                <w:color w:val="000000"/>
                <w:sz w:val="20"/>
                <w:lang w:eastAsia="es-MX"/>
              </w:rPr>
              <w:t>rezca el AEP</w:t>
            </w:r>
            <w:r w:rsidR="00B8128B">
              <w:rPr>
                <w:rFonts w:ascii="Century Gothic" w:eastAsia="Times New Roman" w:hAnsi="Century Gothic"/>
                <w:color w:val="000000"/>
                <w:sz w:val="20"/>
                <w:lang w:eastAsia="es-MX"/>
              </w:rPr>
              <w:t>R</w:t>
            </w:r>
            <w:r w:rsidR="00530C94">
              <w:rPr>
                <w:rFonts w:ascii="Century Gothic" w:eastAsia="Times New Roman" w:hAnsi="Century Gothic"/>
                <w:color w:val="000000"/>
                <w:sz w:val="20"/>
                <w:lang w:eastAsia="es-MX"/>
              </w:rPr>
              <w:t xml:space="preserve"> no sean razonables, o</w:t>
            </w:r>
            <w:r w:rsidR="00530C94" w:rsidRPr="00530C94">
              <w:rPr>
                <w:rFonts w:ascii="Century Gothic" w:eastAsia="Times New Roman" w:hAnsi="Century Gothic"/>
                <w:color w:val="000000"/>
                <w:sz w:val="20"/>
                <w:lang w:eastAsia="es-MX"/>
              </w:rPr>
              <w:t xml:space="preserve"> que las negociaciones entre el AEP</w:t>
            </w:r>
            <w:r w:rsidR="00B8128B">
              <w:rPr>
                <w:rFonts w:ascii="Century Gothic" w:eastAsia="Times New Roman" w:hAnsi="Century Gothic"/>
                <w:color w:val="000000"/>
                <w:sz w:val="20"/>
                <w:lang w:eastAsia="es-MX"/>
              </w:rPr>
              <w:t>R</w:t>
            </w:r>
            <w:r w:rsidR="00530C94" w:rsidRPr="00530C94">
              <w:rPr>
                <w:rFonts w:ascii="Century Gothic" w:eastAsia="Times New Roman" w:hAnsi="Century Gothic"/>
                <w:color w:val="000000"/>
                <w:sz w:val="20"/>
                <w:lang w:eastAsia="es-MX"/>
              </w:rPr>
              <w:t xml:space="preserve"> y el </w:t>
            </w:r>
            <w:r w:rsidR="00536AF7">
              <w:rPr>
                <w:rFonts w:ascii="Century Gothic" w:eastAsia="Times New Roman" w:hAnsi="Century Gothic"/>
                <w:color w:val="000000"/>
                <w:sz w:val="20"/>
                <w:lang w:eastAsia="es-MX"/>
              </w:rPr>
              <w:t>CS</w:t>
            </w:r>
            <w:r w:rsidR="00530C94" w:rsidRPr="00530C94">
              <w:rPr>
                <w:rFonts w:ascii="Century Gothic" w:eastAsia="Times New Roman" w:hAnsi="Century Gothic"/>
                <w:color w:val="000000"/>
                <w:sz w:val="20"/>
                <w:lang w:eastAsia="es-MX"/>
              </w:rPr>
              <w:t xml:space="preserve"> se prolonguen innecesariamente.</w:t>
            </w:r>
          </w:p>
          <w:p w14:paraId="1EB79C87" w14:textId="77777777" w:rsidR="00530C94" w:rsidRPr="00C41536" w:rsidRDefault="00530C94" w:rsidP="0052525D">
            <w:pPr>
              <w:spacing w:before="240" w:after="120"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 xml:space="preserve">Por otro lado, se determinó la implementación del Sistema Electrónico de Gestión, como medio de consulta, contratación de servicios y reporte y seguimiento de fallas.  </w:t>
            </w:r>
          </w:p>
        </w:tc>
      </w:tr>
      <w:tr w:rsidR="001A5B2D" w:rsidRPr="00DF5B3F" w14:paraId="2BA42E78" w14:textId="77777777" w:rsidTr="00B350F8">
        <w:trPr>
          <w:trHeight w:val="290"/>
        </w:trPr>
        <w:tc>
          <w:tcPr>
            <w:tcW w:w="8641" w:type="dxa"/>
            <w:gridSpan w:val="4"/>
            <w:shd w:val="clear" w:color="auto" w:fill="auto"/>
            <w:vAlign w:val="center"/>
          </w:tcPr>
          <w:p w14:paraId="6DA3453D" w14:textId="1FB45731" w:rsidR="001A5B2D" w:rsidRPr="001A5B2D" w:rsidRDefault="00340609" w:rsidP="004602D4">
            <w:pPr>
              <w:spacing w:after="0" w:line="276" w:lineRule="auto"/>
              <w:jc w:val="both"/>
              <w:rPr>
                <w:rFonts w:ascii="Century Gothic" w:eastAsia="Times New Roman" w:hAnsi="Century Gothic"/>
                <w:b/>
                <w:color w:val="000000"/>
                <w:sz w:val="20"/>
                <w:szCs w:val="20"/>
                <w:lang w:eastAsia="es-MX"/>
              </w:rPr>
            </w:pPr>
            <w:r w:rsidRPr="001A5B2D">
              <w:rPr>
                <w:rFonts w:ascii="Century Gothic" w:eastAsia="Times New Roman" w:hAnsi="Century Gothic"/>
                <w:b/>
                <w:color w:val="000000"/>
                <w:sz w:val="20"/>
                <w:szCs w:val="20"/>
                <w:lang w:eastAsia="es-MX"/>
              </w:rPr>
              <w:t>¿</w:t>
            </w:r>
            <w:r>
              <w:rPr>
                <w:rFonts w:ascii="Century Gothic" w:eastAsia="Times New Roman" w:hAnsi="Century Gothic"/>
                <w:b/>
                <w:color w:val="000000"/>
                <w:sz w:val="20"/>
                <w:szCs w:val="20"/>
                <w:lang w:eastAsia="es-MX"/>
              </w:rPr>
              <w:t>Cuáles son los efectos que las medidas h</w:t>
            </w:r>
            <w:r w:rsidRPr="00DF52A8">
              <w:rPr>
                <w:rFonts w:ascii="Century Gothic" w:eastAsia="Times New Roman" w:hAnsi="Century Gothic"/>
                <w:b/>
                <w:color w:val="000000"/>
                <w:sz w:val="20"/>
                <w:szCs w:val="20"/>
                <w:lang w:eastAsia="es-MX"/>
              </w:rPr>
              <w:t>a</w:t>
            </w:r>
            <w:r w:rsidR="00B64956" w:rsidRPr="00DF52A8">
              <w:rPr>
                <w:rFonts w:ascii="Century Gothic" w:eastAsia="Times New Roman" w:hAnsi="Century Gothic"/>
                <w:b/>
                <w:color w:val="000000"/>
                <w:sz w:val="20"/>
                <w:szCs w:val="20"/>
                <w:lang w:eastAsia="es-MX"/>
              </w:rPr>
              <w:t>n</w:t>
            </w:r>
            <w:r>
              <w:rPr>
                <w:rFonts w:ascii="Century Gothic" w:eastAsia="Times New Roman" w:hAnsi="Century Gothic"/>
                <w:b/>
                <w:color w:val="000000"/>
                <w:sz w:val="20"/>
                <w:szCs w:val="20"/>
                <w:lang w:eastAsia="es-MX"/>
              </w:rPr>
              <w:t xml:space="preserve"> generado</w:t>
            </w:r>
            <w:r w:rsidR="00852DAD">
              <w:rPr>
                <w:rFonts w:ascii="Century Gothic" w:eastAsia="Times New Roman" w:hAnsi="Century Gothic"/>
                <w:b/>
                <w:color w:val="000000"/>
                <w:sz w:val="20"/>
                <w:szCs w:val="20"/>
                <w:lang w:eastAsia="es-MX"/>
              </w:rPr>
              <w:t xml:space="preserve"> en el sector de radiodifusión</w:t>
            </w:r>
            <w:r>
              <w:rPr>
                <w:rFonts w:ascii="Century Gothic" w:eastAsia="Times New Roman" w:hAnsi="Century Gothic"/>
                <w:b/>
                <w:color w:val="000000"/>
                <w:sz w:val="20"/>
                <w:szCs w:val="20"/>
                <w:lang w:eastAsia="es-MX"/>
              </w:rPr>
              <w:t>? ¿</w:t>
            </w:r>
            <w:r w:rsidR="004602D4">
              <w:rPr>
                <w:rFonts w:ascii="Century Gothic" w:eastAsia="Times New Roman" w:hAnsi="Century Gothic"/>
                <w:b/>
                <w:color w:val="000000"/>
                <w:sz w:val="20"/>
                <w:szCs w:val="20"/>
                <w:lang w:eastAsia="es-MX"/>
              </w:rPr>
              <w:t>De qué manera</w:t>
            </w:r>
            <w:r>
              <w:rPr>
                <w:rFonts w:ascii="Century Gothic" w:eastAsia="Times New Roman" w:hAnsi="Century Gothic"/>
                <w:b/>
                <w:color w:val="000000"/>
                <w:sz w:val="20"/>
                <w:szCs w:val="20"/>
                <w:lang w:eastAsia="es-MX"/>
              </w:rPr>
              <w:t xml:space="preserve"> han contribuido a alcanzar el objetivo para el cual fueron creadas las medidas?</w:t>
            </w:r>
          </w:p>
        </w:tc>
      </w:tr>
      <w:tr w:rsidR="00934B06" w:rsidRPr="00DF5B3F" w14:paraId="109385A8" w14:textId="77777777" w:rsidTr="00363DAD">
        <w:trPr>
          <w:trHeight w:val="90"/>
        </w:trPr>
        <w:tc>
          <w:tcPr>
            <w:tcW w:w="8641" w:type="dxa"/>
            <w:gridSpan w:val="4"/>
            <w:shd w:val="clear" w:color="auto" w:fill="auto"/>
            <w:vAlign w:val="center"/>
          </w:tcPr>
          <w:p w14:paraId="54978E6E" w14:textId="77777777" w:rsidR="00934B06" w:rsidRDefault="00934B06" w:rsidP="001A5B2D">
            <w:pPr>
              <w:spacing w:after="0" w:line="240" w:lineRule="auto"/>
              <w:rPr>
                <w:rFonts w:ascii="Century Gothic" w:eastAsia="Times New Roman" w:hAnsi="Century Gothic"/>
                <w:color w:val="000000"/>
                <w:sz w:val="20"/>
                <w:szCs w:val="20"/>
                <w:lang w:eastAsia="es-MX"/>
              </w:rPr>
            </w:pPr>
          </w:p>
          <w:p w14:paraId="553FEDD2" w14:textId="77777777" w:rsidR="00934B06" w:rsidRPr="00C41536" w:rsidRDefault="00934B06" w:rsidP="001A5B2D">
            <w:pPr>
              <w:spacing w:after="0" w:line="240" w:lineRule="auto"/>
              <w:rPr>
                <w:rFonts w:ascii="Century Gothic" w:eastAsia="Times New Roman" w:hAnsi="Century Gothic"/>
                <w:color w:val="000000"/>
                <w:lang w:eastAsia="es-MX"/>
              </w:rPr>
            </w:pPr>
          </w:p>
        </w:tc>
      </w:tr>
      <w:tr w:rsidR="004B7D82" w:rsidRPr="00DF5B3F" w14:paraId="3C7A0306" w14:textId="77777777" w:rsidTr="00E23C4C">
        <w:trPr>
          <w:trHeight w:val="90"/>
        </w:trPr>
        <w:tc>
          <w:tcPr>
            <w:tcW w:w="3331" w:type="dxa"/>
            <w:gridSpan w:val="3"/>
            <w:shd w:val="clear" w:color="auto" w:fill="auto"/>
            <w:vAlign w:val="center"/>
          </w:tcPr>
          <w:p w14:paraId="067B34E2" w14:textId="73AFB655" w:rsidR="004B7D82" w:rsidRPr="00621A36" w:rsidRDefault="0075473C" w:rsidP="00B64956">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lastRenderedPageBreak/>
              <w:t xml:space="preserve">Liste los documentos asociados </w:t>
            </w:r>
            <w:r w:rsidRPr="00DF52A8">
              <w:rPr>
                <w:rFonts w:ascii="Century Gothic" w:eastAsia="Times New Roman" w:hAnsi="Century Gothic"/>
                <w:color w:val="000000"/>
                <w:sz w:val="20"/>
                <w:szCs w:val="20"/>
                <w:lang w:eastAsia="es-MX"/>
              </w:rPr>
              <w:t>a</w:t>
            </w:r>
            <w:r w:rsidRPr="0075473C">
              <w:rPr>
                <w:rFonts w:ascii="Century Gothic" w:eastAsia="Times New Roman" w:hAnsi="Century Gothic"/>
                <w:color w:val="000000"/>
                <w:sz w:val="20"/>
                <w:szCs w:val="20"/>
                <w:lang w:eastAsia="es-MX"/>
              </w:rPr>
              <w:t xml:space="preserve"> los comentarios manifestados</w:t>
            </w:r>
            <w:r w:rsidR="00B64956">
              <w:rPr>
                <w:rFonts w:ascii="Century Gothic" w:eastAsia="Times New Roman" w:hAnsi="Century Gothic"/>
                <w:color w:val="000000"/>
                <w:sz w:val="20"/>
                <w:szCs w:val="20"/>
                <w:lang w:eastAsia="es-MX"/>
              </w:rPr>
              <w:t>:</w:t>
            </w:r>
            <w:r w:rsidRPr="0075473C" w:rsidDel="00934B06">
              <w:rPr>
                <w:rFonts w:ascii="Century Gothic" w:eastAsia="Times New Roman" w:hAnsi="Century Gothic"/>
                <w:color w:val="000000"/>
                <w:sz w:val="20"/>
                <w:szCs w:val="20"/>
                <w:lang w:eastAsia="es-MX"/>
              </w:rPr>
              <w:t xml:space="preserve"> </w:t>
            </w:r>
          </w:p>
        </w:tc>
        <w:tc>
          <w:tcPr>
            <w:tcW w:w="5310" w:type="dxa"/>
            <w:shd w:val="clear" w:color="auto" w:fill="auto"/>
            <w:vAlign w:val="center"/>
          </w:tcPr>
          <w:p w14:paraId="3FA87414" w14:textId="77777777" w:rsidR="004B7D82" w:rsidRPr="00E23C4C" w:rsidRDefault="0075473C" w:rsidP="004B7D82">
            <w:pPr>
              <w:spacing w:after="0" w:line="240" w:lineRule="auto"/>
              <w:rPr>
                <w:rFonts w:ascii="Century Gothic" w:eastAsia="Times New Roman" w:hAnsi="Century Gothic"/>
                <w:i/>
                <w:color w:val="A6A6A6"/>
                <w:sz w:val="18"/>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D41607" w:rsidRPr="00DF5B3F" w14:paraId="4758E36F" w14:textId="77777777" w:rsidTr="00B350F8">
        <w:trPr>
          <w:trHeight w:val="290"/>
        </w:trPr>
        <w:tc>
          <w:tcPr>
            <w:tcW w:w="8641" w:type="dxa"/>
            <w:gridSpan w:val="4"/>
            <w:shd w:val="clear" w:color="auto" w:fill="auto"/>
            <w:vAlign w:val="center"/>
          </w:tcPr>
          <w:p w14:paraId="2FD2DC44" w14:textId="46BE7719" w:rsidR="00D41607" w:rsidRPr="00C41536" w:rsidRDefault="00340609" w:rsidP="00340609">
            <w:pPr>
              <w:spacing w:after="0" w:line="276" w:lineRule="auto"/>
              <w:jc w:val="both"/>
              <w:rPr>
                <w:rFonts w:ascii="Century Gothic" w:eastAsia="Times New Roman" w:hAnsi="Century Gothic"/>
                <w:color w:val="000000"/>
                <w:lang w:eastAsia="es-MX"/>
              </w:rPr>
            </w:pPr>
            <w:r w:rsidRPr="001A5B2D">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Pr="001A5B2D">
              <w:rPr>
                <w:rFonts w:ascii="Century Gothic" w:eastAsia="Times New Roman" w:hAnsi="Century Gothic"/>
                <w:b/>
                <w:color w:val="000000"/>
                <w:sz w:val="20"/>
                <w:szCs w:val="20"/>
                <w:lang w:eastAsia="es-MX"/>
              </w:rPr>
              <w:t xml:space="preserve">onsidera que el diseño de las medidas referentes a la compartición de infraestructura </w:t>
            </w:r>
            <w:r>
              <w:rPr>
                <w:rFonts w:ascii="Century Gothic" w:eastAsia="Times New Roman" w:hAnsi="Century Gothic"/>
                <w:b/>
                <w:color w:val="000000"/>
                <w:sz w:val="20"/>
                <w:szCs w:val="20"/>
                <w:lang w:eastAsia="es-MX"/>
              </w:rPr>
              <w:t>está alineado</w:t>
            </w:r>
            <w:r w:rsidRPr="001A5B2D">
              <w:rPr>
                <w:rFonts w:ascii="Century Gothic" w:eastAsia="Times New Roman" w:hAnsi="Century Gothic"/>
                <w:b/>
                <w:color w:val="000000"/>
                <w:sz w:val="20"/>
                <w:szCs w:val="20"/>
                <w:lang w:eastAsia="es-MX"/>
              </w:rPr>
              <w:t xml:space="preserve"> con los objetivos originalmente planteados?</w:t>
            </w:r>
          </w:p>
        </w:tc>
      </w:tr>
      <w:tr w:rsidR="00934B06" w:rsidRPr="00DF5B3F" w14:paraId="2B13C09C" w14:textId="77777777" w:rsidTr="00363DAD">
        <w:trPr>
          <w:trHeight w:val="90"/>
        </w:trPr>
        <w:tc>
          <w:tcPr>
            <w:tcW w:w="8641" w:type="dxa"/>
            <w:gridSpan w:val="4"/>
            <w:shd w:val="clear" w:color="auto" w:fill="auto"/>
            <w:vAlign w:val="center"/>
          </w:tcPr>
          <w:p w14:paraId="381A0526" w14:textId="77777777" w:rsidR="00934B06" w:rsidRDefault="00934B06" w:rsidP="00934B06">
            <w:pPr>
              <w:spacing w:after="0" w:line="240" w:lineRule="auto"/>
              <w:rPr>
                <w:rFonts w:ascii="Century Gothic" w:eastAsia="Times New Roman" w:hAnsi="Century Gothic"/>
                <w:color w:val="000000"/>
                <w:sz w:val="20"/>
                <w:szCs w:val="20"/>
                <w:lang w:eastAsia="es-MX"/>
              </w:rPr>
            </w:pPr>
          </w:p>
          <w:p w14:paraId="594444E4" w14:textId="77777777" w:rsidR="00934B06" w:rsidRPr="00C41536" w:rsidRDefault="00934B06" w:rsidP="00934B06">
            <w:pPr>
              <w:spacing w:after="0" w:line="240" w:lineRule="auto"/>
              <w:rPr>
                <w:rFonts w:ascii="Century Gothic" w:eastAsia="Times New Roman" w:hAnsi="Century Gothic"/>
                <w:color w:val="000000"/>
                <w:lang w:eastAsia="es-MX"/>
              </w:rPr>
            </w:pPr>
          </w:p>
        </w:tc>
      </w:tr>
      <w:tr w:rsidR="0075473C" w:rsidRPr="00DF5B3F" w14:paraId="2C5FA46F" w14:textId="77777777" w:rsidTr="003D16DB">
        <w:trPr>
          <w:trHeight w:val="90"/>
        </w:trPr>
        <w:tc>
          <w:tcPr>
            <w:tcW w:w="3331" w:type="dxa"/>
            <w:gridSpan w:val="3"/>
            <w:shd w:val="clear" w:color="auto" w:fill="auto"/>
          </w:tcPr>
          <w:p w14:paraId="2FD0FC16"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D42C6E">
              <w:rPr>
                <w:rFonts w:ascii="Century Gothic" w:eastAsia="Times New Roman" w:hAnsi="Century Gothic"/>
                <w:color w:val="000000"/>
                <w:sz w:val="20"/>
                <w:szCs w:val="20"/>
                <w:lang w:eastAsia="es-MX"/>
              </w:rPr>
              <w:t xml:space="preserve">Liste los documentos </w:t>
            </w:r>
            <w:proofErr w:type="gramStart"/>
            <w:r w:rsidRPr="00D42C6E">
              <w:rPr>
                <w:rFonts w:ascii="Century Gothic" w:eastAsia="Times New Roman" w:hAnsi="Century Gothic"/>
                <w:color w:val="000000"/>
                <w:sz w:val="20"/>
                <w:szCs w:val="20"/>
                <w:lang w:eastAsia="es-MX"/>
              </w:rPr>
              <w:t>asociados  a</w:t>
            </w:r>
            <w:proofErr w:type="gramEnd"/>
            <w:r w:rsidRPr="00D42C6E">
              <w:rPr>
                <w:rFonts w:ascii="Century Gothic" w:eastAsia="Times New Roman" w:hAnsi="Century Gothic"/>
                <w:color w:val="000000"/>
                <w:sz w:val="20"/>
                <w:szCs w:val="20"/>
                <w:lang w:eastAsia="es-MX"/>
              </w:rPr>
              <w:t xml:space="preserve"> los comentarios manifestados</w:t>
            </w:r>
            <w:r w:rsidR="00CF33CC">
              <w:rPr>
                <w:rFonts w:ascii="Century Gothic" w:eastAsia="Times New Roman" w:hAnsi="Century Gothic"/>
                <w:color w:val="000000"/>
                <w:sz w:val="20"/>
                <w:szCs w:val="20"/>
                <w:lang w:eastAsia="es-MX"/>
              </w:rPr>
              <w:t>:</w:t>
            </w:r>
            <w:r w:rsidRPr="00D42C6E">
              <w:rPr>
                <w:rFonts w:ascii="Century Gothic" w:eastAsia="Times New Roman" w:hAnsi="Century Gothic"/>
                <w:color w:val="000000"/>
                <w:sz w:val="20"/>
                <w:szCs w:val="20"/>
                <w:lang w:eastAsia="es-MX"/>
              </w:rPr>
              <w:t xml:space="preserve"> </w:t>
            </w:r>
          </w:p>
        </w:tc>
        <w:tc>
          <w:tcPr>
            <w:tcW w:w="5310" w:type="dxa"/>
            <w:shd w:val="clear" w:color="auto" w:fill="auto"/>
            <w:vAlign w:val="center"/>
          </w:tcPr>
          <w:p w14:paraId="7F63A28B" w14:textId="77777777" w:rsidR="0075473C" w:rsidRPr="00E23C4C" w:rsidRDefault="0075473C" w:rsidP="003D16DB">
            <w:pPr>
              <w:spacing w:after="0" w:line="240" w:lineRule="auto"/>
              <w:rPr>
                <w:rFonts w:ascii="Century Gothic" w:eastAsia="Times New Roman" w:hAnsi="Century Gothic"/>
                <w:i/>
                <w:color w:val="A6A6A6"/>
                <w:sz w:val="18"/>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340609" w:rsidRPr="00DF5B3F" w14:paraId="23D2F324" w14:textId="77777777" w:rsidTr="00363DAD">
        <w:trPr>
          <w:trHeight w:val="90"/>
        </w:trPr>
        <w:tc>
          <w:tcPr>
            <w:tcW w:w="8641" w:type="dxa"/>
            <w:gridSpan w:val="4"/>
            <w:shd w:val="clear" w:color="auto" w:fill="auto"/>
            <w:vAlign w:val="center"/>
          </w:tcPr>
          <w:p w14:paraId="6C340C90" w14:textId="781F5377" w:rsidR="00340609" w:rsidRPr="00621A36" w:rsidRDefault="0075473C" w:rsidP="00E23C4C">
            <w:pPr>
              <w:spacing w:after="0" w:line="240" w:lineRule="auto"/>
              <w:jc w:val="both"/>
              <w:rPr>
                <w:rFonts w:ascii="Century Gothic" w:eastAsia="Times New Roman" w:hAnsi="Century Gothic"/>
                <w:color w:val="000000"/>
                <w:sz w:val="20"/>
                <w:szCs w:val="20"/>
                <w:lang w:eastAsia="es-MX"/>
              </w:rPr>
            </w:pPr>
            <w:r w:rsidRPr="0075473C">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Pr="0075473C">
              <w:rPr>
                <w:rFonts w:ascii="Century Gothic" w:eastAsia="Times New Roman" w:hAnsi="Century Gothic"/>
                <w:b/>
                <w:color w:val="000000"/>
                <w:sz w:val="20"/>
                <w:szCs w:val="20"/>
                <w:lang w:eastAsia="es-MX"/>
              </w:rPr>
              <w:t xml:space="preserve"> que las acciones</w:t>
            </w:r>
            <w:r w:rsidR="00523B41">
              <w:rPr>
                <w:rFonts w:ascii="Century Gothic" w:eastAsia="Times New Roman" w:hAnsi="Century Gothic"/>
                <w:b/>
                <w:color w:val="000000"/>
                <w:sz w:val="20"/>
                <w:szCs w:val="20"/>
                <w:lang w:eastAsia="es-MX"/>
              </w:rPr>
              <w:t xml:space="preserve"> y/o instrumentos</w:t>
            </w:r>
            <w:r w:rsidRPr="0075473C">
              <w:rPr>
                <w:rFonts w:ascii="Century Gothic" w:eastAsia="Times New Roman" w:hAnsi="Century Gothic"/>
                <w:b/>
                <w:color w:val="000000"/>
                <w:sz w:val="20"/>
                <w:szCs w:val="20"/>
                <w:lang w:eastAsia="es-MX"/>
              </w:rPr>
              <w:t xml:space="preserve"> mediante las cuales se han </w:t>
            </w:r>
            <w:r w:rsidR="00523B41" w:rsidRPr="0075473C">
              <w:rPr>
                <w:rFonts w:ascii="Century Gothic" w:eastAsia="Times New Roman" w:hAnsi="Century Gothic"/>
                <w:b/>
                <w:color w:val="000000"/>
                <w:sz w:val="20"/>
                <w:szCs w:val="20"/>
                <w:lang w:eastAsia="es-MX"/>
              </w:rPr>
              <w:t>i</w:t>
            </w:r>
            <w:r w:rsidR="00523B41">
              <w:rPr>
                <w:rFonts w:ascii="Century Gothic" w:eastAsia="Times New Roman" w:hAnsi="Century Gothic"/>
                <w:b/>
                <w:color w:val="000000"/>
                <w:sz w:val="20"/>
                <w:szCs w:val="20"/>
                <w:lang w:eastAsia="es-MX"/>
              </w:rPr>
              <w:t>mplementado</w:t>
            </w:r>
            <w:r w:rsidR="00523B41" w:rsidRPr="0075473C">
              <w:rPr>
                <w:rFonts w:ascii="Century Gothic" w:eastAsia="Times New Roman" w:hAnsi="Century Gothic"/>
                <w:b/>
                <w:color w:val="000000"/>
                <w:sz w:val="20"/>
                <w:szCs w:val="20"/>
                <w:lang w:eastAsia="es-MX"/>
              </w:rPr>
              <w:t xml:space="preserve"> </w:t>
            </w:r>
            <w:r w:rsidRPr="0075473C">
              <w:rPr>
                <w:rFonts w:ascii="Century Gothic" w:eastAsia="Times New Roman" w:hAnsi="Century Gothic"/>
                <w:b/>
                <w:color w:val="000000"/>
                <w:sz w:val="20"/>
                <w:szCs w:val="20"/>
                <w:lang w:eastAsia="es-MX"/>
              </w:rPr>
              <w:t>las medidas han sido adecuadas para alcanzar los objetivos por los que se plantearon?</w:t>
            </w:r>
          </w:p>
        </w:tc>
      </w:tr>
      <w:tr w:rsidR="00340609" w:rsidRPr="00DF5B3F" w14:paraId="11FAD936" w14:textId="77777777" w:rsidTr="00363DAD">
        <w:trPr>
          <w:trHeight w:val="90"/>
        </w:trPr>
        <w:tc>
          <w:tcPr>
            <w:tcW w:w="8641" w:type="dxa"/>
            <w:gridSpan w:val="4"/>
            <w:shd w:val="clear" w:color="auto" w:fill="auto"/>
            <w:vAlign w:val="center"/>
          </w:tcPr>
          <w:p w14:paraId="6EC6653F" w14:textId="77777777" w:rsidR="00340609" w:rsidRDefault="00340609" w:rsidP="00934B06">
            <w:pPr>
              <w:spacing w:after="0" w:line="240" w:lineRule="auto"/>
              <w:rPr>
                <w:rFonts w:ascii="Century Gothic" w:eastAsia="Times New Roman" w:hAnsi="Century Gothic"/>
                <w:color w:val="000000"/>
                <w:sz w:val="20"/>
                <w:szCs w:val="20"/>
                <w:lang w:eastAsia="es-MX"/>
              </w:rPr>
            </w:pPr>
          </w:p>
          <w:p w14:paraId="4C27126E" w14:textId="77777777" w:rsidR="00340609" w:rsidRPr="00621A36" w:rsidRDefault="00340609" w:rsidP="00934B06">
            <w:pPr>
              <w:spacing w:after="0" w:line="240" w:lineRule="auto"/>
              <w:rPr>
                <w:rFonts w:ascii="Century Gothic" w:eastAsia="Times New Roman" w:hAnsi="Century Gothic"/>
                <w:color w:val="000000"/>
                <w:sz w:val="20"/>
                <w:szCs w:val="20"/>
                <w:lang w:eastAsia="es-MX"/>
              </w:rPr>
            </w:pPr>
          </w:p>
        </w:tc>
      </w:tr>
      <w:tr w:rsidR="0075473C" w:rsidRPr="00DF5B3F" w14:paraId="1EA730C3" w14:textId="77777777" w:rsidTr="00E23C4C">
        <w:trPr>
          <w:trHeight w:val="90"/>
        </w:trPr>
        <w:tc>
          <w:tcPr>
            <w:tcW w:w="3331" w:type="dxa"/>
            <w:gridSpan w:val="3"/>
            <w:shd w:val="clear" w:color="auto" w:fill="auto"/>
            <w:vAlign w:val="center"/>
          </w:tcPr>
          <w:p w14:paraId="5F6B9886" w14:textId="03DFB897" w:rsidR="0075473C" w:rsidRPr="00340609"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 xml:space="preserve">Liste los documentos </w:t>
            </w:r>
            <w:proofErr w:type="gramStart"/>
            <w:r w:rsidRPr="0075473C">
              <w:rPr>
                <w:rFonts w:ascii="Century Gothic" w:eastAsia="Times New Roman" w:hAnsi="Century Gothic"/>
                <w:color w:val="000000"/>
                <w:sz w:val="20"/>
                <w:szCs w:val="20"/>
                <w:lang w:eastAsia="es-MX"/>
              </w:rPr>
              <w:t>asociados  a</w:t>
            </w:r>
            <w:proofErr w:type="gramEnd"/>
            <w:r w:rsidRPr="0075473C">
              <w:rPr>
                <w:rFonts w:ascii="Century Gothic" w:eastAsia="Times New Roman" w:hAnsi="Century Gothic"/>
                <w:color w:val="000000"/>
                <w:sz w:val="20"/>
                <w:szCs w:val="20"/>
                <w:lang w:eastAsia="es-MX"/>
              </w:rPr>
              <w:t xml:space="preserve">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3DC73774"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113D1A" w:rsidRPr="00DD2DD7" w14:paraId="434E4E2C" w14:textId="77777777" w:rsidTr="00C152A6">
        <w:trPr>
          <w:trHeight w:val="414"/>
        </w:trPr>
        <w:tc>
          <w:tcPr>
            <w:tcW w:w="8641" w:type="dxa"/>
            <w:gridSpan w:val="4"/>
            <w:shd w:val="clear" w:color="auto" w:fill="FFFFFF"/>
            <w:vAlign w:val="center"/>
          </w:tcPr>
          <w:p w14:paraId="08BD2EE3" w14:textId="414B2FDC" w:rsidR="00113D1A" w:rsidRPr="00DD6FE2" w:rsidRDefault="00113D1A" w:rsidP="00DD6FE2">
            <w:pPr>
              <w:jc w:val="both"/>
              <w:rPr>
                <w:rFonts w:ascii="Century Gothic" w:eastAsia="Times New Roman" w:hAnsi="Century Gothic"/>
                <w:b/>
                <w:color w:val="000000"/>
                <w:sz w:val="20"/>
                <w:szCs w:val="20"/>
                <w:lang w:eastAsia="es-MX"/>
              </w:rPr>
            </w:pPr>
            <w:r w:rsidRPr="00DD6FE2">
              <w:rPr>
                <w:rFonts w:ascii="Century Gothic" w:eastAsia="Times New Roman" w:hAnsi="Century Gothic"/>
                <w:b/>
                <w:color w:val="000000"/>
                <w:sz w:val="20"/>
                <w:szCs w:val="20"/>
                <w:lang w:eastAsia="es-MX"/>
              </w:rPr>
              <w:t xml:space="preserve">En caso de contar con una propuesta específica sobre alguna de las medidas relacionadas con </w:t>
            </w:r>
            <w:r>
              <w:rPr>
                <w:rFonts w:ascii="Century Gothic" w:eastAsia="Times New Roman" w:hAnsi="Century Gothic"/>
                <w:b/>
                <w:color w:val="000000"/>
                <w:sz w:val="20"/>
                <w:szCs w:val="20"/>
                <w:lang w:eastAsia="es-MX"/>
              </w:rPr>
              <w:t>Compartición de Infraestructura</w:t>
            </w:r>
            <w:r w:rsidR="004168B0">
              <w:rPr>
                <w:rFonts w:ascii="Century Gothic" w:eastAsia="Times New Roman" w:hAnsi="Century Gothic"/>
                <w:b/>
                <w:color w:val="000000"/>
                <w:sz w:val="20"/>
                <w:szCs w:val="20"/>
                <w:lang w:eastAsia="es-MX"/>
              </w:rPr>
              <w:t>, deberá indicarla</w:t>
            </w:r>
            <w:r w:rsidR="00475B92">
              <w:rPr>
                <w:rFonts w:ascii="Century Gothic" w:eastAsia="Times New Roman" w:hAnsi="Century Gothic"/>
                <w:b/>
                <w:color w:val="000000"/>
                <w:sz w:val="20"/>
                <w:szCs w:val="20"/>
                <w:lang w:eastAsia="es-MX"/>
              </w:rPr>
              <w:t>.</w:t>
            </w:r>
          </w:p>
          <w:p w14:paraId="5CBC6A7E" w14:textId="77777777" w:rsidR="00113D1A" w:rsidRPr="00DD6FE2" w:rsidRDefault="00113D1A" w:rsidP="00DD6FE2">
            <w:pPr>
              <w:jc w:val="both"/>
              <w:rPr>
                <w:rFonts w:ascii="Century Gothic" w:eastAsia="Times New Roman" w:hAnsi="Century Gothic"/>
                <w:color w:val="000000"/>
                <w:sz w:val="20"/>
                <w:szCs w:val="20"/>
                <w:lang w:eastAsia="es-MX"/>
              </w:rPr>
            </w:pPr>
            <w:r w:rsidRPr="00DD6FE2">
              <w:rPr>
                <w:rFonts w:ascii="Century Gothic" w:eastAsia="Times New Roman" w:hAnsi="Century Gothic"/>
                <w:color w:val="000000"/>
                <w:sz w:val="16"/>
                <w:szCs w:val="20"/>
                <w:lang w:eastAsia="es-MX"/>
              </w:rPr>
              <w:t>Nota:  a efecto de realizar una valoración adecuada, cualquier propuesta deberá estar sustentada en lo manifestado en las respuestas a las preguntas previas.</w:t>
            </w:r>
          </w:p>
        </w:tc>
      </w:tr>
      <w:tr w:rsidR="00113D1A" w14:paraId="441F547A" w14:textId="77777777" w:rsidTr="00C152A6">
        <w:trPr>
          <w:trHeight w:val="414"/>
        </w:trPr>
        <w:tc>
          <w:tcPr>
            <w:tcW w:w="3047" w:type="dxa"/>
            <w:gridSpan w:val="2"/>
            <w:shd w:val="clear" w:color="auto" w:fill="FFFFFF"/>
          </w:tcPr>
          <w:p w14:paraId="2E19C521" w14:textId="77777777" w:rsidR="00113D1A" w:rsidRPr="00DD6FE2" w:rsidRDefault="00113D1A" w:rsidP="00113D1A">
            <w:pPr>
              <w:jc w:val="center"/>
              <w:rPr>
                <w:rFonts w:ascii="Century Gothic" w:eastAsia="Times New Roman" w:hAnsi="Century Gothic"/>
                <w:color w:val="7F7F7F" w:themeColor="text1" w:themeTint="80"/>
                <w:sz w:val="20"/>
                <w:szCs w:val="20"/>
                <w:lang w:eastAsia="es-MX"/>
              </w:rPr>
            </w:pPr>
            <w:r w:rsidRPr="00DD6FE2">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tcPr>
          <w:p w14:paraId="2DAC3FFB" w14:textId="77777777" w:rsidR="00113D1A" w:rsidRPr="00DD6FE2" w:rsidRDefault="00113D1A" w:rsidP="00113D1A">
            <w:pPr>
              <w:jc w:val="center"/>
              <w:rPr>
                <w:rFonts w:ascii="Century Gothic" w:eastAsia="Times New Roman" w:hAnsi="Century Gothic"/>
                <w:color w:val="7F7F7F" w:themeColor="text1" w:themeTint="80"/>
                <w:sz w:val="20"/>
                <w:szCs w:val="20"/>
                <w:lang w:eastAsia="es-MX"/>
              </w:rPr>
            </w:pPr>
            <w:r w:rsidRPr="00DD6FE2">
              <w:rPr>
                <w:rFonts w:ascii="Century Gothic" w:eastAsia="Times New Roman" w:hAnsi="Century Gothic"/>
                <w:color w:val="7F7F7F" w:themeColor="text1" w:themeTint="80"/>
                <w:sz w:val="20"/>
                <w:szCs w:val="20"/>
                <w:lang w:eastAsia="es-MX"/>
              </w:rPr>
              <w:t>[Señale la propuesta]</w:t>
            </w:r>
          </w:p>
        </w:tc>
      </w:tr>
      <w:tr w:rsidR="00113D1A" w14:paraId="30017EB7" w14:textId="77777777" w:rsidTr="00C152A6">
        <w:trPr>
          <w:trHeight w:val="414"/>
        </w:trPr>
        <w:tc>
          <w:tcPr>
            <w:tcW w:w="3047" w:type="dxa"/>
            <w:gridSpan w:val="2"/>
            <w:shd w:val="clear" w:color="auto" w:fill="FFFFFF"/>
            <w:vAlign w:val="center"/>
          </w:tcPr>
          <w:p w14:paraId="00F8B36D" w14:textId="77777777" w:rsidR="00113D1A" w:rsidRPr="00DD6FE2" w:rsidRDefault="00113D1A" w:rsidP="00113D1A">
            <w:pPr>
              <w:jc w:val="center"/>
              <w:rPr>
                <w:rFonts w:ascii="Century Gothic" w:eastAsia="Times New Roman" w:hAnsi="Century Gothic"/>
                <w:color w:val="7F7F7F" w:themeColor="text1" w:themeTint="80"/>
                <w:sz w:val="20"/>
                <w:szCs w:val="20"/>
                <w:lang w:eastAsia="es-MX"/>
              </w:rPr>
            </w:pPr>
            <w:r w:rsidRPr="00DD6FE2">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vAlign w:val="center"/>
          </w:tcPr>
          <w:p w14:paraId="60080DAD" w14:textId="77777777" w:rsidR="00113D1A" w:rsidRPr="00DD6FE2" w:rsidRDefault="00113D1A" w:rsidP="00113D1A">
            <w:pPr>
              <w:jc w:val="center"/>
              <w:rPr>
                <w:rFonts w:ascii="Century Gothic" w:eastAsia="Times New Roman" w:hAnsi="Century Gothic"/>
                <w:color w:val="7F7F7F" w:themeColor="text1" w:themeTint="80"/>
                <w:sz w:val="20"/>
                <w:szCs w:val="20"/>
                <w:lang w:eastAsia="es-MX"/>
              </w:rPr>
            </w:pPr>
            <w:r w:rsidRPr="00DD6FE2">
              <w:rPr>
                <w:rFonts w:ascii="Century Gothic" w:eastAsia="Times New Roman" w:hAnsi="Century Gothic"/>
                <w:color w:val="7F7F7F" w:themeColor="text1" w:themeTint="80"/>
                <w:sz w:val="20"/>
                <w:szCs w:val="20"/>
                <w:lang w:eastAsia="es-MX"/>
              </w:rPr>
              <w:t>[Señale la propuesta]</w:t>
            </w:r>
          </w:p>
        </w:tc>
      </w:tr>
      <w:tr w:rsidR="00340609" w:rsidRPr="00DF5B3F" w14:paraId="520A1461" w14:textId="77777777" w:rsidTr="00D42C6E">
        <w:trPr>
          <w:trHeight w:val="290"/>
        </w:trPr>
        <w:tc>
          <w:tcPr>
            <w:tcW w:w="1771" w:type="dxa"/>
            <w:shd w:val="clear" w:color="auto" w:fill="C5E0B3"/>
            <w:vAlign w:val="center"/>
          </w:tcPr>
          <w:p w14:paraId="0F067798" w14:textId="77777777" w:rsidR="00340609" w:rsidRDefault="00340609" w:rsidP="00340609">
            <w:pPr>
              <w:spacing w:after="0" w:line="276" w:lineRule="auto"/>
              <w:jc w:val="center"/>
              <w:rPr>
                <w:rFonts w:ascii="Century Gothic" w:eastAsia="Times New Roman" w:hAnsi="Century Gothic"/>
                <w:b/>
                <w:color w:val="000000"/>
                <w:sz w:val="20"/>
                <w:lang w:eastAsia="es-MX"/>
              </w:rPr>
            </w:pPr>
            <w:r w:rsidRPr="00D26916">
              <w:rPr>
                <w:rFonts w:ascii="Century Gothic" w:eastAsia="Times New Roman" w:hAnsi="Century Gothic"/>
                <w:b/>
                <w:color w:val="000000"/>
                <w:sz w:val="20"/>
                <w:lang w:eastAsia="es-MX"/>
              </w:rPr>
              <w:t xml:space="preserve">Medidas </w:t>
            </w:r>
            <w:r>
              <w:rPr>
                <w:rFonts w:ascii="Century Gothic" w:eastAsia="Times New Roman" w:hAnsi="Century Gothic"/>
                <w:b/>
                <w:color w:val="000000"/>
                <w:sz w:val="20"/>
                <w:lang w:eastAsia="es-MX"/>
              </w:rPr>
              <w:t>Décima Octava a Vigésima.</w:t>
            </w:r>
          </w:p>
          <w:p w14:paraId="0626B207" w14:textId="77777777" w:rsidR="00340609" w:rsidRPr="00D26916" w:rsidRDefault="00340609" w:rsidP="00340609">
            <w:pPr>
              <w:spacing w:after="0" w:line="276" w:lineRule="auto"/>
              <w:jc w:val="center"/>
              <w:rPr>
                <w:rFonts w:ascii="Century Gothic" w:eastAsia="Times New Roman" w:hAnsi="Century Gothic"/>
                <w:b/>
                <w:color w:val="000000"/>
                <w:sz w:val="20"/>
                <w:lang w:eastAsia="es-MX"/>
              </w:rPr>
            </w:pPr>
            <w:r>
              <w:rPr>
                <w:rFonts w:ascii="Century Gothic" w:eastAsia="Times New Roman" w:hAnsi="Century Gothic"/>
                <w:b/>
                <w:color w:val="000000"/>
                <w:sz w:val="20"/>
                <w:lang w:eastAsia="es-MX"/>
              </w:rPr>
              <w:t>R</w:t>
            </w:r>
            <w:r w:rsidRPr="00D26916">
              <w:rPr>
                <w:rFonts w:ascii="Century Gothic" w:eastAsia="Times New Roman" w:hAnsi="Century Gothic"/>
                <w:b/>
                <w:color w:val="000000"/>
                <w:sz w:val="20"/>
                <w:lang w:eastAsia="es-MX"/>
              </w:rPr>
              <w:t>eferentes a l</w:t>
            </w:r>
            <w:r>
              <w:rPr>
                <w:rFonts w:ascii="Century Gothic" w:eastAsia="Times New Roman" w:hAnsi="Century Gothic"/>
                <w:b/>
                <w:color w:val="000000"/>
                <w:sz w:val="20"/>
                <w:lang w:eastAsia="es-MX"/>
              </w:rPr>
              <w:t xml:space="preserve">os </w:t>
            </w:r>
            <w:r w:rsidRPr="00566139">
              <w:rPr>
                <w:rFonts w:ascii="Century Gothic" w:eastAsia="Times New Roman" w:hAnsi="Century Gothic"/>
                <w:b/>
                <w:color w:val="000000"/>
                <w:sz w:val="20"/>
                <w:u w:val="single"/>
                <w:lang w:eastAsia="es-MX"/>
              </w:rPr>
              <w:t>Contenidos</w:t>
            </w:r>
          </w:p>
        </w:tc>
        <w:tc>
          <w:tcPr>
            <w:tcW w:w="6870" w:type="dxa"/>
            <w:gridSpan w:val="3"/>
            <w:shd w:val="clear" w:color="auto" w:fill="C5E0B3"/>
            <w:vAlign w:val="center"/>
          </w:tcPr>
          <w:p w14:paraId="158865AD" w14:textId="77777777" w:rsidR="00340609" w:rsidRPr="00DF67B4" w:rsidRDefault="00340609" w:rsidP="00340609">
            <w:pPr>
              <w:spacing w:before="240" w:after="0" w:line="276" w:lineRule="auto"/>
              <w:jc w:val="both"/>
              <w:rPr>
                <w:rFonts w:ascii="Century Gothic" w:eastAsia="Times New Roman" w:hAnsi="Century Gothic"/>
                <w:b/>
                <w:color w:val="000000"/>
                <w:sz w:val="20"/>
                <w:lang w:eastAsia="es-MX"/>
              </w:rPr>
            </w:pPr>
            <w:r w:rsidRPr="00DF67B4">
              <w:rPr>
                <w:rFonts w:ascii="Century Gothic" w:eastAsia="Times New Roman" w:hAnsi="Century Gothic"/>
                <w:b/>
                <w:color w:val="000000"/>
                <w:sz w:val="20"/>
                <w:lang w:eastAsia="es-MX"/>
              </w:rPr>
              <w:t>Objetivos</w:t>
            </w:r>
            <w:r>
              <w:rPr>
                <w:rFonts w:ascii="Century Gothic" w:eastAsia="Times New Roman" w:hAnsi="Century Gothic"/>
                <w:b/>
                <w:color w:val="000000"/>
                <w:sz w:val="20"/>
                <w:lang w:eastAsia="es-MX"/>
              </w:rPr>
              <w:t xml:space="preserve"> de las medidas</w:t>
            </w:r>
            <w:r w:rsidRPr="00DF67B4">
              <w:rPr>
                <w:rFonts w:ascii="Century Gothic" w:eastAsia="Times New Roman" w:hAnsi="Century Gothic"/>
                <w:b/>
                <w:color w:val="000000"/>
                <w:sz w:val="20"/>
                <w:lang w:eastAsia="es-MX"/>
              </w:rPr>
              <w:t xml:space="preserve">: </w:t>
            </w:r>
          </w:p>
          <w:p w14:paraId="2CB15AFE" w14:textId="6C3D4F32" w:rsidR="00340609" w:rsidRPr="001F346E" w:rsidRDefault="00340609" w:rsidP="00340609">
            <w:pPr>
              <w:numPr>
                <w:ilvl w:val="0"/>
                <w:numId w:val="12"/>
              </w:numPr>
              <w:spacing w:after="0" w:line="276" w:lineRule="auto"/>
              <w:jc w:val="both"/>
              <w:rPr>
                <w:rFonts w:ascii="Century Gothic" w:eastAsia="Times New Roman" w:hAnsi="Century Gothic"/>
                <w:color w:val="000000"/>
                <w:sz w:val="20"/>
                <w:lang w:eastAsia="es-MX"/>
              </w:rPr>
            </w:pPr>
            <w:r w:rsidRPr="001F346E">
              <w:rPr>
                <w:rFonts w:ascii="Century Gothic" w:eastAsia="Times New Roman" w:hAnsi="Century Gothic"/>
                <w:color w:val="000000"/>
                <w:sz w:val="20"/>
                <w:lang w:eastAsia="es-MX"/>
              </w:rPr>
              <w:t>Impedir que el AEP</w:t>
            </w:r>
            <w:r>
              <w:rPr>
                <w:rFonts w:ascii="Century Gothic" w:eastAsia="Times New Roman" w:hAnsi="Century Gothic"/>
                <w:color w:val="000000"/>
                <w:sz w:val="20"/>
                <w:lang w:eastAsia="es-MX"/>
              </w:rPr>
              <w:t>R</w:t>
            </w:r>
            <w:r w:rsidRPr="001F346E">
              <w:rPr>
                <w:rFonts w:ascii="Century Gothic" w:eastAsia="Times New Roman" w:hAnsi="Century Gothic"/>
                <w:color w:val="000000"/>
                <w:sz w:val="20"/>
                <w:lang w:eastAsia="es-MX"/>
              </w:rPr>
              <w:t xml:space="preserve"> adquiera de forma exclusiva, contenidos audiovisuales de alta popularidad</w:t>
            </w:r>
            <w:r w:rsidR="00A62DBE">
              <w:rPr>
                <w:rFonts w:ascii="Century Gothic" w:eastAsia="Times New Roman" w:hAnsi="Century Gothic"/>
                <w:color w:val="000000"/>
                <w:sz w:val="20"/>
                <w:lang w:eastAsia="es-MX"/>
              </w:rPr>
              <w:t xml:space="preserve"> para las audiencias</w:t>
            </w:r>
            <w:r w:rsidRPr="001F346E">
              <w:rPr>
                <w:rFonts w:ascii="Century Gothic" w:eastAsia="Times New Roman" w:hAnsi="Century Gothic"/>
                <w:color w:val="000000"/>
                <w:sz w:val="20"/>
                <w:lang w:eastAsia="es-MX"/>
              </w:rPr>
              <w:t xml:space="preserve"> o realice cualquier otra conducta con efectos similares.</w:t>
            </w:r>
          </w:p>
          <w:p w14:paraId="2AFC7E25" w14:textId="32F578CB" w:rsidR="00340609" w:rsidRPr="001F346E" w:rsidRDefault="00340609" w:rsidP="00340609">
            <w:pPr>
              <w:numPr>
                <w:ilvl w:val="0"/>
                <w:numId w:val="12"/>
              </w:numPr>
              <w:spacing w:after="0" w:line="276" w:lineRule="auto"/>
              <w:jc w:val="both"/>
              <w:rPr>
                <w:rFonts w:ascii="Century Gothic" w:eastAsia="Times New Roman" w:hAnsi="Century Gothic"/>
                <w:color w:val="000000"/>
                <w:sz w:val="20"/>
                <w:lang w:eastAsia="es-MX"/>
              </w:rPr>
            </w:pPr>
            <w:r w:rsidRPr="001F346E">
              <w:rPr>
                <w:rFonts w:ascii="Century Gothic" w:eastAsia="Times New Roman" w:hAnsi="Century Gothic"/>
                <w:color w:val="000000"/>
                <w:sz w:val="20"/>
                <w:lang w:eastAsia="es-MX"/>
              </w:rPr>
              <w:t>Evitar que el AEP</w:t>
            </w:r>
            <w:r>
              <w:rPr>
                <w:rFonts w:ascii="Century Gothic" w:eastAsia="Times New Roman" w:hAnsi="Century Gothic"/>
                <w:color w:val="000000"/>
                <w:sz w:val="20"/>
                <w:lang w:eastAsia="es-MX"/>
              </w:rPr>
              <w:t>R</w:t>
            </w:r>
            <w:r w:rsidRPr="001F346E">
              <w:rPr>
                <w:rFonts w:ascii="Century Gothic" w:eastAsia="Times New Roman" w:hAnsi="Century Gothic"/>
                <w:color w:val="000000"/>
                <w:sz w:val="20"/>
                <w:lang w:eastAsia="es-MX"/>
              </w:rPr>
              <w:t xml:space="preserve"> ofrezca canales de programación de forma discriminatoria </w:t>
            </w:r>
            <w:r w:rsidR="00504BCE">
              <w:rPr>
                <w:rFonts w:ascii="Century Gothic" w:eastAsia="Times New Roman" w:hAnsi="Century Gothic"/>
                <w:color w:val="000000"/>
                <w:sz w:val="20"/>
                <w:lang w:eastAsia="es-MX"/>
              </w:rPr>
              <w:t>p</w:t>
            </w:r>
            <w:r w:rsidRPr="001F346E">
              <w:rPr>
                <w:rFonts w:ascii="Century Gothic" w:eastAsia="Times New Roman" w:hAnsi="Century Gothic"/>
                <w:color w:val="000000"/>
                <w:sz w:val="20"/>
                <w:lang w:eastAsia="es-MX"/>
              </w:rPr>
              <w:t>a</w:t>
            </w:r>
            <w:r w:rsidR="00504BCE">
              <w:rPr>
                <w:rFonts w:ascii="Century Gothic" w:eastAsia="Times New Roman" w:hAnsi="Century Gothic"/>
                <w:color w:val="000000"/>
                <w:sz w:val="20"/>
                <w:lang w:eastAsia="es-MX"/>
              </w:rPr>
              <w:t>ra su transmisión</w:t>
            </w:r>
            <w:r w:rsidRPr="001F346E">
              <w:rPr>
                <w:rFonts w:ascii="Century Gothic" w:eastAsia="Times New Roman" w:hAnsi="Century Gothic"/>
                <w:color w:val="000000"/>
                <w:sz w:val="20"/>
                <w:lang w:eastAsia="es-MX"/>
              </w:rPr>
              <w:t xml:space="preserve"> </w:t>
            </w:r>
            <w:r w:rsidR="00475B92">
              <w:rPr>
                <w:rFonts w:ascii="Century Gothic" w:eastAsia="Times New Roman" w:hAnsi="Century Gothic"/>
                <w:color w:val="000000"/>
                <w:sz w:val="20"/>
                <w:lang w:eastAsia="es-MX"/>
              </w:rPr>
              <w:t xml:space="preserve">en </w:t>
            </w:r>
            <w:r w:rsidRPr="001F346E">
              <w:rPr>
                <w:rFonts w:ascii="Century Gothic" w:eastAsia="Times New Roman" w:hAnsi="Century Gothic"/>
                <w:color w:val="000000"/>
                <w:sz w:val="20"/>
                <w:lang w:eastAsia="es-MX"/>
              </w:rPr>
              <w:t>plataformas tecnológicas distintas a la de televisión concesionada radiodifundida.</w:t>
            </w:r>
          </w:p>
          <w:p w14:paraId="338009F0" w14:textId="77777777" w:rsidR="00340609" w:rsidRPr="001F346E" w:rsidRDefault="00340609" w:rsidP="00340609">
            <w:pPr>
              <w:numPr>
                <w:ilvl w:val="0"/>
                <w:numId w:val="12"/>
              </w:numPr>
              <w:spacing w:line="276" w:lineRule="auto"/>
              <w:jc w:val="both"/>
              <w:rPr>
                <w:rFonts w:ascii="Century Gothic" w:eastAsia="Times New Roman" w:hAnsi="Century Gothic"/>
                <w:color w:val="000000"/>
                <w:sz w:val="20"/>
                <w:lang w:eastAsia="es-MX"/>
              </w:rPr>
            </w:pPr>
            <w:r w:rsidRPr="001F346E">
              <w:rPr>
                <w:rFonts w:ascii="Century Gothic" w:eastAsia="Times New Roman" w:hAnsi="Century Gothic"/>
                <w:color w:val="000000"/>
                <w:sz w:val="20"/>
                <w:lang w:eastAsia="es-MX"/>
              </w:rPr>
              <w:t>Evitar que los beneficios de participar en clubes de compra de contenidos audiovisuales sean utilizados por el AEP</w:t>
            </w:r>
            <w:r w:rsidR="00B8128B">
              <w:rPr>
                <w:rFonts w:ascii="Century Gothic" w:eastAsia="Times New Roman" w:hAnsi="Century Gothic"/>
                <w:color w:val="000000"/>
                <w:sz w:val="20"/>
                <w:lang w:eastAsia="es-MX"/>
              </w:rPr>
              <w:t>R</w:t>
            </w:r>
            <w:r w:rsidRPr="001F346E">
              <w:rPr>
                <w:rFonts w:ascii="Century Gothic" w:eastAsia="Times New Roman" w:hAnsi="Century Gothic"/>
                <w:color w:val="000000"/>
                <w:sz w:val="20"/>
                <w:lang w:eastAsia="es-MX"/>
              </w:rPr>
              <w:t xml:space="preserve"> con propósitos anticompetitivos.</w:t>
            </w:r>
          </w:p>
        </w:tc>
      </w:tr>
      <w:tr w:rsidR="00340609" w:rsidRPr="00DF5B3F" w14:paraId="04CB3D48" w14:textId="77777777" w:rsidTr="00B350F8">
        <w:trPr>
          <w:trHeight w:val="290"/>
        </w:trPr>
        <w:tc>
          <w:tcPr>
            <w:tcW w:w="8641" w:type="dxa"/>
            <w:gridSpan w:val="4"/>
            <w:shd w:val="clear" w:color="auto" w:fill="auto"/>
          </w:tcPr>
          <w:p w14:paraId="04074D9B" w14:textId="77777777"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Contexto:</w:t>
            </w:r>
          </w:p>
          <w:p w14:paraId="11013A64" w14:textId="431D779C" w:rsidR="00BF0BDB" w:rsidRPr="00BF0BDB" w:rsidRDefault="00BF0BDB" w:rsidP="000E5F80">
            <w:pPr>
              <w:spacing w:after="120" w:line="276" w:lineRule="auto"/>
              <w:jc w:val="both"/>
              <w:rPr>
                <w:rFonts w:ascii="Century Gothic" w:eastAsia="Times New Roman" w:hAnsi="Century Gothic"/>
                <w:color w:val="000000"/>
                <w:sz w:val="20"/>
                <w:lang w:eastAsia="es-MX"/>
              </w:rPr>
            </w:pPr>
            <w:r w:rsidRPr="00BF0BDB">
              <w:rPr>
                <w:rFonts w:ascii="Century Gothic" w:eastAsia="Times New Roman" w:hAnsi="Century Gothic"/>
                <w:color w:val="000000"/>
                <w:sz w:val="20"/>
                <w:lang w:eastAsia="es-MX"/>
              </w:rPr>
              <w:t xml:space="preserve">El posicionamiento del </w:t>
            </w:r>
            <w:r w:rsidR="0038118B">
              <w:rPr>
                <w:rFonts w:ascii="Century Gothic" w:eastAsia="Times New Roman" w:hAnsi="Century Gothic"/>
                <w:color w:val="000000"/>
                <w:sz w:val="20"/>
                <w:lang w:eastAsia="es-MX"/>
              </w:rPr>
              <w:t>AEPR</w:t>
            </w:r>
            <w:r w:rsidRPr="00BF0BDB">
              <w:rPr>
                <w:rFonts w:ascii="Century Gothic" w:eastAsia="Times New Roman" w:hAnsi="Century Gothic"/>
                <w:color w:val="000000"/>
                <w:sz w:val="20"/>
                <w:lang w:eastAsia="es-MX"/>
              </w:rPr>
              <w:t xml:space="preserve"> </w:t>
            </w:r>
            <w:r w:rsidR="00A128B7">
              <w:rPr>
                <w:rFonts w:ascii="Century Gothic" w:eastAsia="Times New Roman" w:hAnsi="Century Gothic"/>
                <w:color w:val="000000"/>
                <w:sz w:val="20"/>
                <w:lang w:eastAsia="es-MX"/>
              </w:rPr>
              <w:t>en el sector</w:t>
            </w:r>
            <w:r w:rsidR="00CE7CEC">
              <w:rPr>
                <w:rFonts w:ascii="Century Gothic" w:eastAsia="Times New Roman" w:hAnsi="Century Gothic"/>
                <w:color w:val="000000"/>
                <w:sz w:val="20"/>
                <w:lang w:eastAsia="es-MX"/>
              </w:rPr>
              <w:t xml:space="preserve">, </w:t>
            </w:r>
            <w:r w:rsidRPr="00BF0BDB">
              <w:rPr>
                <w:rFonts w:ascii="Century Gothic" w:eastAsia="Times New Roman" w:hAnsi="Century Gothic"/>
                <w:color w:val="000000"/>
                <w:sz w:val="20"/>
                <w:lang w:eastAsia="es-MX"/>
              </w:rPr>
              <w:t xml:space="preserve">le puede dar la capacidad e incentivos para controlar </w:t>
            </w:r>
            <w:r w:rsidR="00DB21CB">
              <w:rPr>
                <w:rFonts w:ascii="Century Gothic" w:eastAsia="Times New Roman" w:hAnsi="Century Gothic"/>
                <w:color w:val="000000"/>
                <w:sz w:val="20"/>
                <w:lang w:eastAsia="es-MX"/>
              </w:rPr>
              <w:t>C</w:t>
            </w:r>
            <w:r w:rsidRPr="00BF0BDB">
              <w:rPr>
                <w:rFonts w:ascii="Century Gothic" w:eastAsia="Times New Roman" w:hAnsi="Century Gothic"/>
                <w:color w:val="000000"/>
                <w:sz w:val="20"/>
                <w:lang w:eastAsia="es-MX"/>
              </w:rPr>
              <w:t xml:space="preserve">ontenidos </w:t>
            </w:r>
            <w:r w:rsidR="00DB21CB">
              <w:rPr>
                <w:rFonts w:ascii="Century Gothic" w:eastAsia="Times New Roman" w:hAnsi="Century Gothic"/>
                <w:color w:val="000000"/>
                <w:sz w:val="20"/>
                <w:lang w:eastAsia="es-MX"/>
              </w:rPr>
              <w:t>A</w:t>
            </w:r>
            <w:r w:rsidRPr="00BF0BDB">
              <w:rPr>
                <w:rFonts w:ascii="Century Gothic" w:eastAsia="Times New Roman" w:hAnsi="Century Gothic"/>
                <w:color w:val="000000"/>
                <w:sz w:val="20"/>
                <w:lang w:eastAsia="es-MX"/>
              </w:rPr>
              <w:t xml:space="preserve">udiovisuales </w:t>
            </w:r>
            <w:r w:rsidR="00DB21CB">
              <w:rPr>
                <w:rFonts w:ascii="Century Gothic" w:eastAsia="Times New Roman" w:hAnsi="Century Gothic"/>
                <w:color w:val="000000"/>
                <w:sz w:val="20"/>
                <w:lang w:eastAsia="es-MX"/>
              </w:rPr>
              <w:t>R</w:t>
            </w:r>
            <w:r w:rsidRPr="00BF0BDB">
              <w:rPr>
                <w:rFonts w:ascii="Century Gothic" w:eastAsia="Times New Roman" w:hAnsi="Century Gothic"/>
                <w:color w:val="000000"/>
                <w:sz w:val="20"/>
                <w:lang w:eastAsia="es-MX"/>
              </w:rPr>
              <w:t>elevantes</w:t>
            </w:r>
            <w:r w:rsidR="00DB21CB">
              <w:rPr>
                <w:rFonts w:ascii="Century Gothic" w:eastAsia="Times New Roman" w:hAnsi="Century Gothic"/>
                <w:color w:val="000000"/>
                <w:sz w:val="20"/>
                <w:lang w:eastAsia="es-MX"/>
              </w:rPr>
              <w:t xml:space="preserve"> (en lo sucesivo, “CAR”)</w:t>
            </w:r>
            <w:r w:rsidRPr="00BF0BDB">
              <w:rPr>
                <w:rFonts w:ascii="Century Gothic" w:eastAsia="Times New Roman" w:hAnsi="Century Gothic"/>
                <w:color w:val="000000"/>
                <w:sz w:val="20"/>
                <w:lang w:eastAsia="es-MX"/>
              </w:rPr>
              <w:t xml:space="preserve"> y canales de programación,</w:t>
            </w:r>
            <w:r w:rsidR="0038118B">
              <w:rPr>
                <w:rFonts w:ascii="Century Gothic" w:eastAsia="Times New Roman" w:hAnsi="Century Gothic"/>
                <w:color w:val="000000"/>
                <w:sz w:val="20"/>
                <w:lang w:eastAsia="es-MX"/>
              </w:rPr>
              <w:t xml:space="preserve"> los cuales pueden representar recursos no fácilmente replicables,</w:t>
            </w:r>
            <w:r w:rsidRPr="00BF0BDB">
              <w:rPr>
                <w:rFonts w:ascii="Century Gothic" w:eastAsia="Times New Roman" w:hAnsi="Century Gothic"/>
                <w:color w:val="000000"/>
                <w:sz w:val="20"/>
                <w:lang w:eastAsia="es-MX"/>
              </w:rPr>
              <w:t xml:space="preserve"> y utilizar dicho control para restringir la entrada o crecimiento de competidores en la transmisión de señales de televisión radiodifundidas. </w:t>
            </w:r>
            <w:r w:rsidR="0038118B">
              <w:rPr>
                <w:rFonts w:ascii="Century Gothic" w:eastAsia="Times New Roman" w:hAnsi="Century Gothic"/>
                <w:color w:val="000000"/>
                <w:sz w:val="20"/>
                <w:lang w:eastAsia="es-MX"/>
              </w:rPr>
              <w:t xml:space="preserve">Asimismo, es </w:t>
            </w:r>
            <w:r w:rsidRPr="00BF0BDB">
              <w:rPr>
                <w:rFonts w:ascii="Century Gothic" w:eastAsia="Times New Roman" w:hAnsi="Century Gothic"/>
                <w:color w:val="000000"/>
                <w:sz w:val="20"/>
                <w:lang w:eastAsia="es-MX"/>
              </w:rPr>
              <w:t xml:space="preserve">posible que dicho agente busque participar o permanecer en algún club de compra para mejorar los términos y condiciones de la adquisición de derechos de transmisión de contenidos </w:t>
            </w:r>
            <w:r w:rsidRPr="00BF0BDB">
              <w:rPr>
                <w:rFonts w:ascii="Century Gothic" w:eastAsia="Times New Roman" w:hAnsi="Century Gothic"/>
                <w:color w:val="000000"/>
                <w:sz w:val="20"/>
                <w:lang w:eastAsia="es-MX"/>
              </w:rPr>
              <w:lastRenderedPageBreak/>
              <w:t>audiovisuales propiedad de terceros, lo cual introduce el riesgo de que estas ventajas sean utilizadas en contra de competidores que no tienen acceso a los benefic</w:t>
            </w:r>
            <w:r w:rsidR="0038118B">
              <w:rPr>
                <w:rFonts w:ascii="Century Gothic" w:eastAsia="Times New Roman" w:hAnsi="Century Gothic"/>
                <w:color w:val="000000"/>
                <w:sz w:val="20"/>
                <w:lang w:eastAsia="es-MX"/>
              </w:rPr>
              <w:t>ios de estas compras conjuntas.</w:t>
            </w:r>
          </w:p>
          <w:p w14:paraId="32343A03" w14:textId="77777777"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Resumen de medidas impuestas:</w:t>
            </w:r>
          </w:p>
          <w:p w14:paraId="67BC9F0F" w14:textId="5F8362D0" w:rsidR="00340609" w:rsidRDefault="000E5F80" w:rsidP="000E5F80">
            <w:pPr>
              <w:spacing w:after="120"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E</w:t>
            </w:r>
            <w:r w:rsidR="00340609" w:rsidRPr="0085418D">
              <w:rPr>
                <w:rFonts w:ascii="Century Gothic" w:eastAsia="Times New Roman" w:hAnsi="Century Gothic"/>
                <w:color w:val="000000"/>
                <w:sz w:val="20"/>
                <w:lang w:eastAsia="es-MX"/>
              </w:rPr>
              <w:t>l I</w:t>
            </w:r>
            <w:r w:rsidR="00F475C7">
              <w:rPr>
                <w:rFonts w:ascii="Century Gothic" w:eastAsia="Times New Roman" w:hAnsi="Century Gothic"/>
                <w:color w:val="000000"/>
                <w:sz w:val="20"/>
                <w:lang w:eastAsia="es-MX"/>
              </w:rPr>
              <w:t>nstituto</w:t>
            </w:r>
            <w:r w:rsidR="00340609" w:rsidRPr="0085418D">
              <w:rPr>
                <w:rFonts w:ascii="Century Gothic" w:eastAsia="Times New Roman" w:hAnsi="Century Gothic"/>
                <w:color w:val="000000"/>
                <w:sz w:val="20"/>
                <w:lang w:eastAsia="es-MX"/>
              </w:rPr>
              <w:t xml:space="preserve"> impuso medidas al AEPR referentes a </w:t>
            </w:r>
            <w:r w:rsidR="00340609">
              <w:rPr>
                <w:rFonts w:ascii="Century Gothic" w:eastAsia="Times New Roman" w:hAnsi="Century Gothic"/>
                <w:color w:val="000000"/>
                <w:sz w:val="20"/>
                <w:lang w:eastAsia="es-MX"/>
              </w:rPr>
              <w:t xml:space="preserve">la restricción de adquirir derechos en exclusiva sobre </w:t>
            </w:r>
            <w:r w:rsidR="00DB21CB">
              <w:rPr>
                <w:rFonts w:ascii="Century Gothic" w:eastAsia="Times New Roman" w:hAnsi="Century Gothic"/>
                <w:color w:val="000000"/>
                <w:sz w:val="20"/>
                <w:lang w:eastAsia="es-MX"/>
              </w:rPr>
              <w:t>CAR</w:t>
            </w:r>
            <w:r w:rsidR="00340609">
              <w:rPr>
                <w:rFonts w:ascii="Century Gothic" w:eastAsia="Times New Roman" w:hAnsi="Century Gothic"/>
                <w:color w:val="000000"/>
                <w:sz w:val="20"/>
                <w:lang w:eastAsia="es-MX"/>
              </w:rPr>
              <w:t xml:space="preserve">, ofrecer canales de programación radiodifundidos en otras plataformas </w:t>
            </w:r>
            <w:r w:rsidR="00504BCE">
              <w:rPr>
                <w:rFonts w:ascii="Century Gothic" w:eastAsia="Times New Roman" w:hAnsi="Century Gothic"/>
                <w:color w:val="000000"/>
                <w:sz w:val="20"/>
                <w:lang w:eastAsia="es-MX"/>
              </w:rPr>
              <w:t xml:space="preserve">tecnológicas en los mismos términos que los ofrece a sus filiales, subsidiarias y terceros, </w:t>
            </w:r>
            <w:r w:rsidR="00340609">
              <w:rPr>
                <w:rFonts w:ascii="Century Gothic" w:eastAsia="Times New Roman" w:hAnsi="Century Gothic"/>
                <w:color w:val="000000"/>
                <w:sz w:val="20"/>
                <w:lang w:eastAsia="es-MX"/>
              </w:rPr>
              <w:t>y participar en clubes de compra</w:t>
            </w:r>
            <w:r w:rsidR="00BF0BDB">
              <w:rPr>
                <w:rFonts w:ascii="Century Gothic" w:eastAsia="Times New Roman" w:hAnsi="Century Gothic"/>
                <w:color w:val="000000"/>
                <w:sz w:val="20"/>
                <w:lang w:eastAsia="es-MX"/>
              </w:rPr>
              <w:t xml:space="preserve"> únicamente</w:t>
            </w:r>
            <w:r w:rsidR="00340609">
              <w:rPr>
                <w:rFonts w:ascii="Century Gothic" w:eastAsia="Times New Roman" w:hAnsi="Century Gothic"/>
                <w:color w:val="000000"/>
                <w:sz w:val="20"/>
                <w:lang w:eastAsia="es-MX"/>
              </w:rPr>
              <w:t xml:space="preserve"> previa autorización del I</w:t>
            </w:r>
            <w:r w:rsidR="00F475C7">
              <w:rPr>
                <w:rFonts w:ascii="Century Gothic" w:eastAsia="Times New Roman" w:hAnsi="Century Gothic"/>
                <w:color w:val="000000"/>
                <w:sz w:val="20"/>
                <w:lang w:eastAsia="es-MX"/>
              </w:rPr>
              <w:t>nstituto</w:t>
            </w:r>
            <w:r w:rsidR="00340609">
              <w:rPr>
                <w:rFonts w:ascii="Century Gothic" w:eastAsia="Times New Roman" w:hAnsi="Century Gothic"/>
                <w:color w:val="000000"/>
                <w:sz w:val="20"/>
                <w:lang w:eastAsia="es-MX"/>
              </w:rPr>
              <w:t>.</w:t>
            </w:r>
          </w:p>
          <w:p w14:paraId="4A2EE9C6" w14:textId="059E101A" w:rsidR="00340609" w:rsidRPr="0085418D" w:rsidRDefault="00340609" w:rsidP="00340609">
            <w:pPr>
              <w:spacing w:after="120" w:line="276" w:lineRule="auto"/>
              <w:jc w:val="both"/>
              <w:rPr>
                <w:rFonts w:ascii="Century Gothic" w:eastAsia="Times New Roman" w:hAnsi="Century Gothic"/>
                <w:color w:val="000000"/>
                <w:sz w:val="20"/>
              </w:rPr>
            </w:pPr>
            <w:r>
              <w:rPr>
                <w:rFonts w:ascii="Century Gothic" w:eastAsia="Times New Roman" w:hAnsi="Century Gothic"/>
                <w:color w:val="000000"/>
                <w:sz w:val="20"/>
                <w:lang w:eastAsia="es-MX"/>
              </w:rPr>
              <w:t>A través de la Resolución Bienal</w:t>
            </w:r>
            <w:r w:rsidR="00B8128B">
              <w:rPr>
                <w:rFonts w:ascii="Century Gothic" w:eastAsia="Times New Roman" w:hAnsi="Century Gothic"/>
                <w:color w:val="000000"/>
                <w:sz w:val="20"/>
                <w:lang w:eastAsia="es-MX"/>
              </w:rPr>
              <w:t xml:space="preserve"> de Radiodifusión</w:t>
            </w:r>
            <w:r>
              <w:rPr>
                <w:rFonts w:ascii="Century Gothic" w:eastAsia="Times New Roman" w:hAnsi="Century Gothic"/>
                <w:color w:val="000000"/>
                <w:sz w:val="20"/>
                <w:lang w:eastAsia="es-MX"/>
              </w:rPr>
              <w:t>, se dispuso que el AEPR no podrá adquirir derechos para transmitir CAR en exclusiva, pero sí podrá adquirir derechos en exclusiva de CAR para ser transmitidos a través de televisión radiodifundida s</w:t>
            </w:r>
            <w:r w:rsidR="00F475C7">
              <w:rPr>
                <w:rFonts w:ascii="Century Gothic" w:eastAsia="Times New Roman" w:hAnsi="Century Gothic"/>
                <w:color w:val="000000"/>
                <w:sz w:val="20"/>
                <w:lang w:eastAsia="es-MX"/>
              </w:rPr>
              <w:t>o</w:t>
            </w:r>
            <w:r>
              <w:rPr>
                <w:rFonts w:ascii="Century Gothic" w:eastAsia="Times New Roman" w:hAnsi="Century Gothic"/>
                <w:color w:val="000000"/>
                <w:sz w:val="20"/>
                <w:lang w:eastAsia="es-MX"/>
              </w:rPr>
              <w:t xml:space="preserve">lo si adquiere el derecho a </w:t>
            </w:r>
            <w:proofErr w:type="spellStart"/>
            <w:r>
              <w:rPr>
                <w:rFonts w:ascii="Century Gothic" w:eastAsia="Times New Roman" w:hAnsi="Century Gothic"/>
                <w:color w:val="000000"/>
                <w:sz w:val="20"/>
                <w:lang w:eastAsia="es-MX"/>
              </w:rPr>
              <w:t>sub-licenciarlos</w:t>
            </w:r>
            <w:proofErr w:type="spellEnd"/>
            <w:r>
              <w:rPr>
                <w:rFonts w:ascii="Century Gothic" w:eastAsia="Times New Roman" w:hAnsi="Century Gothic"/>
                <w:color w:val="000000"/>
                <w:sz w:val="20"/>
                <w:lang w:eastAsia="es-MX"/>
              </w:rPr>
              <w:t xml:space="preserve"> a otros prestadores del servicio de televisión radiodifundida.</w:t>
            </w:r>
          </w:p>
        </w:tc>
      </w:tr>
      <w:tr w:rsidR="00C63F99" w:rsidRPr="001A5B2D" w14:paraId="3FD7BD8B" w14:textId="77777777" w:rsidTr="00363DAD">
        <w:trPr>
          <w:trHeight w:val="290"/>
        </w:trPr>
        <w:tc>
          <w:tcPr>
            <w:tcW w:w="8641" w:type="dxa"/>
            <w:gridSpan w:val="4"/>
            <w:shd w:val="clear" w:color="auto" w:fill="auto"/>
            <w:vAlign w:val="center"/>
          </w:tcPr>
          <w:p w14:paraId="03FA994C" w14:textId="651BF386" w:rsidR="00C63F99" w:rsidRPr="001A5B2D" w:rsidRDefault="00963421" w:rsidP="00014C1A">
            <w:pPr>
              <w:spacing w:after="0" w:line="276" w:lineRule="auto"/>
              <w:jc w:val="both"/>
              <w:rPr>
                <w:rFonts w:ascii="Century Gothic" w:eastAsia="Times New Roman" w:hAnsi="Century Gothic"/>
                <w:b/>
                <w:color w:val="000000"/>
                <w:sz w:val="20"/>
                <w:szCs w:val="20"/>
                <w:lang w:eastAsia="es-MX"/>
              </w:rPr>
            </w:pPr>
            <w:r w:rsidRPr="00963421">
              <w:rPr>
                <w:rFonts w:ascii="Century Gothic" w:eastAsia="Times New Roman" w:hAnsi="Century Gothic"/>
                <w:b/>
                <w:color w:val="000000"/>
                <w:sz w:val="20"/>
                <w:szCs w:val="20"/>
                <w:lang w:eastAsia="es-MX"/>
              </w:rPr>
              <w:lastRenderedPageBreak/>
              <w:t>¿Cuáles son los efectos que las medidas han generado en el sector de radiodifusión? ¿</w:t>
            </w:r>
            <w:r w:rsidR="004602D4">
              <w:rPr>
                <w:rFonts w:ascii="Century Gothic" w:eastAsia="Times New Roman" w:hAnsi="Century Gothic"/>
                <w:b/>
                <w:color w:val="000000"/>
                <w:sz w:val="20"/>
                <w:szCs w:val="20"/>
                <w:lang w:eastAsia="es-MX"/>
              </w:rPr>
              <w:t>De qué manera</w:t>
            </w:r>
            <w:r w:rsidRPr="00963421">
              <w:rPr>
                <w:rFonts w:ascii="Century Gothic" w:eastAsia="Times New Roman" w:hAnsi="Century Gothic"/>
                <w:b/>
                <w:color w:val="000000"/>
                <w:sz w:val="20"/>
                <w:szCs w:val="20"/>
                <w:lang w:eastAsia="es-MX"/>
              </w:rPr>
              <w:t xml:space="preserve"> han contribuido a alcanzar el objetivo para el cual fueron creadas las medidas?</w:t>
            </w:r>
          </w:p>
        </w:tc>
      </w:tr>
      <w:tr w:rsidR="00C63F99" w:rsidRPr="00C41536" w14:paraId="726BC746" w14:textId="77777777" w:rsidTr="00363DAD">
        <w:trPr>
          <w:trHeight w:val="90"/>
        </w:trPr>
        <w:tc>
          <w:tcPr>
            <w:tcW w:w="8641" w:type="dxa"/>
            <w:gridSpan w:val="4"/>
            <w:shd w:val="clear" w:color="auto" w:fill="auto"/>
            <w:vAlign w:val="center"/>
          </w:tcPr>
          <w:p w14:paraId="0A46D983" w14:textId="2D9F5CC6" w:rsidR="003D16DB" w:rsidRDefault="003D16DB" w:rsidP="00C63F99">
            <w:pPr>
              <w:spacing w:after="0" w:line="240" w:lineRule="auto"/>
              <w:rPr>
                <w:rFonts w:ascii="Century Gothic" w:eastAsia="Times New Roman" w:hAnsi="Century Gothic"/>
                <w:color w:val="000000"/>
                <w:sz w:val="20"/>
                <w:szCs w:val="20"/>
                <w:lang w:eastAsia="es-MX"/>
              </w:rPr>
            </w:pPr>
          </w:p>
          <w:p w14:paraId="60B748AC" w14:textId="77777777" w:rsidR="00C63F99" w:rsidRPr="00C41536" w:rsidRDefault="00C63F99" w:rsidP="00C63F99">
            <w:pPr>
              <w:spacing w:after="0" w:line="240" w:lineRule="auto"/>
              <w:rPr>
                <w:rFonts w:ascii="Century Gothic" w:eastAsia="Times New Roman" w:hAnsi="Century Gothic"/>
                <w:color w:val="000000"/>
                <w:lang w:eastAsia="es-MX"/>
              </w:rPr>
            </w:pPr>
          </w:p>
        </w:tc>
      </w:tr>
      <w:tr w:rsidR="0075473C" w:rsidRPr="00621A36" w14:paraId="19059A63" w14:textId="77777777" w:rsidTr="00E23C4C">
        <w:trPr>
          <w:trHeight w:val="90"/>
        </w:trPr>
        <w:tc>
          <w:tcPr>
            <w:tcW w:w="3331" w:type="dxa"/>
            <w:gridSpan w:val="3"/>
            <w:shd w:val="clear" w:color="auto" w:fill="auto"/>
            <w:vAlign w:val="center"/>
          </w:tcPr>
          <w:p w14:paraId="2BC8ABA3" w14:textId="1FA9DF86"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 xml:space="preserve">Liste los documentos </w:t>
            </w:r>
            <w:proofErr w:type="gramStart"/>
            <w:r w:rsidRPr="0075473C">
              <w:rPr>
                <w:rFonts w:ascii="Century Gothic" w:eastAsia="Times New Roman" w:hAnsi="Century Gothic"/>
                <w:color w:val="000000"/>
                <w:sz w:val="20"/>
                <w:szCs w:val="20"/>
                <w:lang w:eastAsia="es-MX"/>
              </w:rPr>
              <w:t>asociados  a</w:t>
            </w:r>
            <w:proofErr w:type="gramEnd"/>
            <w:r w:rsidRPr="0075473C">
              <w:rPr>
                <w:rFonts w:ascii="Century Gothic" w:eastAsia="Times New Roman" w:hAnsi="Century Gothic"/>
                <w:color w:val="000000"/>
                <w:sz w:val="20"/>
                <w:szCs w:val="20"/>
                <w:lang w:eastAsia="es-MX"/>
              </w:rPr>
              <w:t xml:space="preserve">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4C6D5292"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C63F99" w:rsidRPr="00C41536" w14:paraId="3813B528" w14:textId="77777777" w:rsidTr="00363DAD">
        <w:trPr>
          <w:trHeight w:val="290"/>
        </w:trPr>
        <w:tc>
          <w:tcPr>
            <w:tcW w:w="8641" w:type="dxa"/>
            <w:gridSpan w:val="4"/>
            <w:shd w:val="clear" w:color="auto" w:fill="auto"/>
            <w:vAlign w:val="center"/>
          </w:tcPr>
          <w:p w14:paraId="0700784C" w14:textId="774794C3" w:rsidR="00C63F99" w:rsidRPr="00C41536" w:rsidRDefault="00C63F99" w:rsidP="00E30163">
            <w:pPr>
              <w:spacing w:after="0" w:line="276" w:lineRule="auto"/>
              <w:jc w:val="both"/>
              <w:rPr>
                <w:rFonts w:ascii="Century Gothic" w:eastAsia="Times New Roman" w:hAnsi="Century Gothic"/>
                <w:color w:val="000000"/>
                <w:lang w:eastAsia="es-MX"/>
              </w:rPr>
            </w:pPr>
            <w:r w:rsidRPr="001A5B2D">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1A5B2D" w:rsidDel="004602D4">
              <w:rPr>
                <w:rFonts w:ascii="Century Gothic" w:eastAsia="Times New Roman" w:hAnsi="Century Gothic"/>
                <w:b/>
                <w:color w:val="000000"/>
                <w:sz w:val="20"/>
                <w:szCs w:val="20"/>
                <w:lang w:eastAsia="es-MX"/>
              </w:rPr>
              <w:t xml:space="preserve"> </w:t>
            </w:r>
            <w:r w:rsidRPr="001A5B2D">
              <w:rPr>
                <w:rFonts w:ascii="Century Gothic" w:eastAsia="Times New Roman" w:hAnsi="Century Gothic"/>
                <w:b/>
                <w:color w:val="000000"/>
                <w:sz w:val="20"/>
                <w:szCs w:val="20"/>
                <w:lang w:eastAsia="es-MX"/>
              </w:rPr>
              <w:t xml:space="preserve">que el diseño de las medidas referentes a </w:t>
            </w:r>
            <w:r w:rsidR="0075473C">
              <w:rPr>
                <w:rFonts w:ascii="Century Gothic" w:eastAsia="Times New Roman" w:hAnsi="Century Gothic"/>
                <w:b/>
                <w:color w:val="000000"/>
                <w:sz w:val="20"/>
                <w:szCs w:val="20"/>
                <w:lang w:eastAsia="es-MX"/>
              </w:rPr>
              <w:t>los contenidos</w:t>
            </w:r>
            <w:r w:rsidRPr="001A5B2D">
              <w:rPr>
                <w:rFonts w:ascii="Century Gothic" w:eastAsia="Times New Roman" w:hAnsi="Century Gothic"/>
                <w:b/>
                <w:color w:val="000000"/>
                <w:sz w:val="20"/>
                <w:szCs w:val="20"/>
                <w:lang w:eastAsia="es-MX"/>
              </w:rPr>
              <w:t xml:space="preserve"> </w:t>
            </w:r>
            <w:r>
              <w:rPr>
                <w:rFonts w:ascii="Century Gothic" w:eastAsia="Times New Roman" w:hAnsi="Century Gothic"/>
                <w:b/>
                <w:color w:val="000000"/>
                <w:sz w:val="20"/>
                <w:szCs w:val="20"/>
                <w:lang w:eastAsia="es-MX"/>
              </w:rPr>
              <w:t>está alineado</w:t>
            </w:r>
            <w:r w:rsidRPr="001A5B2D">
              <w:rPr>
                <w:rFonts w:ascii="Century Gothic" w:eastAsia="Times New Roman" w:hAnsi="Century Gothic"/>
                <w:b/>
                <w:color w:val="000000"/>
                <w:sz w:val="20"/>
                <w:szCs w:val="20"/>
                <w:lang w:eastAsia="es-MX"/>
              </w:rPr>
              <w:t xml:space="preserve"> con los objetivos originalmente planteados?</w:t>
            </w:r>
          </w:p>
        </w:tc>
      </w:tr>
      <w:tr w:rsidR="00C63F99" w:rsidRPr="00C41536" w14:paraId="31A03775" w14:textId="77777777" w:rsidTr="00363DAD">
        <w:trPr>
          <w:trHeight w:val="90"/>
        </w:trPr>
        <w:tc>
          <w:tcPr>
            <w:tcW w:w="8641" w:type="dxa"/>
            <w:gridSpan w:val="4"/>
            <w:shd w:val="clear" w:color="auto" w:fill="auto"/>
            <w:vAlign w:val="center"/>
          </w:tcPr>
          <w:p w14:paraId="67198630"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593DC44A" w14:textId="77777777" w:rsidR="00C63F99" w:rsidRPr="00C41536" w:rsidRDefault="00C63F99" w:rsidP="00C63F99">
            <w:pPr>
              <w:spacing w:after="0" w:line="240" w:lineRule="auto"/>
              <w:rPr>
                <w:rFonts w:ascii="Century Gothic" w:eastAsia="Times New Roman" w:hAnsi="Century Gothic"/>
                <w:color w:val="000000"/>
                <w:lang w:eastAsia="es-MX"/>
              </w:rPr>
            </w:pPr>
          </w:p>
        </w:tc>
      </w:tr>
      <w:tr w:rsidR="0075473C" w:rsidRPr="00621A36" w14:paraId="13FFCDE8" w14:textId="77777777" w:rsidTr="00E23C4C">
        <w:trPr>
          <w:trHeight w:val="90"/>
        </w:trPr>
        <w:tc>
          <w:tcPr>
            <w:tcW w:w="3331" w:type="dxa"/>
            <w:gridSpan w:val="3"/>
            <w:shd w:val="clear" w:color="auto" w:fill="auto"/>
            <w:vAlign w:val="center"/>
          </w:tcPr>
          <w:p w14:paraId="6A7C3E8C" w14:textId="619F37F5"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 xml:space="preserve">Liste los documentos </w:t>
            </w:r>
            <w:proofErr w:type="gramStart"/>
            <w:r w:rsidRPr="0075473C">
              <w:rPr>
                <w:rFonts w:ascii="Century Gothic" w:eastAsia="Times New Roman" w:hAnsi="Century Gothic"/>
                <w:color w:val="000000"/>
                <w:sz w:val="20"/>
                <w:szCs w:val="20"/>
                <w:lang w:eastAsia="es-MX"/>
              </w:rPr>
              <w:t>asociados  a</w:t>
            </w:r>
            <w:proofErr w:type="gramEnd"/>
            <w:r w:rsidRPr="0075473C">
              <w:rPr>
                <w:rFonts w:ascii="Century Gothic" w:eastAsia="Times New Roman" w:hAnsi="Century Gothic"/>
                <w:color w:val="000000"/>
                <w:sz w:val="20"/>
                <w:szCs w:val="20"/>
                <w:lang w:eastAsia="es-MX"/>
              </w:rPr>
              <w:t xml:space="preserve">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3B785FCB" w14:textId="77777777" w:rsidR="0075473C" w:rsidRPr="00E23C4C" w:rsidRDefault="0075473C" w:rsidP="0075473C">
            <w:pPr>
              <w:spacing w:after="0" w:line="240" w:lineRule="auto"/>
              <w:rPr>
                <w:rFonts w:ascii="Century Gothic" w:eastAsia="Times New Roman" w:hAnsi="Century Gothic"/>
                <w:i/>
                <w:color w:val="A6A6A6"/>
                <w:sz w:val="18"/>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C63F99" w:rsidRPr="00621A36" w14:paraId="0C3126E3" w14:textId="77777777" w:rsidTr="00363DAD">
        <w:trPr>
          <w:trHeight w:val="90"/>
        </w:trPr>
        <w:tc>
          <w:tcPr>
            <w:tcW w:w="8641" w:type="dxa"/>
            <w:gridSpan w:val="4"/>
            <w:shd w:val="clear" w:color="auto" w:fill="auto"/>
            <w:vAlign w:val="center"/>
          </w:tcPr>
          <w:p w14:paraId="578B0AFB" w14:textId="279D7467" w:rsidR="00C63F99" w:rsidRPr="00621A36" w:rsidRDefault="00963421" w:rsidP="00E23C4C">
            <w:pPr>
              <w:spacing w:after="0" w:line="240" w:lineRule="auto"/>
              <w:jc w:val="both"/>
              <w:rPr>
                <w:rFonts w:ascii="Century Gothic" w:eastAsia="Times New Roman" w:hAnsi="Century Gothic"/>
                <w:color w:val="000000"/>
                <w:sz w:val="20"/>
                <w:szCs w:val="20"/>
                <w:lang w:eastAsia="es-MX"/>
              </w:rPr>
            </w:pPr>
            <w:r w:rsidRPr="00963421">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963421" w:rsidDel="004602D4">
              <w:rPr>
                <w:rFonts w:ascii="Century Gothic" w:eastAsia="Times New Roman" w:hAnsi="Century Gothic"/>
                <w:b/>
                <w:color w:val="000000"/>
                <w:sz w:val="20"/>
                <w:szCs w:val="20"/>
                <w:lang w:eastAsia="es-MX"/>
              </w:rPr>
              <w:t xml:space="preserve"> </w:t>
            </w:r>
            <w:r w:rsidRPr="00963421">
              <w:rPr>
                <w:rFonts w:ascii="Century Gothic" w:eastAsia="Times New Roman" w:hAnsi="Century Gothic"/>
                <w:b/>
                <w:color w:val="000000"/>
                <w:sz w:val="20"/>
                <w:szCs w:val="20"/>
                <w:lang w:eastAsia="es-MX"/>
              </w:rPr>
              <w:t>que las acciones y/o instrumentos mediante las cuales se han implementado las medidas han sido adecuadas para alcanzar los objetivos por los que se plantearon?</w:t>
            </w:r>
          </w:p>
        </w:tc>
      </w:tr>
      <w:tr w:rsidR="00C63F99" w:rsidRPr="00621A36" w14:paraId="38C75E3B" w14:textId="77777777" w:rsidTr="00363DAD">
        <w:trPr>
          <w:trHeight w:val="90"/>
        </w:trPr>
        <w:tc>
          <w:tcPr>
            <w:tcW w:w="8641" w:type="dxa"/>
            <w:gridSpan w:val="4"/>
            <w:shd w:val="clear" w:color="auto" w:fill="auto"/>
            <w:vAlign w:val="center"/>
          </w:tcPr>
          <w:p w14:paraId="54AD94ED"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2237265C" w14:textId="77777777" w:rsidR="00C63F99" w:rsidRPr="00621A36" w:rsidRDefault="00C63F99" w:rsidP="00C63F99">
            <w:pPr>
              <w:spacing w:after="0" w:line="240" w:lineRule="auto"/>
              <w:rPr>
                <w:rFonts w:ascii="Century Gothic" w:eastAsia="Times New Roman" w:hAnsi="Century Gothic"/>
                <w:color w:val="000000"/>
                <w:sz w:val="20"/>
                <w:szCs w:val="20"/>
                <w:lang w:eastAsia="es-MX"/>
              </w:rPr>
            </w:pPr>
          </w:p>
        </w:tc>
      </w:tr>
      <w:tr w:rsidR="0075473C" w:rsidRPr="00621A36" w14:paraId="7B103667" w14:textId="77777777" w:rsidTr="00E23C4C">
        <w:trPr>
          <w:trHeight w:val="90"/>
        </w:trPr>
        <w:tc>
          <w:tcPr>
            <w:tcW w:w="3331" w:type="dxa"/>
            <w:gridSpan w:val="3"/>
            <w:shd w:val="clear" w:color="auto" w:fill="auto"/>
            <w:vAlign w:val="center"/>
          </w:tcPr>
          <w:p w14:paraId="5376C9DC" w14:textId="77777777" w:rsidR="0075473C" w:rsidRPr="00340609"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 xml:space="preserve">Liste los documentos </w:t>
            </w:r>
            <w:proofErr w:type="gramStart"/>
            <w:r w:rsidRPr="0075473C">
              <w:rPr>
                <w:rFonts w:ascii="Century Gothic" w:eastAsia="Times New Roman" w:hAnsi="Century Gothic"/>
                <w:color w:val="000000"/>
                <w:sz w:val="20"/>
                <w:szCs w:val="20"/>
                <w:lang w:eastAsia="es-MX"/>
              </w:rPr>
              <w:t>asociados  a</w:t>
            </w:r>
            <w:proofErr w:type="gramEnd"/>
            <w:r w:rsidRPr="0075473C">
              <w:rPr>
                <w:rFonts w:ascii="Century Gothic" w:eastAsia="Times New Roman" w:hAnsi="Century Gothic"/>
                <w:color w:val="000000"/>
                <w:sz w:val="20"/>
                <w:szCs w:val="20"/>
                <w:lang w:eastAsia="es-MX"/>
              </w:rPr>
              <w:t xml:space="preserve"> los comentarios manifestados</w:t>
            </w:r>
            <w:r w:rsidR="00CF33CC">
              <w:rPr>
                <w:rFonts w:ascii="Century Gothic" w:eastAsia="Times New Roman" w:hAnsi="Century Gothic"/>
                <w:color w:val="000000"/>
                <w:sz w:val="20"/>
                <w:szCs w:val="20"/>
                <w:lang w:eastAsia="es-MX"/>
              </w:rPr>
              <w:t>:</w:t>
            </w:r>
            <w:r w:rsidRPr="0075473C" w:rsidDel="00934B06">
              <w:rPr>
                <w:rFonts w:ascii="Century Gothic" w:eastAsia="Times New Roman" w:hAnsi="Century Gothic"/>
                <w:color w:val="000000"/>
                <w:sz w:val="20"/>
                <w:szCs w:val="20"/>
                <w:lang w:eastAsia="es-MX"/>
              </w:rPr>
              <w:t xml:space="preserve"> </w:t>
            </w:r>
          </w:p>
        </w:tc>
        <w:tc>
          <w:tcPr>
            <w:tcW w:w="5310" w:type="dxa"/>
            <w:shd w:val="clear" w:color="auto" w:fill="auto"/>
            <w:vAlign w:val="center"/>
          </w:tcPr>
          <w:p w14:paraId="0F2AE141" w14:textId="77777777" w:rsidR="0075473C" w:rsidRPr="00E23C4C" w:rsidRDefault="0075473C" w:rsidP="0075473C">
            <w:pPr>
              <w:spacing w:after="0" w:line="240" w:lineRule="auto"/>
              <w:rPr>
                <w:rFonts w:ascii="Century Gothic" w:eastAsia="Times New Roman" w:hAnsi="Century Gothic"/>
                <w:i/>
                <w:color w:val="A6A6A6"/>
                <w:sz w:val="18"/>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113D1A" w:rsidRPr="00C152A6" w14:paraId="7AA57686" w14:textId="77777777" w:rsidTr="00C152A6">
        <w:trPr>
          <w:trHeight w:val="414"/>
        </w:trPr>
        <w:tc>
          <w:tcPr>
            <w:tcW w:w="8641" w:type="dxa"/>
            <w:gridSpan w:val="4"/>
            <w:shd w:val="clear" w:color="auto" w:fill="FFFFFF"/>
            <w:vAlign w:val="center"/>
          </w:tcPr>
          <w:p w14:paraId="7AEFCEC2" w14:textId="6B260802" w:rsidR="00113D1A" w:rsidRPr="00C152A6" w:rsidRDefault="00113D1A" w:rsidP="00113D1A">
            <w:pPr>
              <w:jc w:val="both"/>
              <w:rPr>
                <w:rFonts w:ascii="Century Gothic" w:eastAsia="Times New Roman" w:hAnsi="Century Gothic"/>
                <w:b/>
                <w:color w:val="000000"/>
                <w:sz w:val="20"/>
                <w:szCs w:val="20"/>
                <w:lang w:eastAsia="es-MX"/>
              </w:rPr>
            </w:pPr>
            <w:r w:rsidRPr="00C152A6">
              <w:rPr>
                <w:rFonts w:ascii="Century Gothic" w:eastAsia="Times New Roman" w:hAnsi="Century Gothic"/>
                <w:b/>
                <w:color w:val="000000"/>
                <w:sz w:val="20"/>
                <w:szCs w:val="20"/>
                <w:lang w:eastAsia="es-MX"/>
              </w:rPr>
              <w:t xml:space="preserve">En caso de contar con una propuesta específica sobre alguna de las medidas relacionadas con </w:t>
            </w:r>
            <w:r>
              <w:rPr>
                <w:rFonts w:ascii="Century Gothic" w:eastAsia="Times New Roman" w:hAnsi="Century Gothic"/>
                <w:b/>
                <w:color w:val="000000"/>
                <w:sz w:val="20"/>
                <w:szCs w:val="20"/>
                <w:lang w:eastAsia="es-MX"/>
              </w:rPr>
              <w:t>Contenidos</w:t>
            </w:r>
            <w:r w:rsidR="004168B0">
              <w:rPr>
                <w:rFonts w:ascii="Century Gothic" w:eastAsia="Times New Roman" w:hAnsi="Century Gothic"/>
                <w:b/>
                <w:color w:val="000000"/>
                <w:sz w:val="20"/>
                <w:szCs w:val="20"/>
                <w:lang w:eastAsia="es-MX"/>
              </w:rPr>
              <w:t>, deberá indicarla.</w:t>
            </w:r>
          </w:p>
          <w:p w14:paraId="5CDBE322" w14:textId="77777777" w:rsidR="00113D1A" w:rsidRPr="00C152A6" w:rsidRDefault="00113D1A" w:rsidP="00113D1A">
            <w:pPr>
              <w:jc w:val="both"/>
              <w:rPr>
                <w:rFonts w:ascii="Century Gothic" w:eastAsia="Times New Roman" w:hAnsi="Century Gothic"/>
                <w:color w:val="000000"/>
                <w:sz w:val="20"/>
                <w:szCs w:val="20"/>
                <w:lang w:eastAsia="es-MX"/>
              </w:rPr>
            </w:pPr>
            <w:r w:rsidRPr="00C152A6">
              <w:rPr>
                <w:rFonts w:ascii="Century Gothic" w:eastAsia="Times New Roman" w:hAnsi="Century Gothic"/>
                <w:color w:val="000000"/>
                <w:sz w:val="16"/>
                <w:szCs w:val="20"/>
                <w:lang w:eastAsia="es-MX"/>
              </w:rPr>
              <w:t>Nota:  a efecto de realizar una valoración adecuada, cualquier propuesta deberá estar sustentada en lo manifestado en las respuestas a las preguntas previas.</w:t>
            </w:r>
          </w:p>
        </w:tc>
      </w:tr>
      <w:tr w:rsidR="00113D1A" w:rsidRPr="00C152A6" w14:paraId="400955A6" w14:textId="77777777" w:rsidTr="00C152A6">
        <w:trPr>
          <w:trHeight w:val="414"/>
        </w:trPr>
        <w:tc>
          <w:tcPr>
            <w:tcW w:w="3047" w:type="dxa"/>
            <w:gridSpan w:val="2"/>
            <w:shd w:val="clear" w:color="auto" w:fill="FFFFFF"/>
          </w:tcPr>
          <w:p w14:paraId="38C0F774"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tcPr>
          <w:p w14:paraId="5DE1F1E2"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[Señale la propuesta]</w:t>
            </w:r>
          </w:p>
        </w:tc>
      </w:tr>
      <w:tr w:rsidR="00113D1A" w:rsidRPr="00C152A6" w14:paraId="5254B986" w14:textId="77777777" w:rsidTr="00C152A6">
        <w:trPr>
          <w:trHeight w:val="414"/>
        </w:trPr>
        <w:tc>
          <w:tcPr>
            <w:tcW w:w="3047" w:type="dxa"/>
            <w:gridSpan w:val="2"/>
            <w:shd w:val="clear" w:color="auto" w:fill="FFFFFF"/>
            <w:vAlign w:val="center"/>
          </w:tcPr>
          <w:p w14:paraId="4127A662"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vAlign w:val="center"/>
          </w:tcPr>
          <w:p w14:paraId="2926D8B7"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[Señale la propuesta]</w:t>
            </w:r>
          </w:p>
        </w:tc>
      </w:tr>
      <w:tr w:rsidR="00340609" w:rsidRPr="00DF5B3F" w14:paraId="006D6102" w14:textId="77777777" w:rsidTr="00D42C6E">
        <w:trPr>
          <w:trHeight w:val="290"/>
        </w:trPr>
        <w:tc>
          <w:tcPr>
            <w:tcW w:w="1771" w:type="dxa"/>
            <w:shd w:val="clear" w:color="auto" w:fill="C5E0B3"/>
            <w:vAlign w:val="center"/>
          </w:tcPr>
          <w:p w14:paraId="38040BAC" w14:textId="77777777" w:rsidR="00340609" w:rsidRDefault="00340609" w:rsidP="00340609">
            <w:pPr>
              <w:spacing w:after="0" w:line="276" w:lineRule="auto"/>
              <w:jc w:val="center"/>
              <w:rPr>
                <w:rFonts w:ascii="Century Gothic" w:eastAsia="Times New Roman" w:hAnsi="Century Gothic"/>
                <w:b/>
                <w:color w:val="000000"/>
                <w:sz w:val="20"/>
                <w:lang w:eastAsia="es-MX"/>
              </w:rPr>
            </w:pPr>
            <w:r w:rsidRPr="00D26916">
              <w:rPr>
                <w:rFonts w:ascii="Century Gothic" w:eastAsia="Times New Roman" w:hAnsi="Century Gothic"/>
                <w:b/>
                <w:color w:val="000000"/>
                <w:sz w:val="20"/>
                <w:lang w:eastAsia="es-MX"/>
              </w:rPr>
              <w:lastRenderedPageBreak/>
              <w:t xml:space="preserve">Medidas </w:t>
            </w:r>
            <w:r>
              <w:rPr>
                <w:rFonts w:ascii="Century Gothic" w:eastAsia="Times New Roman" w:hAnsi="Century Gothic"/>
                <w:b/>
                <w:color w:val="000000"/>
                <w:sz w:val="20"/>
                <w:lang w:eastAsia="es-MX"/>
              </w:rPr>
              <w:t>Vigésima Primera a Vigésima Segunda.</w:t>
            </w:r>
          </w:p>
          <w:p w14:paraId="0E40A1E0" w14:textId="77777777" w:rsidR="00340609" w:rsidRPr="00D26916" w:rsidRDefault="00340609" w:rsidP="00340609">
            <w:pPr>
              <w:spacing w:after="0" w:line="276" w:lineRule="auto"/>
              <w:jc w:val="center"/>
              <w:rPr>
                <w:rFonts w:ascii="Century Gothic" w:eastAsia="Times New Roman" w:hAnsi="Century Gothic"/>
                <w:b/>
                <w:color w:val="000000"/>
                <w:sz w:val="20"/>
                <w:lang w:eastAsia="es-MX"/>
              </w:rPr>
            </w:pPr>
            <w:r>
              <w:rPr>
                <w:rFonts w:ascii="Century Gothic" w:eastAsia="Times New Roman" w:hAnsi="Century Gothic"/>
                <w:b/>
                <w:color w:val="000000"/>
                <w:sz w:val="20"/>
                <w:lang w:eastAsia="es-MX"/>
              </w:rPr>
              <w:t>R</w:t>
            </w:r>
            <w:r w:rsidRPr="00D26916">
              <w:rPr>
                <w:rFonts w:ascii="Century Gothic" w:eastAsia="Times New Roman" w:hAnsi="Century Gothic"/>
                <w:b/>
                <w:color w:val="000000"/>
                <w:sz w:val="20"/>
                <w:lang w:eastAsia="es-MX"/>
              </w:rPr>
              <w:t>eferentes a l</w:t>
            </w:r>
            <w:r>
              <w:rPr>
                <w:rFonts w:ascii="Century Gothic" w:eastAsia="Times New Roman" w:hAnsi="Century Gothic"/>
                <w:b/>
                <w:color w:val="000000"/>
                <w:sz w:val="20"/>
                <w:lang w:eastAsia="es-MX"/>
              </w:rPr>
              <w:t xml:space="preserve">a </w:t>
            </w:r>
            <w:r w:rsidRPr="00566139">
              <w:rPr>
                <w:rFonts w:ascii="Century Gothic" w:eastAsia="Times New Roman" w:hAnsi="Century Gothic"/>
                <w:b/>
                <w:color w:val="000000"/>
                <w:sz w:val="20"/>
                <w:u w:val="single"/>
                <w:lang w:eastAsia="es-MX"/>
              </w:rPr>
              <w:t>Publicidad</w:t>
            </w:r>
          </w:p>
        </w:tc>
        <w:tc>
          <w:tcPr>
            <w:tcW w:w="6870" w:type="dxa"/>
            <w:gridSpan w:val="3"/>
            <w:shd w:val="clear" w:color="auto" w:fill="C5E0B3"/>
            <w:vAlign w:val="center"/>
          </w:tcPr>
          <w:p w14:paraId="608EC06D" w14:textId="77777777" w:rsidR="00340609" w:rsidRPr="00DF67B4" w:rsidRDefault="00340609" w:rsidP="00340609">
            <w:pPr>
              <w:spacing w:before="240" w:after="0" w:line="276" w:lineRule="auto"/>
              <w:jc w:val="both"/>
              <w:rPr>
                <w:rFonts w:ascii="Century Gothic" w:eastAsia="Times New Roman" w:hAnsi="Century Gothic"/>
                <w:b/>
                <w:color w:val="000000"/>
                <w:sz w:val="20"/>
                <w:lang w:eastAsia="es-MX"/>
              </w:rPr>
            </w:pPr>
            <w:r w:rsidRPr="00DF67B4">
              <w:rPr>
                <w:rFonts w:ascii="Century Gothic" w:eastAsia="Times New Roman" w:hAnsi="Century Gothic"/>
                <w:b/>
                <w:color w:val="000000"/>
                <w:sz w:val="20"/>
                <w:lang w:eastAsia="es-MX"/>
              </w:rPr>
              <w:t>Objetivos</w:t>
            </w:r>
            <w:r>
              <w:rPr>
                <w:rFonts w:ascii="Century Gothic" w:eastAsia="Times New Roman" w:hAnsi="Century Gothic"/>
                <w:b/>
                <w:color w:val="000000"/>
                <w:sz w:val="20"/>
                <w:lang w:eastAsia="es-MX"/>
              </w:rPr>
              <w:t xml:space="preserve"> de las medidas</w:t>
            </w:r>
            <w:r w:rsidRPr="00DF67B4">
              <w:rPr>
                <w:rFonts w:ascii="Century Gothic" w:eastAsia="Times New Roman" w:hAnsi="Century Gothic"/>
                <w:b/>
                <w:color w:val="000000"/>
                <w:sz w:val="20"/>
                <w:lang w:eastAsia="es-MX"/>
              </w:rPr>
              <w:t xml:space="preserve">: </w:t>
            </w:r>
          </w:p>
          <w:p w14:paraId="5F78FC53" w14:textId="77777777" w:rsidR="00340609" w:rsidRPr="00BD6FD4" w:rsidRDefault="00340609" w:rsidP="00340609">
            <w:pPr>
              <w:numPr>
                <w:ilvl w:val="0"/>
                <w:numId w:val="12"/>
              </w:numPr>
              <w:spacing w:after="0" w:line="276" w:lineRule="auto"/>
              <w:jc w:val="both"/>
              <w:rPr>
                <w:rFonts w:ascii="Century Gothic" w:eastAsia="Times New Roman" w:hAnsi="Century Gothic"/>
                <w:color w:val="000000"/>
                <w:sz w:val="20"/>
                <w:lang w:eastAsia="es-MX"/>
              </w:rPr>
            </w:pPr>
            <w:r w:rsidRPr="00BD6FD4">
              <w:rPr>
                <w:rFonts w:ascii="Century Gothic" w:eastAsia="Times New Roman" w:hAnsi="Century Gothic"/>
                <w:color w:val="000000"/>
                <w:sz w:val="20"/>
                <w:lang w:eastAsia="es-MX"/>
              </w:rPr>
              <w:t>Evitar que el agente económico preponderante utilice la venta de publicidad como instrumento para restringir la entrada y crecimiento de agentes en otros sectores.</w:t>
            </w:r>
          </w:p>
          <w:p w14:paraId="3F74D71E" w14:textId="77777777" w:rsidR="00340609" w:rsidRPr="00BD6FD4" w:rsidRDefault="00340609" w:rsidP="00340609">
            <w:pPr>
              <w:numPr>
                <w:ilvl w:val="0"/>
                <w:numId w:val="12"/>
              </w:numPr>
              <w:spacing w:line="276" w:lineRule="auto"/>
              <w:jc w:val="both"/>
              <w:rPr>
                <w:rFonts w:ascii="Century Gothic" w:eastAsia="Times New Roman" w:hAnsi="Century Gothic"/>
                <w:color w:val="000000"/>
                <w:sz w:val="20"/>
                <w:lang w:eastAsia="es-MX"/>
              </w:rPr>
            </w:pPr>
            <w:r w:rsidRPr="00BD6FD4">
              <w:rPr>
                <w:rFonts w:ascii="Century Gothic" w:eastAsia="Times New Roman" w:hAnsi="Century Gothic"/>
                <w:color w:val="000000"/>
                <w:sz w:val="20"/>
                <w:lang w:eastAsia="es-MX"/>
              </w:rPr>
              <w:t>Evitar que este agente ofrezca sus espacios publicitarios de forma condicionada o discriminatoria; o realice negativas de trato.</w:t>
            </w:r>
          </w:p>
        </w:tc>
      </w:tr>
      <w:tr w:rsidR="00340609" w:rsidRPr="00DF5B3F" w14:paraId="62FCDF36" w14:textId="77777777" w:rsidTr="00DF67B4">
        <w:trPr>
          <w:trHeight w:val="290"/>
        </w:trPr>
        <w:tc>
          <w:tcPr>
            <w:tcW w:w="8641" w:type="dxa"/>
            <w:gridSpan w:val="4"/>
            <w:shd w:val="clear" w:color="auto" w:fill="auto"/>
            <w:vAlign w:val="center"/>
          </w:tcPr>
          <w:p w14:paraId="2E408CB4" w14:textId="77777777"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Contexto:</w:t>
            </w:r>
          </w:p>
          <w:p w14:paraId="3C6C38B4" w14:textId="736133CE" w:rsidR="00E04336" w:rsidRDefault="00E04336" w:rsidP="000E5F80">
            <w:pPr>
              <w:spacing w:after="120" w:line="276" w:lineRule="auto"/>
              <w:jc w:val="both"/>
              <w:rPr>
                <w:rFonts w:ascii="Century Gothic" w:eastAsia="Times New Roman" w:hAnsi="Century Gothic"/>
                <w:color w:val="000000"/>
                <w:sz w:val="20"/>
                <w:lang w:eastAsia="es-MX"/>
              </w:rPr>
            </w:pPr>
            <w:r w:rsidRPr="00E04336">
              <w:rPr>
                <w:rFonts w:ascii="Century Gothic" w:eastAsia="Times New Roman" w:hAnsi="Century Gothic"/>
                <w:color w:val="000000"/>
                <w:sz w:val="20"/>
                <w:lang w:eastAsia="es-MX"/>
              </w:rPr>
              <w:t xml:space="preserve">El </w:t>
            </w:r>
            <w:r w:rsidR="0012053C">
              <w:rPr>
                <w:rFonts w:ascii="Century Gothic" w:eastAsia="Times New Roman" w:hAnsi="Century Gothic"/>
                <w:color w:val="000000"/>
                <w:sz w:val="20"/>
                <w:lang w:eastAsia="es-MX"/>
              </w:rPr>
              <w:t>AEPR</w:t>
            </w:r>
            <w:r w:rsidRPr="00E04336">
              <w:rPr>
                <w:rFonts w:ascii="Century Gothic" w:eastAsia="Times New Roman" w:hAnsi="Century Gothic"/>
                <w:color w:val="000000"/>
                <w:sz w:val="20"/>
                <w:lang w:eastAsia="es-MX"/>
              </w:rPr>
              <w:t xml:space="preserve"> tiene un fuerte posicionamiento en el mercado de publicidad, particularmente a través de televisión radiodifundida, por lo que el acceso a su ventana </w:t>
            </w:r>
            <w:r w:rsidR="0012053C">
              <w:rPr>
                <w:rFonts w:ascii="Century Gothic" w:eastAsia="Times New Roman" w:hAnsi="Century Gothic"/>
                <w:color w:val="000000"/>
                <w:sz w:val="20"/>
                <w:lang w:eastAsia="es-MX"/>
              </w:rPr>
              <w:t>publicitaria</w:t>
            </w:r>
            <w:r w:rsidRPr="00E04336">
              <w:rPr>
                <w:rFonts w:ascii="Century Gothic" w:eastAsia="Times New Roman" w:hAnsi="Century Gothic"/>
                <w:color w:val="000000"/>
                <w:sz w:val="20"/>
                <w:lang w:eastAsia="es-MX"/>
              </w:rPr>
              <w:t xml:space="preserve"> puede ser muy valorado por diversos anunciantes e incluso sus propios competidores. En esta situación, puede presentarse el caso de que el </w:t>
            </w:r>
            <w:r w:rsidR="0012053C">
              <w:rPr>
                <w:rFonts w:ascii="Century Gothic" w:eastAsia="Times New Roman" w:hAnsi="Century Gothic"/>
                <w:color w:val="000000"/>
                <w:sz w:val="20"/>
                <w:lang w:eastAsia="es-MX"/>
              </w:rPr>
              <w:t>AEPR</w:t>
            </w:r>
            <w:r w:rsidRPr="00E04336">
              <w:rPr>
                <w:rFonts w:ascii="Century Gothic" w:eastAsia="Times New Roman" w:hAnsi="Century Gothic"/>
                <w:color w:val="000000"/>
                <w:sz w:val="20"/>
                <w:lang w:eastAsia="es-MX"/>
              </w:rPr>
              <w:t xml:space="preserve"> niegue los servicios de publicidad</w:t>
            </w:r>
            <w:r>
              <w:rPr>
                <w:rFonts w:ascii="Century Gothic" w:eastAsia="Times New Roman" w:hAnsi="Century Gothic"/>
                <w:color w:val="000000"/>
                <w:sz w:val="20"/>
                <w:lang w:eastAsia="es-MX"/>
              </w:rPr>
              <w:t xml:space="preserve"> u ofrezca un trato discriminatorio</w:t>
            </w:r>
            <w:r w:rsidRPr="00E04336">
              <w:rPr>
                <w:rFonts w:ascii="Century Gothic" w:eastAsia="Times New Roman" w:hAnsi="Century Gothic"/>
                <w:color w:val="000000"/>
                <w:sz w:val="20"/>
                <w:lang w:eastAsia="es-MX"/>
              </w:rPr>
              <w:t xml:space="preserve"> en perjuicio de sus competidores o de otros agentes.</w:t>
            </w:r>
          </w:p>
          <w:p w14:paraId="26C46F8F" w14:textId="77777777"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Resumen de medidas impuestas:</w:t>
            </w:r>
          </w:p>
          <w:p w14:paraId="7F2F4BA9" w14:textId="7779E044" w:rsidR="00340609" w:rsidRDefault="000E5F80" w:rsidP="000E5F80">
            <w:pPr>
              <w:spacing w:after="120"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El</w:t>
            </w:r>
            <w:r w:rsidR="00340609" w:rsidRPr="0085418D">
              <w:rPr>
                <w:rFonts w:ascii="Century Gothic" w:eastAsia="Times New Roman" w:hAnsi="Century Gothic"/>
                <w:color w:val="000000"/>
                <w:sz w:val="20"/>
                <w:lang w:eastAsia="es-MX"/>
              </w:rPr>
              <w:t xml:space="preserve"> I</w:t>
            </w:r>
            <w:r w:rsidR="00F475C7">
              <w:rPr>
                <w:rFonts w:ascii="Century Gothic" w:eastAsia="Times New Roman" w:hAnsi="Century Gothic"/>
                <w:color w:val="000000"/>
                <w:sz w:val="20"/>
                <w:lang w:eastAsia="es-MX"/>
              </w:rPr>
              <w:t>nstituto</w:t>
            </w:r>
            <w:r w:rsidR="00340609" w:rsidRPr="0085418D">
              <w:rPr>
                <w:rFonts w:ascii="Century Gothic" w:eastAsia="Times New Roman" w:hAnsi="Century Gothic"/>
                <w:color w:val="000000"/>
                <w:sz w:val="20"/>
                <w:lang w:eastAsia="es-MX"/>
              </w:rPr>
              <w:t xml:space="preserve"> impuso medidas al AEPR referentes</w:t>
            </w:r>
            <w:r w:rsidR="00704DCB">
              <w:rPr>
                <w:rFonts w:ascii="Century Gothic" w:eastAsia="Times New Roman" w:hAnsi="Century Gothic"/>
                <w:color w:val="000000"/>
                <w:sz w:val="20"/>
                <w:lang w:eastAsia="es-MX"/>
              </w:rPr>
              <w:t xml:space="preserve"> a</w:t>
            </w:r>
            <w:r w:rsidR="00340609" w:rsidRPr="0085418D">
              <w:rPr>
                <w:rFonts w:ascii="Century Gothic" w:eastAsia="Times New Roman" w:hAnsi="Century Gothic"/>
                <w:color w:val="000000"/>
                <w:sz w:val="20"/>
                <w:lang w:eastAsia="es-MX"/>
              </w:rPr>
              <w:t xml:space="preserve"> </w:t>
            </w:r>
            <w:r w:rsidR="00340609">
              <w:rPr>
                <w:rFonts w:ascii="Century Gothic" w:eastAsia="Times New Roman" w:hAnsi="Century Gothic"/>
                <w:color w:val="000000"/>
                <w:sz w:val="20"/>
                <w:lang w:eastAsia="es-MX"/>
              </w:rPr>
              <w:t>la obligación de publicar información relativa a su oferta de espacios publicitarios y a</w:t>
            </w:r>
            <w:r w:rsidR="00340609">
              <w:t xml:space="preserve"> </w:t>
            </w:r>
            <w:r w:rsidR="00340609" w:rsidRPr="00E74B25">
              <w:rPr>
                <w:rFonts w:ascii="Century Gothic" w:eastAsia="Times New Roman" w:hAnsi="Century Gothic"/>
                <w:color w:val="000000"/>
                <w:sz w:val="20"/>
                <w:lang w:eastAsia="es-MX"/>
              </w:rPr>
              <w:t>las condiciones en las que deberá ofrecer el servicio</w:t>
            </w:r>
            <w:r w:rsidR="00340609">
              <w:rPr>
                <w:rFonts w:ascii="Century Gothic" w:eastAsia="Times New Roman" w:hAnsi="Century Gothic"/>
                <w:color w:val="000000"/>
                <w:sz w:val="20"/>
                <w:lang w:eastAsia="es-MX"/>
              </w:rPr>
              <w:t xml:space="preserve"> de publicidad.</w:t>
            </w:r>
            <w:r w:rsidR="00340609" w:rsidRPr="00E74B25">
              <w:rPr>
                <w:rFonts w:ascii="Century Gothic" w:eastAsia="Times New Roman" w:hAnsi="Century Gothic"/>
                <w:color w:val="000000"/>
                <w:sz w:val="20"/>
                <w:lang w:eastAsia="es-MX"/>
              </w:rPr>
              <w:t xml:space="preserve"> </w:t>
            </w:r>
          </w:p>
          <w:p w14:paraId="54768C9A" w14:textId="77777777" w:rsidR="00340609" w:rsidRPr="001278C9" w:rsidRDefault="00340609" w:rsidP="00340609">
            <w:pPr>
              <w:spacing w:before="240" w:after="120" w:line="276" w:lineRule="auto"/>
              <w:jc w:val="both"/>
              <w:rPr>
                <w:rFonts w:ascii="Century Gothic" w:eastAsia="Times New Roman" w:hAnsi="Century Gothic"/>
                <w:color w:val="000000"/>
                <w:sz w:val="20"/>
              </w:rPr>
            </w:pPr>
            <w:r>
              <w:rPr>
                <w:rFonts w:ascii="Century Gothic" w:eastAsia="Times New Roman" w:hAnsi="Century Gothic"/>
                <w:color w:val="000000"/>
                <w:sz w:val="20"/>
                <w:lang w:eastAsia="es-MX"/>
              </w:rPr>
              <w:t>A través de la Resolución Bienal</w:t>
            </w:r>
            <w:r w:rsidR="00B8128B">
              <w:rPr>
                <w:rFonts w:ascii="Century Gothic" w:eastAsia="Times New Roman" w:hAnsi="Century Gothic"/>
                <w:color w:val="000000"/>
                <w:sz w:val="20"/>
                <w:lang w:eastAsia="es-MX"/>
              </w:rPr>
              <w:t xml:space="preserve"> de Radiodifusión</w:t>
            </w:r>
            <w:r>
              <w:rPr>
                <w:rFonts w:ascii="Century Gothic" w:eastAsia="Times New Roman" w:hAnsi="Century Gothic"/>
                <w:color w:val="000000"/>
                <w:sz w:val="20"/>
                <w:lang w:eastAsia="es-MX"/>
              </w:rPr>
              <w:t>, se dispuso, adicionalmente, que el AEPR deberá presentar al Instituto, cada doce meses, información respecto a las personas que soliciten la publicidad para anunciar servicios de telecomunicaciones, con la finalidad de evitar conductas discriminatorias.</w:t>
            </w:r>
          </w:p>
        </w:tc>
      </w:tr>
      <w:tr w:rsidR="00C63F99" w:rsidRPr="001A5B2D" w14:paraId="5BE9AD6B" w14:textId="77777777" w:rsidTr="00363DAD">
        <w:trPr>
          <w:trHeight w:val="290"/>
        </w:trPr>
        <w:tc>
          <w:tcPr>
            <w:tcW w:w="8641" w:type="dxa"/>
            <w:gridSpan w:val="4"/>
            <w:shd w:val="clear" w:color="auto" w:fill="auto"/>
            <w:vAlign w:val="center"/>
          </w:tcPr>
          <w:p w14:paraId="1A0C10B5" w14:textId="09948FE4" w:rsidR="00C63F99" w:rsidRPr="001A5B2D" w:rsidRDefault="00963421" w:rsidP="00014C1A">
            <w:pPr>
              <w:spacing w:after="0" w:line="276" w:lineRule="auto"/>
              <w:jc w:val="both"/>
              <w:rPr>
                <w:rFonts w:ascii="Century Gothic" w:eastAsia="Times New Roman" w:hAnsi="Century Gothic"/>
                <w:b/>
                <w:color w:val="000000"/>
                <w:sz w:val="20"/>
                <w:szCs w:val="20"/>
                <w:lang w:eastAsia="es-MX"/>
              </w:rPr>
            </w:pPr>
            <w:r w:rsidRPr="00963421">
              <w:rPr>
                <w:rFonts w:ascii="Century Gothic" w:eastAsia="Times New Roman" w:hAnsi="Century Gothic"/>
                <w:b/>
                <w:color w:val="000000"/>
                <w:sz w:val="20"/>
                <w:szCs w:val="20"/>
                <w:lang w:eastAsia="es-MX"/>
              </w:rPr>
              <w:t>¿Cuáles son los efectos que las medidas han generado en el sector de radiodifusión? ¿</w:t>
            </w:r>
            <w:r w:rsidR="004602D4">
              <w:rPr>
                <w:rFonts w:ascii="Century Gothic" w:eastAsia="Times New Roman" w:hAnsi="Century Gothic"/>
                <w:b/>
                <w:color w:val="000000"/>
                <w:sz w:val="20"/>
                <w:szCs w:val="20"/>
                <w:lang w:eastAsia="es-MX"/>
              </w:rPr>
              <w:t>De qué manera</w:t>
            </w:r>
            <w:r w:rsidRPr="00963421">
              <w:rPr>
                <w:rFonts w:ascii="Century Gothic" w:eastAsia="Times New Roman" w:hAnsi="Century Gothic"/>
                <w:b/>
                <w:color w:val="000000"/>
                <w:sz w:val="20"/>
                <w:szCs w:val="20"/>
                <w:lang w:eastAsia="es-MX"/>
              </w:rPr>
              <w:t xml:space="preserve"> han contribuido a alcanzar el objetivo para el cual fueron creadas las medidas?</w:t>
            </w:r>
          </w:p>
        </w:tc>
      </w:tr>
      <w:tr w:rsidR="00C63F99" w:rsidRPr="00C41536" w14:paraId="376F1F54" w14:textId="77777777" w:rsidTr="00363DAD">
        <w:trPr>
          <w:trHeight w:val="90"/>
        </w:trPr>
        <w:tc>
          <w:tcPr>
            <w:tcW w:w="8641" w:type="dxa"/>
            <w:gridSpan w:val="4"/>
            <w:shd w:val="clear" w:color="auto" w:fill="auto"/>
            <w:vAlign w:val="center"/>
          </w:tcPr>
          <w:p w14:paraId="2EAECE85"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03358655" w14:textId="1A7D5E31" w:rsidR="003D16DB" w:rsidRPr="00C41536" w:rsidRDefault="003D16DB" w:rsidP="00C63F99">
            <w:pPr>
              <w:spacing w:after="0" w:line="240" w:lineRule="auto"/>
              <w:rPr>
                <w:rFonts w:ascii="Century Gothic" w:eastAsia="Times New Roman" w:hAnsi="Century Gothic"/>
                <w:color w:val="000000"/>
                <w:lang w:eastAsia="es-MX"/>
              </w:rPr>
            </w:pPr>
          </w:p>
        </w:tc>
      </w:tr>
      <w:tr w:rsidR="0075473C" w:rsidRPr="00621A36" w14:paraId="32637650" w14:textId="77777777" w:rsidTr="00E23C4C">
        <w:trPr>
          <w:trHeight w:val="90"/>
        </w:trPr>
        <w:tc>
          <w:tcPr>
            <w:tcW w:w="3331" w:type="dxa"/>
            <w:gridSpan w:val="3"/>
            <w:shd w:val="clear" w:color="auto" w:fill="auto"/>
            <w:vAlign w:val="center"/>
          </w:tcPr>
          <w:p w14:paraId="3D11B90D"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 xml:space="preserve">Liste los documentos </w:t>
            </w:r>
            <w:proofErr w:type="gramStart"/>
            <w:r w:rsidRPr="0075473C">
              <w:rPr>
                <w:rFonts w:ascii="Century Gothic" w:eastAsia="Times New Roman" w:hAnsi="Century Gothic"/>
                <w:color w:val="000000"/>
                <w:sz w:val="20"/>
                <w:szCs w:val="20"/>
                <w:lang w:eastAsia="es-MX"/>
              </w:rPr>
              <w:t>asociados  a</w:t>
            </w:r>
            <w:proofErr w:type="gramEnd"/>
            <w:r w:rsidRPr="0075473C">
              <w:rPr>
                <w:rFonts w:ascii="Century Gothic" w:eastAsia="Times New Roman" w:hAnsi="Century Gothic"/>
                <w:color w:val="000000"/>
                <w:sz w:val="20"/>
                <w:szCs w:val="20"/>
                <w:lang w:eastAsia="es-MX"/>
              </w:rPr>
              <w:t xml:space="preserve"> los comentarios manifestados</w:t>
            </w:r>
            <w:r w:rsidR="00CF33CC">
              <w:rPr>
                <w:rFonts w:ascii="Century Gothic" w:eastAsia="Times New Roman" w:hAnsi="Century Gothic"/>
                <w:color w:val="000000"/>
                <w:sz w:val="20"/>
                <w:szCs w:val="20"/>
                <w:lang w:eastAsia="es-MX"/>
              </w:rPr>
              <w:t>:</w:t>
            </w:r>
            <w:r w:rsidRPr="0075473C" w:rsidDel="00934B06">
              <w:rPr>
                <w:rFonts w:ascii="Century Gothic" w:eastAsia="Times New Roman" w:hAnsi="Century Gothic"/>
                <w:color w:val="000000"/>
                <w:sz w:val="20"/>
                <w:szCs w:val="20"/>
                <w:lang w:eastAsia="es-MX"/>
              </w:rPr>
              <w:t xml:space="preserve"> </w:t>
            </w:r>
          </w:p>
        </w:tc>
        <w:tc>
          <w:tcPr>
            <w:tcW w:w="5310" w:type="dxa"/>
            <w:shd w:val="clear" w:color="auto" w:fill="auto"/>
            <w:vAlign w:val="center"/>
          </w:tcPr>
          <w:p w14:paraId="6BF508E7"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C63F99" w:rsidRPr="00C41536" w14:paraId="28157749" w14:textId="77777777" w:rsidTr="00363DAD">
        <w:trPr>
          <w:trHeight w:val="290"/>
        </w:trPr>
        <w:tc>
          <w:tcPr>
            <w:tcW w:w="8641" w:type="dxa"/>
            <w:gridSpan w:val="4"/>
            <w:shd w:val="clear" w:color="auto" w:fill="auto"/>
            <w:vAlign w:val="center"/>
          </w:tcPr>
          <w:p w14:paraId="2CBEA039" w14:textId="2B2B6827" w:rsidR="00C63F99" w:rsidRPr="00C41536" w:rsidRDefault="00C63F99" w:rsidP="00E30163">
            <w:pPr>
              <w:spacing w:after="0" w:line="276" w:lineRule="auto"/>
              <w:jc w:val="both"/>
              <w:rPr>
                <w:rFonts w:ascii="Century Gothic" w:eastAsia="Times New Roman" w:hAnsi="Century Gothic"/>
                <w:color w:val="000000"/>
                <w:lang w:eastAsia="es-MX"/>
              </w:rPr>
            </w:pPr>
            <w:r w:rsidRPr="001A5B2D">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1A5B2D" w:rsidDel="004602D4">
              <w:rPr>
                <w:rFonts w:ascii="Century Gothic" w:eastAsia="Times New Roman" w:hAnsi="Century Gothic"/>
                <w:b/>
                <w:color w:val="000000"/>
                <w:sz w:val="20"/>
                <w:szCs w:val="20"/>
                <w:lang w:eastAsia="es-MX"/>
              </w:rPr>
              <w:t xml:space="preserve"> </w:t>
            </w:r>
            <w:r w:rsidRPr="001A5B2D">
              <w:rPr>
                <w:rFonts w:ascii="Century Gothic" w:eastAsia="Times New Roman" w:hAnsi="Century Gothic"/>
                <w:b/>
                <w:color w:val="000000"/>
                <w:sz w:val="20"/>
                <w:szCs w:val="20"/>
                <w:lang w:eastAsia="es-MX"/>
              </w:rPr>
              <w:t xml:space="preserve">que el diseño de las medidas referentes a la </w:t>
            </w:r>
            <w:r w:rsidR="0075473C">
              <w:rPr>
                <w:rFonts w:ascii="Century Gothic" w:eastAsia="Times New Roman" w:hAnsi="Century Gothic"/>
                <w:b/>
                <w:color w:val="000000"/>
                <w:sz w:val="20"/>
                <w:szCs w:val="20"/>
                <w:lang w:eastAsia="es-MX"/>
              </w:rPr>
              <w:t>publicidad</w:t>
            </w:r>
            <w:r w:rsidRPr="001A5B2D">
              <w:rPr>
                <w:rFonts w:ascii="Century Gothic" w:eastAsia="Times New Roman" w:hAnsi="Century Gothic"/>
                <w:b/>
                <w:color w:val="000000"/>
                <w:sz w:val="20"/>
                <w:szCs w:val="20"/>
                <w:lang w:eastAsia="es-MX"/>
              </w:rPr>
              <w:t xml:space="preserve"> </w:t>
            </w:r>
            <w:r>
              <w:rPr>
                <w:rFonts w:ascii="Century Gothic" w:eastAsia="Times New Roman" w:hAnsi="Century Gothic"/>
                <w:b/>
                <w:color w:val="000000"/>
                <w:sz w:val="20"/>
                <w:szCs w:val="20"/>
                <w:lang w:eastAsia="es-MX"/>
              </w:rPr>
              <w:t>está alineado</w:t>
            </w:r>
            <w:r w:rsidRPr="001A5B2D">
              <w:rPr>
                <w:rFonts w:ascii="Century Gothic" w:eastAsia="Times New Roman" w:hAnsi="Century Gothic"/>
                <w:b/>
                <w:color w:val="000000"/>
                <w:sz w:val="20"/>
                <w:szCs w:val="20"/>
                <w:lang w:eastAsia="es-MX"/>
              </w:rPr>
              <w:t xml:space="preserve"> con los objetivos originalmente planteados?</w:t>
            </w:r>
          </w:p>
        </w:tc>
      </w:tr>
      <w:tr w:rsidR="00C63F99" w:rsidRPr="00C41536" w14:paraId="75C6BE71" w14:textId="77777777" w:rsidTr="00363DAD">
        <w:trPr>
          <w:trHeight w:val="90"/>
        </w:trPr>
        <w:tc>
          <w:tcPr>
            <w:tcW w:w="8641" w:type="dxa"/>
            <w:gridSpan w:val="4"/>
            <w:shd w:val="clear" w:color="auto" w:fill="auto"/>
            <w:vAlign w:val="center"/>
          </w:tcPr>
          <w:p w14:paraId="5A8DF76C"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1359C427" w14:textId="77777777" w:rsidR="00C63F99" w:rsidRPr="00C41536" w:rsidRDefault="00C63F99" w:rsidP="00C63F99">
            <w:pPr>
              <w:spacing w:after="0" w:line="240" w:lineRule="auto"/>
              <w:rPr>
                <w:rFonts w:ascii="Century Gothic" w:eastAsia="Times New Roman" w:hAnsi="Century Gothic"/>
                <w:color w:val="000000"/>
                <w:lang w:eastAsia="es-MX"/>
              </w:rPr>
            </w:pPr>
          </w:p>
        </w:tc>
      </w:tr>
      <w:tr w:rsidR="0075473C" w:rsidRPr="00621A36" w14:paraId="65079E51" w14:textId="77777777" w:rsidTr="00E23C4C">
        <w:trPr>
          <w:trHeight w:val="90"/>
        </w:trPr>
        <w:tc>
          <w:tcPr>
            <w:tcW w:w="3331" w:type="dxa"/>
            <w:gridSpan w:val="3"/>
            <w:shd w:val="clear" w:color="auto" w:fill="auto"/>
            <w:vAlign w:val="center"/>
          </w:tcPr>
          <w:p w14:paraId="6484F0AE" w14:textId="02132154"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 xml:space="preserve">Liste los documentos </w:t>
            </w:r>
            <w:proofErr w:type="gramStart"/>
            <w:r w:rsidRPr="0075473C">
              <w:rPr>
                <w:rFonts w:ascii="Century Gothic" w:eastAsia="Times New Roman" w:hAnsi="Century Gothic"/>
                <w:color w:val="000000"/>
                <w:sz w:val="20"/>
                <w:szCs w:val="20"/>
                <w:lang w:eastAsia="es-MX"/>
              </w:rPr>
              <w:t>asociados  a</w:t>
            </w:r>
            <w:proofErr w:type="gramEnd"/>
            <w:r w:rsidRPr="0075473C">
              <w:rPr>
                <w:rFonts w:ascii="Century Gothic" w:eastAsia="Times New Roman" w:hAnsi="Century Gothic"/>
                <w:color w:val="000000"/>
                <w:sz w:val="20"/>
                <w:szCs w:val="20"/>
                <w:lang w:eastAsia="es-MX"/>
              </w:rPr>
              <w:t xml:space="preserve">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5B123853"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C63F99" w:rsidRPr="00621A36" w14:paraId="0272FEAA" w14:textId="77777777" w:rsidTr="00363DAD">
        <w:trPr>
          <w:trHeight w:val="90"/>
        </w:trPr>
        <w:tc>
          <w:tcPr>
            <w:tcW w:w="8641" w:type="dxa"/>
            <w:gridSpan w:val="4"/>
            <w:shd w:val="clear" w:color="auto" w:fill="auto"/>
            <w:vAlign w:val="center"/>
          </w:tcPr>
          <w:p w14:paraId="70518548" w14:textId="3E06E895" w:rsidR="00C63F99" w:rsidRPr="00621A36" w:rsidRDefault="00963421" w:rsidP="00E23C4C">
            <w:pPr>
              <w:spacing w:after="0" w:line="240" w:lineRule="auto"/>
              <w:jc w:val="both"/>
              <w:rPr>
                <w:rFonts w:ascii="Century Gothic" w:eastAsia="Times New Roman" w:hAnsi="Century Gothic"/>
                <w:color w:val="000000"/>
                <w:sz w:val="20"/>
                <w:szCs w:val="20"/>
                <w:lang w:eastAsia="es-MX"/>
              </w:rPr>
            </w:pPr>
            <w:r w:rsidRPr="00963421">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963421" w:rsidDel="004602D4">
              <w:rPr>
                <w:rFonts w:ascii="Century Gothic" w:eastAsia="Times New Roman" w:hAnsi="Century Gothic"/>
                <w:b/>
                <w:color w:val="000000"/>
                <w:sz w:val="20"/>
                <w:szCs w:val="20"/>
                <w:lang w:eastAsia="es-MX"/>
              </w:rPr>
              <w:t xml:space="preserve"> </w:t>
            </w:r>
            <w:r w:rsidRPr="00963421">
              <w:rPr>
                <w:rFonts w:ascii="Century Gothic" w:eastAsia="Times New Roman" w:hAnsi="Century Gothic"/>
                <w:b/>
                <w:color w:val="000000"/>
                <w:sz w:val="20"/>
                <w:szCs w:val="20"/>
                <w:lang w:eastAsia="es-MX"/>
              </w:rPr>
              <w:t>que las acciones y/o instrumentos mediante las cuales se han implementado las medidas han sido adecuadas para alcanzar los objetivos por los que se plantearon?</w:t>
            </w:r>
          </w:p>
        </w:tc>
      </w:tr>
      <w:tr w:rsidR="00C63F99" w:rsidRPr="00621A36" w14:paraId="3D74BDBE" w14:textId="77777777" w:rsidTr="00363DAD">
        <w:trPr>
          <w:trHeight w:val="90"/>
        </w:trPr>
        <w:tc>
          <w:tcPr>
            <w:tcW w:w="8641" w:type="dxa"/>
            <w:gridSpan w:val="4"/>
            <w:shd w:val="clear" w:color="auto" w:fill="auto"/>
            <w:vAlign w:val="center"/>
          </w:tcPr>
          <w:p w14:paraId="10A07BA1"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77B387FC" w14:textId="77777777" w:rsidR="00C63F99" w:rsidRPr="00621A36" w:rsidRDefault="00C63F99" w:rsidP="00C63F99">
            <w:pPr>
              <w:spacing w:after="0" w:line="240" w:lineRule="auto"/>
              <w:rPr>
                <w:rFonts w:ascii="Century Gothic" w:eastAsia="Times New Roman" w:hAnsi="Century Gothic"/>
                <w:color w:val="000000"/>
                <w:sz w:val="20"/>
                <w:szCs w:val="20"/>
                <w:lang w:eastAsia="es-MX"/>
              </w:rPr>
            </w:pPr>
          </w:p>
        </w:tc>
      </w:tr>
      <w:tr w:rsidR="0075473C" w:rsidRPr="00621A36" w14:paraId="46902752" w14:textId="77777777" w:rsidTr="00E23C4C">
        <w:trPr>
          <w:trHeight w:val="90"/>
        </w:trPr>
        <w:tc>
          <w:tcPr>
            <w:tcW w:w="3331" w:type="dxa"/>
            <w:gridSpan w:val="3"/>
            <w:shd w:val="clear" w:color="auto" w:fill="auto"/>
            <w:vAlign w:val="center"/>
          </w:tcPr>
          <w:p w14:paraId="429FEAC7" w14:textId="057611AC" w:rsidR="0075473C" w:rsidRPr="00340609"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 xml:space="preserve">Liste los documentos </w:t>
            </w:r>
            <w:proofErr w:type="gramStart"/>
            <w:r w:rsidRPr="0075473C">
              <w:rPr>
                <w:rFonts w:ascii="Century Gothic" w:eastAsia="Times New Roman" w:hAnsi="Century Gothic"/>
                <w:color w:val="000000"/>
                <w:sz w:val="20"/>
                <w:szCs w:val="20"/>
                <w:lang w:eastAsia="es-MX"/>
              </w:rPr>
              <w:t>asociados  a</w:t>
            </w:r>
            <w:proofErr w:type="gramEnd"/>
            <w:r w:rsidRPr="0075473C">
              <w:rPr>
                <w:rFonts w:ascii="Century Gothic" w:eastAsia="Times New Roman" w:hAnsi="Century Gothic"/>
                <w:color w:val="000000"/>
                <w:sz w:val="20"/>
                <w:szCs w:val="20"/>
                <w:lang w:eastAsia="es-MX"/>
              </w:rPr>
              <w:t xml:space="preserve">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0BFEBC72" w14:textId="77777777" w:rsidR="0075473C" w:rsidRPr="00E23C4C" w:rsidRDefault="0075473C" w:rsidP="0075473C">
            <w:pPr>
              <w:spacing w:after="0" w:line="240" w:lineRule="auto"/>
              <w:rPr>
                <w:rFonts w:ascii="Century Gothic" w:eastAsia="Times New Roman" w:hAnsi="Century Gothic"/>
                <w:i/>
                <w:color w:val="A6A6A6"/>
                <w:sz w:val="18"/>
                <w:szCs w:val="20"/>
                <w:lang w:eastAsia="es-MX"/>
              </w:rPr>
            </w:pPr>
            <w:r w:rsidRPr="00E23C4C">
              <w:rPr>
                <w:rFonts w:ascii="Century Gothic" w:eastAsia="Times New Roman" w:hAnsi="Century Gothic"/>
                <w:i/>
                <w:color w:val="A6A6A6"/>
                <w:sz w:val="18"/>
                <w:szCs w:val="20"/>
                <w:lang w:eastAsia="es-MX"/>
              </w:rPr>
              <w:t>[Indique nombre, sección y páginas del documento]</w:t>
            </w:r>
          </w:p>
        </w:tc>
      </w:tr>
      <w:tr w:rsidR="00113D1A" w:rsidRPr="00C152A6" w14:paraId="7BE5331D" w14:textId="77777777" w:rsidTr="00C152A6">
        <w:trPr>
          <w:trHeight w:val="414"/>
        </w:trPr>
        <w:tc>
          <w:tcPr>
            <w:tcW w:w="8641" w:type="dxa"/>
            <w:gridSpan w:val="4"/>
            <w:shd w:val="clear" w:color="auto" w:fill="FFFFFF"/>
            <w:vAlign w:val="center"/>
          </w:tcPr>
          <w:p w14:paraId="05CE8929" w14:textId="7A5262E9" w:rsidR="00113D1A" w:rsidRPr="00C152A6" w:rsidRDefault="00113D1A" w:rsidP="00113D1A">
            <w:pPr>
              <w:jc w:val="both"/>
              <w:rPr>
                <w:rFonts w:ascii="Century Gothic" w:eastAsia="Times New Roman" w:hAnsi="Century Gothic"/>
                <w:b/>
                <w:color w:val="000000"/>
                <w:sz w:val="20"/>
                <w:szCs w:val="20"/>
                <w:lang w:eastAsia="es-MX"/>
              </w:rPr>
            </w:pPr>
            <w:r w:rsidRPr="00C152A6">
              <w:rPr>
                <w:rFonts w:ascii="Century Gothic" w:eastAsia="Times New Roman" w:hAnsi="Century Gothic"/>
                <w:b/>
                <w:color w:val="000000"/>
                <w:sz w:val="20"/>
                <w:szCs w:val="20"/>
                <w:lang w:eastAsia="es-MX"/>
              </w:rPr>
              <w:t xml:space="preserve">En caso de contar con una propuesta específica sobre alguna de las medidas relacionadas con </w:t>
            </w:r>
            <w:r>
              <w:rPr>
                <w:rFonts w:ascii="Century Gothic" w:eastAsia="Times New Roman" w:hAnsi="Century Gothic"/>
                <w:b/>
                <w:color w:val="000000"/>
                <w:sz w:val="20"/>
                <w:szCs w:val="20"/>
                <w:lang w:eastAsia="es-MX"/>
              </w:rPr>
              <w:t>Publicidad</w:t>
            </w:r>
            <w:r w:rsidR="004168B0">
              <w:rPr>
                <w:rFonts w:ascii="Century Gothic" w:eastAsia="Times New Roman" w:hAnsi="Century Gothic"/>
                <w:b/>
                <w:color w:val="000000"/>
                <w:sz w:val="20"/>
                <w:szCs w:val="20"/>
                <w:lang w:eastAsia="es-MX"/>
              </w:rPr>
              <w:t>, deberá indicarla.</w:t>
            </w:r>
          </w:p>
          <w:p w14:paraId="5F708D2F" w14:textId="77777777" w:rsidR="00113D1A" w:rsidRPr="00C152A6" w:rsidRDefault="00113D1A" w:rsidP="00113D1A">
            <w:pPr>
              <w:jc w:val="both"/>
              <w:rPr>
                <w:rFonts w:ascii="Century Gothic" w:eastAsia="Times New Roman" w:hAnsi="Century Gothic"/>
                <w:color w:val="000000"/>
                <w:sz w:val="20"/>
                <w:szCs w:val="20"/>
                <w:lang w:eastAsia="es-MX"/>
              </w:rPr>
            </w:pPr>
            <w:r w:rsidRPr="00C152A6">
              <w:rPr>
                <w:rFonts w:ascii="Century Gothic" w:eastAsia="Times New Roman" w:hAnsi="Century Gothic"/>
                <w:color w:val="000000"/>
                <w:sz w:val="16"/>
                <w:szCs w:val="20"/>
                <w:lang w:eastAsia="es-MX"/>
              </w:rPr>
              <w:t>Nota:  a efecto de realizar una valoración adecuada, cualquier propuesta deberá estar sustentada en lo manifestado en las respuestas a las preguntas previas.</w:t>
            </w:r>
          </w:p>
        </w:tc>
      </w:tr>
      <w:tr w:rsidR="00113D1A" w:rsidRPr="00C152A6" w14:paraId="06432A6E" w14:textId="77777777" w:rsidTr="00C152A6">
        <w:trPr>
          <w:trHeight w:val="414"/>
        </w:trPr>
        <w:tc>
          <w:tcPr>
            <w:tcW w:w="3047" w:type="dxa"/>
            <w:gridSpan w:val="2"/>
            <w:shd w:val="clear" w:color="auto" w:fill="FFFFFF"/>
          </w:tcPr>
          <w:p w14:paraId="22E6E715"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tcPr>
          <w:p w14:paraId="0F3BDABC"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[Señale la propuesta]</w:t>
            </w:r>
          </w:p>
        </w:tc>
      </w:tr>
      <w:tr w:rsidR="00113D1A" w:rsidRPr="00C152A6" w14:paraId="06A4572E" w14:textId="77777777" w:rsidTr="00C152A6">
        <w:trPr>
          <w:trHeight w:val="414"/>
        </w:trPr>
        <w:tc>
          <w:tcPr>
            <w:tcW w:w="3047" w:type="dxa"/>
            <w:gridSpan w:val="2"/>
            <w:shd w:val="clear" w:color="auto" w:fill="FFFFFF"/>
            <w:vAlign w:val="center"/>
          </w:tcPr>
          <w:p w14:paraId="59BF600D"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vAlign w:val="center"/>
          </w:tcPr>
          <w:p w14:paraId="1DD4C55E"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[Señale la propuesta]</w:t>
            </w:r>
          </w:p>
        </w:tc>
      </w:tr>
      <w:tr w:rsidR="00340609" w:rsidRPr="00DF5B3F" w14:paraId="016C0D9E" w14:textId="77777777" w:rsidTr="00D42C6E">
        <w:trPr>
          <w:trHeight w:val="290"/>
        </w:trPr>
        <w:tc>
          <w:tcPr>
            <w:tcW w:w="1771" w:type="dxa"/>
            <w:shd w:val="clear" w:color="auto" w:fill="C5E0B3"/>
            <w:vAlign w:val="center"/>
          </w:tcPr>
          <w:p w14:paraId="234160B0" w14:textId="77777777" w:rsidR="00340609" w:rsidRPr="00D26916" w:rsidRDefault="00340609" w:rsidP="00340609">
            <w:pPr>
              <w:spacing w:before="240" w:line="276" w:lineRule="auto"/>
              <w:jc w:val="center"/>
              <w:rPr>
                <w:rFonts w:ascii="Century Gothic" w:eastAsia="Times New Roman" w:hAnsi="Century Gothic"/>
                <w:b/>
                <w:color w:val="000000"/>
                <w:sz w:val="20"/>
                <w:lang w:eastAsia="es-MX"/>
              </w:rPr>
            </w:pPr>
            <w:r>
              <w:rPr>
                <w:rFonts w:ascii="Century Gothic" w:eastAsia="Times New Roman" w:hAnsi="Century Gothic"/>
                <w:b/>
                <w:color w:val="000000"/>
                <w:sz w:val="20"/>
                <w:lang w:eastAsia="es-MX"/>
              </w:rPr>
              <w:t>Medida</w:t>
            </w:r>
            <w:r w:rsidRPr="00D26916">
              <w:rPr>
                <w:rFonts w:ascii="Century Gothic" w:eastAsia="Times New Roman" w:hAnsi="Century Gothic"/>
                <w:b/>
                <w:color w:val="000000"/>
                <w:sz w:val="20"/>
                <w:lang w:eastAsia="es-MX"/>
              </w:rPr>
              <w:t xml:space="preserve"> </w:t>
            </w:r>
            <w:r>
              <w:rPr>
                <w:rFonts w:ascii="Century Gothic" w:eastAsia="Times New Roman" w:hAnsi="Century Gothic"/>
                <w:b/>
                <w:color w:val="000000"/>
                <w:sz w:val="20"/>
                <w:lang w:eastAsia="es-MX"/>
              </w:rPr>
              <w:t xml:space="preserve">Vigésima Cuarta. Referente a la </w:t>
            </w:r>
            <w:r w:rsidRPr="00FB21F4">
              <w:rPr>
                <w:rFonts w:ascii="Century Gothic" w:eastAsia="Times New Roman" w:hAnsi="Century Gothic"/>
                <w:b/>
                <w:color w:val="000000"/>
                <w:sz w:val="20"/>
                <w:u w:val="single"/>
                <w:lang w:eastAsia="es-MX"/>
              </w:rPr>
              <w:t>Relación entre Agentes Preponderantes</w:t>
            </w:r>
          </w:p>
        </w:tc>
        <w:tc>
          <w:tcPr>
            <w:tcW w:w="6870" w:type="dxa"/>
            <w:gridSpan w:val="3"/>
            <w:shd w:val="clear" w:color="auto" w:fill="C5E0B3"/>
            <w:vAlign w:val="center"/>
          </w:tcPr>
          <w:p w14:paraId="1E2708FF" w14:textId="77777777" w:rsidR="00340609" w:rsidRPr="00DF67B4" w:rsidRDefault="00340609" w:rsidP="00340609">
            <w:pPr>
              <w:spacing w:before="240" w:after="0" w:line="276" w:lineRule="auto"/>
              <w:jc w:val="both"/>
              <w:rPr>
                <w:rFonts w:ascii="Century Gothic" w:eastAsia="Times New Roman" w:hAnsi="Century Gothic"/>
                <w:b/>
                <w:color w:val="000000"/>
                <w:sz w:val="20"/>
                <w:lang w:eastAsia="es-MX"/>
              </w:rPr>
            </w:pPr>
            <w:r w:rsidRPr="00DF67B4">
              <w:rPr>
                <w:rFonts w:ascii="Century Gothic" w:eastAsia="Times New Roman" w:hAnsi="Century Gothic"/>
                <w:b/>
                <w:color w:val="000000"/>
                <w:sz w:val="20"/>
                <w:lang w:eastAsia="es-MX"/>
              </w:rPr>
              <w:t>O</w:t>
            </w:r>
            <w:r>
              <w:rPr>
                <w:rFonts w:ascii="Century Gothic" w:eastAsia="Times New Roman" w:hAnsi="Century Gothic"/>
                <w:b/>
                <w:color w:val="000000"/>
                <w:sz w:val="20"/>
                <w:lang w:eastAsia="es-MX"/>
              </w:rPr>
              <w:t>bjetivo de la medida</w:t>
            </w:r>
            <w:r w:rsidRPr="00DF67B4">
              <w:rPr>
                <w:rFonts w:ascii="Century Gothic" w:eastAsia="Times New Roman" w:hAnsi="Century Gothic"/>
                <w:b/>
                <w:color w:val="000000"/>
                <w:sz w:val="20"/>
                <w:lang w:eastAsia="es-MX"/>
              </w:rPr>
              <w:t xml:space="preserve">: </w:t>
            </w:r>
          </w:p>
          <w:p w14:paraId="5A90D5EF" w14:textId="77777777" w:rsidR="00340609" w:rsidRPr="00BD6FD4" w:rsidRDefault="00340609" w:rsidP="00340609">
            <w:pPr>
              <w:numPr>
                <w:ilvl w:val="0"/>
                <w:numId w:val="12"/>
              </w:numPr>
              <w:spacing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E</w:t>
            </w:r>
            <w:r w:rsidRPr="004E68E2">
              <w:rPr>
                <w:rFonts w:ascii="Century Gothic" w:eastAsia="Times New Roman" w:hAnsi="Century Gothic"/>
                <w:color w:val="000000"/>
                <w:sz w:val="20"/>
                <w:lang w:eastAsia="es-MX"/>
              </w:rPr>
              <w:t>vitar incentivos y canales de comunicación para que los Agentes Económicos Preponderantes en radiodifusión y telecomunicaciones coordinen sus acciones para restringir la competencia en los servicios en que concurren.</w:t>
            </w:r>
          </w:p>
        </w:tc>
      </w:tr>
      <w:tr w:rsidR="00340609" w:rsidRPr="00DF5B3F" w14:paraId="7142F882" w14:textId="77777777" w:rsidTr="00025D86">
        <w:trPr>
          <w:trHeight w:val="290"/>
        </w:trPr>
        <w:tc>
          <w:tcPr>
            <w:tcW w:w="8641" w:type="dxa"/>
            <w:gridSpan w:val="4"/>
            <w:shd w:val="clear" w:color="auto" w:fill="auto"/>
            <w:vAlign w:val="center"/>
          </w:tcPr>
          <w:p w14:paraId="59E90415" w14:textId="77777777"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Contexto:</w:t>
            </w:r>
          </w:p>
          <w:p w14:paraId="6F113319" w14:textId="25511B25" w:rsidR="008302DA" w:rsidRDefault="00E04336" w:rsidP="000E5F80">
            <w:pPr>
              <w:spacing w:after="120" w:line="276" w:lineRule="auto"/>
              <w:jc w:val="both"/>
              <w:rPr>
                <w:rFonts w:ascii="Century Gothic" w:eastAsia="Times New Roman" w:hAnsi="Century Gothic"/>
                <w:color w:val="000000"/>
                <w:sz w:val="20"/>
                <w:lang w:eastAsia="es-MX"/>
              </w:rPr>
            </w:pPr>
            <w:r w:rsidRPr="00E04336">
              <w:rPr>
                <w:rFonts w:ascii="Century Gothic" w:eastAsia="Times New Roman" w:hAnsi="Century Gothic"/>
                <w:color w:val="000000"/>
                <w:sz w:val="20"/>
                <w:lang w:eastAsia="es-MX"/>
              </w:rPr>
              <w:t>Considerando la alta concentración que existe en los sectores de telecomunicaciones y radiodifusión, así como la convergencia que impera en ambas materias, e</w:t>
            </w:r>
            <w:r w:rsidR="008302DA">
              <w:rPr>
                <w:rFonts w:ascii="Century Gothic" w:eastAsia="Times New Roman" w:hAnsi="Century Gothic"/>
                <w:color w:val="000000"/>
                <w:sz w:val="20"/>
                <w:lang w:eastAsia="es-MX"/>
              </w:rPr>
              <w:t>l</w:t>
            </w:r>
            <w:r w:rsidRPr="00E04336">
              <w:rPr>
                <w:rFonts w:ascii="Century Gothic" w:eastAsia="Times New Roman" w:hAnsi="Century Gothic"/>
                <w:color w:val="000000"/>
                <w:sz w:val="20"/>
                <w:lang w:eastAsia="es-MX"/>
              </w:rPr>
              <w:t xml:space="preserve"> Instituto considera necesario evitar la formación de mecanismos de coordinación e intercambio de información entre los agentes económicos preponderantes</w:t>
            </w:r>
            <w:r w:rsidR="008302DA">
              <w:rPr>
                <w:rFonts w:ascii="Century Gothic" w:eastAsia="Times New Roman" w:hAnsi="Century Gothic"/>
                <w:color w:val="000000"/>
                <w:sz w:val="20"/>
                <w:lang w:eastAsia="es-MX"/>
              </w:rPr>
              <w:t xml:space="preserve"> cuya </w:t>
            </w:r>
            <w:r w:rsidRPr="00E04336">
              <w:rPr>
                <w:rFonts w:ascii="Century Gothic" w:eastAsia="Times New Roman" w:hAnsi="Century Gothic"/>
                <w:color w:val="000000"/>
                <w:sz w:val="20"/>
                <w:lang w:eastAsia="es-MX"/>
              </w:rPr>
              <w:t xml:space="preserve">finalidad </w:t>
            </w:r>
            <w:r w:rsidR="008302DA">
              <w:rPr>
                <w:rFonts w:ascii="Century Gothic" w:eastAsia="Times New Roman" w:hAnsi="Century Gothic"/>
                <w:color w:val="000000"/>
                <w:sz w:val="20"/>
                <w:lang w:eastAsia="es-MX"/>
              </w:rPr>
              <w:t>sea</w:t>
            </w:r>
            <w:r w:rsidRPr="00E04336">
              <w:rPr>
                <w:rFonts w:ascii="Century Gothic" w:eastAsia="Times New Roman" w:hAnsi="Century Gothic"/>
                <w:color w:val="000000"/>
                <w:sz w:val="20"/>
                <w:lang w:eastAsia="es-MX"/>
              </w:rPr>
              <w:t xml:space="preserve"> inhibir los mecanismos de mercado.</w:t>
            </w:r>
            <w:r w:rsidR="008302DA">
              <w:rPr>
                <w:rFonts w:ascii="Century Gothic" w:eastAsia="Times New Roman" w:hAnsi="Century Gothic"/>
                <w:color w:val="000000"/>
                <w:sz w:val="20"/>
                <w:lang w:eastAsia="es-MX"/>
              </w:rPr>
              <w:t xml:space="preserve"> </w:t>
            </w:r>
          </w:p>
          <w:p w14:paraId="72F9442D" w14:textId="79993CF8"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R</w:t>
            </w:r>
            <w:r>
              <w:rPr>
                <w:rFonts w:ascii="Century Gothic" w:eastAsia="Times New Roman" w:hAnsi="Century Gothic"/>
                <w:b/>
                <w:color w:val="000000"/>
                <w:sz w:val="20"/>
                <w:lang w:eastAsia="es-MX"/>
              </w:rPr>
              <w:t>esumen de medida impuesta</w:t>
            </w:r>
            <w:r w:rsidRPr="000E5F80">
              <w:rPr>
                <w:rFonts w:ascii="Century Gothic" w:eastAsia="Times New Roman" w:hAnsi="Century Gothic"/>
                <w:b/>
                <w:color w:val="000000"/>
                <w:sz w:val="20"/>
                <w:lang w:eastAsia="es-MX"/>
              </w:rPr>
              <w:t>:</w:t>
            </w:r>
          </w:p>
          <w:p w14:paraId="29530712" w14:textId="27AEC8F2" w:rsidR="00340609" w:rsidRPr="009929A7" w:rsidRDefault="000E5F80" w:rsidP="000E5F80">
            <w:pPr>
              <w:spacing w:after="120" w:line="276" w:lineRule="auto"/>
              <w:jc w:val="both"/>
              <w:rPr>
                <w:rFonts w:ascii="Century Gothic" w:eastAsia="Times New Roman" w:hAnsi="Century Gothic"/>
                <w:color w:val="000000"/>
                <w:sz w:val="20"/>
              </w:rPr>
            </w:pPr>
            <w:r>
              <w:rPr>
                <w:rFonts w:ascii="Century Gothic" w:eastAsia="Times New Roman" w:hAnsi="Century Gothic"/>
                <w:color w:val="000000"/>
                <w:sz w:val="20"/>
                <w:lang w:eastAsia="es-MX"/>
              </w:rPr>
              <w:t>El</w:t>
            </w:r>
            <w:r w:rsidR="00340609">
              <w:rPr>
                <w:rFonts w:ascii="Century Gothic" w:eastAsia="Times New Roman" w:hAnsi="Century Gothic"/>
                <w:color w:val="000000"/>
                <w:sz w:val="20"/>
                <w:lang w:eastAsia="es-MX"/>
              </w:rPr>
              <w:t xml:space="preserve"> I</w:t>
            </w:r>
            <w:r w:rsidR="00F475C7">
              <w:rPr>
                <w:rFonts w:ascii="Century Gothic" w:eastAsia="Times New Roman" w:hAnsi="Century Gothic"/>
                <w:color w:val="000000"/>
                <w:sz w:val="20"/>
                <w:lang w:eastAsia="es-MX"/>
              </w:rPr>
              <w:t>nstituto</w:t>
            </w:r>
            <w:r w:rsidR="00340609">
              <w:rPr>
                <w:rFonts w:ascii="Century Gothic" w:eastAsia="Times New Roman" w:hAnsi="Century Gothic"/>
                <w:color w:val="000000"/>
                <w:sz w:val="20"/>
                <w:lang w:eastAsia="es-MX"/>
              </w:rPr>
              <w:t xml:space="preserve"> impuso al AEPR la prohibición de participar, directa o indirectamente,</w:t>
            </w:r>
            <w:r w:rsidR="00340609">
              <w:t xml:space="preserve"> </w:t>
            </w:r>
            <w:r w:rsidR="00340609" w:rsidRPr="0052525D">
              <w:rPr>
                <w:rFonts w:ascii="Century Gothic" w:eastAsia="Times New Roman" w:hAnsi="Century Gothic"/>
                <w:color w:val="000000"/>
                <w:sz w:val="20"/>
                <w:lang w:eastAsia="es-MX"/>
              </w:rPr>
              <w:t xml:space="preserve">en el capital social ni influir en forma alguna en la administración o control, ni poseer instrumento o título alguno que le otorgue esa posibilidad, del agente económico preponderante en </w:t>
            </w:r>
            <w:r w:rsidR="00DF61C9">
              <w:rPr>
                <w:rFonts w:ascii="Century Gothic" w:eastAsia="Times New Roman" w:hAnsi="Century Gothic"/>
                <w:color w:val="000000"/>
                <w:sz w:val="20"/>
                <w:lang w:eastAsia="es-MX"/>
              </w:rPr>
              <w:t xml:space="preserve">el sector de las </w:t>
            </w:r>
            <w:r w:rsidR="00340609" w:rsidRPr="0052525D">
              <w:rPr>
                <w:rFonts w:ascii="Century Gothic" w:eastAsia="Times New Roman" w:hAnsi="Century Gothic"/>
                <w:color w:val="000000"/>
                <w:sz w:val="20"/>
                <w:lang w:eastAsia="es-MX"/>
              </w:rPr>
              <w:t>telecomunicaciones</w:t>
            </w:r>
            <w:r w:rsidR="00DF61C9">
              <w:rPr>
                <w:rFonts w:ascii="Century Gothic" w:eastAsia="Times New Roman" w:hAnsi="Century Gothic"/>
                <w:color w:val="000000"/>
                <w:sz w:val="20"/>
                <w:lang w:eastAsia="es-MX"/>
              </w:rPr>
              <w:t>.</w:t>
            </w:r>
          </w:p>
        </w:tc>
      </w:tr>
      <w:tr w:rsidR="00C63F99" w:rsidRPr="001A5B2D" w14:paraId="2A8A5645" w14:textId="77777777" w:rsidTr="00363DAD">
        <w:trPr>
          <w:trHeight w:val="290"/>
        </w:trPr>
        <w:tc>
          <w:tcPr>
            <w:tcW w:w="8641" w:type="dxa"/>
            <w:gridSpan w:val="4"/>
            <w:shd w:val="clear" w:color="auto" w:fill="auto"/>
            <w:vAlign w:val="center"/>
          </w:tcPr>
          <w:p w14:paraId="314476B2" w14:textId="14CB97BA" w:rsidR="00C63F99" w:rsidRPr="001A5B2D" w:rsidRDefault="00963421" w:rsidP="00014C1A">
            <w:pPr>
              <w:spacing w:after="0" w:line="276" w:lineRule="auto"/>
              <w:jc w:val="both"/>
              <w:rPr>
                <w:rFonts w:ascii="Century Gothic" w:eastAsia="Times New Roman" w:hAnsi="Century Gothic"/>
                <w:b/>
                <w:color w:val="000000"/>
                <w:sz w:val="20"/>
                <w:szCs w:val="20"/>
                <w:lang w:eastAsia="es-MX"/>
              </w:rPr>
            </w:pPr>
            <w:r w:rsidRPr="00963421">
              <w:rPr>
                <w:rFonts w:ascii="Century Gothic" w:eastAsia="Times New Roman" w:hAnsi="Century Gothic"/>
                <w:b/>
                <w:color w:val="000000"/>
                <w:sz w:val="20"/>
                <w:szCs w:val="20"/>
                <w:lang w:eastAsia="es-MX"/>
              </w:rPr>
              <w:t>¿Cuáles son los efectos que la medida ha generado en el sector de radiodifusión? ¿</w:t>
            </w:r>
            <w:r w:rsidR="004602D4">
              <w:rPr>
                <w:rFonts w:ascii="Century Gothic" w:eastAsia="Times New Roman" w:hAnsi="Century Gothic"/>
                <w:b/>
                <w:color w:val="000000"/>
                <w:sz w:val="20"/>
                <w:szCs w:val="20"/>
                <w:lang w:eastAsia="es-MX"/>
              </w:rPr>
              <w:t>De qué manera</w:t>
            </w:r>
            <w:r w:rsidRPr="00963421">
              <w:rPr>
                <w:rFonts w:ascii="Century Gothic" w:eastAsia="Times New Roman" w:hAnsi="Century Gothic"/>
                <w:b/>
                <w:color w:val="000000"/>
                <w:sz w:val="20"/>
                <w:szCs w:val="20"/>
                <w:lang w:eastAsia="es-MX"/>
              </w:rPr>
              <w:t xml:space="preserve"> han contribuido a alcanzar el objetivo para el cual fue creada la medida?</w:t>
            </w:r>
          </w:p>
        </w:tc>
      </w:tr>
      <w:tr w:rsidR="00C63F99" w:rsidRPr="00C41536" w14:paraId="39157398" w14:textId="77777777" w:rsidTr="00363DAD">
        <w:trPr>
          <w:trHeight w:val="90"/>
        </w:trPr>
        <w:tc>
          <w:tcPr>
            <w:tcW w:w="8641" w:type="dxa"/>
            <w:gridSpan w:val="4"/>
            <w:shd w:val="clear" w:color="auto" w:fill="auto"/>
            <w:vAlign w:val="center"/>
          </w:tcPr>
          <w:p w14:paraId="181C531C"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11AD1BF0" w14:textId="77777777" w:rsidR="00C63F99" w:rsidRPr="00C41536" w:rsidRDefault="00C63F99" w:rsidP="00C63F99">
            <w:pPr>
              <w:spacing w:after="0" w:line="240" w:lineRule="auto"/>
              <w:rPr>
                <w:rFonts w:ascii="Century Gothic" w:eastAsia="Times New Roman" w:hAnsi="Century Gothic"/>
                <w:color w:val="000000"/>
                <w:lang w:eastAsia="es-MX"/>
              </w:rPr>
            </w:pPr>
          </w:p>
        </w:tc>
      </w:tr>
      <w:tr w:rsidR="0075473C" w:rsidRPr="00621A36" w14:paraId="6E9E0B7E" w14:textId="77777777" w:rsidTr="0063715A">
        <w:trPr>
          <w:trHeight w:val="90"/>
        </w:trPr>
        <w:tc>
          <w:tcPr>
            <w:tcW w:w="3331" w:type="dxa"/>
            <w:gridSpan w:val="3"/>
            <w:shd w:val="clear" w:color="auto" w:fill="auto"/>
            <w:vAlign w:val="center"/>
          </w:tcPr>
          <w:p w14:paraId="07006AE9"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 xml:space="preserve">Liste los documentos </w:t>
            </w:r>
            <w:proofErr w:type="gramStart"/>
            <w:r w:rsidRPr="0075473C">
              <w:rPr>
                <w:rFonts w:ascii="Century Gothic" w:eastAsia="Times New Roman" w:hAnsi="Century Gothic"/>
                <w:color w:val="000000"/>
                <w:sz w:val="20"/>
                <w:szCs w:val="20"/>
                <w:lang w:eastAsia="es-MX"/>
              </w:rPr>
              <w:t>asociados  a</w:t>
            </w:r>
            <w:proofErr w:type="gramEnd"/>
            <w:r w:rsidRPr="0075473C">
              <w:rPr>
                <w:rFonts w:ascii="Century Gothic" w:eastAsia="Times New Roman" w:hAnsi="Century Gothic"/>
                <w:color w:val="000000"/>
                <w:sz w:val="20"/>
                <w:szCs w:val="20"/>
                <w:lang w:eastAsia="es-MX"/>
              </w:rPr>
              <w:t xml:space="preserve"> los comentarios manifestados</w:t>
            </w:r>
            <w:r w:rsidR="00CF33CC">
              <w:rPr>
                <w:rFonts w:ascii="Century Gothic" w:eastAsia="Times New Roman" w:hAnsi="Century Gothic"/>
                <w:color w:val="000000"/>
                <w:sz w:val="20"/>
                <w:szCs w:val="20"/>
                <w:lang w:eastAsia="es-MX"/>
              </w:rPr>
              <w:t>:</w:t>
            </w:r>
            <w:r w:rsidRPr="0075473C" w:rsidDel="00934B06">
              <w:rPr>
                <w:rFonts w:ascii="Century Gothic" w:eastAsia="Times New Roman" w:hAnsi="Century Gothic"/>
                <w:color w:val="000000"/>
                <w:sz w:val="20"/>
                <w:szCs w:val="20"/>
                <w:lang w:eastAsia="es-MX"/>
              </w:rPr>
              <w:t xml:space="preserve"> </w:t>
            </w:r>
          </w:p>
        </w:tc>
        <w:tc>
          <w:tcPr>
            <w:tcW w:w="5310" w:type="dxa"/>
            <w:shd w:val="clear" w:color="auto" w:fill="auto"/>
            <w:vAlign w:val="center"/>
          </w:tcPr>
          <w:p w14:paraId="36121435" w14:textId="77777777" w:rsidR="0075473C" w:rsidRPr="0063715A" w:rsidRDefault="0075473C" w:rsidP="0075473C">
            <w:pPr>
              <w:spacing w:after="0" w:line="240" w:lineRule="auto"/>
              <w:rPr>
                <w:rFonts w:ascii="Century Gothic" w:eastAsia="Times New Roman" w:hAnsi="Century Gothic"/>
                <w:i/>
                <w:color w:val="A6A6A6"/>
                <w:sz w:val="18"/>
                <w:szCs w:val="20"/>
                <w:lang w:eastAsia="es-MX"/>
              </w:rPr>
            </w:pPr>
            <w:r w:rsidRPr="0063715A">
              <w:rPr>
                <w:rFonts w:ascii="Century Gothic" w:eastAsia="Times New Roman" w:hAnsi="Century Gothic"/>
                <w:i/>
                <w:color w:val="A6A6A6"/>
                <w:sz w:val="18"/>
                <w:szCs w:val="20"/>
                <w:lang w:eastAsia="es-MX"/>
              </w:rPr>
              <w:t>[Indique nombre, sección y páginas del documento]</w:t>
            </w:r>
          </w:p>
        </w:tc>
      </w:tr>
      <w:tr w:rsidR="00C63F99" w:rsidRPr="00C41536" w14:paraId="6EC7441D" w14:textId="77777777" w:rsidTr="00363DAD">
        <w:trPr>
          <w:trHeight w:val="290"/>
        </w:trPr>
        <w:tc>
          <w:tcPr>
            <w:tcW w:w="8641" w:type="dxa"/>
            <w:gridSpan w:val="4"/>
            <w:shd w:val="clear" w:color="auto" w:fill="auto"/>
            <w:vAlign w:val="center"/>
          </w:tcPr>
          <w:p w14:paraId="402BE399" w14:textId="44007CF3" w:rsidR="00C63F99" w:rsidRPr="00C41536" w:rsidRDefault="00C63F99" w:rsidP="00E30163">
            <w:pPr>
              <w:spacing w:after="0" w:line="276" w:lineRule="auto"/>
              <w:jc w:val="both"/>
              <w:rPr>
                <w:rFonts w:ascii="Century Gothic" w:eastAsia="Times New Roman" w:hAnsi="Century Gothic"/>
                <w:color w:val="000000"/>
                <w:lang w:eastAsia="es-MX"/>
              </w:rPr>
            </w:pPr>
            <w:r w:rsidRPr="001A5B2D">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1A5B2D" w:rsidDel="004602D4">
              <w:rPr>
                <w:rFonts w:ascii="Century Gothic" w:eastAsia="Times New Roman" w:hAnsi="Century Gothic"/>
                <w:b/>
                <w:color w:val="000000"/>
                <w:sz w:val="20"/>
                <w:szCs w:val="20"/>
                <w:lang w:eastAsia="es-MX"/>
              </w:rPr>
              <w:t xml:space="preserve"> </w:t>
            </w:r>
            <w:r w:rsidRPr="001A5B2D">
              <w:rPr>
                <w:rFonts w:ascii="Century Gothic" w:eastAsia="Times New Roman" w:hAnsi="Century Gothic"/>
                <w:b/>
                <w:color w:val="000000"/>
                <w:sz w:val="20"/>
                <w:szCs w:val="20"/>
                <w:lang w:eastAsia="es-MX"/>
              </w:rPr>
              <w:t xml:space="preserve">que el diseño de la medida referente a la </w:t>
            </w:r>
            <w:r w:rsidR="0075473C">
              <w:rPr>
                <w:rFonts w:ascii="Century Gothic" w:eastAsia="Times New Roman" w:hAnsi="Century Gothic"/>
                <w:b/>
                <w:color w:val="000000"/>
                <w:sz w:val="20"/>
                <w:szCs w:val="20"/>
                <w:lang w:eastAsia="es-MX"/>
              </w:rPr>
              <w:t xml:space="preserve">relación entre </w:t>
            </w:r>
            <w:r w:rsidR="00DF61C9">
              <w:rPr>
                <w:rFonts w:ascii="Century Gothic" w:eastAsia="Times New Roman" w:hAnsi="Century Gothic"/>
                <w:b/>
                <w:color w:val="000000"/>
                <w:sz w:val="20"/>
                <w:szCs w:val="20"/>
                <w:lang w:eastAsia="es-MX"/>
              </w:rPr>
              <w:t>a</w:t>
            </w:r>
            <w:r w:rsidR="0075473C">
              <w:rPr>
                <w:rFonts w:ascii="Century Gothic" w:eastAsia="Times New Roman" w:hAnsi="Century Gothic"/>
                <w:b/>
                <w:color w:val="000000"/>
                <w:sz w:val="20"/>
                <w:szCs w:val="20"/>
                <w:lang w:eastAsia="es-MX"/>
              </w:rPr>
              <w:t xml:space="preserve">gentes </w:t>
            </w:r>
            <w:r w:rsidR="00DF61C9">
              <w:rPr>
                <w:rFonts w:ascii="Century Gothic" w:eastAsia="Times New Roman" w:hAnsi="Century Gothic"/>
                <w:b/>
                <w:color w:val="000000"/>
                <w:sz w:val="20"/>
                <w:szCs w:val="20"/>
                <w:lang w:eastAsia="es-MX"/>
              </w:rPr>
              <w:t>e</w:t>
            </w:r>
            <w:r w:rsidR="0075473C">
              <w:rPr>
                <w:rFonts w:ascii="Century Gothic" w:eastAsia="Times New Roman" w:hAnsi="Century Gothic"/>
                <w:b/>
                <w:color w:val="000000"/>
                <w:sz w:val="20"/>
                <w:szCs w:val="20"/>
                <w:lang w:eastAsia="es-MX"/>
              </w:rPr>
              <w:t xml:space="preserve">conómicos </w:t>
            </w:r>
            <w:r w:rsidR="00DF61C9">
              <w:rPr>
                <w:rFonts w:ascii="Century Gothic" w:eastAsia="Times New Roman" w:hAnsi="Century Gothic"/>
                <w:b/>
                <w:color w:val="000000"/>
                <w:sz w:val="20"/>
                <w:szCs w:val="20"/>
                <w:lang w:eastAsia="es-MX"/>
              </w:rPr>
              <w:t>p</w:t>
            </w:r>
            <w:r w:rsidR="0075473C">
              <w:rPr>
                <w:rFonts w:ascii="Century Gothic" w:eastAsia="Times New Roman" w:hAnsi="Century Gothic"/>
                <w:b/>
                <w:color w:val="000000"/>
                <w:sz w:val="20"/>
                <w:szCs w:val="20"/>
                <w:lang w:eastAsia="es-MX"/>
              </w:rPr>
              <w:t>reponderantes</w:t>
            </w:r>
            <w:r w:rsidRPr="001A5B2D">
              <w:rPr>
                <w:rFonts w:ascii="Century Gothic" w:eastAsia="Times New Roman" w:hAnsi="Century Gothic"/>
                <w:b/>
                <w:color w:val="000000"/>
                <w:sz w:val="20"/>
                <w:szCs w:val="20"/>
                <w:lang w:eastAsia="es-MX"/>
              </w:rPr>
              <w:t xml:space="preserve"> </w:t>
            </w:r>
            <w:r>
              <w:rPr>
                <w:rFonts w:ascii="Century Gothic" w:eastAsia="Times New Roman" w:hAnsi="Century Gothic"/>
                <w:b/>
                <w:color w:val="000000"/>
                <w:sz w:val="20"/>
                <w:szCs w:val="20"/>
                <w:lang w:eastAsia="es-MX"/>
              </w:rPr>
              <w:t>está alineado</w:t>
            </w:r>
            <w:r w:rsidRPr="001A5B2D">
              <w:rPr>
                <w:rFonts w:ascii="Century Gothic" w:eastAsia="Times New Roman" w:hAnsi="Century Gothic"/>
                <w:b/>
                <w:color w:val="000000"/>
                <w:sz w:val="20"/>
                <w:szCs w:val="20"/>
                <w:lang w:eastAsia="es-MX"/>
              </w:rPr>
              <w:t xml:space="preserve"> con los objetivos originalmente planteados?</w:t>
            </w:r>
          </w:p>
        </w:tc>
      </w:tr>
      <w:tr w:rsidR="00C63F99" w:rsidRPr="00C41536" w14:paraId="268762F0" w14:textId="77777777" w:rsidTr="00363DAD">
        <w:trPr>
          <w:trHeight w:val="90"/>
        </w:trPr>
        <w:tc>
          <w:tcPr>
            <w:tcW w:w="8641" w:type="dxa"/>
            <w:gridSpan w:val="4"/>
            <w:shd w:val="clear" w:color="auto" w:fill="auto"/>
            <w:vAlign w:val="center"/>
          </w:tcPr>
          <w:p w14:paraId="6D8CFD13"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54D5BB83" w14:textId="77777777" w:rsidR="00C63F99" w:rsidRPr="00C41536" w:rsidRDefault="00C63F99" w:rsidP="00C63F99">
            <w:pPr>
              <w:spacing w:after="0" w:line="240" w:lineRule="auto"/>
              <w:rPr>
                <w:rFonts w:ascii="Century Gothic" w:eastAsia="Times New Roman" w:hAnsi="Century Gothic"/>
                <w:color w:val="000000"/>
                <w:lang w:eastAsia="es-MX"/>
              </w:rPr>
            </w:pPr>
          </w:p>
        </w:tc>
      </w:tr>
      <w:tr w:rsidR="0075473C" w:rsidRPr="00621A36" w14:paraId="78D2EB78" w14:textId="77777777" w:rsidTr="0063715A">
        <w:trPr>
          <w:trHeight w:val="90"/>
        </w:trPr>
        <w:tc>
          <w:tcPr>
            <w:tcW w:w="3331" w:type="dxa"/>
            <w:gridSpan w:val="3"/>
            <w:shd w:val="clear" w:color="auto" w:fill="auto"/>
            <w:vAlign w:val="center"/>
          </w:tcPr>
          <w:p w14:paraId="32EB5C91" w14:textId="1105A5D4"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 xml:space="preserve">Liste los documentos </w:t>
            </w:r>
            <w:proofErr w:type="gramStart"/>
            <w:r w:rsidRPr="0075473C">
              <w:rPr>
                <w:rFonts w:ascii="Century Gothic" w:eastAsia="Times New Roman" w:hAnsi="Century Gothic"/>
                <w:color w:val="000000"/>
                <w:sz w:val="20"/>
                <w:szCs w:val="20"/>
                <w:lang w:eastAsia="es-MX"/>
              </w:rPr>
              <w:t>asociados  a</w:t>
            </w:r>
            <w:proofErr w:type="gramEnd"/>
            <w:r w:rsidRPr="0075473C">
              <w:rPr>
                <w:rFonts w:ascii="Century Gothic" w:eastAsia="Times New Roman" w:hAnsi="Century Gothic"/>
                <w:color w:val="000000"/>
                <w:sz w:val="20"/>
                <w:szCs w:val="20"/>
                <w:lang w:eastAsia="es-MX"/>
              </w:rPr>
              <w:t xml:space="preserve">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0A4AF62E"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63715A">
              <w:rPr>
                <w:rFonts w:ascii="Century Gothic" w:eastAsia="Times New Roman" w:hAnsi="Century Gothic"/>
                <w:i/>
                <w:color w:val="A6A6A6"/>
                <w:sz w:val="18"/>
                <w:szCs w:val="20"/>
                <w:lang w:eastAsia="es-MX"/>
              </w:rPr>
              <w:t>[Indique nombre, sección y páginas del documento]</w:t>
            </w:r>
          </w:p>
        </w:tc>
      </w:tr>
      <w:tr w:rsidR="00C63F99" w:rsidRPr="00621A36" w14:paraId="77B42245" w14:textId="77777777" w:rsidTr="00363DAD">
        <w:trPr>
          <w:trHeight w:val="90"/>
        </w:trPr>
        <w:tc>
          <w:tcPr>
            <w:tcW w:w="8641" w:type="dxa"/>
            <w:gridSpan w:val="4"/>
            <w:shd w:val="clear" w:color="auto" w:fill="auto"/>
            <w:vAlign w:val="center"/>
          </w:tcPr>
          <w:p w14:paraId="4EA0539A" w14:textId="107DBAC1" w:rsidR="00C63F99" w:rsidRPr="00621A36" w:rsidRDefault="00963421" w:rsidP="0063715A">
            <w:pPr>
              <w:spacing w:after="0" w:line="240" w:lineRule="auto"/>
              <w:jc w:val="both"/>
              <w:rPr>
                <w:rFonts w:ascii="Century Gothic" w:eastAsia="Times New Roman" w:hAnsi="Century Gothic"/>
                <w:color w:val="000000"/>
                <w:sz w:val="20"/>
                <w:szCs w:val="20"/>
                <w:lang w:eastAsia="es-MX"/>
              </w:rPr>
            </w:pPr>
            <w:r w:rsidRPr="00963421">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963421" w:rsidDel="004602D4">
              <w:rPr>
                <w:rFonts w:ascii="Century Gothic" w:eastAsia="Times New Roman" w:hAnsi="Century Gothic"/>
                <w:b/>
                <w:color w:val="000000"/>
                <w:sz w:val="20"/>
                <w:szCs w:val="20"/>
                <w:lang w:eastAsia="es-MX"/>
              </w:rPr>
              <w:t xml:space="preserve"> </w:t>
            </w:r>
            <w:r w:rsidRPr="00963421">
              <w:rPr>
                <w:rFonts w:ascii="Century Gothic" w:eastAsia="Times New Roman" w:hAnsi="Century Gothic"/>
                <w:b/>
                <w:color w:val="000000"/>
                <w:sz w:val="20"/>
                <w:szCs w:val="20"/>
                <w:lang w:eastAsia="es-MX"/>
              </w:rPr>
              <w:t>que las acciones y/o instrumentos mediante las cuales se han implementado la medida han sido adecuadas para alcanzar los objetivos por los que se plantearon?</w:t>
            </w:r>
          </w:p>
        </w:tc>
      </w:tr>
      <w:tr w:rsidR="00C63F99" w:rsidRPr="00621A36" w14:paraId="3C47CFC4" w14:textId="77777777" w:rsidTr="00363DAD">
        <w:trPr>
          <w:trHeight w:val="90"/>
        </w:trPr>
        <w:tc>
          <w:tcPr>
            <w:tcW w:w="8641" w:type="dxa"/>
            <w:gridSpan w:val="4"/>
            <w:shd w:val="clear" w:color="auto" w:fill="auto"/>
            <w:vAlign w:val="center"/>
          </w:tcPr>
          <w:p w14:paraId="54939D69"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3E0AB829" w14:textId="77777777" w:rsidR="00C63F99" w:rsidRPr="00621A36" w:rsidRDefault="00C63F99" w:rsidP="00C63F99">
            <w:pPr>
              <w:spacing w:after="0" w:line="240" w:lineRule="auto"/>
              <w:rPr>
                <w:rFonts w:ascii="Century Gothic" w:eastAsia="Times New Roman" w:hAnsi="Century Gothic"/>
                <w:color w:val="000000"/>
                <w:sz w:val="20"/>
                <w:szCs w:val="20"/>
                <w:lang w:eastAsia="es-MX"/>
              </w:rPr>
            </w:pPr>
          </w:p>
        </w:tc>
      </w:tr>
      <w:tr w:rsidR="0075473C" w:rsidRPr="00621A36" w14:paraId="3D922A6A" w14:textId="77777777" w:rsidTr="0063715A">
        <w:trPr>
          <w:trHeight w:val="90"/>
        </w:trPr>
        <w:tc>
          <w:tcPr>
            <w:tcW w:w="3331" w:type="dxa"/>
            <w:gridSpan w:val="3"/>
            <w:shd w:val="clear" w:color="auto" w:fill="auto"/>
            <w:vAlign w:val="center"/>
          </w:tcPr>
          <w:p w14:paraId="29FA67FF" w14:textId="64174C2F" w:rsidR="0075473C" w:rsidRPr="00340609"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 xml:space="preserve">Liste los documentos </w:t>
            </w:r>
            <w:proofErr w:type="gramStart"/>
            <w:r w:rsidRPr="0075473C">
              <w:rPr>
                <w:rFonts w:ascii="Century Gothic" w:eastAsia="Times New Roman" w:hAnsi="Century Gothic"/>
                <w:color w:val="000000"/>
                <w:sz w:val="20"/>
                <w:szCs w:val="20"/>
                <w:lang w:eastAsia="es-MX"/>
              </w:rPr>
              <w:t>asociados  a</w:t>
            </w:r>
            <w:proofErr w:type="gramEnd"/>
            <w:r w:rsidRPr="0075473C">
              <w:rPr>
                <w:rFonts w:ascii="Century Gothic" w:eastAsia="Times New Roman" w:hAnsi="Century Gothic"/>
                <w:color w:val="000000"/>
                <w:sz w:val="20"/>
                <w:szCs w:val="20"/>
                <w:lang w:eastAsia="es-MX"/>
              </w:rPr>
              <w:t xml:space="preserve">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06747AA8"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63715A">
              <w:rPr>
                <w:rFonts w:ascii="Century Gothic" w:eastAsia="Times New Roman" w:hAnsi="Century Gothic"/>
                <w:i/>
                <w:color w:val="A6A6A6"/>
                <w:sz w:val="18"/>
                <w:szCs w:val="20"/>
                <w:lang w:eastAsia="es-MX"/>
              </w:rPr>
              <w:t>[Indique nombre, sección y páginas del documento]</w:t>
            </w:r>
          </w:p>
        </w:tc>
      </w:tr>
      <w:tr w:rsidR="00113D1A" w:rsidRPr="00C152A6" w14:paraId="77A18836" w14:textId="77777777" w:rsidTr="00C152A6">
        <w:trPr>
          <w:trHeight w:val="414"/>
        </w:trPr>
        <w:tc>
          <w:tcPr>
            <w:tcW w:w="8641" w:type="dxa"/>
            <w:gridSpan w:val="4"/>
            <w:shd w:val="clear" w:color="auto" w:fill="FFFFFF"/>
            <w:vAlign w:val="center"/>
          </w:tcPr>
          <w:p w14:paraId="0EFA91BC" w14:textId="6BB84AF2" w:rsidR="00113D1A" w:rsidRPr="00C152A6" w:rsidRDefault="00113D1A" w:rsidP="00113D1A">
            <w:pPr>
              <w:jc w:val="both"/>
              <w:rPr>
                <w:rFonts w:ascii="Century Gothic" w:eastAsia="Times New Roman" w:hAnsi="Century Gothic"/>
                <w:b/>
                <w:color w:val="000000"/>
                <w:sz w:val="20"/>
                <w:szCs w:val="20"/>
                <w:lang w:eastAsia="es-MX"/>
              </w:rPr>
            </w:pPr>
            <w:r w:rsidRPr="00C152A6">
              <w:rPr>
                <w:rFonts w:ascii="Century Gothic" w:eastAsia="Times New Roman" w:hAnsi="Century Gothic"/>
                <w:b/>
                <w:color w:val="000000"/>
                <w:sz w:val="20"/>
                <w:szCs w:val="20"/>
                <w:lang w:eastAsia="es-MX"/>
              </w:rPr>
              <w:t xml:space="preserve">En caso de contar con una propuesta específica sobre </w:t>
            </w:r>
            <w:r w:rsidR="00475B92">
              <w:rPr>
                <w:rFonts w:ascii="Century Gothic" w:eastAsia="Times New Roman" w:hAnsi="Century Gothic"/>
                <w:b/>
                <w:color w:val="000000"/>
                <w:sz w:val="20"/>
                <w:szCs w:val="20"/>
                <w:lang w:eastAsia="es-MX"/>
              </w:rPr>
              <w:t>la</w:t>
            </w:r>
            <w:r w:rsidRPr="00C152A6">
              <w:rPr>
                <w:rFonts w:ascii="Century Gothic" w:eastAsia="Times New Roman" w:hAnsi="Century Gothic"/>
                <w:b/>
                <w:color w:val="000000"/>
                <w:sz w:val="20"/>
                <w:szCs w:val="20"/>
                <w:lang w:eastAsia="es-MX"/>
              </w:rPr>
              <w:t xml:space="preserve"> </w:t>
            </w:r>
            <w:r w:rsidR="00475B92">
              <w:rPr>
                <w:rFonts w:ascii="Century Gothic" w:eastAsia="Times New Roman" w:hAnsi="Century Gothic"/>
                <w:b/>
                <w:color w:val="000000"/>
                <w:sz w:val="20"/>
                <w:szCs w:val="20"/>
                <w:lang w:eastAsia="es-MX"/>
              </w:rPr>
              <w:t xml:space="preserve">medida de </w:t>
            </w:r>
            <w:r>
              <w:rPr>
                <w:rFonts w:ascii="Century Gothic" w:eastAsia="Times New Roman" w:hAnsi="Century Gothic"/>
                <w:b/>
                <w:color w:val="000000"/>
                <w:sz w:val="20"/>
                <w:szCs w:val="20"/>
                <w:lang w:eastAsia="es-MX"/>
              </w:rPr>
              <w:t>Relación entre Agentes Preponderantes</w:t>
            </w:r>
            <w:r w:rsidR="004168B0">
              <w:rPr>
                <w:rFonts w:ascii="Century Gothic" w:eastAsia="Times New Roman" w:hAnsi="Century Gothic"/>
                <w:b/>
                <w:color w:val="000000"/>
                <w:sz w:val="20"/>
                <w:szCs w:val="20"/>
                <w:lang w:eastAsia="es-MX"/>
              </w:rPr>
              <w:t>, deberá indicarla.</w:t>
            </w:r>
          </w:p>
          <w:p w14:paraId="3DB5844E" w14:textId="77777777" w:rsidR="00113D1A" w:rsidRPr="00C152A6" w:rsidRDefault="00113D1A" w:rsidP="00113D1A">
            <w:pPr>
              <w:jc w:val="both"/>
              <w:rPr>
                <w:rFonts w:ascii="Century Gothic" w:eastAsia="Times New Roman" w:hAnsi="Century Gothic"/>
                <w:color w:val="000000"/>
                <w:sz w:val="20"/>
                <w:szCs w:val="20"/>
                <w:lang w:eastAsia="es-MX"/>
              </w:rPr>
            </w:pPr>
            <w:r w:rsidRPr="00C152A6">
              <w:rPr>
                <w:rFonts w:ascii="Century Gothic" w:eastAsia="Times New Roman" w:hAnsi="Century Gothic"/>
                <w:color w:val="000000"/>
                <w:sz w:val="16"/>
                <w:szCs w:val="20"/>
                <w:lang w:eastAsia="es-MX"/>
              </w:rPr>
              <w:t>Nota:  a efecto de realizar una valoración adecuada, cualquier propuesta deberá estar sustentada en lo manifestado en las respuestas a las preguntas previas.</w:t>
            </w:r>
          </w:p>
        </w:tc>
      </w:tr>
      <w:tr w:rsidR="00113D1A" w:rsidRPr="00C152A6" w14:paraId="2BF0D5A7" w14:textId="77777777" w:rsidTr="00C152A6">
        <w:trPr>
          <w:trHeight w:val="414"/>
        </w:trPr>
        <w:tc>
          <w:tcPr>
            <w:tcW w:w="3047" w:type="dxa"/>
            <w:gridSpan w:val="2"/>
            <w:shd w:val="clear" w:color="auto" w:fill="FFFFFF"/>
          </w:tcPr>
          <w:p w14:paraId="0AF384B2"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tcPr>
          <w:p w14:paraId="3B36448E"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[Señale la propuesta]</w:t>
            </w:r>
          </w:p>
        </w:tc>
      </w:tr>
      <w:tr w:rsidR="00340609" w:rsidRPr="00DF5B3F" w14:paraId="2C66FCFB" w14:textId="77777777" w:rsidTr="00D42C6E">
        <w:trPr>
          <w:trHeight w:val="290"/>
        </w:trPr>
        <w:tc>
          <w:tcPr>
            <w:tcW w:w="1771" w:type="dxa"/>
            <w:shd w:val="clear" w:color="auto" w:fill="C5E0B3"/>
            <w:vAlign w:val="center"/>
          </w:tcPr>
          <w:p w14:paraId="2B7204DE" w14:textId="77777777" w:rsidR="00340609" w:rsidRPr="00D26916" w:rsidRDefault="00340609" w:rsidP="00340609">
            <w:pPr>
              <w:spacing w:before="240" w:line="276" w:lineRule="auto"/>
              <w:jc w:val="center"/>
              <w:rPr>
                <w:rFonts w:ascii="Century Gothic" w:eastAsia="Times New Roman" w:hAnsi="Century Gothic"/>
                <w:b/>
                <w:color w:val="000000"/>
                <w:sz w:val="20"/>
                <w:lang w:eastAsia="es-MX"/>
              </w:rPr>
            </w:pPr>
            <w:r w:rsidRPr="00D26916">
              <w:rPr>
                <w:rFonts w:ascii="Century Gothic" w:eastAsia="Times New Roman" w:hAnsi="Century Gothic"/>
                <w:b/>
                <w:color w:val="000000"/>
                <w:sz w:val="20"/>
                <w:lang w:eastAsia="es-MX"/>
              </w:rPr>
              <w:t xml:space="preserve">Medidas </w:t>
            </w:r>
            <w:r>
              <w:rPr>
                <w:rFonts w:ascii="Century Gothic" w:eastAsia="Times New Roman" w:hAnsi="Century Gothic"/>
                <w:b/>
                <w:color w:val="000000"/>
                <w:sz w:val="20"/>
                <w:lang w:eastAsia="es-MX"/>
              </w:rPr>
              <w:t xml:space="preserve">Vigésima Tercera y Vigésima Quinta a Trigésima. </w:t>
            </w:r>
            <w:r w:rsidRPr="00FB21F4">
              <w:rPr>
                <w:rFonts w:ascii="Century Gothic" w:eastAsia="Times New Roman" w:hAnsi="Century Gothic"/>
                <w:b/>
                <w:color w:val="000000"/>
                <w:sz w:val="20"/>
                <w:u w:val="single"/>
                <w:lang w:eastAsia="es-MX"/>
              </w:rPr>
              <w:t>Disposiciones Finales</w:t>
            </w:r>
          </w:p>
        </w:tc>
        <w:tc>
          <w:tcPr>
            <w:tcW w:w="6870" w:type="dxa"/>
            <w:gridSpan w:val="3"/>
            <w:shd w:val="clear" w:color="auto" w:fill="C5E0B3"/>
            <w:vAlign w:val="center"/>
          </w:tcPr>
          <w:p w14:paraId="503182C0" w14:textId="77777777" w:rsidR="00340609" w:rsidRPr="00DF67B4" w:rsidRDefault="00340609" w:rsidP="00340609">
            <w:pPr>
              <w:spacing w:before="240" w:after="0" w:line="276" w:lineRule="auto"/>
              <w:jc w:val="both"/>
              <w:rPr>
                <w:rFonts w:ascii="Century Gothic" w:eastAsia="Times New Roman" w:hAnsi="Century Gothic"/>
                <w:b/>
                <w:color w:val="000000"/>
                <w:sz w:val="20"/>
                <w:lang w:eastAsia="es-MX"/>
              </w:rPr>
            </w:pPr>
            <w:r w:rsidRPr="00DF67B4">
              <w:rPr>
                <w:rFonts w:ascii="Century Gothic" w:eastAsia="Times New Roman" w:hAnsi="Century Gothic"/>
                <w:b/>
                <w:color w:val="000000"/>
                <w:sz w:val="20"/>
                <w:lang w:eastAsia="es-MX"/>
              </w:rPr>
              <w:t>O</w:t>
            </w:r>
            <w:r>
              <w:rPr>
                <w:rFonts w:ascii="Century Gothic" w:eastAsia="Times New Roman" w:hAnsi="Century Gothic"/>
                <w:b/>
                <w:color w:val="000000"/>
                <w:sz w:val="20"/>
                <w:lang w:eastAsia="es-MX"/>
              </w:rPr>
              <w:t>bjetivo de las medidas</w:t>
            </w:r>
            <w:r w:rsidRPr="00DF67B4">
              <w:rPr>
                <w:rFonts w:ascii="Century Gothic" w:eastAsia="Times New Roman" w:hAnsi="Century Gothic"/>
                <w:b/>
                <w:color w:val="000000"/>
                <w:sz w:val="20"/>
                <w:lang w:eastAsia="es-MX"/>
              </w:rPr>
              <w:t xml:space="preserve">: </w:t>
            </w:r>
          </w:p>
          <w:p w14:paraId="1671F23E" w14:textId="520C9DE8" w:rsidR="00340609" w:rsidRPr="00BD6FD4" w:rsidRDefault="00340609" w:rsidP="00340609">
            <w:pPr>
              <w:numPr>
                <w:ilvl w:val="0"/>
                <w:numId w:val="12"/>
              </w:numPr>
              <w:spacing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Garantizar el cumplimiento del resto de las medidas impuestas al AEPR</w:t>
            </w:r>
            <w:r w:rsidR="00EE3F9B">
              <w:rPr>
                <w:rFonts w:ascii="Century Gothic" w:eastAsia="Times New Roman" w:hAnsi="Century Gothic"/>
                <w:color w:val="000000"/>
                <w:sz w:val="20"/>
                <w:lang w:eastAsia="es-MX"/>
              </w:rPr>
              <w:t>.</w:t>
            </w:r>
          </w:p>
        </w:tc>
      </w:tr>
      <w:tr w:rsidR="00340609" w:rsidRPr="00DF5B3F" w14:paraId="60EC8642" w14:textId="77777777" w:rsidTr="00025D86">
        <w:trPr>
          <w:trHeight w:val="290"/>
        </w:trPr>
        <w:tc>
          <w:tcPr>
            <w:tcW w:w="8641" w:type="dxa"/>
            <w:gridSpan w:val="4"/>
            <w:shd w:val="clear" w:color="auto" w:fill="auto"/>
            <w:vAlign w:val="center"/>
          </w:tcPr>
          <w:p w14:paraId="5BA397CD" w14:textId="77777777"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Contexto:</w:t>
            </w:r>
          </w:p>
          <w:p w14:paraId="310C1867" w14:textId="0F95E237" w:rsidR="008302DA" w:rsidRDefault="008302DA" w:rsidP="000E5F80">
            <w:pPr>
              <w:spacing w:after="120" w:line="276" w:lineRule="auto"/>
              <w:jc w:val="both"/>
              <w:rPr>
                <w:rFonts w:ascii="Century Gothic" w:eastAsia="Times New Roman" w:hAnsi="Century Gothic"/>
                <w:color w:val="000000"/>
                <w:sz w:val="20"/>
                <w:lang w:eastAsia="es-MX"/>
              </w:rPr>
            </w:pPr>
            <w:r>
              <w:rPr>
                <w:rFonts w:ascii="Century Gothic" w:eastAsia="Times New Roman" w:hAnsi="Century Gothic"/>
                <w:color w:val="000000"/>
                <w:sz w:val="20"/>
                <w:lang w:eastAsia="es-MX"/>
              </w:rPr>
              <w:t>Las medidas impuestas al AEPR persiguen, como fin último, evitar afectaciones a la competencia y la libre concurrencia mediante el cumplimiento y supervisión de las medidas sustantivas (aquellas que se refieren a compartición de infraestructura, contenidos y publicidad)</w:t>
            </w:r>
            <w:r w:rsidR="0012053C">
              <w:rPr>
                <w:rFonts w:ascii="Century Gothic" w:eastAsia="Times New Roman" w:hAnsi="Century Gothic"/>
                <w:color w:val="000000"/>
                <w:sz w:val="20"/>
                <w:lang w:eastAsia="es-MX"/>
              </w:rPr>
              <w:t>.</w:t>
            </w:r>
          </w:p>
          <w:p w14:paraId="04E870BD" w14:textId="77777777" w:rsidR="000E5F80" w:rsidRPr="000E5F80" w:rsidRDefault="000E5F80" w:rsidP="000E5F80">
            <w:pPr>
              <w:spacing w:before="240" w:after="120" w:line="276" w:lineRule="auto"/>
              <w:jc w:val="both"/>
              <w:rPr>
                <w:rFonts w:ascii="Century Gothic" w:eastAsia="Times New Roman" w:hAnsi="Century Gothic"/>
                <w:b/>
                <w:color w:val="000000"/>
                <w:sz w:val="20"/>
                <w:lang w:eastAsia="es-MX"/>
              </w:rPr>
            </w:pPr>
            <w:r w:rsidRPr="000E5F80">
              <w:rPr>
                <w:rFonts w:ascii="Century Gothic" w:eastAsia="Times New Roman" w:hAnsi="Century Gothic"/>
                <w:b/>
                <w:color w:val="000000"/>
                <w:sz w:val="20"/>
                <w:lang w:eastAsia="es-MX"/>
              </w:rPr>
              <w:t>Resumen de medidas impuestas:</w:t>
            </w:r>
          </w:p>
          <w:p w14:paraId="0603F577" w14:textId="339E304C" w:rsidR="00340609" w:rsidRPr="009929A7" w:rsidRDefault="000E5F80" w:rsidP="000E5F80">
            <w:pPr>
              <w:spacing w:after="120" w:line="276" w:lineRule="auto"/>
              <w:jc w:val="both"/>
              <w:rPr>
                <w:rFonts w:ascii="Century Gothic" w:eastAsia="Times New Roman" w:hAnsi="Century Gothic"/>
                <w:color w:val="000000"/>
                <w:sz w:val="20"/>
              </w:rPr>
            </w:pPr>
            <w:r>
              <w:rPr>
                <w:rFonts w:ascii="Century Gothic" w:eastAsia="Times New Roman" w:hAnsi="Century Gothic"/>
                <w:color w:val="000000"/>
                <w:sz w:val="20"/>
                <w:lang w:eastAsia="es-MX"/>
              </w:rPr>
              <w:t>A</w:t>
            </w:r>
            <w:r w:rsidR="00340609">
              <w:rPr>
                <w:rFonts w:ascii="Century Gothic" w:eastAsia="Times New Roman" w:hAnsi="Century Gothic"/>
                <w:color w:val="000000"/>
                <w:sz w:val="20"/>
                <w:lang w:eastAsia="es-MX"/>
              </w:rPr>
              <w:t xml:space="preserve"> través de estas medidas el I</w:t>
            </w:r>
            <w:r w:rsidR="00F475C7">
              <w:rPr>
                <w:rFonts w:ascii="Century Gothic" w:eastAsia="Times New Roman" w:hAnsi="Century Gothic"/>
                <w:color w:val="000000"/>
                <w:sz w:val="20"/>
                <w:lang w:eastAsia="es-MX"/>
              </w:rPr>
              <w:t>nstituto</w:t>
            </w:r>
            <w:r w:rsidR="00340609">
              <w:rPr>
                <w:rFonts w:ascii="Century Gothic" w:eastAsia="Times New Roman" w:hAnsi="Century Gothic"/>
                <w:color w:val="000000"/>
                <w:sz w:val="20"/>
                <w:lang w:eastAsia="es-MX"/>
              </w:rPr>
              <w:t xml:space="preserve"> emitió disposiciones que garanticen el cumplimiento de las medidas </w:t>
            </w:r>
            <w:r w:rsidR="008302DA">
              <w:rPr>
                <w:rFonts w:ascii="Century Gothic" w:eastAsia="Times New Roman" w:hAnsi="Century Gothic"/>
                <w:color w:val="000000"/>
                <w:sz w:val="20"/>
                <w:lang w:eastAsia="es-MX"/>
              </w:rPr>
              <w:t>sustantivas</w:t>
            </w:r>
            <w:r>
              <w:rPr>
                <w:rFonts w:ascii="Century Gothic" w:eastAsia="Times New Roman" w:hAnsi="Century Gothic"/>
                <w:color w:val="000000"/>
                <w:sz w:val="20"/>
                <w:lang w:eastAsia="es-MX"/>
              </w:rPr>
              <w:t>. E</w:t>
            </w:r>
            <w:r w:rsidR="00340609">
              <w:rPr>
                <w:rFonts w:ascii="Century Gothic" w:eastAsia="Times New Roman" w:hAnsi="Century Gothic"/>
                <w:color w:val="000000"/>
                <w:sz w:val="20"/>
                <w:lang w:eastAsia="es-MX"/>
              </w:rPr>
              <w:t xml:space="preserve">ntre </w:t>
            </w:r>
            <w:r w:rsidR="008302DA">
              <w:rPr>
                <w:rFonts w:ascii="Century Gothic" w:eastAsia="Times New Roman" w:hAnsi="Century Gothic"/>
                <w:color w:val="000000"/>
                <w:sz w:val="20"/>
                <w:lang w:eastAsia="es-MX"/>
              </w:rPr>
              <w:t>estas disposiciones</w:t>
            </w:r>
            <w:r w:rsidR="00B171E2">
              <w:rPr>
                <w:rFonts w:ascii="Century Gothic" w:eastAsia="Times New Roman" w:hAnsi="Century Gothic"/>
                <w:color w:val="000000"/>
                <w:sz w:val="20"/>
                <w:lang w:eastAsia="es-MX"/>
              </w:rPr>
              <w:t xml:space="preserve"> se encuentran</w:t>
            </w:r>
            <w:r w:rsidR="00340609">
              <w:rPr>
                <w:rFonts w:ascii="Century Gothic" w:eastAsia="Times New Roman" w:hAnsi="Century Gothic"/>
                <w:color w:val="000000"/>
                <w:sz w:val="20"/>
                <w:lang w:eastAsia="es-MX"/>
              </w:rPr>
              <w:t>; la entrega de información al Instituto por parte del AEPR, conforme a los formatos y metodologías que el Instituto emita, la interpretación de las medidas, la resolución de desacuerdos entre el AEPR y los concesionarios solicitantes y la evaluación de las medidas.</w:t>
            </w:r>
          </w:p>
        </w:tc>
      </w:tr>
      <w:tr w:rsidR="00C63F99" w:rsidRPr="001A5B2D" w14:paraId="079B4605" w14:textId="77777777" w:rsidTr="00363DAD">
        <w:trPr>
          <w:trHeight w:val="290"/>
        </w:trPr>
        <w:tc>
          <w:tcPr>
            <w:tcW w:w="8641" w:type="dxa"/>
            <w:gridSpan w:val="4"/>
            <w:shd w:val="clear" w:color="auto" w:fill="auto"/>
            <w:vAlign w:val="center"/>
          </w:tcPr>
          <w:p w14:paraId="6CE77C5F" w14:textId="32C85550" w:rsidR="00C63F99" w:rsidRPr="001A5B2D" w:rsidRDefault="00963421" w:rsidP="00014C1A">
            <w:pPr>
              <w:spacing w:after="0" w:line="276" w:lineRule="auto"/>
              <w:jc w:val="both"/>
              <w:rPr>
                <w:rFonts w:ascii="Century Gothic" w:eastAsia="Times New Roman" w:hAnsi="Century Gothic"/>
                <w:b/>
                <w:color w:val="000000"/>
                <w:sz w:val="20"/>
                <w:szCs w:val="20"/>
                <w:lang w:eastAsia="es-MX"/>
              </w:rPr>
            </w:pPr>
            <w:r w:rsidRPr="00963421">
              <w:rPr>
                <w:rFonts w:ascii="Century Gothic" w:eastAsia="Times New Roman" w:hAnsi="Century Gothic"/>
                <w:b/>
                <w:color w:val="000000"/>
                <w:sz w:val="20"/>
                <w:szCs w:val="20"/>
                <w:lang w:eastAsia="es-MX"/>
              </w:rPr>
              <w:t>¿Cuáles son los efectos que las medidas han generado en el sector de radiodifusión? ¿</w:t>
            </w:r>
            <w:r w:rsidR="004602D4">
              <w:rPr>
                <w:rFonts w:ascii="Century Gothic" w:eastAsia="Times New Roman" w:hAnsi="Century Gothic"/>
                <w:b/>
                <w:color w:val="000000"/>
                <w:sz w:val="20"/>
                <w:szCs w:val="20"/>
                <w:lang w:eastAsia="es-MX"/>
              </w:rPr>
              <w:t>De qué manera</w:t>
            </w:r>
            <w:r w:rsidRPr="00963421">
              <w:rPr>
                <w:rFonts w:ascii="Century Gothic" w:eastAsia="Times New Roman" w:hAnsi="Century Gothic"/>
                <w:b/>
                <w:color w:val="000000"/>
                <w:sz w:val="20"/>
                <w:szCs w:val="20"/>
                <w:lang w:eastAsia="es-MX"/>
              </w:rPr>
              <w:t xml:space="preserve"> han contribuido a alcanzar el objetivo para el cual fueron creadas las medidas?</w:t>
            </w:r>
          </w:p>
        </w:tc>
      </w:tr>
      <w:tr w:rsidR="00C63F99" w:rsidRPr="00C41536" w14:paraId="4764C1EA" w14:textId="77777777" w:rsidTr="00363DAD">
        <w:trPr>
          <w:trHeight w:val="90"/>
        </w:trPr>
        <w:tc>
          <w:tcPr>
            <w:tcW w:w="8641" w:type="dxa"/>
            <w:gridSpan w:val="4"/>
            <w:shd w:val="clear" w:color="auto" w:fill="auto"/>
            <w:vAlign w:val="center"/>
          </w:tcPr>
          <w:p w14:paraId="6AD9EAE1"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4514BB5D" w14:textId="77777777" w:rsidR="00C63F99" w:rsidRPr="00C41536" w:rsidRDefault="00C63F99" w:rsidP="00C63F99">
            <w:pPr>
              <w:spacing w:after="0" w:line="240" w:lineRule="auto"/>
              <w:rPr>
                <w:rFonts w:ascii="Century Gothic" w:eastAsia="Times New Roman" w:hAnsi="Century Gothic"/>
                <w:color w:val="000000"/>
                <w:lang w:eastAsia="es-MX"/>
              </w:rPr>
            </w:pPr>
          </w:p>
        </w:tc>
      </w:tr>
      <w:tr w:rsidR="0075473C" w:rsidRPr="00621A36" w14:paraId="3038AFF2" w14:textId="77777777" w:rsidTr="0063715A">
        <w:trPr>
          <w:trHeight w:val="90"/>
        </w:trPr>
        <w:tc>
          <w:tcPr>
            <w:tcW w:w="3331" w:type="dxa"/>
            <w:gridSpan w:val="3"/>
            <w:shd w:val="clear" w:color="auto" w:fill="auto"/>
            <w:vAlign w:val="center"/>
          </w:tcPr>
          <w:p w14:paraId="7F7013C2" w14:textId="161A5952"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 xml:space="preserve">Liste los documentos </w:t>
            </w:r>
            <w:proofErr w:type="gramStart"/>
            <w:r w:rsidRPr="0075473C">
              <w:rPr>
                <w:rFonts w:ascii="Century Gothic" w:eastAsia="Times New Roman" w:hAnsi="Century Gothic"/>
                <w:color w:val="000000"/>
                <w:sz w:val="20"/>
                <w:szCs w:val="20"/>
                <w:lang w:eastAsia="es-MX"/>
              </w:rPr>
              <w:t>asociados  a</w:t>
            </w:r>
            <w:proofErr w:type="gramEnd"/>
            <w:r w:rsidRPr="0075473C">
              <w:rPr>
                <w:rFonts w:ascii="Century Gothic" w:eastAsia="Times New Roman" w:hAnsi="Century Gothic"/>
                <w:color w:val="000000"/>
                <w:sz w:val="20"/>
                <w:szCs w:val="20"/>
                <w:lang w:eastAsia="es-MX"/>
              </w:rPr>
              <w:t xml:space="preserve">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09B2ECF2"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63715A">
              <w:rPr>
                <w:rFonts w:ascii="Century Gothic" w:eastAsia="Times New Roman" w:hAnsi="Century Gothic"/>
                <w:i/>
                <w:color w:val="A6A6A6"/>
                <w:sz w:val="18"/>
                <w:szCs w:val="20"/>
                <w:lang w:eastAsia="es-MX"/>
              </w:rPr>
              <w:t>[Indique nombre, sección y páginas del documento]</w:t>
            </w:r>
          </w:p>
        </w:tc>
      </w:tr>
      <w:tr w:rsidR="00C63F99" w:rsidRPr="00C41536" w14:paraId="09BF336C" w14:textId="77777777" w:rsidTr="00363DAD">
        <w:trPr>
          <w:trHeight w:val="290"/>
        </w:trPr>
        <w:tc>
          <w:tcPr>
            <w:tcW w:w="8641" w:type="dxa"/>
            <w:gridSpan w:val="4"/>
            <w:shd w:val="clear" w:color="auto" w:fill="auto"/>
            <w:vAlign w:val="center"/>
          </w:tcPr>
          <w:p w14:paraId="09C29AF4" w14:textId="20AF6769" w:rsidR="00C63F99" w:rsidRPr="00C41536" w:rsidRDefault="00C63F99" w:rsidP="00E30163">
            <w:pPr>
              <w:spacing w:after="0" w:line="276" w:lineRule="auto"/>
              <w:jc w:val="both"/>
              <w:rPr>
                <w:rFonts w:ascii="Century Gothic" w:eastAsia="Times New Roman" w:hAnsi="Century Gothic"/>
                <w:color w:val="000000"/>
                <w:lang w:eastAsia="es-MX"/>
              </w:rPr>
            </w:pPr>
            <w:r w:rsidRPr="001A5B2D">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1A5B2D" w:rsidDel="004602D4">
              <w:rPr>
                <w:rFonts w:ascii="Century Gothic" w:eastAsia="Times New Roman" w:hAnsi="Century Gothic"/>
                <w:b/>
                <w:color w:val="000000"/>
                <w:sz w:val="20"/>
                <w:szCs w:val="20"/>
                <w:lang w:eastAsia="es-MX"/>
              </w:rPr>
              <w:t xml:space="preserve"> </w:t>
            </w:r>
            <w:r w:rsidRPr="001A5B2D">
              <w:rPr>
                <w:rFonts w:ascii="Century Gothic" w:eastAsia="Times New Roman" w:hAnsi="Century Gothic"/>
                <w:b/>
                <w:color w:val="000000"/>
                <w:sz w:val="20"/>
                <w:szCs w:val="20"/>
                <w:lang w:eastAsia="es-MX"/>
              </w:rPr>
              <w:t xml:space="preserve">que el diseño de las medidas referentes a </w:t>
            </w:r>
            <w:r w:rsidR="0075473C">
              <w:rPr>
                <w:rFonts w:ascii="Century Gothic" w:eastAsia="Times New Roman" w:hAnsi="Century Gothic"/>
                <w:b/>
                <w:color w:val="000000"/>
                <w:sz w:val="20"/>
                <w:szCs w:val="20"/>
                <w:lang w:eastAsia="es-MX"/>
              </w:rPr>
              <w:t>las disposiciones finales</w:t>
            </w:r>
            <w:r w:rsidRPr="001A5B2D">
              <w:rPr>
                <w:rFonts w:ascii="Century Gothic" w:eastAsia="Times New Roman" w:hAnsi="Century Gothic"/>
                <w:b/>
                <w:color w:val="000000"/>
                <w:sz w:val="20"/>
                <w:szCs w:val="20"/>
                <w:lang w:eastAsia="es-MX"/>
              </w:rPr>
              <w:t xml:space="preserve"> </w:t>
            </w:r>
            <w:r>
              <w:rPr>
                <w:rFonts w:ascii="Century Gothic" w:eastAsia="Times New Roman" w:hAnsi="Century Gothic"/>
                <w:b/>
                <w:color w:val="000000"/>
                <w:sz w:val="20"/>
                <w:szCs w:val="20"/>
                <w:lang w:eastAsia="es-MX"/>
              </w:rPr>
              <w:t>está alineado</w:t>
            </w:r>
            <w:r w:rsidRPr="001A5B2D">
              <w:rPr>
                <w:rFonts w:ascii="Century Gothic" w:eastAsia="Times New Roman" w:hAnsi="Century Gothic"/>
                <w:b/>
                <w:color w:val="000000"/>
                <w:sz w:val="20"/>
                <w:szCs w:val="20"/>
                <w:lang w:eastAsia="es-MX"/>
              </w:rPr>
              <w:t xml:space="preserve"> con los objetivos originalmente planteados?</w:t>
            </w:r>
          </w:p>
        </w:tc>
      </w:tr>
      <w:tr w:rsidR="00C63F99" w:rsidRPr="00C41536" w14:paraId="752F72E2" w14:textId="77777777" w:rsidTr="00363DAD">
        <w:trPr>
          <w:trHeight w:val="90"/>
        </w:trPr>
        <w:tc>
          <w:tcPr>
            <w:tcW w:w="8641" w:type="dxa"/>
            <w:gridSpan w:val="4"/>
            <w:shd w:val="clear" w:color="auto" w:fill="auto"/>
            <w:vAlign w:val="center"/>
          </w:tcPr>
          <w:p w14:paraId="0724733B"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1C654C5E" w14:textId="77777777" w:rsidR="00C63F99" w:rsidRPr="00C41536" w:rsidRDefault="00C63F99" w:rsidP="00C63F99">
            <w:pPr>
              <w:spacing w:after="0" w:line="240" w:lineRule="auto"/>
              <w:rPr>
                <w:rFonts w:ascii="Century Gothic" w:eastAsia="Times New Roman" w:hAnsi="Century Gothic"/>
                <w:color w:val="000000"/>
                <w:lang w:eastAsia="es-MX"/>
              </w:rPr>
            </w:pPr>
          </w:p>
        </w:tc>
      </w:tr>
      <w:tr w:rsidR="0075473C" w:rsidRPr="00621A36" w14:paraId="32258B7D" w14:textId="77777777" w:rsidTr="0063715A">
        <w:trPr>
          <w:trHeight w:val="90"/>
        </w:trPr>
        <w:tc>
          <w:tcPr>
            <w:tcW w:w="3331" w:type="dxa"/>
            <w:gridSpan w:val="3"/>
            <w:shd w:val="clear" w:color="auto" w:fill="auto"/>
            <w:vAlign w:val="center"/>
          </w:tcPr>
          <w:p w14:paraId="385745E8"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 xml:space="preserve">Liste los documentos </w:t>
            </w:r>
            <w:proofErr w:type="gramStart"/>
            <w:r w:rsidRPr="0075473C">
              <w:rPr>
                <w:rFonts w:ascii="Century Gothic" w:eastAsia="Times New Roman" w:hAnsi="Century Gothic"/>
                <w:color w:val="000000"/>
                <w:sz w:val="20"/>
                <w:szCs w:val="20"/>
                <w:lang w:eastAsia="es-MX"/>
              </w:rPr>
              <w:t>asociados  a</w:t>
            </w:r>
            <w:proofErr w:type="gramEnd"/>
            <w:r w:rsidRPr="0075473C">
              <w:rPr>
                <w:rFonts w:ascii="Century Gothic" w:eastAsia="Times New Roman" w:hAnsi="Century Gothic"/>
                <w:color w:val="000000"/>
                <w:sz w:val="20"/>
                <w:szCs w:val="20"/>
                <w:lang w:eastAsia="es-MX"/>
              </w:rPr>
              <w:t xml:space="preserve"> los comentarios manifestados</w:t>
            </w:r>
            <w:r w:rsidR="00CF33CC">
              <w:rPr>
                <w:rFonts w:ascii="Century Gothic" w:eastAsia="Times New Roman" w:hAnsi="Century Gothic"/>
                <w:color w:val="000000"/>
                <w:sz w:val="20"/>
                <w:szCs w:val="20"/>
                <w:lang w:eastAsia="es-MX"/>
              </w:rPr>
              <w:t>:</w:t>
            </w:r>
            <w:r w:rsidRPr="0075473C" w:rsidDel="00934B06">
              <w:rPr>
                <w:rFonts w:ascii="Century Gothic" w:eastAsia="Times New Roman" w:hAnsi="Century Gothic"/>
                <w:color w:val="000000"/>
                <w:sz w:val="20"/>
                <w:szCs w:val="20"/>
                <w:lang w:eastAsia="es-MX"/>
              </w:rPr>
              <w:t xml:space="preserve"> </w:t>
            </w:r>
          </w:p>
        </w:tc>
        <w:tc>
          <w:tcPr>
            <w:tcW w:w="5310" w:type="dxa"/>
            <w:shd w:val="clear" w:color="auto" w:fill="auto"/>
            <w:vAlign w:val="center"/>
          </w:tcPr>
          <w:p w14:paraId="0721AE3A" w14:textId="77777777" w:rsidR="0075473C" w:rsidRPr="00621A36" w:rsidRDefault="0075473C" w:rsidP="0075473C">
            <w:pPr>
              <w:spacing w:after="0" w:line="240" w:lineRule="auto"/>
              <w:rPr>
                <w:rFonts w:ascii="Century Gothic" w:eastAsia="Times New Roman" w:hAnsi="Century Gothic"/>
                <w:color w:val="000000"/>
                <w:sz w:val="20"/>
                <w:szCs w:val="20"/>
                <w:lang w:eastAsia="es-MX"/>
              </w:rPr>
            </w:pPr>
            <w:r w:rsidRPr="0063715A">
              <w:rPr>
                <w:rFonts w:ascii="Century Gothic" w:eastAsia="Times New Roman" w:hAnsi="Century Gothic"/>
                <w:i/>
                <w:color w:val="A6A6A6"/>
                <w:sz w:val="18"/>
                <w:szCs w:val="20"/>
                <w:lang w:eastAsia="es-MX"/>
              </w:rPr>
              <w:t>[Indique nombre, sección y páginas del documento]</w:t>
            </w:r>
          </w:p>
        </w:tc>
      </w:tr>
      <w:tr w:rsidR="00C63F99" w:rsidRPr="00621A36" w14:paraId="6D9F1CC5" w14:textId="77777777" w:rsidTr="00363DAD">
        <w:trPr>
          <w:trHeight w:val="90"/>
        </w:trPr>
        <w:tc>
          <w:tcPr>
            <w:tcW w:w="8641" w:type="dxa"/>
            <w:gridSpan w:val="4"/>
            <w:shd w:val="clear" w:color="auto" w:fill="auto"/>
            <w:vAlign w:val="center"/>
          </w:tcPr>
          <w:p w14:paraId="6564F886" w14:textId="2EF234B8" w:rsidR="00C63F99" w:rsidRPr="00621A36" w:rsidRDefault="00963421" w:rsidP="0063715A">
            <w:pPr>
              <w:spacing w:after="0" w:line="240" w:lineRule="auto"/>
              <w:jc w:val="both"/>
              <w:rPr>
                <w:rFonts w:ascii="Century Gothic" w:eastAsia="Times New Roman" w:hAnsi="Century Gothic"/>
                <w:color w:val="000000"/>
                <w:sz w:val="20"/>
                <w:szCs w:val="20"/>
                <w:lang w:eastAsia="es-MX"/>
              </w:rPr>
            </w:pPr>
            <w:r w:rsidRPr="00963421">
              <w:rPr>
                <w:rFonts w:ascii="Century Gothic" w:eastAsia="Times New Roman" w:hAnsi="Century Gothic"/>
                <w:b/>
                <w:color w:val="000000"/>
                <w:sz w:val="20"/>
                <w:szCs w:val="20"/>
                <w:lang w:eastAsia="es-MX"/>
              </w:rPr>
              <w:t>¿</w:t>
            </w:r>
            <w:r w:rsidR="004602D4">
              <w:rPr>
                <w:rFonts w:ascii="Century Gothic" w:eastAsia="Times New Roman" w:hAnsi="Century Gothic"/>
                <w:b/>
                <w:color w:val="000000"/>
                <w:sz w:val="20"/>
                <w:szCs w:val="20"/>
                <w:lang w:eastAsia="es-MX"/>
              </w:rPr>
              <w:t>En qué grado c</w:t>
            </w:r>
            <w:r w:rsidR="004602D4" w:rsidRPr="001A5B2D">
              <w:rPr>
                <w:rFonts w:ascii="Century Gothic" w:eastAsia="Times New Roman" w:hAnsi="Century Gothic"/>
                <w:b/>
                <w:color w:val="000000"/>
                <w:sz w:val="20"/>
                <w:szCs w:val="20"/>
                <w:lang w:eastAsia="es-MX"/>
              </w:rPr>
              <w:t>onsidera</w:t>
            </w:r>
            <w:r w:rsidR="004602D4" w:rsidRPr="00963421" w:rsidDel="004602D4">
              <w:rPr>
                <w:rFonts w:ascii="Century Gothic" w:eastAsia="Times New Roman" w:hAnsi="Century Gothic"/>
                <w:b/>
                <w:color w:val="000000"/>
                <w:sz w:val="20"/>
                <w:szCs w:val="20"/>
                <w:lang w:eastAsia="es-MX"/>
              </w:rPr>
              <w:t xml:space="preserve"> </w:t>
            </w:r>
            <w:r w:rsidRPr="00963421">
              <w:rPr>
                <w:rFonts w:ascii="Century Gothic" w:eastAsia="Times New Roman" w:hAnsi="Century Gothic"/>
                <w:b/>
                <w:color w:val="000000"/>
                <w:sz w:val="20"/>
                <w:szCs w:val="20"/>
                <w:lang w:eastAsia="es-MX"/>
              </w:rPr>
              <w:t>que las acciones y/o instrumentos mediante las cuales se han implementado las medidas han sido adecuadas para alcanzar los objetivos por los que se plantearon?</w:t>
            </w:r>
          </w:p>
        </w:tc>
      </w:tr>
      <w:tr w:rsidR="00C63F99" w:rsidRPr="00621A36" w14:paraId="268B304B" w14:textId="77777777" w:rsidTr="00363DAD">
        <w:trPr>
          <w:trHeight w:val="90"/>
        </w:trPr>
        <w:tc>
          <w:tcPr>
            <w:tcW w:w="8641" w:type="dxa"/>
            <w:gridSpan w:val="4"/>
            <w:shd w:val="clear" w:color="auto" w:fill="auto"/>
            <w:vAlign w:val="center"/>
          </w:tcPr>
          <w:p w14:paraId="0C1FA795" w14:textId="77777777" w:rsidR="00C63F99" w:rsidRDefault="00C63F99" w:rsidP="00C63F99">
            <w:pPr>
              <w:spacing w:after="0" w:line="240" w:lineRule="auto"/>
              <w:rPr>
                <w:rFonts w:ascii="Century Gothic" w:eastAsia="Times New Roman" w:hAnsi="Century Gothic"/>
                <w:color w:val="000000"/>
                <w:sz w:val="20"/>
                <w:szCs w:val="20"/>
                <w:lang w:eastAsia="es-MX"/>
              </w:rPr>
            </w:pPr>
          </w:p>
          <w:p w14:paraId="356CB5E7" w14:textId="77777777" w:rsidR="00C63F99" w:rsidRPr="00621A36" w:rsidRDefault="00C63F99" w:rsidP="00C63F99">
            <w:pPr>
              <w:spacing w:after="0" w:line="240" w:lineRule="auto"/>
              <w:rPr>
                <w:rFonts w:ascii="Century Gothic" w:eastAsia="Times New Roman" w:hAnsi="Century Gothic"/>
                <w:color w:val="000000"/>
                <w:sz w:val="20"/>
                <w:szCs w:val="20"/>
                <w:lang w:eastAsia="es-MX"/>
              </w:rPr>
            </w:pPr>
          </w:p>
        </w:tc>
      </w:tr>
      <w:tr w:rsidR="0075473C" w:rsidRPr="00621A36" w14:paraId="4673807A" w14:textId="77777777" w:rsidTr="0063715A">
        <w:trPr>
          <w:trHeight w:val="90"/>
        </w:trPr>
        <w:tc>
          <w:tcPr>
            <w:tcW w:w="3331" w:type="dxa"/>
            <w:gridSpan w:val="3"/>
            <w:shd w:val="clear" w:color="auto" w:fill="auto"/>
            <w:vAlign w:val="center"/>
          </w:tcPr>
          <w:p w14:paraId="44C86AC3" w14:textId="23684A32" w:rsidR="0075473C" w:rsidRPr="00340609" w:rsidRDefault="0075473C" w:rsidP="0075473C">
            <w:pPr>
              <w:spacing w:after="0" w:line="240" w:lineRule="auto"/>
              <w:rPr>
                <w:rFonts w:ascii="Century Gothic" w:eastAsia="Times New Roman" w:hAnsi="Century Gothic"/>
                <w:color w:val="000000"/>
                <w:sz w:val="20"/>
                <w:szCs w:val="20"/>
                <w:lang w:eastAsia="es-MX"/>
              </w:rPr>
            </w:pPr>
            <w:r w:rsidRPr="0075473C">
              <w:rPr>
                <w:rFonts w:ascii="Century Gothic" w:eastAsia="Times New Roman" w:hAnsi="Century Gothic"/>
                <w:color w:val="000000"/>
                <w:sz w:val="20"/>
                <w:szCs w:val="20"/>
                <w:lang w:eastAsia="es-MX"/>
              </w:rPr>
              <w:t xml:space="preserve">Liste los documentos </w:t>
            </w:r>
            <w:proofErr w:type="gramStart"/>
            <w:r w:rsidRPr="0075473C">
              <w:rPr>
                <w:rFonts w:ascii="Century Gothic" w:eastAsia="Times New Roman" w:hAnsi="Century Gothic"/>
                <w:color w:val="000000"/>
                <w:sz w:val="20"/>
                <w:szCs w:val="20"/>
                <w:lang w:eastAsia="es-MX"/>
              </w:rPr>
              <w:t>asociados  a</w:t>
            </w:r>
            <w:proofErr w:type="gramEnd"/>
            <w:r w:rsidRPr="0075473C">
              <w:rPr>
                <w:rFonts w:ascii="Century Gothic" w:eastAsia="Times New Roman" w:hAnsi="Century Gothic"/>
                <w:color w:val="000000"/>
                <w:sz w:val="20"/>
                <w:szCs w:val="20"/>
                <w:lang w:eastAsia="es-MX"/>
              </w:rPr>
              <w:t xml:space="preserve"> los comentarios manifestados</w:t>
            </w:r>
            <w:r w:rsidR="00CF33CC">
              <w:rPr>
                <w:rFonts w:ascii="Century Gothic" w:eastAsia="Times New Roman" w:hAnsi="Century Gothic"/>
                <w:color w:val="000000"/>
                <w:sz w:val="20"/>
                <w:szCs w:val="20"/>
                <w:lang w:eastAsia="es-MX"/>
              </w:rPr>
              <w:t>:</w:t>
            </w:r>
          </w:p>
        </w:tc>
        <w:tc>
          <w:tcPr>
            <w:tcW w:w="5310" w:type="dxa"/>
            <w:shd w:val="clear" w:color="auto" w:fill="auto"/>
            <w:vAlign w:val="center"/>
          </w:tcPr>
          <w:p w14:paraId="57B4998C" w14:textId="77777777" w:rsidR="0075473C" w:rsidRPr="0063715A" w:rsidRDefault="0075473C" w:rsidP="0075473C">
            <w:pPr>
              <w:spacing w:after="0" w:line="240" w:lineRule="auto"/>
              <w:rPr>
                <w:rFonts w:ascii="Century Gothic" w:eastAsia="Times New Roman" w:hAnsi="Century Gothic"/>
                <w:i/>
                <w:color w:val="A6A6A6"/>
                <w:sz w:val="18"/>
                <w:szCs w:val="20"/>
                <w:lang w:eastAsia="es-MX"/>
              </w:rPr>
            </w:pPr>
            <w:r w:rsidRPr="0063715A">
              <w:rPr>
                <w:rFonts w:ascii="Century Gothic" w:eastAsia="Times New Roman" w:hAnsi="Century Gothic"/>
                <w:i/>
                <w:color w:val="A6A6A6"/>
                <w:sz w:val="18"/>
                <w:szCs w:val="20"/>
                <w:lang w:eastAsia="es-MX"/>
              </w:rPr>
              <w:t>[Indique nombre, sección y páginas del documento]</w:t>
            </w:r>
          </w:p>
        </w:tc>
      </w:tr>
      <w:tr w:rsidR="00113D1A" w:rsidRPr="00C152A6" w14:paraId="505F9B55" w14:textId="77777777" w:rsidTr="00C152A6">
        <w:trPr>
          <w:trHeight w:val="414"/>
        </w:trPr>
        <w:tc>
          <w:tcPr>
            <w:tcW w:w="8641" w:type="dxa"/>
            <w:gridSpan w:val="4"/>
            <w:shd w:val="clear" w:color="auto" w:fill="FFFFFF"/>
            <w:vAlign w:val="center"/>
          </w:tcPr>
          <w:p w14:paraId="0E532364" w14:textId="10373A09" w:rsidR="00113D1A" w:rsidRPr="00C152A6" w:rsidRDefault="00113D1A" w:rsidP="00113D1A">
            <w:pPr>
              <w:jc w:val="both"/>
              <w:rPr>
                <w:rFonts w:ascii="Century Gothic" w:eastAsia="Times New Roman" w:hAnsi="Century Gothic"/>
                <w:b/>
                <w:color w:val="000000"/>
                <w:sz w:val="20"/>
                <w:szCs w:val="20"/>
                <w:lang w:eastAsia="es-MX"/>
              </w:rPr>
            </w:pPr>
            <w:r w:rsidRPr="00C152A6">
              <w:rPr>
                <w:rFonts w:ascii="Century Gothic" w:eastAsia="Times New Roman" w:hAnsi="Century Gothic"/>
                <w:b/>
                <w:color w:val="000000"/>
                <w:sz w:val="20"/>
                <w:szCs w:val="20"/>
                <w:lang w:eastAsia="es-MX"/>
              </w:rPr>
              <w:t xml:space="preserve">En caso de contar con una propuesta específica sobre alguna de las medidas relacionadas con </w:t>
            </w:r>
            <w:r>
              <w:rPr>
                <w:rFonts w:ascii="Century Gothic" w:eastAsia="Times New Roman" w:hAnsi="Century Gothic"/>
                <w:b/>
                <w:color w:val="000000"/>
                <w:sz w:val="20"/>
                <w:szCs w:val="20"/>
                <w:lang w:eastAsia="es-MX"/>
              </w:rPr>
              <w:t>Disposiciones Finales</w:t>
            </w:r>
            <w:r w:rsidR="004168B0">
              <w:rPr>
                <w:rFonts w:ascii="Century Gothic" w:eastAsia="Times New Roman" w:hAnsi="Century Gothic"/>
                <w:b/>
                <w:color w:val="000000"/>
                <w:sz w:val="20"/>
                <w:szCs w:val="20"/>
                <w:lang w:eastAsia="es-MX"/>
              </w:rPr>
              <w:t>, deberá indicarla.</w:t>
            </w:r>
          </w:p>
          <w:p w14:paraId="26817B30" w14:textId="77777777" w:rsidR="00113D1A" w:rsidRPr="00C152A6" w:rsidRDefault="00113D1A" w:rsidP="00113D1A">
            <w:pPr>
              <w:jc w:val="both"/>
              <w:rPr>
                <w:rFonts w:ascii="Century Gothic" w:eastAsia="Times New Roman" w:hAnsi="Century Gothic"/>
                <w:color w:val="000000"/>
                <w:sz w:val="20"/>
                <w:szCs w:val="20"/>
                <w:lang w:eastAsia="es-MX"/>
              </w:rPr>
            </w:pPr>
            <w:r w:rsidRPr="00C152A6">
              <w:rPr>
                <w:rFonts w:ascii="Century Gothic" w:eastAsia="Times New Roman" w:hAnsi="Century Gothic"/>
                <w:color w:val="000000"/>
                <w:sz w:val="16"/>
                <w:szCs w:val="20"/>
                <w:lang w:eastAsia="es-MX"/>
              </w:rPr>
              <w:t>Nota:  a efecto de realizar una valoración adecuada, cualquier propuesta deberá estar sustentada en lo manifestado en las respuestas a las preguntas previas.</w:t>
            </w:r>
          </w:p>
        </w:tc>
      </w:tr>
      <w:tr w:rsidR="00113D1A" w:rsidRPr="00C152A6" w14:paraId="3BFAF33F" w14:textId="77777777" w:rsidTr="00C152A6">
        <w:trPr>
          <w:trHeight w:val="414"/>
        </w:trPr>
        <w:tc>
          <w:tcPr>
            <w:tcW w:w="3047" w:type="dxa"/>
            <w:gridSpan w:val="2"/>
            <w:shd w:val="clear" w:color="auto" w:fill="FFFFFF"/>
          </w:tcPr>
          <w:p w14:paraId="7ED6DCDF"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tcPr>
          <w:p w14:paraId="13E464C7"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[Señale la propuesta]</w:t>
            </w:r>
          </w:p>
        </w:tc>
      </w:tr>
      <w:tr w:rsidR="00113D1A" w:rsidRPr="00C152A6" w14:paraId="16EEE964" w14:textId="77777777" w:rsidTr="00C152A6">
        <w:trPr>
          <w:trHeight w:val="414"/>
        </w:trPr>
        <w:tc>
          <w:tcPr>
            <w:tcW w:w="3047" w:type="dxa"/>
            <w:gridSpan w:val="2"/>
            <w:shd w:val="clear" w:color="auto" w:fill="FFFFFF"/>
            <w:vAlign w:val="center"/>
          </w:tcPr>
          <w:p w14:paraId="25528045"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[Indique medida]</w:t>
            </w:r>
          </w:p>
        </w:tc>
        <w:tc>
          <w:tcPr>
            <w:tcW w:w="5594" w:type="dxa"/>
            <w:gridSpan w:val="2"/>
            <w:shd w:val="clear" w:color="auto" w:fill="FFFFFF"/>
            <w:vAlign w:val="center"/>
          </w:tcPr>
          <w:p w14:paraId="690F9C5F" w14:textId="77777777" w:rsidR="00113D1A" w:rsidRPr="00C152A6" w:rsidRDefault="00113D1A" w:rsidP="00113D1A">
            <w:pPr>
              <w:jc w:val="center"/>
              <w:rPr>
                <w:rFonts w:ascii="Century Gothic" w:eastAsia="Times New Roman" w:hAnsi="Century Gothic"/>
                <w:color w:val="7F7F7F" w:themeColor="text1" w:themeTint="80"/>
                <w:sz w:val="20"/>
                <w:szCs w:val="20"/>
                <w:lang w:eastAsia="es-MX"/>
              </w:rPr>
            </w:pPr>
            <w:r w:rsidRPr="00C152A6">
              <w:rPr>
                <w:rFonts w:ascii="Century Gothic" w:eastAsia="Times New Roman" w:hAnsi="Century Gothic"/>
                <w:color w:val="7F7F7F" w:themeColor="text1" w:themeTint="80"/>
                <w:sz w:val="20"/>
                <w:szCs w:val="20"/>
                <w:lang w:eastAsia="es-MX"/>
              </w:rPr>
              <w:t>[Señale la propuesta]</w:t>
            </w:r>
          </w:p>
        </w:tc>
      </w:tr>
    </w:tbl>
    <w:p w14:paraId="5814A262" w14:textId="7C6A0CC1" w:rsidR="00566139" w:rsidRDefault="00566139" w:rsidP="00170916">
      <w:pPr>
        <w:spacing w:after="0"/>
        <w:jc w:val="both"/>
        <w:rPr>
          <w:rFonts w:ascii="Century Gothic" w:hAnsi="Century Gothic"/>
          <w:sz w:val="16"/>
        </w:rPr>
      </w:pPr>
    </w:p>
    <w:p w14:paraId="0D28A9A5" w14:textId="0FA3916C" w:rsidR="00113D1A" w:rsidRDefault="00113D1A" w:rsidP="00170916">
      <w:pPr>
        <w:spacing w:after="0"/>
        <w:jc w:val="both"/>
        <w:rPr>
          <w:rFonts w:ascii="Century Gothic" w:hAnsi="Century Gothic"/>
          <w:sz w:val="16"/>
        </w:rPr>
      </w:pPr>
    </w:p>
    <w:tbl>
      <w:tblPr>
        <w:tblpPr w:leftFromText="141" w:rightFromText="141" w:vertAnchor="text" w:tblpX="147" w:tblpY="108"/>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2765"/>
        <w:gridCol w:w="4321"/>
      </w:tblGrid>
      <w:tr w:rsidR="00EB55E1" w:rsidRPr="00C41536" w14:paraId="0D5C7F79" w14:textId="77777777" w:rsidTr="005976FF">
        <w:trPr>
          <w:trHeight w:val="581"/>
        </w:trPr>
        <w:tc>
          <w:tcPr>
            <w:tcW w:w="8641" w:type="dxa"/>
            <w:gridSpan w:val="3"/>
            <w:shd w:val="clear" w:color="auto" w:fill="D9D9D9"/>
            <w:vAlign w:val="center"/>
            <w:hideMark/>
          </w:tcPr>
          <w:p w14:paraId="71816DC1" w14:textId="486B3968" w:rsidR="00EB55E1" w:rsidRPr="00DD6FE2" w:rsidRDefault="00EB55E1" w:rsidP="00DD6FE2">
            <w:pPr>
              <w:pStyle w:val="Prrafodelista"/>
              <w:numPr>
                <w:ilvl w:val="0"/>
                <w:numId w:val="2"/>
              </w:numPr>
              <w:spacing w:after="0" w:line="240" w:lineRule="auto"/>
              <w:ind w:right="1069"/>
              <w:jc w:val="center"/>
              <w:rPr>
                <w:rFonts w:ascii="Century Gothic" w:eastAsia="Times New Roman" w:hAnsi="Century Gothic"/>
                <w:b/>
                <w:bCs/>
                <w:color w:val="FFFFFF"/>
                <w:lang w:eastAsia="es-MX"/>
              </w:rPr>
            </w:pPr>
            <w:r w:rsidRPr="00DD6FE2">
              <w:rPr>
                <w:rFonts w:ascii="Century Gothic" w:eastAsia="Times New Roman" w:hAnsi="Century Gothic"/>
                <w:b/>
                <w:bCs/>
                <w:color w:val="000000"/>
                <w:lang w:eastAsia="es-MX"/>
              </w:rPr>
              <w:t xml:space="preserve">Comentarios, opiniones </w:t>
            </w:r>
            <w:r w:rsidRPr="00DD6FE2">
              <w:rPr>
                <w:rFonts w:ascii="Century Gothic" w:eastAsia="Times New Roman" w:hAnsi="Century Gothic"/>
                <w:b/>
                <w:bCs/>
                <w:lang w:eastAsia="es-MX"/>
              </w:rPr>
              <w:t xml:space="preserve">y aportaciones únicamente sobre </w:t>
            </w:r>
            <w:r w:rsidR="00A1734A" w:rsidRPr="00475B92">
              <w:rPr>
                <w:rFonts w:ascii="Century Gothic" w:eastAsia="Times New Roman" w:hAnsi="Century Gothic"/>
                <w:b/>
                <w:bCs/>
                <w:lang w:eastAsia="es-MX"/>
              </w:rPr>
              <w:t xml:space="preserve">la </w:t>
            </w:r>
            <w:r w:rsidRPr="00DD6FE2">
              <w:rPr>
                <w:rFonts w:ascii="Century Gothic" w:eastAsia="Times New Roman" w:hAnsi="Century Gothic"/>
                <w:b/>
                <w:bCs/>
                <w:lang w:eastAsia="es-MX"/>
              </w:rPr>
              <w:t xml:space="preserve">medida </w:t>
            </w:r>
            <w:r w:rsidR="00475B92" w:rsidRPr="00475B92">
              <w:rPr>
                <w:rFonts w:ascii="Century Gothic" w:eastAsia="Times New Roman" w:hAnsi="Century Gothic"/>
                <w:b/>
                <w:bCs/>
                <w:lang w:eastAsia="es-MX"/>
              </w:rPr>
              <w:t xml:space="preserve">2 </w:t>
            </w:r>
            <w:r w:rsidRPr="00DD6FE2">
              <w:rPr>
                <w:rFonts w:ascii="Century Gothic" w:eastAsia="Times New Roman" w:hAnsi="Century Gothic"/>
                <w:b/>
                <w:bCs/>
                <w:lang w:eastAsia="es-MX"/>
              </w:rPr>
              <w:t>que no se encuentr</w:t>
            </w:r>
            <w:r w:rsidR="00A1734A" w:rsidRPr="00475B92">
              <w:rPr>
                <w:rFonts w:ascii="Century Gothic" w:eastAsia="Times New Roman" w:hAnsi="Century Gothic"/>
                <w:b/>
                <w:bCs/>
                <w:lang w:eastAsia="es-MX"/>
              </w:rPr>
              <w:t>a</w:t>
            </w:r>
            <w:r w:rsidRPr="00DD6FE2">
              <w:rPr>
                <w:rFonts w:ascii="Century Gothic" w:eastAsia="Times New Roman" w:hAnsi="Century Gothic"/>
                <w:b/>
                <w:bCs/>
                <w:lang w:eastAsia="es-MX"/>
              </w:rPr>
              <w:t xml:space="preserve"> en los grupos anteriores</w:t>
            </w:r>
          </w:p>
        </w:tc>
      </w:tr>
      <w:tr w:rsidR="00EB55E1" w:rsidRPr="00243519" w14:paraId="3D5C53C2" w14:textId="77777777" w:rsidTr="005976FF">
        <w:trPr>
          <w:trHeight w:val="239"/>
        </w:trPr>
        <w:tc>
          <w:tcPr>
            <w:tcW w:w="1555" w:type="dxa"/>
            <w:shd w:val="clear" w:color="auto" w:fill="C5E0B3" w:themeFill="accent6" w:themeFillTint="66"/>
            <w:vAlign w:val="center"/>
          </w:tcPr>
          <w:p w14:paraId="2B6B6E40" w14:textId="77777777" w:rsidR="00EB55E1" w:rsidRPr="00DD6FE2" w:rsidRDefault="00EB55E1" w:rsidP="005976FF">
            <w:pPr>
              <w:spacing w:after="0" w:line="276" w:lineRule="auto"/>
              <w:jc w:val="center"/>
              <w:rPr>
                <w:rFonts w:ascii="Century Gothic" w:eastAsia="Times New Roman" w:hAnsi="Century Gothic"/>
                <w:b/>
                <w:color w:val="000000"/>
                <w:sz w:val="20"/>
                <w:lang w:eastAsia="es-MX"/>
              </w:rPr>
            </w:pPr>
            <w:r w:rsidRPr="00DD6FE2">
              <w:rPr>
                <w:rFonts w:ascii="Century Gothic" w:eastAsia="Times New Roman" w:hAnsi="Century Gothic"/>
                <w:b/>
                <w:color w:val="000000"/>
                <w:sz w:val="20"/>
                <w:lang w:eastAsia="es-MX"/>
              </w:rPr>
              <w:t>Medida</w:t>
            </w:r>
          </w:p>
        </w:tc>
        <w:tc>
          <w:tcPr>
            <w:tcW w:w="7086" w:type="dxa"/>
            <w:gridSpan w:val="2"/>
            <w:shd w:val="clear" w:color="auto" w:fill="C5E0B3" w:themeFill="accent6" w:themeFillTint="66"/>
            <w:vAlign w:val="center"/>
          </w:tcPr>
          <w:p w14:paraId="537151CF" w14:textId="77777777" w:rsidR="00EB55E1" w:rsidRPr="00DD6FE2" w:rsidRDefault="00EB55E1" w:rsidP="005976FF">
            <w:pPr>
              <w:spacing w:after="0" w:line="276" w:lineRule="auto"/>
              <w:jc w:val="center"/>
              <w:rPr>
                <w:rFonts w:ascii="Century Gothic" w:eastAsia="Times New Roman" w:hAnsi="Century Gothic"/>
                <w:b/>
                <w:color w:val="000000"/>
                <w:sz w:val="20"/>
                <w:lang w:eastAsia="es-MX"/>
              </w:rPr>
            </w:pPr>
            <w:r w:rsidRPr="00DD6FE2">
              <w:rPr>
                <w:rFonts w:ascii="Century Gothic" w:eastAsia="Times New Roman" w:hAnsi="Century Gothic"/>
                <w:b/>
                <w:color w:val="000000"/>
                <w:sz w:val="20"/>
                <w:lang w:eastAsia="es-MX"/>
              </w:rPr>
              <w:t>Comentario</w:t>
            </w:r>
          </w:p>
        </w:tc>
      </w:tr>
      <w:tr w:rsidR="00EB55E1" w:rsidRPr="00243519" w14:paraId="1C54CCAF" w14:textId="77777777" w:rsidTr="005976FF">
        <w:trPr>
          <w:trHeight w:val="414"/>
        </w:trPr>
        <w:tc>
          <w:tcPr>
            <w:tcW w:w="1555" w:type="dxa"/>
            <w:shd w:val="clear" w:color="auto" w:fill="FFFFFF"/>
            <w:vAlign w:val="center"/>
          </w:tcPr>
          <w:p w14:paraId="1A05FFFD" w14:textId="072BB9EA" w:rsidR="00EB55E1" w:rsidRPr="00DD6FE2" w:rsidRDefault="00A1734A" w:rsidP="005976FF">
            <w:pPr>
              <w:spacing w:after="0" w:line="276" w:lineRule="auto"/>
              <w:jc w:val="center"/>
              <w:rPr>
                <w:rFonts w:ascii="Century Gothic" w:eastAsia="Times New Roman" w:hAnsi="Century Gothic"/>
                <w:bCs/>
                <w:color w:val="000000"/>
                <w:sz w:val="20"/>
                <w:lang w:eastAsia="es-MX"/>
              </w:rPr>
            </w:pPr>
            <w:r w:rsidRPr="00DD6FE2">
              <w:rPr>
                <w:rFonts w:ascii="Century Gothic" w:eastAsia="Times New Roman" w:hAnsi="Century Gothic"/>
                <w:color w:val="7F7F7F" w:themeColor="text1" w:themeTint="80"/>
                <w:sz w:val="20"/>
                <w:lang w:eastAsia="es-MX"/>
              </w:rPr>
              <w:t>2</w:t>
            </w:r>
            <w:r w:rsidR="00EB55E1" w:rsidRPr="00DD6FE2">
              <w:rPr>
                <w:rFonts w:ascii="Century Gothic" w:eastAsia="Times New Roman" w:hAnsi="Century Gothic"/>
                <w:bCs/>
                <w:color w:val="000000"/>
                <w:sz w:val="20"/>
                <w:lang w:eastAsia="es-MX"/>
              </w:rPr>
              <w:t xml:space="preserve"> </w:t>
            </w:r>
          </w:p>
        </w:tc>
        <w:tc>
          <w:tcPr>
            <w:tcW w:w="7086" w:type="dxa"/>
            <w:gridSpan w:val="2"/>
            <w:shd w:val="clear" w:color="auto" w:fill="FFFFFF"/>
            <w:vAlign w:val="center"/>
          </w:tcPr>
          <w:p w14:paraId="733A3D76" w14:textId="77777777" w:rsidR="00EB55E1" w:rsidRPr="00DD6FE2" w:rsidRDefault="00EB55E1" w:rsidP="005976FF">
            <w:pPr>
              <w:spacing w:after="0" w:line="276" w:lineRule="auto"/>
              <w:jc w:val="center"/>
              <w:rPr>
                <w:rFonts w:ascii="Century Gothic" w:eastAsia="Times New Roman" w:hAnsi="Century Gothic"/>
                <w:bCs/>
                <w:color w:val="000000"/>
                <w:sz w:val="20"/>
                <w:lang w:eastAsia="es-MX"/>
              </w:rPr>
            </w:pPr>
          </w:p>
        </w:tc>
      </w:tr>
      <w:tr w:rsidR="00EB55E1" w:rsidRPr="00243519" w14:paraId="33B18DD7" w14:textId="77777777" w:rsidTr="005976FF">
        <w:trPr>
          <w:trHeight w:val="414"/>
        </w:trPr>
        <w:tc>
          <w:tcPr>
            <w:tcW w:w="4320" w:type="dxa"/>
            <w:gridSpan w:val="2"/>
            <w:shd w:val="clear" w:color="auto" w:fill="FFFFFF"/>
          </w:tcPr>
          <w:p w14:paraId="339A2340" w14:textId="77777777" w:rsidR="00EB55E1" w:rsidRPr="00DD6FE2" w:rsidRDefault="00EB55E1" w:rsidP="005976FF">
            <w:pPr>
              <w:spacing w:after="0" w:line="276" w:lineRule="auto"/>
              <w:rPr>
                <w:rFonts w:ascii="Century Gothic" w:eastAsia="Times New Roman" w:hAnsi="Century Gothic"/>
                <w:bCs/>
                <w:color w:val="000000"/>
                <w:sz w:val="20"/>
                <w:lang w:eastAsia="es-MX"/>
              </w:rPr>
            </w:pPr>
            <w:r w:rsidRPr="00DD6FE2">
              <w:rPr>
                <w:rFonts w:ascii="Century Gothic" w:hAnsi="Century Gothic"/>
                <w:sz w:val="20"/>
              </w:rPr>
              <w:t xml:space="preserve">Liste los documentos </w:t>
            </w:r>
            <w:proofErr w:type="gramStart"/>
            <w:r w:rsidRPr="00DD6FE2">
              <w:rPr>
                <w:rFonts w:ascii="Century Gothic" w:hAnsi="Century Gothic"/>
                <w:sz w:val="20"/>
              </w:rPr>
              <w:t>asociados  a</w:t>
            </w:r>
            <w:proofErr w:type="gramEnd"/>
            <w:r w:rsidRPr="00DD6FE2">
              <w:rPr>
                <w:rFonts w:ascii="Century Gothic" w:hAnsi="Century Gothic"/>
                <w:sz w:val="20"/>
              </w:rPr>
              <w:t xml:space="preserve"> los comentarios manifestados:</w:t>
            </w:r>
          </w:p>
        </w:tc>
        <w:tc>
          <w:tcPr>
            <w:tcW w:w="4321" w:type="dxa"/>
            <w:shd w:val="clear" w:color="auto" w:fill="FFFFFF"/>
          </w:tcPr>
          <w:p w14:paraId="3B47270A" w14:textId="77777777" w:rsidR="00EB55E1" w:rsidRPr="00DD6FE2" w:rsidRDefault="00EB55E1" w:rsidP="005976FF">
            <w:pPr>
              <w:spacing w:after="0" w:line="276" w:lineRule="auto"/>
              <w:rPr>
                <w:rFonts w:ascii="Century Gothic" w:eastAsia="Times New Roman" w:hAnsi="Century Gothic"/>
                <w:bCs/>
                <w:color w:val="000000"/>
                <w:sz w:val="20"/>
                <w:lang w:eastAsia="es-MX"/>
              </w:rPr>
            </w:pPr>
            <w:r w:rsidRPr="00DD6FE2">
              <w:rPr>
                <w:rFonts w:ascii="Century Gothic" w:eastAsia="Times New Roman" w:hAnsi="Century Gothic"/>
                <w:color w:val="7F7F7F" w:themeColor="text1" w:themeTint="80"/>
                <w:sz w:val="20"/>
                <w:lang w:eastAsia="es-MX"/>
              </w:rPr>
              <w:t>[Indique nombre, sección y páginas del documento]</w:t>
            </w:r>
          </w:p>
        </w:tc>
      </w:tr>
    </w:tbl>
    <w:p w14:paraId="1F305E82" w14:textId="77777777" w:rsidR="00504BCE" w:rsidRDefault="00504BCE" w:rsidP="00170916">
      <w:pPr>
        <w:spacing w:after="0"/>
        <w:jc w:val="both"/>
        <w:rPr>
          <w:rFonts w:ascii="Century Gothic" w:hAnsi="Century Gothic"/>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1"/>
      </w:tblGrid>
      <w:tr w:rsidR="003D136A" w:rsidRPr="00670385" w14:paraId="014B87A5" w14:textId="77777777" w:rsidTr="00E34F3B">
        <w:tc>
          <w:tcPr>
            <w:tcW w:w="8691" w:type="dxa"/>
            <w:shd w:val="clear" w:color="auto" w:fill="D9D9D9"/>
          </w:tcPr>
          <w:p w14:paraId="5AF19770" w14:textId="77777777" w:rsidR="003D136A" w:rsidRPr="00670385" w:rsidRDefault="003D136A" w:rsidP="00DD6FE2">
            <w:pPr>
              <w:numPr>
                <w:ilvl w:val="0"/>
                <w:numId w:val="2"/>
              </w:numPr>
              <w:spacing w:after="0" w:line="240" w:lineRule="auto"/>
              <w:ind w:right="1069"/>
              <w:contextualSpacing/>
              <w:jc w:val="center"/>
              <w:rPr>
                <w:rFonts w:ascii="ITC Avant Garde" w:hAnsi="ITC Avant Garde"/>
                <w:b/>
              </w:rPr>
            </w:pPr>
            <w:r w:rsidRPr="00E34F3B">
              <w:rPr>
                <w:rFonts w:ascii="Century Gothic" w:eastAsia="Times New Roman" w:hAnsi="Century Gothic"/>
                <w:b/>
                <w:bCs/>
                <w:color w:val="000000"/>
                <w:lang w:eastAsia="es-MX"/>
              </w:rPr>
              <w:t>Comentarios, opiniones y aportaciones generales del participante sobre el asunto en consulta pública</w:t>
            </w:r>
          </w:p>
        </w:tc>
      </w:tr>
      <w:tr w:rsidR="003D136A" w:rsidRPr="00670385" w14:paraId="0B78C9B9" w14:textId="77777777" w:rsidTr="00E34F3B">
        <w:tc>
          <w:tcPr>
            <w:tcW w:w="8691" w:type="dxa"/>
            <w:shd w:val="clear" w:color="auto" w:fill="auto"/>
          </w:tcPr>
          <w:p w14:paraId="499F8441" w14:textId="77777777" w:rsidR="003D136A" w:rsidRPr="00670385" w:rsidRDefault="003D136A" w:rsidP="00AA69BE">
            <w:pPr>
              <w:spacing w:after="0"/>
              <w:jc w:val="both"/>
              <w:rPr>
                <w:rFonts w:ascii="ITC Avant Garde" w:hAnsi="ITC Avant Garde"/>
                <w:sz w:val="12"/>
              </w:rPr>
            </w:pPr>
          </w:p>
          <w:p w14:paraId="07A19E1D" w14:textId="77777777" w:rsidR="003D136A" w:rsidRPr="00670385" w:rsidRDefault="003D136A" w:rsidP="00AA69BE">
            <w:pPr>
              <w:spacing w:after="0"/>
              <w:jc w:val="both"/>
              <w:rPr>
                <w:rFonts w:ascii="ITC Avant Garde" w:hAnsi="ITC Avant Garde"/>
                <w:sz w:val="12"/>
              </w:rPr>
            </w:pPr>
          </w:p>
          <w:p w14:paraId="682F54E1" w14:textId="77777777" w:rsidR="001D120F" w:rsidRDefault="001D120F" w:rsidP="001D120F">
            <w:pPr>
              <w:pStyle w:val="Sinespaciado"/>
              <w:spacing w:line="360" w:lineRule="auto"/>
              <w:rPr>
                <w:rFonts w:ascii="Arial" w:hAnsi="Arial" w:cs="Arial"/>
                <w:sz w:val="24"/>
                <w:szCs w:val="24"/>
              </w:rPr>
            </w:pPr>
            <w:r>
              <w:rPr>
                <w:rFonts w:ascii="Arial" w:hAnsi="Arial" w:cs="Arial"/>
                <w:sz w:val="24"/>
                <w:szCs w:val="24"/>
              </w:rPr>
              <w:t>Aprovecho la ocasión y la oportunidad que se nos presenta para externar mi opinión sobre la preponderancia.</w:t>
            </w:r>
          </w:p>
          <w:p w14:paraId="7AD83BA3" w14:textId="77777777" w:rsidR="001D120F" w:rsidRDefault="001D120F" w:rsidP="001D120F">
            <w:pPr>
              <w:pStyle w:val="Sinespaciado"/>
              <w:spacing w:line="360" w:lineRule="auto"/>
              <w:rPr>
                <w:rFonts w:ascii="Arial" w:hAnsi="Arial" w:cs="Arial"/>
                <w:sz w:val="24"/>
                <w:szCs w:val="24"/>
              </w:rPr>
            </w:pPr>
            <w:r>
              <w:rPr>
                <w:rFonts w:ascii="Arial" w:hAnsi="Arial" w:cs="Arial"/>
                <w:sz w:val="24"/>
                <w:szCs w:val="24"/>
              </w:rPr>
              <w:t xml:space="preserve">   Comienzo contextualizando para presentar un panorama más completo.</w:t>
            </w:r>
          </w:p>
          <w:p w14:paraId="5474DEBD" w14:textId="5B8A36B1" w:rsidR="001D120F" w:rsidRDefault="001D120F" w:rsidP="001D120F">
            <w:pPr>
              <w:pStyle w:val="Sinespaciado"/>
              <w:spacing w:line="360" w:lineRule="auto"/>
              <w:rPr>
                <w:rFonts w:ascii="Arial" w:hAnsi="Arial" w:cs="Arial"/>
                <w:sz w:val="24"/>
                <w:szCs w:val="24"/>
              </w:rPr>
            </w:pPr>
            <w:r>
              <w:rPr>
                <w:rFonts w:ascii="Arial" w:hAnsi="Arial" w:cs="Arial"/>
                <w:sz w:val="24"/>
                <w:szCs w:val="24"/>
              </w:rPr>
              <w:lastRenderedPageBreak/>
              <w:t xml:space="preserve">   Soy accionista, y concesionario, junto con mi esposa, de TV Diez Durango S.A de C.V, XHA TDT, el cual fue fundado por mi padre y nació en abril de 1967 (52 años a la fecha).   TV Diez fue el primer canal de Durango, comenzó como local y afiliado a </w:t>
            </w:r>
            <w:proofErr w:type="spellStart"/>
            <w:r>
              <w:rPr>
                <w:rFonts w:ascii="Arial" w:hAnsi="Arial" w:cs="Arial"/>
                <w:sz w:val="24"/>
                <w:szCs w:val="24"/>
              </w:rPr>
              <w:t>Telesistema</w:t>
            </w:r>
            <w:proofErr w:type="spellEnd"/>
            <w:r>
              <w:rPr>
                <w:rFonts w:ascii="Arial" w:hAnsi="Arial" w:cs="Arial"/>
                <w:sz w:val="24"/>
                <w:szCs w:val="24"/>
              </w:rPr>
              <w:t xml:space="preserve"> </w:t>
            </w:r>
            <w:proofErr w:type="gramStart"/>
            <w:r>
              <w:rPr>
                <w:rFonts w:ascii="Arial" w:hAnsi="Arial" w:cs="Arial"/>
                <w:sz w:val="24"/>
                <w:szCs w:val="24"/>
              </w:rPr>
              <w:t>Mexicano</w:t>
            </w:r>
            <w:proofErr w:type="gramEnd"/>
            <w:r>
              <w:rPr>
                <w:rFonts w:ascii="Arial" w:hAnsi="Arial" w:cs="Arial"/>
                <w:sz w:val="24"/>
                <w:szCs w:val="24"/>
              </w:rPr>
              <w:t>, relacionándose directamente con XEW canal 2, del cual era el principal accionista en ese entonces el Sr. Emil</w:t>
            </w:r>
            <w:r w:rsidR="0061794E">
              <w:rPr>
                <w:rFonts w:ascii="Arial" w:hAnsi="Arial" w:cs="Arial"/>
                <w:sz w:val="24"/>
                <w:szCs w:val="24"/>
              </w:rPr>
              <w:t>i</w:t>
            </w:r>
            <w:r>
              <w:rPr>
                <w:rFonts w:ascii="Arial" w:hAnsi="Arial" w:cs="Arial"/>
                <w:sz w:val="24"/>
                <w:szCs w:val="24"/>
              </w:rPr>
              <w:t xml:space="preserve">o </w:t>
            </w:r>
            <w:r w:rsidR="0061794E">
              <w:rPr>
                <w:rFonts w:ascii="Arial" w:hAnsi="Arial" w:cs="Arial"/>
                <w:sz w:val="24"/>
                <w:szCs w:val="24"/>
              </w:rPr>
              <w:t>Azcárraga</w:t>
            </w:r>
            <w:r>
              <w:rPr>
                <w:rFonts w:ascii="Arial" w:hAnsi="Arial" w:cs="Arial"/>
                <w:sz w:val="24"/>
                <w:szCs w:val="24"/>
              </w:rPr>
              <w:t xml:space="preserve"> Vidaurreta.   Actualmente aquel canal forma parte de Televisa,</w:t>
            </w:r>
            <w:r w:rsidRPr="00C3065A">
              <w:rPr>
                <w:rFonts w:ascii="Arial" w:hAnsi="Arial" w:cs="Arial"/>
                <w:sz w:val="24"/>
                <w:szCs w:val="24"/>
              </w:rPr>
              <w:t xml:space="preserve"> </w:t>
            </w:r>
            <w:r>
              <w:rPr>
                <w:rFonts w:ascii="Arial" w:hAnsi="Arial" w:cs="Arial"/>
                <w:sz w:val="24"/>
                <w:szCs w:val="24"/>
              </w:rPr>
              <w:t xml:space="preserve">de quien el principal socio es el Sr. Emilio </w:t>
            </w:r>
            <w:r w:rsidR="0061794E">
              <w:rPr>
                <w:rFonts w:ascii="Arial" w:hAnsi="Arial" w:cs="Arial"/>
                <w:sz w:val="24"/>
                <w:szCs w:val="24"/>
              </w:rPr>
              <w:t>Azcárraga</w:t>
            </w:r>
            <w:r>
              <w:rPr>
                <w:rFonts w:ascii="Arial" w:hAnsi="Arial" w:cs="Arial"/>
                <w:sz w:val="24"/>
                <w:szCs w:val="24"/>
              </w:rPr>
              <w:t xml:space="preserve"> Jean.    En aquel entonces la afiliación implicaba que se nos proveyera de apoyo técnico, contenidos audiovisuales y representación para las ventas nacionales. Canal 10 dejo de ser local en el año 1968 para encadenarse al Canal 2 que inicio con su cadena nacional aprovechando las olimpiadas de 1968.  Vamos para 51 años de afiliación con una relación comercial positiva, sin tacha.</w:t>
            </w:r>
          </w:p>
          <w:p w14:paraId="2291E2B0" w14:textId="77777777" w:rsidR="001D120F" w:rsidRDefault="001D120F" w:rsidP="001D120F">
            <w:pPr>
              <w:pStyle w:val="Sinespaciado"/>
              <w:spacing w:line="360" w:lineRule="auto"/>
              <w:rPr>
                <w:rFonts w:ascii="Arial" w:hAnsi="Arial" w:cs="Arial"/>
                <w:sz w:val="24"/>
                <w:szCs w:val="24"/>
              </w:rPr>
            </w:pPr>
          </w:p>
          <w:p w14:paraId="51B22E3D" w14:textId="77777777" w:rsidR="001D120F" w:rsidRDefault="001D120F" w:rsidP="001D120F">
            <w:pPr>
              <w:pStyle w:val="Sinespaciado"/>
              <w:spacing w:line="36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En relación a</w:t>
            </w:r>
            <w:proofErr w:type="gramEnd"/>
            <w:r>
              <w:rPr>
                <w:rFonts w:ascii="Arial" w:hAnsi="Arial" w:cs="Arial"/>
                <w:sz w:val="24"/>
                <w:szCs w:val="24"/>
              </w:rPr>
              <w:t xml:space="preserve"> mi opinión acerca del IFT, organismo que vino a sustituir a quien nos regulaba anteriormente, la SCT, nació en el 2013 a raíz de una reforma constitucional que le otorgó facultades para controlar, regular y ampliar la competencia en radio y televisión.   Por la forma en que se dio este nacimiento, me parece que los políticos, a través de los Diputados y Senadores, lo crearon con la finalidad de controlar, atomizar y sobre regular a la industria de la radio y la televisión, en una especie de vendetta cuya finalidad real es disminuir la presencia e influencia de </w:t>
            </w:r>
            <w:proofErr w:type="gramStart"/>
            <w:r>
              <w:rPr>
                <w:rFonts w:ascii="Arial" w:hAnsi="Arial" w:cs="Arial"/>
                <w:sz w:val="24"/>
                <w:szCs w:val="24"/>
              </w:rPr>
              <w:t>los mismos</w:t>
            </w:r>
            <w:proofErr w:type="gramEnd"/>
            <w:r>
              <w:rPr>
                <w:rFonts w:ascii="Arial" w:hAnsi="Arial" w:cs="Arial"/>
                <w:sz w:val="24"/>
                <w:szCs w:val="24"/>
              </w:rPr>
              <w:t xml:space="preserve">, con la intención última de no verse afectados por la exposición de los problemas nacionales, lo cual, evidentemente, puede afectar sus aspiraciones políticas futuras.   En resumen, me da la impresión de que este tipo de medidas se dan básicamente para no “estorbarle” a los políticos.   </w:t>
            </w:r>
          </w:p>
          <w:p w14:paraId="3BA4ABC2" w14:textId="77777777" w:rsidR="001D120F" w:rsidRDefault="001D120F" w:rsidP="001D120F">
            <w:pPr>
              <w:pStyle w:val="Sinespaciado"/>
              <w:spacing w:line="360" w:lineRule="auto"/>
              <w:rPr>
                <w:rFonts w:ascii="Arial" w:hAnsi="Arial" w:cs="Arial"/>
                <w:sz w:val="24"/>
                <w:szCs w:val="24"/>
              </w:rPr>
            </w:pPr>
          </w:p>
          <w:p w14:paraId="375E03E6" w14:textId="77777777" w:rsidR="001D120F" w:rsidRDefault="001D120F" w:rsidP="001D120F">
            <w:pPr>
              <w:pStyle w:val="Sinespaciado"/>
              <w:spacing w:line="360" w:lineRule="auto"/>
              <w:rPr>
                <w:rFonts w:ascii="Arial" w:hAnsi="Arial" w:cs="Arial"/>
                <w:sz w:val="24"/>
                <w:szCs w:val="24"/>
              </w:rPr>
            </w:pPr>
            <w:r>
              <w:rPr>
                <w:rFonts w:ascii="Arial" w:hAnsi="Arial" w:cs="Arial"/>
                <w:sz w:val="24"/>
                <w:szCs w:val="24"/>
              </w:rPr>
              <w:t xml:space="preserve">   La radio y la televisión presentan diversos, y muy complejos problemas.   Se otorgaron dos concesiones para crear nuevas cadenas televisivas con presencia nacional, sin tomar en consideración la situación económica actual y </w:t>
            </w:r>
            <w:r>
              <w:rPr>
                <w:rFonts w:ascii="Arial" w:hAnsi="Arial" w:cs="Arial"/>
                <w:sz w:val="24"/>
                <w:szCs w:val="24"/>
              </w:rPr>
              <w:lastRenderedPageBreak/>
              <w:t xml:space="preserve">la competencia existente, entre diversas industrias, para conseguir ingresos publicitarios.   Tampoco se toma en consideración la nueva competencia que tiene la industria: las plataformas de contenido </w:t>
            </w:r>
            <w:proofErr w:type="spellStart"/>
            <w:r>
              <w:rPr>
                <w:rFonts w:ascii="Arial" w:hAnsi="Arial" w:cs="Arial"/>
                <w:sz w:val="24"/>
                <w:szCs w:val="24"/>
              </w:rPr>
              <w:t>on</w:t>
            </w:r>
            <w:proofErr w:type="spellEnd"/>
            <w:r>
              <w:rPr>
                <w:rFonts w:ascii="Arial" w:hAnsi="Arial" w:cs="Arial"/>
                <w:sz w:val="24"/>
                <w:szCs w:val="24"/>
              </w:rPr>
              <w:t xml:space="preserve"> </w:t>
            </w:r>
            <w:proofErr w:type="spellStart"/>
            <w:r>
              <w:rPr>
                <w:rFonts w:ascii="Arial" w:hAnsi="Arial" w:cs="Arial"/>
                <w:sz w:val="24"/>
                <w:szCs w:val="24"/>
              </w:rPr>
              <w:t>demand</w:t>
            </w:r>
            <w:proofErr w:type="spellEnd"/>
            <w:r>
              <w:rPr>
                <w:rFonts w:ascii="Arial" w:hAnsi="Arial" w:cs="Arial"/>
                <w:sz w:val="24"/>
                <w:szCs w:val="24"/>
              </w:rPr>
              <w:t xml:space="preserve"> que han aparecido en internet.  Plataformas como Netflix, Spotify, Amazon Video, YouTube Premium, entre otras, trabajan sin regulación, ni fiscal, ni de ningún tipo.   Trabajan por la libre, sin aportar beneficios económicos al país, tumbando rating de la industria en la cual nos desenvolvemos, cosa que al final se traduce en pérdida de ventas por una percepción de decrecimiento en los medios tradicionales.    </w:t>
            </w:r>
            <w:r w:rsidRPr="00AD7E23">
              <w:rPr>
                <w:rFonts w:ascii="Arial" w:hAnsi="Arial" w:cs="Arial"/>
                <w:sz w:val="24"/>
                <w:szCs w:val="24"/>
              </w:rPr>
              <w:t>Se nos quitó</w:t>
            </w:r>
            <w:r>
              <w:rPr>
                <w:rFonts w:ascii="Arial" w:hAnsi="Arial" w:cs="Arial"/>
                <w:sz w:val="24"/>
                <w:szCs w:val="24"/>
              </w:rPr>
              <w:t xml:space="preserve"> la opción de recurrir al amparo donde este genere la suspensión del acto reclamado, estamos en una industria donde se nos discrimina, además, con respecto a otros medios de comunicación.  Me pregunto por qué los periódicos y revistas no están igual de </w:t>
            </w:r>
            <w:proofErr w:type="spellStart"/>
            <w:r>
              <w:rPr>
                <w:rFonts w:ascii="Arial" w:hAnsi="Arial" w:cs="Arial"/>
                <w:sz w:val="24"/>
                <w:szCs w:val="24"/>
              </w:rPr>
              <w:t>sobreregulados</w:t>
            </w:r>
            <w:proofErr w:type="spellEnd"/>
            <w:r>
              <w:rPr>
                <w:rFonts w:ascii="Arial" w:hAnsi="Arial" w:cs="Arial"/>
                <w:sz w:val="24"/>
                <w:szCs w:val="24"/>
              </w:rPr>
              <w:t xml:space="preserve"> que nosotros, en comparación de ellos nuestra industria está restringida en su libertad de expresión a causa de todas las reformas electorales.   Cada vez piden más requisitos, se imponen más regulaciones y seguimos regidos en temas laborales por un Contrato Ley que es antiguo, obsoleto y que refleja la realidad de otros tiempos de bonanza.</w:t>
            </w:r>
          </w:p>
          <w:p w14:paraId="2CC860E7" w14:textId="77777777" w:rsidR="001D120F" w:rsidRDefault="001D120F" w:rsidP="001D120F">
            <w:pPr>
              <w:pStyle w:val="Sinespaciado"/>
              <w:spacing w:line="360" w:lineRule="auto"/>
              <w:rPr>
                <w:rFonts w:ascii="Arial" w:hAnsi="Arial" w:cs="Arial"/>
                <w:sz w:val="24"/>
                <w:szCs w:val="24"/>
              </w:rPr>
            </w:pPr>
          </w:p>
          <w:p w14:paraId="1E3A494C" w14:textId="77777777" w:rsidR="001D120F" w:rsidRDefault="001D120F" w:rsidP="001D120F">
            <w:pPr>
              <w:pStyle w:val="Sinespaciado"/>
              <w:spacing w:line="360" w:lineRule="auto"/>
              <w:rPr>
                <w:rFonts w:ascii="Arial" w:hAnsi="Arial" w:cs="Arial"/>
                <w:sz w:val="24"/>
                <w:szCs w:val="24"/>
              </w:rPr>
            </w:pPr>
            <w:r>
              <w:rPr>
                <w:rFonts w:ascii="Arial" w:hAnsi="Arial" w:cs="Arial"/>
                <w:sz w:val="24"/>
                <w:szCs w:val="24"/>
              </w:rPr>
              <w:t xml:space="preserve">   Se considera que la mejor televisión del mundo se encuentra en Estados Unidos, donde existen cinco cadenas nacionales importantes.   Dicho país cuenta con cinco cadenas grandes con transmisión nacional, que son CBS, FOX, NBC, ABC y CW.   En México se cuenta con cuatro cadenas, que son Televisa, TV Azteca, Imagen y Multimedios, al menos parcialmente.   El problema de todo esto es la disparidad en la capacidad económica de un país con otro:  el PIB de Estados Unidos es 17 veces más grande que el de México.   Mi pregunta aquí es ¿por qué pensamos que nuestro mercado da para mantener, a través de la venta de publicidad, cuatro cadenas de televisión?  Bajo este criterio, considerar la reforma como un éxito es un error.   Tomar este tipo de medidas, sin los estudios económicos pertinentes, puede llevarnos a </w:t>
            </w:r>
            <w:r>
              <w:rPr>
                <w:rFonts w:ascii="Arial" w:hAnsi="Arial" w:cs="Arial"/>
                <w:sz w:val="24"/>
                <w:szCs w:val="24"/>
              </w:rPr>
              <w:lastRenderedPageBreak/>
              <w:t xml:space="preserve">una crisis donde se pierdan trabajos, calidad en contenidos y se </w:t>
            </w:r>
            <w:proofErr w:type="spellStart"/>
            <w:r>
              <w:rPr>
                <w:rFonts w:ascii="Arial" w:hAnsi="Arial" w:cs="Arial"/>
                <w:sz w:val="24"/>
                <w:szCs w:val="24"/>
              </w:rPr>
              <w:t>de</w:t>
            </w:r>
            <w:proofErr w:type="spellEnd"/>
            <w:r>
              <w:rPr>
                <w:rFonts w:ascii="Arial" w:hAnsi="Arial" w:cs="Arial"/>
                <w:sz w:val="24"/>
                <w:szCs w:val="24"/>
              </w:rPr>
              <w:t xml:space="preserve"> la </w:t>
            </w:r>
            <w:r w:rsidRPr="00AD7E23">
              <w:rPr>
                <w:rFonts w:ascii="Arial" w:hAnsi="Arial" w:cs="Arial"/>
                <w:sz w:val="24"/>
                <w:szCs w:val="24"/>
              </w:rPr>
              <w:t>venta forzosa</w:t>
            </w:r>
            <w:r>
              <w:rPr>
                <w:rFonts w:ascii="Arial" w:hAnsi="Arial" w:cs="Arial"/>
                <w:sz w:val="24"/>
                <w:szCs w:val="24"/>
              </w:rPr>
              <w:t xml:space="preserve"> de canales de televisión independientes.</w:t>
            </w:r>
          </w:p>
          <w:p w14:paraId="3D1AB81C" w14:textId="77777777" w:rsidR="001D120F" w:rsidRDefault="001D120F" w:rsidP="001D120F">
            <w:pPr>
              <w:pStyle w:val="Sinespaciado"/>
              <w:rPr>
                <w:rFonts w:ascii="Arial" w:hAnsi="Arial" w:cs="Arial"/>
                <w:sz w:val="24"/>
                <w:szCs w:val="24"/>
              </w:rPr>
            </w:pPr>
          </w:p>
          <w:p w14:paraId="4515D94C" w14:textId="77777777" w:rsidR="001D120F" w:rsidRDefault="001D120F" w:rsidP="001D120F">
            <w:pPr>
              <w:pStyle w:val="Sinespaciado"/>
              <w:spacing w:line="360" w:lineRule="auto"/>
              <w:rPr>
                <w:rFonts w:ascii="Arial" w:hAnsi="Arial" w:cs="Arial"/>
                <w:sz w:val="24"/>
                <w:szCs w:val="24"/>
              </w:rPr>
            </w:pPr>
            <w:r>
              <w:rPr>
                <w:rFonts w:ascii="Arial" w:hAnsi="Arial" w:cs="Arial"/>
                <w:sz w:val="24"/>
                <w:szCs w:val="24"/>
              </w:rPr>
              <w:t xml:space="preserve">   Con respecto a las medidas relacionadas al AEP, del cual formamos parte, me declaro totalmente inconforme.   Somos una televisora local, no tenemos ni las instalaciones, ni el personal, ni los recursos económicos que tiene Televisa… ¿por qué se nos considera iguales?   Nuestro alcance y capacidad están a años luz de Televisa, pero el IFT nos exige como si tuviéramos esa capacidad, ejerciendo presiones y generando trabajo administrativo inútil, aumentando nuestros costos y creando confusión con las solicitudes de información que requiere, donde, además, se dan plazos fatales para presentar toda esta información, infundiendo temor con la amenaza de ser sancionado si no se responde en tiempo y forma.   ¿Cómo esperan que una televisora local, que he venido describiendo a lo largo de este texto, pueda contestar en los mismos tiempos y formas que una televisora tan compleja como Televisa?   Es por esto por lo que insisto en que se reconsidere, tanto en nuestro caso como en similares, el ser AEP.</w:t>
            </w:r>
          </w:p>
          <w:p w14:paraId="723E0B41" w14:textId="77777777" w:rsidR="001D120F" w:rsidRDefault="001D120F" w:rsidP="001D120F">
            <w:pPr>
              <w:pStyle w:val="Sinespaciado"/>
              <w:spacing w:line="360" w:lineRule="auto"/>
              <w:rPr>
                <w:rFonts w:ascii="Arial" w:hAnsi="Arial" w:cs="Arial"/>
                <w:sz w:val="24"/>
                <w:szCs w:val="24"/>
              </w:rPr>
            </w:pPr>
          </w:p>
          <w:p w14:paraId="5142A3DD" w14:textId="77777777" w:rsidR="001D120F" w:rsidRDefault="001D120F" w:rsidP="001D120F">
            <w:pPr>
              <w:pStyle w:val="Sinespaciado"/>
              <w:spacing w:line="360" w:lineRule="auto"/>
              <w:rPr>
                <w:rFonts w:ascii="Arial" w:hAnsi="Arial" w:cs="Arial"/>
                <w:sz w:val="24"/>
                <w:szCs w:val="24"/>
              </w:rPr>
            </w:pPr>
            <w:r>
              <w:rPr>
                <w:rFonts w:ascii="Arial" w:hAnsi="Arial" w:cs="Arial"/>
                <w:sz w:val="24"/>
                <w:szCs w:val="24"/>
              </w:rPr>
              <w:t xml:space="preserve">   En su momento, se nos declaró preponderantes considerando varios indicadores, de los cuales resaltan tres:  rating, ventas y participación en el espectro radioeléctrico.   En mi opinión, el rating y las ventas no deben de ser considerados factor para castigar a una empresa.   Es natural que toda empresa exista para buscar un liderazgo, tanto en sus productos como en sus ingresos, y </w:t>
            </w:r>
            <w:proofErr w:type="spellStart"/>
            <w:r>
              <w:rPr>
                <w:rFonts w:ascii="Arial" w:hAnsi="Arial" w:cs="Arial"/>
                <w:sz w:val="24"/>
                <w:szCs w:val="24"/>
              </w:rPr>
              <w:t>e</w:t>
            </w:r>
            <w:bookmarkStart w:id="0" w:name="_GoBack"/>
            <w:bookmarkEnd w:id="0"/>
            <w:r>
              <w:rPr>
                <w:rFonts w:ascii="Arial" w:hAnsi="Arial" w:cs="Arial"/>
                <w:sz w:val="24"/>
                <w:szCs w:val="24"/>
              </w:rPr>
              <w:t>sta</w:t>
            </w:r>
            <w:proofErr w:type="spellEnd"/>
            <w:r>
              <w:rPr>
                <w:rFonts w:ascii="Arial" w:hAnsi="Arial" w:cs="Arial"/>
                <w:sz w:val="24"/>
                <w:szCs w:val="24"/>
              </w:rPr>
              <w:t xml:space="preserve"> mal castigar a cualquier empresario por eso.   </w:t>
            </w:r>
          </w:p>
          <w:p w14:paraId="04953AD1" w14:textId="77777777" w:rsidR="001D120F" w:rsidRDefault="001D120F" w:rsidP="001D120F">
            <w:pPr>
              <w:pStyle w:val="Sinespaciado"/>
              <w:spacing w:line="360" w:lineRule="auto"/>
              <w:rPr>
                <w:rFonts w:ascii="Arial" w:hAnsi="Arial" w:cs="Arial"/>
                <w:sz w:val="24"/>
                <w:szCs w:val="24"/>
              </w:rPr>
            </w:pPr>
          </w:p>
          <w:p w14:paraId="6BFE1C1F" w14:textId="77777777" w:rsidR="001D120F" w:rsidRDefault="001D120F" w:rsidP="001D120F">
            <w:pPr>
              <w:pStyle w:val="Sinespaciado"/>
              <w:spacing w:line="360" w:lineRule="auto"/>
              <w:rPr>
                <w:rFonts w:ascii="Arial" w:hAnsi="Arial" w:cs="Arial"/>
                <w:sz w:val="24"/>
                <w:szCs w:val="24"/>
              </w:rPr>
            </w:pPr>
            <w:r>
              <w:rPr>
                <w:rFonts w:ascii="Arial" w:hAnsi="Arial" w:cs="Arial"/>
                <w:sz w:val="24"/>
                <w:szCs w:val="24"/>
              </w:rPr>
              <w:t xml:space="preserve">   A partir de 2018, México cuenta con cuatro cadenas.   Esto, en mi opinión, debió de atomizar el rating, las ventas y la participación en el espectro radioeléctrico, terminando con cualquier preponderancia existente.   Pero no es así, según su criterio Televisa sigue considerada preponderante, cuando desde </w:t>
            </w:r>
            <w:r>
              <w:rPr>
                <w:rFonts w:ascii="Arial" w:hAnsi="Arial" w:cs="Arial"/>
                <w:sz w:val="24"/>
                <w:szCs w:val="24"/>
              </w:rPr>
              <w:lastRenderedPageBreak/>
              <w:t>ningún ángulo debería de serlo ya, y mucho menos todas las televisoras pequeñas que están afiliadas a Televisa.</w:t>
            </w:r>
          </w:p>
          <w:p w14:paraId="0E89B3F2" w14:textId="77777777" w:rsidR="001D120F" w:rsidRDefault="001D120F" w:rsidP="001D120F">
            <w:pPr>
              <w:pStyle w:val="Sinespaciado"/>
              <w:spacing w:line="360" w:lineRule="auto"/>
              <w:rPr>
                <w:rFonts w:ascii="Arial" w:hAnsi="Arial" w:cs="Arial"/>
                <w:sz w:val="24"/>
                <w:szCs w:val="24"/>
              </w:rPr>
            </w:pPr>
          </w:p>
          <w:p w14:paraId="53C906EE" w14:textId="77777777" w:rsidR="001D120F" w:rsidRDefault="001D120F" w:rsidP="001D120F">
            <w:pPr>
              <w:pStyle w:val="Sinespaciado"/>
              <w:spacing w:line="360" w:lineRule="auto"/>
              <w:rPr>
                <w:rFonts w:ascii="Arial" w:hAnsi="Arial" w:cs="Arial"/>
                <w:sz w:val="24"/>
                <w:szCs w:val="24"/>
              </w:rPr>
            </w:pPr>
          </w:p>
          <w:p w14:paraId="621BC541" w14:textId="77777777" w:rsidR="001D120F" w:rsidRDefault="001D120F" w:rsidP="001D120F">
            <w:pPr>
              <w:pStyle w:val="Sinespaciado"/>
              <w:spacing w:line="360" w:lineRule="auto"/>
              <w:rPr>
                <w:rFonts w:ascii="Arial" w:hAnsi="Arial" w:cs="Arial"/>
                <w:sz w:val="24"/>
                <w:szCs w:val="24"/>
              </w:rPr>
            </w:pPr>
            <w:r>
              <w:rPr>
                <w:rFonts w:ascii="Arial" w:hAnsi="Arial" w:cs="Arial"/>
                <w:sz w:val="24"/>
                <w:szCs w:val="24"/>
              </w:rPr>
              <w:t xml:space="preserve">   Hay que tener cuidado con el manejo que se le da a la industria de la radio y la televisión, una industria clave para informar y entretener a la población de todo el país.   Medidas como las que se han aplicado, en apariencia sin análisis mercadológicos, sociales y económicos profundos de por medio, generan incertidumbre y ruido en nuestra industria, una industria, que, a fin de cuentas, sigue siendo útil e importante en nuestro país.  Es necesario hacer un estudio serio para determinar si las reglas actuales impuestas al grupo económico preponderante llevan a la eliminación de un monopolio que, en la realidad, no existe en el momento actual. </w:t>
            </w:r>
          </w:p>
          <w:p w14:paraId="5E3B7E13" w14:textId="77777777" w:rsidR="003D136A" w:rsidRPr="00670385" w:rsidRDefault="003D136A" w:rsidP="00AA69BE">
            <w:pPr>
              <w:spacing w:after="0"/>
              <w:jc w:val="both"/>
              <w:rPr>
                <w:rFonts w:ascii="ITC Avant Garde" w:hAnsi="ITC Avant Garde"/>
                <w:sz w:val="12"/>
              </w:rPr>
            </w:pPr>
          </w:p>
          <w:p w14:paraId="2B6079F1" w14:textId="77777777" w:rsidR="003D136A" w:rsidRPr="00670385" w:rsidRDefault="003D136A" w:rsidP="00AA69BE">
            <w:pPr>
              <w:spacing w:after="0"/>
              <w:jc w:val="both"/>
              <w:rPr>
                <w:rFonts w:ascii="ITC Avant Garde" w:hAnsi="ITC Avant Garde"/>
                <w:sz w:val="12"/>
              </w:rPr>
            </w:pPr>
          </w:p>
          <w:p w14:paraId="2F32E0A1" w14:textId="77777777" w:rsidR="003D136A" w:rsidRPr="00670385" w:rsidRDefault="003D136A" w:rsidP="00AA69BE">
            <w:pPr>
              <w:spacing w:after="0"/>
              <w:jc w:val="both"/>
              <w:rPr>
                <w:rFonts w:ascii="ITC Avant Garde" w:hAnsi="ITC Avant Garde"/>
                <w:sz w:val="12"/>
              </w:rPr>
            </w:pPr>
          </w:p>
          <w:p w14:paraId="4DE03E4E" w14:textId="77777777" w:rsidR="003D136A" w:rsidRPr="00670385" w:rsidRDefault="003D136A" w:rsidP="00AA69BE">
            <w:pPr>
              <w:spacing w:after="0"/>
              <w:jc w:val="both"/>
              <w:rPr>
                <w:rFonts w:ascii="ITC Avant Garde" w:hAnsi="ITC Avant Garde"/>
                <w:sz w:val="12"/>
              </w:rPr>
            </w:pPr>
          </w:p>
          <w:p w14:paraId="2EC30A8F" w14:textId="77777777" w:rsidR="003D136A" w:rsidRPr="00670385" w:rsidRDefault="003D136A" w:rsidP="00AA69BE">
            <w:pPr>
              <w:spacing w:after="0"/>
              <w:jc w:val="both"/>
              <w:rPr>
                <w:rFonts w:ascii="ITC Avant Garde" w:hAnsi="ITC Avant Garde"/>
                <w:sz w:val="12"/>
              </w:rPr>
            </w:pPr>
          </w:p>
        </w:tc>
      </w:tr>
      <w:tr w:rsidR="003D136A" w:rsidRPr="00670385" w14:paraId="1E5B3546" w14:textId="77777777" w:rsidTr="00E34F3B">
        <w:tc>
          <w:tcPr>
            <w:tcW w:w="8691" w:type="dxa"/>
            <w:shd w:val="clear" w:color="auto" w:fill="C5E0B3"/>
          </w:tcPr>
          <w:p w14:paraId="33DF7368" w14:textId="77777777" w:rsidR="003D136A" w:rsidRPr="00670385" w:rsidRDefault="003D136A" w:rsidP="00AA69BE">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lastRenderedPageBreak/>
              <w:t xml:space="preserve">Nota: </w:t>
            </w:r>
            <w:r w:rsidRPr="00670385">
              <w:rPr>
                <w:rFonts w:ascii="ITC Avant Garde" w:eastAsia="Times New Roman" w:hAnsi="ITC Avant Garde"/>
                <w:color w:val="000000"/>
                <w:sz w:val="12"/>
                <w:szCs w:val="12"/>
                <w:lang w:eastAsia="es-MX"/>
              </w:rPr>
              <w:t>añadir cuantas filas considere necesarias.</w:t>
            </w:r>
          </w:p>
        </w:tc>
      </w:tr>
    </w:tbl>
    <w:p w14:paraId="062E6CB5" w14:textId="77777777" w:rsidR="003D136A" w:rsidRPr="00C41536" w:rsidRDefault="003D136A" w:rsidP="00170916">
      <w:pPr>
        <w:spacing w:after="0"/>
        <w:jc w:val="both"/>
        <w:rPr>
          <w:rFonts w:ascii="Century Gothic" w:hAnsi="Century Gothic"/>
          <w:sz w:val="16"/>
        </w:rPr>
      </w:pPr>
    </w:p>
    <w:sectPr w:rsidR="003D136A" w:rsidRPr="00C41536" w:rsidSect="00FC6EE4">
      <w:headerReference w:type="default" r:id="rId17"/>
      <w:footerReference w:type="default" r:id="rId18"/>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06093" w14:textId="77777777" w:rsidR="009B1BCC" w:rsidRDefault="009B1BCC" w:rsidP="0038199D">
      <w:pPr>
        <w:spacing w:after="0" w:line="240" w:lineRule="auto"/>
      </w:pPr>
      <w:r>
        <w:separator/>
      </w:r>
    </w:p>
  </w:endnote>
  <w:endnote w:type="continuationSeparator" w:id="0">
    <w:p w14:paraId="4500AE85" w14:textId="77777777" w:rsidR="009B1BCC" w:rsidRDefault="009B1BCC" w:rsidP="0038199D">
      <w:pPr>
        <w:spacing w:after="0" w:line="240" w:lineRule="auto"/>
      </w:pPr>
      <w:r>
        <w:continuationSeparator/>
      </w:r>
    </w:p>
  </w:endnote>
  <w:endnote w:type="continuationNotice" w:id="1">
    <w:p w14:paraId="541FF0E6" w14:textId="77777777" w:rsidR="009B1BCC" w:rsidRDefault="009B1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15153" w14:textId="3A26F00A" w:rsidR="00A128B7" w:rsidRPr="00DF5B3F" w:rsidRDefault="00A128B7">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B27331" w:rsidRPr="00B27331">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B27331" w:rsidRPr="00B27331">
      <w:rPr>
        <w:rFonts w:ascii="ITC Avant Garde" w:hAnsi="ITC Avant Garde"/>
        <w:noProof/>
        <w:color w:val="323E4F"/>
        <w:sz w:val="14"/>
        <w:szCs w:val="24"/>
        <w:lang w:val="es-ES"/>
      </w:rPr>
      <w:t>13</w:t>
    </w:r>
    <w:r w:rsidRPr="00DF5B3F">
      <w:rPr>
        <w:rFonts w:ascii="ITC Avant Garde" w:hAnsi="ITC Avant Garde"/>
        <w:color w:val="323E4F"/>
        <w:sz w:val="14"/>
        <w:szCs w:val="24"/>
      </w:rPr>
      <w:fldChar w:fldCharType="end"/>
    </w:r>
  </w:p>
  <w:p w14:paraId="4589D4E3" w14:textId="77777777" w:rsidR="00A128B7" w:rsidRDefault="00A128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E09B3" w14:textId="77777777" w:rsidR="009B1BCC" w:rsidRDefault="009B1BCC" w:rsidP="0038199D">
      <w:pPr>
        <w:spacing w:after="0" w:line="240" w:lineRule="auto"/>
      </w:pPr>
      <w:r>
        <w:separator/>
      </w:r>
    </w:p>
  </w:footnote>
  <w:footnote w:type="continuationSeparator" w:id="0">
    <w:p w14:paraId="0106A43F" w14:textId="77777777" w:rsidR="009B1BCC" w:rsidRDefault="009B1BCC" w:rsidP="0038199D">
      <w:pPr>
        <w:spacing w:after="0" w:line="240" w:lineRule="auto"/>
      </w:pPr>
      <w:r>
        <w:continuationSeparator/>
      </w:r>
    </w:p>
  </w:footnote>
  <w:footnote w:type="continuationNotice" w:id="1">
    <w:p w14:paraId="4C4A1F26" w14:textId="77777777" w:rsidR="009B1BCC" w:rsidRDefault="009B1BCC">
      <w:pPr>
        <w:spacing w:after="0" w:line="240" w:lineRule="auto"/>
      </w:pPr>
    </w:p>
  </w:footnote>
  <w:footnote w:id="2">
    <w:p w14:paraId="2387BC6F" w14:textId="77777777" w:rsidR="00A128B7" w:rsidRDefault="00A128B7">
      <w:pPr>
        <w:pStyle w:val="Textonotapie"/>
      </w:pPr>
      <w:r>
        <w:rPr>
          <w:rStyle w:val="Refdenotaalpie"/>
        </w:rPr>
        <w:footnoteRef/>
      </w:r>
      <w:r>
        <w:t xml:space="preserve"> Disponible en: </w:t>
      </w:r>
      <w:hyperlink r:id="rId1" w:history="1">
        <w:r w:rsidRPr="008603D1">
          <w:rPr>
            <w:rStyle w:val="Hipervnculo"/>
          </w:rPr>
          <w:t>http://www.ift.org.mx/industria/politica-regulatoria/preponderancia-radiodifusion/resolucion-ift-determina-grupos-interes</w:t>
        </w:r>
      </w:hyperlink>
    </w:p>
  </w:footnote>
  <w:footnote w:id="3">
    <w:p w14:paraId="31038130" w14:textId="5FA2DD1E" w:rsidR="00A128B7" w:rsidRDefault="00A128B7">
      <w:pPr>
        <w:pStyle w:val="Textonotapie"/>
      </w:pPr>
      <w:r>
        <w:rPr>
          <w:rStyle w:val="Refdenotaalpie"/>
        </w:rPr>
        <w:footnoteRef/>
      </w:r>
      <w:r>
        <w:t xml:space="preserve"> Disponible en: </w:t>
      </w:r>
      <w:hyperlink r:id="rId2" w:history="1">
        <w:r w:rsidRPr="00E23C4C">
          <w:rPr>
            <w:rStyle w:val="Hipervnculo"/>
          </w:rPr>
          <w:t>http://www.ift.org.mx/node/9701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E93D" w14:textId="79356A17" w:rsidR="00A128B7" w:rsidRPr="007A6974" w:rsidRDefault="00A128B7" w:rsidP="00800852">
    <w:pPr>
      <w:pStyle w:val="Encabezado"/>
      <w:tabs>
        <w:tab w:val="clear" w:pos="4419"/>
      </w:tabs>
      <w:rPr>
        <w:rFonts w:ascii="Century Gothic" w:hAnsi="Century Gothic"/>
      </w:rPr>
    </w:pPr>
    <w:r>
      <w:rPr>
        <w:noProof/>
        <w:lang w:eastAsia="es-MX"/>
      </w:rPr>
      <w:drawing>
        <wp:anchor distT="0" distB="762" distL="114300" distR="114300" simplePos="0" relativeHeight="251658240" behindDoc="1" locked="0" layoutInCell="1" allowOverlap="1" wp14:anchorId="04AC1340" wp14:editId="3CC1FDE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05657047" w14:textId="2235252F" w:rsidR="00A128B7" w:rsidRDefault="00A128B7" w:rsidP="004D5EAB">
    <w:pPr>
      <w:pStyle w:val="Encabezado"/>
      <w:ind w:left="3119"/>
      <w:jc w:val="both"/>
      <w:rPr>
        <w:rFonts w:ascii="Century Gothic" w:hAnsi="Century Gothic"/>
        <w:b/>
        <w:sz w:val="20"/>
      </w:rPr>
    </w:pPr>
    <w:r w:rsidRPr="00005DB7">
      <w:rPr>
        <w:rFonts w:ascii="Century Gothic" w:hAnsi="Century Gothic"/>
        <w:b/>
        <w:sz w:val="20"/>
      </w:rPr>
      <w:t xml:space="preserve">Consulta </w:t>
    </w:r>
    <w:r w:rsidR="00063D3C">
      <w:rPr>
        <w:rFonts w:ascii="Century Gothic" w:hAnsi="Century Gothic"/>
        <w:b/>
        <w:sz w:val="20"/>
      </w:rPr>
      <w:t>p</w:t>
    </w:r>
    <w:r w:rsidRPr="00005DB7">
      <w:rPr>
        <w:rFonts w:ascii="Century Gothic" w:hAnsi="Century Gothic"/>
        <w:b/>
        <w:sz w:val="20"/>
      </w:rPr>
      <w:t xml:space="preserve">ública </w:t>
    </w:r>
    <w:r>
      <w:rPr>
        <w:rFonts w:ascii="Century Gothic" w:hAnsi="Century Gothic"/>
        <w:b/>
        <w:sz w:val="20"/>
      </w:rPr>
      <w:t>sobre</w:t>
    </w:r>
    <w:r w:rsidRPr="00FC6EE4">
      <w:rPr>
        <w:rFonts w:ascii="Century Gothic" w:hAnsi="Century Gothic"/>
        <w:b/>
        <w:sz w:val="20"/>
      </w:rPr>
      <w:t xml:space="preserve"> la efectividad en términos de competencia de las medidas impuestas al Agente Económico Preponderante en el Sector de Radiodifusión</w:t>
    </w:r>
  </w:p>
  <w:p w14:paraId="1F91003A" w14:textId="0B645BC2" w:rsidR="00A128B7" w:rsidRPr="007A6974" w:rsidRDefault="00A128B7"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1" behindDoc="0" locked="0" layoutInCell="1" allowOverlap="1" wp14:anchorId="586B32C6" wp14:editId="2F2DCED4">
              <wp:simplePos x="0" y="0"/>
              <wp:positionH relativeFrom="column">
                <wp:posOffset>635</wp:posOffset>
              </wp:positionH>
              <wp:positionV relativeFrom="paragraph">
                <wp:posOffset>297814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7C8164"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23.45pt" to="442.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43D0FDB8"/>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B940CB"/>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C171D73"/>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52A45FF"/>
    <w:multiLevelType w:val="hybridMultilevel"/>
    <w:tmpl w:val="FCB43D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F55318"/>
    <w:multiLevelType w:val="hybridMultilevel"/>
    <w:tmpl w:val="0666B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DC577DB"/>
    <w:multiLevelType w:val="hybridMultilevel"/>
    <w:tmpl w:val="36D4E08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3B112B"/>
    <w:multiLevelType w:val="hybridMultilevel"/>
    <w:tmpl w:val="43D0FDB8"/>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7C7E3232"/>
    <w:multiLevelType w:val="hybridMultilevel"/>
    <w:tmpl w:val="DCD8D90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14"/>
  </w:num>
  <w:num w:numId="6">
    <w:abstractNumId w:val="7"/>
  </w:num>
  <w:num w:numId="7">
    <w:abstractNumId w:val="11"/>
  </w:num>
  <w:num w:numId="8">
    <w:abstractNumId w:val="12"/>
  </w:num>
  <w:num w:numId="9">
    <w:abstractNumId w:val="6"/>
  </w:num>
  <w:num w:numId="10">
    <w:abstractNumId w:val="1"/>
  </w:num>
  <w:num w:numId="11">
    <w:abstractNumId w:val="3"/>
  </w:num>
  <w:num w:numId="12">
    <w:abstractNumId w:val="13"/>
  </w:num>
  <w:num w:numId="13">
    <w:abstractNumId w:val="16"/>
  </w:num>
  <w:num w:numId="14">
    <w:abstractNumId w:val="9"/>
  </w:num>
  <w:num w:numId="15">
    <w:abstractNumId w:val="15"/>
  </w:num>
  <w:num w:numId="16">
    <w:abstractNumId w:val="5"/>
  </w:num>
  <w:num w:numId="17">
    <w:abstractNumId w:val="18"/>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D"/>
    <w:rsid w:val="000049D9"/>
    <w:rsid w:val="000055EA"/>
    <w:rsid w:val="00005DB7"/>
    <w:rsid w:val="00014C1A"/>
    <w:rsid w:val="000162CF"/>
    <w:rsid w:val="00025D86"/>
    <w:rsid w:val="00030E6E"/>
    <w:rsid w:val="000328CB"/>
    <w:rsid w:val="000356DE"/>
    <w:rsid w:val="00041904"/>
    <w:rsid w:val="00042E9E"/>
    <w:rsid w:val="000448F0"/>
    <w:rsid w:val="00046FE1"/>
    <w:rsid w:val="00054F23"/>
    <w:rsid w:val="00056B23"/>
    <w:rsid w:val="00062E32"/>
    <w:rsid w:val="00063D3C"/>
    <w:rsid w:val="0007319C"/>
    <w:rsid w:val="000814C5"/>
    <w:rsid w:val="000831C1"/>
    <w:rsid w:val="000931D8"/>
    <w:rsid w:val="000A5CFB"/>
    <w:rsid w:val="000A6255"/>
    <w:rsid w:val="000C5776"/>
    <w:rsid w:val="000D1157"/>
    <w:rsid w:val="000D2838"/>
    <w:rsid w:val="000E41F3"/>
    <w:rsid w:val="000E55B0"/>
    <w:rsid w:val="000E5F80"/>
    <w:rsid w:val="000F0174"/>
    <w:rsid w:val="00100C9C"/>
    <w:rsid w:val="001124B6"/>
    <w:rsid w:val="00113D1A"/>
    <w:rsid w:val="0012053C"/>
    <w:rsid w:val="001278C9"/>
    <w:rsid w:val="001331D8"/>
    <w:rsid w:val="001356D8"/>
    <w:rsid w:val="00146A08"/>
    <w:rsid w:val="00151C08"/>
    <w:rsid w:val="001572D7"/>
    <w:rsid w:val="00160352"/>
    <w:rsid w:val="00161D3A"/>
    <w:rsid w:val="00170916"/>
    <w:rsid w:val="00174196"/>
    <w:rsid w:val="001A5B2D"/>
    <w:rsid w:val="001A7939"/>
    <w:rsid w:val="001D0D5A"/>
    <w:rsid w:val="001D120F"/>
    <w:rsid w:val="001E0388"/>
    <w:rsid w:val="001E164E"/>
    <w:rsid w:val="001E390C"/>
    <w:rsid w:val="001F346E"/>
    <w:rsid w:val="0020099A"/>
    <w:rsid w:val="002265CF"/>
    <w:rsid w:val="00261397"/>
    <w:rsid w:val="002771ED"/>
    <w:rsid w:val="00287822"/>
    <w:rsid w:val="00293BE0"/>
    <w:rsid w:val="002977E5"/>
    <w:rsid w:val="002A1B99"/>
    <w:rsid w:val="002B7F47"/>
    <w:rsid w:val="002C12D5"/>
    <w:rsid w:val="002C3BDC"/>
    <w:rsid w:val="002F57AA"/>
    <w:rsid w:val="00307092"/>
    <w:rsid w:val="00311755"/>
    <w:rsid w:val="00316894"/>
    <w:rsid w:val="00320887"/>
    <w:rsid w:val="00323F3A"/>
    <w:rsid w:val="00334553"/>
    <w:rsid w:val="00340609"/>
    <w:rsid w:val="003613DA"/>
    <w:rsid w:val="00363DAD"/>
    <w:rsid w:val="00375F8E"/>
    <w:rsid w:val="0038118B"/>
    <w:rsid w:val="0038199D"/>
    <w:rsid w:val="003A6DB0"/>
    <w:rsid w:val="003B0FC5"/>
    <w:rsid w:val="003B524B"/>
    <w:rsid w:val="003D136A"/>
    <w:rsid w:val="003D16DB"/>
    <w:rsid w:val="003D3181"/>
    <w:rsid w:val="003D4F45"/>
    <w:rsid w:val="003F2897"/>
    <w:rsid w:val="003F31A2"/>
    <w:rsid w:val="0041087B"/>
    <w:rsid w:val="004141B1"/>
    <w:rsid w:val="004168B0"/>
    <w:rsid w:val="00423C23"/>
    <w:rsid w:val="004317BC"/>
    <w:rsid w:val="00451254"/>
    <w:rsid w:val="004602D4"/>
    <w:rsid w:val="00461A06"/>
    <w:rsid w:val="00464AE1"/>
    <w:rsid w:val="00464D89"/>
    <w:rsid w:val="00475B92"/>
    <w:rsid w:val="0048009B"/>
    <w:rsid w:val="00482D18"/>
    <w:rsid w:val="004970C4"/>
    <w:rsid w:val="004B7D82"/>
    <w:rsid w:val="004C2FED"/>
    <w:rsid w:val="004C4695"/>
    <w:rsid w:val="004D5EAB"/>
    <w:rsid w:val="004D64DD"/>
    <w:rsid w:val="004D6F66"/>
    <w:rsid w:val="004D7960"/>
    <w:rsid w:val="004E2A3A"/>
    <w:rsid w:val="004E66C7"/>
    <w:rsid w:val="004E68E2"/>
    <w:rsid w:val="004F4C27"/>
    <w:rsid w:val="00504BCE"/>
    <w:rsid w:val="00507C5C"/>
    <w:rsid w:val="00511FAE"/>
    <w:rsid w:val="0052296A"/>
    <w:rsid w:val="00523B41"/>
    <w:rsid w:val="0052525D"/>
    <w:rsid w:val="00526B98"/>
    <w:rsid w:val="00530C94"/>
    <w:rsid w:val="00536AF7"/>
    <w:rsid w:val="005473D0"/>
    <w:rsid w:val="0056118B"/>
    <w:rsid w:val="00566139"/>
    <w:rsid w:val="005662E8"/>
    <w:rsid w:val="0057399F"/>
    <w:rsid w:val="005808E1"/>
    <w:rsid w:val="005B3E9A"/>
    <w:rsid w:val="005B7DF1"/>
    <w:rsid w:val="005C0435"/>
    <w:rsid w:val="005C06DB"/>
    <w:rsid w:val="005C5FCB"/>
    <w:rsid w:val="005E0B88"/>
    <w:rsid w:val="005F0265"/>
    <w:rsid w:val="005F2213"/>
    <w:rsid w:val="00603B41"/>
    <w:rsid w:val="00605BD9"/>
    <w:rsid w:val="0061794E"/>
    <w:rsid w:val="00623761"/>
    <w:rsid w:val="00627A19"/>
    <w:rsid w:val="0063715A"/>
    <w:rsid w:val="006428DF"/>
    <w:rsid w:val="00645CF3"/>
    <w:rsid w:val="00647838"/>
    <w:rsid w:val="006601AF"/>
    <w:rsid w:val="00660E5B"/>
    <w:rsid w:val="006874D6"/>
    <w:rsid w:val="00695A76"/>
    <w:rsid w:val="006B0B12"/>
    <w:rsid w:val="006B4257"/>
    <w:rsid w:val="006B63BB"/>
    <w:rsid w:val="006C3F1D"/>
    <w:rsid w:val="006F5989"/>
    <w:rsid w:val="00704DCB"/>
    <w:rsid w:val="00713359"/>
    <w:rsid w:val="007202A6"/>
    <w:rsid w:val="00735DEE"/>
    <w:rsid w:val="0075473C"/>
    <w:rsid w:val="00762996"/>
    <w:rsid w:val="007644BA"/>
    <w:rsid w:val="00766657"/>
    <w:rsid w:val="00771BE5"/>
    <w:rsid w:val="0077242E"/>
    <w:rsid w:val="0077357C"/>
    <w:rsid w:val="00786695"/>
    <w:rsid w:val="00790454"/>
    <w:rsid w:val="007978CB"/>
    <w:rsid w:val="007A6974"/>
    <w:rsid w:val="007D4A23"/>
    <w:rsid w:val="007E04FB"/>
    <w:rsid w:val="00800852"/>
    <w:rsid w:val="00804BB7"/>
    <w:rsid w:val="0081028F"/>
    <w:rsid w:val="008124D0"/>
    <w:rsid w:val="00813945"/>
    <w:rsid w:val="008200BE"/>
    <w:rsid w:val="008302DA"/>
    <w:rsid w:val="0083236B"/>
    <w:rsid w:val="0083294E"/>
    <w:rsid w:val="008520C7"/>
    <w:rsid w:val="00852DAD"/>
    <w:rsid w:val="00863228"/>
    <w:rsid w:val="008658B5"/>
    <w:rsid w:val="008711D6"/>
    <w:rsid w:val="008819A9"/>
    <w:rsid w:val="008843FB"/>
    <w:rsid w:val="00891567"/>
    <w:rsid w:val="008A1C50"/>
    <w:rsid w:val="008A5565"/>
    <w:rsid w:val="008B2F24"/>
    <w:rsid w:val="008C679D"/>
    <w:rsid w:val="008D106B"/>
    <w:rsid w:val="008E3F2C"/>
    <w:rsid w:val="008F2B1A"/>
    <w:rsid w:val="008F5B90"/>
    <w:rsid w:val="00903C94"/>
    <w:rsid w:val="00915CEA"/>
    <w:rsid w:val="00934B06"/>
    <w:rsid w:val="00935063"/>
    <w:rsid w:val="00942344"/>
    <w:rsid w:val="009426CC"/>
    <w:rsid w:val="00963421"/>
    <w:rsid w:val="009714F1"/>
    <w:rsid w:val="00975DA8"/>
    <w:rsid w:val="00991385"/>
    <w:rsid w:val="009929A7"/>
    <w:rsid w:val="00995F97"/>
    <w:rsid w:val="009A1BDF"/>
    <w:rsid w:val="009B0351"/>
    <w:rsid w:val="009B1BCC"/>
    <w:rsid w:val="009B2CDF"/>
    <w:rsid w:val="009C6C17"/>
    <w:rsid w:val="009D3DDA"/>
    <w:rsid w:val="009E197F"/>
    <w:rsid w:val="00A03A4B"/>
    <w:rsid w:val="00A041F5"/>
    <w:rsid w:val="00A128B7"/>
    <w:rsid w:val="00A1372C"/>
    <w:rsid w:val="00A1734A"/>
    <w:rsid w:val="00A20348"/>
    <w:rsid w:val="00A25465"/>
    <w:rsid w:val="00A4091E"/>
    <w:rsid w:val="00A454F4"/>
    <w:rsid w:val="00A5559B"/>
    <w:rsid w:val="00A5785A"/>
    <w:rsid w:val="00A60361"/>
    <w:rsid w:val="00A62DBE"/>
    <w:rsid w:val="00A751A5"/>
    <w:rsid w:val="00A75A67"/>
    <w:rsid w:val="00A917C8"/>
    <w:rsid w:val="00A92B29"/>
    <w:rsid w:val="00AA28DE"/>
    <w:rsid w:val="00AA69BE"/>
    <w:rsid w:val="00AA70C3"/>
    <w:rsid w:val="00AB78E7"/>
    <w:rsid w:val="00AC2B2A"/>
    <w:rsid w:val="00AD4D64"/>
    <w:rsid w:val="00AE778E"/>
    <w:rsid w:val="00B171E2"/>
    <w:rsid w:val="00B21BEE"/>
    <w:rsid w:val="00B27331"/>
    <w:rsid w:val="00B350F8"/>
    <w:rsid w:val="00B533DC"/>
    <w:rsid w:val="00B57EA0"/>
    <w:rsid w:val="00B61D97"/>
    <w:rsid w:val="00B64956"/>
    <w:rsid w:val="00B70D8A"/>
    <w:rsid w:val="00B8128B"/>
    <w:rsid w:val="00B84AB9"/>
    <w:rsid w:val="00B87FCA"/>
    <w:rsid w:val="00B91052"/>
    <w:rsid w:val="00B97BF9"/>
    <w:rsid w:val="00BB2194"/>
    <w:rsid w:val="00BB25F2"/>
    <w:rsid w:val="00BB7008"/>
    <w:rsid w:val="00BC6400"/>
    <w:rsid w:val="00BD6FD4"/>
    <w:rsid w:val="00BF0BDB"/>
    <w:rsid w:val="00C12D8A"/>
    <w:rsid w:val="00C147BB"/>
    <w:rsid w:val="00C2095E"/>
    <w:rsid w:val="00C41536"/>
    <w:rsid w:val="00C42DD1"/>
    <w:rsid w:val="00C56B77"/>
    <w:rsid w:val="00C57E40"/>
    <w:rsid w:val="00C63F99"/>
    <w:rsid w:val="00C900FF"/>
    <w:rsid w:val="00C95341"/>
    <w:rsid w:val="00CA0A84"/>
    <w:rsid w:val="00CA32F5"/>
    <w:rsid w:val="00CA3E0A"/>
    <w:rsid w:val="00CA3EC9"/>
    <w:rsid w:val="00CB2F1E"/>
    <w:rsid w:val="00CB7780"/>
    <w:rsid w:val="00CC1AC7"/>
    <w:rsid w:val="00CC1FF9"/>
    <w:rsid w:val="00CC382A"/>
    <w:rsid w:val="00CC53F7"/>
    <w:rsid w:val="00CE7CEC"/>
    <w:rsid w:val="00CF33CC"/>
    <w:rsid w:val="00D064FA"/>
    <w:rsid w:val="00D13CA5"/>
    <w:rsid w:val="00D15EAA"/>
    <w:rsid w:val="00D26916"/>
    <w:rsid w:val="00D41607"/>
    <w:rsid w:val="00D42C6E"/>
    <w:rsid w:val="00D45FB3"/>
    <w:rsid w:val="00D472B6"/>
    <w:rsid w:val="00D514C7"/>
    <w:rsid w:val="00D80E69"/>
    <w:rsid w:val="00D93527"/>
    <w:rsid w:val="00D94F82"/>
    <w:rsid w:val="00DA3AC7"/>
    <w:rsid w:val="00DB21CB"/>
    <w:rsid w:val="00DB310C"/>
    <w:rsid w:val="00DC3C6C"/>
    <w:rsid w:val="00DD6FE2"/>
    <w:rsid w:val="00DE609B"/>
    <w:rsid w:val="00DF154A"/>
    <w:rsid w:val="00DF52A8"/>
    <w:rsid w:val="00DF5B3F"/>
    <w:rsid w:val="00DF5CB5"/>
    <w:rsid w:val="00DF61C9"/>
    <w:rsid w:val="00DF67B4"/>
    <w:rsid w:val="00DF7620"/>
    <w:rsid w:val="00E02429"/>
    <w:rsid w:val="00E04336"/>
    <w:rsid w:val="00E06F96"/>
    <w:rsid w:val="00E23C4C"/>
    <w:rsid w:val="00E2680B"/>
    <w:rsid w:val="00E30163"/>
    <w:rsid w:val="00E34F3B"/>
    <w:rsid w:val="00E35B32"/>
    <w:rsid w:val="00E50826"/>
    <w:rsid w:val="00E64007"/>
    <w:rsid w:val="00E66BAD"/>
    <w:rsid w:val="00E74B25"/>
    <w:rsid w:val="00E74DA5"/>
    <w:rsid w:val="00E944B2"/>
    <w:rsid w:val="00E953FB"/>
    <w:rsid w:val="00EA6ACC"/>
    <w:rsid w:val="00EB1D99"/>
    <w:rsid w:val="00EB33F4"/>
    <w:rsid w:val="00EB4092"/>
    <w:rsid w:val="00EB55E1"/>
    <w:rsid w:val="00EB75B3"/>
    <w:rsid w:val="00ED1E7F"/>
    <w:rsid w:val="00EE3F9B"/>
    <w:rsid w:val="00F0452F"/>
    <w:rsid w:val="00F212B2"/>
    <w:rsid w:val="00F362D7"/>
    <w:rsid w:val="00F42333"/>
    <w:rsid w:val="00F42940"/>
    <w:rsid w:val="00F475C7"/>
    <w:rsid w:val="00F64D68"/>
    <w:rsid w:val="00F87AD4"/>
    <w:rsid w:val="00FA17DF"/>
    <w:rsid w:val="00FB21F4"/>
    <w:rsid w:val="00FC6EE4"/>
    <w:rsid w:val="00FD4567"/>
    <w:rsid w:val="00FF2A5B"/>
    <w:rsid w:val="00FF5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13EE3"/>
  <w15:chartTrackingRefBased/>
  <w15:docId w15:val="{C02E44A6-99E6-49BD-860E-9845C94F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A1BDF"/>
    <w:rPr>
      <w:sz w:val="20"/>
      <w:szCs w:val="20"/>
    </w:rPr>
  </w:style>
  <w:style w:type="character" w:customStyle="1" w:styleId="TextonotapieCar">
    <w:name w:val="Texto nota pie Car"/>
    <w:link w:val="Textonotapie"/>
    <w:uiPriority w:val="99"/>
    <w:semiHidden/>
    <w:rsid w:val="009A1BDF"/>
    <w:rPr>
      <w:lang w:eastAsia="en-US"/>
    </w:rPr>
  </w:style>
  <w:style w:type="character" w:styleId="Refdenotaalpie">
    <w:name w:val="footnote reference"/>
    <w:uiPriority w:val="99"/>
    <w:semiHidden/>
    <w:unhideWhenUsed/>
    <w:rsid w:val="009A1BDF"/>
    <w:rPr>
      <w:vertAlign w:val="superscript"/>
    </w:rPr>
  </w:style>
  <w:style w:type="character" w:styleId="Hipervnculovisitado">
    <w:name w:val="FollowedHyperlink"/>
    <w:basedOn w:val="Fuentedeprrafopredeter"/>
    <w:uiPriority w:val="99"/>
    <w:semiHidden/>
    <w:unhideWhenUsed/>
    <w:rsid w:val="00991385"/>
    <w:rPr>
      <w:color w:val="954F72" w:themeColor="followedHyperlink"/>
      <w:u w:val="single"/>
    </w:rPr>
  </w:style>
  <w:style w:type="character" w:styleId="Textodelmarcadordeposicin">
    <w:name w:val="Placeholder Text"/>
    <w:uiPriority w:val="99"/>
    <w:rsid w:val="000814C5"/>
    <w:rPr>
      <w:color w:val="808080"/>
    </w:rPr>
  </w:style>
  <w:style w:type="paragraph" w:styleId="Prrafodelista">
    <w:name w:val="List Paragraph"/>
    <w:basedOn w:val="Normal"/>
    <w:uiPriority w:val="72"/>
    <w:qFormat/>
    <w:rsid w:val="00EB55E1"/>
    <w:pPr>
      <w:ind w:left="720"/>
      <w:contextualSpacing/>
    </w:pPr>
  </w:style>
  <w:style w:type="paragraph" w:styleId="Sinespaciado">
    <w:name w:val="No Spacing"/>
    <w:uiPriority w:val="1"/>
    <w:qFormat/>
    <w:rsid w:val="001D120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419089">
      <w:bodyDiv w:val="1"/>
      <w:marLeft w:val="0"/>
      <w:marRight w:val="0"/>
      <w:marTop w:val="0"/>
      <w:marBottom w:val="0"/>
      <w:divBdr>
        <w:top w:val="none" w:sz="0" w:space="0" w:color="auto"/>
        <w:left w:val="none" w:sz="0" w:space="0" w:color="auto"/>
        <w:bottom w:val="none" w:sz="0" w:space="0" w:color="auto"/>
        <w:right w:val="none" w:sz="0" w:space="0" w:color="auto"/>
      </w:divBdr>
      <w:divsChild>
        <w:div w:id="584345952">
          <w:marLeft w:val="0"/>
          <w:marRight w:val="0"/>
          <w:marTop w:val="0"/>
          <w:marBottom w:val="0"/>
          <w:divBdr>
            <w:top w:val="none" w:sz="0" w:space="0" w:color="auto"/>
            <w:left w:val="none" w:sz="0" w:space="0" w:color="auto"/>
            <w:bottom w:val="none" w:sz="0" w:space="0" w:color="auto"/>
            <w:right w:val="none" w:sz="0" w:space="0" w:color="auto"/>
          </w:divBdr>
          <w:divsChild>
            <w:div w:id="977882625">
              <w:marLeft w:val="0"/>
              <w:marRight w:val="0"/>
              <w:marTop w:val="0"/>
              <w:marBottom w:val="0"/>
              <w:divBdr>
                <w:top w:val="none" w:sz="0" w:space="0" w:color="auto"/>
                <w:left w:val="none" w:sz="0" w:space="0" w:color="auto"/>
                <w:bottom w:val="none" w:sz="0" w:space="0" w:color="auto"/>
                <w:right w:val="none" w:sz="0" w:space="0" w:color="auto"/>
              </w:divBdr>
              <w:divsChild>
                <w:div w:id="1714235977">
                  <w:marLeft w:val="0"/>
                  <w:marRight w:val="0"/>
                  <w:marTop w:val="0"/>
                  <w:marBottom w:val="0"/>
                  <w:divBdr>
                    <w:top w:val="none" w:sz="0" w:space="0" w:color="auto"/>
                    <w:left w:val="none" w:sz="0" w:space="0" w:color="auto"/>
                    <w:bottom w:val="none" w:sz="0" w:space="0" w:color="auto"/>
                    <w:right w:val="none" w:sz="0" w:space="0" w:color="auto"/>
                  </w:divBdr>
                  <w:divsChild>
                    <w:div w:id="1156609809">
                      <w:marLeft w:val="0"/>
                      <w:marRight w:val="0"/>
                      <w:marTop w:val="0"/>
                      <w:marBottom w:val="0"/>
                      <w:divBdr>
                        <w:top w:val="none" w:sz="0" w:space="0" w:color="auto"/>
                        <w:left w:val="none" w:sz="0" w:space="0" w:color="auto"/>
                        <w:bottom w:val="none" w:sz="0" w:space="0" w:color="auto"/>
                        <w:right w:val="none" w:sz="0" w:space="0" w:color="auto"/>
                      </w:divBdr>
                      <w:divsChild>
                        <w:div w:id="824050950">
                          <w:marLeft w:val="0"/>
                          <w:marRight w:val="0"/>
                          <w:marTop w:val="0"/>
                          <w:marBottom w:val="0"/>
                          <w:divBdr>
                            <w:top w:val="none" w:sz="0" w:space="0" w:color="auto"/>
                            <w:left w:val="none" w:sz="0" w:space="0" w:color="auto"/>
                            <w:bottom w:val="none" w:sz="0" w:space="0" w:color="auto"/>
                            <w:right w:val="none" w:sz="0" w:space="0" w:color="auto"/>
                          </w:divBdr>
                          <w:divsChild>
                            <w:div w:id="1296906021">
                              <w:marLeft w:val="0"/>
                              <w:marRight w:val="0"/>
                              <w:marTop w:val="0"/>
                              <w:marBottom w:val="0"/>
                              <w:divBdr>
                                <w:top w:val="none" w:sz="0" w:space="0" w:color="auto"/>
                                <w:left w:val="none" w:sz="0" w:space="0" w:color="auto"/>
                                <w:bottom w:val="none" w:sz="0" w:space="0" w:color="auto"/>
                                <w:right w:val="none" w:sz="0" w:space="0" w:color="auto"/>
                              </w:divBdr>
                              <w:divsChild>
                                <w:div w:id="61097821">
                                  <w:marLeft w:val="0"/>
                                  <w:marRight w:val="0"/>
                                  <w:marTop w:val="0"/>
                                  <w:marBottom w:val="0"/>
                                  <w:divBdr>
                                    <w:top w:val="none" w:sz="0" w:space="0" w:color="auto"/>
                                    <w:left w:val="none" w:sz="0" w:space="0" w:color="auto"/>
                                    <w:bottom w:val="none" w:sz="0" w:space="0" w:color="auto"/>
                                    <w:right w:val="none" w:sz="0" w:space="0" w:color="auto"/>
                                  </w:divBdr>
                                  <w:divsChild>
                                    <w:div w:id="474445699">
                                      <w:marLeft w:val="0"/>
                                      <w:marRight w:val="0"/>
                                      <w:marTop w:val="0"/>
                                      <w:marBottom w:val="0"/>
                                      <w:divBdr>
                                        <w:top w:val="none" w:sz="0" w:space="0" w:color="auto"/>
                                        <w:left w:val="none" w:sz="0" w:space="0" w:color="auto"/>
                                        <w:bottom w:val="none" w:sz="0" w:space="0" w:color="auto"/>
                                        <w:right w:val="none" w:sz="0" w:space="0" w:color="auto"/>
                                      </w:divBdr>
                                      <w:divsChild>
                                        <w:div w:id="1733844479">
                                          <w:marLeft w:val="0"/>
                                          <w:marRight w:val="0"/>
                                          <w:marTop w:val="0"/>
                                          <w:marBottom w:val="0"/>
                                          <w:divBdr>
                                            <w:top w:val="none" w:sz="0" w:space="0" w:color="auto"/>
                                            <w:left w:val="none" w:sz="0" w:space="0" w:color="auto"/>
                                            <w:bottom w:val="none" w:sz="0" w:space="0" w:color="auto"/>
                                            <w:right w:val="none" w:sz="0" w:space="0" w:color="auto"/>
                                          </w:divBdr>
                                          <w:divsChild>
                                            <w:div w:id="873157720">
                                              <w:marLeft w:val="0"/>
                                              <w:marRight w:val="0"/>
                                              <w:marTop w:val="0"/>
                                              <w:marBottom w:val="0"/>
                                              <w:divBdr>
                                                <w:top w:val="none" w:sz="0" w:space="0" w:color="auto"/>
                                                <w:left w:val="none" w:sz="0" w:space="0" w:color="auto"/>
                                                <w:bottom w:val="none" w:sz="0" w:space="0" w:color="auto"/>
                                                <w:right w:val="none" w:sz="0" w:space="0" w:color="auto"/>
                                              </w:divBdr>
                                              <w:divsChild>
                                                <w:div w:id="1748653287">
                                                  <w:marLeft w:val="0"/>
                                                  <w:marRight w:val="0"/>
                                                  <w:marTop w:val="0"/>
                                                  <w:marBottom w:val="0"/>
                                                  <w:divBdr>
                                                    <w:top w:val="none" w:sz="0" w:space="0" w:color="auto"/>
                                                    <w:left w:val="none" w:sz="0" w:space="0" w:color="auto"/>
                                                    <w:bottom w:val="none" w:sz="0" w:space="0" w:color="auto"/>
                                                    <w:right w:val="none" w:sz="0" w:space="0" w:color="auto"/>
                                                  </w:divBdr>
                                                  <w:divsChild>
                                                    <w:div w:id="2091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llermo.bueno@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ft.org.mx/sites/default/files/anexo_1_medidas_2014-2017_aep_radiodifusion.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gunda_bienal_radio@ift.org.mx" TargetMode="External"/><Relationship Id="rId5" Type="http://schemas.openxmlformats.org/officeDocument/2006/relationships/numbering" Target="numbering.xml"/><Relationship Id="rId15"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ika.hinojosa@ift.org.m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node/9701" TargetMode="External"/><Relationship Id="rId1" Type="http://schemas.openxmlformats.org/officeDocument/2006/relationships/hyperlink" Target="http://www.ift.org.mx/industria/politica-regulatoria/preponderancia-radiodifusion/resolucion-ift-determina-grupos-int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77DCBB3FC3468CBAA10745308F695A"/>
        <w:category>
          <w:name w:val="General"/>
          <w:gallery w:val="placeholder"/>
        </w:category>
        <w:types>
          <w:type w:val="bbPlcHdr"/>
        </w:types>
        <w:behaviors>
          <w:behavior w:val="content"/>
        </w:behaviors>
        <w:guid w:val="{49E799BB-6935-4AF8-BBAF-5EFD82A63216}"/>
      </w:docPartPr>
      <w:docPartBody>
        <w:p w:rsidR="00775805" w:rsidRDefault="00A910B8" w:rsidP="00A910B8">
          <w:pPr>
            <w:pStyle w:val="4D77DCBB3FC3468CBAA10745308F695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0B8"/>
    <w:rsid w:val="0000548D"/>
    <w:rsid w:val="00094BCB"/>
    <w:rsid w:val="00146BF6"/>
    <w:rsid w:val="00233128"/>
    <w:rsid w:val="002A2D2A"/>
    <w:rsid w:val="005F2A38"/>
    <w:rsid w:val="006218D9"/>
    <w:rsid w:val="00775805"/>
    <w:rsid w:val="007B443C"/>
    <w:rsid w:val="008C2752"/>
    <w:rsid w:val="00A910B8"/>
    <w:rsid w:val="00BB5932"/>
    <w:rsid w:val="00BF633A"/>
    <w:rsid w:val="00C85910"/>
    <w:rsid w:val="00F004CB"/>
    <w:rsid w:val="00F17B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10B8"/>
  </w:style>
  <w:style w:type="paragraph" w:customStyle="1" w:styleId="CDC89ACE49644AE3A96B42A93A886F54">
    <w:name w:val="CDC89ACE49644AE3A96B42A93A886F54"/>
    <w:rsid w:val="00A910B8"/>
  </w:style>
  <w:style w:type="paragraph" w:customStyle="1" w:styleId="4D77DCBB3FC3468CBAA10745308F695A">
    <w:name w:val="4D77DCBB3FC3468CBAA10745308F695A"/>
    <w:rsid w:val="00A91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0" ma:contentTypeDescription="Crear nuevo documento." ma:contentTypeScope="" ma:versionID="f7a75ae963fd4e49eba738334529be9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2.xml><?xml version="1.0" encoding="utf-8"?>
<ds:datastoreItem xmlns:ds="http://schemas.openxmlformats.org/officeDocument/2006/customXml" ds:itemID="{8E203583-0DAD-4F31-910D-0FB86EBEA299}"/>
</file>

<file path=customXml/itemProps3.xml><?xml version="1.0" encoding="utf-8"?>
<ds:datastoreItem xmlns:ds="http://schemas.openxmlformats.org/officeDocument/2006/customXml" ds:itemID="{7A183C5E-78F4-4F63-A863-58E034DBC1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D72AEB-9E2F-4A7C-BE70-A1DFE039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6321</Words>
  <Characters>34770</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41009</CharactersWithSpaces>
  <SharedDoc>false</SharedDoc>
  <HLinks>
    <vt:vector size="30" baseType="variant">
      <vt:variant>
        <vt:i4>2162780</vt:i4>
      </vt:variant>
      <vt:variant>
        <vt:i4>9</vt:i4>
      </vt:variant>
      <vt:variant>
        <vt:i4>0</vt:i4>
      </vt:variant>
      <vt:variant>
        <vt:i4>5</vt:i4>
      </vt:variant>
      <vt:variant>
        <vt:lpwstr>http://www.ift.org.mx/sites/default/files/anexo_1_medidas_2014-2017_aep_radiodifusion.pdf</vt:lpwstr>
      </vt:variant>
      <vt:variant>
        <vt:lpwstr/>
      </vt:variant>
      <vt:variant>
        <vt:i4>5505041</vt:i4>
      </vt:variant>
      <vt:variant>
        <vt:i4>6</vt:i4>
      </vt:variant>
      <vt:variant>
        <vt:i4>0</vt:i4>
      </vt:variant>
      <vt:variant>
        <vt:i4>5</vt:i4>
      </vt:variant>
      <vt:variant>
        <vt:lpwstr>../../../../AppData/Local/Microsoft/Windows/INetCache/Content.Outlook/AppData/Local/Microsoft/Windows/AppData/Local/Microsoft/Windows/INetCache/Content.Outlook/V2UMOADR/www.inai.org.mx</vt:lpwstr>
      </vt:variant>
      <vt:variant>
        <vt:lpwstr/>
      </vt:variant>
      <vt:variant>
        <vt:i4>5046369</vt:i4>
      </vt:variant>
      <vt:variant>
        <vt:i4>3</vt:i4>
      </vt:variant>
      <vt:variant>
        <vt:i4>0</vt:i4>
      </vt:variant>
      <vt:variant>
        <vt:i4>5</vt:i4>
      </vt:variant>
      <vt:variant>
        <vt:lpwstr>mailto:armando.zacateco@ift.org.mx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720912</vt:i4>
      </vt:variant>
      <vt:variant>
        <vt:i4>0</vt:i4>
      </vt:variant>
      <vt:variant>
        <vt:i4>0</vt:i4>
      </vt:variant>
      <vt:variant>
        <vt:i4>5</vt:i4>
      </vt:variant>
      <vt:variant>
        <vt:lpwstr>http://www.ift.org.mx/industria/politica-regulatoria/preponderancia-radiodifusion/resolucion-ift-determina-grupos-interes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Alejandro Stevenson</cp:lastModifiedBy>
  <cp:revision>3</cp:revision>
  <dcterms:created xsi:type="dcterms:W3CDTF">2019-05-28T01:08:00Z</dcterms:created>
  <dcterms:modified xsi:type="dcterms:W3CDTF">2019-05-28T01:09:00Z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0x0101005FD35B98907514428905968C64F00757</vt:lpwstr>
  </property>
</Properties>
</file>