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B3" w:rsidRDefault="003673B3" w:rsidP="00394CB1">
      <w:pPr>
        <w:ind w:left="708" w:hanging="708"/>
      </w:pPr>
    </w:p>
    <w:tbl>
      <w:tblPr>
        <w:tblStyle w:val="Tablaconcuadrcula"/>
        <w:tblW w:w="0" w:type="auto"/>
        <w:tblLook w:val="04A0" w:firstRow="1" w:lastRow="0" w:firstColumn="1" w:lastColumn="0" w:noHBand="0" w:noVBand="1"/>
      </w:tblPr>
      <w:tblGrid>
        <w:gridCol w:w="3114"/>
        <w:gridCol w:w="3402"/>
        <w:gridCol w:w="2312"/>
      </w:tblGrid>
      <w:tr w:rsidR="00501ADF" w:rsidTr="0068307E">
        <w:trPr>
          <w:trHeight w:val="816"/>
        </w:trPr>
        <w:tc>
          <w:tcPr>
            <w:tcW w:w="3114" w:type="dxa"/>
            <w:shd w:val="clear" w:color="auto" w:fill="DBDBDB" w:themeFill="accent3" w:themeFillTint="66"/>
          </w:tcPr>
          <w:p w:rsidR="00501ADF" w:rsidRPr="0068307E" w:rsidRDefault="00501ADF" w:rsidP="00501ADF">
            <w:pPr>
              <w:jc w:val="both"/>
              <w:rPr>
                <w:b/>
                <w:sz w:val="20"/>
              </w:rPr>
            </w:pPr>
            <w:r w:rsidRPr="0068307E">
              <w:rPr>
                <w:b/>
                <w:sz w:val="20"/>
              </w:rPr>
              <w:t>Unidad administrativa:</w:t>
            </w:r>
          </w:p>
          <w:p w:rsidR="0068307E" w:rsidRPr="0068307E" w:rsidRDefault="0068307E" w:rsidP="00501ADF">
            <w:pPr>
              <w:jc w:val="both"/>
              <w:rPr>
                <w:sz w:val="20"/>
              </w:rPr>
            </w:pPr>
          </w:p>
          <w:p w:rsidR="0068307E" w:rsidRPr="0068307E" w:rsidRDefault="00102AAD" w:rsidP="00501ADF">
            <w:pPr>
              <w:jc w:val="both"/>
              <w:rPr>
                <w:sz w:val="20"/>
              </w:rPr>
            </w:pPr>
            <w:r>
              <w:rPr>
                <w:sz w:val="20"/>
              </w:rPr>
              <w:t>Unidad de Asuntos Jurídicos</w:t>
            </w:r>
          </w:p>
        </w:tc>
        <w:tc>
          <w:tcPr>
            <w:tcW w:w="5714" w:type="dxa"/>
            <w:gridSpan w:val="2"/>
            <w:shd w:val="clear" w:color="auto" w:fill="DBDBDB" w:themeFill="accent3" w:themeFillTint="66"/>
          </w:tcPr>
          <w:p w:rsidR="00501ADF" w:rsidRDefault="00501ADF" w:rsidP="00501ADF">
            <w:pPr>
              <w:jc w:val="both"/>
              <w:rPr>
                <w:b/>
                <w:sz w:val="20"/>
              </w:rPr>
            </w:pPr>
            <w:r w:rsidRPr="0068307E">
              <w:rPr>
                <w:b/>
                <w:sz w:val="20"/>
              </w:rPr>
              <w:t>Título del anteproyecto de regulación:</w:t>
            </w:r>
          </w:p>
          <w:p w:rsidR="0068307E" w:rsidRDefault="00A7481E" w:rsidP="00501ADF">
            <w:pPr>
              <w:jc w:val="both"/>
              <w:rPr>
                <w:b/>
                <w:sz w:val="20"/>
              </w:rPr>
            </w:pPr>
            <w:r>
              <w:rPr>
                <w:b/>
                <w:sz w:val="20"/>
              </w:rPr>
              <w:t>“</w:t>
            </w:r>
            <w:r w:rsidR="00B44ED4" w:rsidRPr="00B44ED4">
              <w:rPr>
                <w:b/>
                <w:sz w:val="20"/>
              </w:rPr>
              <w:t xml:space="preserve">ACUERDO MEDIANTE EL CUAL EL PLENO DEL INSTITUTO FEDERAL DE TELECOMUNICACIONES EMITE LOS </w:t>
            </w:r>
            <w:r w:rsidR="0047715F" w:rsidRPr="0047715F">
              <w:rPr>
                <w:b/>
                <w:sz w:val="20"/>
                <w:lang w:val="es-ES_tradnl"/>
              </w:rPr>
              <w:t>LINEAMIENTOS PARA EL OTORGAMIENTO DE LA CONSTANCIA DE AUTORIZACIÓN, PARA EL USO Y APROVECHAMIENTO DE BANDAS DE FRECUENCIAS DEL ESPECTRO RADIOELÉCTRICO PARA USO SECUNDARIO</w:t>
            </w:r>
            <w:r w:rsidR="00B44ED4" w:rsidRPr="00B44ED4">
              <w:rPr>
                <w:b/>
                <w:sz w:val="20"/>
              </w:rPr>
              <w:t>.</w:t>
            </w:r>
            <w:r w:rsidR="00102AAD" w:rsidRPr="00102AAD">
              <w:rPr>
                <w:b/>
                <w:sz w:val="20"/>
              </w:rPr>
              <w:t>”</w:t>
            </w:r>
          </w:p>
          <w:p w:rsidR="0068307E" w:rsidRPr="0068307E" w:rsidRDefault="0068307E" w:rsidP="00501ADF">
            <w:pPr>
              <w:jc w:val="both"/>
              <w:rPr>
                <w:sz w:val="20"/>
              </w:rPr>
            </w:pPr>
          </w:p>
        </w:tc>
      </w:tr>
      <w:tr w:rsidR="0068307E" w:rsidTr="0068307E">
        <w:tc>
          <w:tcPr>
            <w:tcW w:w="3114" w:type="dxa"/>
            <w:vMerge w:val="restart"/>
            <w:shd w:val="clear" w:color="auto" w:fill="DBDBDB" w:themeFill="accent3" w:themeFillTint="66"/>
          </w:tcPr>
          <w:p w:rsidR="0068307E" w:rsidRDefault="0068307E" w:rsidP="00501ADF">
            <w:pPr>
              <w:jc w:val="both"/>
              <w:rPr>
                <w:b/>
                <w:sz w:val="20"/>
              </w:rPr>
            </w:pPr>
            <w:r w:rsidRPr="0068307E">
              <w:rPr>
                <w:b/>
                <w:sz w:val="20"/>
              </w:rPr>
              <w:t>Datos de</w:t>
            </w:r>
            <w:r w:rsidR="00102AAD">
              <w:rPr>
                <w:b/>
                <w:sz w:val="20"/>
              </w:rPr>
              <w:t xml:space="preserve"> los</w:t>
            </w:r>
            <w:r w:rsidRPr="0068307E">
              <w:rPr>
                <w:b/>
                <w:sz w:val="20"/>
              </w:rPr>
              <w:t xml:space="preserve"> contacto</w:t>
            </w:r>
            <w:r w:rsidR="00102AAD">
              <w:rPr>
                <w:b/>
                <w:sz w:val="20"/>
              </w:rPr>
              <w:t>s</w:t>
            </w:r>
            <w:r w:rsidRPr="0068307E">
              <w:rPr>
                <w:b/>
                <w:sz w:val="20"/>
              </w:rPr>
              <w:t>:</w:t>
            </w:r>
          </w:p>
          <w:p w:rsidR="0068307E" w:rsidRDefault="0068307E" w:rsidP="00501ADF">
            <w:pPr>
              <w:jc w:val="both"/>
              <w:rPr>
                <w:b/>
                <w:sz w:val="20"/>
              </w:rPr>
            </w:pPr>
          </w:p>
          <w:p w:rsidR="0068307E" w:rsidRPr="0068307E" w:rsidRDefault="00102AAD" w:rsidP="00501ADF">
            <w:pPr>
              <w:jc w:val="both"/>
              <w:rPr>
                <w:sz w:val="20"/>
              </w:rPr>
            </w:pPr>
            <w:r>
              <w:rPr>
                <w:sz w:val="20"/>
              </w:rPr>
              <w:t>Manuel Miravete Esparza</w:t>
            </w:r>
          </w:p>
          <w:p w:rsidR="0068307E" w:rsidRPr="0068307E" w:rsidRDefault="0068307E" w:rsidP="00501ADF">
            <w:pPr>
              <w:jc w:val="both"/>
              <w:rPr>
                <w:sz w:val="20"/>
              </w:rPr>
            </w:pPr>
            <w:r w:rsidRPr="0068307E">
              <w:rPr>
                <w:sz w:val="20"/>
              </w:rPr>
              <w:t>Teléfono: 5015-415</w:t>
            </w:r>
            <w:r w:rsidR="00102AAD">
              <w:rPr>
                <w:sz w:val="20"/>
              </w:rPr>
              <w:t>6</w:t>
            </w:r>
          </w:p>
          <w:p w:rsidR="0068307E" w:rsidRDefault="0068307E" w:rsidP="00501ADF">
            <w:pPr>
              <w:jc w:val="both"/>
              <w:rPr>
                <w:sz w:val="20"/>
              </w:rPr>
            </w:pPr>
            <w:r w:rsidRPr="0068307E">
              <w:rPr>
                <w:sz w:val="20"/>
              </w:rPr>
              <w:t>Correo</w:t>
            </w:r>
            <w:r>
              <w:rPr>
                <w:sz w:val="20"/>
              </w:rPr>
              <w:t xml:space="preserve"> </w:t>
            </w:r>
            <w:r w:rsidRPr="0068307E">
              <w:rPr>
                <w:sz w:val="20"/>
              </w:rPr>
              <w:t>electrónico:</w:t>
            </w:r>
          </w:p>
          <w:p w:rsidR="0068307E" w:rsidRDefault="00102AAD" w:rsidP="00A22110">
            <w:pPr>
              <w:jc w:val="both"/>
              <w:rPr>
                <w:sz w:val="20"/>
              </w:rPr>
            </w:pPr>
            <w:r>
              <w:t>manuel.miravete</w:t>
            </w:r>
            <w:hyperlink r:id="rId8" w:history="1">
              <w:r w:rsidR="00A22110" w:rsidRPr="005F7099">
                <w:rPr>
                  <w:rStyle w:val="Hipervnculo"/>
                  <w:sz w:val="20"/>
                </w:rPr>
                <w:t>@ift.org.mx</w:t>
              </w:r>
            </w:hyperlink>
            <w:r w:rsidR="0068307E">
              <w:rPr>
                <w:sz w:val="20"/>
              </w:rPr>
              <w:t xml:space="preserve"> </w:t>
            </w:r>
          </w:p>
          <w:p w:rsidR="00102AAD" w:rsidRPr="0068307E" w:rsidRDefault="00102AAD" w:rsidP="00102AAD">
            <w:pPr>
              <w:jc w:val="both"/>
              <w:rPr>
                <w:sz w:val="20"/>
              </w:rPr>
            </w:pPr>
            <w:r>
              <w:rPr>
                <w:sz w:val="20"/>
              </w:rPr>
              <w:t>Luis Jesús Bello Ramírez</w:t>
            </w:r>
          </w:p>
          <w:p w:rsidR="00102AAD" w:rsidRPr="0068307E" w:rsidRDefault="00102AAD" w:rsidP="00102AAD">
            <w:pPr>
              <w:jc w:val="both"/>
              <w:rPr>
                <w:sz w:val="20"/>
              </w:rPr>
            </w:pPr>
            <w:r>
              <w:rPr>
                <w:sz w:val="20"/>
              </w:rPr>
              <w:t>Teléfono: 5015-4340</w:t>
            </w:r>
          </w:p>
          <w:p w:rsidR="00102AAD" w:rsidRDefault="00102AAD" w:rsidP="00102AAD">
            <w:pPr>
              <w:jc w:val="both"/>
              <w:rPr>
                <w:sz w:val="20"/>
              </w:rPr>
            </w:pPr>
            <w:r w:rsidRPr="0068307E">
              <w:rPr>
                <w:sz w:val="20"/>
              </w:rPr>
              <w:t>Correo</w:t>
            </w:r>
            <w:r>
              <w:rPr>
                <w:sz w:val="20"/>
              </w:rPr>
              <w:t xml:space="preserve"> </w:t>
            </w:r>
            <w:r w:rsidRPr="0068307E">
              <w:rPr>
                <w:sz w:val="20"/>
              </w:rPr>
              <w:t>electrónico:</w:t>
            </w:r>
          </w:p>
          <w:p w:rsidR="00102AAD" w:rsidRPr="0068307E" w:rsidRDefault="00102AAD" w:rsidP="00102AAD">
            <w:pPr>
              <w:jc w:val="both"/>
              <w:rPr>
                <w:b/>
                <w:sz w:val="20"/>
              </w:rPr>
            </w:pPr>
            <w:r>
              <w:t>luis.bello</w:t>
            </w:r>
            <w:hyperlink r:id="rId9" w:history="1">
              <w:r w:rsidRPr="005F7099">
                <w:rPr>
                  <w:rStyle w:val="Hipervnculo"/>
                  <w:sz w:val="20"/>
                </w:rPr>
                <w:t>@ift.org.mx</w:t>
              </w:r>
            </w:hyperlink>
          </w:p>
        </w:tc>
        <w:tc>
          <w:tcPr>
            <w:tcW w:w="3402" w:type="dxa"/>
            <w:shd w:val="clear" w:color="auto" w:fill="DBDBDB" w:themeFill="accent3" w:themeFillTint="66"/>
          </w:tcPr>
          <w:p w:rsidR="0068307E" w:rsidRDefault="0068307E" w:rsidP="008A48B0">
            <w:pPr>
              <w:jc w:val="both"/>
              <w:rPr>
                <w:b/>
                <w:sz w:val="20"/>
              </w:rPr>
            </w:pPr>
            <w:r w:rsidRPr="0068307E">
              <w:rPr>
                <w:b/>
                <w:sz w:val="20"/>
              </w:rPr>
              <w:t>Fecha de elaboración:</w:t>
            </w:r>
          </w:p>
          <w:p w:rsidR="0068307E" w:rsidRPr="0068307E" w:rsidRDefault="0068307E" w:rsidP="008A48B0">
            <w:pPr>
              <w:jc w:val="both"/>
              <w:rPr>
                <w:b/>
                <w:sz w:val="20"/>
              </w:rPr>
            </w:pPr>
          </w:p>
        </w:tc>
        <w:tc>
          <w:tcPr>
            <w:tcW w:w="2312" w:type="dxa"/>
            <w:shd w:val="clear" w:color="auto" w:fill="DBDBDB" w:themeFill="accent3" w:themeFillTint="66"/>
          </w:tcPr>
          <w:p w:rsidR="0068307E" w:rsidRPr="0068307E" w:rsidRDefault="00DE339C" w:rsidP="00A94F75">
            <w:pPr>
              <w:jc w:val="center"/>
              <w:rPr>
                <w:sz w:val="20"/>
              </w:rPr>
            </w:pPr>
            <w:r>
              <w:rPr>
                <w:sz w:val="20"/>
              </w:rPr>
              <w:t>1</w:t>
            </w:r>
            <w:r w:rsidR="00A94F75">
              <w:rPr>
                <w:sz w:val="20"/>
              </w:rPr>
              <w:t>3</w:t>
            </w:r>
            <w:r w:rsidR="0068307E" w:rsidRPr="0068307E">
              <w:rPr>
                <w:sz w:val="20"/>
              </w:rPr>
              <w:t>/</w:t>
            </w:r>
            <w:r w:rsidR="001A34C3">
              <w:rPr>
                <w:sz w:val="20"/>
              </w:rPr>
              <w:t>02</w:t>
            </w:r>
            <w:r w:rsidR="0068307E" w:rsidRPr="0068307E">
              <w:rPr>
                <w:sz w:val="20"/>
              </w:rPr>
              <w:t>/</w:t>
            </w:r>
            <w:r w:rsidR="001A34C3">
              <w:rPr>
                <w:sz w:val="20"/>
              </w:rPr>
              <w:t>2018</w:t>
            </w:r>
          </w:p>
        </w:tc>
      </w:tr>
      <w:tr w:rsidR="0068307E" w:rsidTr="0068307E">
        <w:trPr>
          <w:trHeight w:val="390"/>
        </w:trPr>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rsidR="0068307E" w:rsidRPr="0068307E" w:rsidRDefault="00CF3F58" w:rsidP="00117AE8">
            <w:pPr>
              <w:jc w:val="center"/>
              <w:rPr>
                <w:sz w:val="20"/>
              </w:rPr>
            </w:pPr>
            <w:r>
              <w:rPr>
                <w:sz w:val="20"/>
              </w:rPr>
              <w:t>7</w:t>
            </w:r>
            <w:r w:rsidR="0068307E" w:rsidRPr="0068307E">
              <w:rPr>
                <w:sz w:val="20"/>
              </w:rPr>
              <w:t>/</w:t>
            </w:r>
            <w:r w:rsidR="00A7481E">
              <w:rPr>
                <w:sz w:val="20"/>
              </w:rPr>
              <w:t>0</w:t>
            </w:r>
            <w:r w:rsidR="00117AE8">
              <w:rPr>
                <w:sz w:val="20"/>
              </w:rPr>
              <w:t>4</w:t>
            </w:r>
            <w:r w:rsidR="0068307E" w:rsidRPr="0068307E">
              <w:rPr>
                <w:sz w:val="20"/>
              </w:rPr>
              <w:t>/</w:t>
            </w:r>
            <w:r>
              <w:rPr>
                <w:sz w:val="20"/>
              </w:rPr>
              <w:t>2017</w:t>
            </w:r>
          </w:p>
        </w:tc>
      </w:tr>
      <w:tr w:rsidR="0068307E" w:rsidTr="0068307E">
        <w:tc>
          <w:tcPr>
            <w:tcW w:w="3114" w:type="dxa"/>
            <w:vMerge/>
            <w:shd w:val="clear" w:color="auto" w:fill="DBDBDB" w:themeFill="accent3" w:themeFillTint="66"/>
          </w:tcPr>
          <w:p w:rsidR="0068307E" w:rsidRPr="0068307E" w:rsidRDefault="0068307E" w:rsidP="00501ADF">
            <w:pPr>
              <w:jc w:val="both"/>
              <w:rPr>
                <w:sz w:val="20"/>
              </w:rPr>
            </w:pPr>
          </w:p>
        </w:tc>
        <w:tc>
          <w:tcPr>
            <w:tcW w:w="3402" w:type="dxa"/>
            <w:shd w:val="clear" w:color="auto" w:fill="DBDBDB" w:themeFill="accent3" w:themeFillTint="66"/>
          </w:tcPr>
          <w:p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rsidR="0068307E" w:rsidRPr="0068307E" w:rsidRDefault="00173BD6" w:rsidP="0072412C">
            <w:pPr>
              <w:jc w:val="center"/>
              <w:rPr>
                <w:sz w:val="20"/>
              </w:rPr>
            </w:pPr>
            <w:r>
              <w:rPr>
                <w:sz w:val="20"/>
              </w:rPr>
              <w:t>2</w:t>
            </w:r>
            <w:r w:rsidR="0072412C">
              <w:rPr>
                <w:sz w:val="20"/>
              </w:rPr>
              <w:t>9</w:t>
            </w:r>
            <w:r w:rsidR="0068307E" w:rsidRPr="0068307E">
              <w:rPr>
                <w:sz w:val="20"/>
              </w:rPr>
              <w:t>/</w:t>
            </w:r>
            <w:r w:rsidR="00CF3F58">
              <w:rPr>
                <w:sz w:val="20"/>
              </w:rPr>
              <w:t>0</w:t>
            </w:r>
            <w:r w:rsidR="00A42C9B">
              <w:rPr>
                <w:sz w:val="20"/>
              </w:rPr>
              <w:t>5</w:t>
            </w:r>
            <w:r w:rsidR="0068307E" w:rsidRPr="0068307E">
              <w:rPr>
                <w:sz w:val="20"/>
              </w:rPr>
              <w:t>/</w:t>
            </w:r>
            <w:r w:rsidR="00CF3F58">
              <w:rPr>
                <w:sz w:val="20"/>
              </w:rPr>
              <w:t>2017</w:t>
            </w:r>
          </w:p>
        </w:tc>
      </w:tr>
    </w:tbl>
    <w:p w:rsidR="00501ADF" w:rsidRDefault="00501ADF" w:rsidP="00501ADF">
      <w:pPr>
        <w:jc w:val="both"/>
      </w:pPr>
    </w:p>
    <w:p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6080B" w:rsidTr="008A48B0">
        <w:tc>
          <w:tcPr>
            <w:tcW w:w="8828" w:type="dxa"/>
            <w:shd w:val="clear" w:color="auto" w:fill="FFFFFF" w:themeFill="background1"/>
          </w:tcPr>
          <w:p w:rsidR="001932FC" w:rsidRPr="00CB6A39" w:rsidRDefault="001932FC" w:rsidP="008A48B0">
            <w:pPr>
              <w:shd w:val="clear" w:color="auto" w:fill="FFFFFF" w:themeFill="background1"/>
              <w:jc w:val="both"/>
              <w:rPr>
                <w:b/>
                <w:sz w:val="20"/>
                <w:szCs w:val="20"/>
              </w:rPr>
            </w:pPr>
            <w:r w:rsidRPr="00CB6A39">
              <w:rPr>
                <w:b/>
                <w:sz w:val="20"/>
                <w:szCs w:val="20"/>
              </w:rPr>
              <w:t>1.</w:t>
            </w:r>
            <w:r w:rsidR="00E6080B" w:rsidRPr="00CB6A39">
              <w:rPr>
                <w:b/>
                <w:sz w:val="20"/>
                <w:szCs w:val="20"/>
              </w:rPr>
              <w:t>-</w:t>
            </w:r>
            <w:r w:rsidRPr="00CB6A39">
              <w:rPr>
                <w:b/>
                <w:sz w:val="20"/>
                <w:szCs w:val="20"/>
              </w:rPr>
              <w:t xml:space="preserve"> Describa los objetivos generales del anteproyecto de regulación propuesto:</w:t>
            </w:r>
          </w:p>
          <w:p w:rsidR="001E3322" w:rsidRDefault="001E3322" w:rsidP="008A48B0">
            <w:pPr>
              <w:shd w:val="clear" w:color="auto" w:fill="FFFFFF" w:themeFill="background1"/>
              <w:jc w:val="both"/>
              <w:rPr>
                <w:sz w:val="20"/>
                <w:szCs w:val="20"/>
              </w:rPr>
            </w:pPr>
          </w:p>
          <w:p w:rsidR="005F025D" w:rsidRPr="005F025D" w:rsidRDefault="001C14A1" w:rsidP="001C14A1">
            <w:pPr>
              <w:pStyle w:val="Texto"/>
              <w:numPr>
                <w:ilvl w:val="0"/>
                <w:numId w:val="4"/>
              </w:numPr>
              <w:tabs>
                <w:tab w:val="left" w:pos="1162"/>
              </w:tabs>
              <w:spacing w:after="0" w:line="240" w:lineRule="auto"/>
              <w:rPr>
                <w:sz w:val="20"/>
              </w:rPr>
            </w:pPr>
            <w:r w:rsidRPr="001C14A1">
              <w:rPr>
                <w:rFonts w:asciiTheme="minorHAnsi" w:eastAsiaTheme="minorHAnsi" w:hAnsiTheme="minorHAnsi" w:cstheme="minorBidi"/>
                <w:sz w:val="20"/>
                <w:lang w:val="es-MX" w:eastAsia="en-US"/>
              </w:rPr>
              <w:t>Permitir</w:t>
            </w:r>
            <w:r>
              <w:rPr>
                <w:rFonts w:asciiTheme="minorHAnsi" w:eastAsiaTheme="minorHAnsi" w:hAnsiTheme="minorHAnsi" w:cstheme="minorBidi"/>
                <w:sz w:val="20"/>
                <w:lang w:val="es-MX" w:eastAsia="en-US"/>
              </w:rPr>
              <w:t xml:space="preserve"> </w:t>
            </w:r>
            <w:r w:rsidRPr="001C14A1">
              <w:rPr>
                <w:rFonts w:asciiTheme="minorHAnsi" w:eastAsiaTheme="minorHAnsi" w:hAnsiTheme="minorHAnsi" w:cstheme="minorBidi"/>
                <w:sz w:val="20"/>
                <w:lang w:val="es-MX" w:eastAsia="en-US"/>
              </w:rPr>
              <w:t>bajo el régimen de autorización, el uso secundario de bandas de frecuencias del espectro radioeléctrico, destinadas a satisfacer necesidades específicas de telecomunicaciones de personas dedicadas a actividades determinadas que no tienen como finalidad prestar servicios públicos de telecom</w:t>
            </w:r>
            <w:r w:rsidR="005F025D">
              <w:rPr>
                <w:rFonts w:asciiTheme="minorHAnsi" w:eastAsiaTheme="minorHAnsi" w:hAnsiTheme="minorHAnsi" w:cstheme="minorBidi"/>
                <w:sz w:val="20"/>
                <w:lang w:val="es-MX" w:eastAsia="en-US"/>
              </w:rPr>
              <w:t>unicaciones ni de radiodifusión;</w:t>
            </w:r>
            <w:r w:rsidRPr="001C14A1">
              <w:rPr>
                <w:rFonts w:asciiTheme="minorHAnsi" w:eastAsiaTheme="minorHAnsi" w:hAnsiTheme="minorHAnsi" w:cstheme="minorBidi"/>
                <w:sz w:val="20"/>
                <w:lang w:val="es-MX" w:eastAsia="en-US"/>
              </w:rPr>
              <w:t xml:space="preserve"> y </w:t>
            </w:r>
          </w:p>
          <w:p w:rsidR="001932FC" w:rsidRPr="003A2A67" w:rsidRDefault="005F025D" w:rsidP="003A2A67">
            <w:pPr>
              <w:pStyle w:val="Texto"/>
              <w:numPr>
                <w:ilvl w:val="0"/>
                <w:numId w:val="4"/>
              </w:numPr>
              <w:tabs>
                <w:tab w:val="left" w:pos="1162"/>
              </w:tabs>
              <w:spacing w:after="0" w:line="240" w:lineRule="auto"/>
              <w:rPr>
                <w:sz w:val="20"/>
              </w:rPr>
            </w:pPr>
            <w:r w:rsidRPr="001C14A1">
              <w:rPr>
                <w:rFonts w:asciiTheme="minorHAnsi" w:eastAsiaTheme="minorHAnsi" w:hAnsiTheme="minorHAnsi" w:cstheme="minorBidi"/>
                <w:sz w:val="20"/>
                <w:lang w:val="es-MX" w:eastAsia="en-US"/>
              </w:rPr>
              <w:t>P</w:t>
            </w:r>
            <w:r w:rsidR="001C14A1" w:rsidRPr="001C14A1">
              <w:rPr>
                <w:rFonts w:asciiTheme="minorHAnsi" w:eastAsiaTheme="minorHAnsi" w:hAnsiTheme="minorHAnsi" w:cstheme="minorBidi"/>
                <w:sz w:val="20"/>
                <w:lang w:val="es-MX" w:eastAsia="en-US"/>
              </w:rPr>
              <w:t>ermitir</w:t>
            </w:r>
            <w:r>
              <w:rPr>
                <w:rFonts w:asciiTheme="minorHAnsi" w:eastAsiaTheme="minorHAnsi" w:hAnsiTheme="minorHAnsi" w:cstheme="minorBidi"/>
                <w:sz w:val="20"/>
                <w:lang w:val="es-MX" w:eastAsia="en-US"/>
              </w:rPr>
              <w:t xml:space="preserve"> </w:t>
            </w:r>
            <w:r w:rsidR="001C14A1" w:rsidRPr="001C14A1">
              <w:rPr>
                <w:rFonts w:asciiTheme="minorHAnsi" w:eastAsiaTheme="minorHAnsi" w:hAnsiTheme="minorHAnsi" w:cstheme="minorBidi"/>
                <w:sz w:val="20"/>
                <w:lang w:val="es-MX" w:eastAsia="en-US"/>
              </w:rPr>
              <w:t>que los dispositivos de radiocomunicaciones de corto alcance debidamente homologados, hagan uso secundario de bandas de frecuencias del espectro radioeléctrico</w:t>
            </w:r>
            <w:r w:rsidR="009D6424">
              <w:rPr>
                <w:rFonts w:asciiTheme="minorHAnsi" w:eastAsiaTheme="minorHAnsi" w:hAnsiTheme="minorHAnsi" w:cstheme="minorBidi"/>
                <w:sz w:val="20"/>
                <w:lang w:val="es-MX" w:eastAsia="en-US"/>
              </w:rPr>
              <w:t>.</w:t>
            </w:r>
          </w:p>
        </w:tc>
      </w:tr>
    </w:tbl>
    <w:p w:rsidR="001932FC"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Tr="008A48B0">
        <w:tc>
          <w:tcPr>
            <w:tcW w:w="8828" w:type="dxa"/>
            <w:shd w:val="clear" w:color="auto" w:fill="FFFFFF" w:themeFill="background1"/>
          </w:tcPr>
          <w:p w:rsidR="001932FC" w:rsidRPr="00632A53" w:rsidRDefault="001932FC" w:rsidP="001932FC">
            <w:pPr>
              <w:jc w:val="both"/>
              <w:rPr>
                <w:rFonts w:cstheme="minorHAnsi"/>
                <w:b/>
                <w:sz w:val="20"/>
                <w:szCs w:val="20"/>
              </w:rPr>
            </w:pPr>
            <w:r w:rsidRPr="00632A53">
              <w:rPr>
                <w:rFonts w:cstheme="minorHAnsi"/>
                <w:b/>
                <w:sz w:val="20"/>
                <w:szCs w:val="20"/>
              </w:rPr>
              <w:t>2.</w:t>
            </w:r>
            <w:r w:rsidR="00E6080B" w:rsidRPr="00632A53">
              <w:rPr>
                <w:rFonts w:cstheme="minorHAnsi"/>
                <w:b/>
                <w:sz w:val="20"/>
                <w:szCs w:val="20"/>
              </w:rPr>
              <w:t>-</w:t>
            </w:r>
            <w:r w:rsidRPr="00632A53">
              <w:rPr>
                <w:rFonts w:cstheme="minorHAnsi"/>
                <w:b/>
                <w:sz w:val="20"/>
                <w:szCs w:val="20"/>
              </w:rPr>
              <w:t xml:space="preserve"> Describa la problemática o situación que da origen al anteproyecto de regulación:</w:t>
            </w:r>
          </w:p>
          <w:p w:rsidR="00524E60" w:rsidRDefault="00524E60" w:rsidP="001932FC">
            <w:pPr>
              <w:jc w:val="both"/>
              <w:rPr>
                <w:rFonts w:cstheme="minorHAnsi"/>
                <w:sz w:val="18"/>
                <w:szCs w:val="18"/>
              </w:rPr>
            </w:pPr>
          </w:p>
          <w:p w:rsidR="002A7BF7" w:rsidRDefault="002A7BF7" w:rsidP="002A7BF7">
            <w:pPr>
              <w:jc w:val="both"/>
              <w:rPr>
                <w:sz w:val="20"/>
                <w:szCs w:val="20"/>
              </w:rPr>
            </w:pPr>
            <w:r w:rsidRPr="00524E60">
              <w:rPr>
                <w:sz w:val="20"/>
                <w:szCs w:val="20"/>
              </w:rPr>
              <w:t xml:space="preserve">Durante los años 2015, 2016 y 2017, se han presentado ante el Instituto Federal de Telecomunicaciones, requerimientos para </w:t>
            </w:r>
            <w:r>
              <w:rPr>
                <w:sz w:val="20"/>
                <w:szCs w:val="20"/>
              </w:rPr>
              <w:t xml:space="preserve">la asignación de </w:t>
            </w:r>
            <w:r w:rsidRPr="00524E60">
              <w:rPr>
                <w:sz w:val="20"/>
                <w:szCs w:val="20"/>
              </w:rPr>
              <w:t>us</w:t>
            </w:r>
            <w:r>
              <w:rPr>
                <w:sz w:val="20"/>
                <w:szCs w:val="20"/>
              </w:rPr>
              <w:t>o</w:t>
            </w:r>
            <w:r w:rsidRPr="00524E60">
              <w:rPr>
                <w:sz w:val="20"/>
                <w:szCs w:val="20"/>
              </w:rPr>
              <w:t xml:space="preserve"> </w:t>
            </w:r>
            <w:r>
              <w:rPr>
                <w:sz w:val="20"/>
                <w:szCs w:val="20"/>
              </w:rPr>
              <w:t xml:space="preserve">de </w:t>
            </w:r>
            <w:r w:rsidRPr="00524E60">
              <w:rPr>
                <w:sz w:val="20"/>
                <w:szCs w:val="20"/>
              </w:rPr>
              <w:t xml:space="preserve">bandas de frecuencias del espectro radioeléctrico en eventos </w:t>
            </w:r>
            <w:r>
              <w:rPr>
                <w:sz w:val="20"/>
                <w:szCs w:val="20"/>
              </w:rPr>
              <w:t>específicos</w:t>
            </w:r>
            <w:r w:rsidRPr="00524E60">
              <w:rPr>
                <w:sz w:val="20"/>
                <w:szCs w:val="20"/>
              </w:rPr>
              <w:t xml:space="preserve">, o actividades comerciales o industriales que tienen la necesidad de emplear dicho recurso, en </w:t>
            </w:r>
            <w:r>
              <w:rPr>
                <w:sz w:val="20"/>
                <w:szCs w:val="20"/>
              </w:rPr>
              <w:t>su</w:t>
            </w:r>
            <w:r w:rsidRPr="00524E60">
              <w:rPr>
                <w:sz w:val="20"/>
                <w:szCs w:val="20"/>
              </w:rPr>
              <w:t xml:space="preserve"> operación, organización y desarrollo.</w:t>
            </w:r>
          </w:p>
          <w:p w:rsidR="002A7BF7" w:rsidRDefault="002A7BF7" w:rsidP="002A7BF7">
            <w:pPr>
              <w:jc w:val="both"/>
              <w:rPr>
                <w:sz w:val="20"/>
                <w:szCs w:val="20"/>
              </w:rPr>
            </w:pPr>
          </w:p>
          <w:p w:rsidR="002A7BF7" w:rsidRPr="00A42C9B" w:rsidRDefault="002A7BF7" w:rsidP="002A7BF7">
            <w:pPr>
              <w:jc w:val="both"/>
              <w:rPr>
                <w:sz w:val="20"/>
                <w:szCs w:val="20"/>
              </w:rPr>
            </w:pPr>
            <w:r w:rsidRPr="00C46908">
              <w:rPr>
                <w:sz w:val="20"/>
                <w:szCs w:val="20"/>
              </w:rPr>
              <w:t>Los solicitantes del uso de las bandas de frecuencias para eventos específicos o en su caso, para las actividades comerciales o industriales, no tienen como objeto prestar servicios públicos de telecomunicaciones o radiodifusión.</w:t>
            </w:r>
          </w:p>
          <w:p w:rsidR="002A7BF7" w:rsidRPr="00A42C9B" w:rsidRDefault="002A7BF7" w:rsidP="002A7BF7">
            <w:pPr>
              <w:jc w:val="both"/>
              <w:rPr>
                <w:sz w:val="20"/>
                <w:szCs w:val="20"/>
              </w:rPr>
            </w:pPr>
          </w:p>
          <w:p w:rsidR="002A7BF7" w:rsidRPr="00A42C9B" w:rsidRDefault="002A7BF7" w:rsidP="002A7BF7">
            <w:pPr>
              <w:jc w:val="both"/>
              <w:rPr>
                <w:sz w:val="20"/>
                <w:szCs w:val="20"/>
              </w:rPr>
            </w:pPr>
            <w:r>
              <w:rPr>
                <w:sz w:val="20"/>
                <w:szCs w:val="20"/>
              </w:rPr>
              <w:t xml:space="preserve">En ese sentido, la </w:t>
            </w:r>
            <w:r w:rsidRPr="00A42C9B">
              <w:rPr>
                <w:sz w:val="20"/>
                <w:szCs w:val="20"/>
              </w:rPr>
              <w:t>satisfac</w:t>
            </w:r>
            <w:r>
              <w:rPr>
                <w:sz w:val="20"/>
                <w:szCs w:val="20"/>
              </w:rPr>
              <w:t>ción de</w:t>
            </w:r>
            <w:r w:rsidRPr="00A42C9B">
              <w:rPr>
                <w:sz w:val="20"/>
                <w:szCs w:val="20"/>
              </w:rPr>
              <w:t xml:space="preserve"> necesidades específicas de telecomunicaciones </w:t>
            </w:r>
            <w:r>
              <w:rPr>
                <w:sz w:val="20"/>
                <w:szCs w:val="20"/>
              </w:rPr>
              <w:t>(uso del espectro)</w:t>
            </w:r>
            <w:r w:rsidRPr="00A42C9B">
              <w:rPr>
                <w:sz w:val="20"/>
                <w:szCs w:val="20"/>
              </w:rPr>
              <w:t xml:space="preserve">, </w:t>
            </w:r>
            <w:r>
              <w:rPr>
                <w:sz w:val="20"/>
                <w:szCs w:val="20"/>
              </w:rPr>
              <w:t xml:space="preserve">se encuentra </w:t>
            </w:r>
            <w:r w:rsidRPr="00A42C9B">
              <w:rPr>
                <w:sz w:val="20"/>
                <w:szCs w:val="20"/>
              </w:rPr>
              <w:t xml:space="preserve">orientada fundamentalmente a resolver problemas de aplicaciones de comunicación </w:t>
            </w:r>
            <w:r>
              <w:rPr>
                <w:sz w:val="20"/>
                <w:szCs w:val="20"/>
              </w:rPr>
              <w:t>interna</w:t>
            </w:r>
            <w:r w:rsidRPr="00A42C9B">
              <w:rPr>
                <w:sz w:val="20"/>
                <w:szCs w:val="20"/>
              </w:rPr>
              <w:t>,</w:t>
            </w:r>
            <w:r>
              <w:rPr>
                <w:sz w:val="20"/>
                <w:szCs w:val="20"/>
              </w:rPr>
              <w:t xml:space="preserve"> </w:t>
            </w:r>
            <w:r w:rsidRPr="00A42C9B">
              <w:rPr>
                <w:sz w:val="20"/>
                <w:szCs w:val="20"/>
              </w:rPr>
              <w:t>soluciones portátiles, automatización y control de procesos industriales en áreas físic</w:t>
            </w:r>
            <w:r w:rsidR="00EE221A">
              <w:rPr>
                <w:sz w:val="20"/>
                <w:szCs w:val="20"/>
              </w:rPr>
              <w:t>as específicamente delimitadas.</w:t>
            </w:r>
          </w:p>
          <w:p w:rsidR="002A7BF7" w:rsidRPr="00A42C9B" w:rsidRDefault="000A65B5" w:rsidP="002A7BF7">
            <w:pPr>
              <w:jc w:val="both"/>
              <w:rPr>
                <w:sz w:val="20"/>
                <w:szCs w:val="20"/>
              </w:rPr>
            </w:pPr>
            <w:r>
              <w:rPr>
                <w:sz w:val="20"/>
                <w:szCs w:val="20"/>
              </w:rPr>
              <w:t>En el caso de l</w:t>
            </w:r>
            <w:r w:rsidR="002A7BF7" w:rsidRPr="00A42C9B">
              <w:rPr>
                <w:sz w:val="20"/>
                <w:szCs w:val="20"/>
              </w:rPr>
              <w:t>as actividades comerciales e industriales</w:t>
            </w:r>
            <w:r>
              <w:rPr>
                <w:sz w:val="20"/>
                <w:szCs w:val="20"/>
              </w:rPr>
              <w:t>, estas</w:t>
            </w:r>
            <w:r w:rsidR="002A7BF7" w:rsidRPr="00A42C9B">
              <w:rPr>
                <w:sz w:val="20"/>
                <w:szCs w:val="20"/>
              </w:rPr>
              <w:t xml:space="preserve"> tienen la necesidad de implementar dentro de sus instalaciones, sistemas </w:t>
            </w:r>
            <w:r w:rsidR="002A7BF7">
              <w:rPr>
                <w:sz w:val="20"/>
                <w:szCs w:val="20"/>
              </w:rPr>
              <w:t>de comunicación para el desarrollo de los procesos</w:t>
            </w:r>
            <w:r w:rsidR="002A7BF7" w:rsidRPr="00A42C9B">
              <w:rPr>
                <w:sz w:val="20"/>
                <w:szCs w:val="20"/>
              </w:rPr>
              <w:t xml:space="preserve"> comerciales o productivos. Dichos sistemas, </w:t>
            </w:r>
            <w:r w:rsidR="002A7BF7">
              <w:rPr>
                <w:sz w:val="20"/>
                <w:szCs w:val="20"/>
              </w:rPr>
              <w:t>requieren del uso del espectro radioeléctrico, por lo tanto tratándose de un bien de dominio público cuya administración corresponde al Instituto, este tiene la obligación de proveerlo.</w:t>
            </w:r>
          </w:p>
          <w:p w:rsidR="00F71498" w:rsidRDefault="00F71498" w:rsidP="002A7BF7">
            <w:pPr>
              <w:jc w:val="both"/>
              <w:rPr>
                <w:sz w:val="20"/>
                <w:szCs w:val="20"/>
              </w:rPr>
            </w:pPr>
          </w:p>
          <w:p w:rsidR="002A7BF7" w:rsidRPr="00431F81" w:rsidRDefault="002A7BF7" w:rsidP="002A7BF7">
            <w:pPr>
              <w:jc w:val="both"/>
              <w:rPr>
                <w:sz w:val="20"/>
                <w:szCs w:val="20"/>
              </w:rPr>
            </w:pPr>
            <w:r w:rsidRPr="00431F81">
              <w:rPr>
                <w:sz w:val="20"/>
                <w:szCs w:val="20"/>
              </w:rPr>
              <w:t xml:space="preserve">Por otro lado, en la actualidad operan diversos dispositivos de radiocomunicación de corto alcance que hacen uso de bandas de frecuencias del espectro radioeléctrico, mismos que ha definido la Unión Internacional de Telecomunicaciones en el Informe UIT-R SM.2153-5 (06/2015) denominado </w:t>
            </w:r>
            <w:r w:rsidRPr="00B97BA5">
              <w:rPr>
                <w:i/>
                <w:sz w:val="20"/>
                <w:szCs w:val="20"/>
              </w:rPr>
              <w:t>“Parámetros técnicos y de funcionamiento de los dispositivos de radiocomunicaciones de corto alcance y utilización del espectro por los mismos”</w:t>
            </w:r>
            <w:r w:rsidRPr="00431F81">
              <w:rPr>
                <w:sz w:val="20"/>
                <w:szCs w:val="20"/>
              </w:rPr>
              <w:t xml:space="preserve">, </w:t>
            </w:r>
            <w:r>
              <w:rPr>
                <w:sz w:val="20"/>
                <w:szCs w:val="20"/>
              </w:rPr>
              <w:t>que</w:t>
            </w:r>
            <w:r w:rsidRPr="00431F81">
              <w:rPr>
                <w:sz w:val="20"/>
                <w:szCs w:val="20"/>
              </w:rPr>
              <w:t xml:space="preserve"> se definen de la siguiente manera:</w:t>
            </w:r>
          </w:p>
          <w:p w:rsidR="002A7BF7" w:rsidRPr="00431F81" w:rsidRDefault="002A7BF7" w:rsidP="002A7BF7">
            <w:pPr>
              <w:jc w:val="both"/>
              <w:rPr>
                <w:sz w:val="20"/>
                <w:szCs w:val="20"/>
              </w:rPr>
            </w:pPr>
          </w:p>
          <w:p w:rsidR="002A7BF7" w:rsidRPr="00900744" w:rsidRDefault="002A7BF7" w:rsidP="002A7BF7">
            <w:pPr>
              <w:ind w:left="596" w:right="625"/>
              <w:jc w:val="both"/>
              <w:rPr>
                <w:i/>
                <w:sz w:val="20"/>
                <w:szCs w:val="20"/>
              </w:rPr>
            </w:pPr>
            <w:r w:rsidRPr="00900744">
              <w:rPr>
                <w:i/>
                <w:sz w:val="20"/>
                <w:szCs w:val="20"/>
              </w:rPr>
              <w:t>“2. Definición de los dispositivos de radiocomunicación de corto alcance.</w:t>
            </w:r>
          </w:p>
          <w:p w:rsidR="002A7BF7" w:rsidRPr="00900744" w:rsidRDefault="002A7BF7" w:rsidP="002A7BF7">
            <w:pPr>
              <w:ind w:left="596" w:right="625"/>
              <w:jc w:val="both"/>
              <w:rPr>
                <w:i/>
                <w:sz w:val="20"/>
                <w:szCs w:val="20"/>
              </w:rPr>
            </w:pPr>
          </w:p>
          <w:p w:rsidR="002A7BF7" w:rsidRPr="00900744" w:rsidRDefault="002A7BF7" w:rsidP="002A7BF7">
            <w:pPr>
              <w:ind w:left="596" w:right="625"/>
              <w:jc w:val="both"/>
              <w:rPr>
                <w:i/>
                <w:sz w:val="20"/>
                <w:szCs w:val="20"/>
              </w:rPr>
            </w:pPr>
            <w:r w:rsidRPr="00900744">
              <w:rPr>
                <w:i/>
                <w:sz w:val="20"/>
                <w:szCs w:val="20"/>
              </w:rPr>
              <w:t xml:space="preserve">Para los fines de este Informe, el término dispositivos de radiocomunicaciones de corto alcance incluye los transmisores radioeléctricos que proporcionan comunicaciones unidireccionales o bidireccionales y </w:t>
            </w:r>
            <w:r w:rsidRPr="005F2F1D">
              <w:rPr>
                <w:b/>
                <w:i/>
                <w:sz w:val="20"/>
                <w:szCs w:val="20"/>
              </w:rPr>
              <w:t>que tienen baja capacidad de producir interferencia</w:t>
            </w:r>
            <w:r w:rsidRPr="00900744">
              <w:rPr>
                <w:i/>
                <w:sz w:val="20"/>
                <w:szCs w:val="20"/>
              </w:rPr>
              <w:t xml:space="preserve"> a otros equipos radioeléctricos.”</w:t>
            </w:r>
            <w:r>
              <w:rPr>
                <w:i/>
                <w:sz w:val="20"/>
                <w:szCs w:val="20"/>
              </w:rPr>
              <w:t xml:space="preserve"> </w:t>
            </w:r>
          </w:p>
          <w:p w:rsidR="002A7BF7" w:rsidRPr="00431F81" w:rsidRDefault="002A7BF7" w:rsidP="002A7BF7">
            <w:pPr>
              <w:jc w:val="both"/>
              <w:rPr>
                <w:sz w:val="20"/>
                <w:szCs w:val="20"/>
              </w:rPr>
            </w:pPr>
          </w:p>
          <w:p w:rsidR="00543407" w:rsidRPr="00DD5E27" w:rsidRDefault="002A7BF7" w:rsidP="00DD5E27">
            <w:pPr>
              <w:jc w:val="both"/>
              <w:rPr>
                <w:sz w:val="20"/>
                <w:szCs w:val="20"/>
              </w:rPr>
            </w:pPr>
            <w:r>
              <w:rPr>
                <w:sz w:val="20"/>
                <w:szCs w:val="20"/>
              </w:rPr>
              <w:t>Por tanto, d</w:t>
            </w:r>
            <w:r w:rsidRPr="00431F81">
              <w:rPr>
                <w:sz w:val="20"/>
                <w:szCs w:val="20"/>
              </w:rPr>
              <w:t>ebido a las diversas aplicaciones que en la vida cotidiana se realizan con dispositivos de cort</w:t>
            </w:r>
            <w:r>
              <w:rPr>
                <w:sz w:val="20"/>
                <w:szCs w:val="20"/>
              </w:rPr>
              <w:t>o alcance, tales como telemando, telemedida,</w:t>
            </w:r>
            <w:r w:rsidRPr="00431F81">
              <w:rPr>
                <w:sz w:val="20"/>
                <w:szCs w:val="20"/>
              </w:rPr>
              <w:t xml:space="preserve"> voz y video; entre otras, y la poca probabilidad de producir interferencias perjudiciales, resulta necesario otorgar certeza jurídica a los usuarios y comercializadores de los equipos y dispositivos de corto alcance</w:t>
            </w:r>
            <w:r>
              <w:rPr>
                <w:sz w:val="20"/>
                <w:szCs w:val="20"/>
              </w:rPr>
              <w:t>,</w:t>
            </w:r>
            <w:r w:rsidRPr="00431F81">
              <w:rPr>
                <w:sz w:val="20"/>
                <w:szCs w:val="20"/>
              </w:rPr>
              <w:t xml:space="preserve"> para que puedan hacer uso</w:t>
            </w:r>
            <w:r w:rsidR="00D43006">
              <w:rPr>
                <w:sz w:val="20"/>
                <w:szCs w:val="20"/>
              </w:rPr>
              <w:t xml:space="preserve"> secundario </w:t>
            </w:r>
            <w:r w:rsidRPr="00431F81">
              <w:rPr>
                <w:sz w:val="20"/>
                <w:szCs w:val="20"/>
              </w:rPr>
              <w:t xml:space="preserve">del espectro radioeléctrico, </w:t>
            </w:r>
            <w:r>
              <w:rPr>
                <w:sz w:val="20"/>
                <w:szCs w:val="20"/>
              </w:rPr>
              <w:t xml:space="preserve">los cuales una vez homologados por el Instituto, se pongan a disposición del público en general, </w:t>
            </w:r>
            <w:r w:rsidRPr="00431F81">
              <w:rPr>
                <w:sz w:val="20"/>
                <w:szCs w:val="20"/>
              </w:rPr>
              <w:t xml:space="preserve">sin </w:t>
            </w:r>
            <w:r>
              <w:rPr>
                <w:sz w:val="20"/>
                <w:szCs w:val="20"/>
              </w:rPr>
              <w:t>necesidad de contar con una autorización, concesión o permiso.</w:t>
            </w:r>
          </w:p>
        </w:tc>
      </w:tr>
    </w:tbl>
    <w:p w:rsidR="00C470EA" w:rsidRDefault="00C470EA" w:rsidP="001932FC">
      <w:pPr>
        <w:jc w:val="both"/>
      </w:pPr>
    </w:p>
    <w:tbl>
      <w:tblPr>
        <w:tblStyle w:val="Tablaconcuadrcula"/>
        <w:tblW w:w="0" w:type="auto"/>
        <w:tblLook w:val="04A0" w:firstRow="1" w:lastRow="0" w:firstColumn="1" w:lastColumn="0" w:noHBand="0" w:noVBand="1"/>
      </w:tblPr>
      <w:tblGrid>
        <w:gridCol w:w="8828"/>
      </w:tblGrid>
      <w:tr w:rsidR="001932FC" w:rsidTr="001932FC">
        <w:tc>
          <w:tcPr>
            <w:tcW w:w="8828" w:type="dxa"/>
          </w:tcPr>
          <w:p w:rsidR="007A6269" w:rsidRDefault="007A6269" w:rsidP="007A6269">
            <w:pPr>
              <w:jc w:val="both"/>
              <w:rPr>
                <w:b/>
                <w:sz w:val="20"/>
                <w:szCs w:val="20"/>
              </w:rPr>
            </w:pPr>
            <w:r w:rsidRPr="00CB6A39">
              <w:rPr>
                <w:b/>
                <w:sz w:val="20"/>
                <w:szCs w:val="20"/>
              </w:rPr>
              <w:t>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D3164C" w:rsidRPr="00CB6A39" w:rsidRDefault="00D3164C" w:rsidP="007A6269">
            <w:pPr>
              <w:jc w:val="both"/>
              <w:rPr>
                <w:b/>
                <w:sz w:val="20"/>
                <w:szCs w:val="20"/>
              </w:rPr>
            </w:pPr>
          </w:p>
          <w:p w:rsidR="007A6269" w:rsidRPr="00A9037E" w:rsidRDefault="007A6269" w:rsidP="007A6269">
            <w:pPr>
              <w:pStyle w:val="Prrafodelista"/>
              <w:numPr>
                <w:ilvl w:val="0"/>
                <w:numId w:val="16"/>
              </w:numPr>
              <w:spacing w:after="160" w:line="259" w:lineRule="auto"/>
              <w:jc w:val="both"/>
              <w:rPr>
                <w:b/>
                <w:sz w:val="20"/>
                <w:szCs w:val="20"/>
              </w:rPr>
            </w:pPr>
            <w:r>
              <w:rPr>
                <w:b/>
                <w:sz w:val="20"/>
                <w:szCs w:val="20"/>
              </w:rPr>
              <w:t>T</w:t>
            </w:r>
            <w:r w:rsidRPr="00F61D50">
              <w:rPr>
                <w:b/>
                <w:sz w:val="20"/>
                <w:szCs w:val="20"/>
              </w:rPr>
              <w:t>ipo de ordenamiento jurídico propuesto.</w:t>
            </w:r>
          </w:p>
          <w:p w:rsidR="007A6269" w:rsidRDefault="007A6269" w:rsidP="007A6269">
            <w:pPr>
              <w:jc w:val="both"/>
              <w:rPr>
                <w:sz w:val="20"/>
                <w:szCs w:val="20"/>
              </w:rPr>
            </w:pPr>
            <w:r w:rsidRPr="00985D56">
              <w:rPr>
                <w:sz w:val="20"/>
                <w:szCs w:val="20"/>
              </w:rPr>
              <w:t xml:space="preserve">Se propone la emisión de </w:t>
            </w:r>
            <w:r>
              <w:rPr>
                <w:sz w:val="20"/>
                <w:szCs w:val="20"/>
              </w:rPr>
              <w:t>“</w:t>
            </w:r>
            <w:r w:rsidRPr="00985D56">
              <w:rPr>
                <w:sz w:val="20"/>
                <w:szCs w:val="20"/>
              </w:rPr>
              <w:t xml:space="preserve">Lineamientos de </w:t>
            </w:r>
            <w:r>
              <w:rPr>
                <w:sz w:val="20"/>
                <w:szCs w:val="20"/>
              </w:rPr>
              <w:t>c</w:t>
            </w:r>
            <w:r w:rsidRPr="00985D56">
              <w:rPr>
                <w:sz w:val="20"/>
                <w:szCs w:val="20"/>
              </w:rPr>
              <w:t>arácter general</w:t>
            </w:r>
            <w:r>
              <w:rPr>
                <w:sz w:val="20"/>
                <w:szCs w:val="20"/>
              </w:rPr>
              <w:t>”, ya que el Instituto cuenta con la atribución establecida en la fracción I del artículo 15 de la LFTR para expedirlos.</w:t>
            </w:r>
          </w:p>
          <w:p w:rsidR="00D3164C" w:rsidRDefault="00D3164C" w:rsidP="007A6269">
            <w:pPr>
              <w:jc w:val="both"/>
              <w:rPr>
                <w:sz w:val="20"/>
                <w:szCs w:val="20"/>
              </w:rPr>
            </w:pPr>
          </w:p>
          <w:p w:rsidR="007A6269" w:rsidRDefault="007A6269" w:rsidP="007A6269">
            <w:pPr>
              <w:pStyle w:val="Prrafodelista"/>
              <w:numPr>
                <w:ilvl w:val="0"/>
                <w:numId w:val="16"/>
              </w:numPr>
              <w:spacing w:after="160" w:line="259" w:lineRule="auto"/>
              <w:jc w:val="both"/>
              <w:rPr>
                <w:b/>
                <w:sz w:val="20"/>
                <w:szCs w:val="20"/>
              </w:rPr>
            </w:pPr>
            <w:r>
              <w:rPr>
                <w:b/>
                <w:sz w:val="20"/>
                <w:szCs w:val="20"/>
              </w:rPr>
              <w:t>E</w:t>
            </w:r>
            <w:r w:rsidRPr="00CB6A39">
              <w:rPr>
                <w:b/>
                <w:sz w:val="20"/>
                <w:szCs w:val="20"/>
              </w:rPr>
              <w:t>xisten disposiciones jurídicas vigentes directamente aplicables a la problemática materia del anteproyecto de regulación</w:t>
            </w:r>
            <w:r w:rsidR="00822AF4">
              <w:rPr>
                <w:b/>
                <w:sz w:val="20"/>
                <w:szCs w:val="20"/>
              </w:rPr>
              <w:t>.</w:t>
            </w:r>
          </w:p>
          <w:p w:rsidR="007A6269" w:rsidRDefault="007A6269" w:rsidP="007A6269">
            <w:pPr>
              <w:pStyle w:val="Prrafodelista"/>
              <w:jc w:val="both"/>
              <w:rPr>
                <w:b/>
                <w:sz w:val="20"/>
                <w:szCs w:val="20"/>
              </w:rPr>
            </w:pPr>
          </w:p>
          <w:p w:rsidR="007A6269" w:rsidRDefault="007A6269" w:rsidP="007A6269">
            <w:pPr>
              <w:jc w:val="both"/>
              <w:rPr>
                <w:sz w:val="20"/>
                <w:szCs w:val="20"/>
              </w:rPr>
            </w:pPr>
            <w:r>
              <w:rPr>
                <w:sz w:val="20"/>
                <w:szCs w:val="20"/>
              </w:rPr>
              <w:t>Sí, sólo existe una disposición que prevé la figura de “autorización del uso secundario de bandas de frecuencias”, la cual se encuentra prevista en el artículo 79 fracción IV de la LFTR.</w:t>
            </w:r>
          </w:p>
          <w:p w:rsidR="00D3164C" w:rsidRDefault="00D3164C" w:rsidP="007A6269">
            <w:pPr>
              <w:jc w:val="both"/>
              <w:rPr>
                <w:b/>
                <w:sz w:val="20"/>
                <w:szCs w:val="20"/>
              </w:rPr>
            </w:pPr>
          </w:p>
          <w:p w:rsidR="007A6269" w:rsidRPr="00A9037E" w:rsidRDefault="007A6269" w:rsidP="007A6269">
            <w:pPr>
              <w:pStyle w:val="Prrafodelista"/>
              <w:numPr>
                <w:ilvl w:val="0"/>
                <w:numId w:val="16"/>
              </w:numPr>
              <w:spacing w:after="160" w:line="259" w:lineRule="auto"/>
              <w:jc w:val="both"/>
              <w:rPr>
                <w:b/>
                <w:sz w:val="20"/>
                <w:szCs w:val="20"/>
              </w:rPr>
            </w:pPr>
            <w:r>
              <w:rPr>
                <w:b/>
                <w:sz w:val="20"/>
                <w:szCs w:val="20"/>
              </w:rPr>
              <w:t>E</w:t>
            </w:r>
            <w:r w:rsidRPr="00CB6A39">
              <w:rPr>
                <w:b/>
                <w:sz w:val="20"/>
                <w:szCs w:val="20"/>
              </w:rPr>
              <w:t>nume</w:t>
            </w:r>
            <w:r>
              <w:rPr>
                <w:b/>
                <w:sz w:val="20"/>
                <w:szCs w:val="20"/>
              </w:rPr>
              <w:t>re</w:t>
            </w:r>
            <w:r w:rsidRPr="00CB6A39">
              <w:rPr>
                <w:b/>
                <w:sz w:val="20"/>
                <w:szCs w:val="20"/>
              </w:rPr>
              <w:t xml:space="preserve"> y explique porque son insuficientes cada una de ellas para atend</w:t>
            </w:r>
            <w:r w:rsidR="00822AF4">
              <w:rPr>
                <w:b/>
                <w:sz w:val="20"/>
                <w:szCs w:val="20"/>
              </w:rPr>
              <w:t>er la problemática identificada.</w:t>
            </w:r>
          </w:p>
          <w:p w:rsidR="007A6269" w:rsidRDefault="006E4023" w:rsidP="007A6269">
            <w:pPr>
              <w:jc w:val="both"/>
              <w:rPr>
                <w:sz w:val="20"/>
                <w:szCs w:val="20"/>
              </w:rPr>
            </w:pPr>
            <w:r>
              <w:rPr>
                <w:sz w:val="20"/>
                <w:szCs w:val="20"/>
              </w:rPr>
              <w:t>E</w:t>
            </w:r>
            <w:r w:rsidR="007A6269" w:rsidRPr="00747C03">
              <w:rPr>
                <w:sz w:val="20"/>
                <w:szCs w:val="20"/>
              </w:rPr>
              <w:t>l artículo 7</w:t>
            </w:r>
            <w:r w:rsidR="007A6269">
              <w:rPr>
                <w:sz w:val="20"/>
                <w:szCs w:val="20"/>
              </w:rPr>
              <w:t>9, fracción IV de la LFTR, establece</w:t>
            </w:r>
            <w:r w:rsidR="007A6269" w:rsidRPr="00747C03">
              <w:rPr>
                <w:sz w:val="20"/>
                <w:szCs w:val="20"/>
              </w:rPr>
              <w:t xml:space="preserve"> la posibilidad de que </w:t>
            </w:r>
            <w:r w:rsidR="007A6269">
              <w:rPr>
                <w:sz w:val="20"/>
                <w:szCs w:val="20"/>
              </w:rPr>
              <w:t xml:space="preserve">el Instituto </w:t>
            </w:r>
            <w:r w:rsidR="007A6269" w:rsidRPr="00747C03">
              <w:rPr>
                <w:sz w:val="20"/>
                <w:szCs w:val="20"/>
              </w:rPr>
              <w:t>autorice el uso secundario de una banda de frecuencias del espect</w:t>
            </w:r>
            <w:r w:rsidR="007A6269">
              <w:rPr>
                <w:sz w:val="20"/>
                <w:szCs w:val="20"/>
              </w:rPr>
              <w:t>ro radioeléctrico</w:t>
            </w:r>
            <w:r w:rsidR="007A6269" w:rsidRPr="00747C03">
              <w:rPr>
                <w:sz w:val="20"/>
                <w:szCs w:val="20"/>
              </w:rPr>
              <w:t xml:space="preserve">: </w:t>
            </w:r>
          </w:p>
          <w:p w:rsidR="005B6512" w:rsidRDefault="005B6512" w:rsidP="007A6269">
            <w:pPr>
              <w:jc w:val="both"/>
              <w:rPr>
                <w:sz w:val="20"/>
                <w:szCs w:val="20"/>
              </w:rPr>
            </w:pPr>
          </w:p>
          <w:p w:rsidR="005B6512" w:rsidRPr="00985D56" w:rsidRDefault="005B6512" w:rsidP="007A6269">
            <w:pPr>
              <w:jc w:val="both"/>
              <w:rPr>
                <w:sz w:val="20"/>
                <w:szCs w:val="20"/>
              </w:rPr>
            </w:pPr>
          </w:p>
          <w:p w:rsidR="007A6269" w:rsidRPr="00725A14" w:rsidRDefault="007A6269" w:rsidP="007A6269">
            <w:pPr>
              <w:ind w:left="596" w:right="985"/>
              <w:jc w:val="both"/>
              <w:rPr>
                <w:i/>
                <w:sz w:val="18"/>
                <w:szCs w:val="20"/>
              </w:rPr>
            </w:pPr>
            <w:r w:rsidRPr="00725A14">
              <w:rPr>
                <w:sz w:val="18"/>
                <w:szCs w:val="20"/>
              </w:rPr>
              <w:t xml:space="preserve"> </w:t>
            </w:r>
            <w:r w:rsidRPr="00725A14">
              <w:rPr>
                <w:i/>
                <w:sz w:val="18"/>
                <w:szCs w:val="20"/>
              </w:rPr>
              <w:t>“Artículo 79. ( … )</w:t>
            </w:r>
          </w:p>
          <w:p w:rsidR="007A6269" w:rsidRPr="00725A14" w:rsidRDefault="007A6269" w:rsidP="007A6269">
            <w:pPr>
              <w:ind w:left="596" w:right="985"/>
              <w:jc w:val="both"/>
              <w:rPr>
                <w:i/>
                <w:sz w:val="18"/>
                <w:szCs w:val="20"/>
              </w:rPr>
            </w:pPr>
          </w:p>
          <w:p w:rsidR="007A6269" w:rsidRPr="00725A14" w:rsidRDefault="007A6269" w:rsidP="007A6269">
            <w:pPr>
              <w:ind w:left="596" w:right="985"/>
              <w:jc w:val="both"/>
              <w:rPr>
                <w:sz w:val="18"/>
                <w:szCs w:val="20"/>
              </w:rPr>
            </w:pPr>
            <w:r w:rsidRPr="00725A14">
              <w:rPr>
                <w:i/>
                <w:sz w:val="18"/>
                <w:szCs w:val="20"/>
              </w:rPr>
              <w:t xml:space="preserve">IV. Las bandas de frecuencias objeto de concesión; su modalidad de uso y zonas geográficas en que podrán ser utilizadas; y la potencia en el caso de radiodifusión. En su caso, </w:t>
            </w:r>
            <w:r w:rsidRPr="00725A14">
              <w:rPr>
                <w:b/>
                <w:i/>
                <w:sz w:val="18"/>
                <w:szCs w:val="20"/>
              </w:rPr>
              <w:t>la posibilidad de que el Instituto autorice el uso secundario de la banda de frecuencia en cuestión en términos de la presente Ley</w:t>
            </w:r>
            <w:r w:rsidRPr="00725A14">
              <w:rPr>
                <w:i/>
                <w:sz w:val="18"/>
                <w:szCs w:val="20"/>
              </w:rPr>
              <w:t>;”</w:t>
            </w:r>
            <w:r w:rsidRPr="00725A14">
              <w:rPr>
                <w:sz w:val="18"/>
                <w:szCs w:val="20"/>
              </w:rPr>
              <w:t xml:space="preserve"> </w:t>
            </w:r>
          </w:p>
          <w:p w:rsidR="007A6269" w:rsidRPr="00725A14" w:rsidRDefault="007A6269" w:rsidP="007A6269">
            <w:pPr>
              <w:ind w:left="596"/>
              <w:jc w:val="both"/>
              <w:rPr>
                <w:sz w:val="18"/>
                <w:szCs w:val="20"/>
              </w:rPr>
            </w:pPr>
          </w:p>
          <w:p w:rsidR="007A6269" w:rsidRDefault="005B6512" w:rsidP="007A6269">
            <w:pPr>
              <w:jc w:val="both"/>
              <w:rPr>
                <w:sz w:val="20"/>
                <w:szCs w:val="20"/>
              </w:rPr>
            </w:pPr>
            <w:r>
              <w:rPr>
                <w:sz w:val="20"/>
                <w:szCs w:val="20"/>
              </w:rPr>
              <w:t>Dicho dispositivo legal,</w:t>
            </w:r>
            <w:r w:rsidR="007A6269">
              <w:rPr>
                <w:sz w:val="20"/>
                <w:szCs w:val="20"/>
              </w:rPr>
              <w:t xml:space="preserve"> menciona la figura jurídica de autorización de uso secundario de las bandas de frecuencias, sin embargo, no reglamenta </w:t>
            </w:r>
            <w:r w:rsidR="00197760">
              <w:rPr>
                <w:sz w:val="20"/>
                <w:szCs w:val="20"/>
              </w:rPr>
              <w:t xml:space="preserve">su aplicación, </w:t>
            </w:r>
            <w:r w:rsidR="007A6269">
              <w:rPr>
                <w:sz w:val="20"/>
                <w:szCs w:val="20"/>
              </w:rPr>
              <w:t>los supuestos, requisitos, términos y condiciones para que el Instituto pueda otorgar éstas autorizaciones; razón por la cual</w:t>
            </w:r>
            <w:r w:rsidR="0059214D">
              <w:rPr>
                <w:sz w:val="20"/>
                <w:szCs w:val="20"/>
              </w:rPr>
              <w:t xml:space="preserve"> y</w:t>
            </w:r>
            <w:r w:rsidR="007A6269">
              <w:rPr>
                <w:sz w:val="20"/>
                <w:szCs w:val="20"/>
              </w:rPr>
              <w:t xml:space="preserve"> con fundamento en dicho artículo y las atribuciones regulatorias del Instituto, se propone la expedición de los lineamientos como una disposición administrativa de carácter general que regula dicha figura.</w:t>
            </w:r>
          </w:p>
          <w:p w:rsidR="007A6269" w:rsidRDefault="007A6269" w:rsidP="007A6269"/>
          <w:p w:rsidR="007A6269" w:rsidRDefault="007A6269" w:rsidP="007A6269">
            <w:pPr>
              <w:jc w:val="both"/>
              <w:rPr>
                <w:sz w:val="20"/>
                <w:szCs w:val="20"/>
              </w:rPr>
            </w:pPr>
            <w:r>
              <w:rPr>
                <w:sz w:val="20"/>
                <w:szCs w:val="20"/>
              </w:rPr>
              <w:t>Finalmente, por lo que hace a los dispositivos de corto alcance, al existir una imposibilidad material para que el Instituto otorgue una constancia por cada dispositivo, en los lineamientos se establece que estos puedan hacer uso secundario del espectro radioeléctrico, mediante la anotación que se realice en el certificado de homologación al momento de expedirse éste</w:t>
            </w:r>
            <w:r w:rsidR="00B346F7">
              <w:rPr>
                <w:sz w:val="20"/>
                <w:szCs w:val="20"/>
              </w:rPr>
              <w:t>,</w:t>
            </w:r>
            <w:r>
              <w:rPr>
                <w:sz w:val="20"/>
                <w:szCs w:val="20"/>
              </w:rPr>
              <w:t xml:space="preserve"> por parte del Instituto.</w:t>
            </w:r>
          </w:p>
          <w:p w:rsidR="00985D56" w:rsidRDefault="00985D56" w:rsidP="00E73ED2">
            <w:pPr>
              <w:jc w:val="both"/>
            </w:pPr>
          </w:p>
        </w:tc>
      </w:tr>
    </w:tbl>
    <w:p w:rsidR="00DE339C" w:rsidRDefault="00DE339C" w:rsidP="001932FC">
      <w:pPr>
        <w:jc w:val="both"/>
      </w:pPr>
    </w:p>
    <w:p w:rsidR="001932FC" w:rsidRDefault="001932FC" w:rsidP="00A1622C">
      <w:pPr>
        <w:shd w:val="clear" w:color="auto" w:fill="A8D08D" w:themeFill="accent6" w:themeFillTint="99"/>
        <w:jc w:val="both"/>
      </w:pPr>
      <w: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Tr="00E6080B">
        <w:tc>
          <w:tcPr>
            <w:tcW w:w="8828" w:type="dxa"/>
          </w:tcPr>
          <w:p w:rsidR="00801FED" w:rsidRPr="00CB6A39" w:rsidRDefault="00E6080B" w:rsidP="00E6080B">
            <w:pPr>
              <w:jc w:val="both"/>
              <w:rPr>
                <w:b/>
                <w:sz w:val="20"/>
              </w:rPr>
            </w:pPr>
            <w:r w:rsidRPr="00CB6A39">
              <w:rPr>
                <w:b/>
                <w:sz w:val="20"/>
              </w:rPr>
              <w:t xml:space="preserve">4.- Señale y compare las alternativas con que se podría resolver la problemática </w:t>
            </w:r>
            <w:r w:rsidR="005A40FB" w:rsidRPr="00CB6A39">
              <w:rPr>
                <w:b/>
                <w:sz w:val="20"/>
              </w:rPr>
              <w:t xml:space="preserve">detectada </w:t>
            </w:r>
            <w:r w:rsidR="00A1622C" w:rsidRPr="00CB6A39">
              <w:rPr>
                <w:b/>
                <w:sz w:val="20"/>
              </w:rPr>
              <w:t xml:space="preserve">que fueron evaluadas, incluyendo la opción de no emitir el anteproyecto de regulación. Asimismo, indique para cada </w:t>
            </w:r>
            <w:r w:rsidR="00801FED" w:rsidRPr="00CB6A39">
              <w:rPr>
                <w:b/>
                <w:sz w:val="20"/>
              </w:rPr>
              <w:t xml:space="preserve">una de las alternativas </w:t>
            </w:r>
            <w:r w:rsidR="005A40FB" w:rsidRPr="00CB6A39">
              <w:rPr>
                <w:b/>
                <w:sz w:val="20"/>
              </w:rPr>
              <w:t>que fueron consideradas</w:t>
            </w:r>
            <w:r w:rsidR="00801FED" w:rsidRPr="00CB6A39">
              <w:rPr>
                <w:b/>
                <w:sz w:val="20"/>
              </w:rPr>
              <w:t xml:space="preserve"> una estimación de los costos y beneficios que implicaría su instrumentación:</w:t>
            </w:r>
          </w:p>
          <w:p w:rsidR="00581BA6" w:rsidRDefault="00581BA6" w:rsidP="00E6080B">
            <w:pPr>
              <w:jc w:val="both"/>
              <w:rPr>
                <w:sz w:val="20"/>
              </w:rPr>
            </w:pPr>
          </w:p>
          <w:p w:rsidR="00F74335" w:rsidRPr="00F74335" w:rsidRDefault="00F74335" w:rsidP="00F74335">
            <w:pPr>
              <w:jc w:val="both"/>
              <w:rPr>
                <w:b/>
                <w:sz w:val="20"/>
              </w:rPr>
            </w:pPr>
            <w:r w:rsidRPr="00F74335">
              <w:rPr>
                <w:b/>
                <w:sz w:val="20"/>
              </w:rPr>
              <w:t>a) Alternativas que podrían resolver la problemática detectada:</w:t>
            </w:r>
          </w:p>
          <w:p w:rsidR="00DE0496" w:rsidRDefault="00DE0496" w:rsidP="00F74335">
            <w:pPr>
              <w:jc w:val="both"/>
              <w:rPr>
                <w:sz w:val="20"/>
              </w:rPr>
            </w:pPr>
          </w:p>
          <w:p w:rsidR="003673B3" w:rsidRPr="00F74335" w:rsidRDefault="00CB6A39" w:rsidP="00F74335">
            <w:pPr>
              <w:jc w:val="both"/>
              <w:rPr>
                <w:sz w:val="20"/>
              </w:rPr>
            </w:pPr>
            <w:r w:rsidRPr="00F74335">
              <w:rPr>
                <w:sz w:val="20"/>
              </w:rPr>
              <w:t xml:space="preserve">La </w:t>
            </w:r>
            <w:r w:rsidR="00FE107F" w:rsidRPr="00F74335">
              <w:rPr>
                <w:sz w:val="20"/>
              </w:rPr>
              <w:t>l</w:t>
            </w:r>
            <w:r w:rsidR="003673B3" w:rsidRPr="00F74335">
              <w:rPr>
                <w:sz w:val="20"/>
              </w:rPr>
              <w:t xml:space="preserve">icitación </w:t>
            </w:r>
            <w:r w:rsidR="00FE107F" w:rsidRPr="00F74335">
              <w:rPr>
                <w:sz w:val="20"/>
              </w:rPr>
              <w:t>p</w:t>
            </w:r>
            <w:r w:rsidR="005B565F" w:rsidRPr="00F74335">
              <w:rPr>
                <w:sz w:val="20"/>
              </w:rPr>
              <w:t>ública</w:t>
            </w:r>
            <w:r w:rsidR="00884EC6" w:rsidRPr="00F74335">
              <w:rPr>
                <w:sz w:val="20"/>
              </w:rPr>
              <w:t>,</w:t>
            </w:r>
            <w:r w:rsidR="005B565F" w:rsidRPr="00F74335">
              <w:rPr>
                <w:sz w:val="20"/>
              </w:rPr>
              <w:t xml:space="preserve"> como </w:t>
            </w:r>
            <w:r w:rsidR="00884EC6" w:rsidRPr="00F74335">
              <w:rPr>
                <w:sz w:val="20"/>
              </w:rPr>
              <w:t>única alternativa para resolver la problemática en cuestión</w:t>
            </w:r>
            <w:r w:rsidR="00452C73" w:rsidRPr="00F74335">
              <w:rPr>
                <w:sz w:val="20"/>
              </w:rPr>
              <w:t>,</w:t>
            </w:r>
            <w:r w:rsidR="00884EC6" w:rsidRPr="00F74335">
              <w:rPr>
                <w:sz w:val="20"/>
              </w:rPr>
              <w:t xml:space="preserve"> es un </w:t>
            </w:r>
            <w:r w:rsidR="005B565F" w:rsidRPr="00F74335">
              <w:rPr>
                <w:sz w:val="20"/>
              </w:rPr>
              <w:t xml:space="preserve">mecanismo para la obtención de bandas de frecuencias del espectro radioeléctrico para </w:t>
            </w:r>
            <w:r w:rsidR="003673B3" w:rsidRPr="00F74335">
              <w:rPr>
                <w:sz w:val="20"/>
              </w:rPr>
              <w:t xml:space="preserve">uso privado, pudiera ser una alternativa de solución a la problemática descrita en el documento, sin embargo, de convocarse </w:t>
            </w:r>
            <w:r w:rsidR="0001225B" w:rsidRPr="00F74335">
              <w:rPr>
                <w:sz w:val="20"/>
              </w:rPr>
              <w:t xml:space="preserve">mediante dicho procedimiento, </w:t>
            </w:r>
            <w:r w:rsidR="003673B3" w:rsidRPr="00F74335">
              <w:rPr>
                <w:sz w:val="20"/>
              </w:rPr>
              <w:t xml:space="preserve">no se tendría la seguridad de que las bandas </w:t>
            </w:r>
            <w:r w:rsidR="0001225B" w:rsidRPr="00F74335">
              <w:rPr>
                <w:sz w:val="20"/>
              </w:rPr>
              <w:t xml:space="preserve">de frecuencias licitadas, </w:t>
            </w:r>
            <w:r w:rsidR="003673B3" w:rsidRPr="00F74335">
              <w:rPr>
                <w:sz w:val="20"/>
              </w:rPr>
              <w:t xml:space="preserve">fueran </w:t>
            </w:r>
            <w:r w:rsidR="0001225B" w:rsidRPr="00F74335">
              <w:rPr>
                <w:sz w:val="20"/>
              </w:rPr>
              <w:t xml:space="preserve">técnicamente adecuadas </w:t>
            </w:r>
            <w:r w:rsidR="003673B3" w:rsidRPr="00F74335">
              <w:rPr>
                <w:sz w:val="20"/>
              </w:rPr>
              <w:t xml:space="preserve">para satisfacer las necesidades </w:t>
            </w:r>
            <w:r w:rsidR="0001225B" w:rsidRPr="00F74335">
              <w:rPr>
                <w:sz w:val="20"/>
              </w:rPr>
              <w:t xml:space="preserve">específicas </w:t>
            </w:r>
            <w:r w:rsidR="003673B3" w:rsidRPr="00F74335">
              <w:rPr>
                <w:sz w:val="20"/>
              </w:rPr>
              <w:t>de los solicitantes de eventos públicos o actividades productivas.</w:t>
            </w:r>
          </w:p>
          <w:p w:rsidR="00EB1AEA" w:rsidRDefault="00EB1AEA" w:rsidP="00E6080B">
            <w:pPr>
              <w:jc w:val="both"/>
              <w:rPr>
                <w:sz w:val="20"/>
              </w:rPr>
            </w:pPr>
          </w:p>
          <w:p w:rsidR="00B7343E" w:rsidRDefault="002459ED" w:rsidP="00E6080B">
            <w:pPr>
              <w:jc w:val="both"/>
              <w:rPr>
                <w:sz w:val="20"/>
              </w:rPr>
            </w:pPr>
            <w:r>
              <w:rPr>
                <w:sz w:val="20"/>
              </w:rPr>
              <w:t>Aunado a lo anterior</w:t>
            </w:r>
            <w:r w:rsidR="00561740">
              <w:rPr>
                <w:sz w:val="20"/>
              </w:rPr>
              <w:t>, l</w:t>
            </w:r>
            <w:r w:rsidR="00561740" w:rsidRPr="00561740">
              <w:rPr>
                <w:sz w:val="20"/>
              </w:rPr>
              <w:t xml:space="preserve">a </w:t>
            </w:r>
            <w:r w:rsidR="00561740">
              <w:rPr>
                <w:sz w:val="20"/>
              </w:rPr>
              <w:t>LFTR</w:t>
            </w:r>
            <w:r w:rsidR="00561740" w:rsidRPr="00561740">
              <w:rPr>
                <w:sz w:val="20"/>
              </w:rPr>
              <w:t xml:space="preserve"> ex</w:t>
            </w:r>
            <w:r w:rsidR="00E10C92">
              <w:rPr>
                <w:sz w:val="20"/>
              </w:rPr>
              <w:t xml:space="preserve">ige </w:t>
            </w:r>
            <w:r w:rsidR="00561740" w:rsidRPr="00561740">
              <w:rPr>
                <w:sz w:val="20"/>
              </w:rPr>
              <w:t xml:space="preserve">para </w:t>
            </w:r>
            <w:r>
              <w:rPr>
                <w:sz w:val="20"/>
              </w:rPr>
              <w:t>el</w:t>
            </w:r>
            <w:r w:rsidR="00561740" w:rsidRPr="00561740">
              <w:rPr>
                <w:sz w:val="20"/>
              </w:rPr>
              <w:t xml:space="preserve"> </w:t>
            </w:r>
            <w:r w:rsidR="00E10C92">
              <w:rPr>
                <w:sz w:val="20"/>
              </w:rPr>
              <w:t xml:space="preserve">otorgamiento </w:t>
            </w:r>
            <w:r>
              <w:rPr>
                <w:sz w:val="20"/>
              </w:rPr>
              <w:t>de bandas de frecuencias del espectro radioeléctrico</w:t>
            </w:r>
            <w:r w:rsidR="00E10C92">
              <w:rPr>
                <w:sz w:val="20"/>
              </w:rPr>
              <w:t xml:space="preserve"> vía licitación pública, </w:t>
            </w:r>
            <w:r w:rsidR="00561740" w:rsidRPr="00561740">
              <w:rPr>
                <w:sz w:val="20"/>
              </w:rPr>
              <w:t>se observen entre otros, los criterios establecidos en los artículos 6o., 7o., 28 y 134 de la Constitución, los cuales disponen que: i) las telecomunicaciones como servicio público de interés general sean prestados en condiciones de competencia, calidad, pluralidad, cobertura universal, interconexión, convergencia, continuidad, acceso libre y sin injerencias arbitrarias; ii) la libertad de difundir opiniones, información e ideas, a través de cualquier medio, incluidos los que se emiten en frecuencias radioeléctricas; iii) en su concesionamiento se asegure la máxima concurrencia previniendo fenómenos de concentración que contraríen el interés público y asegurando el menor precio de los servicios al usuario final, y iv) que las adquisiciones, arrendamientos y enajenaciones de todo tipo de bienes, prestación de servicios de cualquier naturaleza, se adjudicarán a través de licitaciones públicas para que libremente se presenten proposiciones solventes, a fin de asegurar al Estado las mejores condiciones disponibles en cuanto a precio, calidad, financiamiento, oportunidad y demás circunstancias pertinentes, respectivamente.</w:t>
            </w:r>
          </w:p>
          <w:p w:rsidR="00B7343E" w:rsidRDefault="00B7343E" w:rsidP="00E6080B">
            <w:pPr>
              <w:jc w:val="both"/>
              <w:rPr>
                <w:sz w:val="20"/>
              </w:rPr>
            </w:pPr>
          </w:p>
          <w:p w:rsidR="00B403F6" w:rsidRPr="00B403F6" w:rsidRDefault="006D7008" w:rsidP="00B403F6">
            <w:pPr>
              <w:jc w:val="both"/>
              <w:rPr>
                <w:sz w:val="20"/>
              </w:rPr>
            </w:pPr>
            <w:r>
              <w:rPr>
                <w:sz w:val="20"/>
              </w:rPr>
              <w:t xml:space="preserve">Ahora bien, </w:t>
            </w:r>
            <w:r w:rsidR="00672975">
              <w:rPr>
                <w:sz w:val="20"/>
              </w:rPr>
              <w:t xml:space="preserve">de igual manera </w:t>
            </w:r>
            <w:r>
              <w:rPr>
                <w:sz w:val="20"/>
              </w:rPr>
              <w:t>e</w:t>
            </w:r>
            <w:r w:rsidR="00B403F6" w:rsidRPr="00B403F6">
              <w:rPr>
                <w:sz w:val="20"/>
              </w:rPr>
              <w:t xml:space="preserve">s importante considerar </w:t>
            </w:r>
            <w:r w:rsidR="00694F48">
              <w:rPr>
                <w:sz w:val="20"/>
              </w:rPr>
              <w:t xml:space="preserve">que </w:t>
            </w:r>
            <w:r w:rsidR="00B403F6" w:rsidRPr="00B403F6">
              <w:rPr>
                <w:sz w:val="20"/>
              </w:rPr>
              <w:t>en la asignación de bandas de frecuencias d</w:t>
            </w:r>
            <w:r w:rsidR="00426952">
              <w:rPr>
                <w:sz w:val="20"/>
              </w:rPr>
              <w:t xml:space="preserve">el espectro radioeléctrico, </w:t>
            </w:r>
            <w:r w:rsidR="00B403F6" w:rsidRPr="00B403F6">
              <w:rPr>
                <w:sz w:val="20"/>
              </w:rPr>
              <w:t xml:space="preserve">los plazos de las licitaciones resultan ser muy largos, </w:t>
            </w:r>
            <w:r w:rsidR="00E753DE">
              <w:rPr>
                <w:sz w:val="20"/>
              </w:rPr>
              <w:t xml:space="preserve">pues </w:t>
            </w:r>
            <w:r w:rsidR="00B403F6" w:rsidRPr="00B403F6">
              <w:rPr>
                <w:sz w:val="20"/>
              </w:rPr>
              <w:t>se debe considerar la programación y administración de las bandas de frecuencias del espectro radioeléctrico para su correspondiente incorporación y publicación en el programa anual de bandas de frecuencias; la elaboración de la convocatoria y las bases de licitación; la publicación en la página de Internet del Instituto, así como en el D</w:t>
            </w:r>
            <w:r w:rsidR="00B403F6">
              <w:rPr>
                <w:sz w:val="20"/>
              </w:rPr>
              <w:t xml:space="preserve">iario </w:t>
            </w:r>
            <w:r w:rsidR="00B403F6" w:rsidRPr="00B403F6">
              <w:rPr>
                <w:sz w:val="20"/>
              </w:rPr>
              <w:t>O</w:t>
            </w:r>
            <w:r w:rsidR="00B403F6">
              <w:rPr>
                <w:sz w:val="20"/>
              </w:rPr>
              <w:t xml:space="preserve">ficial de la </w:t>
            </w:r>
            <w:r w:rsidR="00B403F6" w:rsidRPr="00B403F6">
              <w:rPr>
                <w:sz w:val="20"/>
              </w:rPr>
              <w:t>F</w:t>
            </w:r>
            <w:r w:rsidR="00B403F6">
              <w:rPr>
                <w:sz w:val="20"/>
              </w:rPr>
              <w:t>ederación</w:t>
            </w:r>
            <w:r w:rsidR="00B403F6" w:rsidRPr="00B403F6">
              <w:rPr>
                <w:sz w:val="20"/>
              </w:rPr>
              <w:t>, el proceso de presentación de ofertas, el análisis de la documentación, el fallo, y el otorgamiento del título de concesión.</w:t>
            </w:r>
          </w:p>
          <w:p w:rsidR="00B403F6" w:rsidRPr="00B403F6" w:rsidRDefault="00B403F6" w:rsidP="00B403F6">
            <w:pPr>
              <w:jc w:val="both"/>
              <w:rPr>
                <w:sz w:val="20"/>
              </w:rPr>
            </w:pPr>
          </w:p>
          <w:p w:rsidR="00B403F6" w:rsidRPr="00B403F6" w:rsidRDefault="00B403F6" w:rsidP="00EF1141">
            <w:pPr>
              <w:jc w:val="both"/>
              <w:rPr>
                <w:sz w:val="20"/>
              </w:rPr>
            </w:pPr>
            <w:r w:rsidRPr="00B403F6">
              <w:rPr>
                <w:sz w:val="20"/>
              </w:rPr>
              <w:t>En este sentido, la figura de licitación pública resulta impráctica y poco conveniente para atender las solicitudes específicas de uso y aprovechamiento de bandas de frecuencias del espectro radioeléctrico, para las actividades</w:t>
            </w:r>
            <w:r>
              <w:rPr>
                <w:sz w:val="20"/>
              </w:rPr>
              <w:t xml:space="preserve"> objeto de los presentes </w:t>
            </w:r>
            <w:r w:rsidR="004B5636">
              <w:rPr>
                <w:sz w:val="20"/>
              </w:rPr>
              <w:t>l</w:t>
            </w:r>
            <w:r>
              <w:rPr>
                <w:sz w:val="20"/>
              </w:rPr>
              <w:t>ineamientos</w:t>
            </w:r>
            <w:r w:rsidRPr="00B403F6">
              <w:rPr>
                <w:sz w:val="20"/>
              </w:rPr>
              <w:t>, en virtud de que no otorga certeza para su asignación a los requirentes que solicitan el uso específico de dichas bandas, precisamente por la libertad de concurrencia que existe en el procedimiento de licitación, ya que de no resultar ganadores los solicitantes, se generaría un intermediario para el propio solicitante.</w:t>
            </w:r>
          </w:p>
          <w:p w:rsidR="00B403F6" w:rsidRPr="00B403F6" w:rsidRDefault="00B403F6" w:rsidP="00B403F6">
            <w:pPr>
              <w:jc w:val="both"/>
              <w:rPr>
                <w:sz w:val="20"/>
              </w:rPr>
            </w:pPr>
          </w:p>
          <w:p w:rsidR="003673B3" w:rsidRDefault="00B403F6" w:rsidP="00B403F6">
            <w:pPr>
              <w:jc w:val="both"/>
              <w:rPr>
                <w:sz w:val="20"/>
              </w:rPr>
            </w:pPr>
            <w:r w:rsidRPr="00B403F6">
              <w:rPr>
                <w:sz w:val="20"/>
              </w:rPr>
              <w:t>Además d</w:t>
            </w:r>
            <w:r w:rsidR="00B6025B">
              <w:rPr>
                <w:sz w:val="20"/>
              </w:rPr>
              <w:t xml:space="preserve">e lo ya señalado, </w:t>
            </w:r>
            <w:r w:rsidRPr="00B403F6">
              <w:rPr>
                <w:sz w:val="20"/>
              </w:rPr>
              <w:t>el procedimiento de licitación otorga el uso y aprovechamiento de bandas de frecuencias por</w:t>
            </w:r>
            <w:r w:rsidR="00B6025B">
              <w:rPr>
                <w:sz w:val="20"/>
              </w:rPr>
              <w:t xml:space="preserve"> regiones o zonas de cobertura </w:t>
            </w:r>
            <w:r w:rsidRPr="00B403F6">
              <w:rPr>
                <w:sz w:val="20"/>
              </w:rPr>
              <w:t>e incluso se establecen compromisos de cobertura para los ganadores, lo que no acontece en los casos que nos ocupan, toda vez que el uso de dicho bien del dominio</w:t>
            </w:r>
            <w:r w:rsidR="00B6025B">
              <w:rPr>
                <w:sz w:val="20"/>
              </w:rPr>
              <w:t xml:space="preserve"> público, </w:t>
            </w:r>
            <w:r w:rsidR="00694F48">
              <w:rPr>
                <w:sz w:val="20"/>
              </w:rPr>
              <w:t xml:space="preserve">se realiza </w:t>
            </w:r>
            <w:r w:rsidRPr="00B403F6">
              <w:rPr>
                <w:sz w:val="20"/>
              </w:rPr>
              <w:t>en áreas geográficas determinadas, específicas y delimitadas, como puede ser un autódromo, un estadio, una planta industrial, etcétera.</w:t>
            </w:r>
          </w:p>
          <w:p w:rsidR="00B403F6" w:rsidRPr="00B403F6" w:rsidRDefault="00B403F6" w:rsidP="00B403F6">
            <w:pPr>
              <w:jc w:val="both"/>
              <w:rPr>
                <w:sz w:val="20"/>
                <w:lang w:val="es-ES"/>
              </w:rPr>
            </w:pPr>
          </w:p>
          <w:p w:rsidR="003673B3" w:rsidRDefault="004B5636" w:rsidP="00E6080B">
            <w:pPr>
              <w:jc w:val="both"/>
              <w:rPr>
                <w:sz w:val="20"/>
              </w:rPr>
            </w:pPr>
            <w:r>
              <w:rPr>
                <w:sz w:val="20"/>
              </w:rPr>
              <w:t>Por otra parte, e</w:t>
            </w:r>
            <w:r w:rsidR="003673B3">
              <w:rPr>
                <w:sz w:val="20"/>
              </w:rPr>
              <w:t>n caso de no emitirse los lineamientos</w:t>
            </w:r>
            <w:r w:rsidR="0072412C">
              <w:rPr>
                <w:sz w:val="20"/>
              </w:rPr>
              <w:t>,</w:t>
            </w:r>
            <w:r w:rsidR="003673B3">
              <w:rPr>
                <w:sz w:val="20"/>
              </w:rPr>
              <w:t xml:space="preserve"> la asignación de espectro por parte del Instituto para eventos </w:t>
            </w:r>
            <w:r w:rsidR="006D7008">
              <w:rPr>
                <w:sz w:val="20"/>
              </w:rPr>
              <w:t>específicos</w:t>
            </w:r>
            <w:r w:rsidR="008B478C">
              <w:rPr>
                <w:sz w:val="20"/>
              </w:rPr>
              <w:t>,</w:t>
            </w:r>
            <w:r w:rsidR="003673B3">
              <w:rPr>
                <w:sz w:val="20"/>
              </w:rPr>
              <w:t xml:space="preserve"> tendría que seguirse resolviendo mediante el otorgamiento de una concesión para uso social, figura que evidentemente no </w:t>
            </w:r>
            <w:r w:rsidR="008B478C">
              <w:rPr>
                <w:sz w:val="20"/>
              </w:rPr>
              <w:t>fue creada para esos efectos, pues las bandas de frecuencias satisfacen necesidades específicas de telecomunicaciones</w:t>
            </w:r>
            <w:r w:rsidR="001F7E43">
              <w:rPr>
                <w:sz w:val="20"/>
              </w:rPr>
              <w:t xml:space="preserve"> para el desarrollo y operación de dichos eventos, y no para la prestación de servicios públicos de interés general, además de que esta figura de concesión de uso social, no podría ser utilizada p</w:t>
            </w:r>
            <w:r w:rsidR="000D3FCE">
              <w:rPr>
                <w:sz w:val="20"/>
              </w:rPr>
              <w:t>ara la asignación de espectro en</w:t>
            </w:r>
            <w:r w:rsidR="001F7E43">
              <w:rPr>
                <w:sz w:val="20"/>
              </w:rPr>
              <w:t xml:space="preserve"> actividades productivas, por no encuadrar en la definición prevista en la fracción IV del artículo 76 de la LFTR.</w:t>
            </w:r>
          </w:p>
          <w:p w:rsidR="003961CC" w:rsidRDefault="003961CC" w:rsidP="00E6080B">
            <w:pPr>
              <w:jc w:val="both"/>
              <w:rPr>
                <w:sz w:val="20"/>
              </w:rPr>
            </w:pPr>
          </w:p>
          <w:p w:rsidR="003961CC" w:rsidRPr="00DB31C4" w:rsidRDefault="00DE0496" w:rsidP="00E6080B">
            <w:pPr>
              <w:jc w:val="both"/>
              <w:rPr>
                <w:b/>
                <w:sz w:val="20"/>
              </w:rPr>
            </w:pPr>
            <w:r w:rsidRPr="00DB31C4">
              <w:rPr>
                <w:b/>
                <w:sz w:val="20"/>
              </w:rPr>
              <w:t>b) Opción de no emitir el anteproyecto de regulación</w:t>
            </w:r>
            <w:r w:rsidR="00190D2B" w:rsidRPr="00DB31C4">
              <w:rPr>
                <w:b/>
                <w:sz w:val="20"/>
              </w:rPr>
              <w:t>:</w:t>
            </w:r>
          </w:p>
          <w:p w:rsidR="003961CC" w:rsidRDefault="003961CC" w:rsidP="00E6080B">
            <w:pPr>
              <w:jc w:val="both"/>
              <w:rPr>
                <w:sz w:val="20"/>
              </w:rPr>
            </w:pPr>
          </w:p>
          <w:p w:rsidR="002D7CF5" w:rsidRDefault="00A1694B" w:rsidP="00E6080B">
            <w:pPr>
              <w:jc w:val="both"/>
              <w:rPr>
                <w:sz w:val="20"/>
              </w:rPr>
            </w:pPr>
            <w:r>
              <w:rPr>
                <w:sz w:val="20"/>
              </w:rPr>
              <w:t>De no emitirse los Lineamientos</w:t>
            </w:r>
            <w:r w:rsidR="003961CC" w:rsidRPr="003961CC">
              <w:rPr>
                <w:sz w:val="20"/>
              </w:rPr>
              <w:t>,</w:t>
            </w:r>
            <w:r w:rsidR="00F635C3">
              <w:rPr>
                <w:sz w:val="20"/>
              </w:rPr>
              <w:t xml:space="preserve"> el espectro</w:t>
            </w:r>
            <w:r w:rsidR="00DA73A8">
              <w:rPr>
                <w:sz w:val="20"/>
              </w:rPr>
              <w:t xml:space="preserve"> radioeléctrico tendría que asignarse</w:t>
            </w:r>
            <w:r w:rsidR="001A7CE5">
              <w:rPr>
                <w:sz w:val="20"/>
              </w:rPr>
              <w:t xml:space="preserve"> vía</w:t>
            </w:r>
            <w:r w:rsidR="003961CC" w:rsidRPr="003961CC">
              <w:rPr>
                <w:sz w:val="20"/>
              </w:rPr>
              <w:t xml:space="preserve"> licitación pública</w:t>
            </w:r>
            <w:r w:rsidR="00802F64">
              <w:rPr>
                <w:sz w:val="20"/>
              </w:rPr>
              <w:t>, la cual</w:t>
            </w:r>
            <w:r w:rsidR="003961CC" w:rsidRPr="003961CC">
              <w:rPr>
                <w:sz w:val="20"/>
              </w:rPr>
              <w:t xml:space="preserve"> resulta poco práctica como mecanismo de asignación para </w:t>
            </w:r>
            <w:r w:rsidR="008B482C">
              <w:rPr>
                <w:sz w:val="20"/>
              </w:rPr>
              <w:t>los</w:t>
            </w:r>
            <w:r w:rsidR="003961CC" w:rsidRPr="003961CC">
              <w:rPr>
                <w:sz w:val="20"/>
              </w:rPr>
              <w:t xml:space="preserve"> eventos</w:t>
            </w:r>
            <w:r w:rsidR="000B0B1B">
              <w:rPr>
                <w:sz w:val="20"/>
              </w:rPr>
              <w:t xml:space="preserve"> específicos o</w:t>
            </w:r>
            <w:r w:rsidR="003961CC" w:rsidRPr="003961CC">
              <w:rPr>
                <w:sz w:val="20"/>
              </w:rPr>
              <w:t xml:space="preserve"> actividades </w:t>
            </w:r>
            <w:r w:rsidR="000B0B1B">
              <w:rPr>
                <w:sz w:val="20"/>
              </w:rPr>
              <w:t>comerciales o industriales</w:t>
            </w:r>
            <w:r w:rsidR="003961CC" w:rsidRPr="003961CC">
              <w:rPr>
                <w:sz w:val="20"/>
              </w:rPr>
              <w:t xml:space="preserve">, </w:t>
            </w:r>
            <w:r w:rsidR="002D7CF5">
              <w:rPr>
                <w:sz w:val="20"/>
              </w:rPr>
              <w:t xml:space="preserve">ya que </w:t>
            </w:r>
            <w:r w:rsidR="002D7CF5" w:rsidRPr="002D7CF5">
              <w:rPr>
                <w:sz w:val="20"/>
              </w:rPr>
              <w:t>puede implicar plazos extensos, además de no otorgar certidumbre a los solicitantes respecto a la asignación del espectro radioeléctrico y generar compromisos de cobertura para los ganadores, utilizar este mecanismo podría imposibilitar el uso oportuno y eficiente del espectro radioeléctrico por no atender las necesidades requeridas.</w:t>
            </w:r>
          </w:p>
          <w:p w:rsidR="00E6080B" w:rsidRDefault="00E6080B" w:rsidP="001F7E43">
            <w:pPr>
              <w:jc w:val="both"/>
            </w:pPr>
          </w:p>
        </w:tc>
      </w:tr>
    </w:tbl>
    <w:p w:rsidR="00921FCD" w:rsidRDefault="00921FCD" w:rsidP="001932FC">
      <w:pPr>
        <w:jc w:val="both"/>
      </w:pPr>
    </w:p>
    <w:tbl>
      <w:tblPr>
        <w:tblStyle w:val="Tablaconcuadrcula"/>
        <w:tblW w:w="0" w:type="auto"/>
        <w:tblLook w:val="04A0" w:firstRow="1" w:lastRow="0" w:firstColumn="1" w:lastColumn="0" w:noHBand="0" w:noVBand="1"/>
      </w:tblPr>
      <w:tblGrid>
        <w:gridCol w:w="8828"/>
      </w:tblGrid>
      <w:tr w:rsidR="00801FED" w:rsidTr="00801FED">
        <w:tc>
          <w:tcPr>
            <w:tcW w:w="8828" w:type="dxa"/>
          </w:tcPr>
          <w:p w:rsidR="00801FED" w:rsidRPr="00CB6A39" w:rsidRDefault="00801FED" w:rsidP="001932FC">
            <w:pPr>
              <w:jc w:val="both"/>
              <w:rPr>
                <w:b/>
                <w:sz w:val="20"/>
              </w:rPr>
            </w:pPr>
            <w:r w:rsidRPr="00CB6A39">
              <w:rPr>
                <w:b/>
                <w:sz w:val="20"/>
              </w:rPr>
              <w:t xml:space="preserve">5.- Justifique las razones por las que </w:t>
            </w:r>
            <w:r w:rsidR="005A40FB" w:rsidRPr="00CB6A39">
              <w:rPr>
                <w:b/>
                <w:sz w:val="20"/>
              </w:rPr>
              <w:t>el anteproyecto de regulación propuesto es considerado</w:t>
            </w:r>
            <w:r w:rsidRPr="00CB6A39">
              <w:rPr>
                <w:b/>
                <w:sz w:val="20"/>
              </w:rPr>
              <w:t xml:space="preserve"> la mejor opción para atender la problemática detectada:</w:t>
            </w:r>
          </w:p>
          <w:p w:rsidR="00117AE8" w:rsidRDefault="00117AE8" w:rsidP="001932FC">
            <w:pPr>
              <w:jc w:val="both"/>
              <w:rPr>
                <w:sz w:val="20"/>
              </w:rPr>
            </w:pPr>
          </w:p>
          <w:p w:rsidR="0053271E" w:rsidRDefault="001F7E43" w:rsidP="0053271E">
            <w:pPr>
              <w:jc w:val="both"/>
              <w:rPr>
                <w:sz w:val="20"/>
              </w:rPr>
            </w:pPr>
            <w:r>
              <w:rPr>
                <w:sz w:val="20"/>
              </w:rPr>
              <w:t xml:space="preserve">1.- Porque el uso secundario de bandas de frecuencias se encuentra previsto en la </w:t>
            </w:r>
            <w:r w:rsidR="005169C3">
              <w:rPr>
                <w:sz w:val="20"/>
              </w:rPr>
              <w:t xml:space="preserve">fracción IV del artículo 79 de la </w:t>
            </w:r>
            <w:r>
              <w:rPr>
                <w:sz w:val="20"/>
              </w:rPr>
              <w:t>LFTR,</w:t>
            </w:r>
            <w:r w:rsidR="00FC42B5">
              <w:rPr>
                <w:sz w:val="20"/>
              </w:rPr>
              <w:t xml:space="preserve"> bajo la figura de autorización;</w:t>
            </w:r>
            <w:r w:rsidR="0053271E">
              <w:rPr>
                <w:sz w:val="20"/>
              </w:rPr>
              <w:t xml:space="preserve"> y el Instituto </w:t>
            </w:r>
            <w:r w:rsidR="0053271E" w:rsidRPr="00D4411A">
              <w:rPr>
                <w:sz w:val="20"/>
              </w:rPr>
              <w:t>tiene la facultad propia de emitir las disposiciones administrativas de carácter general para el cumplimiento de su función regulatoria en el sector de su competencia</w:t>
            </w:r>
            <w:r w:rsidR="0053271E">
              <w:rPr>
                <w:sz w:val="20"/>
              </w:rPr>
              <w:t xml:space="preserve"> reconocida por la </w:t>
            </w:r>
            <w:r w:rsidR="0053271E" w:rsidRPr="00B3644A">
              <w:rPr>
                <w:sz w:val="20"/>
              </w:rPr>
              <w:t>S</w:t>
            </w:r>
            <w:r w:rsidR="0053271E">
              <w:rPr>
                <w:sz w:val="20"/>
              </w:rPr>
              <w:t xml:space="preserve">uprema </w:t>
            </w:r>
            <w:r w:rsidR="0053271E" w:rsidRPr="00B3644A">
              <w:rPr>
                <w:sz w:val="20"/>
              </w:rPr>
              <w:t>C</w:t>
            </w:r>
            <w:r w:rsidR="0053271E">
              <w:rPr>
                <w:sz w:val="20"/>
              </w:rPr>
              <w:t xml:space="preserve">orte de </w:t>
            </w:r>
            <w:r w:rsidR="0053271E" w:rsidRPr="00B3644A">
              <w:rPr>
                <w:sz w:val="20"/>
              </w:rPr>
              <w:t>J</w:t>
            </w:r>
            <w:r w:rsidR="0053271E">
              <w:rPr>
                <w:sz w:val="20"/>
              </w:rPr>
              <w:t xml:space="preserve">usticia de la </w:t>
            </w:r>
            <w:r w:rsidR="0053271E" w:rsidRPr="00B3644A">
              <w:rPr>
                <w:sz w:val="20"/>
              </w:rPr>
              <w:t>N</w:t>
            </w:r>
            <w:r w:rsidR="0053271E">
              <w:rPr>
                <w:sz w:val="20"/>
              </w:rPr>
              <w:t>ación;</w:t>
            </w:r>
          </w:p>
          <w:p w:rsidR="001F7E43" w:rsidRDefault="001F7E43" w:rsidP="001932FC">
            <w:pPr>
              <w:jc w:val="both"/>
              <w:rPr>
                <w:sz w:val="20"/>
              </w:rPr>
            </w:pPr>
          </w:p>
          <w:p w:rsidR="0058178A" w:rsidRDefault="0058178A" w:rsidP="00B3644A">
            <w:pPr>
              <w:jc w:val="both"/>
              <w:rPr>
                <w:sz w:val="20"/>
              </w:rPr>
            </w:pPr>
            <w:r>
              <w:rPr>
                <w:sz w:val="20"/>
              </w:rPr>
              <w:t>2.- Porque mediante la autorización se puede establecer una vigencia que se ajuste a las necesidades de</w:t>
            </w:r>
            <w:r w:rsidR="007A5947">
              <w:rPr>
                <w:sz w:val="20"/>
              </w:rPr>
              <w:t xml:space="preserve"> </w:t>
            </w:r>
            <w:r>
              <w:rPr>
                <w:sz w:val="20"/>
              </w:rPr>
              <w:t>l</w:t>
            </w:r>
            <w:r w:rsidR="007A5947">
              <w:rPr>
                <w:sz w:val="20"/>
              </w:rPr>
              <w:t>os</w:t>
            </w:r>
            <w:r>
              <w:rPr>
                <w:sz w:val="20"/>
              </w:rPr>
              <w:t xml:space="preserve"> solicitante</w:t>
            </w:r>
            <w:r w:rsidR="007A5947">
              <w:rPr>
                <w:sz w:val="20"/>
              </w:rPr>
              <w:t>s</w:t>
            </w:r>
            <w:r w:rsidR="00FC42B5">
              <w:rPr>
                <w:sz w:val="20"/>
              </w:rPr>
              <w:t xml:space="preserve"> del uso del espectro;</w:t>
            </w:r>
          </w:p>
          <w:p w:rsidR="0058178A" w:rsidRDefault="0058178A" w:rsidP="00B3644A">
            <w:pPr>
              <w:jc w:val="both"/>
              <w:rPr>
                <w:sz w:val="20"/>
              </w:rPr>
            </w:pPr>
          </w:p>
          <w:p w:rsidR="0058178A" w:rsidRDefault="0058178A" w:rsidP="00B3644A">
            <w:pPr>
              <w:jc w:val="both"/>
              <w:rPr>
                <w:sz w:val="20"/>
              </w:rPr>
            </w:pPr>
            <w:r>
              <w:rPr>
                <w:sz w:val="20"/>
              </w:rPr>
              <w:t xml:space="preserve">3.- Porque mediante la autorización </w:t>
            </w:r>
            <w:r w:rsidR="00694F48">
              <w:rPr>
                <w:sz w:val="20"/>
              </w:rPr>
              <w:t>no es necesario otorgar</w:t>
            </w:r>
            <w:r w:rsidR="00E12628">
              <w:rPr>
                <w:sz w:val="20"/>
              </w:rPr>
              <w:t xml:space="preserve"> una cobertura </w:t>
            </w:r>
            <w:r w:rsidR="00694F48">
              <w:rPr>
                <w:sz w:val="20"/>
              </w:rPr>
              <w:t>geográfica por localidad o</w:t>
            </w:r>
            <w:r w:rsidR="00E12628">
              <w:rPr>
                <w:sz w:val="20"/>
              </w:rPr>
              <w:t xml:space="preserve"> región</w:t>
            </w:r>
            <w:r w:rsidR="00694F48">
              <w:rPr>
                <w:sz w:val="20"/>
              </w:rPr>
              <w:t>, debido a que el uso del</w:t>
            </w:r>
            <w:r w:rsidR="0053271E">
              <w:rPr>
                <w:sz w:val="20"/>
              </w:rPr>
              <w:t xml:space="preserve"> espectro se realiza en áreas geográficas determinadas, específicas y delimitadas de una extensión sensiblemente menor</w:t>
            </w:r>
            <w:r w:rsidR="00FC42B5">
              <w:rPr>
                <w:sz w:val="20"/>
              </w:rPr>
              <w:t>;</w:t>
            </w:r>
          </w:p>
          <w:p w:rsidR="0058178A" w:rsidRDefault="0058178A" w:rsidP="00B3644A">
            <w:pPr>
              <w:jc w:val="both"/>
              <w:rPr>
                <w:sz w:val="20"/>
              </w:rPr>
            </w:pPr>
          </w:p>
          <w:p w:rsidR="0058178A" w:rsidRDefault="0058178A" w:rsidP="00B3644A">
            <w:pPr>
              <w:jc w:val="both"/>
              <w:rPr>
                <w:sz w:val="20"/>
              </w:rPr>
            </w:pPr>
            <w:r>
              <w:rPr>
                <w:sz w:val="20"/>
              </w:rPr>
              <w:t>4.-Porque la figura de autorización permite el pago de una contraprestación por el uso del espectro, mientras que la concesión de uso social e</w:t>
            </w:r>
            <w:r w:rsidR="00FC42B5">
              <w:rPr>
                <w:sz w:val="20"/>
              </w:rPr>
              <w:t>xpresamente está exenta de pago;</w:t>
            </w:r>
          </w:p>
          <w:p w:rsidR="0058178A" w:rsidRDefault="0058178A" w:rsidP="00B3644A">
            <w:pPr>
              <w:jc w:val="both"/>
              <w:rPr>
                <w:sz w:val="20"/>
              </w:rPr>
            </w:pPr>
            <w:r>
              <w:rPr>
                <w:sz w:val="20"/>
              </w:rPr>
              <w:t xml:space="preserve">  </w:t>
            </w:r>
          </w:p>
          <w:p w:rsidR="0018078E" w:rsidRPr="00B3644A" w:rsidRDefault="0058178A" w:rsidP="00B3644A">
            <w:pPr>
              <w:jc w:val="both"/>
              <w:rPr>
                <w:sz w:val="20"/>
              </w:rPr>
            </w:pPr>
            <w:r>
              <w:rPr>
                <w:sz w:val="20"/>
              </w:rPr>
              <w:t>5</w:t>
            </w:r>
            <w:r w:rsidR="00E91742">
              <w:rPr>
                <w:sz w:val="20"/>
              </w:rPr>
              <w:t xml:space="preserve">.- </w:t>
            </w:r>
            <w:r w:rsidR="007F0F4B">
              <w:rPr>
                <w:sz w:val="20"/>
              </w:rPr>
              <w:t xml:space="preserve">Porque </w:t>
            </w:r>
            <w:r w:rsidR="00D9478A">
              <w:rPr>
                <w:sz w:val="20"/>
              </w:rPr>
              <w:t>es posible realizar su</w:t>
            </w:r>
            <w:r>
              <w:rPr>
                <w:sz w:val="20"/>
              </w:rPr>
              <w:t xml:space="preserve"> otorgamiento</w:t>
            </w:r>
            <w:r w:rsidR="00D9478A">
              <w:rPr>
                <w:sz w:val="20"/>
              </w:rPr>
              <w:t xml:space="preserve"> de forma expedita</w:t>
            </w:r>
            <w:r w:rsidR="00FC42B5">
              <w:rPr>
                <w:sz w:val="20"/>
              </w:rPr>
              <w:t>;</w:t>
            </w:r>
          </w:p>
          <w:p w:rsidR="00801FED" w:rsidRDefault="00801FED" w:rsidP="001932FC">
            <w:pPr>
              <w:jc w:val="both"/>
            </w:pPr>
          </w:p>
        </w:tc>
      </w:tr>
    </w:tbl>
    <w:p w:rsidR="00801FED" w:rsidRDefault="00801FED" w:rsidP="001932FC">
      <w:pPr>
        <w:jc w:val="both"/>
      </w:pPr>
    </w:p>
    <w:tbl>
      <w:tblPr>
        <w:tblStyle w:val="Tablaconcuadrcula"/>
        <w:tblW w:w="0" w:type="auto"/>
        <w:tblLook w:val="04A0" w:firstRow="1" w:lastRow="0" w:firstColumn="1" w:lastColumn="0" w:noHBand="0" w:noVBand="1"/>
      </w:tblPr>
      <w:tblGrid>
        <w:gridCol w:w="8828"/>
      </w:tblGrid>
      <w:tr w:rsidR="006D7A08" w:rsidTr="006D7A08">
        <w:tc>
          <w:tcPr>
            <w:tcW w:w="8828" w:type="dxa"/>
          </w:tcPr>
          <w:p w:rsidR="006D7A08" w:rsidRPr="00681C51" w:rsidRDefault="006D7A08" w:rsidP="001932FC">
            <w:pPr>
              <w:jc w:val="both"/>
              <w:rPr>
                <w:b/>
                <w:sz w:val="20"/>
              </w:rPr>
            </w:pPr>
            <w:r w:rsidRPr="00681C51">
              <w:rPr>
                <w:b/>
                <w:sz w:val="20"/>
              </w:rPr>
              <w:t>6.- Describa la forma en que la problemática se encuentra regulada en otros países y/o las buenas prácticas internacionales en esa materia:</w:t>
            </w:r>
          </w:p>
          <w:p w:rsidR="00941E27" w:rsidRDefault="00941E27" w:rsidP="001932FC">
            <w:pPr>
              <w:jc w:val="both"/>
              <w:rPr>
                <w:sz w:val="20"/>
              </w:rPr>
            </w:pPr>
          </w:p>
          <w:p w:rsidR="00941E27" w:rsidRPr="00941E27" w:rsidRDefault="00DA703F" w:rsidP="00941E27">
            <w:pPr>
              <w:jc w:val="both"/>
              <w:rPr>
                <w:sz w:val="20"/>
              </w:rPr>
            </w:pPr>
            <w:r>
              <w:rPr>
                <w:sz w:val="20"/>
              </w:rPr>
              <w:t>A</w:t>
            </w:r>
            <w:r w:rsidR="00941E27" w:rsidRPr="00941E27">
              <w:rPr>
                <w:sz w:val="20"/>
              </w:rPr>
              <w:t xml:space="preserve"> manera de ej</w:t>
            </w:r>
            <w:r w:rsidR="00FC42B5">
              <w:rPr>
                <w:sz w:val="20"/>
              </w:rPr>
              <w:t xml:space="preserve">emplo, se citan las algunas </w:t>
            </w:r>
            <w:r w:rsidR="00941E27" w:rsidRPr="00941E27">
              <w:rPr>
                <w:sz w:val="20"/>
              </w:rPr>
              <w:t xml:space="preserve">experiencias internacionales de cómo </w:t>
            </w:r>
            <w:r w:rsidR="00FC42B5">
              <w:rPr>
                <w:sz w:val="20"/>
              </w:rPr>
              <w:t xml:space="preserve">otros </w:t>
            </w:r>
            <w:r w:rsidR="00941E27" w:rsidRPr="00941E27">
              <w:rPr>
                <w:sz w:val="20"/>
              </w:rPr>
              <w:t>órg</w:t>
            </w:r>
            <w:r w:rsidR="00FC42B5">
              <w:rPr>
                <w:sz w:val="20"/>
              </w:rPr>
              <w:t>anos reguladores</w:t>
            </w:r>
            <w:r w:rsidR="00941E27" w:rsidRPr="00941E27">
              <w:rPr>
                <w:sz w:val="20"/>
              </w:rPr>
              <w:t>, asignan bandas de frecuencias del espectro radioe</w:t>
            </w:r>
            <w:r w:rsidR="00FC42B5">
              <w:rPr>
                <w:sz w:val="20"/>
              </w:rPr>
              <w:t>léctrico</w:t>
            </w:r>
            <w:r w:rsidR="00941E27" w:rsidRPr="00941E27">
              <w:rPr>
                <w:sz w:val="20"/>
              </w:rPr>
              <w:t xml:space="preserve">, para atender </w:t>
            </w:r>
            <w:r w:rsidR="00FC42B5">
              <w:rPr>
                <w:sz w:val="20"/>
              </w:rPr>
              <w:t xml:space="preserve">particularmente </w:t>
            </w:r>
            <w:r w:rsidR="00941E27" w:rsidRPr="00941E27">
              <w:rPr>
                <w:sz w:val="20"/>
              </w:rPr>
              <w:t xml:space="preserve">eventos </w:t>
            </w:r>
            <w:r w:rsidR="00712C1C">
              <w:rPr>
                <w:sz w:val="20"/>
              </w:rPr>
              <w:t>específicos</w:t>
            </w:r>
            <w:r w:rsidR="00941E27" w:rsidRPr="00941E27">
              <w:rPr>
                <w:sz w:val="20"/>
              </w:rPr>
              <w:t>:</w:t>
            </w:r>
          </w:p>
          <w:p w:rsidR="00941E27" w:rsidRPr="00941E27" w:rsidRDefault="00941E27" w:rsidP="00941E27">
            <w:pPr>
              <w:jc w:val="both"/>
              <w:rPr>
                <w:sz w:val="20"/>
              </w:rPr>
            </w:pPr>
          </w:p>
          <w:p w:rsidR="00941E27" w:rsidRPr="00627FAE" w:rsidRDefault="00300E4F" w:rsidP="00941E27">
            <w:pPr>
              <w:jc w:val="both"/>
              <w:rPr>
                <w:b/>
                <w:sz w:val="20"/>
              </w:rPr>
            </w:pPr>
            <w:r>
              <w:rPr>
                <w:sz w:val="20"/>
              </w:rPr>
              <w:t xml:space="preserve">A. </w:t>
            </w:r>
            <w:r w:rsidR="00941E27" w:rsidRPr="00627FAE">
              <w:rPr>
                <w:b/>
                <w:sz w:val="20"/>
              </w:rPr>
              <w:t>ANATEL (Agencia Nacional de Telecomunicaciones de Brasil)</w:t>
            </w:r>
          </w:p>
          <w:p w:rsidR="00941E27" w:rsidRPr="00941E27" w:rsidRDefault="00941E27" w:rsidP="00941E27">
            <w:pPr>
              <w:jc w:val="both"/>
              <w:rPr>
                <w:sz w:val="20"/>
              </w:rPr>
            </w:pPr>
          </w:p>
          <w:p w:rsidR="00941E27" w:rsidRPr="00941E27" w:rsidRDefault="00941E27" w:rsidP="00941E27">
            <w:pPr>
              <w:jc w:val="both"/>
              <w:rPr>
                <w:sz w:val="20"/>
              </w:rPr>
            </w:pPr>
            <w:r w:rsidRPr="00941E27">
              <w:rPr>
                <w:sz w:val="20"/>
              </w:rPr>
              <w:t xml:space="preserve">En el evento denominado “Juegos Olímpicos y Paraolímpicos Río 2016”, el Gobierno Federal Brasileño a través del Ministerio de Comunicaciones y ANATEL, adecuó la legislación con la finalidad de asegurar el uso y servicio de radiofrecuencias al Comité Olímpico Internacional, periodistas, atletas, etcétera, durante un periodo que inició un mes antes de la Ceremonia de Apertura de los Juegos Olímpicos, y concluyó una semana después de la Ceremonia de Clausura de los Juegos Paraolímpicos, celebrados en Rio de Janeiro durante el año de 2016. </w:t>
            </w:r>
          </w:p>
          <w:p w:rsidR="00941E27" w:rsidRPr="00941E27" w:rsidRDefault="00941E27" w:rsidP="00941E27">
            <w:pPr>
              <w:jc w:val="both"/>
              <w:rPr>
                <w:sz w:val="20"/>
              </w:rPr>
            </w:pPr>
          </w:p>
          <w:p w:rsidR="00941E27" w:rsidRPr="00941E27" w:rsidRDefault="00941E27" w:rsidP="00941E27">
            <w:pPr>
              <w:jc w:val="both"/>
              <w:rPr>
                <w:sz w:val="20"/>
              </w:rPr>
            </w:pPr>
            <w:r w:rsidRPr="00941E27">
              <w:rPr>
                <w:sz w:val="20"/>
              </w:rPr>
              <w:t>De lo anterior se desprende que para la realización de los Juegos Olímpicos Río 2016</w:t>
            </w:r>
            <w:r w:rsidR="004F46E2">
              <w:rPr>
                <w:sz w:val="20"/>
              </w:rPr>
              <w:t>,</w:t>
            </w:r>
            <w:r w:rsidRPr="00941E27">
              <w:rPr>
                <w:sz w:val="20"/>
              </w:rPr>
              <w:t xml:space="preserve"> fue necesario emitir una Ley especial que concediera facilidades para el desarrollo del evento, contemplando una regulación específica para el otorgamiento de radiofrecuencias del espectro radioeléctrico</w:t>
            </w:r>
            <w:r w:rsidR="00E91742">
              <w:rPr>
                <w:sz w:val="20"/>
              </w:rPr>
              <w:t>.</w:t>
            </w:r>
          </w:p>
          <w:p w:rsidR="00941E27" w:rsidRPr="00941E27" w:rsidRDefault="00941E27" w:rsidP="00941E27">
            <w:pPr>
              <w:jc w:val="both"/>
              <w:rPr>
                <w:sz w:val="20"/>
              </w:rPr>
            </w:pPr>
            <w:r w:rsidRPr="00941E27">
              <w:rPr>
                <w:sz w:val="20"/>
              </w:rPr>
              <w:t xml:space="preserve"> </w:t>
            </w:r>
          </w:p>
          <w:p w:rsidR="00941E27" w:rsidRPr="00627FAE" w:rsidRDefault="00300E4F" w:rsidP="00941E27">
            <w:pPr>
              <w:jc w:val="both"/>
              <w:rPr>
                <w:b/>
                <w:sz w:val="20"/>
              </w:rPr>
            </w:pPr>
            <w:r>
              <w:rPr>
                <w:sz w:val="20"/>
              </w:rPr>
              <w:t xml:space="preserve">B. </w:t>
            </w:r>
            <w:r w:rsidR="00941E27" w:rsidRPr="00627FAE">
              <w:rPr>
                <w:b/>
                <w:sz w:val="20"/>
              </w:rPr>
              <w:t>OFCOM (Oficina de Comunicaciones del Reino Unido).</w:t>
            </w:r>
          </w:p>
          <w:p w:rsidR="00941E27" w:rsidRPr="00627FAE" w:rsidRDefault="00941E27" w:rsidP="00941E27">
            <w:pPr>
              <w:jc w:val="both"/>
              <w:rPr>
                <w:b/>
                <w:sz w:val="20"/>
              </w:rPr>
            </w:pPr>
          </w:p>
          <w:p w:rsidR="00941E27" w:rsidRPr="00941E27" w:rsidRDefault="00156168" w:rsidP="00941E27">
            <w:pPr>
              <w:jc w:val="both"/>
              <w:rPr>
                <w:sz w:val="20"/>
              </w:rPr>
            </w:pPr>
            <w:r>
              <w:rPr>
                <w:sz w:val="20"/>
              </w:rPr>
              <w:t>Para el caso del Reino Unido, una</w:t>
            </w:r>
            <w:r w:rsidR="00941E27" w:rsidRPr="00941E27">
              <w:rPr>
                <w:sz w:val="20"/>
              </w:rPr>
              <w:t xml:space="preserve"> empresa fue el agente seleccionado por la OFCOM como proveedor de las bandas de frecuencias para el Gran Premio Británico. Los equipos de Fórmula Uno acudieron directamente con </w:t>
            </w:r>
            <w:r>
              <w:rPr>
                <w:sz w:val="20"/>
              </w:rPr>
              <w:t>dicha empresa</w:t>
            </w:r>
            <w:r w:rsidR="00941E27" w:rsidRPr="00941E27">
              <w:rPr>
                <w:sz w:val="20"/>
              </w:rPr>
              <w:t xml:space="preserve"> para llevar a cabo sus solicitudes de trámite de uso de radiofrecuencias, con una fecha límite para la recepción de peticiones.</w:t>
            </w:r>
          </w:p>
          <w:p w:rsidR="00941E27" w:rsidRPr="00941E27" w:rsidRDefault="00941E27" w:rsidP="00941E27">
            <w:pPr>
              <w:jc w:val="both"/>
              <w:rPr>
                <w:sz w:val="20"/>
              </w:rPr>
            </w:pPr>
          </w:p>
          <w:p w:rsidR="00941E27" w:rsidRDefault="00941E27" w:rsidP="00941E27">
            <w:pPr>
              <w:jc w:val="both"/>
              <w:rPr>
                <w:sz w:val="20"/>
              </w:rPr>
            </w:pPr>
            <w:r w:rsidRPr="00941E27">
              <w:rPr>
                <w:sz w:val="20"/>
              </w:rPr>
              <w:t>De tal forma, que los solicitantes pagan una tarifa antes de que la licencia sea emitida. El uso de radiofrecuencias incluye comunicación de voz entre los miembros del equipo, uso de rep</w:t>
            </w:r>
            <w:r w:rsidR="0038532A">
              <w:rPr>
                <w:sz w:val="20"/>
              </w:rPr>
              <w:t>etidores, radio micrófonos, etcé</w:t>
            </w:r>
            <w:r w:rsidRPr="00941E27">
              <w:rPr>
                <w:sz w:val="20"/>
              </w:rPr>
              <w:t>tera.</w:t>
            </w:r>
          </w:p>
          <w:p w:rsidR="00F84196" w:rsidRDefault="00F84196" w:rsidP="00941E27">
            <w:pPr>
              <w:jc w:val="both"/>
              <w:rPr>
                <w:sz w:val="20"/>
              </w:rPr>
            </w:pPr>
          </w:p>
          <w:p w:rsidR="00BB4E7D" w:rsidRPr="00BB4E7D" w:rsidRDefault="000860CC" w:rsidP="00941E27">
            <w:pPr>
              <w:jc w:val="both"/>
              <w:rPr>
                <w:sz w:val="20"/>
                <w:lang w:val="es-ES"/>
              </w:rPr>
            </w:pPr>
            <w:r>
              <w:rPr>
                <w:sz w:val="20"/>
                <w:lang w:val="es-ES"/>
              </w:rPr>
              <w:t>En relación a la e</w:t>
            </w:r>
            <w:r w:rsidR="00BB4E7D" w:rsidRPr="00BB4E7D">
              <w:rPr>
                <w:sz w:val="20"/>
                <w:lang w:val="es-ES"/>
              </w:rPr>
              <w:t>xperiencia Internacional y mejores prácticas sobre la regulación de los dispositivos de rad</w:t>
            </w:r>
            <w:r>
              <w:rPr>
                <w:sz w:val="20"/>
                <w:lang w:val="es-ES"/>
              </w:rPr>
              <w:t xml:space="preserve">iocomunicación de corto alcance, </w:t>
            </w:r>
            <w:r w:rsidR="00627FAE">
              <w:rPr>
                <w:sz w:val="20"/>
                <w:lang w:val="es-ES"/>
              </w:rPr>
              <w:t>citamos</w:t>
            </w:r>
            <w:r w:rsidR="00B82FEA">
              <w:rPr>
                <w:sz w:val="20"/>
                <w:lang w:val="es-ES"/>
              </w:rPr>
              <w:t xml:space="preserve"> los siguientes ejemplos:</w:t>
            </w:r>
          </w:p>
          <w:p w:rsidR="00087CE3" w:rsidRDefault="00087CE3" w:rsidP="00941E27">
            <w:pPr>
              <w:jc w:val="both"/>
              <w:rPr>
                <w:sz w:val="20"/>
              </w:rPr>
            </w:pPr>
          </w:p>
          <w:p w:rsidR="006B4BFD" w:rsidRPr="006B4BFD" w:rsidRDefault="006B4BFD" w:rsidP="006B4BFD">
            <w:pPr>
              <w:pStyle w:val="Prrafodelista"/>
              <w:numPr>
                <w:ilvl w:val="0"/>
                <w:numId w:val="9"/>
              </w:numPr>
              <w:jc w:val="both"/>
              <w:rPr>
                <w:rFonts w:eastAsia="Times New Roman" w:cstheme="minorHAnsi"/>
                <w:sz w:val="20"/>
                <w:szCs w:val="20"/>
                <w:lang w:val="es-ES" w:eastAsia="es-ES"/>
              </w:rPr>
            </w:pPr>
            <w:r w:rsidRPr="006B4BFD">
              <w:rPr>
                <w:rFonts w:eastAsia="Times New Roman" w:cstheme="minorHAnsi"/>
                <w:b/>
                <w:sz w:val="20"/>
                <w:szCs w:val="20"/>
                <w:lang w:val="es-ES" w:eastAsia="es-ES"/>
              </w:rPr>
              <w:t>América</w:t>
            </w:r>
            <w:r w:rsidRPr="006B4BFD">
              <w:rPr>
                <w:rFonts w:eastAsia="Times New Roman" w:cstheme="minorHAnsi"/>
                <w:sz w:val="20"/>
                <w:szCs w:val="20"/>
                <w:lang w:val="es-ES" w:eastAsia="es-ES"/>
              </w:rPr>
              <w:t xml:space="preserve">. Estados Unidos de América, Canadá y Brasil, a través de sus respectivos órganos reguladores, </w:t>
            </w:r>
            <w:r w:rsidRPr="006B4BFD">
              <w:rPr>
                <w:rFonts w:eastAsia="Times New Roman" w:cstheme="minorHAnsi"/>
                <w:i/>
                <w:sz w:val="20"/>
                <w:szCs w:val="20"/>
                <w:lang w:val="es-ES" w:eastAsia="es-ES"/>
              </w:rPr>
              <w:t>Federal Communications Comission</w:t>
            </w:r>
            <w:r w:rsidRPr="006B4BFD">
              <w:rPr>
                <w:rFonts w:eastAsia="Times New Roman" w:cstheme="minorHAnsi"/>
                <w:sz w:val="20"/>
                <w:szCs w:val="20"/>
                <w:lang w:val="es-ES" w:eastAsia="es-ES"/>
              </w:rPr>
              <w:t xml:space="preserve"> (FCC), </w:t>
            </w:r>
            <w:r w:rsidRPr="006B4BFD">
              <w:rPr>
                <w:rFonts w:eastAsia="Times New Roman" w:cstheme="minorHAnsi"/>
                <w:i/>
                <w:sz w:val="20"/>
                <w:szCs w:val="20"/>
                <w:lang w:val="es-ES" w:eastAsia="es-ES"/>
              </w:rPr>
              <w:t>Canadian Radio-television and Telecommunications Commision (</w:t>
            </w:r>
            <w:r w:rsidRPr="006B4BFD">
              <w:rPr>
                <w:rFonts w:eastAsia="Times New Roman" w:cstheme="minorHAnsi"/>
                <w:sz w:val="20"/>
                <w:szCs w:val="20"/>
                <w:lang w:val="es-ES" w:eastAsia="es-ES"/>
              </w:rPr>
              <w:t>CRTC</w:t>
            </w:r>
            <w:r w:rsidRPr="006B4BFD">
              <w:rPr>
                <w:rFonts w:eastAsia="Times New Roman" w:cstheme="minorHAnsi"/>
                <w:i/>
                <w:sz w:val="20"/>
                <w:szCs w:val="20"/>
                <w:lang w:val="es-ES" w:eastAsia="es-ES"/>
              </w:rPr>
              <w:t>)</w:t>
            </w:r>
            <w:r w:rsidRPr="006B4BFD">
              <w:rPr>
                <w:rFonts w:eastAsia="Times New Roman" w:cstheme="minorHAnsi"/>
                <w:sz w:val="20"/>
                <w:szCs w:val="20"/>
                <w:lang w:val="es-ES" w:eastAsia="es-ES"/>
              </w:rPr>
              <w:t xml:space="preserve"> y la </w:t>
            </w:r>
            <w:hyperlink r:id="rId10" w:history="1">
              <w:r w:rsidRPr="006B4BFD">
                <w:rPr>
                  <w:rFonts w:eastAsia="Times New Roman" w:cstheme="minorHAnsi"/>
                  <w:i/>
                  <w:sz w:val="20"/>
                  <w:szCs w:val="20"/>
                  <w:lang w:val="es-ES" w:eastAsia="es-ES"/>
                </w:rPr>
                <w:t>Agência Nacional de Telecomunicações</w:t>
              </w:r>
              <w:r w:rsidRPr="006B4BFD">
                <w:rPr>
                  <w:rFonts w:eastAsia="Times New Roman" w:cstheme="minorHAnsi"/>
                  <w:sz w:val="20"/>
                  <w:szCs w:val="20"/>
                  <w:lang w:val="es-ES" w:eastAsia="es-ES"/>
                </w:rPr>
                <w:t xml:space="preserve"> (ANATEL)</w:t>
              </w:r>
            </w:hyperlink>
            <w:r w:rsidRPr="006B4BFD">
              <w:rPr>
                <w:rFonts w:eastAsia="Times New Roman" w:cstheme="minorHAnsi"/>
                <w:sz w:val="20"/>
                <w:szCs w:val="20"/>
                <w:lang w:val="es-ES" w:eastAsia="es-ES"/>
              </w:rPr>
              <w:t>, cuentan con regulación que habilita la operación de los dispositivos de corto alcance sin la emisión de una licencia. Sin embargo, para la comercialización y operación de dichos equipos se requiere de un certificado emitido por el mismo órgano regulador, con el cual se avala que el dispositivo cumple con las características técnicas y de operación establecidas en el marco regulatorio de cada país.</w:t>
            </w:r>
          </w:p>
          <w:p w:rsidR="006B4BFD" w:rsidRPr="006B4BFD" w:rsidRDefault="006B4BFD" w:rsidP="006B4BFD">
            <w:pPr>
              <w:jc w:val="both"/>
              <w:rPr>
                <w:rFonts w:eastAsia="Times New Roman" w:cstheme="minorHAnsi"/>
                <w:sz w:val="20"/>
                <w:szCs w:val="20"/>
                <w:lang w:val="es-ES" w:eastAsia="es-ES"/>
              </w:rPr>
            </w:pPr>
          </w:p>
          <w:p w:rsidR="006B4BFD" w:rsidRPr="006B4BFD" w:rsidRDefault="006B4BFD" w:rsidP="006B4BFD">
            <w:pPr>
              <w:pStyle w:val="Prrafodelista"/>
              <w:numPr>
                <w:ilvl w:val="0"/>
                <w:numId w:val="9"/>
              </w:numPr>
              <w:jc w:val="both"/>
              <w:rPr>
                <w:rFonts w:eastAsia="Times New Roman" w:cstheme="minorHAnsi"/>
                <w:sz w:val="20"/>
                <w:szCs w:val="20"/>
                <w:lang w:val="es-ES" w:eastAsia="es-ES"/>
              </w:rPr>
            </w:pPr>
            <w:r w:rsidRPr="006B4BFD">
              <w:rPr>
                <w:rFonts w:eastAsia="Times New Roman" w:cstheme="minorHAnsi"/>
                <w:b/>
                <w:sz w:val="20"/>
                <w:szCs w:val="20"/>
                <w:lang w:val="es-ES" w:eastAsia="es-ES"/>
              </w:rPr>
              <w:t>Asia</w:t>
            </w:r>
            <w:r w:rsidRPr="006B4BFD">
              <w:rPr>
                <w:rFonts w:eastAsia="Times New Roman" w:cstheme="minorHAnsi"/>
                <w:sz w:val="20"/>
                <w:szCs w:val="20"/>
                <w:lang w:val="es-ES" w:eastAsia="es-ES"/>
              </w:rPr>
              <w:t xml:space="preserve">. Corea y Japón, a través de la </w:t>
            </w:r>
            <w:r w:rsidRPr="006B4BFD">
              <w:rPr>
                <w:rFonts w:eastAsia="Times New Roman" w:cstheme="minorHAnsi"/>
                <w:i/>
                <w:sz w:val="20"/>
                <w:szCs w:val="20"/>
                <w:lang w:val="es-ES" w:eastAsia="es-ES"/>
              </w:rPr>
              <w:t>Korea Communications Commission</w:t>
            </w:r>
            <w:r w:rsidRPr="006B4BFD">
              <w:rPr>
                <w:rFonts w:eastAsia="Times New Roman" w:cstheme="minorHAnsi"/>
                <w:sz w:val="20"/>
                <w:szCs w:val="20"/>
                <w:lang w:val="es-ES" w:eastAsia="es-ES"/>
              </w:rPr>
              <w:t xml:space="preserve"> (KCC) y el </w:t>
            </w:r>
            <w:r w:rsidRPr="006B4BFD">
              <w:rPr>
                <w:rFonts w:eastAsia="Times New Roman" w:cstheme="minorHAnsi"/>
                <w:i/>
                <w:sz w:val="20"/>
                <w:szCs w:val="20"/>
                <w:lang w:val="es-ES" w:eastAsia="es-ES"/>
              </w:rPr>
              <w:t>Ministry of Internal Affairs and Communications</w:t>
            </w:r>
            <w:r w:rsidRPr="006B4BFD">
              <w:rPr>
                <w:rFonts w:eastAsia="Times New Roman" w:cstheme="minorHAnsi"/>
                <w:sz w:val="20"/>
                <w:szCs w:val="20"/>
                <w:lang w:val="es-ES" w:eastAsia="es-ES"/>
              </w:rPr>
              <w:t xml:space="preserve"> (MIC) respectivamente, autorizaron la operación de los dispositivos de corto alcance a través de la emisión de un certificado y con exención de licencia. A diferencia de los reguladores de América, los certificados de evaluación de la conformidad son emitidos por un tercero, designado por el órgano regulador.</w:t>
            </w:r>
          </w:p>
          <w:p w:rsidR="006B4BFD" w:rsidRPr="006B4BFD" w:rsidRDefault="006B4BFD" w:rsidP="006B4BFD">
            <w:pPr>
              <w:jc w:val="both"/>
              <w:rPr>
                <w:rFonts w:eastAsia="Times New Roman" w:cstheme="minorHAnsi"/>
                <w:sz w:val="20"/>
                <w:szCs w:val="20"/>
                <w:lang w:val="es-ES" w:eastAsia="es-ES"/>
              </w:rPr>
            </w:pPr>
          </w:p>
          <w:p w:rsidR="006B4BFD" w:rsidRPr="006B4BFD" w:rsidRDefault="006B4BFD" w:rsidP="006B4BFD">
            <w:pPr>
              <w:pStyle w:val="Prrafodelista"/>
              <w:numPr>
                <w:ilvl w:val="0"/>
                <w:numId w:val="9"/>
              </w:numPr>
              <w:jc w:val="both"/>
              <w:rPr>
                <w:rFonts w:eastAsia="Times New Roman" w:cstheme="minorHAnsi"/>
                <w:sz w:val="20"/>
                <w:szCs w:val="20"/>
                <w:lang w:val="es-ES" w:eastAsia="es-ES"/>
              </w:rPr>
            </w:pPr>
            <w:r w:rsidRPr="006B4BFD">
              <w:rPr>
                <w:rFonts w:eastAsia="Times New Roman" w:cstheme="minorHAnsi"/>
                <w:b/>
                <w:sz w:val="20"/>
                <w:szCs w:val="20"/>
                <w:lang w:val="es-ES" w:eastAsia="es-ES"/>
              </w:rPr>
              <w:t>Europa</w:t>
            </w:r>
            <w:r w:rsidRPr="006B4BFD">
              <w:rPr>
                <w:rFonts w:eastAsia="Times New Roman" w:cstheme="minorHAnsi"/>
                <w:sz w:val="20"/>
                <w:szCs w:val="20"/>
                <w:lang w:val="es-ES" w:eastAsia="es-ES"/>
              </w:rPr>
              <w:t xml:space="preserve">. En Reino Unido, </w:t>
            </w:r>
            <w:r w:rsidRPr="006B4BFD">
              <w:rPr>
                <w:rFonts w:eastAsia="Times New Roman" w:cstheme="minorHAnsi"/>
                <w:i/>
                <w:sz w:val="20"/>
                <w:szCs w:val="20"/>
                <w:lang w:val="es-ES" w:eastAsia="es-ES"/>
              </w:rPr>
              <w:t>Ofcom</w:t>
            </w:r>
            <w:r w:rsidRPr="006B4BFD">
              <w:rPr>
                <w:rFonts w:eastAsia="Times New Roman" w:cstheme="minorHAnsi"/>
                <w:sz w:val="20"/>
                <w:szCs w:val="20"/>
                <w:lang w:val="es-ES" w:eastAsia="es-ES"/>
              </w:rPr>
              <w:t xml:space="preserve"> estableció los requerimientos mínimos que deben de cumplir los dispositivos de corto alcance para operar exentos de licencia</w:t>
            </w:r>
            <w:r w:rsidRPr="006B4BFD">
              <w:rPr>
                <w:rStyle w:val="Refdenotaalpie"/>
                <w:rFonts w:eastAsia="Times New Roman" w:cstheme="minorHAnsi"/>
                <w:sz w:val="20"/>
                <w:szCs w:val="20"/>
                <w:lang w:val="es-ES" w:eastAsia="es-ES"/>
              </w:rPr>
              <w:footnoteReference w:id="1"/>
            </w:r>
            <w:r w:rsidRPr="006B4BFD">
              <w:rPr>
                <w:rFonts w:eastAsia="Times New Roman" w:cstheme="minorHAnsi"/>
                <w:sz w:val="20"/>
                <w:szCs w:val="20"/>
                <w:lang w:val="es-ES" w:eastAsia="es-ES"/>
              </w:rPr>
              <w:t>. Dichos requerimientos fueron actualizados en el mes de julio de 2017 y se encuentran en constante revisión debido al acelerado crecimiento del número de dispositivos y aplicaciones de este tipo. Existen algunos tipos de dispositivos que requieren de una licencia para su operación, tal es el caso de los radares de corto alcance.</w:t>
            </w:r>
          </w:p>
          <w:p w:rsidR="006D7A08" w:rsidRPr="00BB4E7D" w:rsidRDefault="006D7A08" w:rsidP="00760465">
            <w:pPr>
              <w:jc w:val="both"/>
              <w:rPr>
                <w:lang w:val="es-ES"/>
              </w:rPr>
            </w:pPr>
          </w:p>
          <w:p w:rsidR="00774C3E" w:rsidRDefault="00627FAE" w:rsidP="00760465">
            <w:pPr>
              <w:jc w:val="both"/>
              <w:rPr>
                <w:sz w:val="20"/>
              </w:rPr>
            </w:pPr>
            <w:r>
              <w:rPr>
                <w:sz w:val="20"/>
              </w:rPr>
              <w:t>De los ejemplos antes</w:t>
            </w:r>
            <w:r w:rsidR="00955359" w:rsidRPr="00334C81">
              <w:rPr>
                <w:sz w:val="20"/>
              </w:rPr>
              <w:t xml:space="preserve"> mencionados, se desprende que la problemática </w:t>
            </w:r>
            <w:r w:rsidR="00117BA6">
              <w:rPr>
                <w:sz w:val="20"/>
              </w:rPr>
              <w:t>de</w:t>
            </w:r>
            <w:r w:rsidR="00955359" w:rsidRPr="00334C81">
              <w:rPr>
                <w:sz w:val="20"/>
              </w:rPr>
              <w:t xml:space="preserve"> los dispositivos de radiocomunicación de corto alcance, </w:t>
            </w:r>
            <w:r w:rsidR="00A004AB">
              <w:rPr>
                <w:sz w:val="20"/>
              </w:rPr>
              <w:t>ha</w:t>
            </w:r>
            <w:r w:rsidR="00955359" w:rsidRPr="00334C81">
              <w:rPr>
                <w:sz w:val="20"/>
              </w:rPr>
              <w:t xml:space="preserve"> </w:t>
            </w:r>
            <w:r w:rsidR="00A004AB">
              <w:rPr>
                <w:sz w:val="20"/>
              </w:rPr>
              <w:t xml:space="preserve">sido </w:t>
            </w:r>
            <w:r w:rsidR="00955359" w:rsidRPr="00334C81">
              <w:rPr>
                <w:sz w:val="20"/>
              </w:rPr>
              <w:t>atendida mediante la expedición</w:t>
            </w:r>
            <w:r w:rsidR="00774C3E">
              <w:rPr>
                <w:sz w:val="20"/>
              </w:rPr>
              <w:t xml:space="preserve"> de</w:t>
            </w:r>
            <w:r w:rsidR="00955359" w:rsidRPr="00334C81">
              <w:rPr>
                <w:sz w:val="20"/>
              </w:rPr>
              <w:t xml:space="preserve"> </w:t>
            </w:r>
            <w:r w:rsidR="00774C3E" w:rsidRPr="00BB4E7D">
              <w:rPr>
                <w:sz w:val="20"/>
                <w:lang w:val="es-ES"/>
              </w:rPr>
              <w:t>certificado</w:t>
            </w:r>
            <w:r w:rsidR="00774C3E">
              <w:rPr>
                <w:sz w:val="20"/>
                <w:lang w:val="es-ES"/>
              </w:rPr>
              <w:t>s y licencias</w:t>
            </w:r>
            <w:r w:rsidR="00774C3E" w:rsidRPr="00BB4E7D">
              <w:rPr>
                <w:sz w:val="20"/>
                <w:lang w:val="es-ES"/>
              </w:rPr>
              <w:t xml:space="preserve"> emitido</w:t>
            </w:r>
            <w:r w:rsidR="00035A4E">
              <w:rPr>
                <w:sz w:val="20"/>
                <w:lang w:val="es-ES"/>
              </w:rPr>
              <w:t>s</w:t>
            </w:r>
            <w:r w:rsidR="00774C3E" w:rsidRPr="00BB4E7D">
              <w:rPr>
                <w:sz w:val="20"/>
                <w:lang w:val="es-ES"/>
              </w:rPr>
              <w:t xml:space="preserve"> por el mismo órgano regulador</w:t>
            </w:r>
            <w:r w:rsidR="007E371C">
              <w:rPr>
                <w:sz w:val="20"/>
                <w:lang w:val="es-ES"/>
              </w:rPr>
              <w:t xml:space="preserve"> o por un tercero, designado por dicho órgano.</w:t>
            </w:r>
          </w:p>
          <w:p w:rsidR="00955359" w:rsidRPr="00334C81" w:rsidRDefault="00955359" w:rsidP="00760465">
            <w:pPr>
              <w:jc w:val="both"/>
              <w:rPr>
                <w:sz w:val="20"/>
              </w:rPr>
            </w:pPr>
          </w:p>
          <w:p w:rsidR="00955359" w:rsidRPr="00334C81" w:rsidRDefault="000B6A15" w:rsidP="00760465">
            <w:pPr>
              <w:jc w:val="both"/>
              <w:rPr>
                <w:sz w:val="20"/>
              </w:rPr>
            </w:pPr>
            <w:r>
              <w:rPr>
                <w:sz w:val="20"/>
              </w:rPr>
              <w:t>Por último, s</w:t>
            </w:r>
            <w:r w:rsidR="00955359" w:rsidRPr="00334C81">
              <w:rPr>
                <w:sz w:val="20"/>
              </w:rPr>
              <w:t xml:space="preserve">i bien es cierto </w:t>
            </w:r>
            <w:r w:rsidR="00625774">
              <w:rPr>
                <w:sz w:val="20"/>
              </w:rPr>
              <w:t xml:space="preserve">que </w:t>
            </w:r>
            <w:r w:rsidR="00955359" w:rsidRPr="00334C81">
              <w:rPr>
                <w:sz w:val="20"/>
              </w:rPr>
              <w:t xml:space="preserve">en la legislación mexicana existen disposiciones que regulan los aspectos técnicos de los dispositivos de corto alcance, mediante el establecimiento de un procedimiento de certificación de homologación, </w:t>
            </w:r>
            <w:r w:rsidR="00625774">
              <w:rPr>
                <w:sz w:val="20"/>
              </w:rPr>
              <w:t xml:space="preserve">también cierto </w:t>
            </w:r>
            <w:r w:rsidR="00955359" w:rsidRPr="00334C81">
              <w:rPr>
                <w:sz w:val="20"/>
              </w:rPr>
              <w:t>es</w:t>
            </w:r>
            <w:r w:rsidR="00627FAE">
              <w:rPr>
                <w:sz w:val="20"/>
              </w:rPr>
              <w:t xml:space="preserve">, que no </w:t>
            </w:r>
            <w:r w:rsidR="00955359" w:rsidRPr="00334C81">
              <w:rPr>
                <w:sz w:val="20"/>
              </w:rPr>
              <w:t xml:space="preserve">autoriza </w:t>
            </w:r>
            <w:r w:rsidR="00627FAE">
              <w:rPr>
                <w:sz w:val="20"/>
              </w:rPr>
              <w:t xml:space="preserve">a dichos dispositivos usar </w:t>
            </w:r>
            <w:r w:rsidR="00955359" w:rsidRPr="00334C81">
              <w:rPr>
                <w:sz w:val="20"/>
              </w:rPr>
              <w:t>bandas de frecuencias del espectro radioeléctrico.</w:t>
            </w:r>
          </w:p>
          <w:p w:rsidR="00955359" w:rsidRDefault="00955359" w:rsidP="00760465">
            <w:pPr>
              <w:jc w:val="both"/>
            </w:pPr>
          </w:p>
        </w:tc>
      </w:tr>
    </w:tbl>
    <w:p w:rsidR="0038532A" w:rsidRDefault="0038532A" w:rsidP="001932FC">
      <w:pPr>
        <w:jc w:val="both"/>
      </w:pPr>
    </w:p>
    <w:p w:rsidR="001932FC" w:rsidRDefault="001932FC" w:rsidP="003F05E7">
      <w:pPr>
        <w:shd w:val="clear" w:color="auto" w:fill="A8D08D" w:themeFill="accent6" w:themeFillTint="99"/>
        <w:tabs>
          <w:tab w:val="center" w:pos="4419"/>
        </w:tabs>
        <w:jc w:val="both"/>
      </w:pPr>
      <w:r>
        <w:t>III. IMPACTO DE LA REGULACIÓN.</w:t>
      </w:r>
      <w:r w:rsidR="003F05E7">
        <w:tab/>
      </w:r>
    </w:p>
    <w:tbl>
      <w:tblPr>
        <w:tblStyle w:val="Tablaconcuadrcula"/>
        <w:tblW w:w="0" w:type="auto"/>
        <w:tblLook w:val="04A0" w:firstRow="1" w:lastRow="0" w:firstColumn="1" w:lastColumn="0" w:noHBand="0" w:noVBand="1"/>
      </w:tblPr>
      <w:tblGrid>
        <w:gridCol w:w="8828"/>
      </w:tblGrid>
      <w:tr w:rsidR="003039BF" w:rsidTr="003039BF">
        <w:tc>
          <w:tcPr>
            <w:tcW w:w="8828" w:type="dxa"/>
          </w:tcPr>
          <w:p w:rsidR="003039BF" w:rsidRPr="00906787" w:rsidRDefault="003039BF" w:rsidP="001932FC">
            <w:pPr>
              <w:jc w:val="both"/>
              <w:rPr>
                <w:b/>
                <w:sz w:val="20"/>
              </w:rPr>
            </w:pPr>
            <w:r w:rsidRPr="00906787">
              <w:rPr>
                <w:b/>
                <w:sz w:val="20"/>
              </w:rPr>
              <w:t>7.- ¿El anteproyecto de regulación propuesto contiene disposiciones en materia de salud humana, animal o vegetal, seguridad, trabajo, medio ambiente o protección a los consumidores?:</w:t>
            </w:r>
          </w:p>
          <w:p w:rsidR="003039BF" w:rsidRDefault="003039BF" w:rsidP="001932FC">
            <w:pPr>
              <w:jc w:val="both"/>
              <w:rPr>
                <w:sz w:val="20"/>
              </w:rPr>
            </w:pPr>
          </w:p>
          <w:p w:rsidR="006B6E74" w:rsidRPr="003039BF" w:rsidRDefault="006B6E74" w:rsidP="001932FC">
            <w:pPr>
              <w:jc w:val="both"/>
              <w:rPr>
                <w:sz w:val="20"/>
              </w:rPr>
            </w:pPr>
            <w:r>
              <w:rPr>
                <w:sz w:val="20"/>
              </w:rPr>
              <w:t>No, el proyecto de Lineamientos no contiene disposiciones en dichas materias.</w:t>
            </w:r>
          </w:p>
          <w:p w:rsidR="003039BF" w:rsidRDefault="003039BF" w:rsidP="001932FC">
            <w:pPr>
              <w:jc w:val="both"/>
            </w:pPr>
          </w:p>
        </w:tc>
      </w:tr>
    </w:tbl>
    <w:p w:rsidR="001932FC" w:rsidRDefault="001932FC" w:rsidP="001932FC">
      <w:pPr>
        <w:jc w:val="both"/>
      </w:pPr>
    </w:p>
    <w:p w:rsidR="008F1823" w:rsidRDefault="008F1823" w:rsidP="001932FC">
      <w:pPr>
        <w:jc w:val="both"/>
      </w:pPr>
    </w:p>
    <w:tbl>
      <w:tblPr>
        <w:tblStyle w:val="Tablaconcuadrcula"/>
        <w:tblW w:w="0" w:type="auto"/>
        <w:tblLook w:val="04A0" w:firstRow="1" w:lastRow="0" w:firstColumn="1" w:lastColumn="0" w:noHBand="0" w:noVBand="1"/>
      </w:tblPr>
      <w:tblGrid>
        <w:gridCol w:w="8828"/>
      </w:tblGrid>
      <w:tr w:rsidR="003039BF" w:rsidTr="003039BF">
        <w:tc>
          <w:tcPr>
            <w:tcW w:w="8828" w:type="dxa"/>
          </w:tcPr>
          <w:p w:rsidR="003039BF" w:rsidRPr="00CD45BA" w:rsidRDefault="003039BF" w:rsidP="002C4E04">
            <w:pPr>
              <w:jc w:val="both"/>
              <w:rPr>
                <w:b/>
                <w:sz w:val="20"/>
              </w:rPr>
            </w:pPr>
            <w:r w:rsidRPr="00CD45BA">
              <w:rPr>
                <w:b/>
                <w:sz w:val="20"/>
              </w:rPr>
              <w:t>8.- ¿El anteproyecto de regulación propuesto creará, modificará o eliminará trámites a su entrada en vigor?:</w:t>
            </w:r>
          </w:p>
          <w:p w:rsidR="003039BF" w:rsidRPr="00CD45BA" w:rsidRDefault="003039BF" w:rsidP="002C4E04">
            <w:pPr>
              <w:jc w:val="both"/>
              <w:rPr>
                <w:b/>
                <w:sz w:val="20"/>
              </w:rPr>
            </w:pPr>
          </w:p>
          <w:p w:rsidR="003039BF" w:rsidRDefault="003039BF" w:rsidP="002C4E04">
            <w:pPr>
              <w:jc w:val="both"/>
              <w:rPr>
                <w:sz w:val="20"/>
                <w:szCs w:val="20"/>
              </w:rPr>
            </w:pPr>
            <w:r w:rsidRPr="00626CB3">
              <w:rPr>
                <w:sz w:val="20"/>
                <w:szCs w:val="20"/>
              </w:rPr>
              <w:t>Acción: (</w:t>
            </w:r>
            <w:r w:rsidRPr="00100C66">
              <w:rPr>
                <w:b/>
                <w:sz w:val="20"/>
                <w:szCs w:val="20"/>
                <w:u w:val="single"/>
              </w:rPr>
              <w:t>creación</w:t>
            </w:r>
            <w:r w:rsidRPr="00100C66">
              <w:rPr>
                <w:b/>
                <w:sz w:val="20"/>
                <w:szCs w:val="20"/>
              </w:rPr>
              <w:t>,</w:t>
            </w:r>
            <w:r w:rsidRPr="00626CB3">
              <w:rPr>
                <w:sz w:val="20"/>
                <w:szCs w:val="20"/>
              </w:rPr>
              <w:t xml:space="preserve"> modificación o eliminación)</w:t>
            </w:r>
          </w:p>
          <w:p w:rsidR="00687C5B" w:rsidRPr="00626CB3" w:rsidRDefault="00687C5B" w:rsidP="002C4E04">
            <w:pPr>
              <w:jc w:val="both"/>
              <w:rPr>
                <w:sz w:val="20"/>
                <w:szCs w:val="20"/>
              </w:rPr>
            </w:pPr>
          </w:p>
          <w:p w:rsidR="003039BF" w:rsidRPr="00626CB3" w:rsidRDefault="003039BF" w:rsidP="002C4E04">
            <w:pPr>
              <w:jc w:val="both"/>
              <w:rPr>
                <w:sz w:val="20"/>
                <w:szCs w:val="20"/>
              </w:rPr>
            </w:pPr>
            <w:r w:rsidRPr="00626CB3">
              <w:rPr>
                <w:sz w:val="20"/>
                <w:szCs w:val="20"/>
              </w:rPr>
              <w:t>Nombre del trámite:</w:t>
            </w:r>
          </w:p>
          <w:p w:rsidR="00687C5B" w:rsidRDefault="00687C5B" w:rsidP="002C4E04">
            <w:pPr>
              <w:jc w:val="both"/>
              <w:rPr>
                <w:sz w:val="20"/>
                <w:szCs w:val="20"/>
              </w:rPr>
            </w:pPr>
          </w:p>
          <w:p w:rsidR="006B6E74" w:rsidRPr="00100C66" w:rsidRDefault="006B6E74" w:rsidP="002C4E04">
            <w:pPr>
              <w:jc w:val="both"/>
              <w:rPr>
                <w:b/>
                <w:sz w:val="20"/>
                <w:szCs w:val="20"/>
              </w:rPr>
            </w:pPr>
            <w:r w:rsidRPr="00100C66">
              <w:rPr>
                <w:b/>
                <w:sz w:val="20"/>
                <w:szCs w:val="20"/>
              </w:rPr>
              <w:t xml:space="preserve">Constancia de Autorización </w:t>
            </w:r>
            <w:r w:rsidR="00982C90" w:rsidRPr="00100C66">
              <w:rPr>
                <w:b/>
                <w:sz w:val="20"/>
                <w:szCs w:val="20"/>
              </w:rPr>
              <w:t>(</w:t>
            </w:r>
            <w:r w:rsidRPr="00100C66">
              <w:rPr>
                <w:b/>
                <w:sz w:val="20"/>
                <w:szCs w:val="20"/>
              </w:rPr>
              <w:t>de uso secundario del espectro radioeléctrico</w:t>
            </w:r>
            <w:r w:rsidR="00982C90" w:rsidRPr="00100C66">
              <w:rPr>
                <w:b/>
                <w:sz w:val="20"/>
                <w:szCs w:val="20"/>
              </w:rPr>
              <w:t>)</w:t>
            </w:r>
            <w:r w:rsidR="00225A16" w:rsidRPr="00100C66">
              <w:rPr>
                <w:b/>
                <w:sz w:val="20"/>
                <w:szCs w:val="20"/>
              </w:rPr>
              <w:t>.</w:t>
            </w:r>
          </w:p>
          <w:p w:rsidR="00FE11A9" w:rsidRDefault="00FE11A9" w:rsidP="002C4E04">
            <w:pPr>
              <w:jc w:val="both"/>
              <w:rPr>
                <w:b/>
                <w:sz w:val="20"/>
                <w:szCs w:val="20"/>
              </w:rPr>
            </w:pPr>
            <w:r>
              <w:rPr>
                <w:b/>
                <w:sz w:val="20"/>
                <w:szCs w:val="20"/>
              </w:rPr>
              <w:t>Cuenta con dos modalidades:</w:t>
            </w:r>
          </w:p>
          <w:p w:rsidR="00FE11A9" w:rsidRDefault="00FE11A9" w:rsidP="002C4E04">
            <w:pPr>
              <w:jc w:val="both"/>
              <w:rPr>
                <w:b/>
                <w:sz w:val="20"/>
                <w:szCs w:val="20"/>
              </w:rPr>
            </w:pPr>
          </w:p>
          <w:p w:rsidR="00FE11A9" w:rsidRPr="00394CB1" w:rsidRDefault="00FE11A9" w:rsidP="00FE11A9">
            <w:pPr>
              <w:pStyle w:val="Textocomentario"/>
              <w:numPr>
                <w:ilvl w:val="0"/>
                <w:numId w:val="15"/>
              </w:numPr>
              <w:rPr>
                <w:b/>
              </w:rPr>
            </w:pPr>
            <w:r w:rsidRPr="00394CB1">
              <w:rPr>
                <w:b/>
              </w:rPr>
              <w:t>Autorización para eventos específicos, y</w:t>
            </w:r>
          </w:p>
          <w:p w:rsidR="00FE11A9" w:rsidRPr="00394CB1" w:rsidRDefault="00FE11A9" w:rsidP="00FE11A9">
            <w:pPr>
              <w:pStyle w:val="Textocomentario"/>
              <w:numPr>
                <w:ilvl w:val="0"/>
                <w:numId w:val="15"/>
              </w:numPr>
              <w:rPr>
                <w:b/>
              </w:rPr>
            </w:pPr>
            <w:r w:rsidRPr="00394CB1">
              <w:rPr>
                <w:b/>
              </w:rPr>
              <w:t xml:space="preserve"> Autorización para Instalaciones destinadas a actividades comerciales o industriales.</w:t>
            </w:r>
          </w:p>
          <w:p w:rsidR="00FE11A9" w:rsidRPr="00687C5B" w:rsidRDefault="00FE11A9" w:rsidP="002C4E04">
            <w:pPr>
              <w:jc w:val="both"/>
              <w:rPr>
                <w:b/>
                <w:sz w:val="20"/>
                <w:szCs w:val="20"/>
              </w:rPr>
            </w:pPr>
          </w:p>
          <w:p w:rsidR="005A40FB" w:rsidRPr="00626CB3" w:rsidRDefault="005A40FB" w:rsidP="002C4E04">
            <w:pPr>
              <w:jc w:val="both"/>
              <w:rPr>
                <w:sz w:val="20"/>
                <w:szCs w:val="20"/>
              </w:rPr>
            </w:pPr>
            <w:r w:rsidRPr="00626CB3">
              <w:rPr>
                <w:sz w:val="20"/>
                <w:szCs w:val="20"/>
              </w:rPr>
              <w:t>Artículo o apartado que da origen al trámite:</w:t>
            </w:r>
          </w:p>
          <w:p w:rsidR="00687C5B" w:rsidRDefault="00687C5B" w:rsidP="002C4E04">
            <w:pPr>
              <w:jc w:val="both"/>
              <w:rPr>
                <w:sz w:val="20"/>
                <w:szCs w:val="20"/>
              </w:rPr>
            </w:pPr>
          </w:p>
          <w:p w:rsidR="006B6E74" w:rsidRPr="00906787" w:rsidRDefault="006B6E74" w:rsidP="002C4E04">
            <w:pPr>
              <w:jc w:val="both"/>
              <w:rPr>
                <w:sz w:val="20"/>
                <w:szCs w:val="20"/>
              </w:rPr>
            </w:pPr>
            <w:r w:rsidRPr="00687C5B">
              <w:rPr>
                <w:b/>
                <w:sz w:val="20"/>
                <w:szCs w:val="20"/>
              </w:rPr>
              <w:t xml:space="preserve"> </w:t>
            </w:r>
            <w:r w:rsidR="00507FAA" w:rsidRPr="00507FAA">
              <w:rPr>
                <w:sz w:val="20"/>
                <w:szCs w:val="20"/>
              </w:rPr>
              <w:t>El Artículo 2, fracción IV (definición)</w:t>
            </w:r>
            <w:r w:rsidR="00F739BA">
              <w:rPr>
                <w:sz w:val="20"/>
                <w:szCs w:val="20"/>
              </w:rPr>
              <w:t>;</w:t>
            </w:r>
            <w:r w:rsidR="00F739BA">
              <w:rPr>
                <w:b/>
                <w:sz w:val="20"/>
                <w:szCs w:val="20"/>
              </w:rPr>
              <w:t xml:space="preserve"> </w:t>
            </w:r>
            <w:r w:rsidR="00507FAA" w:rsidRPr="00507FAA">
              <w:rPr>
                <w:sz w:val="20"/>
                <w:szCs w:val="20"/>
              </w:rPr>
              <w:t xml:space="preserve">el </w:t>
            </w:r>
            <w:r w:rsidRPr="00906787">
              <w:rPr>
                <w:sz w:val="20"/>
                <w:szCs w:val="20"/>
              </w:rPr>
              <w:t xml:space="preserve">Capítulo II </w:t>
            </w:r>
            <w:r w:rsidR="00507FAA">
              <w:rPr>
                <w:sz w:val="20"/>
                <w:szCs w:val="20"/>
              </w:rPr>
              <w:t>“</w:t>
            </w:r>
            <w:r w:rsidRPr="00906787">
              <w:rPr>
                <w:sz w:val="20"/>
                <w:szCs w:val="20"/>
              </w:rPr>
              <w:t>De la Constancia de Autorización”, (en términos generales)</w:t>
            </w:r>
            <w:r w:rsidR="00F739BA">
              <w:rPr>
                <w:sz w:val="20"/>
                <w:szCs w:val="20"/>
              </w:rPr>
              <w:t xml:space="preserve">; </w:t>
            </w:r>
            <w:r w:rsidR="00F739BA" w:rsidRPr="00F739BA">
              <w:rPr>
                <w:sz w:val="20"/>
                <w:szCs w:val="20"/>
              </w:rPr>
              <w:t>Capítulo III</w:t>
            </w:r>
            <w:r w:rsidR="00F739BA">
              <w:rPr>
                <w:sz w:val="20"/>
                <w:szCs w:val="20"/>
              </w:rPr>
              <w:t xml:space="preserve"> </w:t>
            </w:r>
            <w:r w:rsidR="00F739BA" w:rsidRPr="00F739BA">
              <w:rPr>
                <w:sz w:val="20"/>
                <w:szCs w:val="20"/>
              </w:rPr>
              <w:t>De la Constancia de Autorización para Eventos Específicos</w:t>
            </w:r>
            <w:r w:rsidR="00F739BA">
              <w:rPr>
                <w:sz w:val="20"/>
                <w:szCs w:val="20"/>
              </w:rPr>
              <w:t xml:space="preserve">, y </w:t>
            </w:r>
            <w:r w:rsidR="00F739BA" w:rsidRPr="00F739BA">
              <w:rPr>
                <w:sz w:val="20"/>
                <w:szCs w:val="20"/>
              </w:rPr>
              <w:t>Capítulo IV</w:t>
            </w:r>
            <w:r w:rsidR="007E7259">
              <w:rPr>
                <w:sz w:val="20"/>
                <w:szCs w:val="20"/>
              </w:rPr>
              <w:t xml:space="preserve"> “</w:t>
            </w:r>
            <w:r w:rsidR="00F739BA" w:rsidRPr="00F739BA">
              <w:rPr>
                <w:sz w:val="20"/>
                <w:szCs w:val="20"/>
              </w:rPr>
              <w:t>De la Constancia de Autorización para Instalaciones destinadas a actividades comerciales o industriales</w:t>
            </w:r>
            <w:r w:rsidR="007E7259">
              <w:rPr>
                <w:sz w:val="20"/>
                <w:szCs w:val="20"/>
              </w:rPr>
              <w:t>”</w:t>
            </w:r>
            <w:r w:rsidR="00115CF6">
              <w:rPr>
                <w:sz w:val="20"/>
                <w:szCs w:val="20"/>
              </w:rPr>
              <w:t>.</w:t>
            </w:r>
          </w:p>
          <w:p w:rsidR="00687C5B" w:rsidRPr="00687C5B" w:rsidRDefault="00687C5B" w:rsidP="002C4E04">
            <w:pPr>
              <w:jc w:val="both"/>
              <w:rPr>
                <w:b/>
                <w:sz w:val="20"/>
                <w:szCs w:val="20"/>
              </w:rPr>
            </w:pPr>
          </w:p>
          <w:p w:rsidR="003039BF" w:rsidRDefault="003039BF" w:rsidP="002C4E04">
            <w:pPr>
              <w:jc w:val="both"/>
              <w:rPr>
                <w:sz w:val="20"/>
                <w:szCs w:val="20"/>
              </w:rPr>
            </w:pPr>
            <w:r w:rsidRPr="00906787">
              <w:rPr>
                <w:b/>
                <w:sz w:val="20"/>
                <w:szCs w:val="20"/>
              </w:rPr>
              <w:t>Tipo:</w:t>
            </w:r>
            <w:r w:rsidR="005A40FB">
              <w:rPr>
                <w:sz w:val="20"/>
                <w:szCs w:val="20"/>
              </w:rPr>
              <w:t xml:space="preserve"> </w:t>
            </w:r>
            <w:r w:rsidR="005A40FB" w:rsidRPr="004649ED">
              <w:rPr>
                <w:sz w:val="20"/>
                <w:szCs w:val="20"/>
              </w:rPr>
              <w:t xml:space="preserve">obligación, </w:t>
            </w:r>
            <w:r w:rsidR="005A40FB" w:rsidRPr="00687C5B">
              <w:rPr>
                <w:sz w:val="20"/>
                <w:szCs w:val="20"/>
              </w:rPr>
              <w:t xml:space="preserve">servicio, </w:t>
            </w:r>
            <w:r w:rsidR="005A40FB" w:rsidRPr="00100C66">
              <w:rPr>
                <w:b/>
                <w:sz w:val="20"/>
                <w:szCs w:val="20"/>
                <w:u w:val="single"/>
              </w:rPr>
              <w:t>beneficio</w:t>
            </w:r>
            <w:r w:rsidR="005A40FB" w:rsidRPr="00906787">
              <w:rPr>
                <w:sz w:val="20"/>
                <w:szCs w:val="20"/>
              </w:rPr>
              <w:t>,</w:t>
            </w:r>
            <w:r w:rsidR="005A40FB">
              <w:rPr>
                <w:sz w:val="20"/>
                <w:szCs w:val="20"/>
              </w:rPr>
              <w:t xml:space="preserve"> consulta, inicio de procedimiento o conservación.</w:t>
            </w:r>
          </w:p>
          <w:p w:rsidR="00687C5B" w:rsidRDefault="00687C5B" w:rsidP="002C4E04">
            <w:pPr>
              <w:jc w:val="both"/>
              <w:rPr>
                <w:sz w:val="20"/>
                <w:szCs w:val="20"/>
              </w:rPr>
            </w:pPr>
          </w:p>
          <w:p w:rsidR="009C66F6" w:rsidRPr="00906787" w:rsidRDefault="009C66F6" w:rsidP="002C4E04">
            <w:pPr>
              <w:jc w:val="both"/>
              <w:rPr>
                <w:sz w:val="20"/>
                <w:szCs w:val="20"/>
              </w:rPr>
            </w:pPr>
            <w:r w:rsidRPr="00906787">
              <w:rPr>
                <w:sz w:val="20"/>
                <w:szCs w:val="20"/>
              </w:rPr>
              <w:t xml:space="preserve">1.- </w:t>
            </w:r>
            <w:r w:rsidR="00881804" w:rsidRPr="00906787">
              <w:rPr>
                <w:sz w:val="20"/>
                <w:szCs w:val="20"/>
              </w:rPr>
              <w:t>El otorgamiento de l</w:t>
            </w:r>
            <w:r w:rsidRPr="00906787">
              <w:rPr>
                <w:sz w:val="20"/>
                <w:szCs w:val="20"/>
              </w:rPr>
              <w:t xml:space="preserve">a Constancia de Autorización de uso secundario del espectro radioeléctrico, </w:t>
            </w:r>
            <w:r w:rsidR="00687C5B" w:rsidRPr="00906787">
              <w:rPr>
                <w:sz w:val="20"/>
                <w:szCs w:val="20"/>
              </w:rPr>
              <w:t>benef</w:t>
            </w:r>
            <w:r w:rsidR="00881804" w:rsidRPr="00906787">
              <w:rPr>
                <w:sz w:val="20"/>
                <w:szCs w:val="20"/>
              </w:rPr>
              <w:t xml:space="preserve">icia al interesado, ya que resuelve necesidades específicas de telecomunicaciones </w:t>
            </w:r>
            <w:r w:rsidR="00225A16" w:rsidRPr="00906787">
              <w:rPr>
                <w:sz w:val="20"/>
                <w:szCs w:val="20"/>
              </w:rPr>
              <w:t xml:space="preserve">para </w:t>
            </w:r>
            <w:r w:rsidR="004649ED" w:rsidRPr="00906787">
              <w:rPr>
                <w:sz w:val="20"/>
                <w:szCs w:val="20"/>
              </w:rPr>
              <w:t>el desarrollo</w:t>
            </w:r>
            <w:r w:rsidR="00225A16" w:rsidRPr="00906787">
              <w:rPr>
                <w:sz w:val="20"/>
                <w:szCs w:val="20"/>
              </w:rPr>
              <w:t xml:space="preserve"> y operación de eventos especiales y/o actividades comerciales e industriales</w:t>
            </w:r>
            <w:r w:rsidRPr="00906787">
              <w:rPr>
                <w:sz w:val="20"/>
                <w:szCs w:val="20"/>
              </w:rPr>
              <w:t>; y</w:t>
            </w:r>
          </w:p>
          <w:p w:rsidR="00881804" w:rsidRPr="00906787" w:rsidRDefault="00881804" w:rsidP="002C4E04">
            <w:pPr>
              <w:jc w:val="both"/>
              <w:rPr>
                <w:sz w:val="20"/>
                <w:szCs w:val="20"/>
              </w:rPr>
            </w:pPr>
          </w:p>
          <w:p w:rsidR="00687C5B" w:rsidRDefault="009C66F6" w:rsidP="002C4E04">
            <w:pPr>
              <w:jc w:val="both"/>
              <w:rPr>
                <w:sz w:val="20"/>
                <w:szCs w:val="20"/>
              </w:rPr>
            </w:pPr>
            <w:r w:rsidRPr="00906787">
              <w:rPr>
                <w:sz w:val="20"/>
                <w:szCs w:val="20"/>
              </w:rPr>
              <w:t xml:space="preserve">2.- </w:t>
            </w:r>
            <w:r w:rsidR="004649ED" w:rsidRPr="00906787">
              <w:rPr>
                <w:sz w:val="20"/>
                <w:szCs w:val="20"/>
              </w:rPr>
              <w:t xml:space="preserve">El permitir </w:t>
            </w:r>
            <w:r w:rsidR="00526014" w:rsidRPr="00906787">
              <w:rPr>
                <w:sz w:val="20"/>
                <w:szCs w:val="20"/>
              </w:rPr>
              <w:t xml:space="preserve">el uso del espectro </w:t>
            </w:r>
            <w:r w:rsidR="004649ED" w:rsidRPr="00906787">
              <w:rPr>
                <w:sz w:val="20"/>
                <w:szCs w:val="20"/>
              </w:rPr>
              <w:t xml:space="preserve">en el certificado de homologación que emita el Instituto </w:t>
            </w:r>
            <w:r w:rsidR="00F760D5" w:rsidRPr="00906787">
              <w:rPr>
                <w:sz w:val="20"/>
                <w:szCs w:val="20"/>
              </w:rPr>
              <w:t xml:space="preserve">respecto a </w:t>
            </w:r>
            <w:r w:rsidR="004649ED" w:rsidRPr="00906787">
              <w:rPr>
                <w:sz w:val="20"/>
                <w:szCs w:val="20"/>
              </w:rPr>
              <w:t>los dispositivos de radiocomunicación de corto alcance</w:t>
            </w:r>
            <w:r w:rsidR="00F760D5" w:rsidRPr="00906787">
              <w:rPr>
                <w:sz w:val="20"/>
                <w:szCs w:val="20"/>
              </w:rPr>
              <w:t xml:space="preserve">, dota de certeza jurídica a los comercializadores así como a los usuarios </w:t>
            </w:r>
            <w:r w:rsidR="0004338E">
              <w:rPr>
                <w:sz w:val="20"/>
                <w:szCs w:val="20"/>
              </w:rPr>
              <w:t xml:space="preserve">que utilizan </w:t>
            </w:r>
            <w:r w:rsidR="00F760D5" w:rsidRPr="00906787">
              <w:rPr>
                <w:sz w:val="20"/>
                <w:szCs w:val="20"/>
              </w:rPr>
              <w:t>los mismos.</w:t>
            </w:r>
          </w:p>
          <w:p w:rsidR="00B06718" w:rsidRDefault="00B06718" w:rsidP="002C4E04">
            <w:pPr>
              <w:jc w:val="both"/>
              <w:rPr>
                <w:sz w:val="20"/>
                <w:szCs w:val="20"/>
              </w:rPr>
            </w:pPr>
          </w:p>
          <w:p w:rsidR="003039BF" w:rsidRPr="00C20E75" w:rsidRDefault="005A40FB" w:rsidP="002C4E04">
            <w:pPr>
              <w:jc w:val="both"/>
              <w:rPr>
                <w:b/>
                <w:sz w:val="20"/>
                <w:szCs w:val="20"/>
              </w:rPr>
            </w:pPr>
            <w:r w:rsidRPr="00C20E75">
              <w:rPr>
                <w:b/>
                <w:sz w:val="20"/>
                <w:szCs w:val="20"/>
              </w:rPr>
              <w:t>Vigencia:</w:t>
            </w:r>
          </w:p>
          <w:p w:rsidR="00881804" w:rsidRDefault="00881804" w:rsidP="002C4E04">
            <w:pPr>
              <w:jc w:val="both"/>
              <w:rPr>
                <w:sz w:val="20"/>
                <w:szCs w:val="20"/>
              </w:rPr>
            </w:pPr>
          </w:p>
          <w:p w:rsidR="00E804FC" w:rsidRPr="00C20E75" w:rsidRDefault="00D57F3A" w:rsidP="002C4E04">
            <w:pPr>
              <w:jc w:val="both"/>
              <w:rPr>
                <w:sz w:val="20"/>
                <w:szCs w:val="20"/>
              </w:rPr>
            </w:pPr>
            <w:r w:rsidRPr="00C20E75">
              <w:rPr>
                <w:sz w:val="20"/>
                <w:szCs w:val="20"/>
              </w:rPr>
              <w:t xml:space="preserve">1.- </w:t>
            </w:r>
            <w:r w:rsidR="00E804FC" w:rsidRPr="00C20E75">
              <w:rPr>
                <w:sz w:val="20"/>
                <w:szCs w:val="20"/>
              </w:rPr>
              <w:t xml:space="preserve">El uso secundario de las bandas de frecuencias del espectro radioeléctrico que el Instituto otorgue mediante la Constancia de Autorización para eventos </w:t>
            </w:r>
            <w:r w:rsidR="0004338E">
              <w:rPr>
                <w:sz w:val="20"/>
                <w:szCs w:val="20"/>
              </w:rPr>
              <w:t>específicos</w:t>
            </w:r>
            <w:r w:rsidR="00E804FC" w:rsidRPr="00C20E75">
              <w:rPr>
                <w:sz w:val="20"/>
                <w:szCs w:val="20"/>
              </w:rPr>
              <w:t>, p</w:t>
            </w:r>
            <w:r w:rsidR="00247DAB">
              <w:rPr>
                <w:sz w:val="20"/>
                <w:szCs w:val="20"/>
              </w:rPr>
              <w:t>odrá ser por un plazo de hasta sesenta</w:t>
            </w:r>
            <w:r w:rsidR="00E804FC" w:rsidRPr="00C20E75">
              <w:rPr>
                <w:sz w:val="20"/>
                <w:szCs w:val="20"/>
              </w:rPr>
              <w:t xml:space="preserve"> días </w:t>
            </w:r>
            <w:r w:rsidR="0004338E">
              <w:rPr>
                <w:sz w:val="20"/>
                <w:szCs w:val="20"/>
              </w:rPr>
              <w:t>naturales</w:t>
            </w:r>
            <w:r w:rsidR="00E804FC" w:rsidRPr="00C20E75">
              <w:rPr>
                <w:sz w:val="20"/>
                <w:szCs w:val="20"/>
              </w:rPr>
              <w:t xml:space="preserve">, </w:t>
            </w:r>
            <w:r w:rsidR="00682815" w:rsidRPr="00682815">
              <w:rPr>
                <w:bCs/>
                <w:sz w:val="20"/>
                <w:szCs w:val="20"/>
              </w:rPr>
              <w:t>para este caso no opera la prórroga</w:t>
            </w:r>
            <w:r w:rsidR="00E804FC" w:rsidRPr="00C20E75">
              <w:rPr>
                <w:sz w:val="20"/>
                <w:szCs w:val="20"/>
              </w:rPr>
              <w:t>.</w:t>
            </w:r>
          </w:p>
          <w:p w:rsidR="00E804FC" w:rsidRPr="00C20E75" w:rsidRDefault="00E804FC" w:rsidP="002C4E04">
            <w:pPr>
              <w:jc w:val="both"/>
              <w:rPr>
                <w:sz w:val="20"/>
                <w:szCs w:val="20"/>
              </w:rPr>
            </w:pPr>
          </w:p>
          <w:p w:rsidR="00D57F3A" w:rsidRPr="00C20E75" w:rsidRDefault="00E804FC" w:rsidP="002C4E04">
            <w:pPr>
              <w:jc w:val="both"/>
              <w:rPr>
                <w:sz w:val="20"/>
                <w:szCs w:val="20"/>
              </w:rPr>
            </w:pPr>
            <w:r w:rsidRPr="00C20E75">
              <w:rPr>
                <w:sz w:val="20"/>
                <w:szCs w:val="20"/>
              </w:rPr>
              <w:t>2.- La Constancia de Autorización p</w:t>
            </w:r>
            <w:r w:rsidR="00F92323">
              <w:rPr>
                <w:sz w:val="20"/>
                <w:szCs w:val="20"/>
              </w:rPr>
              <w:t>ara instalaciones destinadas a actividades comerciales o i</w:t>
            </w:r>
            <w:r w:rsidRPr="00C20E75">
              <w:rPr>
                <w:sz w:val="20"/>
                <w:szCs w:val="20"/>
              </w:rPr>
              <w:t>ndustriales, podrá ser o</w:t>
            </w:r>
            <w:r w:rsidR="008C54A1">
              <w:rPr>
                <w:sz w:val="20"/>
                <w:szCs w:val="20"/>
              </w:rPr>
              <w:t>torgada hasta por un plazo de diez</w:t>
            </w:r>
            <w:r w:rsidRPr="00C20E75">
              <w:rPr>
                <w:sz w:val="20"/>
                <w:szCs w:val="20"/>
              </w:rPr>
              <w:t xml:space="preserve"> años, </w:t>
            </w:r>
            <w:r w:rsidR="008C54A1" w:rsidRPr="008C54A1">
              <w:rPr>
                <w:sz w:val="20"/>
                <w:szCs w:val="20"/>
              </w:rPr>
              <w:t>y podrá ser prorrogada hasta por plazos iguales en casos debidamente justificados</w:t>
            </w:r>
            <w:r w:rsidRPr="00C20E75">
              <w:rPr>
                <w:sz w:val="20"/>
                <w:szCs w:val="20"/>
              </w:rPr>
              <w:t>.</w:t>
            </w:r>
          </w:p>
          <w:p w:rsidR="00215776" w:rsidRPr="00C20E75" w:rsidRDefault="00215776" w:rsidP="002C4E04">
            <w:pPr>
              <w:jc w:val="both"/>
              <w:rPr>
                <w:sz w:val="20"/>
                <w:szCs w:val="20"/>
              </w:rPr>
            </w:pPr>
          </w:p>
          <w:p w:rsidR="003039BF" w:rsidRPr="00C20E75" w:rsidRDefault="003039BF" w:rsidP="002C4E04">
            <w:pPr>
              <w:jc w:val="both"/>
              <w:rPr>
                <w:b/>
                <w:sz w:val="20"/>
                <w:szCs w:val="20"/>
              </w:rPr>
            </w:pPr>
            <w:r w:rsidRPr="00C20E75">
              <w:rPr>
                <w:b/>
                <w:sz w:val="20"/>
                <w:szCs w:val="20"/>
              </w:rPr>
              <w:t>Medio de presentación:</w:t>
            </w:r>
          </w:p>
          <w:p w:rsidR="00A806B8" w:rsidRPr="00A806B8" w:rsidRDefault="00A806B8" w:rsidP="002C4E04">
            <w:pPr>
              <w:jc w:val="both"/>
              <w:rPr>
                <w:b/>
                <w:sz w:val="20"/>
                <w:szCs w:val="20"/>
              </w:rPr>
            </w:pPr>
          </w:p>
          <w:p w:rsidR="00A806B8" w:rsidRPr="00C20E75" w:rsidRDefault="00140E82" w:rsidP="002C4E04">
            <w:pPr>
              <w:jc w:val="both"/>
              <w:rPr>
                <w:sz w:val="20"/>
                <w:szCs w:val="20"/>
              </w:rPr>
            </w:pPr>
            <w:r w:rsidRPr="00C20E75">
              <w:rPr>
                <w:sz w:val="20"/>
                <w:szCs w:val="20"/>
              </w:rPr>
              <w:t>L</w:t>
            </w:r>
            <w:r w:rsidR="00A806B8" w:rsidRPr="00C20E75">
              <w:rPr>
                <w:sz w:val="20"/>
                <w:szCs w:val="20"/>
              </w:rPr>
              <w:t xml:space="preserve">a presentación del trámite se hará </w:t>
            </w:r>
            <w:r w:rsidR="00BF2804" w:rsidRPr="00C20E75">
              <w:rPr>
                <w:sz w:val="20"/>
                <w:szCs w:val="20"/>
              </w:rPr>
              <w:t>en escrito libre</w:t>
            </w:r>
            <w:r w:rsidR="00A806B8" w:rsidRPr="00C20E75">
              <w:rPr>
                <w:sz w:val="20"/>
                <w:szCs w:val="20"/>
              </w:rPr>
              <w:t xml:space="preserve"> ante la oficia</w:t>
            </w:r>
            <w:r w:rsidR="00CB11A8" w:rsidRPr="00C20E75">
              <w:rPr>
                <w:sz w:val="20"/>
                <w:szCs w:val="20"/>
              </w:rPr>
              <w:t>lía</w:t>
            </w:r>
            <w:r w:rsidR="00A806B8" w:rsidRPr="00C20E75">
              <w:rPr>
                <w:sz w:val="20"/>
                <w:szCs w:val="20"/>
              </w:rPr>
              <w:t xml:space="preserve"> de partes del Instituto.</w:t>
            </w:r>
          </w:p>
          <w:p w:rsidR="00664830" w:rsidRPr="003039BF" w:rsidRDefault="00664830" w:rsidP="002C4E04">
            <w:pPr>
              <w:jc w:val="both"/>
              <w:rPr>
                <w:sz w:val="20"/>
                <w:szCs w:val="20"/>
              </w:rPr>
            </w:pPr>
          </w:p>
          <w:p w:rsidR="003039BF" w:rsidRPr="00C20E75" w:rsidRDefault="003039BF" w:rsidP="002C4E04">
            <w:pPr>
              <w:jc w:val="both"/>
              <w:rPr>
                <w:b/>
                <w:sz w:val="20"/>
                <w:szCs w:val="20"/>
              </w:rPr>
            </w:pPr>
            <w:r w:rsidRPr="00C20E75">
              <w:rPr>
                <w:b/>
                <w:sz w:val="20"/>
                <w:szCs w:val="20"/>
              </w:rPr>
              <w:t>Requisitos:</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I. Acreditar su identidad (nombre, razón o denominación social).</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Para personas físicas</w:t>
            </w:r>
            <w:r w:rsidR="007E7259">
              <w:rPr>
                <w:rFonts w:cstheme="minorHAnsi"/>
                <w:sz w:val="20"/>
                <w:szCs w:val="20"/>
              </w:rPr>
              <w:t>, la identidad</w:t>
            </w:r>
            <w:r w:rsidRPr="00136031">
              <w:rPr>
                <w:rFonts w:cstheme="minorHAnsi"/>
                <w:sz w:val="20"/>
                <w:szCs w:val="20"/>
              </w:rPr>
              <w:t xml:space="preserve"> se acreditará con original o copia certificada del pasaporte vigente, credencial para votar, cartilla liberada del Servicio Militar, Nacional o cédula profesional, debiendo adjuntar una copia simple para su cotejo.</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Para personas morales</w:t>
            </w:r>
            <w:r w:rsidR="00C33B0E">
              <w:rPr>
                <w:rFonts w:cstheme="minorHAnsi"/>
                <w:sz w:val="20"/>
                <w:szCs w:val="20"/>
              </w:rPr>
              <w:t>, la identidad</w:t>
            </w:r>
            <w:r w:rsidRPr="00136031">
              <w:rPr>
                <w:rFonts w:cstheme="minorHAnsi"/>
                <w:sz w:val="20"/>
                <w:szCs w:val="20"/>
              </w:rPr>
              <w:t xml:space="preserve"> se acreditará con original o copia certificada del testimonio de la escritura pública en la que conste el acta constitutiva inscrita en el Registro Público de Comercio, debiendo adjuntar una copia simple para su cotejo.</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La solicitud deberá contener el nombre y firma del solicitante o de su representante legal cuya identidad y poderes se acrediten con original o copia certificada del instrumento otorgado ante fedatario público que acredite que cuenta con poder general para actos de administración, adjuntando original y copia simple de la identificación oficial del representante legal.</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II. Señalar domicilio para oír y recibir notificaciones en la Ciudad de México.</w:t>
            </w:r>
          </w:p>
          <w:p w:rsidR="00136031" w:rsidRPr="00136031" w:rsidRDefault="00136031" w:rsidP="00136031">
            <w:pPr>
              <w:jc w:val="both"/>
              <w:rPr>
                <w:rFonts w:cstheme="minorHAnsi"/>
                <w:sz w:val="20"/>
                <w:szCs w:val="20"/>
              </w:rPr>
            </w:pPr>
            <w:r w:rsidRPr="00136031">
              <w:rPr>
                <w:rFonts w:cstheme="minorHAnsi"/>
                <w:sz w:val="20"/>
                <w:szCs w:val="20"/>
              </w:rPr>
              <w:t>III. Señalar correo electrónico y teléfono del Interesado o de su representante legal.</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F92323">
              <w:rPr>
                <w:rFonts w:cstheme="minorHAnsi"/>
                <w:b/>
                <w:sz w:val="20"/>
                <w:szCs w:val="20"/>
              </w:rPr>
              <w:t xml:space="preserve">Adicionalmente para el caso de </w:t>
            </w:r>
            <w:r w:rsidR="00174196">
              <w:rPr>
                <w:rFonts w:cstheme="minorHAnsi"/>
                <w:b/>
                <w:sz w:val="20"/>
                <w:szCs w:val="20"/>
              </w:rPr>
              <w:t xml:space="preserve">la modalidad de </w:t>
            </w:r>
            <w:r w:rsidR="00174196" w:rsidRPr="00174196">
              <w:rPr>
                <w:rFonts w:cstheme="minorHAnsi"/>
                <w:b/>
                <w:sz w:val="20"/>
                <w:szCs w:val="20"/>
              </w:rPr>
              <w:t xml:space="preserve">Autorización para </w:t>
            </w:r>
            <w:r w:rsidRPr="00F92323">
              <w:rPr>
                <w:rFonts w:cstheme="minorHAnsi"/>
                <w:b/>
                <w:sz w:val="20"/>
                <w:szCs w:val="20"/>
              </w:rPr>
              <w:t>Eventos Específicos,</w:t>
            </w:r>
            <w:r w:rsidRPr="00136031">
              <w:rPr>
                <w:rFonts w:cstheme="minorHAnsi"/>
                <w:sz w:val="20"/>
                <w:szCs w:val="20"/>
              </w:rPr>
              <w:t xml:space="preserve"> debe presentar lo siguiente:</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I. Señalar el tipo y descripción del Evento; (artístico, cultural, deportivo entre otros);</w:t>
            </w:r>
          </w:p>
          <w:p w:rsidR="00136031" w:rsidRPr="00136031" w:rsidRDefault="00136031" w:rsidP="00136031">
            <w:pPr>
              <w:jc w:val="both"/>
              <w:rPr>
                <w:rFonts w:cstheme="minorHAnsi"/>
                <w:sz w:val="20"/>
                <w:szCs w:val="20"/>
              </w:rPr>
            </w:pPr>
            <w:r w:rsidRPr="00136031">
              <w:rPr>
                <w:rFonts w:cstheme="minorHAnsi"/>
                <w:sz w:val="20"/>
                <w:szCs w:val="20"/>
              </w:rPr>
              <w:t xml:space="preserve">II. Indicar ubicación geográfica del sitio donde tendrá lugar el evento, indicando el perímetro dentro del cual se requiere utilizar las bandas de frecuencias del espectro radioeléctrico para uso secundario; </w:t>
            </w:r>
          </w:p>
          <w:p w:rsidR="00136031" w:rsidRPr="00136031" w:rsidRDefault="00136031" w:rsidP="00136031">
            <w:pPr>
              <w:jc w:val="both"/>
              <w:rPr>
                <w:rFonts w:cstheme="minorHAnsi"/>
                <w:sz w:val="20"/>
                <w:szCs w:val="20"/>
              </w:rPr>
            </w:pPr>
            <w:r w:rsidRPr="00136031">
              <w:rPr>
                <w:rFonts w:cstheme="minorHAnsi"/>
                <w:sz w:val="20"/>
                <w:szCs w:val="20"/>
              </w:rPr>
              <w:t>III. Adjuntar la relación de los equipos y dispositivos de telecomunicaciones que el Interesado pretende operar durante la organización y celebración del Evento Específico, la cual deberá contener para cada equipo o dispositivo la siguiente información:</w:t>
            </w:r>
          </w:p>
          <w:p w:rsidR="00136031" w:rsidRPr="00136031" w:rsidRDefault="00136031" w:rsidP="00136031">
            <w:pPr>
              <w:jc w:val="both"/>
              <w:rPr>
                <w:rFonts w:cstheme="minorHAnsi"/>
                <w:sz w:val="20"/>
                <w:szCs w:val="20"/>
              </w:rPr>
            </w:pPr>
            <w:r w:rsidRPr="00136031">
              <w:rPr>
                <w:rFonts w:cstheme="minorHAnsi"/>
                <w:sz w:val="20"/>
                <w:szCs w:val="20"/>
              </w:rPr>
              <w:t>a) Identificador único del equipo o dispositivo para efectos del presente trámite.</w:t>
            </w:r>
          </w:p>
          <w:p w:rsidR="00136031" w:rsidRPr="00136031" w:rsidRDefault="00136031" w:rsidP="00136031">
            <w:pPr>
              <w:jc w:val="both"/>
              <w:rPr>
                <w:rFonts w:cstheme="minorHAnsi"/>
                <w:sz w:val="20"/>
                <w:szCs w:val="20"/>
              </w:rPr>
            </w:pPr>
            <w:r w:rsidRPr="00136031">
              <w:rPr>
                <w:rFonts w:cstheme="minorHAnsi"/>
                <w:sz w:val="20"/>
                <w:szCs w:val="20"/>
              </w:rPr>
              <w:t>b) Marca del equipo.</w:t>
            </w:r>
          </w:p>
          <w:p w:rsidR="00136031" w:rsidRPr="00136031" w:rsidRDefault="00136031" w:rsidP="00136031">
            <w:pPr>
              <w:jc w:val="both"/>
              <w:rPr>
                <w:rFonts w:cstheme="minorHAnsi"/>
                <w:sz w:val="20"/>
                <w:szCs w:val="20"/>
              </w:rPr>
            </w:pPr>
            <w:r w:rsidRPr="00136031">
              <w:rPr>
                <w:rFonts w:cstheme="minorHAnsi"/>
                <w:sz w:val="20"/>
                <w:szCs w:val="20"/>
              </w:rPr>
              <w:t>c) Modelo del equipo.</w:t>
            </w:r>
          </w:p>
          <w:p w:rsidR="00136031" w:rsidRPr="00136031" w:rsidRDefault="00136031" w:rsidP="00136031">
            <w:pPr>
              <w:jc w:val="both"/>
              <w:rPr>
                <w:rFonts w:cstheme="minorHAnsi"/>
                <w:sz w:val="20"/>
                <w:szCs w:val="20"/>
              </w:rPr>
            </w:pPr>
            <w:r w:rsidRPr="00136031">
              <w:rPr>
                <w:rFonts w:cstheme="minorHAnsi"/>
                <w:sz w:val="20"/>
                <w:szCs w:val="20"/>
              </w:rPr>
              <w:t>d) Fabricante del equipo.</w:t>
            </w:r>
          </w:p>
          <w:p w:rsidR="00136031" w:rsidRPr="00136031" w:rsidRDefault="00136031" w:rsidP="00136031">
            <w:pPr>
              <w:jc w:val="both"/>
              <w:rPr>
                <w:rFonts w:cstheme="minorHAnsi"/>
                <w:sz w:val="20"/>
                <w:szCs w:val="20"/>
              </w:rPr>
            </w:pPr>
            <w:r w:rsidRPr="00136031">
              <w:rPr>
                <w:rFonts w:cstheme="minorHAnsi"/>
                <w:sz w:val="20"/>
                <w:szCs w:val="20"/>
              </w:rPr>
              <w:t>e) Frecuencia(s) específica(s) de operación solicitada(s) para cada equipo en Megahertz (MHz).</w:t>
            </w:r>
          </w:p>
          <w:p w:rsidR="00136031" w:rsidRPr="00136031" w:rsidRDefault="00136031" w:rsidP="00136031">
            <w:pPr>
              <w:jc w:val="both"/>
              <w:rPr>
                <w:rFonts w:cstheme="minorHAnsi"/>
                <w:sz w:val="20"/>
                <w:szCs w:val="20"/>
              </w:rPr>
            </w:pPr>
            <w:r w:rsidRPr="00136031">
              <w:rPr>
                <w:rFonts w:cstheme="minorHAnsi"/>
                <w:sz w:val="20"/>
                <w:szCs w:val="20"/>
              </w:rPr>
              <w:t>f) Rango de frecuencias en el cual es capaz de operar cada equipo en MHz.</w:t>
            </w:r>
          </w:p>
          <w:p w:rsidR="00136031" w:rsidRPr="00136031" w:rsidRDefault="00136031" w:rsidP="00136031">
            <w:pPr>
              <w:jc w:val="both"/>
              <w:rPr>
                <w:rFonts w:cstheme="minorHAnsi"/>
                <w:sz w:val="20"/>
                <w:szCs w:val="20"/>
              </w:rPr>
            </w:pPr>
            <w:r w:rsidRPr="00136031">
              <w:rPr>
                <w:rFonts w:cstheme="minorHAnsi"/>
                <w:sz w:val="20"/>
                <w:szCs w:val="20"/>
              </w:rPr>
              <w:t>g) Potencia nominal de transmisión de cada equipo en Watts (W).</w:t>
            </w:r>
          </w:p>
          <w:p w:rsidR="00136031" w:rsidRPr="00136031" w:rsidRDefault="00136031" w:rsidP="00136031">
            <w:pPr>
              <w:jc w:val="both"/>
              <w:rPr>
                <w:rFonts w:cstheme="minorHAnsi"/>
                <w:sz w:val="20"/>
                <w:szCs w:val="20"/>
              </w:rPr>
            </w:pPr>
            <w:r w:rsidRPr="00136031">
              <w:rPr>
                <w:rFonts w:cstheme="minorHAnsi"/>
                <w:sz w:val="20"/>
                <w:szCs w:val="20"/>
              </w:rPr>
              <w:t>h) Clase de emisión.</w:t>
            </w:r>
          </w:p>
          <w:p w:rsidR="00136031" w:rsidRPr="00136031" w:rsidRDefault="00136031" w:rsidP="00136031">
            <w:pPr>
              <w:jc w:val="both"/>
              <w:rPr>
                <w:rFonts w:cstheme="minorHAnsi"/>
                <w:sz w:val="20"/>
                <w:szCs w:val="20"/>
              </w:rPr>
            </w:pPr>
            <w:r w:rsidRPr="00136031">
              <w:rPr>
                <w:rFonts w:cstheme="minorHAnsi"/>
                <w:sz w:val="20"/>
                <w:szCs w:val="20"/>
              </w:rPr>
              <w:t xml:space="preserve">i) Tipo de modulación. </w:t>
            </w:r>
          </w:p>
          <w:p w:rsidR="00136031" w:rsidRPr="00136031" w:rsidRDefault="00136031" w:rsidP="00136031">
            <w:pPr>
              <w:jc w:val="both"/>
              <w:rPr>
                <w:rFonts w:cstheme="minorHAnsi"/>
                <w:sz w:val="20"/>
                <w:szCs w:val="20"/>
              </w:rPr>
            </w:pPr>
            <w:r w:rsidRPr="00136031">
              <w:rPr>
                <w:rFonts w:cstheme="minorHAnsi"/>
                <w:sz w:val="20"/>
                <w:szCs w:val="20"/>
              </w:rPr>
              <w:t>j) Ancho de banda de canal de transmisión en kilohertz (kHz).</w:t>
            </w:r>
          </w:p>
          <w:p w:rsidR="00136031" w:rsidRPr="00136031" w:rsidRDefault="00136031" w:rsidP="00136031">
            <w:pPr>
              <w:jc w:val="both"/>
              <w:rPr>
                <w:rFonts w:cstheme="minorHAnsi"/>
                <w:sz w:val="20"/>
                <w:szCs w:val="20"/>
              </w:rPr>
            </w:pPr>
            <w:r w:rsidRPr="00136031">
              <w:rPr>
                <w:rFonts w:cstheme="minorHAnsi"/>
                <w:sz w:val="20"/>
                <w:szCs w:val="20"/>
              </w:rPr>
              <w:t>k) Usuario (por ejemplo: escudería, departamento, dependencia, área, etc).</w:t>
            </w:r>
          </w:p>
          <w:p w:rsidR="00136031" w:rsidRPr="00136031" w:rsidRDefault="00136031" w:rsidP="00136031">
            <w:pPr>
              <w:jc w:val="both"/>
              <w:rPr>
                <w:rFonts w:cstheme="minorHAnsi"/>
                <w:sz w:val="20"/>
                <w:szCs w:val="20"/>
              </w:rPr>
            </w:pPr>
            <w:r w:rsidRPr="00136031">
              <w:rPr>
                <w:rFonts w:cstheme="minorHAnsi"/>
                <w:sz w:val="20"/>
                <w:szCs w:val="20"/>
              </w:rPr>
              <w:t>l) Servicio de radiocomunicaciones que usa cada equipo, indicando el servicio y la banda de frecuencias del espectro radioeléctrico que se pretende ocupar, conforme al Cuadro Nacional de Atribución de Frecuencias (por ejemplo: Fijo, Móvil, Radiodifusión, Móvil por Satélite, etc.).</w:t>
            </w:r>
          </w:p>
          <w:p w:rsidR="00136031" w:rsidRPr="00136031" w:rsidRDefault="00136031" w:rsidP="00136031">
            <w:pPr>
              <w:jc w:val="both"/>
              <w:rPr>
                <w:rFonts w:cstheme="minorHAnsi"/>
                <w:sz w:val="20"/>
                <w:szCs w:val="20"/>
              </w:rPr>
            </w:pPr>
            <w:r w:rsidRPr="00136031">
              <w:rPr>
                <w:rFonts w:cstheme="minorHAnsi"/>
                <w:sz w:val="20"/>
                <w:szCs w:val="20"/>
              </w:rPr>
              <w:t>m) Aplicación del equipo (por ejemplo: Datos, Video, Telemetría, Micrófonos, Voz, etc.).</w:t>
            </w:r>
          </w:p>
          <w:p w:rsidR="00136031" w:rsidRPr="00136031" w:rsidRDefault="00136031" w:rsidP="00136031">
            <w:pPr>
              <w:jc w:val="both"/>
              <w:rPr>
                <w:rFonts w:cstheme="minorHAnsi"/>
                <w:sz w:val="20"/>
                <w:szCs w:val="20"/>
              </w:rPr>
            </w:pPr>
            <w:r w:rsidRPr="00136031">
              <w:rPr>
                <w:rFonts w:cstheme="minorHAnsi"/>
                <w:sz w:val="20"/>
                <w:szCs w:val="20"/>
              </w:rPr>
              <w:t>n) Hoja de especificaciones técnicas del equipo (data sheet).</w:t>
            </w:r>
          </w:p>
          <w:p w:rsidR="00136031" w:rsidRPr="00136031" w:rsidRDefault="00136031" w:rsidP="00136031">
            <w:pPr>
              <w:jc w:val="both"/>
              <w:rPr>
                <w:rFonts w:cstheme="minorHAnsi"/>
                <w:sz w:val="20"/>
                <w:szCs w:val="20"/>
              </w:rPr>
            </w:pPr>
            <w:r w:rsidRPr="00136031">
              <w:rPr>
                <w:rFonts w:cstheme="minorHAnsi"/>
                <w:sz w:val="20"/>
                <w:szCs w:val="20"/>
              </w:rPr>
              <w:t>IV. Señalar el periodo en el que se utilizarán las bandas de frecuencias del espectro radioeléctrico, el cual no podrá exceder de sesenta días naturales, y</w:t>
            </w:r>
          </w:p>
          <w:p w:rsidR="00136031" w:rsidRPr="00136031" w:rsidRDefault="00136031" w:rsidP="00136031">
            <w:pPr>
              <w:jc w:val="both"/>
              <w:rPr>
                <w:rFonts w:cstheme="minorHAnsi"/>
                <w:sz w:val="20"/>
                <w:szCs w:val="20"/>
              </w:rPr>
            </w:pPr>
            <w:r w:rsidRPr="00136031">
              <w:rPr>
                <w:rFonts w:cstheme="minorHAnsi"/>
                <w:sz w:val="20"/>
                <w:szCs w:val="20"/>
              </w:rPr>
              <w:t>V. Pagar la contraprestación que determine el Instituto, dentro de los diez días hábiles siguientes a la fecha de notificación del oficio correspondiente.</w:t>
            </w:r>
          </w:p>
          <w:p w:rsidR="00D3164C" w:rsidRDefault="00D3164C" w:rsidP="00136031">
            <w:pPr>
              <w:jc w:val="both"/>
              <w:rPr>
                <w:rFonts w:cstheme="minorHAnsi"/>
                <w:sz w:val="20"/>
                <w:szCs w:val="20"/>
              </w:rPr>
            </w:pPr>
          </w:p>
          <w:p w:rsidR="008F1823" w:rsidRPr="00136031" w:rsidRDefault="008F1823" w:rsidP="00136031">
            <w:pPr>
              <w:jc w:val="both"/>
              <w:rPr>
                <w:rFonts w:cstheme="minorHAnsi"/>
                <w:sz w:val="20"/>
                <w:szCs w:val="20"/>
              </w:rPr>
            </w:pPr>
          </w:p>
          <w:p w:rsidR="00136031" w:rsidRPr="00136031" w:rsidRDefault="00136031" w:rsidP="00136031">
            <w:pPr>
              <w:jc w:val="both"/>
              <w:rPr>
                <w:rFonts w:cstheme="minorHAnsi"/>
                <w:sz w:val="20"/>
                <w:szCs w:val="20"/>
              </w:rPr>
            </w:pPr>
            <w:r w:rsidRPr="00F92323">
              <w:rPr>
                <w:rFonts w:cstheme="minorHAnsi"/>
                <w:b/>
                <w:sz w:val="20"/>
                <w:szCs w:val="20"/>
              </w:rPr>
              <w:t xml:space="preserve">Y para </w:t>
            </w:r>
            <w:r w:rsidR="00F96189">
              <w:rPr>
                <w:rFonts w:cstheme="minorHAnsi"/>
                <w:b/>
                <w:sz w:val="20"/>
                <w:szCs w:val="20"/>
              </w:rPr>
              <w:t xml:space="preserve">la modalidad de </w:t>
            </w:r>
            <w:r w:rsidR="00F96189" w:rsidRPr="00F96189">
              <w:rPr>
                <w:rFonts w:cstheme="minorHAnsi"/>
                <w:b/>
                <w:sz w:val="20"/>
                <w:szCs w:val="20"/>
              </w:rPr>
              <w:t xml:space="preserve">Autorización para </w:t>
            </w:r>
            <w:r w:rsidRPr="00F92323">
              <w:rPr>
                <w:rFonts w:cstheme="minorHAnsi"/>
                <w:b/>
                <w:sz w:val="20"/>
                <w:szCs w:val="20"/>
              </w:rPr>
              <w:t>el caso de Instalaciones destinadas a actividades comerciales o industriales</w:t>
            </w:r>
            <w:r w:rsidRPr="00136031">
              <w:rPr>
                <w:rFonts w:cstheme="minorHAnsi"/>
                <w:sz w:val="20"/>
                <w:szCs w:val="20"/>
              </w:rPr>
              <w:t>, deberá presentar:</w:t>
            </w:r>
          </w:p>
          <w:p w:rsidR="00136031" w:rsidRPr="00136031" w:rsidRDefault="00136031" w:rsidP="00136031">
            <w:pPr>
              <w:jc w:val="both"/>
              <w:rPr>
                <w:rFonts w:cstheme="minorHAnsi"/>
                <w:sz w:val="20"/>
                <w:szCs w:val="20"/>
              </w:rPr>
            </w:pPr>
          </w:p>
          <w:p w:rsidR="00136031" w:rsidRPr="00136031" w:rsidRDefault="00136031" w:rsidP="00136031">
            <w:pPr>
              <w:jc w:val="both"/>
              <w:rPr>
                <w:rFonts w:cstheme="minorHAnsi"/>
                <w:sz w:val="20"/>
                <w:szCs w:val="20"/>
              </w:rPr>
            </w:pPr>
            <w:r w:rsidRPr="00136031">
              <w:rPr>
                <w:rFonts w:cstheme="minorHAnsi"/>
                <w:sz w:val="20"/>
                <w:szCs w:val="20"/>
              </w:rPr>
              <w:t>I. Indicar la ubicación geográfica del predio donde se llevan a cabo las actividades comerciales e industriales;</w:t>
            </w:r>
          </w:p>
          <w:p w:rsidR="00136031" w:rsidRPr="00136031" w:rsidRDefault="00136031" w:rsidP="00136031">
            <w:pPr>
              <w:jc w:val="both"/>
              <w:rPr>
                <w:rFonts w:cstheme="minorHAnsi"/>
                <w:sz w:val="20"/>
                <w:szCs w:val="20"/>
              </w:rPr>
            </w:pPr>
            <w:r w:rsidRPr="00136031">
              <w:rPr>
                <w:rFonts w:cstheme="minorHAnsi"/>
                <w:sz w:val="20"/>
                <w:szCs w:val="20"/>
              </w:rPr>
              <w:t>II. Adjuntar la relación de los equipos de telecomunicaciones que conformarán el sistema de radiocomunicación en los términos de la fracción tercera del artículo anterior, así como las características técnicas de operación;</w:t>
            </w:r>
          </w:p>
          <w:p w:rsidR="00136031" w:rsidRPr="00136031" w:rsidRDefault="00242C71" w:rsidP="00136031">
            <w:pPr>
              <w:jc w:val="both"/>
              <w:rPr>
                <w:rFonts w:cstheme="minorHAnsi"/>
                <w:sz w:val="20"/>
                <w:szCs w:val="20"/>
              </w:rPr>
            </w:pPr>
            <w:r>
              <w:rPr>
                <w:rFonts w:cstheme="minorHAnsi"/>
                <w:sz w:val="20"/>
                <w:szCs w:val="20"/>
              </w:rPr>
              <w:t xml:space="preserve">III. Presentar el(los) </w:t>
            </w:r>
            <w:r w:rsidR="00136031" w:rsidRPr="00136031">
              <w:rPr>
                <w:rFonts w:cstheme="minorHAnsi"/>
                <w:sz w:val="20"/>
                <w:szCs w:val="20"/>
              </w:rPr>
              <w:t>certificado(s) de homologación de los equipos que pretende utilizar;</w:t>
            </w:r>
          </w:p>
          <w:p w:rsidR="00136031" w:rsidRPr="00136031" w:rsidRDefault="00136031" w:rsidP="00136031">
            <w:pPr>
              <w:jc w:val="both"/>
              <w:rPr>
                <w:rFonts w:cstheme="minorHAnsi"/>
                <w:sz w:val="20"/>
                <w:szCs w:val="20"/>
              </w:rPr>
            </w:pPr>
            <w:r w:rsidRPr="00136031">
              <w:rPr>
                <w:rFonts w:cstheme="minorHAnsi"/>
                <w:sz w:val="20"/>
                <w:szCs w:val="20"/>
              </w:rPr>
              <w:t>IV. Justificar la imposibilidad de obtener en el mercado los servicios de telecomunicaciones por parte de algún concesionario o comercializador de servicios públicos de telecomunicaciones para satisfacer las necesidades específicas del solicitante.</w:t>
            </w:r>
          </w:p>
          <w:p w:rsidR="0083501D" w:rsidRPr="00136031" w:rsidRDefault="00136031" w:rsidP="00136031">
            <w:pPr>
              <w:jc w:val="both"/>
              <w:rPr>
                <w:rFonts w:cstheme="minorHAnsi"/>
                <w:sz w:val="20"/>
                <w:szCs w:val="20"/>
              </w:rPr>
            </w:pPr>
            <w:r w:rsidRPr="00136031">
              <w:rPr>
                <w:rFonts w:cstheme="minorHAnsi"/>
                <w:sz w:val="20"/>
                <w:szCs w:val="20"/>
              </w:rPr>
              <w:t>V. Pagar la contraprestación que determine el Instituto, dentro de los diez días hábiles siguientes a la fecha de notificación del oficio correspondiente.</w:t>
            </w:r>
          </w:p>
          <w:p w:rsidR="00136031" w:rsidRPr="002C4E04" w:rsidRDefault="00136031" w:rsidP="00136031">
            <w:pPr>
              <w:jc w:val="both"/>
              <w:rPr>
                <w:sz w:val="18"/>
                <w:szCs w:val="20"/>
                <w:lang w:val="es-ES"/>
              </w:rPr>
            </w:pPr>
          </w:p>
          <w:p w:rsidR="003039BF" w:rsidRDefault="003039BF" w:rsidP="002C4E04">
            <w:pPr>
              <w:jc w:val="both"/>
              <w:rPr>
                <w:b/>
                <w:sz w:val="20"/>
                <w:szCs w:val="20"/>
              </w:rPr>
            </w:pPr>
            <w:r w:rsidRPr="00F92323">
              <w:rPr>
                <w:b/>
                <w:sz w:val="20"/>
                <w:szCs w:val="20"/>
              </w:rPr>
              <w:t>Ficta:</w:t>
            </w:r>
          </w:p>
          <w:p w:rsidR="008F1823" w:rsidRPr="00F92323" w:rsidRDefault="008F1823" w:rsidP="002C4E04">
            <w:pPr>
              <w:jc w:val="both"/>
              <w:rPr>
                <w:b/>
                <w:sz w:val="20"/>
                <w:szCs w:val="20"/>
              </w:rPr>
            </w:pPr>
          </w:p>
          <w:p w:rsidR="00433C63" w:rsidRPr="006278C1" w:rsidRDefault="00E44FAB" w:rsidP="002C4E04">
            <w:pPr>
              <w:jc w:val="both"/>
              <w:rPr>
                <w:sz w:val="20"/>
                <w:szCs w:val="20"/>
              </w:rPr>
            </w:pPr>
            <w:r w:rsidRPr="006278C1">
              <w:rPr>
                <w:sz w:val="20"/>
                <w:szCs w:val="20"/>
              </w:rPr>
              <w:t>Para todos los trá</w:t>
            </w:r>
            <w:r w:rsidR="00433C63" w:rsidRPr="006278C1">
              <w:rPr>
                <w:sz w:val="20"/>
                <w:szCs w:val="20"/>
              </w:rPr>
              <w:t xml:space="preserve">mites </w:t>
            </w:r>
            <w:r w:rsidR="00626CB3">
              <w:rPr>
                <w:sz w:val="20"/>
                <w:szCs w:val="20"/>
              </w:rPr>
              <w:t xml:space="preserve">del presente anteproyecto de lineamientos se </w:t>
            </w:r>
            <w:r w:rsidR="00433C63" w:rsidRPr="006278C1">
              <w:rPr>
                <w:sz w:val="20"/>
                <w:szCs w:val="20"/>
              </w:rPr>
              <w:t xml:space="preserve">aplica la </w:t>
            </w:r>
            <w:r w:rsidR="00433C63" w:rsidRPr="006278C1">
              <w:rPr>
                <w:b/>
                <w:sz w:val="20"/>
                <w:szCs w:val="20"/>
              </w:rPr>
              <w:t>negativa ficta</w:t>
            </w:r>
            <w:r w:rsidR="00433C63" w:rsidRPr="006278C1">
              <w:rPr>
                <w:sz w:val="20"/>
                <w:szCs w:val="20"/>
              </w:rPr>
              <w:t xml:space="preserve"> en términos del artículo 17 de la Ley Federal de Procedimiento Administrativo.</w:t>
            </w:r>
          </w:p>
          <w:p w:rsidR="00433C63" w:rsidRPr="003039BF" w:rsidRDefault="00433C63" w:rsidP="002C4E04">
            <w:pPr>
              <w:jc w:val="both"/>
              <w:rPr>
                <w:sz w:val="20"/>
                <w:szCs w:val="20"/>
              </w:rPr>
            </w:pPr>
          </w:p>
          <w:p w:rsidR="003039BF" w:rsidRPr="006278C1" w:rsidRDefault="003039BF" w:rsidP="002C4E04">
            <w:pPr>
              <w:jc w:val="both"/>
              <w:rPr>
                <w:sz w:val="20"/>
                <w:szCs w:val="20"/>
              </w:rPr>
            </w:pPr>
            <w:r w:rsidRPr="00F92323">
              <w:rPr>
                <w:b/>
                <w:sz w:val="20"/>
                <w:szCs w:val="20"/>
              </w:rPr>
              <w:t>Plazo máximo de resolución</w:t>
            </w:r>
            <w:r w:rsidRPr="006278C1">
              <w:rPr>
                <w:sz w:val="20"/>
                <w:szCs w:val="20"/>
              </w:rPr>
              <w:t>:</w:t>
            </w:r>
          </w:p>
          <w:p w:rsidR="00516043" w:rsidRPr="006278C1" w:rsidRDefault="00F53906" w:rsidP="002C4E04">
            <w:pPr>
              <w:jc w:val="both"/>
              <w:rPr>
                <w:sz w:val="20"/>
                <w:szCs w:val="20"/>
              </w:rPr>
            </w:pPr>
            <w:r>
              <w:rPr>
                <w:sz w:val="20"/>
                <w:szCs w:val="20"/>
              </w:rPr>
              <w:t xml:space="preserve">90 días hábiles </w:t>
            </w:r>
            <w:r w:rsidR="00520BCA">
              <w:rPr>
                <w:sz w:val="20"/>
                <w:szCs w:val="20"/>
              </w:rPr>
              <w:t>plazo máximo de resolución.</w:t>
            </w:r>
          </w:p>
          <w:p w:rsidR="00516043" w:rsidRPr="00516043" w:rsidRDefault="00516043" w:rsidP="002C4E04">
            <w:pPr>
              <w:jc w:val="both"/>
              <w:rPr>
                <w:b/>
                <w:sz w:val="20"/>
                <w:szCs w:val="20"/>
              </w:rPr>
            </w:pPr>
          </w:p>
          <w:p w:rsidR="003039BF" w:rsidRPr="00F92323" w:rsidRDefault="003039BF" w:rsidP="002C4E04">
            <w:pPr>
              <w:jc w:val="both"/>
              <w:rPr>
                <w:b/>
                <w:sz w:val="20"/>
                <w:szCs w:val="20"/>
              </w:rPr>
            </w:pPr>
            <w:r w:rsidRPr="00F92323">
              <w:rPr>
                <w:b/>
                <w:sz w:val="20"/>
                <w:szCs w:val="20"/>
              </w:rPr>
              <w:t>Justificación:</w:t>
            </w:r>
          </w:p>
          <w:p w:rsidR="00434FC4" w:rsidRDefault="00434FC4" w:rsidP="002C4E04">
            <w:pPr>
              <w:jc w:val="both"/>
              <w:rPr>
                <w:sz w:val="20"/>
                <w:szCs w:val="20"/>
              </w:rPr>
            </w:pPr>
          </w:p>
          <w:p w:rsidR="007B664F" w:rsidRDefault="00B06718" w:rsidP="002C4E04">
            <w:pPr>
              <w:jc w:val="both"/>
              <w:rPr>
                <w:sz w:val="20"/>
                <w:szCs w:val="20"/>
              </w:rPr>
            </w:pPr>
            <w:r>
              <w:rPr>
                <w:sz w:val="20"/>
                <w:szCs w:val="20"/>
              </w:rPr>
              <w:t>Los Lineamientos pretenden otorgar de manera eficaz y transparente el uso de las bandas de uso secundario para satisfacer las necesidades motivo del presente documento, así como establecer de manera clara los términos y condiciones para su asignación, con ello se evitará una actuación discrecional en su otorgamiento. Lo anterior debido a que l</w:t>
            </w:r>
            <w:r w:rsidR="007B664F">
              <w:rPr>
                <w:sz w:val="20"/>
                <w:szCs w:val="20"/>
              </w:rPr>
              <w:t>a LFTR no prevé la reglamentación</w:t>
            </w:r>
            <w:r w:rsidR="00F92323">
              <w:rPr>
                <w:sz w:val="20"/>
                <w:szCs w:val="20"/>
              </w:rPr>
              <w:t xml:space="preserve"> o instrumentación</w:t>
            </w:r>
            <w:r w:rsidR="007B664F">
              <w:rPr>
                <w:sz w:val="20"/>
                <w:szCs w:val="20"/>
              </w:rPr>
              <w:t xml:space="preserve"> de la </w:t>
            </w:r>
            <w:r>
              <w:rPr>
                <w:sz w:val="20"/>
                <w:szCs w:val="20"/>
              </w:rPr>
              <w:t>autorización</w:t>
            </w:r>
            <w:r w:rsidR="007B664F">
              <w:rPr>
                <w:sz w:val="20"/>
                <w:szCs w:val="20"/>
              </w:rPr>
              <w:t xml:space="preserve"> de bandas de frecuencias</w:t>
            </w:r>
            <w:r w:rsidR="00421AC8">
              <w:rPr>
                <w:sz w:val="20"/>
                <w:szCs w:val="20"/>
              </w:rPr>
              <w:t xml:space="preserve"> del espectro radioeléctrico para </w:t>
            </w:r>
            <w:r w:rsidR="007B664F">
              <w:rPr>
                <w:sz w:val="20"/>
                <w:szCs w:val="20"/>
              </w:rPr>
              <w:t xml:space="preserve">uso secundario </w:t>
            </w:r>
            <w:r w:rsidR="008858A6">
              <w:rPr>
                <w:sz w:val="20"/>
                <w:szCs w:val="20"/>
              </w:rPr>
              <w:t xml:space="preserve">establecida en </w:t>
            </w:r>
            <w:r>
              <w:rPr>
                <w:sz w:val="20"/>
                <w:szCs w:val="20"/>
              </w:rPr>
              <w:t>el artículo 79, fracción IV.</w:t>
            </w:r>
          </w:p>
          <w:p w:rsidR="00B06718" w:rsidRDefault="00B06718" w:rsidP="002C4E04">
            <w:pPr>
              <w:jc w:val="both"/>
              <w:rPr>
                <w:sz w:val="20"/>
                <w:szCs w:val="20"/>
              </w:rPr>
            </w:pPr>
          </w:p>
          <w:p w:rsidR="003039BF" w:rsidRDefault="003039BF" w:rsidP="002C4E04">
            <w:pPr>
              <w:jc w:val="both"/>
              <w:rPr>
                <w:sz w:val="20"/>
                <w:szCs w:val="20"/>
              </w:rPr>
            </w:pPr>
            <w:r w:rsidRPr="00890DC9">
              <w:rPr>
                <w:b/>
                <w:sz w:val="20"/>
                <w:szCs w:val="20"/>
              </w:rPr>
              <w:t>Población afectada</w:t>
            </w:r>
            <w:r w:rsidRPr="003039BF">
              <w:rPr>
                <w:sz w:val="20"/>
                <w:szCs w:val="20"/>
              </w:rPr>
              <w:t>:</w:t>
            </w:r>
          </w:p>
          <w:p w:rsidR="003B5A4C" w:rsidRDefault="003B5A4C" w:rsidP="002C4E04">
            <w:pPr>
              <w:jc w:val="both"/>
              <w:rPr>
                <w:sz w:val="20"/>
                <w:szCs w:val="20"/>
              </w:rPr>
            </w:pPr>
          </w:p>
          <w:p w:rsidR="0022158E" w:rsidRDefault="0022158E" w:rsidP="002C4E04">
            <w:pPr>
              <w:jc w:val="both"/>
              <w:rPr>
                <w:sz w:val="20"/>
                <w:szCs w:val="20"/>
              </w:rPr>
            </w:pPr>
            <w:r>
              <w:rPr>
                <w:sz w:val="20"/>
                <w:szCs w:val="20"/>
              </w:rPr>
              <w:t xml:space="preserve">Se considera que no hay población afectada, ya que los lineamientos van dirigidos a las personas físicas o morales </w:t>
            </w:r>
            <w:r w:rsidR="00B77C29">
              <w:rPr>
                <w:sz w:val="20"/>
                <w:szCs w:val="20"/>
              </w:rPr>
              <w:t xml:space="preserve">que en </w:t>
            </w:r>
            <w:r w:rsidR="000F5DBB">
              <w:rPr>
                <w:sz w:val="20"/>
                <w:szCs w:val="20"/>
              </w:rPr>
              <w:t>sus actividades requieren</w:t>
            </w:r>
            <w:r>
              <w:rPr>
                <w:sz w:val="20"/>
                <w:szCs w:val="20"/>
              </w:rPr>
              <w:t xml:space="preserve"> hacer uso del espectro radioeléctrico para satisfacer necesidades específicas de telecomunicacione</w:t>
            </w:r>
            <w:r w:rsidR="00CE7258">
              <w:rPr>
                <w:sz w:val="20"/>
                <w:szCs w:val="20"/>
              </w:rPr>
              <w:t xml:space="preserve">s, </w:t>
            </w:r>
            <w:r w:rsidR="002723BA">
              <w:rPr>
                <w:sz w:val="20"/>
                <w:szCs w:val="20"/>
              </w:rPr>
              <w:t xml:space="preserve">por </w:t>
            </w:r>
            <w:r w:rsidR="00D3164C">
              <w:rPr>
                <w:sz w:val="20"/>
                <w:szCs w:val="20"/>
              </w:rPr>
              <w:t>ejemplo,</w:t>
            </w:r>
            <w:r w:rsidR="002723BA">
              <w:rPr>
                <w:sz w:val="20"/>
                <w:szCs w:val="20"/>
              </w:rPr>
              <w:t xml:space="preserve"> los eventos que se han realizado en México </w:t>
            </w:r>
            <w:r>
              <w:rPr>
                <w:sz w:val="20"/>
                <w:szCs w:val="20"/>
              </w:rPr>
              <w:t>de la National Football League (</w:t>
            </w:r>
            <w:r w:rsidR="00151DE4">
              <w:rPr>
                <w:sz w:val="20"/>
                <w:szCs w:val="20"/>
              </w:rPr>
              <w:t>NFL) o el Gran Premio de México</w:t>
            </w:r>
            <w:r>
              <w:rPr>
                <w:sz w:val="20"/>
                <w:szCs w:val="20"/>
              </w:rPr>
              <w:t xml:space="preserve"> </w:t>
            </w:r>
            <w:r w:rsidR="00151DE4">
              <w:rPr>
                <w:sz w:val="20"/>
                <w:szCs w:val="20"/>
              </w:rPr>
              <w:t>(</w:t>
            </w:r>
            <w:r>
              <w:rPr>
                <w:sz w:val="20"/>
                <w:szCs w:val="20"/>
              </w:rPr>
              <w:t>F</w:t>
            </w:r>
            <w:r w:rsidR="00143892">
              <w:rPr>
                <w:sz w:val="20"/>
                <w:szCs w:val="20"/>
              </w:rPr>
              <w:t xml:space="preserve">órmula </w:t>
            </w:r>
            <w:r>
              <w:rPr>
                <w:sz w:val="20"/>
                <w:szCs w:val="20"/>
              </w:rPr>
              <w:t>1</w:t>
            </w:r>
            <w:r w:rsidR="00151DE4">
              <w:rPr>
                <w:sz w:val="20"/>
                <w:szCs w:val="20"/>
              </w:rPr>
              <w:t>)</w:t>
            </w:r>
            <w:r>
              <w:rPr>
                <w:sz w:val="20"/>
                <w:szCs w:val="20"/>
              </w:rPr>
              <w:t>.</w:t>
            </w:r>
          </w:p>
          <w:p w:rsidR="0022158E" w:rsidRPr="001A6E29" w:rsidRDefault="0022158E" w:rsidP="002C4E04">
            <w:pPr>
              <w:jc w:val="both"/>
              <w:rPr>
                <w:sz w:val="18"/>
                <w:szCs w:val="20"/>
              </w:rPr>
            </w:pPr>
          </w:p>
          <w:p w:rsidR="00B77C29" w:rsidRDefault="001A6E29" w:rsidP="002C4E04">
            <w:pPr>
              <w:jc w:val="both"/>
              <w:rPr>
                <w:sz w:val="20"/>
              </w:rPr>
            </w:pPr>
            <w:r w:rsidRPr="001A6E29">
              <w:rPr>
                <w:sz w:val="20"/>
              </w:rPr>
              <w:t xml:space="preserve">Del mismo modo, </w:t>
            </w:r>
            <w:r>
              <w:rPr>
                <w:sz w:val="20"/>
              </w:rPr>
              <w:t xml:space="preserve">los lineamientos se encuentran dirigidos a </w:t>
            </w:r>
            <w:r w:rsidRPr="001A6E29">
              <w:rPr>
                <w:sz w:val="20"/>
              </w:rPr>
              <w:t xml:space="preserve">actividades comerciales e industriales </w:t>
            </w:r>
            <w:r w:rsidR="00AB1E76" w:rsidRPr="001A6E29">
              <w:rPr>
                <w:sz w:val="20"/>
              </w:rPr>
              <w:t xml:space="preserve">que </w:t>
            </w:r>
            <w:r w:rsidR="00AB1E76">
              <w:rPr>
                <w:sz w:val="20"/>
              </w:rPr>
              <w:t>en</w:t>
            </w:r>
            <w:r w:rsidR="00D33195">
              <w:rPr>
                <w:sz w:val="20"/>
              </w:rPr>
              <w:t xml:space="preserve"> </w:t>
            </w:r>
            <w:r w:rsidRPr="001A6E29">
              <w:rPr>
                <w:sz w:val="20"/>
              </w:rPr>
              <w:t xml:space="preserve">sus instalaciones requieren de servicios específicos de telecomunicaciones, </w:t>
            </w:r>
            <w:r w:rsidR="00B77C29">
              <w:rPr>
                <w:sz w:val="20"/>
              </w:rPr>
              <w:t>al situarse</w:t>
            </w:r>
            <w:r w:rsidRPr="001A6E29">
              <w:rPr>
                <w:sz w:val="20"/>
              </w:rPr>
              <w:t xml:space="preserve"> en lugares de difícil acceso</w:t>
            </w:r>
            <w:r w:rsidR="00B77C29">
              <w:rPr>
                <w:sz w:val="20"/>
              </w:rPr>
              <w:t>.</w:t>
            </w:r>
          </w:p>
          <w:p w:rsidR="00B77C29" w:rsidRDefault="00B77C29" w:rsidP="002C4E04">
            <w:pPr>
              <w:jc w:val="both"/>
              <w:rPr>
                <w:sz w:val="20"/>
              </w:rPr>
            </w:pPr>
          </w:p>
          <w:p w:rsidR="00387092" w:rsidRDefault="00387092" w:rsidP="002C4E04">
            <w:pPr>
              <w:jc w:val="both"/>
              <w:rPr>
                <w:sz w:val="20"/>
                <w:szCs w:val="20"/>
              </w:rPr>
            </w:pPr>
            <w:r w:rsidRPr="00387092">
              <w:rPr>
                <w:sz w:val="20"/>
                <w:szCs w:val="20"/>
              </w:rPr>
              <w:t>Por</w:t>
            </w:r>
            <w:r>
              <w:rPr>
                <w:sz w:val="20"/>
                <w:szCs w:val="20"/>
              </w:rPr>
              <w:t xml:space="preserve"> último, la autorización del uso del espectro radioeléctrico para los dispositivos de radiocomunicación de corto alcance que se pretende establecer en el certificado de homologación, </w:t>
            </w:r>
            <w:r w:rsidR="00BF2804">
              <w:rPr>
                <w:sz w:val="20"/>
                <w:szCs w:val="20"/>
              </w:rPr>
              <w:t>beneficia a la</w:t>
            </w:r>
            <w:r>
              <w:rPr>
                <w:sz w:val="20"/>
                <w:szCs w:val="20"/>
              </w:rPr>
              <w:t xml:space="preserve"> población</w:t>
            </w:r>
            <w:r w:rsidR="00BF2804">
              <w:rPr>
                <w:sz w:val="20"/>
                <w:szCs w:val="20"/>
              </w:rPr>
              <w:t xml:space="preserve"> en general que hace uso de dispositivos de corto alcance</w:t>
            </w:r>
            <w:r>
              <w:rPr>
                <w:sz w:val="20"/>
                <w:szCs w:val="20"/>
              </w:rPr>
              <w:t xml:space="preserve">. </w:t>
            </w:r>
          </w:p>
          <w:p w:rsidR="00CD45BA" w:rsidRDefault="00CD45BA" w:rsidP="002C4E04">
            <w:pPr>
              <w:jc w:val="both"/>
            </w:pPr>
          </w:p>
        </w:tc>
      </w:tr>
    </w:tbl>
    <w:p w:rsidR="003039BF" w:rsidRDefault="003039BF" w:rsidP="001932FC">
      <w:pPr>
        <w:jc w:val="both"/>
      </w:pPr>
    </w:p>
    <w:tbl>
      <w:tblPr>
        <w:tblStyle w:val="Tablaconcuadrcula"/>
        <w:tblW w:w="0" w:type="auto"/>
        <w:tblLook w:val="04A0" w:firstRow="1" w:lastRow="0" w:firstColumn="1" w:lastColumn="0" w:noHBand="0" w:noVBand="1"/>
      </w:tblPr>
      <w:tblGrid>
        <w:gridCol w:w="8828"/>
      </w:tblGrid>
      <w:tr w:rsidR="003039BF" w:rsidTr="003039BF">
        <w:tc>
          <w:tcPr>
            <w:tcW w:w="8828" w:type="dxa"/>
          </w:tcPr>
          <w:p w:rsidR="003039BF" w:rsidRPr="00890DC9" w:rsidRDefault="003039BF" w:rsidP="001932FC">
            <w:pPr>
              <w:jc w:val="both"/>
              <w:rPr>
                <w:b/>
                <w:sz w:val="20"/>
              </w:rPr>
            </w:pPr>
            <w:r w:rsidRPr="00890DC9">
              <w:rPr>
                <w:b/>
                <w:sz w:val="20"/>
              </w:rPr>
              <w:t>9.- Seleccione las disposiciones, obligaciones y/o acciones distintas a los trámites que correspondan a la propuesta</w:t>
            </w:r>
            <w:r w:rsidR="005A40FB" w:rsidRPr="00890DC9">
              <w:rPr>
                <w:b/>
                <w:sz w:val="20"/>
              </w:rPr>
              <w:t xml:space="preserve"> de anteproyecto de regulación</w:t>
            </w:r>
            <w:r w:rsidRPr="00890DC9">
              <w:rPr>
                <w:b/>
                <w:sz w:val="20"/>
              </w:rPr>
              <w:t>:</w:t>
            </w:r>
          </w:p>
          <w:p w:rsidR="003039BF" w:rsidRPr="003039BF" w:rsidRDefault="003039BF" w:rsidP="001932FC">
            <w:pPr>
              <w:jc w:val="both"/>
              <w:rPr>
                <w:sz w:val="20"/>
              </w:rPr>
            </w:pPr>
          </w:p>
          <w:p w:rsidR="003039BF" w:rsidRDefault="003039BF" w:rsidP="001932FC">
            <w:pPr>
              <w:jc w:val="both"/>
              <w:rPr>
                <w:sz w:val="20"/>
              </w:rPr>
            </w:pPr>
            <w:r w:rsidRPr="00890DC9">
              <w:rPr>
                <w:b/>
                <w:sz w:val="20"/>
              </w:rPr>
              <w:t>Tipo:</w:t>
            </w:r>
            <w:r>
              <w:rPr>
                <w:sz w:val="20"/>
              </w:rPr>
              <w:t xml:space="preserve"> (requisitos, </w:t>
            </w:r>
            <w:r w:rsidRPr="00524145">
              <w:rPr>
                <w:b/>
                <w:sz w:val="20"/>
                <w:u w:val="single"/>
              </w:rPr>
              <w:t>sanciones, restricciones, prohibiciones</w:t>
            </w:r>
            <w:r w:rsidRPr="00873C9D">
              <w:rPr>
                <w:b/>
                <w:sz w:val="20"/>
                <w:u w:val="single"/>
              </w:rPr>
              <w:t>, obligaciones</w:t>
            </w:r>
            <w:r>
              <w:rPr>
                <w:sz w:val="20"/>
              </w:rPr>
              <w:t xml:space="preserve">, </w:t>
            </w:r>
            <w:r w:rsidRPr="003A09B9">
              <w:rPr>
                <w:sz w:val="20"/>
              </w:rPr>
              <w:t>condiciona beneficios,</w:t>
            </w:r>
            <w:r>
              <w:rPr>
                <w:sz w:val="20"/>
              </w:rPr>
              <w:t xml:space="preserve"> </w:t>
            </w:r>
            <w:r w:rsidR="003F05E7">
              <w:rPr>
                <w:sz w:val="20"/>
              </w:rPr>
              <w:t>establece o modifica estándares técnicos).</w:t>
            </w:r>
          </w:p>
          <w:p w:rsidR="001957D5" w:rsidRDefault="001957D5" w:rsidP="001932FC">
            <w:pPr>
              <w:jc w:val="both"/>
              <w:rPr>
                <w:sz w:val="20"/>
              </w:rPr>
            </w:pPr>
          </w:p>
          <w:p w:rsidR="00D456D3" w:rsidRDefault="00BE3953" w:rsidP="00D456D3">
            <w:pPr>
              <w:jc w:val="both"/>
              <w:rPr>
                <w:sz w:val="20"/>
              </w:rPr>
            </w:pPr>
            <w:r>
              <w:rPr>
                <w:b/>
                <w:sz w:val="20"/>
              </w:rPr>
              <w:t>A</w:t>
            </w:r>
            <w:r w:rsidR="003A02C3">
              <w:rPr>
                <w:b/>
                <w:sz w:val="20"/>
              </w:rPr>
              <w:t xml:space="preserve">) </w:t>
            </w:r>
            <w:r w:rsidR="00D456D3" w:rsidRPr="00890DC9">
              <w:rPr>
                <w:b/>
                <w:sz w:val="20"/>
              </w:rPr>
              <w:t>Tipo:</w:t>
            </w:r>
            <w:r w:rsidR="00D456D3">
              <w:rPr>
                <w:sz w:val="20"/>
              </w:rPr>
              <w:t xml:space="preserve"> </w:t>
            </w:r>
            <w:r w:rsidR="00D456D3" w:rsidRPr="00D456D3">
              <w:rPr>
                <w:b/>
                <w:sz w:val="20"/>
                <w:u w:val="single"/>
              </w:rPr>
              <w:t>Sa</w:t>
            </w:r>
            <w:r w:rsidR="00D456D3">
              <w:rPr>
                <w:b/>
                <w:sz w:val="20"/>
                <w:u w:val="single"/>
              </w:rPr>
              <w:t>nciones</w:t>
            </w:r>
            <w:r w:rsidR="00D456D3">
              <w:rPr>
                <w:sz w:val="20"/>
              </w:rPr>
              <w:t>.</w:t>
            </w:r>
            <w:r>
              <w:rPr>
                <w:sz w:val="20"/>
              </w:rPr>
              <w:t xml:space="preserve"> </w:t>
            </w:r>
          </w:p>
          <w:p w:rsidR="00D456D3" w:rsidRDefault="00D456D3" w:rsidP="001932FC">
            <w:pPr>
              <w:jc w:val="both"/>
              <w:rPr>
                <w:sz w:val="20"/>
              </w:rPr>
            </w:pPr>
          </w:p>
          <w:p w:rsidR="00524145" w:rsidRPr="00890DC9" w:rsidRDefault="003F05E7" w:rsidP="00F6157D">
            <w:pPr>
              <w:ind w:left="314"/>
              <w:jc w:val="both"/>
              <w:rPr>
                <w:b/>
                <w:sz w:val="20"/>
              </w:rPr>
            </w:pPr>
            <w:r w:rsidRPr="00890DC9">
              <w:rPr>
                <w:b/>
                <w:sz w:val="20"/>
              </w:rPr>
              <w:t>Artículos aplicables:</w:t>
            </w:r>
            <w:r w:rsidR="00524145" w:rsidRPr="00890DC9">
              <w:rPr>
                <w:b/>
                <w:sz w:val="20"/>
              </w:rPr>
              <w:t xml:space="preserve"> </w:t>
            </w:r>
          </w:p>
          <w:p w:rsidR="00524145" w:rsidRDefault="00524145" w:rsidP="00524145">
            <w:pPr>
              <w:jc w:val="both"/>
              <w:rPr>
                <w:sz w:val="20"/>
              </w:rPr>
            </w:pPr>
          </w:p>
          <w:p w:rsidR="004A3116" w:rsidRDefault="004A3116" w:rsidP="00F6157D">
            <w:pPr>
              <w:ind w:left="314"/>
              <w:jc w:val="both"/>
              <w:rPr>
                <w:sz w:val="20"/>
              </w:rPr>
            </w:pPr>
            <w:r>
              <w:rPr>
                <w:sz w:val="20"/>
              </w:rPr>
              <w:t xml:space="preserve">En los artículos </w:t>
            </w:r>
            <w:r w:rsidR="00B331CF">
              <w:rPr>
                <w:sz w:val="20"/>
              </w:rPr>
              <w:t>15, 16, 23 y 24 de los Lineamientos, se prev</w:t>
            </w:r>
            <w:r w:rsidR="002E2C01">
              <w:rPr>
                <w:sz w:val="20"/>
              </w:rPr>
              <w:t xml:space="preserve">é el régimen de </w:t>
            </w:r>
            <w:r w:rsidR="00B331CF">
              <w:rPr>
                <w:sz w:val="20"/>
              </w:rPr>
              <w:t>sanciones</w:t>
            </w:r>
            <w:r w:rsidR="00AD2021">
              <w:rPr>
                <w:sz w:val="20"/>
              </w:rPr>
              <w:t>.</w:t>
            </w:r>
          </w:p>
          <w:p w:rsidR="00451A93" w:rsidRDefault="00451A93" w:rsidP="001932FC">
            <w:pPr>
              <w:jc w:val="both"/>
              <w:rPr>
                <w:sz w:val="20"/>
              </w:rPr>
            </w:pPr>
          </w:p>
          <w:p w:rsidR="003F05E7" w:rsidRPr="00890DC9" w:rsidRDefault="003F05E7" w:rsidP="00F6157D">
            <w:pPr>
              <w:ind w:left="314"/>
              <w:jc w:val="both"/>
              <w:rPr>
                <w:b/>
                <w:sz w:val="20"/>
              </w:rPr>
            </w:pPr>
            <w:r w:rsidRPr="00890DC9">
              <w:rPr>
                <w:b/>
                <w:sz w:val="20"/>
              </w:rPr>
              <w:t>Justificación:</w:t>
            </w:r>
          </w:p>
          <w:p w:rsidR="00524145" w:rsidRPr="00890DC9" w:rsidRDefault="00524145" w:rsidP="00F6157D">
            <w:pPr>
              <w:ind w:left="314"/>
              <w:jc w:val="both"/>
              <w:rPr>
                <w:b/>
                <w:sz w:val="20"/>
              </w:rPr>
            </w:pPr>
          </w:p>
          <w:p w:rsidR="00955DC8" w:rsidRPr="00B43E01" w:rsidRDefault="00873C9D" w:rsidP="00F6157D">
            <w:pPr>
              <w:ind w:left="314"/>
              <w:jc w:val="both"/>
              <w:rPr>
                <w:sz w:val="20"/>
              </w:rPr>
            </w:pPr>
            <w:r>
              <w:rPr>
                <w:sz w:val="20"/>
              </w:rPr>
              <w:t>E</w:t>
            </w:r>
            <w:r w:rsidR="00955DC8" w:rsidRPr="00B43E01">
              <w:rPr>
                <w:sz w:val="20"/>
              </w:rPr>
              <w:t>l artículo 15, fracción XXVII de la LFTR</w:t>
            </w:r>
            <w:r w:rsidR="00D42FA2">
              <w:rPr>
                <w:sz w:val="20"/>
              </w:rPr>
              <w:t>,</w:t>
            </w:r>
            <w:r w:rsidR="00695183">
              <w:rPr>
                <w:sz w:val="20"/>
              </w:rPr>
              <w:t xml:space="preserve"> establece que</w:t>
            </w:r>
            <w:r w:rsidR="00955DC8" w:rsidRPr="00B43E01">
              <w:rPr>
                <w:sz w:val="20"/>
              </w:rPr>
              <w:t xml:space="preserve"> el Instituto vigilará el cumplimiento de sus propias resoluciones, por lo que resulta aplicable en lo conducente lo establecido en los Títulos Décimo Cuarto y Décimo Quinto de la LFTR, referentes a los regímenes de verificación y sanciones. </w:t>
            </w:r>
          </w:p>
          <w:p w:rsidR="00955DC8" w:rsidRDefault="00955DC8" w:rsidP="00F6157D">
            <w:pPr>
              <w:ind w:left="314"/>
              <w:jc w:val="both"/>
              <w:rPr>
                <w:sz w:val="20"/>
              </w:rPr>
            </w:pPr>
          </w:p>
          <w:p w:rsidR="008F35E1" w:rsidRPr="00394CB1" w:rsidRDefault="00792668" w:rsidP="00F6157D">
            <w:pPr>
              <w:ind w:left="314"/>
              <w:jc w:val="both"/>
              <w:rPr>
                <w:rFonts w:cstheme="minorHAnsi"/>
                <w:sz w:val="20"/>
                <w:szCs w:val="20"/>
              </w:rPr>
            </w:pPr>
            <w:r>
              <w:rPr>
                <w:sz w:val="20"/>
              </w:rPr>
              <w:t xml:space="preserve">En ese sentido, </w:t>
            </w:r>
            <w:r w:rsidR="00F2507B">
              <w:rPr>
                <w:sz w:val="20"/>
              </w:rPr>
              <w:t xml:space="preserve">el artículo </w:t>
            </w:r>
            <w:r w:rsidR="004151D7">
              <w:rPr>
                <w:sz w:val="20"/>
              </w:rPr>
              <w:t xml:space="preserve">16 de los Lineamientos prevé que </w:t>
            </w:r>
            <w:r w:rsidR="000E0EF6" w:rsidRPr="00394CB1">
              <w:rPr>
                <w:rFonts w:cstheme="minorHAnsi"/>
                <w:i/>
                <w:sz w:val="20"/>
                <w:szCs w:val="20"/>
              </w:rPr>
              <w:t>“</w:t>
            </w:r>
            <w:r w:rsidR="004151D7" w:rsidRPr="00394CB1">
              <w:rPr>
                <w:rFonts w:cstheme="minorHAnsi"/>
                <w:i/>
                <w:sz w:val="20"/>
                <w:szCs w:val="20"/>
              </w:rPr>
              <w:t>la terminación de la Autorización no extingue las obligaciones contraídas por el Autorizado durante su vigencia.</w:t>
            </w:r>
            <w:r w:rsidR="000E0EF6" w:rsidRPr="00394CB1">
              <w:rPr>
                <w:rFonts w:cstheme="minorHAnsi"/>
                <w:i/>
                <w:sz w:val="20"/>
                <w:szCs w:val="20"/>
              </w:rPr>
              <w:t>”</w:t>
            </w:r>
            <w:r w:rsidR="003106E3" w:rsidRPr="00394CB1">
              <w:rPr>
                <w:rFonts w:cstheme="minorHAnsi"/>
                <w:i/>
                <w:sz w:val="20"/>
                <w:szCs w:val="20"/>
              </w:rPr>
              <w:t>,</w:t>
            </w:r>
            <w:r w:rsidR="003106E3" w:rsidRPr="00394CB1">
              <w:rPr>
                <w:rFonts w:cstheme="minorHAnsi"/>
                <w:sz w:val="20"/>
                <w:szCs w:val="20"/>
              </w:rPr>
              <w:t xml:space="preserve"> es decir, </w:t>
            </w:r>
            <w:r w:rsidR="00956958" w:rsidRPr="00394CB1">
              <w:rPr>
                <w:rFonts w:cstheme="minorHAnsi"/>
                <w:sz w:val="20"/>
                <w:szCs w:val="20"/>
              </w:rPr>
              <w:t xml:space="preserve">aun después de que termine una autorización, </w:t>
            </w:r>
            <w:r w:rsidR="003106E3" w:rsidRPr="00394CB1">
              <w:rPr>
                <w:rFonts w:cstheme="minorHAnsi"/>
                <w:sz w:val="20"/>
                <w:szCs w:val="20"/>
              </w:rPr>
              <w:t xml:space="preserve">en caso de que exista incumplimiento de </w:t>
            </w:r>
            <w:r w:rsidR="00956958" w:rsidRPr="00394CB1">
              <w:rPr>
                <w:rFonts w:cstheme="minorHAnsi"/>
                <w:sz w:val="20"/>
                <w:szCs w:val="20"/>
              </w:rPr>
              <w:t xml:space="preserve">alguna </w:t>
            </w:r>
            <w:r w:rsidR="00B11D90" w:rsidRPr="00394CB1">
              <w:rPr>
                <w:rFonts w:cstheme="minorHAnsi"/>
                <w:sz w:val="20"/>
                <w:szCs w:val="20"/>
              </w:rPr>
              <w:t>obligación</w:t>
            </w:r>
            <w:r w:rsidR="003106E3" w:rsidRPr="00394CB1">
              <w:rPr>
                <w:rFonts w:cstheme="minorHAnsi"/>
                <w:sz w:val="20"/>
                <w:szCs w:val="20"/>
              </w:rPr>
              <w:t>,</w:t>
            </w:r>
            <w:r w:rsidR="00B11D90" w:rsidRPr="00394CB1">
              <w:rPr>
                <w:rFonts w:cstheme="minorHAnsi"/>
                <w:sz w:val="20"/>
                <w:szCs w:val="20"/>
              </w:rPr>
              <w:t xml:space="preserve"> éste podría ser sancionable</w:t>
            </w:r>
            <w:r w:rsidR="008F35E1" w:rsidRPr="00394CB1">
              <w:rPr>
                <w:rFonts w:cstheme="minorHAnsi"/>
                <w:sz w:val="20"/>
                <w:szCs w:val="20"/>
              </w:rPr>
              <w:t>.</w:t>
            </w:r>
          </w:p>
          <w:p w:rsidR="008F35E1" w:rsidRPr="00394CB1" w:rsidRDefault="008F35E1" w:rsidP="00F6157D">
            <w:pPr>
              <w:ind w:left="314"/>
              <w:jc w:val="both"/>
              <w:rPr>
                <w:rFonts w:cstheme="minorHAnsi"/>
                <w:sz w:val="20"/>
                <w:szCs w:val="20"/>
              </w:rPr>
            </w:pPr>
          </w:p>
          <w:p w:rsidR="00776F4B" w:rsidRDefault="00FD7BC8" w:rsidP="00F6157D">
            <w:pPr>
              <w:ind w:left="314"/>
              <w:jc w:val="both"/>
              <w:rPr>
                <w:sz w:val="20"/>
              </w:rPr>
            </w:pPr>
            <w:r>
              <w:rPr>
                <w:rFonts w:cstheme="minorHAnsi"/>
                <w:sz w:val="20"/>
                <w:szCs w:val="20"/>
              </w:rPr>
              <w:t>Por su parte,</w:t>
            </w:r>
            <w:r w:rsidR="008F35E1" w:rsidRPr="00394CB1">
              <w:rPr>
                <w:rFonts w:cstheme="minorHAnsi"/>
                <w:sz w:val="20"/>
                <w:szCs w:val="20"/>
              </w:rPr>
              <w:t xml:space="preserve"> </w:t>
            </w:r>
            <w:r w:rsidR="009432B9" w:rsidRPr="00A2405B">
              <w:rPr>
                <w:rFonts w:cstheme="minorHAnsi"/>
                <w:sz w:val="20"/>
                <w:szCs w:val="20"/>
              </w:rPr>
              <w:t>el artículo 23</w:t>
            </w:r>
            <w:r w:rsidR="001E7960" w:rsidRPr="004C76C9">
              <w:rPr>
                <w:rFonts w:cstheme="minorHAnsi"/>
                <w:sz w:val="20"/>
                <w:szCs w:val="20"/>
              </w:rPr>
              <w:t xml:space="preserve"> de los Lineamientos establece que </w:t>
            </w:r>
            <w:r w:rsidR="00A63A4E" w:rsidRPr="004C76C9">
              <w:rPr>
                <w:rFonts w:cstheme="minorHAnsi"/>
                <w:sz w:val="20"/>
                <w:szCs w:val="20"/>
              </w:rPr>
              <w:t>e</w:t>
            </w:r>
            <w:r w:rsidR="00776F4B" w:rsidRPr="004C76C9">
              <w:rPr>
                <w:rFonts w:cstheme="minorHAnsi"/>
                <w:sz w:val="20"/>
                <w:szCs w:val="20"/>
              </w:rPr>
              <w:t>l Instituto, en todo mo</w:t>
            </w:r>
            <w:r w:rsidR="00776F4B" w:rsidRPr="00776F4B">
              <w:rPr>
                <w:sz w:val="20"/>
              </w:rPr>
              <w:t xml:space="preserve">mento, podrá verificar y supervisar, en el ámbito de su competencia, que el </w:t>
            </w:r>
            <w:r w:rsidR="00A63A4E">
              <w:rPr>
                <w:sz w:val="20"/>
              </w:rPr>
              <w:t>A</w:t>
            </w:r>
            <w:r w:rsidR="00776F4B" w:rsidRPr="00776F4B">
              <w:rPr>
                <w:sz w:val="20"/>
              </w:rPr>
              <w:t>utorizado cumpla con las condiciones y obligaciones establecidas en la Constancia de Autorización y que no cause interferencias perjudiciales a los servicios concesionados. Para ese efecto, el Autorizado está obligado a permitir y facilitar a los verificadores del Instituto el acceso al domicilio autorizado para el uso secundario de las bandas de frecuencias del espectro radioeléctrico, y a otorgar todas las facilidades, información y documentación para que realicen la verificación en términos de lo establecido en el Título Décimo Cuarto de la Ley.</w:t>
            </w:r>
          </w:p>
          <w:p w:rsidR="00776F4B" w:rsidRDefault="00776F4B" w:rsidP="00F6157D">
            <w:pPr>
              <w:ind w:left="314"/>
              <w:jc w:val="both"/>
              <w:rPr>
                <w:sz w:val="20"/>
              </w:rPr>
            </w:pPr>
          </w:p>
          <w:p w:rsidR="008E538A" w:rsidRDefault="0057469C" w:rsidP="00F6157D">
            <w:pPr>
              <w:ind w:left="314"/>
              <w:jc w:val="both"/>
              <w:rPr>
                <w:sz w:val="20"/>
              </w:rPr>
            </w:pPr>
            <w:r w:rsidRPr="0057469C">
              <w:rPr>
                <w:sz w:val="20"/>
              </w:rPr>
              <w:t>Los concesionarios de uso primario podrán en su caso, presentar denuncia de interferencias perjudiciales, la cual será atendida a la brevedad posible en términos de la Ley.</w:t>
            </w:r>
          </w:p>
          <w:p w:rsidR="0057469C" w:rsidRPr="008E538A" w:rsidRDefault="0057469C" w:rsidP="00F6157D">
            <w:pPr>
              <w:ind w:left="314"/>
              <w:jc w:val="both"/>
              <w:rPr>
                <w:sz w:val="20"/>
              </w:rPr>
            </w:pPr>
          </w:p>
          <w:p w:rsidR="00890DC9" w:rsidRDefault="00522595" w:rsidP="00F6157D">
            <w:pPr>
              <w:ind w:left="314"/>
              <w:jc w:val="both"/>
              <w:rPr>
                <w:sz w:val="20"/>
                <w:lang w:val="es-ES"/>
              </w:rPr>
            </w:pPr>
            <w:r>
              <w:rPr>
                <w:sz w:val="20"/>
                <w:lang w:val="es-ES"/>
              </w:rPr>
              <w:t>Finalmente</w:t>
            </w:r>
            <w:r w:rsidR="00566200">
              <w:rPr>
                <w:sz w:val="20"/>
                <w:lang w:val="es-ES"/>
              </w:rPr>
              <w:t>, el artículo 24</w:t>
            </w:r>
            <w:r w:rsidR="008E538A" w:rsidRPr="008E538A">
              <w:rPr>
                <w:sz w:val="20"/>
                <w:lang w:val="es-ES"/>
              </w:rPr>
              <w:t xml:space="preserve"> </w:t>
            </w:r>
            <w:r w:rsidR="00326B8C">
              <w:rPr>
                <w:sz w:val="20"/>
                <w:lang w:val="es-ES"/>
              </w:rPr>
              <w:t xml:space="preserve">de los </w:t>
            </w:r>
            <w:r w:rsidR="00566200">
              <w:rPr>
                <w:sz w:val="20"/>
                <w:lang w:val="es-ES"/>
              </w:rPr>
              <w:t>L</w:t>
            </w:r>
            <w:r w:rsidR="00326B8C">
              <w:rPr>
                <w:sz w:val="20"/>
                <w:lang w:val="es-ES"/>
              </w:rPr>
              <w:t xml:space="preserve">ineamientos </w:t>
            </w:r>
            <w:r w:rsidR="00212D49">
              <w:rPr>
                <w:sz w:val="20"/>
                <w:lang w:val="es-ES"/>
              </w:rPr>
              <w:t>prevé</w:t>
            </w:r>
            <w:r w:rsidR="008E538A" w:rsidRPr="008E538A">
              <w:rPr>
                <w:sz w:val="20"/>
                <w:lang w:val="es-ES"/>
              </w:rPr>
              <w:t xml:space="preserve"> que </w:t>
            </w:r>
            <w:r w:rsidR="00566200">
              <w:rPr>
                <w:sz w:val="20"/>
                <w:lang w:val="es-ES"/>
              </w:rPr>
              <w:t>e</w:t>
            </w:r>
            <w:r w:rsidR="00566200" w:rsidRPr="00566200">
              <w:rPr>
                <w:sz w:val="20"/>
                <w:lang w:val="es-ES"/>
              </w:rPr>
              <w:t>n caso de que, derivado de la verificación, el Instituto determinara que existe incumplimiento de las condiciones de la Constancia de Autorización o de los presentes Lineamientos por parte del Autorizado, éste será sancionado en términos del Título Décimo Quinto de la Ley.</w:t>
            </w:r>
          </w:p>
          <w:p w:rsidR="00566200" w:rsidRDefault="00566200" w:rsidP="001E7960">
            <w:pPr>
              <w:jc w:val="both"/>
              <w:rPr>
                <w:b/>
                <w:sz w:val="20"/>
                <w:lang w:val="es-ES"/>
              </w:rPr>
            </w:pPr>
          </w:p>
          <w:p w:rsidR="00EA5064" w:rsidRPr="004C76C9" w:rsidRDefault="00BE3953" w:rsidP="001932FC">
            <w:pPr>
              <w:jc w:val="both"/>
              <w:rPr>
                <w:b/>
                <w:sz w:val="20"/>
                <w:szCs w:val="20"/>
              </w:rPr>
            </w:pPr>
            <w:r>
              <w:rPr>
                <w:b/>
                <w:sz w:val="20"/>
              </w:rPr>
              <w:t xml:space="preserve">B) </w:t>
            </w:r>
            <w:r w:rsidRPr="00890DC9">
              <w:rPr>
                <w:b/>
                <w:sz w:val="20"/>
              </w:rPr>
              <w:t>Tipo:</w:t>
            </w:r>
            <w:r>
              <w:rPr>
                <w:b/>
                <w:sz w:val="20"/>
              </w:rPr>
              <w:t xml:space="preserve"> </w:t>
            </w:r>
            <w:r w:rsidR="003A09B9" w:rsidRPr="004C76C9">
              <w:rPr>
                <w:b/>
                <w:sz w:val="20"/>
                <w:szCs w:val="20"/>
              </w:rPr>
              <w:t>Restricciones</w:t>
            </w:r>
            <w:r w:rsidR="00977905">
              <w:rPr>
                <w:b/>
                <w:sz w:val="20"/>
                <w:szCs w:val="20"/>
              </w:rPr>
              <w:t>.</w:t>
            </w:r>
          </w:p>
          <w:p w:rsidR="00EA5064" w:rsidRDefault="00EA5064" w:rsidP="001932FC">
            <w:pPr>
              <w:jc w:val="both"/>
              <w:rPr>
                <w:rFonts w:ascii="Calibri" w:hAnsi="Calibri" w:cs="Calibri"/>
                <w:b/>
                <w:sz w:val="20"/>
                <w:szCs w:val="20"/>
              </w:rPr>
            </w:pPr>
          </w:p>
          <w:p w:rsidR="00EA2B4D" w:rsidRPr="00890DC9" w:rsidRDefault="00EA2B4D" w:rsidP="00CC12ED">
            <w:pPr>
              <w:ind w:left="314"/>
              <w:jc w:val="both"/>
              <w:rPr>
                <w:b/>
                <w:sz w:val="20"/>
              </w:rPr>
            </w:pPr>
            <w:r w:rsidRPr="00890DC9">
              <w:rPr>
                <w:b/>
                <w:sz w:val="20"/>
              </w:rPr>
              <w:t xml:space="preserve">Artículos aplicables: </w:t>
            </w:r>
          </w:p>
          <w:p w:rsidR="00EA2B4D" w:rsidRDefault="00EA2B4D" w:rsidP="00EA2B4D">
            <w:pPr>
              <w:jc w:val="both"/>
              <w:rPr>
                <w:sz w:val="20"/>
              </w:rPr>
            </w:pPr>
          </w:p>
          <w:p w:rsidR="00EA2B4D" w:rsidRDefault="00EA2B4D" w:rsidP="00CC12ED">
            <w:pPr>
              <w:ind w:left="314"/>
              <w:jc w:val="both"/>
              <w:rPr>
                <w:sz w:val="20"/>
              </w:rPr>
            </w:pPr>
            <w:r>
              <w:rPr>
                <w:sz w:val="20"/>
              </w:rPr>
              <w:t>En los artículos 5 y 18 de los Lineamientos, se prev</w:t>
            </w:r>
            <w:r w:rsidR="00C24E71">
              <w:rPr>
                <w:sz w:val="20"/>
              </w:rPr>
              <w:t xml:space="preserve">én las restricciones </w:t>
            </w:r>
            <w:r w:rsidR="00F62FE9">
              <w:rPr>
                <w:sz w:val="20"/>
              </w:rPr>
              <w:t>que aplicarán en los Lineamientos</w:t>
            </w:r>
            <w:r>
              <w:rPr>
                <w:sz w:val="20"/>
              </w:rPr>
              <w:t>.</w:t>
            </w:r>
          </w:p>
          <w:p w:rsidR="00EA2B4D" w:rsidRDefault="00EA2B4D" w:rsidP="001932FC">
            <w:pPr>
              <w:jc w:val="both"/>
              <w:rPr>
                <w:rFonts w:ascii="Calibri" w:hAnsi="Calibri" w:cs="Calibri"/>
                <w:b/>
                <w:sz w:val="20"/>
                <w:szCs w:val="20"/>
              </w:rPr>
            </w:pPr>
          </w:p>
          <w:p w:rsidR="00105C02" w:rsidRDefault="00105C02" w:rsidP="00105C02">
            <w:pPr>
              <w:tabs>
                <w:tab w:val="left" w:pos="1035"/>
              </w:tabs>
              <w:jc w:val="both"/>
              <w:rPr>
                <w:rFonts w:cstheme="minorHAnsi"/>
                <w:b/>
                <w:sz w:val="20"/>
                <w:szCs w:val="20"/>
              </w:rPr>
            </w:pPr>
          </w:p>
          <w:p w:rsidR="00105C02" w:rsidRDefault="00105C02" w:rsidP="00105C02">
            <w:pPr>
              <w:tabs>
                <w:tab w:val="left" w:pos="1035"/>
              </w:tabs>
              <w:jc w:val="both"/>
              <w:rPr>
                <w:rFonts w:cstheme="minorHAnsi"/>
                <w:b/>
                <w:sz w:val="20"/>
                <w:szCs w:val="20"/>
              </w:rPr>
            </w:pPr>
          </w:p>
          <w:p w:rsidR="00105C02" w:rsidRPr="00394CB1" w:rsidRDefault="00105C02" w:rsidP="00CC12ED">
            <w:pPr>
              <w:tabs>
                <w:tab w:val="left" w:pos="1035"/>
              </w:tabs>
              <w:ind w:left="314"/>
              <w:jc w:val="both"/>
              <w:rPr>
                <w:rFonts w:cstheme="minorHAnsi"/>
                <w:b/>
                <w:sz w:val="20"/>
                <w:szCs w:val="20"/>
              </w:rPr>
            </w:pPr>
            <w:r w:rsidRPr="00394CB1">
              <w:rPr>
                <w:rFonts w:cstheme="minorHAnsi"/>
                <w:b/>
                <w:sz w:val="20"/>
                <w:szCs w:val="20"/>
              </w:rPr>
              <w:t>Justificación:</w:t>
            </w:r>
          </w:p>
          <w:p w:rsidR="00105C02" w:rsidRPr="00394CB1" w:rsidRDefault="00105C02" w:rsidP="00CC12ED">
            <w:pPr>
              <w:ind w:left="314"/>
              <w:jc w:val="both"/>
              <w:rPr>
                <w:rFonts w:ascii="Calibri" w:hAnsi="Calibri" w:cs="Calibri"/>
                <w:b/>
                <w:sz w:val="20"/>
                <w:szCs w:val="20"/>
              </w:rPr>
            </w:pPr>
          </w:p>
          <w:p w:rsidR="00EA5064" w:rsidRPr="00394CB1" w:rsidRDefault="00EA5064" w:rsidP="00CC12ED">
            <w:pPr>
              <w:ind w:left="314"/>
              <w:jc w:val="both"/>
              <w:rPr>
                <w:rFonts w:ascii="Calibri" w:hAnsi="Calibri" w:cs="Calibri"/>
                <w:sz w:val="20"/>
                <w:szCs w:val="20"/>
              </w:rPr>
            </w:pPr>
            <w:r w:rsidRPr="00394CB1">
              <w:rPr>
                <w:rFonts w:ascii="Calibri" w:hAnsi="Calibri" w:cs="Calibri"/>
                <w:sz w:val="20"/>
                <w:szCs w:val="20"/>
              </w:rPr>
              <w:t>El artículo 5 de los Lineamientos contempla la siguiente restricción:</w:t>
            </w:r>
          </w:p>
          <w:p w:rsidR="00EA5064" w:rsidRPr="00394CB1" w:rsidRDefault="00EA5064" w:rsidP="00CC12ED">
            <w:pPr>
              <w:ind w:left="314"/>
              <w:jc w:val="both"/>
              <w:rPr>
                <w:rFonts w:ascii="Calibri" w:hAnsi="Calibri" w:cs="Calibri"/>
                <w:sz w:val="20"/>
                <w:szCs w:val="20"/>
              </w:rPr>
            </w:pPr>
          </w:p>
          <w:p w:rsidR="00EA5064" w:rsidRPr="00394CB1" w:rsidRDefault="00EA5064" w:rsidP="00CC12ED">
            <w:pPr>
              <w:ind w:left="314"/>
              <w:jc w:val="both"/>
              <w:rPr>
                <w:rFonts w:ascii="Calibri" w:hAnsi="Calibri" w:cs="Calibri"/>
                <w:i/>
                <w:sz w:val="20"/>
                <w:szCs w:val="20"/>
              </w:rPr>
            </w:pPr>
            <w:r w:rsidRPr="00394CB1">
              <w:rPr>
                <w:rFonts w:ascii="Calibri" w:hAnsi="Calibri" w:cs="Calibri"/>
                <w:i/>
                <w:sz w:val="20"/>
                <w:szCs w:val="20"/>
              </w:rPr>
              <w:t>“Artículo 5.</w:t>
            </w:r>
            <w:r w:rsidRPr="00394CB1">
              <w:rPr>
                <w:rFonts w:ascii="Calibri" w:hAnsi="Calibri" w:cs="Calibri"/>
                <w:i/>
                <w:sz w:val="20"/>
                <w:szCs w:val="20"/>
              </w:rPr>
              <w:tab/>
              <w:t xml:space="preserve">El otorgamiento de la Constancia de Autorización </w:t>
            </w:r>
            <w:r w:rsidRPr="00394CB1">
              <w:rPr>
                <w:rFonts w:ascii="Calibri" w:hAnsi="Calibri" w:cs="Calibri"/>
                <w:b/>
                <w:i/>
                <w:sz w:val="20"/>
                <w:szCs w:val="20"/>
                <w:u w:val="single"/>
              </w:rPr>
              <w:t>no constituye derechos de exclusividad de las bandas de frecuencia al Autorizado</w:t>
            </w:r>
            <w:r w:rsidRPr="00394CB1">
              <w:rPr>
                <w:rFonts w:ascii="Calibri" w:hAnsi="Calibri" w:cs="Calibri"/>
                <w:i/>
                <w:sz w:val="20"/>
                <w:szCs w:val="20"/>
              </w:rPr>
              <w:t>, por lo que el Instituto podrá en todo momento otorgar concesiones o autorizaciones en las mismas bandas de frecuencias, a uso primario o secundario, según corresponda.”</w:t>
            </w:r>
          </w:p>
          <w:p w:rsidR="00EA5064" w:rsidRPr="00394CB1" w:rsidRDefault="00EA5064" w:rsidP="00CC12ED">
            <w:pPr>
              <w:ind w:left="314"/>
              <w:jc w:val="both"/>
              <w:rPr>
                <w:sz w:val="20"/>
                <w:szCs w:val="20"/>
              </w:rPr>
            </w:pPr>
          </w:p>
          <w:p w:rsidR="00EA5064" w:rsidRPr="00394CB1" w:rsidRDefault="00EA5064" w:rsidP="00CC12ED">
            <w:pPr>
              <w:ind w:left="314"/>
              <w:jc w:val="both"/>
              <w:rPr>
                <w:sz w:val="20"/>
                <w:szCs w:val="20"/>
              </w:rPr>
            </w:pPr>
            <w:r w:rsidRPr="00394CB1">
              <w:rPr>
                <w:sz w:val="20"/>
                <w:szCs w:val="20"/>
              </w:rPr>
              <w:t>En los modelos de títulos habilitantes (concesiones o autorizaciones), que ha emitido el Pleno del Instituto a partir de la expedición de la LFTR, se ha establecido una condición que hace referencia a que dicho título no confiere derechos de exclusividad sobre el uso y aprovechamiento de las bandas de frecuencias que contempla el título, por lo que el Instituto podrá otorgar otros títulos habilitantes incluso dentro de las mismas áreas geográficas, a favor de terceras personas.</w:t>
            </w:r>
          </w:p>
          <w:p w:rsidR="00EA5064" w:rsidRPr="00394CB1" w:rsidRDefault="00EA5064" w:rsidP="00CC12ED">
            <w:pPr>
              <w:ind w:left="314"/>
              <w:jc w:val="both"/>
              <w:rPr>
                <w:sz w:val="20"/>
                <w:szCs w:val="20"/>
              </w:rPr>
            </w:pPr>
          </w:p>
          <w:p w:rsidR="00EA5064" w:rsidRPr="00394CB1" w:rsidRDefault="00EA5064" w:rsidP="00CC12ED">
            <w:pPr>
              <w:ind w:left="314"/>
              <w:jc w:val="both"/>
              <w:rPr>
                <w:sz w:val="20"/>
                <w:szCs w:val="20"/>
              </w:rPr>
            </w:pPr>
            <w:r w:rsidRPr="00394CB1">
              <w:rPr>
                <w:sz w:val="20"/>
                <w:szCs w:val="20"/>
              </w:rPr>
              <w:t>Por su parte en el artículo 18 de los Lineamientos se establece lo siguiente:</w:t>
            </w:r>
          </w:p>
          <w:p w:rsidR="00EA5064" w:rsidRPr="00394CB1" w:rsidRDefault="00EA5064" w:rsidP="00CC12ED">
            <w:pPr>
              <w:ind w:left="314"/>
              <w:jc w:val="both"/>
              <w:rPr>
                <w:rFonts w:cstheme="minorHAnsi"/>
                <w:sz w:val="20"/>
                <w:szCs w:val="20"/>
              </w:rPr>
            </w:pPr>
          </w:p>
          <w:p w:rsidR="00EA5064" w:rsidRPr="00394CB1" w:rsidRDefault="00EA5064" w:rsidP="00CC12ED">
            <w:pPr>
              <w:ind w:left="314"/>
              <w:jc w:val="both"/>
              <w:rPr>
                <w:rFonts w:cstheme="minorHAnsi"/>
                <w:i/>
                <w:sz w:val="20"/>
                <w:szCs w:val="20"/>
              </w:rPr>
            </w:pPr>
            <w:r w:rsidRPr="00394CB1">
              <w:rPr>
                <w:rFonts w:cstheme="minorHAnsi"/>
                <w:i/>
                <w:sz w:val="20"/>
                <w:szCs w:val="20"/>
              </w:rPr>
              <w:t>“Artículo 18.</w:t>
            </w:r>
            <w:r w:rsidRPr="00394CB1">
              <w:rPr>
                <w:rFonts w:cstheme="minorHAnsi"/>
                <w:i/>
                <w:sz w:val="20"/>
                <w:szCs w:val="20"/>
              </w:rPr>
              <w:tab/>
              <w:t xml:space="preserve">El uso secundario de bandas de frecuencias del espectro radioeléctrico en los Dispositivos de radiocomunicación de corto alcance </w:t>
            </w:r>
            <w:r w:rsidRPr="00394CB1">
              <w:rPr>
                <w:rFonts w:cstheme="minorHAnsi"/>
                <w:b/>
                <w:i/>
                <w:sz w:val="20"/>
                <w:szCs w:val="20"/>
              </w:rPr>
              <w:t>no genera un derecho adquirido o reconocible por el Instituto a ninguna persona física o moral</w:t>
            </w:r>
            <w:r w:rsidRPr="00394CB1">
              <w:rPr>
                <w:rFonts w:cstheme="minorHAnsi"/>
                <w:i/>
                <w:sz w:val="20"/>
                <w:szCs w:val="20"/>
              </w:rPr>
              <w:t>, incluyendo al solicitante del certificado de homologación.”</w:t>
            </w:r>
          </w:p>
          <w:p w:rsidR="00EA5064" w:rsidRPr="00394CB1" w:rsidRDefault="00EA5064" w:rsidP="00CC12ED">
            <w:pPr>
              <w:ind w:left="314"/>
              <w:jc w:val="both"/>
              <w:rPr>
                <w:rFonts w:ascii="ITC Avant Garde" w:hAnsi="ITC Avant Garde"/>
                <w:i/>
                <w:sz w:val="20"/>
                <w:szCs w:val="20"/>
              </w:rPr>
            </w:pPr>
          </w:p>
          <w:p w:rsidR="00EA5064" w:rsidRPr="00CD45BA" w:rsidRDefault="00EA5064" w:rsidP="00CC12ED">
            <w:pPr>
              <w:ind w:left="314"/>
              <w:jc w:val="both"/>
              <w:rPr>
                <w:rFonts w:cstheme="minorHAnsi"/>
                <w:sz w:val="20"/>
                <w:szCs w:val="20"/>
              </w:rPr>
            </w:pPr>
            <w:r w:rsidRPr="00CD45BA">
              <w:rPr>
                <w:rFonts w:cstheme="minorHAnsi"/>
                <w:sz w:val="20"/>
                <w:szCs w:val="20"/>
              </w:rPr>
              <w:t xml:space="preserve">En la actualidad operan diversos dispositivos de radiocomunicación de corto alcance que hacen uso y aprovechamiento de bandas de frecuencias del espectro radioeléctrico, debido a las diversas actividades que en la vida cotidiana se realizan mediante el uso de dichos dispositivos, resultando </w:t>
            </w:r>
            <w:r w:rsidRPr="00CD45BA">
              <w:rPr>
                <w:rFonts w:eastAsia="Times New Roman" w:cstheme="minorHAnsi"/>
                <w:sz w:val="20"/>
                <w:szCs w:val="20"/>
                <w:lang w:val="es-ES" w:eastAsia="es-ES"/>
              </w:rPr>
              <w:t xml:space="preserve">inviable otorgar una autorización de uso y aprovechamiento del espectro a cada usuario que posea un dispositivo. Por ello, </w:t>
            </w:r>
            <w:r w:rsidRPr="00CD45BA">
              <w:rPr>
                <w:rFonts w:eastAsia="Times New Roman" w:cstheme="minorHAnsi"/>
                <w:b/>
                <w:sz w:val="20"/>
                <w:szCs w:val="20"/>
                <w:u w:val="single"/>
                <w:lang w:val="es-ES" w:eastAsia="es-ES"/>
              </w:rPr>
              <w:t>se considera viable que se habilite de manera general</w:t>
            </w:r>
            <w:r w:rsidRPr="00CD45BA">
              <w:rPr>
                <w:rFonts w:eastAsia="Times New Roman" w:cstheme="minorHAnsi"/>
                <w:sz w:val="20"/>
                <w:szCs w:val="20"/>
                <w:lang w:val="es-ES" w:eastAsia="es-ES"/>
              </w:rPr>
              <w:t xml:space="preserve"> el uso y aprovechamiento del espectro para todos aquellos dispositivos que sean homologados bajo la figura de dispositivos de corto alcance. Razón por la cual no podría </w:t>
            </w:r>
            <w:r w:rsidRPr="00CD45BA">
              <w:rPr>
                <w:rFonts w:cstheme="minorHAnsi"/>
                <w:sz w:val="20"/>
                <w:szCs w:val="20"/>
              </w:rPr>
              <w:t>generarse un derecho adquirido o reconocible a favor de una determinada persona.</w:t>
            </w:r>
          </w:p>
          <w:p w:rsidR="008C5E0B" w:rsidRDefault="008C5E0B" w:rsidP="001932FC">
            <w:pPr>
              <w:jc w:val="both"/>
              <w:rPr>
                <w:b/>
                <w:sz w:val="20"/>
              </w:rPr>
            </w:pPr>
          </w:p>
          <w:p w:rsidR="004E3D31" w:rsidRPr="004C76C9" w:rsidRDefault="004E3D31" w:rsidP="004E3D31">
            <w:pPr>
              <w:jc w:val="both"/>
              <w:rPr>
                <w:b/>
                <w:sz w:val="20"/>
                <w:szCs w:val="20"/>
              </w:rPr>
            </w:pPr>
            <w:r>
              <w:rPr>
                <w:b/>
                <w:sz w:val="20"/>
              </w:rPr>
              <w:t xml:space="preserve">B) </w:t>
            </w:r>
            <w:r w:rsidRPr="00890DC9">
              <w:rPr>
                <w:b/>
                <w:sz w:val="20"/>
              </w:rPr>
              <w:t>Tipo:</w:t>
            </w:r>
            <w:r>
              <w:rPr>
                <w:b/>
                <w:sz w:val="20"/>
              </w:rPr>
              <w:t xml:space="preserve"> </w:t>
            </w:r>
            <w:r>
              <w:rPr>
                <w:b/>
                <w:sz w:val="20"/>
                <w:szCs w:val="20"/>
              </w:rPr>
              <w:t>Prohibiciones.</w:t>
            </w:r>
          </w:p>
          <w:p w:rsidR="004E3D31" w:rsidRDefault="004E3D31" w:rsidP="004E3D31">
            <w:pPr>
              <w:jc w:val="both"/>
              <w:rPr>
                <w:rFonts w:ascii="Calibri" w:hAnsi="Calibri" w:cs="Calibri"/>
                <w:b/>
                <w:sz w:val="20"/>
                <w:szCs w:val="20"/>
              </w:rPr>
            </w:pPr>
          </w:p>
          <w:p w:rsidR="004E3D31" w:rsidRPr="00890DC9" w:rsidRDefault="004E3D31" w:rsidP="004E3D31">
            <w:pPr>
              <w:ind w:left="314"/>
              <w:jc w:val="both"/>
              <w:rPr>
                <w:b/>
                <w:sz w:val="20"/>
              </w:rPr>
            </w:pPr>
            <w:r w:rsidRPr="00890DC9">
              <w:rPr>
                <w:b/>
                <w:sz w:val="20"/>
              </w:rPr>
              <w:t xml:space="preserve">Artículos aplicables: </w:t>
            </w:r>
          </w:p>
          <w:p w:rsidR="004E3D31" w:rsidRDefault="004E3D31" w:rsidP="001932FC">
            <w:pPr>
              <w:jc w:val="both"/>
              <w:rPr>
                <w:rFonts w:cstheme="minorHAnsi"/>
                <w:b/>
                <w:sz w:val="20"/>
                <w:szCs w:val="20"/>
              </w:rPr>
            </w:pPr>
          </w:p>
          <w:p w:rsidR="00582407" w:rsidRDefault="00582407" w:rsidP="00582407">
            <w:pPr>
              <w:ind w:left="314"/>
              <w:jc w:val="both"/>
              <w:rPr>
                <w:sz w:val="20"/>
              </w:rPr>
            </w:pPr>
            <w:r>
              <w:rPr>
                <w:sz w:val="20"/>
              </w:rPr>
              <w:t>En los artículos 3</w:t>
            </w:r>
            <w:r w:rsidR="00680D09">
              <w:rPr>
                <w:sz w:val="20"/>
              </w:rPr>
              <w:t>,</w:t>
            </w:r>
            <w:r w:rsidR="00637486">
              <w:rPr>
                <w:sz w:val="20"/>
              </w:rPr>
              <w:t xml:space="preserve"> 4</w:t>
            </w:r>
            <w:r w:rsidR="00680D09">
              <w:rPr>
                <w:sz w:val="20"/>
              </w:rPr>
              <w:t xml:space="preserve">, 11 </w:t>
            </w:r>
            <w:r w:rsidR="0011143E">
              <w:rPr>
                <w:sz w:val="20"/>
              </w:rPr>
              <w:t xml:space="preserve">y 20 </w:t>
            </w:r>
            <w:r>
              <w:rPr>
                <w:sz w:val="20"/>
              </w:rPr>
              <w:t>de los Lineamientos, se prevén las restricciones que aplicarán en los Lineamientos.</w:t>
            </w:r>
          </w:p>
          <w:p w:rsidR="00582407" w:rsidRDefault="00582407" w:rsidP="001932FC">
            <w:pPr>
              <w:jc w:val="both"/>
              <w:rPr>
                <w:rFonts w:cstheme="minorHAnsi"/>
                <w:b/>
                <w:sz w:val="20"/>
                <w:szCs w:val="20"/>
              </w:rPr>
            </w:pPr>
          </w:p>
          <w:p w:rsidR="004E3D31" w:rsidRPr="00394CB1" w:rsidRDefault="004E3D31" w:rsidP="004E3D31">
            <w:pPr>
              <w:tabs>
                <w:tab w:val="left" w:pos="1035"/>
              </w:tabs>
              <w:ind w:left="314"/>
              <w:jc w:val="both"/>
              <w:rPr>
                <w:rFonts w:cstheme="minorHAnsi"/>
                <w:b/>
                <w:sz w:val="20"/>
                <w:szCs w:val="20"/>
              </w:rPr>
            </w:pPr>
            <w:r w:rsidRPr="00394CB1">
              <w:rPr>
                <w:rFonts w:cstheme="minorHAnsi"/>
                <w:b/>
                <w:sz w:val="20"/>
                <w:szCs w:val="20"/>
              </w:rPr>
              <w:t>Justificación:</w:t>
            </w:r>
          </w:p>
          <w:p w:rsidR="00B106C9" w:rsidRPr="00394CB1" w:rsidRDefault="00B106C9" w:rsidP="001932FC">
            <w:pPr>
              <w:jc w:val="both"/>
              <w:rPr>
                <w:rFonts w:cstheme="minorHAnsi"/>
                <w:sz w:val="20"/>
                <w:szCs w:val="20"/>
              </w:rPr>
            </w:pPr>
          </w:p>
          <w:p w:rsidR="00C4111D" w:rsidRPr="00394CB1" w:rsidRDefault="003A09B9" w:rsidP="00D62734">
            <w:pPr>
              <w:ind w:left="314"/>
              <w:jc w:val="both"/>
              <w:rPr>
                <w:rFonts w:cstheme="minorHAnsi"/>
                <w:sz w:val="20"/>
                <w:szCs w:val="20"/>
              </w:rPr>
            </w:pPr>
            <w:r w:rsidRPr="00394CB1">
              <w:rPr>
                <w:rFonts w:cstheme="minorHAnsi"/>
                <w:sz w:val="20"/>
                <w:szCs w:val="20"/>
              </w:rPr>
              <w:t xml:space="preserve">Los </w:t>
            </w:r>
            <w:r w:rsidR="00103B46" w:rsidRPr="00394CB1">
              <w:rPr>
                <w:rFonts w:cstheme="minorHAnsi"/>
                <w:sz w:val="20"/>
                <w:szCs w:val="20"/>
              </w:rPr>
              <w:t>L</w:t>
            </w:r>
            <w:r w:rsidRPr="00394CB1">
              <w:rPr>
                <w:rFonts w:cstheme="minorHAnsi"/>
                <w:sz w:val="20"/>
                <w:szCs w:val="20"/>
              </w:rPr>
              <w:t xml:space="preserve">ineamientos </w:t>
            </w:r>
            <w:r w:rsidR="0016565D" w:rsidRPr="00394CB1">
              <w:rPr>
                <w:rFonts w:cstheme="minorHAnsi"/>
                <w:sz w:val="20"/>
                <w:szCs w:val="20"/>
              </w:rPr>
              <w:t xml:space="preserve">en su artículo </w:t>
            </w:r>
            <w:r w:rsidR="00263359" w:rsidRPr="00394CB1">
              <w:rPr>
                <w:rFonts w:cstheme="minorHAnsi"/>
                <w:sz w:val="20"/>
                <w:szCs w:val="20"/>
              </w:rPr>
              <w:t>3 establece:</w:t>
            </w:r>
          </w:p>
          <w:p w:rsidR="00263359" w:rsidRPr="00394CB1" w:rsidRDefault="00263359" w:rsidP="00D62734">
            <w:pPr>
              <w:ind w:left="314"/>
              <w:jc w:val="both"/>
              <w:rPr>
                <w:rFonts w:cstheme="minorHAnsi"/>
                <w:sz w:val="20"/>
                <w:szCs w:val="20"/>
              </w:rPr>
            </w:pPr>
          </w:p>
          <w:p w:rsidR="00C4111D" w:rsidRPr="00394CB1" w:rsidRDefault="00263359" w:rsidP="00D62734">
            <w:pPr>
              <w:ind w:left="314"/>
              <w:jc w:val="both"/>
              <w:rPr>
                <w:rFonts w:cstheme="minorHAnsi"/>
                <w:i/>
                <w:sz w:val="20"/>
                <w:szCs w:val="20"/>
              </w:rPr>
            </w:pPr>
            <w:r w:rsidRPr="00394CB1">
              <w:rPr>
                <w:rFonts w:cstheme="minorHAnsi"/>
                <w:i/>
                <w:sz w:val="20"/>
                <w:szCs w:val="20"/>
              </w:rPr>
              <w:t>“</w:t>
            </w:r>
            <w:r w:rsidR="00C4111D" w:rsidRPr="00394CB1">
              <w:rPr>
                <w:rFonts w:cstheme="minorHAnsi"/>
                <w:i/>
                <w:sz w:val="20"/>
                <w:szCs w:val="20"/>
              </w:rPr>
              <w:t xml:space="preserve">Artículo 3. (…) Dicho uso </w:t>
            </w:r>
            <w:r w:rsidR="00C4111D" w:rsidRPr="00394CB1">
              <w:rPr>
                <w:rFonts w:cstheme="minorHAnsi"/>
                <w:b/>
                <w:i/>
                <w:sz w:val="20"/>
                <w:szCs w:val="20"/>
              </w:rPr>
              <w:t xml:space="preserve">no deberá </w:t>
            </w:r>
            <w:r w:rsidR="00C4111D" w:rsidRPr="00394CB1">
              <w:rPr>
                <w:rFonts w:cstheme="minorHAnsi"/>
                <w:i/>
                <w:sz w:val="20"/>
                <w:szCs w:val="20"/>
              </w:rPr>
              <w:t>causar interferencias perjudiciales a servicios públicos de telecomunicaciones y de radiodifusión concesionados, ni podrán reclamar protección contra interferencias perjudiciales causadas por estos últimos</w:t>
            </w:r>
            <w:r w:rsidRPr="00394CB1">
              <w:rPr>
                <w:rFonts w:cstheme="minorHAnsi"/>
                <w:i/>
                <w:sz w:val="20"/>
                <w:szCs w:val="20"/>
              </w:rPr>
              <w:t>.”</w:t>
            </w:r>
          </w:p>
          <w:p w:rsidR="00C4111D" w:rsidRPr="00394CB1" w:rsidRDefault="00C4111D" w:rsidP="0016565D">
            <w:pPr>
              <w:jc w:val="both"/>
              <w:rPr>
                <w:rFonts w:cstheme="minorHAnsi"/>
                <w:sz w:val="20"/>
                <w:szCs w:val="20"/>
              </w:rPr>
            </w:pPr>
          </w:p>
          <w:p w:rsidR="00DC4A28" w:rsidRPr="00394CB1" w:rsidRDefault="00892DE6" w:rsidP="00D3516D">
            <w:pPr>
              <w:tabs>
                <w:tab w:val="left" w:pos="1035"/>
              </w:tabs>
              <w:ind w:left="314"/>
              <w:jc w:val="both"/>
              <w:rPr>
                <w:rFonts w:cstheme="minorHAnsi"/>
                <w:sz w:val="20"/>
                <w:szCs w:val="20"/>
              </w:rPr>
            </w:pPr>
            <w:r>
              <w:rPr>
                <w:rFonts w:cstheme="minorHAnsi"/>
                <w:sz w:val="20"/>
                <w:szCs w:val="20"/>
              </w:rPr>
              <w:t>Lo anterior es consistente con lo establecido en e</w:t>
            </w:r>
            <w:r w:rsidR="00FA2AF4" w:rsidRPr="00394CB1">
              <w:rPr>
                <w:rFonts w:cstheme="minorHAnsi"/>
                <w:sz w:val="20"/>
                <w:szCs w:val="20"/>
              </w:rPr>
              <w:t>l artículo 57 de la LFTR,</w:t>
            </w:r>
            <w:r w:rsidR="00B331C9">
              <w:rPr>
                <w:rFonts w:cstheme="minorHAnsi"/>
                <w:sz w:val="20"/>
                <w:szCs w:val="20"/>
              </w:rPr>
              <w:t xml:space="preserve"> el cual</w:t>
            </w:r>
            <w:r w:rsidR="00FA2AF4" w:rsidRPr="00394CB1">
              <w:rPr>
                <w:rFonts w:cstheme="minorHAnsi"/>
                <w:sz w:val="20"/>
                <w:szCs w:val="20"/>
              </w:rPr>
              <w:t xml:space="preserve"> </w:t>
            </w:r>
            <w:r w:rsidR="00DC4A28" w:rsidRPr="00394CB1">
              <w:rPr>
                <w:rFonts w:cstheme="minorHAnsi"/>
                <w:sz w:val="20"/>
                <w:szCs w:val="20"/>
              </w:rPr>
              <w:t>establece que en el Cuadro Nacional de Atribución de Frecuencias se establecerá la atribución de las bandas de frecuencia del espectro radioeléctrico de acuerdo a las categorías</w:t>
            </w:r>
            <w:r w:rsidR="006A2315" w:rsidRPr="00394CB1">
              <w:rPr>
                <w:rFonts w:cstheme="minorHAnsi"/>
                <w:sz w:val="20"/>
                <w:szCs w:val="20"/>
              </w:rPr>
              <w:t xml:space="preserve"> de </w:t>
            </w:r>
            <w:r w:rsidR="00DC4A28" w:rsidRPr="00394CB1">
              <w:rPr>
                <w:rFonts w:cstheme="minorHAnsi"/>
                <w:sz w:val="20"/>
                <w:szCs w:val="20"/>
              </w:rPr>
              <w:t>título primario</w:t>
            </w:r>
            <w:r w:rsidR="002C4C48" w:rsidRPr="00394CB1">
              <w:rPr>
                <w:rFonts w:cstheme="minorHAnsi"/>
                <w:sz w:val="20"/>
                <w:szCs w:val="20"/>
              </w:rPr>
              <w:t xml:space="preserve"> </w:t>
            </w:r>
            <w:r w:rsidR="005C7981" w:rsidRPr="00394CB1">
              <w:rPr>
                <w:rFonts w:cstheme="minorHAnsi"/>
                <w:sz w:val="20"/>
                <w:szCs w:val="20"/>
              </w:rPr>
              <w:t>o</w:t>
            </w:r>
            <w:r w:rsidR="00447F13" w:rsidRPr="00394CB1">
              <w:rPr>
                <w:rFonts w:cstheme="minorHAnsi"/>
                <w:sz w:val="20"/>
                <w:szCs w:val="20"/>
              </w:rPr>
              <w:t xml:space="preserve"> título secundario</w:t>
            </w:r>
            <w:r w:rsidR="001132A4" w:rsidRPr="00394CB1">
              <w:rPr>
                <w:rFonts w:cstheme="minorHAnsi"/>
                <w:sz w:val="20"/>
                <w:szCs w:val="20"/>
              </w:rPr>
              <w:t>, para esta última categoría e</w:t>
            </w:r>
            <w:r w:rsidR="00DC4A28" w:rsidRPr="00394CB1">
              <w:rPr>
                <w:rFonts w:cstheme="minorHAnsi"/>
                <w:sz w:val="20"/>
                <w:szCs w:val="20"/>
              </w:rPr>
              <w:t>l uso de las bandas de frecuencia no debe causar interferencias perjudiciales a los servicios que se prestan mediante bandas de frecuencia otorgadas a título primario, ni podrán reclamar protección contra interferencias perjudiciales causadas por estas últimas.</w:t>
            </w:r>
          </w:p>
          <w:p w:rsidR="00DC4A28" w:rsidRPr="00394CB1" w:rsidRDefault="00DC4A28" w:rsidP="00D3516D">
            <w:pPr>
              <w:tabs>
                <w:tab w:val="left" w:pos="1035"/>
              </w:tabs>
              <w:ind w:left="314"/>
              <w:jc w:val="both"/>
              <w:rPr>
                <w:rFonts w:ascii="ITC Avant Garde" w:hAnsi="ITC Avant Garde"/>
                <w:sz w:val="20"/>
                <w:szCs w:val="20"/>
              </w:rPr>
            </w:pPr>
          </w:p>
          <w:p w:rsidR="00E55841" w:rsidRPr="00394CB1" w:rsidRDefault="0038102E" w:rsidP="00D3516D">
            <w:pPr>
              <w:ind w:left="314"/>
              <w:jc w:val="both"/>
              <w:rPr>
                <w:sz w:val="20"/>
                <w:szCs w:val="20"/>
              </w:rPr>
            </w:pPr>
            <w:r w:rsidRPr="009037D7">
              <w:rPr>
                <w:sz w:val="20"/>
                <w:szCs w:val="20"/>
              </w:rPr>
              <w:t xml:space="preserve">Por su parte el artículo </w:t>
            </w:r>
            <w:r w:rsidR="0016565D" w:rsidRPr="009037D7">
              <w:rPr>
                <w:sz w:val="20"/>
                <w:szCs w:val="20"/>
              </w:rPr>
              <w:t xml:space="preserve">4 </w:t>
            </w:r>
            <w:r w:rsidR="003A09B9" w:rsidRPr="009037D7">
              <w:rPr>
                <w:sz w:val="20"/>
                <w:szCs w:val="20"/>
              </w:rPr>
              <w:t xml:space="preserve">contempla la restricción de </w:t>
            </w:r>
            <w:r w:rsidR="00387092" w:rsidRPr="009037D7">
              <w:rPr>
                <w:sz w:val="20"/>
                <w:szCs w:val="20"/>
              </w:rPr>
              <w:t xml:space="preserve">que </w:t>
            </w:r>
            <w:r w:rsidR="00E55841" w:rsidRPr="009037D7">
              <w:rPr>
                <w:sz w:val="20"/>
                <w:szCs w:val="20"/>
              </w:rPr>
              <w:t>el Autorizado no deberá usar, aprovechar ni explotar l</w:t>
            </w:r>
            <w:r w:rsidR="00E55841" w:rsidRPr="00394CB1">
              <w:rPr>
                <w:sz w:val="20"/>
                <w:szCs w:val="20"/>
              </w:rPr>
              <w:t>as bandas de frecuencias del espectro radioeléctrico objeto de la Constancia de Autorización para prestar servicios públicos de interés general en materia de Telecomunicaciones y Radiodifusión.</w:t>
            </w:r>
          </w:p>
          <w:p w:rsidR="00E55841" w:rsidRPr="00394CB1" w:rsidRDefault="00E55841" w:rsidP="0016565D">
            <w:pPr>
              <w:jc w:val="both"/>
              <w:rPr>
                <w:sz w:val="20"/>
                <w:szCs w:val="20"/>
              </w:rPr>
            </w:pPr>
          </w:p>
          <w:p w:rsidR="00FB385C" w:rsidRPr="00394CB1" w:rsidRDefault="00FB385C" w:rsidP="00FF3227">
            <w:pPr>
              <w:tabs>
                <w:tab w:val="left" w:pos="1035"/>
              </w:tabs>
              <w:ind w:left="314"/>
              <w:jc w:val="both"/>
              <w:rPr>
                <w:rFonts w:ascii="Calibri" w:hAnsi="Calibri" w:cs="Calibri"/>
                <w:sz w:val="20"/>
                <w:szCs w:val="20"/>
              </w:rPr>
            </w:pPr>
            <w:r w:rsidRPr="00394CB1">
              <w:rPr>
                <w:rFonts w:ascii="Calibri" w:hAnsi="Calibri" w:cs="Calibri"/>
                <w:sz w:val="20"/>
                <w:szCs w:val="20"/>
              </w:rPr>
              <w:t>El uso y aprovechamiento que se pretende dar a las bandas de frecuencias del espectro radioeléctrico en los eventos específicos y actividades comerciales e industriales no tiene como finalidad prestar servicios públicos de interés general de telecomunicaciones o de radiodifusión, es decir, únicamente pretende satisfacer necesidades específicas de comunicación, o actividades productivas que no están sujetas a condiciones de competencia, calidad, pluralidad, cobertura universal, interconexión, convergencia, continuidad, entre otras, establecidas en las fracciones II y III del apartado B) del artículo 6o. de la Constitución.</w:t>
            </w:r>
          </w:p>
          <w:p w:rsidR="00FB385C" w:rsidRPr="00394CB1" w:rsidRDefault="00FB385C" w:rsidP="00FF3227">
            <w:pPr>
              <w:ind w:left="314"/>
              <w:jc w:val="both"/>
              <w:rPr>
                <w:rFonts w:ascii="Calibri" w:hAnsi="Calibri" w:cs="Calibri"/>
                <w:sz w:val="20"/>
                <w:szCs w:val="20"/>
              </w:rPr>
            </w:pPr>
          </w:p>
          <w:p w:rsidR="009B3D5E" w:rsidRPr="00394CB1" w:rsidRDefault="00301CD4" w:rsidP="00FF3227">
            <w:pPr>
              <w:ind w:left="314"/>
              <w:jc w:val="both"/>
              <w:rPr>
                <w:rFonts w:ascii="Calibri" w:hAnsi="Calibri" w:cs="Calibri"/>
                <w:sz w:val="20"/>
                <w:szCs w:val="20"/>
                <w:lang w:val="es-ES"/>
              </w:rPr>
            </w:pPr>
            <w:r w:rsidRPr="00394CB1">
              <w:rPr>
                <w:rFonts w:ascii="Calibri" w:hAnsi="Calibri" w:cs="Calibri"/>
                <w:sz w:val="20"/>
                <w:szCs w:val="20"/>
                <w:lang w:val="es-ES"/>
              </w:rPr>
              <w:t>E</w:t>
            </w:r>
            <w:r w:rsidR="009B3D5E" w:rsidRPr="00394CB1">
              <w:rPr>
                <w:rFonts w:ascii="Calibri" w:hAnsi="Calibri" w:cs="Calibri"/>
                <w:sz w:val="20"/>
                <w:szCs w:val="20"/>
                <w:lang w:val="es-ES"/>
              </w:rPr>
              <w:t xml:space="preserve">n </w:t>
            </w:r>
            <w:r w:rsidRPr="00394CB1">
              <w:rPr>
                <w:rFonts w:ascii="Calibri" w:hAnsi="Calibri" w:cs="Calibri"/>
                <w:sz w:val="20"/>
                <w:szCs w:val="20"/>
                <w:lang w:val="es-ES"/>
              </w:rPr>
              <w:t>el</w:t>
            </w:r>
            <w:r w:rsidR="009B3D5E" w:rsidRPr="00394CB1">
              <w:rPr>
                <w:rFonts w:ascii="Calibri" w:hAnsi="Calibri" w:cs="Calibri"/>
                <w:sz w:val="20"/>
                <w:szCs w:val="20"/>
                <w:lang w:val="es-ES"/>
              </w:rPr>
              <w:t xml:space="preserve"> artículo 1</w:t>
            </w:r>
            <w:r w:rsidR="00512C8F" w:rsidRPr="00394CB1">
              <w:rPr>
                <w:rFonts w:ascii="Calibri" w:hAnsi="Calibri" w:cs="Calibri"/>
                <w:sz w:val="20"/>
                <w:szCs w:val="20"/>
                <w:lang w:val="es-ES"/>
              </w:rPr>
              <w:t>1</w:t>
            </w:r>
            <w:r w:rsidR="00BB419E" w:rsidRPr="00394CB1">
              <w:rPr>
                <w:rFonts w:ascii="Calibri" w:hAnsi="Calibri" w:cs="Calibri"/>
                <w:sz w:val="20"/>
                <w:szCs w:val="20"/>
                <w:lang w:val="es-ES"/>
              </w:rPr>
              <w:t xml:space="preserve"> de los Lineamientos se establece </w:t>
            </w:r>
            <w:r w:rsidR="009B3D5E" w:rsidRPr="00394CB1">
              <w:rPr>
                <w:rFonts w:ascii="Calibri" w:hAnsi="Calibri" w:cs="Calibri"/>
                <w:sz w:val="20"/>
                <w:szCs w:val="20"/>
                <w:lang w:val="es-ES"/>
              </w:rPr>
              <w:t xml:space="preserve">que el </w:t>
            </w:r>
            <w:r w:rsidR="00512C8F" w:rsidRPr="00394CB1">
              <w:rPr>
                <w:rFonts w:ascii="Calibri" w:hAnsi="Calibri" w:cs="Calibri"/>
                <w:sz w:val="20"/>
                <w:szCs w:val="20"/>
                <w:lang w:val="es-ES"/>
              </w:rPr>
              <w:t>Autorizado en ningún caso podrá arrendar, ceder, dar en prenda o fideicomiso, enajenar, gravar, hipotecar u otorgar a título gratuito, total o parcialmente, los derechos respecto al uso secundario de las bandas de frecuencias del espectro radioeléctrico</w:t>
            </w:r>
            <w:r w:rsidR="009B3D5E" w:rsidRPr="00394CB1">
              <w:rPr>
                <w:rFonts w:ascii="Calibri" w:hAnsi="Calibri" w:cs="Calibri"/>
                <w:sz w:val="20"/>
                <w:szCs w:val="20"/>
                <w:lang w:val="es-ES"/>
              </w:rPr>
              <w:t>.</w:t>
            </w:r>
          </w:p>
          <w:p w:rsidR="00BB419E" w:rsidRPr="00394CB1" w:rsidRDefault="00BB419E" w:rsidP="00FF3227">
            <w:pPr>
              <w:ind w:left="314"/>
              <w:jc w:val="both"/>
              <w:rPr>
                <w:rFonts w:ascii="Calibri" w:hAnsi="Calibri" w:cs="Calibri"/>
                <w:sz w:val="20"/>
                <w:szCs w:val="20"/>
                <w:lang w:val="es-ES"/>
              </w:rPr>
            </w:pPr>
          </w:p>
          <w:p w:rsidR="00DD55B1" w:rsidRPr="00394CB1" w:rsidRDefault="00E07921" w:rsidP="00FF3227">
            <w:pPr>
              <w:ind w:left="314"/>
              <w:jc w:val="both"/>
              <w:rPr>
                <w:rFonts w:ascii="Calibri" w:hAnsi="Calibri" w:cs="Calibri"/>
                <w:sz w:val="20"/>
                <w:szCs w:val="20"/>
                <w:lang w:val="es-ES"/>
              </w:rPr>
            </w:pPr>
            <w:r w:rsidRPr="00394CB1">
              <w:rPr>
                <w:rFonts w:ascii="Calibri" w:hAnsi="Calibri" w:cs="Calibri"/>
                <w:sz w:val="20"/>
                <w:szCs w:val="20"/>
                <w:lang w:val="es-ES"/>
              </w:rPr>
              <w:t xml:space="preserve">Lo anterior, toda vez que la autorización de uso secundario se </w:t>
            </w:r>
            <w:r w:rsidR="00C67A58" w:rsidRPr="00394CB1">
              <w:rPr>
                <w:rFonts w:ascii="Calibri" w:hAnsi="Calibri" w:cs="Calibri"/>
                <w:sz w:val="20"/>
                <w:szCs w:val="20"/>
                <w:lang w:val="es-ES"/>
              </w:rPr>
              <w:t>otorga para satisfacer necesidades específicas de telecomunicaciones, lo que no im</w:t>
            </w:r>
            <w:r w:rsidR="00F05428" w:rsidRPr="00394CB1">
              <w:rPr>
                <w:rFonts w:ascii="Calibri" w:hAnsi="Calibri" w:cs="Calibri"/>
                <w:sz w:val="20"/>
                <w:szCs w:val="20"/>
                <w:lang w:val="es-ES"/>
              </w:rPr>
              <w:t>plica una explotación comercial, razón por la cual el Autorizado se encuentra impedido para transmitirla a un tercero por cualquier</w:t>
            </w:r>
            <w:r w:rsidR="00047F62" w:rsidRPr="00394CB1">
              <w:rPr>
                <w:rFonts w:ascii="Calibri" w:hAnsi="Calibri" w:cs="Calibri"/>
                <w:sz w:val="20"/>
                <w:szCs w:val="20"/>
                <w:lang w:val="es-ES"/>
              </w:rPr>
              <w:t xml:space="preserve"> título legal.</w:t>
            </w:r>
            <w:r w:rsidR="00F05428" w:rsidRPr="00394CB1">
              <w:rPr>
                <w:rFonts w:ascii="Calibri" w:hAnsi="Calibri" w:cs="Calibri"/>
                <w:sz w:val="20"/>
                <w:szCs w:val="20"/>
                <w:lang w:val="es-ES"/>
              </w:rPr>
              <w:t xml:space="preserve"> </w:t>
            </w:r>
          </w:p>
          <w:p w:rsidR="00DD55B1" w:rsidRPr="00394CB1" w:rsidRDefault="00DD55B1" w:rsidP="00FF3227">
            <w:pPr>
              <w:ind w:left="314"/>
              <w:jc w:val="both"/>
              <w:rPr>
                <w:rFonts w:ascii="Calibri" w:hAnsi="Calibri" w:cs="Calibri"/>
                <w:sz w:val="20"/>
                <w:szCs w:val="20"/>
                <w:lang w:val="es-ES"/>
              </w:rPr>
            </w:pPr>
          </w:p>
          <w:p w:rsidR="009249F8" w:rsidRPr="00394CB1" w:rsidRDefault="009249F8" w:rsidP="00FF3227">
            <w:pPr>
              <w:tabs>
                <w:tab w:val="left" w:pos="1035"/>
              </w:tabs>
              <w:ind w:left="314"/>
              <w:jc w:val="both"/>
              <w:rPr>
                <w:rFonts w:ascii="Calibri" w:hAnsi="Calibri" w:cs="Calibri"/>
                <w:sz w:val="20"/>
                <w:szCs w:val="20"/>
              </w:rPr>
            </w:pPr>
            <w:r w:rsidRPr="00394CB1">
              <w:rPr>
                <w:rFonts w:ascii="Calibri" w:hAnsi="Calibri" w:cs="Calibri"/>
                <w:sz w:val="20"/>
                <w:szCs w:val="20"/>
              </w:rPr>
              <w:t xml:space="preserve">Finalmente, en el artículo 20 de los Lineamientos se dispone que </w:t>
            </w:r>
            <w:r w:rsidR="008346B8" w:rsidRPr="00394CB1">
              <w:rPr>
                <w:rFonts w:ascii="Calibri" w:hAnsi="Calibri" w:cs="Calibri"/>
                <w:sz w:val="20"/>
                <w:szCs w:val="20"/>
              </w:rPr>
              <w:t>l</w:t>
            </w:r>
            <w:r w:rsidRPr="00394CB1">
              <w:rPr>
                <w:rFonts w:ascii="Calibri" w:hAnsi="Calibri" w:cs="Calibri"/>
                <w:sz w:val="20"/>
                <w:szCs w:val="20"/>
              </w:rPr>
              <w:t xml:space="preserve">os Dispositivos de radiocomunicación de corto alcance no podrán operar en frecuencias del espectro radioeléctrico identificadas a nivel nacional e internacional para comunicaciones de socorro, seguridad, búsqueda o salvamento. </w:t>
            </w:r>
          </w:p>
          <w:p w:rsidR="008C5E0B" w:rsidRPr="009037D7" w:rsidRDefault="008C5E0B" w:rsidP="00301CD4">
            <w:pPr>
              <w:jc w:val="both"/>
              <w:rPr>
                <w:rFonts w:cstheme="minorHAnsi"/>
                <w:sz w:val="20"/>
                <w:szCs w:val="20"/>
                <w:lang w:val="es-ES"/>
              </w:rPr>
            </w:pPr>
          </w:p>
          <w:p w:rsidR="00047F62" w:rsidRPr="00394CB1" w:rsidRDefault="00D42838" w:rsidP="005A1B99">
            <w:pPr>
              <w:tabs>
                <w:tab w:val="left" w:pos="1035"/>
              </w:tabs>
              <w:ind w:left="314"/>
              <w:jc w:val="both"/>
              <w:rPr>
                <w:rFonts w:cstheme="minorHAnsi"/>
                <w:sz w:val="20"/>
                <w:szCs w:val="20"/>
                <w:lang w:val="es-ES"/>
              </w:rPr>
            </w:pPr>
            <w:r w:rsidRPr="00394CB1">
              <w:rPr>
                <w:rFonts w:cstheme="minorHAnsi"/>
                <w:sz w:val="20"/>
                <w:szCs w:val="20"/>
                <w:lang w:val="es-ES"/>
              </w:rPr>
              <w:t>Lo anterior se establece de esa manera, toda vez que l</w:t>
            </w:r>
            <w:r w:rsidR="00047F62" w:rsidRPr="00394CB1">
              <w:rPr>
                <w:rFonts w:cstheme="minorHAnsi"/>
                <w:sz w:val="20"/>
                <w:szCs w:val="20"/>
                <w:lang w:val="es-ES"/>
              </w:rPr>
              <w:t xml:space="preserve">a fracción III del artículo 55 de la LFTR </w:t>
            </w:r>
            <w:r w:rsidRPr="00394CB1">
              <w:rPr>
                <w:rFonts w:cstheme="minorHAnsi"/>
                <w:sz w:val="20"/>
                <w:szCs w:val="20"/>
                <w:lang w:val="es-ES"/>
              </w:rPr>
              <w:t>dispone</w:t>
            </w:r>
            <w:r w:rsidR="00047F62" w:rsidRPr="00394CB1">
              <w:rPr>
                <w:rFonts w:cstheme="minorHAnsi"/>
                <w:sz w:val="20"/>
                <w:szCs w:val="20"/>
                <w:lang w:val="es-ES"/>
              </w:rPr>
              <w:t xml:space="preserve"> que el espectro protegido se refiere a las bandas de frecuencias </w:t>
            </w:r>
            <w:r w:rsidR="00047F62" w:rsidRPr="00394CB1">
              <w:rPr>
                <w:rFonts w:cstheme="minorHAnsi"/>
                <w:sz w:val="20"/>
                <w:szCs w:val="20"/>
              </w:rPr>
              <w:t>del espectro radioeléctrico</w:t>
            </w:r>
            <w:r w:rsidR="00047F62" w:rsidRPr="00394CB1">
              <w:rPr>
                <w:rFonts w:cstheme="minorHAnsi"/>
                <w:sz w:val="20"/>
                <w:szCs w:val="20"/>
                <w:lang w:val="es-ES"/>
              </w:rPr>
              <w:t xml:space="preserve"> atribuidas a nivel mundial y regional a los servicios de radionavegación marítima, aeronáutica y de aquellos relacionados con la seguridad de la vida humana y demás servicios que deben ser protegidos conf</w:t>
            </w:r>
            <w:r w:rsidR="00B76D0B" w:rsidRPr="00394CB1">
              <w:rPr>
                <w:rFonts w:cstheme="minorHAnsi"/>
                <w:sz w:val="20"/>
                <w:szCs w:val="20"/>
                <w:lang w:val="es-ES"/>
              </w:rPr>
              <w:t>orme a los tratados y acuerdos i</w:t>
            </w:r>
            <w:r w:rsidR="00047F62" w:rsidRPr="00394CB1">
              <w:rPr>
                <w:rFonts w:cstheme="minorHAnsi"/>
                <w:sz w:val="20"/>
                <w:szCs w:val="20"/>
                <w:lang w:val="es-ES"/>
              </w:rPr>
              <w:t>nternacionales</w:t>
            </w:r>
            <w:r w:rsidR="00B76D0B" w:rsidRPr="00394CB1">
              <w:rPr>
                <w:rFonts w:cstheme="minorHAnsi"/>
                <w:sz w:val="20"/>
                <w:szCs w:val="20"/>
                <w:lang w:val="es-ES"/>
              </w:rPr>
              <w:t xml:space="preserve">; por lo </w:t>
            </w:r>
            <w:r w:rsidR="00CA769B" w:rsidRPr="00394CB1">
              <w:rPr>
                <w:rFonts w:cstheme="minorHAnsi"/>
                <w:sz w:val="20"/>
                <w:szCs w:val="20"/>
                <w:lang w:val="es-ES"/>
              </w:rPr>
              <w:t>tanto,</w:t>
            </w:r>
            <w:r w:rsidR="00B76D0B" w:rsidRPr="00394CB1">
              <w:rPr>
                <w:rFonts w:cstheme="minorHAnsi"/>
                <w:sz w:val="20"/>
                <w:szCs w:val="20"/>
                <w:lang w:val="es-ES"/>
              </w:rPr>
              <w:t xml:space="preserve"> se deben proteger.</w:t>
            </w:r>
            <w:r w:rsidR="00047F62" w:rsidRPr="00394CB1">
              <w:rPr>
                <w:rFonts w:cstheme="minorHAnsi"/>
                <w:sz w:val="20"/>
                <w:szCs w:val="20"/>
                <w:lang w:val="es-ES"/>
              </w:rPr>
              <w:t xml:space="preserve"> </w:t>
            </w:r>
          </w:p>
          <w:p w:rsidR="008346B8" w:rsidRPr="009037D7" w:rsidRDefault="008346B8" w:rsidP="00301CD4">
            <w:pPr>
              <w:jc w:val="both"/>
              <w:rPr>
                <w:rFonts w:cstheme="minorHAnsi"/>
                <w:sz w:val="20"/>
                <w:szCs w:val="20"/>
                <w:lang w:val="es-ES"/>
              </w:rPr>
            </w:pPr>
          </w:p>
          <w:p w:rsidR="001126DD" w:rsidRPr="004C76C9" w:rsidRDefault="001126DD" w:rsidP="001126DD">
            <w:pPr>
              <w:jc w:val="both"/>
              <w:rPr>
                <w:b/>
                <w:sz w:val="20"/>
                <w:szCs w:val="20"/>
              </w:rPr>
            </w:pPr>
            <w:r>
              <w:rPr>
                <w:b/>
                <w:sz w:val="20"/>
              </w:rPr>
              <w:t xml:space="preserve">C) </w:t>
            </w:r>
            <w:r w:rsidRPr="00890DC9">
              <w:rPr>
                <w:b/>
                <w:sz w:val="20"/>
              </w:rPr>
              <w:t>Tipo:</w:t>
            </w:r>
            <w:r>
              <w:rPr>
                <w:b/>
                <w:sz w:val="20"/>
              </w:rPr>
              <w:t xml:space="preserve"> </w:t>
            </w:r>
            <w:r>
              <w:rPr>
                <w:b/>
                <w:sz w:val="20"/>
                <w:szCs w:val="20"/>
              </w:rPr>
              <w:t>Obligaciones.</w:t>
            </w:r>
          </w:p>
          <w:p w:rsidR="001126DD" w:rsidRDefault="001126DD" w:rsidP="001126DD">
            <w:pPr>
              <w:jc w:val="both"/>
              <w:rPr>
                <w:rFonts w:ascii="Calibri" w:hAnsi="Calibri" w:cs="Calibri"/>
                <w:b/>
                <w:sz w:val="20"/>
                <w:szCs w:val="20"/>
              </w:rPr>
            </w:pPr>
          </w:p>
          <w:p w:rsidR="001126DD" w:rsidRPr="00890DC9" w:rsidRDefault="001126DD" w:rsidP="001126DD">
            <w:pPr>
              <w:ind w:left="314"/>
              <w:jc w:val="both"/>
              <w:rPr>
                <w:b/>
                <w:sz w:val="20"/>
              </w:rPr>
            </w:pPr>
            <w:r w:rsidRPr="00890DC9">
              <w:rPr>
                <w:b/>
                <w:sz w:val="20"/>
              </w:rPr>
              <w:t xml:space="preserve">Artículos aplicables: </w:t>
            </w:r>
          </w:p>
          <w:p w:rsidR="001126DD" w:rsidRDefault="001126DD" w:rsidP="00301CD4">
            <w:pPr>
              <w:jc w:val="both"/>
              <w:rPr>
                <w:rFonts w:cstheme="minorHAnsi"/>
                <w:b/>
                <w:sz w:val="20"/>
                <w:szCs w:val="20"/>
                <w:lang w:val="es-ES"/>
              </w:rPr>
            </w:pPr>
          </w:p>
          <w:p w:rsidR="00C91B0A" w:rsidRDefault="00C91B0A" w:rsidP="00C91B0A">
            <w:pPr>
              <w:ind w:left="314"/>
              <w:jc w:val="both"/>
              <w:rPr>
                <w:sz w:val="20"/>
              </w:rPr>
            </w:pPr>
            <w:r>
              <w:rPr>
                <w:sz w:val="20"/>
              </w:rPr>
              <w:t>En los artículos 9, 21 y 23 de los Lineamientos, se prevén las restricciones que aplicarán en los Lineamientos.</w:t>
            </w:r>
          </w:p>
          <w:p w:rsidR="00C91B0A" w:rsidRDefault="00C91B0A" w:rsidP="00C91B0A">
            <w:pPr>
              <w:jc w:val="both"/>
              <w:rPr>
                <w:rFonts w:cstheme="minorHAnsi"/>
                <w:b/>
                <w:sz w:val="20"/>
                <w:szCs w:val="20"/>
              </w:rPr>
            </w:pPr>
          </w:p>
          <w:p w:rsidR="00C91B0A" w:rsidRPr="00394CB1" w:rsidRDefault="00C91B0A" w:rsidP="00C91B0A">
            <w:pPr>
              <w:tabs>
                <w:tab w:val="left" w:pos="1035"/>
              </w:tabs>
              <w:ind w:left="314"/>
              <w:jc w:val="both"/>
              <w:rPr>
                <w:rFonts w:cstheme="minorHAnsi"/>
                <w:b/>
                <w:sz w:val="20"/>
                <w:szCs w:val="20"/>
              </w:rPr>
            </w:pPr>
            <w:r w:rsidRPr="00394CB1">
              <w:rPr>
                <w:rFonts w:cstheme="minorHAnsi"/>
                <w:b/>
                <w:sz w:val="20"/>
                <w:szCs w:val="20"/>
              </w:rPr>
              <w:t>Justificación:</w:t>
            </w:r>
          </w:p>
          <w:p w:rsidR="001126DD" w:rsidRDefault="001126DD" w:rsidP="00301CD4">
            <w:pPr>
              <w:jc w:val="both"/>
              <w:rPr>
                <w:rFonts w:cstheme="minorHAnsi"/>
                <w:b/>
                <w:sz w:val="20"/>
                <w:szCs w:val="20"/>
                <w:lang w:val="es-ES"/>
              </w:rPr>
            </w:pPr>
          </w:p>
          <w:p w:rsidR="00CE0BE8" w:rsidRPr="00394CB1" w:rsidRDefault="009F7847" w:rsidP="00EA6F38">
            <w:pPr>
              <w:tabs>
                <w:tab w:val="left" w:pos="1035"/>
              </w:tabs>
              <w:ind w:left="314"/>
              <w:jc w:val="both"/>
              <w:rPr>
                <w:rFonts w:cstheme="minorHAnsi"/>
                <w:sz w:val="20"/>
                <w:szCs w:val="20"/>
              </w:rPr>
            </w:pPr>
            <w:r w:rsidRPr="00394CB1">
              <w:rPr>
                <w:rFonts w:cstheme="minorHAnsi"/>
                <w:sz w:val="20"/>
                <w:szCs w:val="20"/>
              </w:rPr>
              <w:t>En el artículo 9</w:t>
            </w:r>
            <w:r w:rsidR="007C2C64" w:rsidRPr="00394CB1">
              <w:rPr>
                <w:rFonts w:cstheme="minorHAnsi"/>
                <w:sz w:val="20"/>
                <w:szCs w:val="20"/>
              </w:rPr>
              <w:t xml:space="preserve"> de los Lineamientos, </w:t>
            </w:r>
            <w:r w:rsidR="00FB7093" w:rsidRPr="00394CB1">
              <w:rPr>
                <w:rFonts w:cstheme="minorHAnsi"/>
                <w:sz w:val="20"/>
                <w:szCs w:val="20"/>
              </w:rPr>
              <w:t xml:space="preserve">se establece que </w:t>
            </w:r>
            <w:r w:rsidRPr="00394CB1">
              <w:rPr>
                <w:rFonts w:cstheme="minorHAnsi"/>
                <w:sz w:val="20"/>
                <w:szCs w:val="20"/>
              </w:rPr>
              <w:t xml:space="preserve">el </w:t>
            </w:r>
            <w:r w:rsidR="008E3C7E" w:rsidRPr="00394CB1">
              <w:rPr>
                <w:rFonts w:cstheme="minorHAnsi"/>
                <w:i/>
                <w:sz w:val="20"/>
                <w:szCs w:val="20"/>
              </w:rPr>
              <w:t>“</w:t>
            </w:r>
            <w:r w:rsidRPr="00394CB1">
              <w:rPr>
                <w:rFonts w:cstheme="minorHAnsi"/>
                <w:i/>
                <w:sz w:val="20"/>
                <w:szCs w:val="20"/>
              </w:rPr>
              <w:t xml:space="preserve">Instituto verifique que </w:t>
            </w:r>
            <w:r w:rsidRPr="00394CB1">
              <w:rPr>
                <w:rFonts w:cstheme="minorHAnsi"/>
                <w:b/>
                <w:i/>
                <w:sz w:val="20"/>
                <w:szCs w:val="20"/>
              </w:rPr>
              <w:t>se ha realizado el pago de la contraprestación correspondiente</w:t>
            </w:r>
            <w:r w:rsidR="008E3C7E" w:rsidRPr="00394CB1">
              <w:rPr>
                <w:rFonts w:cstheme="minorHAnsi"/>
                <w:b/>
                <w:i/>
                <w:sz w:val="20"/>
                <w:szCs w:val="20"/>
              </w:rPr>
              <w:t>”</w:t>
            </w:r>
            <w:r w:rsidR="00CE0BE8" w:rsidRPr="00394CB1">
              <w:rPr>
                <w:rFonts w:cstheme="minorHAnsi"/>
                <w:sz w:val="20"/>
                <w:szCs w:val="20"/>
              </w:rPr>
              <w:t>.</w:t>
            </w:r>
          </w:p>
          <w:p w:rsidR="00CE0BE8" w:rsidRPr="00394CB1" w:rsidRDefault="00CE0BE8" w:rsidP="00EA6F38">
            <w:pPr>
              <w:tabs>
                <w:tab w:val="left" w:pos="1035"/>
              </w:tabs>
              <w:ind w:left="314"/>
              <w:jc w:val="both"/>
              <w:rPr>
                <w:rFonts w:cstheme="minorHAnsi"/>
                <w:sz w:val="20"/>
                <w:szCs w:val="20"/>
              </w:rPr>
            </w:pPr>
          </w:p>
          <w:p w:rsidR="009F7847" w:rsidRPr="00394CB1" w:rsidRDefault="00CE0BE8" w:rsidP="00EA6F38">
            <w:pPr>
              <w:tabs>
                <w:tab w:val="left" w:pos="1035"/>
              </w:tabs>
              <w:ind w:left="314"/>
              <w:jc w:val="both"/>
              <w:rPr>
                <w:rFonts w:cstheme="minorHAnsi"/>
                <w:sz w:val="20"/>
                <w:szCs w:val="20"/>
              </w:rPr>
            </w:pPr>
            <w:r w:rsidRPr="00394CB1">
              <w:rPr>
                <w:rFonts w:cstheme="minorHAnsi"/>
                <w:sz w:val="20"/>
                <w:szCs w:val="20"/>
              </w:rPr>
              <w:t>S</w:t>
            </w:r>
            <w:r w:rsidR="00D375DD" w:rsidRPr="00394CB1">
              <w:rPr>
                <w:rFonts w:cstheme="minorHAnsi"/>
                <w:sz w:val="20"/>
                <w:szCs w:val="20"/>
              </w:rPr>
              <w:t xml:space="preserve">i bien </w:t>
            </w:r>
            <w:r w:rsidRPr="00394CB1">
              <w:rPr>
                <w:rFonts w:cstheme="minorHAnsi"/>
                <w:sz w:val="20"/>
                <w:szCs w:val="20"/>
              </w:rPr>
              <w:t xml:space="preserve">con la Constancia de Autorización de uso secundario </w:t>
            </w:r>
            <w:r w:rsidR="00AA4383" w:rsidRPr="00394CB1">
              <w:rPr>
                <w:rFonts w:cstheme="minorHAnsi"/>
                <w:sz w:val="20"/>
                <w:szCs w:val="20"/>
              </w:rPr>
              <w:t xml:space="preserve">no se comercializan servicios de telecomunicaciones, también cierto es que </w:t>
            </w:r>
            <w:r w:rsidR="00D375DD" w:rsidRPr="00394CB1">
              <w:rPr>
                <w:rFonts w:cstheme="minorHAnsi"/>
                <w:sz w:val="20"/>
                <w:szCs w:val="20"/>
              </w:rPr>
              <w:t xml:space="preserve">el </w:t>
            </w:r>
            <w:r w:rsidR="00AA4383" w:rsidRPr="00394CB1">
              <w:rPr>
                <w:rFonts w:cstheme="minorHAnsi"/>
                <w:sz w:val="20"/>
                <w:szCs w:val="20"/>
              </w:rPr>
              <w:t>instituto otorga el uso y aprovechamiento de un bien del dominio público de la nación</w:t>
            </w:r>
            <w:r w:rsidR="009F7BA3" w:rsidRPr="00394CB1">
              <w:rPr>
                <w:rFonts w:cstheme="minorHAnsi"/>
                <w:sz w:val="20"/>
                <w:szCs w:val="20"/>
              </w:rPr>
              <w:t xml:space="preserve"> (espectro radioeléctrico)</w:t>
            </w:r>
            <w:r w:rsidR="00E62027" w:rsidRPr="00394CB1">
              <w:rPr>
                <w:rFonts w:cstheme="minorHAnsi"/>
                <w:sz w:val="20"/>
                <w:szCs w:val="20"/>
              </w:rPr>
              <w:t>, por el cual es Estado tiene derecho a recibir una contraprestación.</w:t>
            </w:r>
          </w:p>
          <w:p w:rsidR="009F7847" w:rsidRPr="009037D7" w:rsidRDefault="009F7847" w:rsidP="00EA6F38">
            <w:pPr>
              <w:ind w:left="314"/>
              <w:jc w:val="both"/>
              <w:rPr>
                <w:rFonts w:cstheme="minorHAnsi"/>
                <w:sz w:val="20"/>
                <w:szCs w:val="20"/>
                <w:lang w:val="es-ES"/>
              </w:rPr>
            </w:pPr>
          </w:p>
          <w:p w:rsidR="00861460" w:rsidRPr="00394CB1" w:rsidRDefault="00B26A93" w:rsidP="00EA6F38">
            <w:pPr>
              <w:tabs>
                <w:tab w:val="left" w:pos="1035"/>
              </w:tabs>
              <w:ind w:left="314"/>
              <w:jc w:val="both"/>
              <w:rPr>
                <w:rFonts w:cstheme="minorHAnsi"/>
                <w:sz w:val="20"/>
                <w:szCs w:val="20"/>
              </w:rPr>
            </w:pPr>
            <w:r w:rsidRPr="00394CB1">
              <w:rPr>
                <w:rFonts w:cstheme="minorHAnsi"/>
                <w:sz w:val="20"/>
                <w:szCs w:val="20"/>
              </w:rPr>
              <w:t xml:space="preserve">Por lo que se refiere al artículo 21 de los Lineamientos, en éste </w:t>
            </w:r>
            <w:r w:rsidR="00861460" w:rsidRPr="00394CB1">
              <w:rPr>
                <w:rFonts w:cstheme="minorHAnsi"/>
                <w:sz w:val="20"/>
                <w:szCs w:val="20"/>
              </w:rPr>
              <w:t xml:space="preserve">se establecen tres obligaciones en </w:t>
            </w:r>
            <w:r w:rsidRPr="00394CB1">
              <w:rPr>
                <w:rFonts w:cstheme="minorHAnsi"/>
                <w:sz w:val="20"/>
                <w:szCs w:val="20"/>
              </w:rPr>
              <w:t>la operación y funcionamiento de cualquier Dispositivo de radiocomunicaciones de corto alcance</w:t>
            </w:r>
            <w:r w:rsidR="00861460" w:rsidRPr="00394CB1">
              <w:rPr>
                <w:rFonts w:cstheme="minorHAnsi"/>
                <w:sz w:val="20"/>
                <w:szCs w:val="20"/>
              </w:rPr>
              <w:t>, a saber:</w:t>
            </w:r>
          </w:p>
          <w:p w:rsidR="00861460" w:rsidRPr="00394CB1" w:rsidRDefault="00861460" w:rsidP="00EA6F38">
            <w:pPr>
              <w:tabs>
                <w:tab w:val="left" w:pos="1035"/>
              </w:tabs>
              <w:ind w:left="314"/>
              <w:jc w:val="both"/>
              <w:rPr>
                <w:rFonts w:cstheme="minorHAnsi"/>
                <w:sz w:val="20"/>
                <w:szCs w:val="20"/>
              </w:rPr>
            </w:pPr>
          </w:p>
          <w:p w:rsidR="00B26A93" w:rsidRPr="00394CB1" w:rsidRDefault="00861460" w:rsidP="00EA6F38">
            <w:pPr>
              <w:tabs>
                <w:tab w:val="left" w:pos="1035"/>
              </w:tabs>
              <w:ind w:left="314"/>
              <w:jc w:val="both"/>
              <w:rPr>
                <w:rFonts w:cstheme="minorHAnsi"/>
                <w:sz w:val="20"/>
                <w:szCs w:val="20"/>
              </w:rPr>
            </w:pPr>
            <w:r w:rsidRPr="00394CB1">
              <w:rPr>
                <w:rFonts w:cstheme="minorHAnsi"/>
                <w:sz w:val="20"/>
                <w:szCs w:val="20"/>
              </w:rPr>
              <w:t xml:space="preserve">1.- </w:t>
            </w:r>
            <w:r w:rsidR="001E5EBB" w:rsidRPr="00394CB1">
              <w:rPr>
                <w:rFonts w:cstheme="minorHAnsi"/>
                <w:sz w:val="20"/>
                <w:szCs w:val="20"/>
              </w:rPr>
              <w:t>Q</w:t>
            </w:r>
            <w:r w:rsidR="00B26A93" w:rsidRPr="00394CB1">
              <w:rPr>
                <w:rFonts w:cstheme="minorHAnsi"/>
                <w:sz w:val="20"/>
                <w:szCs w:val="20"/>
              </w:rPr>
              <w:t>ueda</w:t>
            </w:r>
            <w:r w:rsidR="005706CE" w:rsidRPr="00394CB1">
              <w:rPr>
                <w:rFonts w:cstheme="minorHAnsi"/>
                <w:sz w:val="20"/>
                <w:szCs w:val="20"/>
              </w:rPr>
              <w:t>n</w:t>
            </w:r>
            <w:r w:rsidR="00B26A93" w:rsidRPr="00394CB1">
              <w:rPr>
                <w:rFonts w:cstheme="minorHAnsi"/>
                <w:sz w:val="20"/>
                <w:szCs w:val="20"/>
              </w:rPr>
              <w:t xml:space="preserve"> sujeto</w:t>
            </w:r>
            <w:r w:rsidR="005706CE" w:rsidRPr="00394CB1">
              <w:rPr>
                <w:rFonts w:cstheme="minorHAnsi"/>
                <w:sz w:val="20"/>
                <w:szCs w:val="20"/>
              </w:rPr>
              <w:t>s</w:t>
            </w:r>
            <w:r w:rsidR="00B26A93" w:rsidRPr="00394CB1">
              <w:rPr>
                <w:rFonts w:cstheme="minorHAnsi"/>
                <w:sz w:val="20"/>
                <w:szCs w:val="20"/>
              </w:rPr>
              <w:t xml:space="preserve"> a la condición de no producir interferencias perjudiciales a cualquier </w:t>
            </w:r>
            <w:r w:rsidR="001E5EBB" w:rsidRPr="00394CB1">
              <w:rPr>
                <w:rFonts w:cstheme="minorHAnsi"/>
                <w:sz w:val="20"/>
                <w:szCs w:val="20"/>
              </w:rPr>
              <w:t>servicio de telecomunicaciones o radiodifusión concesionado</w:t>
            </w:r>
            <w:r w:rsidR="00B26A93" w:rsidRPr="00394CB1">
              <w:rPr>
                <w:rFonts w:cstheme="minorHAnsi"/>
                <w:b/>
                <w:sz w:val="20"/>
                <w:szCs w:val="20"/>
              </w:rPr>
              <w:t>.</w:t>
            </w:r>
          </w:p>
          <w:p w:rsidR="00B26A93" w:rsidRPr="00394CB1" w:rsidRDefault="00B26A93" w:rsidP="00EA6F38">
            <w:pPr>
              <w:tabs>
                <w:tab w:val="left" w:pos="1035"/>
              </w:tabs>
              <w:ind w:left="314"/>
              <w:jc w:val="both"/>
              <w:rPr>
                <w:rFonts w:cstheme="minorHAnsi"/>
                <w:sz w:val="20"/>
                <w:szCs w:val="20"/>
              </w:rPr>
            </w:pPr>
          </w:p>
          <w:p w:rsidR="00B26A93" w:rsidRPr="00394CB1" w:rsidRDefault="00034F31" w:rsidP="00EA6F38">
            <w:pPr>
              <w:tabs>
                <w:tab w:val="left" w:pos="1035"/>
              </w:tabs>
              <w:ind w:left="314"/>
              <w:jc w:val="both"/>
              <w:rPr>
                <w:rFonts w:cstheme="minorHAnsi"/>
                <w:sz w:val="20"/>
                <w:szCs w:val="20"/>
                <w:u w:val="single"/>
              </w:rPr>
            </w:pPr>
            <w:r w:rsidRPr="00394CB1">
              <w:rPr>
                <w:rFonts w:cstheme="minorHAnsi"/>
                <w:sz w:val="20"/>
                <w:szCs w:val="20"/>
              </w:rPr>
              <w:t xml:space="preserve">2.- </w:t>
            </w:r>
            <w:r w:rsidR="00B26A93" w:rsidRPr="00394CB1">
              <w:rPr>
                <w:rFonts w:cstheme="minorHAnsi"/>
                <w:sz w:val="20"/>
                <w:szCs w:val="20"/>
              </w:rPr>
              <w:t>Los Dispositivos de radiocomunicaciones de corto alcance que operen en bandas de frecuencias designadas para aplicaciones industriales, científicas y médicas (ICM)</w:t>
            </w:r>
            <w:r w:rsidR="00B26A93" w:rsidRPr="00394CB1">
              <w:rPr>
                <w:rFonts w:cstheme="minorHAnsi"/>
                <w:sz w:val="20"/>
                <w:szCs w:val="20"/>
                <w:u w:val="single"/>
              </w:rPr>
              <w:t xml:space="preserve"> deberán aceptar las interferencias que puedan causarles dichas aplicaciones y no deberán causar interferencia perjudicial al funcionamiento de las mismas</w:t>
            </w:r>
            <w:r w:rsidR="005706CE" w:rsidRPr="00394CB1">
              <w:rPr>
                <w:rFonts w:cstheme="minorHAnsi"/>
                <w:sz w:val="20"/>
                <w:szCs w:val="20"/>
                <w:u w:val="single"/>
              </w:rPr>
              <w:t>; y</w:t>
            </w:r>
          </w:p>
          <w:p w:rsidR="00B26A93" w:rsidRPr="00394CB1" w:rsidRDefault="00B26A93" w:rsidP="00EA6F38">
            <w:pPr>
              <w:tabs>
                <w:tab w:val="left" w:pos="1035"/>
              </w:tabs>
              <w:ind w:left="314"/>
              <w:jc w:val="both"/>
              <w:rPr>
                <w:rFonts w:cstheme="minorHAnsi"/>
                <w:sz w:val="20"/>
                <w:szCs w:val="20"/>
              </w:rPr>
            </w:pPr>
          </w:p>
          <w:p w:rsidR="00B26A93" w:rsidRPr="00394CB1" w:rsidRDefault="005706CE" w:rsidP="00EA6F38">
            <w:pPr>
              <w:tabs>
                <w:tab w:val="left" w:pos="1035"/>
              </w:tabs>
              <w:ind w:left="314"/>
              <w:jc w:val="both"/>
              <w:rPr>
                <w:rFonts w:cstheme="minorHAnsi"/>
                <w:sz w:val="20"/>
                <w:szCs w:val="20"/>
              </w:rPr>
            </w:pPr>
            <w:r w:rsidRPr="00394CB1">
              <w:rPr>
                <w:rFonts w:cstheme="minorHAnsi"/>
                <w:sz w:val="20"/>
                <w:szCs w:val="20"/>
              </w:rPr>
              <w:t xml:space="preserve">3.- </w:t>
            </w:r>
            <w:r w:rsidR="00B26A93" w:rsidRPr="00394CB1">
              <w:rPr>
                <w:rFonts w:cstheme="minorHAnsi"/>
                <w:sz w:val="20"/>
                <w:szCs w:val="20"/>
              </w:rPr>
              <w:t>Los fabricantes, comercializadores y usuarios finales de Dispositivos de radiocomunicaciones de corto alcance, cuyo uso o aplicación pueda tener implicaciones inherentes en la seguridad de la vida o en la salud de las personas deberán prestar especial atención al potencial de interferencia de otros sistemas que funcionan en la misma banda de frecuencias del espectro radioeléctrico o en bandas adyacentes.</w:t>
            </w:r>
          </w:p>
          <w:p w:rsidR="009F7847" w:rsidRPr="009037D7" w:rsidRDefault="009F7847" w:rsidP="00EA6F38">
            <w:pPr>
              <w:ind w:left="314"/>
              <w:jc w:val="both"/>
              <w:rPr>
                <w:rFonts w:cstheme="minorHAnsi"/>
                <w:sz w:val="20"/>
                <w:szCs w:val="20"/>
                <w:lang w:val="es-ES"/>
              </w:rPr>
            </w:pPr>
          </w:p>
          <w:p w:rsidR="00E74C59" w:rsidRPr="00394CB1" w:rsidRDefault="00E74C59" w:rsidP="00EA6F38">
            <w:pPr>
              <w:tabs>
                <w:tab w:val="left" w:pos="1035"/>
              </w:tabs>
              <w:ind w:left="314"/>
              <w:jc w:val="both"/>
              <w:rPr>
                <w:rFonts w:cstheme="minorHAnsi"/>
                <w:sz w:val="20"/>
                <w:szCs w:val="20"/>
              </w:rPr>
            </w:pPr>
            <w:r w:rsidRPr="00394CB1">
              <w:rPr>
                <w:rFonts w:cstheme="minorHAnsi"/>
                <w:sz w:val="20"/>
                <w:szCs w:val="20"/>
              </w:rPr>
              <w:t>El artículo 57 de la LFTR, establece que en el Cuadro Nacional de Atribución de Frecuencias se establecerá la atribución de las bandas de frecuencia del espectro radioeléctrico de acuerdo a las categorías de título primario o título secundario, para esta última categoría el uso de las bandas de frecuencia no debe causar interferencias perjudiciales a los servicios que se prestan mediante bandas de frecuencia otorgadas a título primario, ni podrán reclamar protección contra interferencias perjudiciales causadas por estas últimas.</w:t>
            </w:r>
          </w:p>
          <w:p w:rsidR="008C5E0B" w:rsidRPr="009037D7" w:rsidRDefault="008C5E0B" w:rsidP="00EA6F38">
            <w:pPr>
              <w:ind w:left="314"/>
              <w:jc w:val="both"/>
              <w:rPr>
                <w:rFonts w:cstheme="minorHAnsi"/>
                <w:sz w:val="20"/>
                <w:szCs w:val="20"/>
                <w:lang w:val="es-ES"/>
              </w:rPr>
            </w:pPr>
          </w:p>
          <w:p w:rsidR="00AE095C" w:rsidRPr="009037D7" w:rsidRDefault="00CE4AE9" w:rsidP="00EA6F38">
            <w:pPr>
              <w:ind w:left="314"/>
              <w:jc w:val="both"/>
              <w:rPr>
                <w:rFonts w:cstheme="minorHAnsi"/>
                <w:sz w:val="20"/>
                <w:szCs w:val="20"/>
                <w:lang w:val="es-ES"/>
              </w:rPr>
            </w:pPr>
            <w:r w:rsidRPr="009037D7">
              <w:rPr>
                <w:rFonts w:cstheme="minorHAnsi"/>
                <w:sz w:val="20"/>
                <w:szCs w:val="20"/>
                <w:lang w:val="es-ES"/>
              </w:rPr>
              <w:t>Finalmente,</w:t>
            </w:r>
            <w:r w:rsidR="00AE095C" w:rsidRPr="007F272D">
              <w:rPr>
                <w:rFonts w:cstheme="minorHAnsi"/>
                <w:sz w:val="20"/>
                <w:szCs w:val="20"/>
                <w:lang w:val="es-ES"/>
              </w:rPr>
              <w:t xml:space="preserve"> en el artículo 23</w:t>
            </w:r>
            <w:r w:rsidR="00AE095C" w:rsidRPr="00394CB1">
              <w:rPr>
                <w:rFonts w:cstheme="minorHAnsi"/>
                <w:sz w:val="20"/>
                <w:szCs w:val="20"/>
                <w:lang w:val="es-ES"/>
              </w:rPr>
              <w:t xml:space="preserve"> de los Lineamientos, se establece que </w:t>
            </w:r>
            <w:r w:rsidRPr="00394CB1">
              <w:rPr>
                <w:rFonts w:cstheme="minorHAnsi"/>
                <w:sz w:val="20"/>
                <w:szCs w:val="20"/>
                <w:lang w:val="es-ES"/>
              </w:rPr>
              <w:t xml:space="preserve">el </w:t>
            </w:r>
            <w:r w:rsidRPr="00394CB1">
              <w:rPr>
                <w:rFonts w:cstheme="minorHAnsi"/>
                <w:i/>
                <w:sz w:val="20"/>
                <w:szCs w:val="20"/>
                <w:lang w:val="es-ES"/>
              </w:rPr>
              <w:t>“</w:t>
            </w:r>
            <w:r w:rsidR="00AE095C" w:rsidRPr="00394CB1">
              <w:rPr>
                <w:rFonts w:cstheme="minorHAnsi"/>
                <w:i/>
                <w:sz w:val="20"/>
                <w:szCs w:val="20"/>
                <w:lang w:val="es-ES"/>
              </w:rPr>
              <w:t>Autorizado está obligado a permitir y facilitar a los verificadores del Instituto el acceso al domicilio autorizado para el uso secundario de las bandas de frecuencias del espectro radioeléctrico, y a otorgar todas las facilidades, información y documentación para que realicen la verificación en términos de lo establecido en el Título Décimo Cuarto de la Ley.</w:t>
            </w:r>
            <w:r w:rsidRPr="00394CB1">
              <w:rPr>
                <w:rFonts w:cstheme="minorHAnsi"/>
                <w:i/>
                <w:sz w:val="20"/>
                <w:szCs w:val="20"/>
                <w:lang w:val="es-ES"/>
              </w:rPr>
              <w:t>”</w:t>
            </w:r>
          </w:p>
          <w:p w:rsidR="00AE095C" w:rsidRPr="00394CB1" w:rsidRDefault="00AE095C" w:rsidP="00EA6F38">
            <w:pPr>
              <w:ind w:left="314"/>
              <w:jc w:val="both"/>
              <w:rPr>
                <w:rFonts w:cstheme="minorHAnsi"/>
                <w:sz w:val="20"/>
                <w:szCs w:val="20"/>
                <w:lang w:val="es-ES"/>
              </w:rPr>
            </w:pPr>
          </w:p>
          <w:p w:rsidR="00AE095C" w:rsidRPr="00C91B0A" w:rsidRDefault="00CE4AE9" w:rsidP="00EA6F38">
            <w:pPr>
              <w:ind w:left="314"/>
              <w:jc w:val="both"/>
              <w:rPr>
                <w:rFonts w:cstheme="minorHAnsi"/>
                <w:i/>
                <w:sz w:val="20"/>
                <w:szCs w:val="20"/>
                <w:lang w:val="es-ES"/>
              </w:rPr>
            </w:pPr>
            <w:r w:rsidRPr="009037D7">
              <w:rPr>
                <w:rFonts w:cstheme="minorHAnsi"/>
                <w:sz w:val="20"/>
                <w:szCs w:val="20"/>
                <w:lang w:val="es-ES"/>
              </w:rPr>
              <w:t xml:space="preserve">Lo </w:t>
            </w:r>
            <w:r w:rsidRPr="007F272D">
              <w:rPr>
                <w:rFonts w:cstheme="minorHAnsi"/>
                <w:sz w:val="20"/>
                <w:szCs w:val="20"/>
                <w:lang w:val="es-ES"/>
              </w:rPr>
              <w:t xml:space="preserve">anterior </w:t>
            </w:r>
            <w:r w:rsidRPr="00394CB1">
              <w:rPr>
                <w:rFonts w:cstheme="minorHAnsi"/>
                <w:sz w:val="20"/>
                <w:szCs w:val="20"/>
                <w:lang w:val="es-ES"/>
              </w:rPr>
              <w:t>se justifica, toda vez que el a</w:t>
            </w:r>
            <w:r w:rsidR="00AE095C" w:rsidRPr="00394CB1">
              <w:rPr>
                <w:rFonts w:cstheme="minorHAnsi"/>
                <w:sz w:val="20"/>
                <w:szCs w:val="20"/>
                <w:lang w:val="es-ES"/>
              </w:rPr>
              <w:t>rtículo 291</w:t>
            </w:r>
            <w:r w:rsidRPr="00394CB1">
              <w:rPr>
                <w:rFonts w:cstheme="minorHAnsi"/>
                <w:sz w:val="20"/>
                <w:szCs w:val="20"/>
                <w:lang w:val="es-ES"/>
              </w:rPr>
              <w:t xml:space="preserve"> de la LFTR establece que: </w:t>
            </w:r>
            <w:r w:rsidRPr="00394CB1">
              <w:rPr>
                <w:rFonts w:cstheme="minorHAnsi"/>
                <w:i/>
                <w:sz w:val="20"/>
                <w:szCs w:val="20"/>
                <w:lang w:val="es-ES"/>
              </w:rPr>
              <w:t>“</w:t>
            </w:r>
            <w:r w:rsidR="00AE095C" w:rsidRPr="00394CB1">
              <w:rPr>
                <w:rFonts w:cstheme="minorHAnsi"/>
                <w:i/>
                <w:sz w:val="20"/>
                <w:szCs w:val="20"/>
                <w:lang w:val="es-ES"/>
              </w:rPr>
              <w:t>El Instituto verificará y supervisará, en el ámbito de su competencia, el cumplimiento de esta Ley, las disposiciones que deriven de ella, así como de las condiciones y obligaciones establecidas en las concesiones, autorizaciones y demás disposiciones aplicables.</w:t>
            </w:r>
            <w:r w:rsidRPr="00394CB1">
              <w:rPr>
                <w:rFonts w:cstheme="minorHAnsi"/>
                <w:i/>
                <w:sz w:val="20"/>
                <w:szCs w:val="20"/>
                <w:lang w:val="es-ES"/>
              </w:rPr>
              <w:t>”</w:t>
            </w:r>
          </w:p>
          <w:p w:rsidR="009F7847" w:rsidRPr="0016565D" w:rsidRDefault="009F7847" w:rsidP="00301CD4">
            <w:pPr>
              <w:jc w:val="both"/>
              <w:rPr>
                <w:sz w:val="20"/>
                <w:lang w:val="es-ES"/>
              </w:rPr>
            </w:pPr>
          </w:p>
        </w:tc>
      </w:tr>
    </w:tbl>
    <w:p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3F05E7" w:rsidRPr="00890DC9" w:rsidRDefault="003F05E7" w:rsidP="001932FC">
            <w:pPr>
              <w:jc w:val="both"/>
              <w:rPr>
                <w:b/>
                <w:sz w:val="20"/>
              </w:rPr>
            </w:pPr>
            <w:r w:rsidRPr="00890DC9">
              <w:rPr>
                <w:b/>
                <w:sz w:val="20"/>
              </w:rPr>
              <w:t>10.- ¿Cuáles serían los efectos del anteproyecto de regulación sobre la competencia y libre concurrencia en los mercados, así como sobre el comercio nacional e internacional?:</w:t>
            </w:r>
          </w:p>
          <w:p w:rsidR="00BA6D97" w:rsidRDefault="00BA6D97" w:rsidP="001932FC">
            <w:pPr>
              <w:jc w:val="both"/>
              <w:rPr>
                <w:sz w:val="20"/>
              </w:rPr>
            </w:pPr>
          </w:p>
          <w:p w:rsidR="003F05E7" w:rsidRDefault="00890DC9" w:rsidP="005E47E1">
            <w:pPr>
              <w:jc w:val="both"/>
              <w:rPr>
                <w:sz w:val="20"/>
              </w:rPr>
            </w:pPr>
            <w:r>
              <w:rPr>
                <w:sz w:val="20"/>
              </w:rPr>
              <w:t xml:space="preserve">Para el </w:t>
            </w:r>
            <w:r w:rsidR="00311900">
              <w:rPr>
                <w:sz w:val="20"/>
              </w:rPr>
              <w:t xml:space="preserve">otorgamiento de las Constancias de Autorización para eventos </w:t>
            </w:r>
            <w:r w:rsidR="00FF5AFD">
              <w:rPr>
                <w:sz w:val="20"/>
              </w:rPr>
              <w:t>específicos</w:t>
            </w:r>
            <w:r w:rsidR="00311900">
              <w:rPr>
                <w:sz w:val="20"/>
              </w:rPr>
              <w:t xml:space="preserve"> y </w:t>
            </w:r>
            <w:r w:rsidR="005E47E1" w:rsidRPr="005E47E1">
              <w:rPr>
                <w:sz w:val="20"/>
              </w:rPr>
              <w:t>para Instalaciones destinadas a actividades comerciales o industriales</w:t>
            </w:r>
            <w:r w:rsidR="0008030D">
              <w:rPr>
                <w:sz w:val="20"/>
              </w:rPr>
              <w:t>,</w:t>
            </w:r>
            <w:r w:rsidR="00311900">
              <w:rPr>
                <w:sz w:val="20"/>
              </w:rPr>
              <w:t xml:space="preserve"> </w:t>
            </w:r>
            <w:r w:rsidR="00D038E6">
              <w:rPr>
                <w:sz w:val="20"/>
              </w:rPr>
              <w:t xml:space="preserve">se considera que </w:t>
            </w:r>
            <w:r w:rsidR="00311900">
              <w:rPr>
                <w:sz w:val="20"/>
              </w:rPr>
              <w:t>no existen efectos sobre la competencia y libre concurrencia</w:t>
            </w:r>
            <w:r w:rsidR="0008030D">
              <w:rPr>
                <w:sz w:val="20"/>
              </w:rPr>
              <w:t xml:space="preserve"> en los mercados de telecomunicaciones y de radiodifusión</w:t>
            </w:r>
            <w:r w:rsidR="000A2819">
              <w:rPr>
                <w:sz w:val="20"/>
              </w:rPr>
              <w:t>; ya</w:t>
            </w:r>
            <w:r w:rsidR="00311900">
              <w:rPr>
                <w:sz w:val="20"/>
              </w:rPr>
              <w:t xml:space="preserve"> que </w:t>
            </w:r>
            <w:r w:rsidR="00BD124A">
              <w:rPr>
                <w:sz w:val="20"/>
              </w:rPr>
              <w:t xml:space="preserve">la autorización respecto al </w:t>
            </w:r>
            <w:r w:rsidR="00311900">
              <w:rPr>
                <w:sz w:val="20"/>
              </w:rPr>
              <w:t xml:space="preserve">uso de las bandas de frecuencias del espectro radioeléctrico es a </w:t>
            </w:r>
            <w:r w:rsidR="00BD124A">
              <w:rPr>
                <w:sz w:val="20"/>
              </w:rPr>
              <w:t>título</w:t>
            </w:r>
            <w:r w:rsidR="00311900">
              <w:rPr>
                <w:sz w:val="20"/>
              </w:rPr>
              <w:t xml:space="preserve"> secundario, </w:t>
            </w:r>
            <w:r w:rsidR="000A2819">
              <w:rPr>
                <w:sz w:val="20"/>
              </w:rPr>
              <w:t xml:space="preserve">y </w:t>
            </w:r>
            <w:r w:rsidR="00BD124A">
              <w:rPr>
                <w:sz w:val="20"/>
              </w:rPr>
              <w:t>tiene</w:t>
            </w:r>
            <w:r w:rsidR="00CE013C">
              <w:rPr>
                <w:sz w:val="20"/>
              </w:rPr>
              <w:t>n</w:t>
            </w:r>
            <w:r w:rsidR="00BD124A">
              <w:rPr>
                <w:sz w:val="20"/>
              </w:rPr>
              <w:t xml:space="preserve"> prohibido </w:t>
            </w:r>
            <w:r w:rsidR="0008030D">
              <w:rPr>
                <w:sz w:val="20"/>
              </w:rPr>
              <w:t xml:space="preserve">comercializar </w:t>
            </w:r>
            <w:r w:rsidR="00311900" w:rsidRPr="00311900">
              <w:rPr>
                <w:sz w:val="20"/>
              </w:rPr>
              <w:t>servicios públi</w:t>
            </w:r>
            <w:r w:rsidR="006A34E3">
              <w:rPr>
                <w:sz w:val="20"/>
              </w:rPr>
              <w:t>cos de interés general</w:t>
            </w:r>
            <w:r w:rsidR="00BD124A">
              <w:rPr>
                <w:sz w:val="20"/>
              </w:rPr>
              <w:t xml:space="preserve"> de telecomunicaciones, </w:t>
            </w:r>
            <w:r w:rsidR="0008030D">
              <w:rPr>
                <w:sz w:val="20"/>
              </w:rPr>
              <w:t xml:space="preserve">razón por la cual no tendría efectos respecto a </w:t>
            </w:r>
            <w:r w:rsidR="009170AF">
              <w:rPr>
                <w:sz w:val="20"/>
              </w:rPr>
              <w:t>los concesionarios de dichos servicios públicos, que actúan en los mercados de telecomunicaciones y de radiodifusión.</w:t>
            </w:r>
          </w:p>
          <w:p w:rsidR="00890DC9" w:rsidRPr="009741C3" w:rsidRDefault="00890DC9" w:rsidP="005E47E1">
            <w:pPr>
              <w:jc w:val="both"/>
              <w:rPr>
                <w:sz w:val="20"/>
              </w:rPr>
            </w:pPr>
          </w:p>
        </w:tc>
      </w:tr>
      <w:tr w:rsidR="003F05E7" w:rsidTr="003F05E7">
        <w:tc>
          <w:tcPr>
            <w:tcW w:w="8828" w:type="dxa"/>
          </w:tcPr>
          <w:p w:rsidR="003F05E7" w:rsidRPr="00890DC9" w:rsidRDefault="003F05E7" w:rsidP="003F05E7">
            <w:pPr>
              <w:jc w:val="both"/>
              <w:rPr>
                <w:b/>
                <w:sz w:val="20"/>
              </w:rPr>
            </w:pPr>
            <w:r w:rsidRPr="00890DC9">
              <w:rPr>
                <w:b/>
                <w:sz w:val="20"/>
              </w:rPr>
              <w:t>11.- ¿Cuáles serían los efectos del anteproyecto de regulación sobre los precios, calidad y disponibilidad de bienes y servicios para el consumidor en los mercados?:</w:t>
            </w:r>
          </w:p>
          <w:p w:rsidR="008628E1" w:rsidRPr="003F05E7" w:rsidRDefault="008628E1" w:rsidP="003F05E7">
            <w:pPr>
              <w:jc w:val="both"/>
              <w:rPr>
                <w:sz w:val="20"/>
              </w:rPr>
            </w:pPr>
          </w:p>
          <w:p w:rsidR="003F05E7" w:rsidRPr="0018528D" w:rsidRDefault="00703D2C" w:rsidP="002C4E04">
            <w:pPr>
              <w:jc w:val="both"/>
              <w:rPr>
                <w:sz w:val="20"/>
              </w:rPr>
            </w:pPr>
            <w:r>
              <w:rPr>
                <w:sz w:val="20"/>
              </w:rPr>
              <w:t>Conforme a los lineamientos, e</w:t>
            </w:r>
            <w:r w:rsidR="00930B5B" w:rsidRPr="00930B5B">
              <w:rPr>
                <w:sz w:val="20"/>
              </w:rPr>
              <w:t xml:space="preserve">l uso </w:t>
            </w:r>
            <w:r>
              <w:rPr>
                <w:sz w:val="20"/>
              </w:rPr>
              <w:t xml:space="preserve">secundario </w:t>
            </w:r>
            <w:r w:rsidR="00930B5B" w:rsidRPr="00930B5B">
              <w:rPr>
                <w:sz w:val="20"/>
              </w:rPr>
              <w:t>de las bandas de frecuencias del espectro radioeléctrico</w:t>
            </w:r>
            <w:r w:rsidR="002C5F84">
              <w:rPr>
                <w:sz w:val="20"/>
              </w:rPr>
              <w:t xml:space="preserve"> </w:t>
            </w:r>
            <w:r w:rsidR="00AE0780">
              <w:rPr>
                <w:sz w:val="20"/>
              </w:rPr>
              <w:t xml:space="preserve">en la operación de los eventos </w:t>
            </w:r>
            <w:r w:rsidR="00A0428B">
              <w:rPr>
                <w:sz w:val="20"/>
              </w:rPr>
              <w:t xml:space="preserve">específicos </w:t>
            </w:r>
            <w:r w:rsidR="00AE0780">
              <w:rPr>
                <w:sz w:val="20"/>
              </w:rPr>
              <w:t xml:space="preserve">y los procesos productivos, </w:t>
            </w:r>
            <w:r w:rsidR="00DC4572">
              <w:rPr>
                <w:sz w:val="20"/>
              </w:rPr>
              <w:t xml:space="preserve">no tiene por objeto la prestación de servicios públicos de interés general, </w:t>
            </w:r>
            <w:r w:rsidR="00D904C8">
              <w:rPr>
                <w:sz w:val="20"/>
              </w:rPr>
              <w:t xml:space="preserve">de modo que los lineamientos tendrían un efecto nulo sobre la regulación de los </w:t>
            </w:r>
            <w:r w:rsidR="00D904C8" w:rsidRPr="003F05E7">
              <w:rPr>
                <w:sz w:val="20"/>
              </w:rPr>
              <w:t>precios, calidad y disponibilidad de bienes y servicios en los mercados</w:t>
            </w:r>
            <w:r w:rsidR="006507DB">
              <w:rPr>
                <w:sz w:val="20"/>
              </w:rPr>
              <w:t>;</w:t>
            </w:r>
            <w:r w:rsidR="00910D02">
              <w:rPr>
                <w:sz w:val="20"/>
              </w:rPr>
              <w:t xml:space="preserve"> </w:t>
            </w:r>
            <w:r w:rsidR="007F1415">
              <w:rPr>
                <w:sz w:val="20"/>
              </w:rPr>
              <w:t xml:space="preserve">dado que dicho </w:t>
            </w:r>
            <w:r w:rsidR="006507DB">
              <w:rPr>
                <w:sz w:val="20"/>
              </w:rPr>
              <w:t>uso no tiene como finalidad brindar servicios a los consumidores</w:t>
            </w:r>
            <w:r w:rsidR="0018528D">
              <w:rPr>
                <w:sz w:val="20"/>
              </w:rPr>
              <w:t>,</w:t>
            </w:r>
            <w:r w:rsidR="006507DB">
              <w:rPr>
                <w:sz w:val="20"/>
              </w:rPr>
              <w:t xml:space="preserve"> sino únicamente </w:t>
            </w:r>
            <w:r w:rsidR="0018528D">
              <w:rPr>
                <w:sz w:val="20"/>
              </w:rPr>
              <w:t>satisfacer necesidades específicas de comunicaciones.</w:t>
            </w:r>
          </w:p>
        </w:tc>
      </w:tr>
    </w:tbl>
    <w:p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3F05E7" w:rsidRPr="00890DC9" w:rsidRDefault="003F05E7" w:rsidP="001932FC">
            <w:pPr>
              <w:jc w:val="both"/>
              <w:rPr>
                <w:b/>
                <w:sz w:val="20"/>
              </w:rPr>
            </w:pPr>
            <w:r w:rsidRPr="00890DC9">
              <w:rPr>
                <w:b/>
                <w:sz w:val="20"/>
              </w:rPr>
              <w:t>12.- ¿</w:t>
            </w:r>
            <w:r w:rsidR="005A40FB" w:rsidRPr="00890DC9">
              <w:rPr>
                <w:b/>
                <w:sz w:val="20"/>
              </w:rPr>
              <w:t>El anteproyecto de</w:t>
            </w:r>
            <w:r w:rsidRPr="00890DC9">
              <w:rPr>
                <w:b/>
                <w:sz w:val="20"/>
              </w:rPr>
              <w:t xml:space="preserve"> regulación contempla esquemas que impactan de manera diferenciada a sectores, industria o agentes económicos? (por ejemplo</w:t>
            </w:r>
            <w:r w:rsidR="005A40FB" w:rsidRPr="00890DC9">
              <w:rPr>
                <w:b/>
                <w:sz w:val="20"/>
              </w:rPr>
              <w:t>,</w:t>
            </w:r>
            <w:r w:rsidRPr="00890DC9">
              <w:rPr>
                <w:b/>
                <w:sz w:val="20"/>
              </w:rPr>
              <w:t xml:space="preserve"> las micro, pequeñas y medianas empresas):</w:t>
            </w:r>
          </w:p>
          <w:p w:rsidR="003F05E7" w:rsidRPr="003F05E7" w:rsidRDefault="003F05E7" w:rsidP="001932FC">
            <w:pPr>
              <w:jc w:val="both"/>
              <w:rPr>
                <w:sz w:val="20"/>
              </w:rPr>
            </w:pPr>
          </w:p>
          <w:p w:rsidR="003F05E7" w:rsidRDefault="00697DA0" w:rsidP="00312768">
            <w:pPr>
              <w:jc w:val="both"/>
            </w:pPr>
            <w:r w:rsidRPr="00C53F17">
              <w:rPr>
                <w:sz w:val="20"/>
              </w:rPr>
              <w:t>No, toda vez que no se presta un servicio público de interés general de telecomunicaciones</w:t>
            </w:r>
            <w:r w:rsidR="007F1415">
              <w:rPr>
                <w:sz w:val="20"/>
              </w:rPr>
              <w:t xml:space="preserve"> y de radiodifusión</w:t>
            </w:r>
            <w:r w:rsidRPr="00C53F17">
              <w:rPr>
                <w:sz w:val="20"/>
              </w:rPr>
              <w:t xml:space="preserve">, sino </w:t>
            </w:r>
            <w:r w:rsidR="00272A40">
              <w:rPr>
                <w:sz w:val="20"/>
              </w:rPr>
              <w:t xml:space="preserve">se trata </w:t>
            </w:r>
            <w:r w:rsidRPr="00C53F17">
              <w:rPr>
                <w:sz w:val="20"/>
              </w:rPr>
              <w:t xml:space="preserve">de satisfacer </w:t>
            </w:r>
            <w:r w:rsidR="0034199B" w:rsidRPr="00C53F17">
              <w:rPr>
                <w:sz w:val="20"/>
              </w:rPr>
              <w:t>necesidades</w:t>
            </w:r>
            <w:r w:rsidRPr="00C53F17">
              <w:rPr>
                <w:sz w:val="20"/>
              </w:rPr>
              <w:t xml:space="preserve"> </w:t>
            </w:r>
            <w:r w:rsidR="0034199B" w:rsidRPr="00C53F17">
              <w:rPr>
                <w:sz w:val="20"/>
              </w:rPr>
              <w:t>específicas</w:t>
            </w:r>
            <w:r w:rsidRPr="00C53F17">
              <w:rPr>
                <w:sz w:val="20"/>
              </w:rPr>
              <w:t xml:space="preserve"> de telecomunicaciones</w:t>
            </w:r>
            <w:r w:rsidR="007F1415">
              <w:rPr>
                <w:sz w:val="20"/>
              </w:rPr>
              <w:t xml:space="preserve"> requeridas </w:t>
            </w:r>
            <w:r w:rsidR="00B30663">
              <w:rPr>
                <w:sz w:val="20"/>
              </w:rPr>
              <w:t xml:space="preserve">únicamente </w:t>
            </w:r>
            <w:r w:rsidR="007F1415">
              <w:rPr>
                <w:sz w:val="20"/>
              </w:rPr>
              <w:t>por aquel</w:t>
            </w:r>
            <w:r w:rsidR="008628E1">
              <w:rPr>
                <w:sz w:val="20"/>
              </w:rPr>
              <w:t>las personas</w:t>
            </w:r>
            <w:r w:rsidR="007F1415">
              <w:rPr>
                <w:sz w:val="20"/>
              </w:rPr>
              <w:t xml:space="preserve"> identificadas en el proyecto de lineamientos</w:t>
            </w:r>
            <w:r w:rsidR="0034199B" w:rsidRPr="00C53F17">
              <w:rPr>
                <w:sz w:val="20"/>
              </w:rPr>
              <w:t>.</w:t>
            </w:r>
            <w:r>
              <w:t xml:space="preserve"> </w:t>
            </w:r>
            <w:r w:rsidR="00B30663">
              <w:t xml:space="preserve"> </w:t>
            </w:r>
          </w:p>
        </w:tc>
      </w:tr>
    </w:tbl>
    <w:p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Tr="003F05E7">
        <w:tc>
          <w:tcPr>
            <w:tcW w:w="8828" w:type="dxa"/>
          </w:tcPr>
          <w:p w:rsidR="008C76AF" w:rsidRPr="008C76AF" w:rsidRDefault="003F05E7" w:rsidP="003F05E7">
            <w:pPr>
              <w:jc w:val="both"/>
              <w:rPr>
                <w:sz w:val="20"/>
                <w:szCs w:val="20"/>
              </w:rPr>
            </w:pPr>
            <w:r w:rsidRPr="00890DC9">
              <w:rPr>
                <w:b/>
                <w:sz w:val="20"/>
                <w:szCs w:val="20"/>
              </w:rPr>
              <w:t xml:space="preserve">13.- Proporcione la estimación de los costos en los que podrían incurrir </w:t>
            </w:r>
            <w:r w:rsidR="008C76AF" w:rsidRPr="00890DC9">
              <w:rPr>
                <w:b/>
                <w:sz w:val="20"/>
                <w:szCs w:val="20"/>
              </w:rPr>
              <w:t>cada particular, grupo de particulares o industria a razón de la entrada en vigor del anteproyecto de regulación</w:t>
            </w:r>
            <w:r w:rsidR="008C76AF" w:rsidRPr="008C76AF">
              <w:rPr>
                <w:sz w:val="20"/>
                <w:szCs w:val="20"/>
              </w:rPr>
              <w:t>:</w:t>
            </w:r>
          </w:p>
          <w:p w:rsidR="008C76AF" w:rsidRPr="008C76AF" w:rsidRDefault="008C76AF" w:rsidP="003F05E7">
            <w:pPr>
              <w:jc w:val="both"/>
              <w:rPr>
                <w:sz w:val="20"/>
                <w:szCs w:val="20"/>
              </w:rPr>
            </w:pPr>
          </w:p>
          <w:p w:rsidR="008C76AF" w:rsidRDefault="008C76AF" w:rsidP="003F05E7">
            <w:pPr>
              <w:jc w:val="both"/>
              <w:rPr>
                <w:sz w:val="20"/>
                <w:szCs w:val="20"/>
              </w:rPr>
            </w:pPr>
            <w:r w:rsidRPr="00890DC9">
              <w:rPr>
                <w:b/>
                <w:sz w:val="20"/>
                <w:szCs w:val="20"/>
              </w:rPr>
              <w:t xml:space="preserve">Tipo: </w:t>
            </w:r>
            <w:r w:rsidRPr="008C76AF">
              <w:rPr>
                <w:sz w:val="20"/>
                <w:szCs w:val="20"/>
              </w:rPr>
              <w:t xml:space="preserve">(prohibición, adopción de un estándar tecnológico, </w:t>
            </w:r>
            <w:r w:rsidRPr="00C53F17">
              <w:rPr>
                <w:b/>
                <w:sz w:val="20"/>
                <w:szCs w:val="20"/>
                <w:u w:val="single"/>
              </w:rPr>
              <w:t>requisitos de presentación</w:t>
            </w:r>
            <w:r w:rsidRPr="008C76AF">
              <w:rPr>
                <w:sz w:val="20"/>
                <w:szCs w:val="20"/>
              </w:rPr>
              <w:t>)</w:t>
            </w:r>
          </w:p>
          <w:p w:rsidR="00D614DE" w:rsidRPr="008C76AF" w:rsidRDefault="00D614DE" w:rsidP="003F05E7">
            <w:pPr>
              <w:jc w:val="both"/>
              <w:rPr>
                <w:sz w:val="20"/>
                <w:szCs w:val="20"/>
              </w:rPr>
            </w:pPr>
          </w:p>
          <w:p w:rsidR="00C53F17" w:rsidRDefault="008C76AF" w:rsidP="003F05E7">
            <w:pPr>
              <w:jc w:val="both"/>
              <w:rPr>
                <w:sz w:val="20"/>
                <w:szCs w:val="20"/>
              </w:rPr>
            </w:pPr>
            <w:r w:rsidRPr="00890DC9">
              <w:rPr>
                <w:b/>
                <w:sz w:val="20"/>
                <w:szCs w:val="20"/>
              </w:rPr>
              <w:t>Indique el particular, grupo o industrias afectados</w:t>
            </w:r>
            <w:r w:rsidRPr="008C76AF">
              <w:rPr>
                <w:sz w:val="20"/>
                <w:szCs w:val="20"/>
              </w:rPr>
              <w:t>:</w:t>
            </w:r>
            <w:r w:rsidR="00C53F17">
              <w:rPr>
                <w:sz w:val="20"/>
                <w:szCs w:val="20"/>
              </w:rPr>
              <w:t xml:space="preserve"> </w:t>
            </w:r>
          </w:p>
          <w:p w:rsidR="00C53F17" w:rsidRDefault="00C53F17" w:rsidP="003F05E7">
            <w:pPr>
              <w:jc w:val="both"/>
              <w:rPr>
                <w:sz w:val="20"/>
                <w:szCs w:val="20"/>
              </w:rPr>
            </w:pPr>
          </w:p>
          <w:p w:rsidR="003F05E7" w:rsidRDefault="00C53F17" w:rsidP="003F05E7">
            <w:pPr>
              <w:jc w:val="both"/>
              <w:rPr>
                <w:sz w:val="20"/>
                <w:szCs w:val="20"/>
              </w:rPr>
            </w:pPr>
            <w:r>
              <w:rPr>
                <w:sz w:val="20"/>
                <w:szCs w:val="20"/>
              </w:rPr>
              <w:t xml:space="preserve">Cualquier persona que </w:t>
            </w:r>
            <w:r w:rsidR="00A823E8">
              <w:rPr>
                <w:sz w:val="20"/>
                <w:szCs w:val="20"/>
              </w:rPr>
              <w:t xml:space="preserve">solicite bandas de frecuencias para </w:t>
            </w:r>
            <w:r>
              <w:rPr>
                <w:sz w:val="20"/>
                <w:szCs w:val="20"/>
              </w:rPr>
              <w:t xml:space="preserve">organizar un evento especial, o que se dedique a una actividad comercial </w:t>
            </w:r>
            <w:r w:rsidR="00272A40">
              <w:rPr>
                <w:sz w:val="20"/>
                <w:szCs w:val="20"/>
              </w:rPr>
              <w:t>e</w:t>
            </w:r>
            <w:r>
              <w:rPr>
                <w:sz w:val="20"/>
                <w:szCs w:val="20"/>
              </w:rPr>
              <w:t xml:space="preserve"> industrial.</w:t>
            </w:r>
          </w:p>
          <w:p w:rsidR="00C53F17" w:rsidRDefault="00C53F17" w:rsidP="003F05E7">
            <w:pPr>
              <w:jc w:val="both"/>
              <w:rPr>
                <w:sz w:val="20"/>
                <w:szCs w:val="20"/>
              </w:rPr>
            </w:pPr>
          </w:p>
          <w:p w:rsidR="008C76AF" w:rsidRPr="00A823E8" w:rsidRDefault="008C76AF" w:rsidP="003F05E7">
            <w:pPr>
              <w:jc w:val="both"/>
              <w:rPr>
                <w:sz w:val="20"/>
                <w:szCs w:val="20"/>
              </w:rPr>
            </w:pPr>
            <w:r w:rsidRPr="00890DC9">
              <w:rPr>
                <w:b/>
                <w:sz w:val="20"/>
                <w:szCs w:val="20"/>
              </w:rPr>
              <w:t>Número de agentes económicos</w:t>
            </w:r>
            <w:r w:rsidRPr="00A823E8">
              <w:rPr>
                <w:sz w:val="20"/>
                <w:szCs w:val="20"/>
              </w:rPr>
              <w:t>:</w:t>
            </w:r>
            <w:r w:rsidR="00C53F17" w:rsidRPr="00A823E8">
              <w:rPr>
                <w:sz w:val="20"/>
                <w:szCs w:val="20"/>
              </w:rPr>
              <w:t xml:space="preserve"> </w:t>
            </w:r>
            <w:r w:rsidR="00A823E8" w:rsidRPr="00A823E8">
              <w:rPr>
                <w:sz w:val="20"/>
                <w:szCs w:val="20"/>
              </w:rPr>
              <w:t xml:space="preserve"> Indeterminado</w:t>
            </w:r>
          </w:p>
          <w:p w:rsidR="00C53F17" w:rsidRPr="00890DC9" w:rsidRDefault="00C53F17" w:rsidP="003F05E7">
            <w:pPr>
              <w:jc w:val="both"/>
              <w:rPr>
                <w:b/>
                <w:sz w:val="20"/>
                <w:szCs w:val="20"/>
              </w:rPr>
            </w:pPr>
          </w:p>
          <w:p w:rsidR="00A823E8" w:rsidRPr="00A823E8" w:rsidRDefault="008C76AF" w:rsidP="003F05E7">
            <w:pPr>
              <w:jc w:val="both"/>
              <w:rPr>
                <w:sz w:val="20"/>
                <w:szCs w:val="20"/>
              </w:rPr>
            </w:pPr>
            <w:r w:rsidRPr="00890DC9">
              <w:rPr>
                <w:b/>
                <w:sz w:val="20"/>
                <w:szCs w:val="20"/>
              </w:rPr>
              <w:t>Costo unitario</w:t>
            </w:r>
            <w:r w:rsidRPr="00A823E8">
              <w:rPr>
                <w:sz w:val="20"/>
                <w:szCs w:val="20"/>
              </w:rPr>
              <w:t>: $</w:t>
            </w:r>
            <w:r w:rsidR="00A823E8" w:rsidRPr="00A823E8">
              <w:rPr>
                <w:sz w:val="20"/>
                <w:szCs w:val="20"/>
              </w:rPr>
              <w:t xml:space="preserve"> No existe un costo unitario, debido a que la contraprestación tiene la naturaleza fiscal de un aprovechamiento.</w:t>
            </w:r>
          </w:p>
          <w:p w:rsidR="008C76AF" w:rsidRPr="00A823E8" w:rsidRDefault="00A823E8" w:rsidP="003F05E7">
            <w:pPr>
              <w:jc w:val="both"/>
              <w:rPr>
                <w:sz w:val="20"/>
                <w:szCs w:val="20"/>
              </w:rPr>
            </w:pPr>
            <w:r w:rsidRPr="00A823E8">
              <w:rPr>
                <w:sz w:val="20"/>
                <w:szCs w:val="20"/>
              </w:rPr>
              <w:t xml:space="preserve"> </w:t>
            </w:r>
          </w:p>
          <w:p w:rsidR="008C76AF" w:rsidRPr="008C76AF" w:rsidRDefault="008C76AF" w:rsidP="003F05E7">
            <w:pPr>
              <w:jc w:val="both"/>
              <w:rPr>
                <w:sz w:val="20"/>
                <w:szCs w:val="20"/>
              </w:rPr>
            </w:pPr>
            <w:r w:rsidRPr="00890DC9">
              <w:rPr>
                <w:b/>
                <w:sz w:val="20"/>
                <w:szCs w:val="20"/>
              </w:rPr>
              <w:t>Frecuencia anual</w:t>
            </w:r>
            <w:r w:rsidRPr="00A823E8">
              <w:rPr>
                <w:sz w:val="20"/>
                <w:szCs w:val="20"/>
              </w:rPr>
              <w:t>:</w:t>
            </w:r>
            <w:r w:rsidR="00A823E8" w:rsidRPr="00A823E8">
              <w:rPr>
                <w:sz w:val="20"/>
                <w:szCs w:val="20"/>
              </w:rPr>
              <w:t xml:space="preserve"> Indeterminado.</w:t>
            </w:r>
          </w:p>
          <w:p w:rsidR="008C76AF" w:rsidRDefault="008C76AF" w:rsidP="003F05E7">
            <w:pPr>
              <w:jc w:val="both"/>
            </w:pPr>
          </w:p>
        </w:tc>
      </w:tr>
    </w:tbl>
    <w:p w:rsidR="003F05E7" w:rsidRPr="008C76AF"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8C76AF" w:rsidTr="008C76AF">
        <w:tc>
          <w:tcPr>
            <w:tcW w:w="8828" w:type="dxa"/>
          </w:tcPr>
          <w:p w:rsidR="008C76AF" w:rsidRPr="00890DC9" w:rsidRDefault="008C76AF" w:rsidP="001932FC">
            <w:pPr>
              <w:jc w:val="both"/>
              <w:rPr>
                <w:b/>
                <w:sz w:val="20"/>
                <w:szCs w:val="20"/>
              </w:rPr>
            </w:pPr>
            <w:r w:rsidRPr="00890DC9">
              <w:rPr>
                <w:b/>
                <w:sz w:val="20"/>
                <w:szCs w:val="20"/>
              </w:rPr>
              <w:t>14.- Proporcione la estimación de los beneficios que se podrían generar para cada particular, grupo de particulares o industria a razón de la entrada en vigor del anteproyecto de regulación:</w:t>
            </w:r>
          </w:p>
          <w:p w:rsidR="008C76AF" w:rsidRPr="008C76AF" w:rsidRDefault="008C76AF" w:rsidP="001932FC">
            <w:pPr>
              <w:jc w:val="both"/>
              <w:rPr>
                <w:sz w:val="20"/>
                <w:szCs w:val="20"/>
              </w:rPr>
            </w:pPr>
          </w:p>
          <w:p w:rsidR="008C76AF" w:rsidRDefault="008C76AF" w:rsidP="008C76AF">
            <w:pPr>
              <w:jc w:val="both"/>
              <w:rPr>
                <w:sz w:val="20"/>
                <w:szCs w:val="20"/>
              </w:rPr>
            </w:pPr>
            <w:r w:rsidRPr="008C76AF">
              <w:rPr>
                <w:sz w:val="20"/>
                <w:szCs w:val="20"/>
              </w:rPr>
              <w:t>Tipo: (</w:t>
            </w:r>
            <w:r w:rsidRPr="000978A8">
              <w:rPr>
                <w:b/>
                <w:sz w:val="20"/>
                <w:szCs w:val="20"/>
                <w:u w:val="single"/>
              </w:rPr>
              <w:t>facilitación</w:t>
            </w:r>
            <w:r w:rsidRPr="008C76AF">
              <w:rPr>
                <w:sz w:val="20"/>
                <w:szCs w:val="20"/>
              </w:rPr>
              <w:t xml:space="preserve">, eliminación de requisitos, </w:t>
            </w:r>
            <w:r w:rsidRPr="000978A8">
              <w:rPr>
                <w:sz w:val="20"/>
                <w:szCs w:val="20"/>
              </w:rPr>
              <w:t>eficiencias generadas</w:t>
            </w:r>
            <w:r w:rsidRPr="008C76AF">
              <w:rPr>
                <w:sz w:val="20"/>
                <w:szCs w:val="20"/>
              </w:rPr>
              <w:t>)</w:t>
            </w:r>
          </w:p>
          <w:p w:rsidR="000978A8" w:rsidRPr="008C76AF" w:rsidRDefault="000978A8" w:rsidP="008C76AF">
            <w:pPr>
              <w:jc w:val="both"/>
              <w:rPr>
                <w:sz w:val="20"/>
                <w:szCs w:val="20"/>
              </w:rPr>
            </w:pPr>
          </w:p>
          <w:p w:rsidR="008A7836" w:rsidRDefault="008C76AF" w:rsidP="008C76AF">
            <w:pPr>
              <w:jc w:val="both"/>
              <w:rPr>
                <w:sz w:val="20"/>
                <w:szCs w:val="20"/>
              </w:rPr>
            </w:pPr>
            <w:r w:rsidRPr="00065E6E">
              <w:rPr>
                <w:sz w:val="20"/>
                <w:szCs w:val="20"/>
              </w:rPr>
              <w:t xml:space="preserve">Indique el particular, </w:t>
            </w:r>
            <w:r w:rsidR="00D614DE" w:rsidRPr="00065E6E">
              <w:rPr>
                <w:sz w:val="20"/>
                <w:szCs w:val="20"/>
              </w:rPr>
              <w:t>l</w:t>
            </w:r>
            <w:r w:rsidR="00A823E8" w:rsidRPr="00065E6E">
              <w:rPr>
                <w:sz w:val="20"/>
                <w:szCs w:val="20"/>
              </w:rPr>
              <w:t>as persona</w:t>
            </w:r>
            <w:r w:rsidR="00D614DE" w:rsidRPr="00065E6E">
              <w:rPr>
                <w:sz w:val="20"/>
                <w:szCs w:val="20"/>
              </w:rPr>
              <w:t>s</w:t>
            </w:r>
            <w:r w:rsidR="00A823E8" w:rsidRPr="00065E6E">
              <w:rPr>
                <w:sz w:val="20"/>
                <w:szCs w:val="20"/>
              </w:rPr>
              <w:t xml:space="preserve"> </w:t>
            </w:r>
            <w:r w:rsidR="00D614DE" w:rsidRPr="00065E6E">
              <w:rPr>
                <w:sz w:val="20"/>
                <w:szCs w:val="20"/>
              </w:rPr>
              <w:t xml:space="preserve">a las </w:t>
            </w:r>
            <w:r w:rsidR="00A823E8" w:rsidRPr="00065E6E">
              <w:rPr>
                <w:sz w:val="20"/>
                <w:szCs w:val="20"/>
              </w:rPr>
              <w:t>que se les haya autorizado el uso de bandas de frecuencias para organizar un evento especial, o que se dedique a una a</w:t>
            </w:r>
            <w:r w:rsidR="00D614DE" w:rsidRPr="00065E6E">
              <w:rPr>
                <w:sz w:val="20"/>
                <w:szCs w:val="20"/>
              </w:rPr>
              <w:t xml:space="preserve">ctividad comercial o industrial: </w:t>
            </w:r>
          </w:p>
          <w:p w:rsidR="00272A40" w:rsidRDefault="00272A40" w:rsidP="008C76AF">
            <w:pPr>
              <w:jc w:val="both"/>
              <w:rPr>
                <w:sz w:val="20"/>
                <w:szCs w:val="20"/>
              </w:rPr>
            </w:pPr>
          </w:p>
          <w:p w:rsidR="004D69C7" w:rsidRDefault="00284EC8" w:rsidP="008C76AF">
            <w:pPr>
              <w:jc w:val="both"/>
              <w:rPr>
                <w:sz w:val="20"/>
                <w:szCs w:val="20"/>
                <w:lang w:val="es-ES"/>
              </w:rPr>
            </w:pPr>
            <w:r>
              <w:rPr>
                <w:sz w:val="20"/>
                <w:szCs w:val="20"/>
              </w:rPr>
              <w:t>Los beneficios serían para aquellos grupos de particulares dedicados a la promoción de eventos deportivos, culturales o sociales</w:t>
            </w:r>
            <w:r w:rsidR="008A7836">
              <w:rPr>
                <w:sz w:val="20"/>
                <w:szCs w:val="20"/>
              </w:rPr>
              <w:t xml:space="preserve">, </w:t>
            </w:r>
            <w:r w:rsidR="008A7836" w:rsidRPr="008A7836">
              <w:rPr>
                <w:sz w:val="20"/>
                <w:szCs w:val="20"/>
                <w:lang w:val="es-ES"/>
              </w:rPr>
              <w:t xml:space="preserve">toda vez que dichos eventos contribuyen </w:t>
            </w:r>
            <w:r w:rsidR="008A7836">
              <w:rPr>
                <w:sz w:val="20"/>
                <w:szCs w:val="20"/>
                <w:lang w:val="es-ES"/>
              </w:rPr>
              <w:t>a</w:t>
            </w:r>
            <w:r w:rsidR="008A7836" w:rsidRPr="008A7836">
              <w:rPr>
                <w:sz w:val="20"/>
                <w:szCs w:val="20"/>
                <w:lang w:val="es-ES"/>
              </w:rPr>
              <w:t xml:space="preserve"> la difusión nacional y proyectan internacionalmente al lugar donde se desarrollan éstos; de esta manera se fomenta el turismo nacional e internacional, incentivando con ello el sector público y privado, pudiendo generar empleos directos o indirectos en beneficio de la sociedad al desarrollar espectáculos de gran interés general</w:t>
            </w:r>
            <w:r w:rsidR="0058644C">
              <w:rPr>
                <w:sz w:val="20"/>
                <w:szCs w:val="20"/>
                <w:lang w:val="es-ES"/>
              </w:rPr>
              <w:t xml:space="preserve"> a nivel nacional e internacional</w:t>
            </w:r>
            <w:r w:rsidR="008A7836" w:rsidRPr="008A7836">
              <w:rPr>
                <w:sz w:val="20"/>
                <w:szCs w:val="20"/>
                <w:lang w:val="es-ES"/>
              </w:rPr>
              <w:t>.</w:t>
            </w:r>
          </w:p>
          <w:p w:rsidR="0058644C" w:rsidRDefault="0058644C" w:rsidP="008C76AF">
            <w:pPr>
              <w:jc w:val="both"/>
              <w:rPr>
                <w:sz w:val="20"/>
                <w:szCs w:val="20"/>
                <w:lang w:val="es-ES"/>
              </w:rPr>
            </w:pPr>
          </w:p>
          <w:p w:rsidR="0058644C" w:rsidRPr="0058644C" w:rsidRDefault="00554332" w:rsidP="0058644C">
            <w:pPr>
              <w:jc w:val="both"/>
              <w:rPr>
                <w:sz w:val="20"/>
                <w:szCs w:val="20"/>
                <w:lang w:val="es-ES"/>
              </w:rPr>
            </w:pPr>
            <w:r>
              <w:rPr>
                <w:sz w:val="20"/>
                <w:szCs w:val="20"/>
                <w:lang w:val="es-ES"/>
              </w:rPr>
              <w:t>Por otra parte, se beneficiaría</w:t>
            </w:r>
            <w:r w:rsidR="00413865">
              <w:rPr>
                <w:sz w:val="20"/>
                <w:szCs w:val="20"/>
                <w:lang w:val="es-ES"/>
              </w:rPr>
              <w:t xml:space="preserve"> a</w:t>
            </w:r>
            <w:r>
              <w:rPr>
                <w:sz w:val="20"/>
                <w:szCs w:val="20"/>
                <w:lang w:val="es-ES"/>
              </w:rPr>
              <w:t xml:space="preserve"> </w:t>
            </w:r>
            <w:r w:rsidR="00413865">
              <w:rPr>
                <w:sz w:val="20"/>
                <w:szCs w:val="20"/>
              </w:rPr>
              <w:t xml:space="preserve">aquellos grupos dedicados a </w:t>
            </w:r>
            <w:r>
              <w:rPr>
                <w:sz w:val="20"/>
                <w:szCs w:val="20"/>
                <w:lang w:val="es-ES"/>
              </w:rPr>
              <w:t>actividades comerciales o industriales</w:t>
            </w:r>
            <w:r w:rsidR="00413865">
              <w:rPr>
                <w:sz w:val="20"/>
                <w:szCs w:val="20"/>
                <w:lang w:val="es-ES"/>
              </w:rPr>
              <w:t>, toda vez que s</w:t>
            </w:r>
            <w:r w:rsidR="0058644C" w:rsidRPr="0058644C">
              <w:rPr>
                <w:sz w:val="20"/>
                <w:szCs w:val="20"/>
                <w:lang w:val="es-ES"/>
              </w:rPr>
              <w:t>e generarían empleos directos e indirectos, fomentando a la economía nacional;</w:t>
            </w:r>
            <w:r w:rsidR="00413865">
              <w:rPr>
                <w:sz w:val="20"/>
                <w:szCs w:val="20"/>
                <w:lang w:val="es-ES"/>
              </w:rPr>
              <w:t xml:space="preserve"> s</w:t>
            </w:r>
            <w:r w:rsidR="0058644C" w:rsidRPr="0058644C">
              <w:rPr>
                <w:sz w:val="20"/>
                <w:szCs w:val="20"/>
                <w:lang w:val="es-ES"/>
              </w:rPr>
              <w:t>e aplicarían nuevas tecnologías en los procesos comerciales y</w:t>
            </w:r>
            <w:r w:rsidR="00413865">
              <w:rPr>
                <w:sz w:val="20"/>
                <w:szCs w:val="20"/>
                <w:lang w:val="es-ES"/>
              </w:rPr>
              <w:t xml:space="preserve"> productivos de las empresas, y s</w:t>
            </w:r>
            <w:r w:rsidR="0058644C" w:rsidRPr="0058644C">
              <w:rPr>
                <w:sz w:val="20"/>
                <w:szCs w:val="20"/>
                <w:lang w:val="es-ES"/>
              </w:rPr>
              <w:t>e mejorarían los estándares y procedimientos de seguridad de trabajo, especialmente al interior de los lugares de trabajo ubicados en zonas aisladas y de difícil acceso.</w:t>
            </w:r>
          </w:p>
          <w:p w:rsidR="008A7836" w:rsidRDefault="008A7836" w:rsidP="008C76AF">
            <w:pPr>
              <w:jc w:val="both"/>
              <w:rPr>
                <w:sz w:val="20"/>
                <w:szCs w:val="20"/>
              </w:rPr>
            </w:pPr>
          </w:p>
          <w:p w:rsidR="00FB1E8F" w:rsidRPr="00890DC9" w:rsidRDefault="008C76AF" w:rsidP="008C76AF">
            <w:pPr>
              <w:jc w:val="both"/>
              <w:rPr>
                <w:b/>
                <w:sz w:val="20"/>
                <w:szCs w:val="20"/>
              </w:rPr>
            </w:pPr>
            <w:r w:rsidRPr="00890DC9">
              <w:rPr>
                <w:b/>
                <w:sz w:val="20"/>
                <w:szCs w:val="20"/>
              </w:rPr>
              <w:t>Número de agentes económicos:</w:t>
            </w:r>
            <w:r w:rsidR="003058AD" w:rsidRPr="00890DC9">
              <w:rPr>
                <w:b/>
                <w:sz w:val="20"/>
                <w:szCs w:val="20"/>
              </w:rPr>
              <w:t xml:space="preserve"> </w:t>
            </w:r>
          </w:p>
          <w:p w:rsidR="008C76AF" w:rsidRDefault="003058AD" w:rsidP="008C76AF">
            <w:pPr>
              <w:jc w:val="both"/>
              <w:rPr>
                <w:sz w:val="20"/>
                <w:szCs w:val="20"/>
              </w:rPr>
            </w:pPr>
            <w:r>
              <w:rPr>
                <w:sz w:val="20"/>
                <w:szCs w:val="20"/>
              </w:rPr>
              <w:t xml:space="preserve">Indeterminado, toda </w:t>
            </w:r>
            <w:r w:rsidR="00CA1278">
              <w:rPr>
                <w:sz w:val="20"/>
                <w:szCs w:val="20"/>
              </w:rPr>
              <w:t>vez que no es posible definir el número de agentes</w:t>
            </w:r>
            <w:r>
              <w:rPr>
                <w:sz w:val="20"/>
                <w:szCs w:val="20"/>
              </w:rPr>
              <w:t xml:space="preserve"> ex ante.</w:t>
            </w:r>
          </w:p>
          <w:p w:rsidR="00046133" w:rsidRPr="00065E6E" w:rsidRDefault="00046133" w:rsidP="008C76AF">
            <w:pPr>
              <w:jc w:val="both"/>
              <w:rPr>
                <w:sz w:val="20"/>
                <w:szCs w:val="20"/>
              </w:rPr>
            </w:pPr>
          </w:p>
          <w:p w:rsidR="00FB1E8F" w:rsidRPr="00890DC9" w:rsidRDefault="008C76AF" w:rsidP="008C76AF">
            <w:pPr>
              <w:jc w:val="both"/>
              <w:rPr>
                <w:b/>
                <w:sz w:val="20"/>
                <w:szCs w:val="20"/>
              </w:rPr>
            </w:pPr>
            <w:r w:rsidRPr="00890DC9">
              <w:rPr>
                <w:b/>
                <w:sz w:val="20"/>
                <w:szCs w:val="20"/>
              </w:rPr>
              <w:t xml:space="preserve">Beneficio unitario: </w:t>
            </w:r>
          </w:p>
          <w:p w:rsidR="008C76AF" w:rsidRDefault="008C76AF" w:rsidP="008C76AF">
            <w:pPr>
              <w:jc w:val="both"/>
              <w:rPr>
                <w:sz w:val="20"/>
                <w:szCs w:val="20"/>
              </w:rPr>
            </w:pPr>
            <w:r w:rsidRPr="00065E6E">
              <w:rPr>
                <w:sz w:val="20"/>
                <w:szCs w:val="20"/>
              </w:rPr>
              <w:t>$</w:t>
            </w:r>
            <w:r w:rsidR="00A823E8" w:rsidRPr="00065E6E">
              <w:rPr>
                <w:sz w:val="20"/>
                <w:szCs w:val="20"/>
              </w:rPr>
              <w:t xml:space="preserve"> No aplica</w:t>
            </w:r>
          </w:p>
          <w:p w:rsidR="00046133" w:rsidRPr="00065E6E" w:rsidRDefault="00046133" w:rsidP="008C76AF">
            <w:pPr>
              <w:jc w:val="both"/>
              <w:rPr>
                <w:sz w:val="20"/>
                <w:szCs w:val="20"/>
              </w:rPr>
            </w:pPr>
          </w:p>
          <w:p w:rsidR="00FB1E8F" w:rsidRPr="00890DC9" w:rsidRDefault="008C76AF" w:rsidP="008C76AF">
            <w:pPr>
              <w:jc w:val="both"/>
              <w:rPr>
                <w:b/>
                <w:sz w:val="20"/>
                <w:szCs w:val="20"/>
              </w:rPr>
            </w:pPr>
            <w:r w:rsidRPr="00890DC9">
              <w:rPr>
                <w:b/>
                <w:sz w:val="20"/>
                <w:szCs w:val="20"/>
              </w:rPr>
              <w:t>Frecuencia anual:</w:t>
            </w:r>
            <w:r w:rsidR="00A823E8" w:rsidRPr="00890DC9">
              <w:rPr>
                <w:b/>
                <w:sz w:val="20"/>
                <w:szCs w:val="20"/>
              </w:rPr>
              <w:t xml:space="preserve"> </w:t>
            </w:r>
          </w:p>
          <w:p w:rsidR="008C76AF" w:rsidRPr="008C76AF" w:rsidRDefault="00A823E8" w:rsidP="008C5E0B">
            <w:pPr>
              <w:jc w:val="both"/>
              <w:rPr>
                <w:sz w:val="20"/>
                <w:szCs w:val="20"/>
              </w:rPr>
            </w:pPr>
            <w:r w:rsidRPr="00065E6E">
              <w:rPr>
                <w:sz w:val="20"/>
                <w:szCs w:val="20"/>
              </w:rPr>
              <w:t>Indeterminada</w:t>
            </w:r>
            <w:r w:rsidR="008C5E0B">
              <w:rPr>
                <w:sz w:val="20"/>
                <w:szCs w:val="20"/>
              </w:rPr>
              <w:t>.</w:t>
            </w:r>
          </w:p>
        </w:tc>
      </w:tr>
    </w:tbl>
    <w:p w:rsidR="00890DC9" w:rsidRDefault="00890DC9" w:rsidP="001932FC">
      <w:pPr>
        <w:jc w:val="both"/>
      </w:pPr>
    </w:p>
    <w:tbl>
      <w:tblPr>
        <w:tblStyle w:val="Tablaconcuadrcula"/>
        <w:tblW w:w="0" w:type="auto"/>
        <w:tblLook w:val="04A0" w:firstRow="1" w:lastRow="0" w:firstColumn="1" w:lastColumn="0" w:noHBand="0" w:noVBand="1"/>
      </w:tblPr>
      <w:tblGrid>
        <w:gridCol w:w="8828"/>
      </w:tblGrid>
      <w:tr w:rsidR="008C76AF" w:rsidRPr="0029094A" w:rsidTr="008C76AF">
        <w:tc>
          <w:tcPr>
            <w:tcW w:w="8828" w:type="dxa"/>
          </w:tcPr>
          <w:p w:rsidR="008C76AF" w:rsidRPr="00890DC9" w:rsidRDefault="008C76AF" w:rsidP="001932FC">
            <w:pPr>
              <w:jc w:val="both"/>
              <w:rPr>
                <w:b/>
                <w:sz w:val="20"/>
                <w:szCs w:val="20"/>
              </w:rPr>
            </w:pPr>
            <w:r w:rsidRPr="00890DC9">
              <w:rPr>
                <w:b/>
                <w:sz w:val="20"/>
                <w:szCs w:val="20"/>
              </w:rPr>
              <w:t>15.- Ju</w:t>
            </w:r>
            <w:r w:rsidR="0030055F" w:rsidRPr="00890DC9">
              <w:rPr>
                <w:b/>
                <w:sz w:val="20"/>
                <w:szCs w:val="20"/>
              </w:rPr>
              <w:t>stifique que los beneficios que se podrían generar a razón de la entrada en vigor del presente anteproyecto de regulación son superiores a los costos de su cumplimiento:</w:t>
            </w:r>
          </w:p>
          <w:p w:rsidR="0030055F" w:rsidRPr="0029094A" w:rsidRDefault="0030055F" w:rsidP="001932FC">
            <w:pPr>
              <w:jc w:val="both"/>
              <w:rPr>
                <w:sz w:val="20"/>
                <w:szCs w:val="20"/>
              </w:rPr>
            </w:pPr>
          </w:p>
          <w:p w:rsidR="00D27847" w:rsidRPr="002F0D73" w:rsidRDefault="00D20020" w:rsidP="00D86498">
            <w:pPr>
              <w:jc w:val="both"/>
              <w:rPr>
                <w:sz w:val="20"/>
                <w:szCs w:val="20"/>
              </w:rPr>
            </w:pPr>
            <w:r>
              <w:rPr>
                <w:sz w:val="20"/>
                <w:szCs w:val="20"/>
              </w:rPr>
              <w:t>E</w:t>
            </w:r>
            <w:r w:rsidR="00890DC9">
              <w:rPr>
                <w:sz w:val="20"/>
                <w:szCs w:val="20"/>
              </w:rPr>
              <w:t xml:space="preserve">l Instituto al ser el administrador de un </w:t>
            </w:r>
            <w:r w:rsidR="00D27847" w:rsidRPr="00D27847">
              <w:rPr>
                <w:sz w:val="20"/>
                <w:szCs w:val="20"/>
              </w:rPr>
              <w:t>bien del dominio público de la Nación</w:t>
            </w:r>
            <w:r w:rsidR="00890DC9">
              <w:rPr>
                <w:sz w:val="20"/>
                <w:szCs w:val="20"/>
              </w:rPr>
              <w:t xml:space="preserve"> (espectro radioeléctrico), ejerce </w:t>
            </w:r>
            <w:r w:rsidR="00D27847" w:rsidRPr="00D27847">
              <w:rPr>
                <w:sz w:val="20"/>
                <w:szCs w:val="20"/>
              </w:rPr>
              <w:t xml:space="preserve">las atribuciones </w:t>
            </w:r>
            <w:r w:rsidR="00890DC9">
              <w:rPr>
                <w:sz w:val="20"/>
                <w:szCs w:val="20"/>
              </w:rPr>
              <w:t xml:space="preserve">constitucionales y legales </w:t>
            </w:r>
            <w:r w:rsidR="00D27847" w:rsidRPr="00D27847">
              <w:rPr>
                <w:sz w:val="20"/>
                <w:szCs w:val="20"/>
              </w:rPr>
              <w:t>de regulación, promoción y supervisión de su uso, aprovechamien</w:t>
            </w:r>
            <w:r w:rsidR="002F0D73">
              <w:rPr>
                <w:sz w:val="20"/>
                <w:szCs w:val="20"/>
              </w:rPr>
              <w:t xml:space="preserve">to y explotación. </w:t>
            </w:r>
            <w:r w:rsidR="00D27847">
              <w:rPr>
                <w:sz w:val="20"/>
                <w:szCs w:val="20"/>
                <w:lang w:val="es-ES"/>
              </w:rPr>
              <w:t>De esta manera</w:t>
            </w:r>
            <w:r w:rsidR="002F0D73">
              <w:rPr>
                <w:sz w:val="20"/>
                <w:szCs w:val="20"/>
                <w:lang w:val="es-ES"/>
              </w:rPr>
              <w:t xml:space="preserve">, el Instituto lleva a cabo las acciones necesarias para que </w:t>
            </w:r>
            <w:r w:rsidR="00D27847" w:rsidRPr="00D27847">
              <w:rPr>
                <w:sz w:val="20"/>
                <w:szCs w:val="20"/>
                <w:lang w:val="es-ES"/>
              </w:rPr>
              <w:t xml:space="preserve">de manera </w:t>
            </w:r>
            <w:r w:rsidR="002F0D73">
              <w:rPr>
                <w:sz w:val="20"/>
                <w:szCs w:val="20"/>
                <w:lang w:val="es-ES"/>
              </w:rPr>
              <w:t xml:space="preserve">eficaz y </w:t>
            </w:r>
            <w:r w:rsidR="00D27847" w:rsidRPr="00D27847">
              <w:rPr>
                <w:sz w:val="20"/>
                <w:szCs w:val="20"/>
                <w:lang w:val="es-ES"/>
              </w:rPr>
              <w:t xml:space="preserve">eficiente </w:t>
            </w:r>
            <w:r w:rsidR="002F0D73">
              <w:rPr>
                <w:sz w:val="20"/>
                <w:szCs w:val="20"/>
                <w:lang w:val="es-ES"/>
              </w:rPr>
              <w:t xml:space="preserve">se otorgue </w:t>
            </w:r>
            <w:r w:rsidR="00D27847" w:rsidRPr="00D27847">
              <w:rPr>
                <w:sz w:val="20"/>
                <w:szCs w:val="20"/>
                <w:lang w:val="es-ES"/>
              </w:rPr>
              <w:t>el uso y aprovechamiento</w:t>
            </w:r>
            <w:r w:rsidR="002F0D73">
              <w:rPr>
                <w:sz w:val="20"/>
                <w:szCs w:val="20"/>
                <w:lang w:val="es-ES"/>
              </w:rPr>
              <w:t xml:space="preserve"> y en su caso explotación</w:t>
            </w:r>
            <w:r w:rsidR="00D27847" w:rsidRPr="00D27847">
              <w:rPr>
                <w:sz w:val="20"/>
                <w:szCs w:val="20"/>
                <w:lang w:val="es-ES"/>
              </w:rPr>
              <w:t xml:space="preserve"> del espectro ra</w:t>
            </w:r>
            <w:r w:rsidR="002F0D73">
              <w:rPr>
                <w:sz w:val="20"/>
                <w:szCs w:val="20"/>
                <w:lang w:val="es-ES"/>
              </w:rPr>
              <w:t>dioeléctrico, en aras de proporcionar</w:t>
            </w:r>
            <w:r w:rsidR="00D27847" w:rsidRPr="00D27847">
              <w:rPr>
                <w:sz w:val="20"/>
                <w:szCs w:val="20"/>
                <w:lang w:val="es-ES"/>
              </w:rPr>
              <w:t xml:space="preserve"> al menor costo posible, el máximo beneficio a los usuarios finales, a efecto de atender necesidades de demanda de servicios, cobertura y calidad de los mismos.</w:t>
            </w:r>
          </w:p>
          <w:p w:rsidR="00863C13" w:rsidRDefault="00863C13" w:rsidP="00D86498">
            <w:pPr>
              <w:jc w:val="both"/>
              <w:rPr>
                <w:sz w:val="20"/>
                <w:szCs w:val="20"/>
              </w:rPr>
            </w:pPr>
          </w:p>
          <w:p w:rsidR="00AA14E2" w:rsidRDefault="00D27847" w:rsidP="00AA14E2">
            <w:pPr>
              <w:jc w:val="both"/>
              <w:rPr>
                <w:sz w:val="20"/>
                <w:szCs w:val="20"/>
              </w:rPr>
            </w:pPr>
            <w:r>
              <w:rPr>
                <w:sz w:val="20"/>
                <w:szCs w:val="20"/>
              </w:rPr>
              <w:t xml:space="preserve">En este sentido, el anteproyecto de lineamientos tiene como finalidad </w:t>
            </w:r>
            <w:r w:rsidR="00AA14E2">
              <w:rPr>
                <w:sz w:val="20"/>
                <w:szCs w:val="20"/>
              </w:rPr>
              <w:t xml:space="preserve">agilizar la asignación de bandas del espectro radioeléctrico de uso secundario para </w:t>
            </w:r>
            <w:r>
              <w:rPr>
                <w:sz w:val="20"/>
                <w:szCs w:val="20"/>
              </w:rPr>
              <w:t>s</w:t>
            </w:r>
            <w:r w:rsidR="00186B1E" w:rsidRPr="0029094A">
              <w:rPr>
                <w:sz w:val="20"/>
                <w:szCs w:val="20"/>
              </w:rPr>
              <w:t>atisfacer</w:t>
            </w:r>
            <w:r w:rsidR="000E6B73">
              <w:rPr>
                <w:sz w:val="20"/>
                <w:szCs w:val="20"/>
              </w:rPr>
              <w:t xml:space="preserve"> </w:t>
            </w:r>
            <w:r w:rsidR="00186B1E" w:rsidRPr="0029094A">
              <w:rPr>
                <w:sz w:val="20"/>
                <w:szCs w:val="20"/>
              </w:rPr>
              <w:t>necesidades especí</w:t>
            </w:r>
            <w:r w:rsidR="00AA14E2">
              <w:rPr>
                <w:sz w:val="20"/>
                <w:szCs w:val="20"/>
              </w:rPr>
              <w:t>ficas de telecomunicaciones propias</w:t>
            </w:r>
            <w:r w:rsidR="00186B1E" w:rsidRPr="0029094A">
              <w:rPr>
                <w:sz w:val="20"/>
                <w:szCs w:val="20"/>
              </w:rPr>
              <w:t xml:space="preserve"> </w:t>
            </w:r>
            <w:r w:rsidR="00D63C40">
              <w:rPr>
                <w:sz w:val="20"/>
                <w:szCs w:val="20"/>
              </w:rPr>
              <w:t xml:space="preserve">en el </w:t>
            </w:r>
            <w:r w:rsidR="00186B1E" w:rsidRPr="0029094A">
              <w:rPr>
                <w:sz w:val="20"/>
                <w:szCs w:val="20"/>
              </w:rPr>
              <w:t xml:space="preserve">desarrollo y operación de eventos </w:t>
            </w:r>
            <w:r w:rsidR="001C43C2" w:rsidRPr="0029094A">
              <w:rPr>
                <w:sz w:val="20"/>
                <w:szCs w:val="20"/>
              </w:rPr>
              <w:t>especí</w:t>
            </w:r>
            <w:r w:rsidR="001C43C2">
              <w:rPr>
                <w:sz w:val="20"/>
                <w:szCs w:val="20"/>
              </w:rPr>
              <w:t>ficos</w:t>
            </w:r>
            <w:r w:rsidR="00186B1E" w:rsidRPr="0029094A">
              <w:rPr>
                <w:sz w:val="20"/>
                <w:szCs w:val="20"/>
              </w:rPr>
              <w:t xml:space="preserve"> o </w:t>
            </w:r>
            <w:r w:rsidR="00A823E8" w:rsidRPr="0029094A">
              <w:rPr>
                <w:sz w:val="20"/>
                <w:szCs w:val="20"/>
              </w:rPr>
              <w:t xml:space="preserve">de </w:t>
            </w:r>
            <w:r w:rsidR="00186B1E" w:rsidRPr="0029094A">
              <w:rPr>
                <w:sz w:val="20"/>
                <w:szCs w:val="20"/>
              </w:rPr>
              <w:t xml:space="preserve">las actividades </w:t>
            </w:r>
            <w:r w:rsidR="001C43C2">
              <w:rPr>
                <w:sz w:val="20"/>
                <w:szCs w:val="20"/>
              </w:rPr>
              <w:t>comerciales e industriales</w:t>
            </w:r>
            <w:r w:rsidR="00A823E8" w:rsidRPr="0029094A">
              <w:rPr>
                <w:sz w:val="20"/>
                <w:szCs w:val="20"/>
              </w:rPr>
              <w:t xml:space="preserve">, </w:t>
            </w:r>
            <w:r w:rsidR="00C111A0">
              <w:rPr>
                <w:sz w:val="20"/>
                <w:szCs w:val="20"/>
              </w:rPr>
              <w:t xml:space="preserve">a través del otorgamiento de </w:t>
            </w:r>
            <w:r w:rsidR="00AA14E2">
              <w:rPr>
                <w:sz w:val="20"/>
                <w:szCs w:val="20"/>
              </w:rPr>
              <w:t>las constancias de autorización.</w:t>
            </w:r>
            <w:r w:rsidR="00C111A0">
              <w:rPr>
                <w:sz w:val="20"/>
                <w:szCs w:val="20"/>
              </w:rPr>
              <w:t xml:space="preserve"> </w:t>
            </w:r>
          </w:p>
          <w:p w:rsidR="00AA14E2" w:rsidRDefault="00AA14E2" w:rsidP="00AA14E2">
            <w:pPr>
              <w:jc w:val="both"/>
              <w:rPr>
                <w:sz w:val="20"/>
                <w:szCs w:val="20"/>
              </w:rPr>
            </w:pPr>
          </w:p>
          <w:p w:rsidR="006F2857" w:rsidRDefault="00AA14E2" w:rsidP="00D73C0D">
            <w:pPr>
              <w:jc w:val="both"/>
              <w:rPr>
                <w:sz w:val="20"/>
                <w:szCs w:val="20"/>
              </w:rPr>
            </w:pPr>
            <w:r>
              <w:rPr>
                <w:sz w:val="20"/>
                <w:szCs w:val="20"/>
              </w:rPr>
              <w:t xml:space="preserve">A su vez, </w:t>
            </w:r>
            <w:r w:rsidR="00D63C40">
              <w:rPr>
                <w:sz w:val="20"/>
                <w:szCs w:val="20"/>
              </w:rPr>
              <w:t xml:space="preserve">con </w:t>
            </w:r>
            <w:r>
              <w:rPr>
                <w:sz w:val="20"/>
                <w:szCs w:val="20"/>
              </w:rPr>
              <w:t>esta emisión</w:t>
            </w:r>
            <w:r w:rsidR="00D63C40">
              <w:rPr>
                <w:sz w:val="20"/>
                <w:szCs w:val="20"/>
              </w:rPr>
              <w:t xml:space="preserve"> de constancias de autorización, le </w:t>
            </w:r>
            <w:r w:rsidR="009F5EC2">
              <w:rPr>
                <w:sz w:val="20"/>
                <w:szCs w:val="20"/>
              </w:rPr>
              <w:t>permitirá al Estado</w:t>
            </w:r>
            <w:r w:rsidR="00C111A0">
              <w:rPr>
                <w:sz w:val="20"/>
                <w:szCs w:val="20"/>
              </w:rPr>
              <w:t xml:space="preserve"> la obtención de recursos </w:t>
            </w:r>
            <w:r w:rsidR="00771655">
              <w:rPr>
                <w:sz w:val="20"/>
                <w:szCs w:val="20"/>
              </w:rPr>
              <w:t xml:space="preserve">públicos </w:t>
            </w:r>
            <w:r w:rsidR="00C111A0">
              <w:rPr>
                <w:sz w:val="20"/>
                <w:szCs w:val="20"/>
              </w:rPr>
              <w:t>mediante el cobro de contr</w:t>
            </w:r>
            <w:r w:rsidR="009F5EC2">
              <w:rPr>
                <w:sz w:val="20"/>
                <w:szCs w:val="20"/>
              </w:rPr>
              <w:t xml:space="preserve">aprestaciones a los autorizados por el uso del espectro </w:t>
            </w:r>
            <w:r w:rsidR="00D63C40">
              <w:rPr>
                <w:sz w:val="20"/>
                <w:szCs w:val="20"/>
              </w:rPr>
              <w:t xml:space="preserve">radioeléctrico </w:t>
            </w:r>
            <w:r w:rsidR="009F5EC2">
              <w:rPr>
                <w:sz w:val="20"/>
                <w:szCs w:val="20"/>
              </w:rPr>
              <w:t xml:space="preserve">como bien del dominio público de la Nación, </w:t>
            </w:r>
            <w:r w:rsidR="00D73C0D">
              <w:rPr>
                <w:sz w:val="20"/>
                <w:szCs w:val="20"/>
              </w:rPr>
              <w:t>situaci</w:t>
            </w:r>
            <w:r w:rsidR="006F2857">
              <w:rPr>
                <w:sz w:val="20"/>
                <w:szCs w:val="20"/>
              </w:rPr>
              <w:t>ón que previam</w:t>
            </w:r>
            <w:r w:rsidR="003F0B63">
              <w:rPr>
                <w:sz w:val="20"/>
                <w:szCs w:val="20"/>
              </w:rPr>
              <w:t xml:space="preserve">ente no acontecía, por lo tanto, </w:t>
            </w:r>
            <w:r w:rsidR="006F2857">
              <w:rPr>
                <w:sz w:val="20"/>
                <w:szCs w:val="20"/>
              </w:rPr>
              <w:t>su regulación es superior a los costos de su cumplimiento.</w:t>
            </w:r>
          </w:p>
          <w:p w:rsidR="00D73C0D" w:rsidRPr="0029094A" w:rsidRDefault="00D73C0D" w:rsidP="00D73C0D">
            <w:pPr>
              <w:jc w:val="both"/>
              <w:rPr>
                <w:sz w:val="20"/>
                <w:szCs w:val="20"/>
              </w:rPr>
            </w:pPr>
          </w:p>
        </w:tc>
      </w:tr>
    </w:tbl>
    <w:p w:rsidR="00BA7295" w:rsidRDefault="00BA7295" w:rsidP="001932FC">
      <w:pPr>
        <w:jc w:val="both"/>
        <w:rPr>
          <w:sz w:val="20"/>
          <w:szCs w:val="20"/>
        </w:rPr>
      </w:pPr>
    </w:p>
    <w:p w:rsidR="00212D49" w:rsidRPr="0029094A" w:rsidRDefault="00212D49" w:rsidP="001932FC">
      <w:pPr>
        <w:jc w:val="both"/>
        <w:rPr>
          <w:sz w:val="20"/>
          <w:szCs w:val="20"/>
        </w:rPr>
      </w:pPr>
    </w:p>
    <w:p w:rsidR="001932FC" w:rsidRDefault="001932FC" w:rsidP="00A73AD8">
      <w:pPr>
        <w:shd w:val="clear" w:color="auto" w:fill="A8D08D" w:themeFill="accent6" w:themeFillTint="99"/>
        <w:jc w:val="both"/>
      </w:pPr>
      <w:r>
        <w:t>IV. CUMPLIMIENTO Y APLICACIÓN DE LA PROPUESTA.</w:t>
      </w:r>
    </w:p>
    <w:tbl>
      <w:tblPr>
        <w:tblStyle w:val="Tablaconcuadrcula"/>
        <w:tblW w:w="0" w:type="auto"/>
        <w:tblLook w:val="04A0" w:firstRow="1" w:lastRow="0" w:firstColumn="1" w:lastColumn="0" w:noHBand="0" w:noVBand="1"/>
      </w:tblPr>
      <w:tblGrid>
        <w:gridCol w:w="8828"/>
      </w:tblGrid>
      <w:tr w:rsidR="0030055F" w:rsidTr="0030055F">
        <w:tc>
          <w:tcPr>
            <w:tcW w:w="8828" w:type="dxa"/>
          </w:tcPr>
          <w:p w:rsidR="0030055F" w:rsidRPr="003F0B63" w:rsidRDefault="0030055F" w:rsidP="001932FC">
            <w:pPr>
              <w:jc w:val="both"/>
              <w:rPr>
                <w:b/>
                <w:sz w:val="20"/>
              </w:rPr>
            </w:pPr>
            <w:r w:rsidRPr="003F0B63">
              <w:rPr>
                <w:b/>
                <w:sz w:val="20"/>
              </w:rPr>
              <w:t>16.- Describa los recursos, la forma y/o los mecanismos públicos y privados a través de los cuales se implementarán las medidas regulatorias propuestas por el anteproyecto de regulación:</w:t>
            </w:r>
          </w:p>
          <w:p w:rsidR="0030055F" w:rsidRDefault="0030055F" w:rsidP="001932FC">
            <w:pPr>
              <w:jc w:val="both"/>
              <w:rPr>
                <w:sz w:val="20"/>
              </w:rPr>
            </w:pPr>
          </w:p>
          <w:p w:rsidR="00E6045E" w:rsidRDefault="00AF5FF6" w:rsidP="00967A96">
            <w:pPr>
              <w:jc w:val="both"/>
              <w:rPr>
                <w:sz w:val="20"/>
              </w:rPr>
            </w:pPr>
            <w:r>
              <w:rPr>
                <w:sz w:val="20"/>
              </w:rPr>
              <w:t xml:space="preserve">La constancia de autorización del uso </w:t>
            </w:r>
            <w:r w:rsidR="00FE7ABA">
              <w:rPr>
                <w:sz w:val="20"/>
              </w:rPr>
              <w:t xml:space="preserve">secundario </w:t>
            </w:r>
            <w:r>
              <w:rPr>
                <w:sz w:val="20"/>
              </w:rPr>
              <w:t xml:space="preserve">del espectro radioeléctrico para satisfacer necesidades específicas de telecomunicaciones para eventos especiales y </w:t>
            </w:r>
            <w:r w:rsidR="00DD65C7" w:rsidRPr="00DD65C7">
              <w:rPr>
                <w:sz w:val="20"/>
              </w:rPr>
              <w:t xml:space="preserve">para </w:t>
            </w:r>
            <w:r w:rsidR="00782390">
              <w:rPr>
                <w:sz w:val="20"/>
              </w:rPr>
              <w:t>i</w:t>
            </w:r>
            <w:r w:rsidR="00782390" w:rsidRPr="00782390">
              <w:rPr>
                <w:sz w:val="20"/>
              </w:rPr>
              <w:t>nstalaciones destinadas a actividades comerciales o industriales</w:t>
            </w:r>
            <w:r>
              <w:rPr>
                <w:sz w:val="20"/>
              </w:rPr>
              <w:t xml:space="preserve">, prevista en los </w:t>
            </w:r>
            <w:r w:rsidR="00091116">
              <w:rPr>
                <w:sz w:val="20"/>
              </w:rPr>
              <w:t xml:space="preserve">Lineamientos </w:t>
            </w:r>
            <w:r w:rsidR="006B178A">
              <w:rPr>
                <w:sz w:val="20"/>
              </w:rPr>
              <w:t>se realizaría con</w:t>
            </w:r>
            <w:r w:rsidR="00091116">
              <w:rPr>
                <w:sz w:val="20"/>
              </w:rPr>
              <w:t xml:space="preserve"> los recursos </w:t>
            </w:r>
            <w:r w:rsidR="004B2357">
              <w:rPr>
                <w:sz w:val="20"/>
              </w:rPr>
              <w:t>materiales, financieros y humanos</w:t>
            </w:r>
            <w:r w:rsidR="006B178A">
              <w:rPr>
                <w:sz w:val="20"/>
              </w:rPr>
              <w:t xml:space="preserve"> </w:t>
            </w:r>
            <w:r w:rsidR="00E6045E">
              <w:rPr>
                <w:sz w:val="20"/>
              </w:rPr>
              <w:t xml:space="preserve">con los que </w:t>
            </w:r>
            <w:r>
              <w:rPr>
                <w:sz w:val="20"/>
              </w:rPr>
              <w:t xml:space="preserve">actualmente </w:t>
            </w:r>
            <w:r w:rsidR="00E6045E">
              <w:rPr>
                <w:sz w:val="20"/>
              </w:rPr>
              <w:t xml:space="preserve">cuenta </w:t>
            </w:r>
            <w:r w:rsidR="00967A96">
              <w:rPr>
                <w:sz w:val="20"/>
              </w:rPr>
              <w:t>el Instituto</w:t>
            </w:r>
            <w:r>
              <w:rPr>
                <w:sz w:val="20"/>
              </w:rPr>
              <w:t>.</w:t>
            </w:r>
          </w:p>
          <w:p w:rsidR="00E6045E" w:rsidRDefault="00E6045E" w:rsidP="00967A96">
            <w:pPr>
              <w:jc w:val="both"/>
              <w:rPr>
                <w:sz w:val="20"/>
              </w:rPr>
            </w:pPr>
          </w:p>
          <w:p w:rsidR="0030055F" w:rsidRDefault="00967A96" w:rsidP="00967A96">
            <w:pPr>
              <w:jc w:val="both"/>
            </w:pPr>
            <w:r>
              <w:rPr>
                <w:sz w:val="20"/>
              </w:rPr>
              <w:t xml:space="preserve">Para el caso de la autorización del uso </w:t>
            </w:r>
            <w:r w:rsidR="00FE7ABA">
              <w:rPr>
                <w:sz w:val="20"/>
              </w:rPr>
              <w:t xml:space="preserve">secundario </w:t>
            </w:r>
            <w:r>
              <w:rPr>
                <w:sz w:val="20"/>
              </w:rPr>
              <w:t xml:space="preserve">del espectro en </w:t>
            </w:r>
            <w:r w:rsidR="006B178A">
              <w:rPr>
                <w:sz w:val="20"/>
              </w:rPr>
              <w:t>la expedición de los certificados de homologación,</w:t>
            </w:r>
            <w:r>
              <w:rPr>
                <w:sz w:val="20"/>
              </w:rPr>
              <w:t xml:space="preserve"> de igual forma no se tendrían que implementar recursos adicionales para llevar a cabo dicha atribución.</w:t>
            </w:r>
          </w:p>
        </w:tc>
      </w:tr>
    </w:tbl>
    <w:p w:rsidR="00F340D3" w:rsidRDefault="00F340D3" w:rsidP="001932FC">
      <w:pPr>
        <w:jc w:val="both"/>
      </w:pPr>
    </w:p>
    <w:tbl>
      <w:tblPr>
        <w:tblStyle w:val="Tablaconcuadrcula"/>
        <w:tblW w:w="0" w:type="auto"/>
        <w:tblLook w:val="04A0" w:firstRow="1" w:lastRow="0" w:firstColumn="1" w:lastColumn="0" w:noHBand="0" w:noVBand="1"/>
      </w:tblPr>
      <w:tblGrid>
        <w:gridCol w:w="8828"/>
      </w:tblGrid>
      <w:tr w:rsidR="00295E97" w:rsidTr="00295E97">
        <w:tc>
          <w:tcPr>
            <w:tcW w:w="8828" w:type="dxa"/>
          </w:tcPr>
          <w:p w:rsidR="00876D05" w:rsidRPr="003F0B63" w:rsidRDefault="00295E97" w:rsidP="00876D05">
            <w:pPr>
              <w:jc w:val="both"/>
              <w:rPr>
                <w:b/>
                <w:sz w:val="20"/>
              </w:rPr>
            </w:pPr>
            <w:r w:rsidRPr="003F0B63">
              <w:rPr>
                <w:b/>
                <w:sz w:val="20"/>
              </w:rPr>
              <w:t xml:space="preserve">17.- Describa los esquemas de verificación </w:t>
            </w:r>
            <w:r w:rsidR="00E27972" w:rsidRPr="003F0B63">
              <w:rPr>
                <w:b/>
                <w:sz w:val="20"/>
              </w:rPr>
              <w:t>y vigilancia, así como las sanciones que asegurarán el cumplimiento de las</w:t>
            </w:r>
            <w:r w:rsidR="00876D05" w:rsidRPr="003F0B63">
              <w:rPr>
                <w:b/>
                <w:sz w:val="20"/>
              </w:rPr>
              <w:t xml:space="preserve"> medidas propuesta por el anteproyecto de regulación:</w:t>
            </w:r>
          </w:p>
          <w:p w:rsidR="00DE186E" w:rsidRDefault="00DE186E" w:rsidP="00876D05">
            <w:pPr>
              <w:jc w:val="both"/>
            </w:pPr>
          </w:p>
          <w:p w:rsidR="00515CD3" w:rsidRDefault="00B20488" w:rsidP="00B20488">
            <w:pPr>
              <w:jc w:val="both"/>
              <w:rPr>
                <w:sz w:val="20"/>
                <w:szCs w:val="20"/>
              </w:rPr>
            </w:pPr>
            <w:r w:rsidRPr="00F34ACE">
              <w:rPr>
                <w:sz w:val="20"/>
                <w:szCs w:val="20"/>
              </w:rPr>
              <w:t>No se propone un esquema de verificación especial, toda vez que en términos d</w:t>
            </w:r>
            <w:r w:rsidR="00DE186E" w:rsidRPr="00F34ACE">
              <w:rPr>
                <w:sz w:val="20"/>
                <w:szCs w:val="20"/>
              </w:rPr>
              <w:t xml:space="preserve">el artículo 15, fracción XXVII de la LFTR, corresponde al Instituto vigilar el cumplimiento de sus propias resoluciones, </w:t>
            </w:r>
            <w:r w:rsidRPr="00F34ACE">
              <w:rPr>
                <w:sz w:val="20"/>
                <w:szCs w:val="20"/>
              </w:rPr>
              <w:t xml:space="preserve">dentro de los cuales se encuentran </w:t>
            </w:r>
            <w:r w:rsidR="00101FBB" w:rsidRPr="00F34ACE">
              <w:rPr>
                <w:sz w:val="20"/>
                <w:szCs w:val="20"/>
              </w:rPr>
              <w:t xml:space="preserve">los </w:t>
            </w:r>
            <w:r w:rsidRPr="00F34ACE">
              <w:rPr>
                <w:sz w:val="20"/>
                <w:szCs w:val="20"/>
              </w:rPr>
              <w:t>l</w:t>
            </w:r>
            <w:r w:rsidR="00101FBB" w:rsidRPr="00F34ACE">
              <w:rPr>
                <w:sz w:val="20"/>
                <w:szCs w:val="20"/>
              </w:rPr>
              <w:t>ineamientos.</w:t>
            </w:r>
          </w:p>
          <w:p w:rsidR="00422936" w:rsidRDefault="00422936" w:rsidP="00B20488">
            <w:pPr>
              <w:jc w:val="both"/>
              <w:rPr>
                <w:sz w:val="20"/>
                <w:szCs w:val="20"/>
              </w:rPr>
            </w:pPr>
          </w:p>
          <w:p w:rsidR="00C553E6" w:rsidRDefault="00422936" w:rsidP="00C553E6">
            <w:pPr>
              <w:jc w:val="both"/>
              <w:rPr>
                <w:sz w:val="20"/>
              </w:rPr>
            </w:pPr>
            <w:r w:rsidRPr="008E538A">
              <w:rPr>
                <w:sz w:val="20"/>
              </w:rPr>
              <w:t>Por lo que se refiere a las sanciones</w:t>
            </w:r>
            <w:r w:rsidR="00571ADA">
              <w:rPr>
                <w:sz w:val="20"/>
              </w:rPr>
              <w:t>,</w:t>
            </w:r>
            <w:r w:rsidRPr="008E538A">
              <w:rPr>
                <w:sz w:val="20"/>
              </w:rPr>
              <w:t xml:space="preserve"> el artículo 2</w:t>
            </w:r>
            <w:r w:rsidR="00C553E6">
              <w:rPr>
                <w:sz w:val="20"/>
              </w:rPr>
              <w:t>3</w:t>
            </w:r>
            <w:r w:rsidRPr="008E538A">
              <w:rPr>
                <w:sz w:val="20"/>
              </w:rPr>
              <w:t xml:space="preserve"> de los </w:t>
            </w:r>
            <w:r w:rsidR="00FE7ABA">
              <w:rPr>
                <w:sz w:val="20"/>
              </w:rPr>
              <w:t>l</w:t>
            </w:r>
            <w:r w:rsidRPr="008E538A">
              <w:rPr>
                <w:sz w:val="20"/>
              </w:rPr>
              <w:t xml:space="preserve">ineamientos establece que </w:t>
            </w:r>
            <w:r w:rsidR="00C553E6">
              <w:rPr>
                <w:sz w:val="20"/>
              </w:rPr>
              <w:t>el</w:t>
            </w:r>
            <w:r w:rsidR="00C553E6" w:rsidRPr="00C553E6">
              <w:rPr>
                <w:sz w:val="20"/>
              </w:rPr>
              <w:t xml:space="preserve"> Instituto, en todo momento, podrá verificar y supervisar, en el ámbito de su competencia, que el Autorizado cumpla con las condiciones y obligaciones establecidas en la Constancia de Autorización y que no cause interferencias perjudiciales a los servicios concesionados. Para ese efecto, el Autorizado está obligado a permitir y facilitar a los verificadores del Instituto el acceso al domicilio autorizado para el uso secundario de las bandas de frecuencias del espectro radioeléctrico, y a otorgar todas las facilidades, información y documentación para que realicen la verificación en términos de lo establecido en el Título Décimo Cuarto de la Ley</w:t>
            </w:r>
            <w:r w:rsidR="00C553E6">
              <w:rPr>
                <w:sz w:val="20"/>
              </w:rPr>
              <w:t>.</w:t>
            </w:r>
          </w:p>
          <w:p w:rsidR="00C553E6" w:rsidRDefault="00C553E6" w:rsidP="00422936">
            <w:pPr>
              <w:jc w:val="both"/>
              <w:rPr>
                <w:sz w:val="20"/>
              </w:rPr>
            </w:pPr>
          </w:p>
          <w:p w:rsidR="00C155E1" w:rsidRDefault="00422936" w:rsidP="004101F0">
            <w:pPr>
              <w:jc w:val="both"/>
              <w:rPr>
                <w:sz w:val="20"/>
                <w:lang w:val="es-ES"/>
              </w:rPr>
            </w:pPr>
            <w:r w:rsidRPr="008E538A">
              <w:rPr>
                <w:sz w:val="20"/>
                <w:lang w:val="es-ES"/>
              </w:rPr>
              <w:t>Por otra parte, el artículo 2</w:t>
            </w:r>
            <w:r w:rsidR="004101F0">
              <w:rPr>
                <w:sz w:val="20"/>
                <w:lang w:val="es-ES"/>
              </w:rPr>
              <w:t>4</w:t>
            </w:r>
            <w:r w:rsidRPr="008E538A">
              <w:rPr>
                <w:sz w:val="20"/>
                <w:lang w:val="es-ES"/>
              </w:rPr>
              <w:t xml:space="preserve"> </w:t>
            </w:r>
            <w:r w:rsidR="00CD4BDF">
              <w:rPr>
                <w:sz w:val="20"/>
                <w:lang w:val="es-ES"/>
              </w:rPr>
              <w:t xml:space="preserve">de los lineamientos </w:t>
            </w:r>
            <w:r w:rsidRPr="008E538A">
              <w:rPr>
                <w:sz w:val="20"/>
                <w:lang w:val="es-ES"/>
              </w:rPr>
              <w:t xml:space="preserve">señala que </w:t>
            </w:r>
            <w:r w:rsidR="00C155E1">
              <w:rPr>
                <w:sz w:val="20"/>
                <w:lang w:val="es-ES"/>
              </w:rPr>
              <w:t>e</w:t>
            </w:r>
            <w:r w:rsidR="00C155E1" w:rsidRPr="00C155E1">
              <w:rPr>
                <w:sz w:val="20"/>
                <w:lang w:val="es-ES"/>
              </w:rPr>
              <w:t>n caso de que, derivado de la verificación, el Instituto determinara que existe incumplimiento de las condiciones de la Constancia de Autorización o de los presentes Lineamientos por parte del Autorizado, éste será sancionado en términos del Título Décimo Quinto de la Ley.</w:t>
            </w:r>
          </w:p>
          <w:p w:rsidR="00422936" w:rsidRPr="00E07F1A" w:rsidRDefault="00422936" w:rsidP="004101F0">
            <w:pPr>
              <w:jc w:val="both"/>
              <w:rPr>
                <w:sz w:val="20"/>
                <w:lang w:val="es-ES"/>
              </w:rPr>
            </w:pPr>
          </w:p>
        </w:tc>
      </w:tr>
    </w:tbl>
    <w:p w:rsidR="001932FC" w:rsidRDefault="001932FC" w:rsidP="001932FC">
      <w:pPr>
        <w:jc w:val="both"/>
      </w:pPr>
    </w:p>
    <w:p w:rsidR="001932FC" w:rsidRDefault="001932FC" w:rsidP="00A73AD8">
      <w:pPr>
        <w:shd w:val="clear" w:color="auto" w:fill="A8D08D" w:themeFill="accent6" w:themeFillTint="99"/>
        <w:tabs>
          <w:tab w:val="center" w:pos="4419"/>
        </w:tabs>
        <w:jc w:val="both"/>
      </w:pPr>
      <w:r>
        <w:t>V. EVALUACIÓN DE LA PROPUESTA.</w:t>
      </w:r>
      <w:r w:rsidR="00A73AD8">
        <w:tab/>
      </w:r>
    </w:p>
    <w:tbl>
      <w:tblPr>
        <w:tblStyle w:val="Tablaconcuadrcula"/>
        <w:tblW w:w="0" w:type="auto"/>
        <w:tblLook w:val="04A0" w:firstRow="1" w:lastRow="0" w:firstColumn="1" w:lastColumn="0" w:noHBand="0" w:noVBand="1"/>
      </w:tblPr>
      <w:tblGrid>
        <w:gridCol w:w="8828"/>
      </w:tblGrid>
      <w:tr w:rsidR="00876D05" w:rsidTr="00876D05">
        <w:tc>
          <w:tcPr>
            <w:tcW w:w="8828" w:type="dxa"/>
          </w:tcPr>
          <w:p w:rsidR="00876D05" w:rsidRPr="00876D05" w:rsidRDefault="00876D05" w:rsidP="00876D05">
            <w:pPr>
              <w:jc w:val="both"/>
              <w:rPr>
                <w:sz w:val="20"/>
              </w:rPr>
            </w:pPr>
            <w:r w:rsidRPr="003F0B63">
              <w:rPr>
                <w:b/>
                <w:sz w:val="20"/>
              </w:rPr>
              <w:t>18.- Describa la forma y los medios a través de los cuales serán evaluados los logros de los objetivos del anteproyecto de regulación</w:t>
            </w:r>
            <w:r w:rsidR="00870931" w:rsidRPr="003F0B63">
              <w:rPr>
                <w:b/>
                <w:sz w:val="20"/>
              </w:rPr>
              <w:t>, así como el posible plazo para ello</w:t>
            </w:r>
            <w:r w:rsidRPr="00876D05">
              <w:rPr>
                <w:sz w:val="20"/>
              </w:rPr>
              <w:t>:</w:t>
            </w:r>
          </w:p>
          <w:p w:rsidR="00876D05" w:rsidRPr="00876D05" w:rsidRDefault="00876D05" w:rsidP="00876D05">
            <w:pPr>
              <w:jc w:val="both"/>
              <w:rPr>
                <w:sz w:val="20"/>
              </w:rPr>
            </w:pPr>
          </w:p>
          <w:p w:rsidR="003F0B63" w:rsidRDefault="00424BE4" w:rsidP="002C4E04">
            <w:pPr>
              <w:jc w:val="both"/>
              <w:rPr>
                <w:sz w:val="20"/>
                <w:szCs w:val="20"/>
              </w:rPr>
            </w:pPr>
            <w:r w:rsidRPr="00A36F24">
              <w:rPr>
                <w:sz w:val="20"/>
                <w:szCs w:val="20"/>
              </w:rPr>
              <w:t xml:space="preserve">Se </w:t>
            </w:r>
            <w:r w:rsidR="00073F2D" w:rsidRPr="00A36F24">
              <w:rPr>
                <w:sz w:val="20"/>
                <w:szCs w:val="20"/>
              </w:rPr>
              <w:t>conside</w:t>
            </w:r>
            <w:r w:rsidR="003F0B63">
              <w:rPr>
                <w:sz w:val="20"/>
                <w:szCs w:val="20"/>
              </w:rPr>
              <w:t>ra que no aplica este cuestionamiento</w:t>
            </w:r>
            <w:r w:rsidR="00073F2D" w:rsidRPr="00A36F24">
              <w:rPr>
                <w:sz w:val="20"/>
                <w:szCs w:val="20"/>
              </w:rPr>
              <w:t>, ya que los lineamientos pretenden reglamentar la figura</w:t>
            </w:r>
            <w:r w:rsidR="003F0B63">
              <w:rPr>
                <w:sz w:val="20"/>
                <w:szCs w:val="20"/>
              </w:rPr>
              <w:t xml:space="preserve"> jurídica</w:t>
            </w:r>
            <w:r w:rsidR="00073F2D" w:rsidRPr="00A36F24">
              <w:rPr>
                <w:sz w:val="20"/>
                <w:szCs w:val="20"/>
              </w:rPr>
              <w:t xml:space="preserve"> de autoriz</w:t>
            </w:r>
            <w:r w:rsidR="00A64EE1">
              <w:rPr>
                <w:sz w:val="20"/>
                <w:szCs w:val="20"/>
              </w:rPr>
              <w:t>ación de</w:t>
            </w:r>
            <w:r w:rsidR="00CD4BDF">
              <w:rPr>
                <w:sz w:val="20"/>
                <w:szCs w:val="20"/>
              </w:rPr>
              <w:t xml:space="preserve"> uso secundario de las</w:t>
            </w:r>
            <w:r w:rsidR="00A64EE1">
              <w:rPr>
                <w:sz w:val="20"/>
                <w:szCs w:val="20"/>
              </w:rPr>
              <w:t xml:space="preserve"> bandas de frecuencias </w:t>
            </w:r>
            <w:r w:rsidR="003F0B63">
              <w:rPr>
                <w:sz w:val="20"/>
                <w:szCs w:val="20"/>
              </w:rPr>
              <w:t xml:space="preserve">que tenga como objeto </w:t>
            </w:r>
            <w:r w:rsidR="00A64EE1">
              <w:rPr>
                <w:sz w:val="20"/>
                <w:szCs w:val="20"/>
              </w:rPr>
              <w:t>cubrir necesidades específicas de telecomunicaciones durante la realización de eventos</w:t>
            </w:r>
            <w:r w:rsidR="00CD4BDF">
              <w:rPr>
                <w:sz w:val="20"/>
                <w:szCs w:val="20"/>
              </w:rPr>
              <w:t xml:space="preserve"> específicos </w:t>
            </w:r>
            <w:r w:rsidR="00A64EE1">
              <w:rPr>
                <w:sz w:val="20"/>
                <w:szCs w:val="20"/>
              </w:rPr>
              <w:t>y actividades comerciales o industriales</w:t>
            </w:r>
            <w:r w:rsidR="003F0B63">
              <w:rPr>
                <w:sz w:val="20"/>
                <w:szCs w:val="20"/>
              </w:rPr>
              <w:t>.</w:t>
            </w:r>
          </w:p>
          <w:p w:rsidR="003F0B63" w:rsidRDefault="003F0B63" w:rsidP="002C4E04">
            <w:pPr>
              <w:jc w:val="both"/>
              <w:rPr>
                <w:sz w:val="20"/>
                <w:szCs w:val="20"/>
              </w:rPr>
            </w:pPr>
          </w:p>
          <w:p w:rsidR="00C517D6" w:rsidRPr="00F64955" w:rsidRDefault="003F0B63" w:rsidP="002C4E04">
            <w:pPr>
              <w:jc w:val="both"/>
              <w:rPr>
                <w:sz w:val="20"/>
                <w:szCs w:val="20"/>
              </w:rPr>
            </w:pPr>
            <w:r>
              <w:rPr>
                <w:sz w:val="20"/>
                <w:szCs w:val="20"/>
              </w:rPr>
              <w:t xml:space="preserve">Motivo por el cual, los Lineamientos </w:t>
            </w:r>
            <w:r w:rsidR="00F64955">
              <w:rPr>
                <w:sz w:val="20"/>
                <w:szCs w:val="20"/>
              </w:rPr>
              <w:t xml:space="preserve">no tienen como </w:t>
            </w:r>
            <w:r w:rsidR="00F64955" w:rsidRPr="00A36F24">
              <w:rPr>
                <w:sz w:val="20"/>
                <w:szCs w:val="20"/>
              </w:rPr>
              <w:t xml:space="preserve">finalidad </w:t>
            </w:r>
            <w:r w:rsidR="00F64955">
              <w:rPr>
                <w:sz w:val="20"/>
                <w:szCs w:val="20"/>
              </w:rPr>
              <w:t>regular la comercialización de</w:t>
            </w:r>
            <w:r w:rsidR="00F64955" w:rsidRPr="00A36F24">
              <w:rPr>
                <w:sz w:val="20"/>
                <w:szCs w:val="20"/>
              </w:rPr>
              <w:t xml:space="preserve"> servicios públicos de interés general</w:t>
            </w:r>
            <w:r w:rsidR="00CD4BDF">
              <w:rPr>
                <w:sz w:val="20"/>
                <w:szCs w:val="20"/>
              </w:rPr>
              <w:t xml:space="preserve"> de telecomunicaciones o de radiodifusión</w:t>
            </w:r>
            <w:r w:rsidR="00F64955">
              <w:t>.</w:t>
            </w:r>
          </w:p>
        </w:tc>
      </w:tr>
    </w:tbl>
    <w:p w:rsidR="001932FC" w:rsidRDefault="001932FC" w:rsidP="001932FC">
      <w:pPr>
        <w:jc w:val="both"/>
      </w:pPr>
    </w:p>
    <w:p w:rsidR="001932FC" w:rsidRDefault="001932FC" w:rsidP="00A73AD8">
      <w:pPr>
        <w:shd w:val="clear" w:color="auto" w:fill="A8D08D" w:themeFill="accent6" w:themeFillTint="99"/>
        <w:tabs>
          <w:tab w:val="left" w:pos="3645"/>
        </w:tabs>
        <w:jc w:val="both"/>
      </w:pPr>
      <w:r>
        <w:t>VI. CONSULTA PÚBLICA.</w:t>
      </w:r>
      <w:r w:rsidR="00A73AD8">
        <w:tab/>
      </w:r>
    </w:p>
    <w:tbl>
      <w:tblPr>
        <w:tblStyle w:val="Tablaconcuadrcula"/>
        <w:tblW w:w="0" w:type="auto"/>
        <w:tblLook w:val="04A0" w:firstRow="1" w:lastRow="0" w:firstColumn="1" w:lastColumn="0" w:noHBand="0" w:noVBand="1"/>
      </w:tblPr>
      <w:tblGrid>
        <w:gridCol w:w="8828"/>
      </w:tblGrid>
      <w:tr w:rsidR="0086684A" w:rsidTr="0086684A">
        <w:tc>
          <w:tcPr>
            <w:tcW w:w="8828" w:type="dxa"/>
          </w:tcPr>
          <w:p w:rsidR="0086684A" w:rsidRPr="00560CE0" w:rsidRDefault="0086684A" w:rsidP="0086684A">
            <w:pPr>
              <w:jc w:val="both"/>
              <w:rPr>
                <w:b/>
                <w:sz w:val="20"/>
                <w:szCs w:val="20"/>
              </w:rPr>
            </w:pPr>
            <w:r w:rsidRPr="00560CE0">
              <w:rPr>
                <w:b/>
                <w:sz w:val="20"/>
                <w:szCs w:val="20"/>
              </w:rPr>
              <w:t>19.- ¿Se consultó a las partes y/o grupos interesados en la elaboración del presente anteproyecto de regulación?</w:t>
            </w:r>
          </w:p>
          <w:p w:rsidR="0086684A" w:rsidRDefault="0086684A" w:rsidP="0086684A">
            <w:pPr>
              <w:jc w:val="both"/>
              <w:rPr>
                <w:sz w:val="20"/>
                <w:szCs w:val="20"/>
              </w:rPr>
            </w:pPr>
          </w:p>
          <w:p w:rsidR="00654FD1" w:rsidRDefault="000A34DE" w:rsidP="00661700">
            <w:pPr>
              <w:jc w:val="both"/>
              <w:rPr>
                <w:sz w:val="20"/>
                <w:szCs w:val="20"/>
              </w:rPr>
            </w:pPr>
            <w:r>
              <w:rPr>
                <w:sz w:val="20"/>
                <w:szCs w:val="20"/>
              </w:rPr>
              <w:t xml:space="preserve">Sí, </w:t>
            </w:r>
            <w:r w:rsidR="00BA5A86">
              <w:rPr>
                <w:sz w:val="20"/>
                <w:szCs w:val="20"/>
              </w:rPr>
              <w:t xml:space="preserve">con fundamento en el artículo 51 de la Ley, </w:t>
            </w:r>
            <w:r>
              <w:rPr>
                <w:sz w:val="20"/>
                <w:szCs w:val="20"/>
              </w:rPr>
              <w:t xml:space="preserve">se llevó a cabo consulta pública </w:t>
            </w:r>
            <w:r w:rsidR="00C70598">
              <w:rPr>
                <w:sz w:val="20"/>
                <w:szCs w:val="20"/>
              </w:rPr>
              <w:t>del 7 de abril al 29 de mayo de 2017</w:t>
            </w:r>
            <w:r w:rsidR="00654FD1">
              <w:rPr>
                <w:sz w:val="20"/>
                <w:szCs w:val="20"/>
              </w:rPr>
              <w:t>.</w:t>
            </w:r>
          </w:p>
          <w:p w:rsidR="00654FD1" w:rsidRPr="0086684A" w:rsidRDefault="00654FD1" w:rsidP="0086684A">
            <w:pPr>
              <w:jc w:val="both"/>
              <w:rPr>
                <w:sz w:val="20"/>
                <w:szCs w:val="20"/>
              </w:rPr>
            </w:pPr>
          </w:p>
          <w:p w:rsidR="00F565CE" w:rsidRPr="00560CE0" w:rsidRDefault="0086684A" w:rsidP="0086684A">
            <w:pPr>
              <w:jc w:val="both"/>
              <w:rPr>
                <w:b/>
                <w:sz w:val="20"/>
                <w:szCs w:val="20"/>
              </w:rPr>
            </w:pPr>
            <w:r w:rsidRPr="00560CE0">
              <w:rPr>
                <w:b/>
                <w:sz w:val="20"/>
                <w:szCs w:val="20"/>
              </w:rPr>
              <w:t xml:space="preserve">Tipo: </w:t>
            </w:r>
          </w:p>
          <w:p w:rsidR="00F565CE" w:rsidRDefault="00F565CE" w:rsidP="0086684A">
            <w:pPr>
              <w:jc w:val="both"/>
              <w:rPr>
                <w:sz w:val="20"/>
                <w:szCs w:val="20"/>
              </w:rPr>
            </w:pPr>
          </w:p>
          <w:p w:rsidR="0086684A" w:rsidRDefault="000C4524" w:rsidP="0086684A">
            <w:pPr>
              <w:jc w:val="both"/>
              <w:rPr>
                <w:sz w:val="20"/>
                <w:szCs w:val="20"/>
              </w:rPr>
            </w:pPr>
            <w:r>
              <w:rPr>
                <w:sz w:val="20"/>
                <w:szCs w:val="20"/>
              </w:rPr>
              <w:t>S</w:t>
            </w:r>
            <w:r w:rsidR="0086684A" w:rsidRPr="0086684A">
              <w:rPr>
                <w:sz w:val="20"/>
                <w:szCs w:val="20"/>
              </w:rPr>
              <w:t xml:space="preserve">eminarios, conferencias, grupos de trabajo, comités, </w:t>
            </w:r>
            <w:r w:rsidR="0086684A" w:rsidRPr="00E436F1">
              <w:rPr>
                <w:b/>
                <w:sz w:val="20"/>
                <w:szCs w:val="20"/>
                <w:u w:val="single"/>
              </w:rPr>
              <w:t>consulta</w:t>
            </w:r>
            <w:r w:rsidR="0086684A" w:rsidRPr="0086684A">
              <w:rPr>
                <w:sz w:val="20"/>
                <w:szCs w:val="20"/>
              </w:rPr>
              <w:t xml:space="preserve"> intragubernamental, opinión a organismos públicos, asociaciones o centros de investigación </w:t>
            </w:r>
            <w:r w:rsidR="0086684A" w:rsidRPr="0086684A">
              <w:rPr>
                <w:i/>
                <w:sz w:val="20"/>
                <w:szCs w:val="20"/>
              </w:rPr>
              <w:t>“think tanks”</w:t>
            </w:r>
            <w:r w:rsidR="0086684A" w:rsidRPr="0086684A">
              <w:rPr>
                <w:sz w:val="20"/>
                <w:szCs w:val="20"/>
              </w:rPr>
              <w:t>.</w:t>
            </w:r>
          </w:p>
          <w:p w:rsidR="00E436F1" w:rsidRPr="0086684A" w:rsidRDefault="00E436F1" w:rsidP="0086684A">
            <w:pPr>
              <w:jc w:val="both"/>
              <w:rPr>
                <w:sz w:val="20"/>
                <w:szCs w:val="20"/>
              </w:rPr>
            </w:pPr>
          </w:p>
          <w:p w:rsidR="001F42E4" w:rsidRDefault="0086684A" w:rsidP="0086684A">
            <w:pPr>
              <w:jc w:val="both"/>
              <w:rPr>
                <w:sz w:val="20"/>
                <w:szCs w:val="20"/>
              </w:rPr>
            </w:pPr>
            <w:r>
              <w:rPr>
                <w:sz w:val="20"/>
                <w:szCs w:val="20"/>
              </w:rPr>
              <w:t>Nombre del p</w:t>
            </w:r>
            <w:r w:rsidRPr="0086684A">
              <w:rPr>
                <w:sz w:val="20"/>
                <w:szCs w:val="20"/>
              </w:rPr>
              <w:t>articular:</w:t>
            </w:r>
            <w:r w:rsidR="005C78E2">
              <w:rPr>
                <w:sz w:val="20"/>
                <w:szCs w:val="20"/>
              </w:rPr>
              <w:t xml:space="preserve"> </w:t>
            </w:r>
          </w:p>
          <w:p w:rsidR="001F42E4" w:rsidRDefault="001F42E4" w:rsidP="0086684A">
            <w:pPr>
              <w:jc w:val="both"/>
              <w:rPr>
                <w:sz w:val="20"/>
                <w:szCs w:val="20"/>
              </w:rPr>
            </w:pPr>
          </w:p>
          <w:p w:rsidR="001F42E4" w:rsidRPr="001F42E4" w:rsidRDefault="001F42E4" w:rsidP="001F42E4">
            <w:pPr>
              <w:jc w:val="both"/>
              <w:rPr>
                <w:sz w:val="20"/>
                <w:szCs w:val="20"/>
              </w:rPr>
            </w:pPr>
            <w:r w:rsidRPr="001F42E4">
              <w:rPr>
                <w:sz w:val="20"/>
                <w:szCs w:val="20"/>
              </w:rPr>
              <w:t>1.- AT&amp;T Comunicaciones Digitales, S. de R.L. de C.V.</w:t>
            </w:r>
          </w:p>
          <w:p w:rsidR="001F42E4" w:rsidRPr="001F42E4" w:rsidRDefault="001F42E4" w:rsidP="001F42E4">
            <w:pPr>
              <w:jc w:val="both"/>
              <w:rPr>
                <w:sz w:val="20"/>
                <w:szCs w:val="20"/>
              </w:rPr>
            </w:pPr>
            <w:r w:rsidRPr="001F42E4">
              <w:rPr>
                <w:sz w:val="20"/>
                <w:szCs w:val="20"/>
              </w:rPr>
              <w:t>2.- Cámara Nacional de la Industria Electrónica, de Telecomunicaciones y Tecnologías de la Información.</w:t>
            </w:r>
          </w:p>
          <w:p w:rsidR="001F42E4" w:rsidRPr="001F42E4" w:rsidRDefault="001F42E4" w:rsidP="001F42E4">
            <w:pPr>
              <w:jc w:val="both"/>
              <w:rPr>
                <w:sz w:val="20"/>
                <w:szCs w:val="20"/>
              </w:rPr>
            </w:pPr>
            <w:r w:rsidRPr="001F42E4">
              <w:rPr>
                <w:sz w:val="20"/>
                <w:szCs w:val="20"/>
              </w:rPr>
              <w:t>3.- Clara Luz Álvarez González de Castilla.</w:t>
            </w:r>
          </w:p>
          <w:p w:rsidR="001F42E4" w:rsidRPr="001F42E4" w:rsidRDefault="001F42E4" w:rsidP="001F42E4">
            <w:pPr>
              <w:jc w:val="both"/>
              <w:rPr>
                <w:sz w:val="20"/>
                <w:szCs w:val="20"/>
              </w:rPr>
            </w:pPr>
            <w:r w:rsidRPr="001F42E4">
              <w:rPr>
                <w:sz w:val="20"/>
                <w:szCs w:val="20"/>
              </w:rPr>
              <w:t>4.- Dr. Luis Miguel Martínez Cervantes.</w:t>
            </w:r>
          </w:p>
          <w:p w:rsidR="001F42E4" w:rsidRPr="001F42E4" w:rsidRDefault="001F42E4" w:rsidP="001F42E4">
            <w:pPr>
              <w:jc w:val="both"/>
              <w:rPr>
                <w:sz w:val="20"/>
                <w:szCs w:val="20"/>
              </w:rPr>
            </w:pPr>
            <w:r w:rsidRPr="001F42E4">
              <w:rPr>
                <w:sz w:val="20"/>
                <w:szCs w:val="20"/>
              </w:rPr>
              <w:t>5.- General Motors de México, S. de R.L. de C.V.</w:t>
            </w:r>
          </w:p>
          <w:p w:rsidR="001F42E4" w:rsidRPr="001F42E4" w:rsidRDefault="001F42E4" w:rsidP="001F42E4">
            <w:pPr>
              <w:jc w:val="both"/>
              <w:rPr>
                <w:sz w:val="20"/>
                <w:szCs w:val="20"/>
              </w:rPr>
            </w:pPr>
            <w:r w:rsidRPr="001F42E4">
              <w:rPr>
                <w:sz w:val="20"/>
                <w:szCs w:val="20"/>
              </w:rPr>
              <w:t>6.- Motorola Solutions de México, S.A.</w:t>
            </w:r>
          </w:p>
          <w:p w:rsidR="001F42E4" w:rsidRPr="001F42E4" w:rsidRDefault="001F42E4" w:rsidP="001F42E4">
            <w:pPr>
              <w:jc w:val="both"/>
              <w:rPr>
                <w:sz w:val="20"/>
                <w:szCs w:val="20"/>
              </w:rPr>
            </w:pPr>
            <w:r w:rsidRPr="001F42E4">
              <w:rPr>
                <w:sz w:val="20"/>
                <w:szCs w:val="20"/>
              </w:rPr>
              <w:t>7.- Normalización y Certificación Electrónica, S.C.</w:t>
            </w:r>
          </w:p>
          <w:p w:rsidR="001F42E4" w:rsidRPr="001F42E4" w:rsidRDefault="001F42E4" w:rsidP="001F42E4">
            <w:pPr>
              <w:jc w:val="both"/>
              <w:rPr>
                <w:sz w:val="20"/>
                <w:szCs w:val="20"/>
              </w:rPr>
            </w:pPr>
            <w:r w:rsidRPr="001F42E4">
              <w:rPr>
                <w:sz w:val="20"/>
                <w:szCs w:val="20"/>
              </w:rPr>
              <w:t>8.- Cynthia Valdez Gómez, José Oropeza García, Adriana Cortes Espidio y David Bárcenas Fernández.</w:t>
            </w:r>
          </w:p>
          <w:p w:rsidR="001F42E4" w:rsidRPr="001F42E4" w:rsidRDefault="001F42E4" w:rsidP="001F42E4">
            <w:pPr>
              <w:jc w:val="both"/>
              <w:rPr>
                <w:sz w:val="20"/>
                <w:szCs w:val="20"/>
              </w:rPr>
            </w:pPr>
            <w:r w:rsidRPr="001F42E4">
              <w:rPr>
                <w:sz w:val="20"/>
                <w:szCs w:val="20"/>
              </w:rPr>
              <w:t xml:space="preserve">9.- Pegaso </w:t>
            </w:r>
            <w:r w:rsidR="0002656E" w:rsidRPr="001F42E4">
              <w:rPr>
                <w:sz w:val="20"/>
                <w:szCs w:val="20"/>
              </w:rPr>
              <w:t>PCS</w:t>
            </w:r>
            <w:r w:rsidRPr="001F42E4">
              <w:rPr>
                <w:sz w:val="20"/>
                <w:szCs w:val="20"/>
              </w:rPr>
              <w:t>, S.A. de C.V.</w:t>
            </w:r>
          </w:p>
          <w:p w:rsidR="001F42E4" w:rsidRPr="001F42E4" w:rsidRDefault="001F42E4" w:rsidP="001F42E4">
            <w:pPr>
              <w:jc w:val="both"/>
              <w:rPr>
                <w:sz w:val="20"/>
                <w:szCs w:val="20"/>
              </w:rPr>
            </w:pPr>
            <w:r w:rsidRPr="001F42E4">
              <w:rPr>
                <w:sz w:val="20"/>
                <w:szCs w:val="20"/>
              </w:rPr>
              <w:t>10.- Redes por la Diversidad, Equidad y Sustentabilidad, A.C.</w:t>
            </w:r>
          </w:p>
          <w:p w:rsidR="001F42E4" w:rsidRPr="001F42E4" w:rsidRDefault="001F42E4" w:rsidP="001F42E4">
            <w:pPr>
              <w:jc w:val="both"/>
              <w:rPr>
                <w:sz w:val="20"/>
                <w:szCs w:val="20"/>
              </w:rPr>
            </w:pPr>
            <w:r w:rsidRPr="001F42E4">
              <w:rPr>
                <w:sz w:val="20"/>
                <w:szCs w:val="20"/>
              </w:rPr>
              <w:t>11.- Teleimagen del Noroeste, S.A. de C.V.</w:t>
            </w:r>
          </w:p>
          <w:p w:rsidR="001F42E4" w:rsidRPr="001F42E4" w:rsidRDefault="001F42E4" w:rsidP="001F42E4">
            <w:pPr>
              <w:jc w:val="both"/>
              <w:rPr>
                <w:sz w:val="20"/>
                <w:szCs w:val="20"/>
              </w:rPr>
            </w:pPr>
            <w:r w:rsidRPr="001F42E4">
              <w:rPr>
                <w:sz w:val="20"/>
                <w:szCs w:val="20"/>
              </w:rPr>
              <w:t>12.- Teléfonos de México, S.A.B. de C.V.</w:t>
            </w:r>
          </w:p>
          <w:p w:rsidR="001F42E4" w:rsidRPr="001F42E4" w:rsidRDefault="001F42E4" w:rsidP="001F42E4">
            <w:pPr>
              <w:jc w:val="both"/>
              <w:rPr>
                <w:sz w:val="20"/>
                <w:szCs w:val="20"/>
              </w:rPr>
            </w:pPr>
            <w:r w:rsidRPr="001F42E4">
              <w:rPr>
                <w:sz w:val="20"/>
                <w:szCs w:val="20"/>
              </w:rPr>
              <w:t>13.- Televisión Azteca, S.A. de C.V.</w:t>
            </w:r>
          </w:p>
          <w:p w:rsidR="001F42E4" w:rsidRDefault="001F42E4" w:rsidP="001F42E4">
            <w:pPr>
              <w:jc w:val="both"/>
              <w:rPr>
                <w:sz w:val="20"/>
                <w:szCs w:val="20"/>
              </w:rPr>
            </w:pPr>
            <w:r w:rsidRPr="001F42E4">
              <w:rPr>
                <w:sz w:val="20"/>
                <w:szCs w:val="20"/>
              </w:rPr>
              <w:t>14.- Servicios Administrativos Peñoles, S.A. DE C.V.</w:t>
            </w:r>
          </w:p>
          <w:p w:rsidR="001F42E4" w:rsidRDefault="001F42E4" w:rsidP="0086684A">
            <w:pPr>
              <w:jc w:val="both"/>
              <w:rPr>
                <w:sz w:val="20"/>
                <w:szCs w:val="20"/>
              </w:rPr>
            </w:pPr>
          </w:p>
          <w:p w:rsidR="008255C1" w:rsidRPr="00560CE0" w:rsidRDefault="0086684A" w:rsidP="0086684A">
            <w:pPr>
              <w:jc w:val="both"/>
              <w:rPr>
                <w:b/>
                <w:sz w:val="20"/>
                <w:szCs w:val="20"/>
              </w:rPr>
            </w:pPr>
            <w:r w:rsidRPr="00560CE0">
              <w:rPr>
                <w:b/>
                <w:sz w:val="20"/>
                <w:szCs w:val="20"/>
              </w:rPr>
              <w:t>Opinión expuesta:</w:t>
            </w:r>
            <w:r w:rsidR="005C78E2" w:rsidRPr="00560CE0">
              <w:rPr>
                <w:b/>
                <w:sz w:val="20"/>
                <w:szCs w:val="20"/>
              </w:rPr>
              <w:t xml:space="preserve"> </w:t>
            </w:r>
          </w:p>
          <w:p w:rsidR="008255C1" w:rsidRDefault="008255C1" w:rsidP="0086684A">
            <w:pPr>
              <w:jc w:val="both"/>
              <w:rPr>
                <w:sz w:val="20"/>
                <w:szCs w:val="20"/>
              </w:rPr>
            </w:pPr>
          </w:p>
          <w:p w:rsidR="0086684A" w:rsidRDefault="0003590C" w:rsidP="0086684A">
            <w:pPr>
              <w:jc w:val="both"/>
              <w:rPr>
                <w:sz w:val="20"/>
                <w:szCs w:val="20"/>
              </w:rPr>
            </w:pPr>
            <w:r>
              <w:rPr>
                <w:sz w:val="20"/>
                <w:szCs w:val="20"/>
              </w:rPr>
              <w:t>Los participantes</w:t>
            </w:r>
            <w:r w:rsidR="00BA5A86">
              <w:rPr>
                <w:sz w:val="20"/>
                <w:szCs w:val="20"/>
              </w:rPr>
              <w:t xml:space="preserve"> de la consulta pública</w:t>
            </w:r>
            <w:r w:rsidR="00560CE0">
              <w:rPr>
                <w:sz w:val="20"/>
                <w:szCs w:val="20"/>
              </w:rPr>
              <w:t xml:space="preserve"> </w:t>
            </w:r>
            <w:r w:rsidR="00581CA4">
              <w:rPr>
                <w:sz w:val="20"/>
                <w:szCs w:val="20"/>
              </w:rPr>
              <w:t>emitieron diversos comen</w:t>
            </w:r>
            <w:r w:rsidR="00560CE0">
              <w:rPr>
                <w:sz w:val="20"/>
                <w:szCs w:val="20"/>
              </w:rPr>
              <w:t xml:space="preserve">tarios a favor </w:t>
            </w:r>
            <w:r>
              <w:rPr>
                <w:sz w:val="20"/>
                <w:szCs w:val="20"/>
              </w:rPr>
              <w:t>e</w:t>
            </w:r>
            <w:r w:rsidR="00581CA4">
              <w:rPr>
                <w:sz w:val="20"/>
                <w:szCs w:val="20"/>
              </w:rPr>
              <w:t xml:space="preserve"> hicieron</w:t>
            </w:r>
            <w:r w:rsidR="00560CE0">
              <w:rPr>
                <w:sz w:val="20"/>
                <w:szCs w:val="20"/>
              </w:rPr>
              <w:t xml:space="preserve"> algunas</w:t>
            </w:r>
            <w:r w:rsidR="00581CA4">
              <w:rPr>
                <w:sz w:val="20"/>
                <w:szCs w:val="20"/>
              </w:rPr>
              <w:t xml:space="preserve"> recomendaciones de carácter gen</w:t>
            </w:r>
            <w:r>
              <w:rPr>
                <w:sz w:val="20"/>
                <w:szCs w:val="20"/>
              </w:rPr>
              <w:t>eral</w:t>
            </w:r>
            <w:r w:rsidR="00560CE0">
              <w:rPr>
                <w:sz w:val="20"/>
                <w:szCs w:val="20"/>
              </w:rPr>
              <w:t xml:space="preserve"> al proyecto.</w:t>
            </w:r>
          </w:p>
          <w:p w:rsidR="008255C1" w:rsidRDefault="008255C1" w:rsidP="0086684A">
            <w:pPr>
              <w:jc w:val="both"/>
              <w:rPr>
                <w:sz w:val="20"/>
                <w:szCs w:val="20"/>
              </w:rPr>
            </w:pPr>
          </w:p>
          <w:p w:rsidR="00560CE0" w:rsidRDefault="00A73AD8" w:rsidP="0086684A">
            <w:pPr>
              <w:jc w:val="both"/>
              <w:rPr>
                <w:sz w:val="20"/>
                <w:szCs w:val="20"/>
              </w:rPr>
            </w:pPr>
            <w:r w:rsidRPr="00560CE0">
              <w:rPr>
                <w:b/>
                <w:sz w:val="20"/>
                <w:szCs w:val="20"/>
              </w:rPr>
              <w:t>¿Fue incluida o no incluida?</w:t>
            </w:r>
            <w:r w:rsidR="00A4180F">
              <w:rPr>
                <w:sz w:val="20"/>
                <w:szCs w:val="20"/>
              </w:rPr>
              <w:t xml:space="preserve"> </w:t>
            </w:r>
          </w:p>
          <w:p w:rsidR="00560CE0" w:rsidRDefault="00560CE0" w:rsidP="0086684A">
            <w:pPr>
              <w:jc w:val="both"/>
              <w:rPr>
                <w:sz w:val="20"/>
                <w:szCs w:val="20"/>
              </w:rPr>
            </w:pPr>
          </w:p>
          <w:p w:rsidR="00A73AD8" w:rsidRDefault="00A4180F" w:rsidP="0086684A">
            <w:pPr>
              <w:jc w:val="both"/>
              <w:rPr>
                <w:sz w:val="20"/>
                <w:szCs w:val="20"/>
              </w:rPr>
            </w:pPr>
            <w:r>
              <w:rPr>
                <w:sz w:val="20"/>
                <w:szCs w:val="20"/>
              </w:rPr>
              <w:t>Si, c</w:t>
            </w:r>
            <w:r w:rsidRPr="00A4180F">
              <w:rPr>
                <w:sz w:val="20"/>
                <w:szCs w:val="20"/>
              </w:rPr>
              <w:t>oncluido el plazo de la consulta pública, se analizaron los comentarios, opiniones y propuestas, siendo incorporados a los lineamientos aquellos que se consideraron procedentes</w:t>
            </w:r>
            <w:r>
              <w:rPr>
                <w:sz w:val="20"/>
                <w:szCs w:val="20"/>
              </w:rPr>
              <w:t>.</w:t>
            </w:r>
          </w:p>
          <w:p w:rsidR="007E4FAE" w:rsidRDefault="007E4FAE" w:rsidP="0086684A">
            <w:pPr>
              <w:jc w:val="both"/>
              <w:rPr>
                <w:sz w:val="20"/>
                <w:szCs w:val="20"/>
              </w:rPr>
            </w:pPr>
          </w:p>
          <w:p w:rsidR="00F565CE" w:rsidRDefault="00A73AD8" w:rsidP="008255C1">
            <w:pPr>
              <w:jc w:val="both"/>
              <w:rPr>
                <w:sz w:val="20"/>
                <w:szCs w:val="20"/>
              </w:rPr>
            </w:pPr>
            <w:r w:rsidRPr="00560CE0">
              <w:rPr>
                <w:b/>
                <w:sz w:val="20"/>
                <w:szCs w:val="20"/>
              </w:rPr>
              <w:t>Justificación</w:t>
            </w:r>
            <w:r>
              <w:rPr>
                <w:sz w:val="20"/>
                <w:szCs w:val="20"/>
              </w:rPr>
              <w:t>:</w:t>
            </w:r>
            <w:r w:rsidR="00EF476B">
              <w:rPr>
                <w:sz w:val="20"/>
                <w:szCs w:val="20"/>
              </w:rPr>
              <w:t xml:space="preserve"> </w:t>
            </w:r>
          </w:p>
          <w:p w:rsidR="00F565CE" w:rsidRDefault="00F565CE" w:rsidP="008255C1">
            <w:pPr>
              <w:jc w:val="both"/>
              <w:rPr>
                <w:sz w:val="20"/>
                <w:szCs w:val="20"/>
              </w:rPr>
            </w:pPr>
          </w:p>
          <w:p w:rsidR="00EF476B" w:rsidRDefault="00EF476B" w:rsidP="008255C1">
            <w:pPr>
              <w:jc w:val="both"/>
              <w:rPr>
                <w:sz w:val="20"/>
                <w:szCs w:val="20"/>
              </w:rPr>
            </w:pPr>
            <w:r>
              <w:rPr>
                <w:sz w:val="20"/>
                <w:szCs w:val="20"/>
              </w:rPr>
              <w:t>E</w:t>
            </w:r>
            <w:r w:rsidRPr="00EF476B">
              <w:rPr>
                <w:sz w:val="20"/>
                <w:szCs w:val="20"/>
              </w:rPr>
              <w:t xml:space="preserve">l artículo 51 de la Ley determina </w:t>
            </w:r>
            <w:r w:rsidR="0003590C" w:rsidRPr="00EF476B">
              <w:rPr>
                <w:sz w:val="20"/>
                <w:szCs w:val="20"/>
              </w:rPr>
              <w:t>que,</w:t>
            </w:r>
            <w:r w:rsidRPr="00EF476B">
              <w:rPr>
                <w:sz w:val="20"/>
                <w:szCs w:val="20"/>
              </w:rPr>
              <w:t xml:space="preserve"> para la emisión y modificación de reglas, lineamientos o disposiciones de carácter general, así como en cualquier caso que determine el Pleno, el Instituto deberá realizar consultas públicas bajo los principios de transparencia y participación ciudadana</w:t>
            </w:r>
            <w:r w:rsidR="007C23DE">
              <w:rPr>
                <w:sz w:val="20"/>
                <w:szCs w:val="20"/>
              </w:rPr>
              <w:t>.</w:t>
            </w:r>
          </w:p>
          <w:p w:rsidR="007C23DE" w:rsidRDefault="007C23DE" w:rsidP="008255C1">
            <w:pPr>
              <w:jc w:val="both"/>
              <w:rPr>
                <w:sz w:val="20"/>
                <w:szCs w:val="20"/>
              </w:rPr>
            </w:pPr>
          </w:p>
          <w:p w:rsidR="00A73AD8" w:rsidRPr="000F0F67" w:rsidRDefault="007C23DE" w:rsidP="008255C1">
            <w:pPr>
              <w:jc w:val="both"/>
              <w:rPr>
                <w:sz w:val="20"/>
                <w:szCs w:val="20"/>
              </w:rPr>
            </w:pPr>
            <w:r w:rsidRPr="007C23DE">
              <w:rPr>
                <w:sz w:val="20"/>
                <w:szCs w:val="20"/>
              </w:rPr>
              <w:t>En este contexto, al someter a consulta pública el Anteproyecto, se busc</w:t>
            </w:r>
            <w:r w:rsidR="00D01ADC">
              <w:rPr>
                <w:sz w:val="20"/>
                <w:szCs w:val="20"/>
              </w:rPr>
              <w:t>ó</w:t>
            </w:r>
            <w:r w:rsidRPr="007C23DE">
              <w:rPr>
                <w:sz w:val="20"/>
                <w:szCs w:val="20"/>
              </w:rPr>
              <w:t xml:space="preserve"> alcanzar</w:t>
            </w:r>
            <w:r w:rsidR="008F7059">
              <w:rPr>
                <w:sz w:val="20"/>
                <w:szCs w:val="20"/>
              </w:rPr>
              <w:t xml:space="preserve"> e</w:t>
            </w:r>
            <w:r w:rsidRPr="007C23DE">
              <w:rPr>
                <w:sz w:val="20"/>
                <w:szCs w:val="20"/>
              </w:rPr>
              <w:t>l objetivo</w:t>
            </w:r>
            <w:r w:rsidR="008F7059">
              <w:rPr>
                <w:sz w:val="20"/>
                <w:szCs w:val="20"/>
              </w:rPr>
              <w:t xml:space="preserve"> de o</w:t>
            </w:r>
            <w:r w:rsidRPr="007C23DE">
              <w:rPr>
                <w:sz w:val="20"/>
                <w:szCs w:val="20"/>
              </w:rPr>
              <w:t xml:space="preserve">btener la opinión de los interesados respecto de la viabilidad de emitir la </w:t>
            </w:r>
            <w:r w:rsidR="008F7059">
              <w:rPr>
                <w:sz w:val="20"/>
                <w:szCs w:val="20"/>
              </w:rPr>
              <w:t>C</w:t>
            </w:r>
            <w:r w:rsidRPr="007C23DE">
              <w:rPr>
                <w:sz w:val="20"/>
                <w:szCs w:val="20"/>
              </w:rPr>
              <w:t xml:space="preserve">onstancia de </w:t>
            </w:r>
            <w:r w:rsidR="008F7059">
              <w:rPr>
                <w:sz w:val="20"/>
                <w:szCs w:val="20"/>
              </w:rPr>
              <w:t>A</w:t>
            </w:r>
            <w:r w:rsidRPr="007C23DE">
              <w:rPr>
                <w:sz w:val="20"/>
                <w:szCs w:val="20"/>
              </w:rPr>
              <w:t xml:space="preserve">utorización por parte del Instituto para el uso </w:t>
            </w:r>
            <w:r w:rsidR="008F7059">
              <w:rPr>
                <w:sz w:val="20"/>
                <w:szCs w:val="20"/>
              </w:rPr>
              <w:t xml:space="preserve">secundario </w:t>
            </w:r>
            <w:r w:rsidRPr="007C23DE">
              <w:rPr>
                <w:sz w:val="20"/>
                <w:szCs w:val="20"/>
              </w:rPr>
              <w:t>de bandas de frecuencias del espectro radioeléctrico.</w:t>
            </w:r>
          </w:p>
        </w:tc>
      </w:tr>
    </w:tbl>
    <w:p w:rsidR="0086684A" w:rsidRDefault="0086684A" w:rsidP="0086684A">
      <w:pPr>
        <w:jc w:val="both"/>
      </w:pPr>
    </w:p>
    <w:p w:rsidR="00A73AD8" w:rsidRDefault="00A73AD8" w:rsidP="00A73AD8">
      <w:pPr>
        <w:shd w:val="clear" w:color="auto" w:fill="A8D08D" w:themeFill="accent6" w:themeFillTint="99"/>
        <w:jc w:val="both"/>
      </w:pPr>
      <w: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Tr="00A73AD8">
        <w:tc>
          <w:tcPr>
            <w:tcW w:w="8828" w:type="dxa"/>
          </w:tcPr>
          <w:p w:rsidR="00B74C55" w:rsidRDefault="00A73AD8" w:rsidP="00A73AD8">
            <w:pPr>
              <w:jc w:val="both"/>
              <w:rPr>
                <w:sz w:val="20"/>
              </w:rPr>
            </w:pPr>
            <w:r w:rsidRPr="00560CE0">
              <w:rPr>
                <w:b/>
                <w:sz w:val="20"/>
              </w:rPr>
              <w:t xml:space="preserve">20.- Enliste </w:t>
            </w:r>
            <w:r w:rsidR="00B74C55" w:rsidRPr="00560CE0">
              <w:rPr>
                <w:b/>
                <w:sz w:val="20"/>
              </w:rPr>
              <w:t>los datos bibliográficos o las direcciones electrónicas consultadas para el diseño y redacción del anteproyecto de regulación</w:t>
            </w:r>
            <w:r w:rsidR="00B74C55">
              <w:rPr>
                <w:sz w:val="20"/>
              </w:rPr>
              <w:t>.</w:t>
            </w:r>
          </w:p>
          <w:p w:rsidR="00A73AD8" w:rsidRDefault="00A73AD8" w:rsidP="0086684A">
            <w:pPr>
              <w:jc w:val="both"/>
              <w:rPr>
                <w:sz w:val="20"/>
              </w:rPr>
            </w:pPr>
          </w:p>
          <w:p w:rsidR="00DB5273" w:rsidRPr="00DB5273" w:rsidRDefault="00DB5273" w:rsidP="00DB5273">
            <w:pPr>
              <w:jc w:val="both"/>
              <w:rPr>
                <w:sz w:val="20"/>
                <w:lang w:val="en-US"/>
              </w:rPr>
            </w:pPr>
            <w:r w:rsidRPr="00DB5273">
              <w:rPr>
                <w:sz w:val="20"/>
                <w:lang w:val="en-US"/>
              </w:rPr>
              <w:t>Law No. 12.035/09 of October 1, 2009 (the Olympic Act)</w:t>
            </w:r>
            <w:r>
              <w:rPr>
                <w:sz w:val="20"/>
                <w:lang w:val="en-US"/>
              </w:rPr>
              <w:t>:</w:t>
            </w:r>
          </w:p>
          <w:p w:rsidR="00DB5273" w:rsidRDefault="00DB5273" w:rsidP="00DB5273">
            <w:pPr>
              <w:jc w:val="both"/>
              <w:rPr>
                <w:sz w:val="20"/>
              </w:rPr>
            </w:pPr>
            <w:r w:rsidRPr="00DB5273">
              <w:rPr>
                <w:sz w:val="20"/>
              </w:rPr>
              <w:t>http://www.wipo.int/wipolex/en/details.jsp?id=16230 (última consulta 17 de agosto de 2017).</w:t>
            </w:r>
          </w:p>
          <w:p w:rsidR="00DB5273" w:rsidRPr="00DB5273" w:rsidRDefault="00DB5273" w:rsidP="00DB5273">
            <w:pPr>
              <w:jc w:val="both"/>
              <w:rPr>
                <w:sz w:val="20"/>
              </w:rPr>
            </w:pPr>
          </w:p>
          <w:p w:rsidR="00DB5273" w:rsidRPr="00DB5273" w:rsidRDefault="00DB5273" w:rsidP="00DB5273">
            <w:pPr>
              <w:jc w:val="both"/>
              <w:rPr>
                <w:sz w:val="20"/>
                <w:lang w:val="en-US"/>
              </w:rPr>
            </w:pPr>
            <w:r w:rsidRPr="00DB5273">
              <w:rPr>
                <w:sz w:val="20"/>
                <w:lang w:val="en-US"/>
              </w:rPr>
              <w:t>Ofcom. New Spectrum for Audio PMSE</w:t>
            </w:r>
            <w:r>
              <w:rPr>
                <w:sz w:val="20"/>
                <w:lang w:val="en-US"/>
              </w:rPr>
              <w:t xml:space="preserve">: </w:t>
            </w:r>
          </w:p>
          <w:p w:rsidR="0062308D" w:rsidRDefault="00DB5273" w:rsidP="00DB5273">
            <w:pPr>
              <w:jc w:val="both"/>
              <w:rPr>
                <w:sz w:val="20"/>
              </w:rPr>
            </w:pPr>
            <w:r w:rsidRPr="00DB5273">
              <w:rPr>
                <w:sz w:val="20"/>
              </w:rPr>
              <w:t>https://www.ofcom.org.uk/__data/assets/pdf_file/0021/62481/New-Spectrum-for-Audio-PMSE-statement.pdf (última consulta 17 de agosto de 2017).</w:t>
            </w:r>
          </w:p>
          <w:p w:rsidR="00DB5273" w:rsidRDefault="00DB5273" w:rsidP="00DB5273">
            <w:pPr>
              <w:jc w:val="both"/>
              <w:rPr>
                <w:sz w:val="20"/>
              </w:rPr>
            </w:pPr>
          </w:p>
          <w:p w:rsidR="00816D17" w:rsidRDefault="00816D17" w:rsidP="00816D17">
            <w:pPr>
              <w:jc w:val="both"/>
              <w:rPr>
                <w:rStyle w:val="Hipervnculo"/>
                <w:sz w:val="20"/>
              </w:rPr>
            </w:pPr>
            <w:r w:rsidRPr="00816D17">
              <w:rPr>
                <w:sz w:val="20"/>
              </w:rPr>
              <w:t>Parámetros técnicos y de funcionamiento de los dispositivos de radiocomunicaciones de corto alcance y utilización del espectro por los mismos.</w:t>
            </w:r>
            <w:r>
              <w:t xml:space="preserve">  </w:t>
            </w:r>
            <w:hyperlink r:id="rId11" w:history="1">
              <w:r w:rsidRPr="00816D17">
                <w:rPr>
                  <w:rStyle w:val="Hipervnculo"/>
                  <w:sz w:val="20"/>
                </w:rPr>
                <w:t>http://www.itu.int/pub/R-REP-SM.2153-5-2015</w:t>
              </w:r>
            </w:hyperlink>
          </w:p>
          <w:p w:rsidR="00816D17" w:rsidRPr="00870931" w:rsidRDefault="00816D17" w:rsidP="00816D17">
            <w:pPr>
              <w:jc w:val="both"/>
            </w:pPr>
          </w:p>
          <w:p w:rsidR="0062308D" w:rsidRDefault="0062308D" w:rsidP="0086684A">
            <w:pPr>
              <w:jc w:val="both"/>
              <w:rPr>
                <w:sz w:val="20"/>
              </w:rPr>
            </w:pPr>
            <w:r w:rsidRPr="0062308D">
              <w:rPr>
                <w:sz w:val="20"/>
              </w:rPr>
              <w:t>Artículos 6o. y 28, párrafos</w:t>
            </w:r>
            <w:r w:rsidR="009E2A99">
              <w:rPr>
                <w:sz w:val="20"/>
              </w:rPr>
              <w:t>,</w:t>
            </w:r>
            <w:r w:rsidRPr="0062308D">
              <w:rPr>
                <w:sz w:val="20"/>
              </w:rPr>
              <w:t xml:space="preserve"> décimo sexto, décimo séptimo, décimo octavo y la fracción IV del párrafo vigésimo primero de la Constitución Política de los Estados Unidos Mexicanos; </w:t>
            </w:r>
          </w:p>
          <w:p w:rsidR="0062308D" w:rsidRDefault="0062308D" w:rsidP="0086684A">
            <w:pPr>
              <w:jc w:val="both"/>
              <w:rPr>
                <w:sz w:val="20"/>
              </w:rPr>
            </w:pPr>
          </w:p>
          <w:p w:rsidR="0062308D" w:rsidRDefault="0062308D" w:rsidP="0086684A">
            <w:pPr>
              <w:jc w:val="both"/>
              <w:rPr>
                <w:sz w:val="20"/>
              </w:rPr>
            </w:pPr>
            <w:r>
              <w:rPr>
                <w:sz w:val="20"/>
              </w:rPr>
              <w:t xml:space="preserve">Artículos </w:t>
            </w:r>
            <w:r w:rsidRPr="0062308D">
              <w:rPr>
                <w:sz w:val="20"/>
              </w:rPr>
              <w:t>1, 2, 3, fracciones LXV, y LXVIII, 7, 15 fracción I, 17, fracción I, 51, 54, 55, 56, 57 fracciones I y II, 58, 76, 79 fracción IV, y 104 de la Ley Federal de Telecomunicaciones y Radiodifusión;</w:t>
            </w:r>
          </w:p>
          <w:p w:rsidR="0062308D" w:rsidRDefault="0062308D" w:rsidP="0086684A">
            <w:pPr>
              <w:jc w:val="both"/>
              <w:rPr>
                <w:sz w:val="20"/>
              </w:rPr>
            </w:pPr>
          </w:p>
          <w:p w:rsidR="0062308D" w:rsidRDefault="0062308D" w:rsidP="0086684A">
            <w:pPr>
              <w:jc w:val="both"/>
              <w:rPr>
                <w:sz w:val="20"/>
              </w:rPr>
            </w:pPr>
            <w:r>
              <w:rPr>
                <w:sz w:val="20"/>
              </w:rPr>
              <w:t xml:space="preserve">Artículos </w:t>
            </w:r>
            <w:r w:rsidRPr="0062308D">
              <w:rPr>
                <w:sz w:val="20"/>
              </w:rPr>
              <w:t>1, 4, fracción I y 6, fracciones I, XVIII y XXXVIII, 8, 52 y 53 fracción IX del Estatuto Orgánico del Instituto Federal de Telecomunicaciones.</w:t>
            </w:r>
          </w:p>
          <w:p w:rsidR="001A5509" w:rsidRDefault="001A5509" w:rsidP="0086684A">
            <w:pPr>
              <w:jc w:val="both"/>
              <w:rPr>
                <w:sz w:val="20"/>
              </w:rPr>
            </w:pPr>
          </w:p>
          <w:p w:rsidR="001A5509" w:rsidRDefault="001A5509" w:rsidP="0086684A">
            <w:pPr>
              <w:jc w:val="both"/>
              <w:rPr>
                <w:sz w:val="20"/>
              </w:rPr>
            </w:pPr>
            <w:r>
              <w:rPr>
                <w:sz w:val="20"/>
              </w:rPr>
              <w:t>L</w:t>
            </w:r>
            <w:r w:rsidRPr="00B3644A">
              <w:rPr>
                <w:sz w:val="20"/>
              </w:rPr>
              <w:t xml:space="preserve">a </w:t>
            </w:r>
            <w:r>
              <w:rPr>
                <w:sz w:val="20"/>
              </w:rPr>
              <w:t xml:space="preserve">resolución de la </w:t>
            </w:r>
            <w:r w:rsidRPr="00B3644A">
              <w:rPr>
                <w:sz w:val="20"/>
              </w:rPr>
              <w:t>controversia constitucional 117/2014</w:t>
            </w:r>
            <w:r>
              <w:rPr>
                <w:sz w:val="20"/>
              </w:rPr>
              <w:t xml:space="preserve"> de la </w:t>
            </w:r>
            <w:r w:rsidRPr="00B3644A">
              <w:rPr>
                <w:sz w:val="20"/>
              </w:rPr>
              <w:t>S</w:t>
            </w:r>
            <w:r>
              <w:rPr>
                <w:sz w:val="20"/>
              </w:rPr>
              <w:t xml:space="preserve">uprema </w:t>
            </w:r>
            <w:r w:rsidRPr="00B3644A">
              <w:rPr>
                <w:sz w:val="20"/>
              </w:rPr>
              <w:t>C</w:t>
            </w:r>
            <w:r>
              <w:rPr>
                <w:sz w:val="20"/>
              </w:rPr>
              <w:t xml:space="preserve">orte de </w:t>
            </w:r>
            <w:r w:rsidRPr="00B3644A">
              <w:rPr>
                <w:sz w:val="20"/>
              </w:rPr>
              <w:t>J</w:t>
            </w:r>
            <w:r>
              <w:rPr>
                <w:sz w:val="20"/>
              </w:rPr>
              <w:t xml:space="preserve">usticia de la </w:t>
            </w:r>
            <w:r w:rsidRPr="00B3644A">
              <w:rPr>
                <w:sz w:val="20"/>
              </w:rPr>
              <w:t>N</w:t>
            </w:r>
            <w:r>
              <w:rPr>
                <w:sz w:val="20"/>
              </w:rPr>
              <w:t>ación.</w:t>
            </w:r>
          </w:p>
          <w:p w:rsidR="00870931" w:rsidRDefault="00870931" w:rsidP="00816D17">
            <w:pPr>
              <w:jc w:val="both"/>
            </w:pPr>
          </w:p>
        </w:tc>
      </w:tr>
    </w:tbl>
    <w:p w:rsidR="0086684A" w:rsidRDefault="0086684A" w:rsidP="0086684A">
      <w:pPr>
        <w:jc w:val="both"/>
      </w:pPr>
    </w:p>
    <w:sectPr w:rsidR="0086684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43" w:rsidRDefault="00634243" w:rsidP="00501ADF">
      <w:pPr>
        <w:spacing w:after="0" w:line="240" w:lineRule="auto"/>
      </w:pPr>
      <w:r>
        <w:separator/>
      </w:r>
    </w:p>
  </w:endnote>
  <w:endnote w:type="continuationSeparator" w:id="0">
    <w:p w:rsidR="00634243" w:rsidRDefault="0063424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538532"/>
      <w:docPartObj>
        <w:docPartGallery w:val="Page Numbers (Bottom of Page)"/>
        <w:docPartUnique/>
      </w:docPartObj>
    </w:sdtPr>
    <w:sdtEndPr/>
    <w:sdtContent>
      <w:sdt>
        <w:sdtPr>
          <w:id w:val="-1769616900"/>
          <w:docPartObj>
            <w:docPartGallery w:val="Page Numbers (Top of Page)"/>
            <w:docPartUnique/>
          </w:docPartObj>
        </w:sdtPr>
        <w:sdtEndPr/>
        <w:sdtContent>
          <w:p w:rsidR="00DD5E27" w:rsidRDefault="00DD5E2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91133">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1133">
              <w:rPr>
                <w:b/>
                <w:bCs/>
                <w:noProof/>
              </w:rPr>
              <w:t>18</w:t>
            </w:r>
            <w:r>
              <w:rPr>
                <w:b/>
                <w:bCs/>
                <w:sz w:val="24"/>
                <w:szCs w:val="24"/>
              </w:rPr>
              <w:fldChar w:fldCharType="end"/>
            </w:r>
          </w:p>
        </w:sdtContent>
      </w:sdt>
    </w:sdtContent>
  </w:sdt>
  <w:p w:rsidR="00DD5E27" w:rsidRDefault="00DD5E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43" w:rsidRDefault="00634243" w:rsidP="00501ADF">
      <w:pPr>
        <w:spacing w:after="0" w:line="240" w:lineRule="auto"/>
      </w:pPr>
      <w:r>
        <w:separator/>
      </w:r>
    </w:p>
  </w:footnote>
  <w:footnote w:type="continuationSeparator" w:id="0">
    <w:p w:rsidR="00634243" w:rsidRDefault="00634243" w:rsidP="00501ADF">
      <w:pPr>
        <w:spacing w:after="0" w:line="240" w:lineRule="auto"/>
      </w:pPr>
      <w:r>
        <w:continuationSeparator/>
      </w:r>
    </w:p>
  </w:footnote>
  <w:footnote w:id="1">
    <w:p w:rsidR="00B06718" w:rsidRPr="00BB74CF" w:rsidRDefault="00B06718" w:rsidP="006B4BFD">
      <w:pPr>
        <w:pStyle w:val="Textonotapie"/>
        <w:rPr>
          <w:rFonts w:ascii="ITC Avant Garde" w:hAnsi="ITC Avant Garde"/>
          <w:sz w:val="16"/>
          <w:szCs w:val="16"/>
        </w:rPr>
      </w:pPr>
      <w:r w:rsidRPr="00BB74CF">
        <w:rPr>
          <w:rStyle w:val="Refdenotaalpie"/>
          <w:rFonts w:ascii="ITC Avant Garde" w:hAnsi="ITC Avant Garde"/>
          <w:sz w:val="16"/>
          <w:szCs w:val="16"/>
        </w:rPr>
        <w:footnoteRef/>
      </w:r>
      <w:r w:rsidRPr="00BB74CF">
        <w:rPr>
          <w:rFonts w:ascii="ITC Avant Garde" w:hAnsi="ITC Avant Garde"/>
          <w:sz w:val="16"/>
          <w:szCs w:val="16"/>
        </w:rPr>
        <w:t xml:space="preserve"> </w:t>
      </w:r>
      <w:r w:rsidRPr="00BB74CF">
        <w:rPr>
          <w:rFonts w:ascii="ITC Avant Garde" w:hAnsi="ITC Avant Garde"/>
          <w:color w:val="000000"/>
          <w:sz w:val="16"/>
          <w:szCs w:val="16"/>
        </w:rPr>
        <w:t>Fuente:</w:t>
      </w:r>
      <w:r w:rsidRPr="00C76B40">
        <w:rPr>
          <w:rFonts w:ascii="ITC Avant Garde" w:hAnsi="ITC Avant Garde"/>
          <w:color w:val="000000"/>
          <w:sz w:val="16"/>
          <w:szCs w:val="16"/>
        </w:rPr>
        <w:t xml:space="preserve"> IR 2030 – UK Interface Requirements, Licence Exempt Short Range Devices https://www.ofcom.org.uk/__data/assets/pdf_file/0028/84970/ir-2030-july-2017.pdf /</w:t>
      </w:r>
      <w:r w:rsidRPr="00BB74CF">
        <w:rPr>
          <w:rFonts w:ascii="ITC Avant Garde" w:hAnsi="ITC Avant Garde"/>
          <w:color w:val="000000"/>
          <w:sz w:val="16"/>
          <w:szCs w:val="16"/>
        </w:rPr>
        <w:t xml:space="preserve"> (última consulta </w:t>
      </w:r>
      <w:r>
        <w:rPr>
          <w:rFonts w:ascii="ITC Avant Garde" w:hAnsi="ITC Avant Garde"/>
          <w:color w:val="000000"/>
          <w:sz w:val="16"/>
          <w:szCs w:val="16"/>
        </w:rPr>
        <w:t>3</w:t>
      </w:r>
      <w:r w:rsidRPr="00BB74CF">
        <w:rPr>
          <w:rFonts w:ascii="ITC Avant Garde" w:hAnsi="ITC Avant Garde"/>
          <w:color w:val="000000"/>
          <w:sz w:val="16"/>
          <w:szCs w:val="16"/>
        </w:rPr>
        <w:t xml:space="preserve"> de </w:t>
      </w:r>
      <w:r>
        <w:rPr>
          <w:rFonts w:ascii="ITC Avant Garde" w:hAnsi="ITC Avant Garde"/>
          <w:color w:val="000000"/>
          <w:sz w:val="16"/>
          <w:szCs w:val="16"/>
        </w:rPr>
        <w:t>octu</w:t>
      </w:r>
      <w:r w:rsidRPr="00BB74CF">
        <w:rPr>
          <w:rFonts w:ascii="ITC Avant Garde" w:hAnsi="ITC Avant Garde"/>
          <w:color w:val="000000"/>
          <w:sz w:val="16"/>
          <w:szCs w:val="16"/>
        </w:rPr>
        <w:t>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18" w:rsidRPr="00501ADF" w:rsidRDefault="00B0671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718" w:rsidRDefault="00B06718" w:rsidP="00501ADF">
    <w:pPr>
      <w:pStyle w:val="Encabezado"/>
      <w:jc w:val="right"/>
    </w:pPr>
    <w:r>
      <w:t>ANÁLISIS DE IMPACTO REGULATORIO</w:t>
    </w:r>
  </w:p>
  <w:p w:rsidR="00B06718" w:rsidRDefault="00DD5E27" w:rsidP="00501ADF">
    <w:pPr>
      <w:pStyle w:val="Encabezado"/>
      <w:jc w:val="right"/>
    </w:pPr>
    <w:r>
      <w:t>ANEXO A</w:t>
    </w:r>
  </w:p>
  <w:p w:rsidR="00B06718" w:rsidRDefault="00B06718">
    <w:pPr>
      <w:pStyle w:val="Encabezado"/>
    </w:pPr>
  </w:p>
  <w:p w:rsidR="00B06718" w:rsidRDefault="00B06718">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C4F265C"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B06718" w:rsidRDefault="00B067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2B1A"/>
    <w:multiLevelType w:val="hybridMultilevel"/>
    <w:tmpl w:val="31388E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514EAA"/>
    <w:multiLevelType w:val="hybridMultilevel"/>
    <w:tmpl w:val="3FB0C970"/>
    <w:lvl w:ilvl="0" w:tplc="F37ED2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9B7B34"/>
    <w:multiLevelType w:val="hybridMultilevel"/>
    <w:tmpl w:val="8D16E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BD0D16"/>
    <w:multiLevelType w:val="hybridMultilevel"/>
    <w:tmpl w:val="0A7A5402"/>
    <w:lvl w:ilvl="0" w:tplc="43AC834E">
      <w:start w:val="1"/>
      <w:numFmt w:val="upperRoman"/>
      <w:lvlText w:val="%1."/>
      <w:lvlJc w:val="left"/>
      <w:pPr>
        <w:ind w:left="987" w:hanging="420"/>
      </w:pPr>
      <w:rPr>
        <w:b w:val="0"/>
        <w:color w:val="auto"/>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6636BC"/>
    <w:multiLevelType w:val="hybridMultilevel"/>
    <w:tmpl w:val="EF7ADF02"/>
    <w:lvl w:ilvl="0" w:tplc="82FC6022">
      <w:start w:val="1"/>
      <w:numFmt w:val="upperRoman"/>
      <w:lvlText w:val="%1."/>
      <w:lvlJc w:val="left"/>
      <w:pPr>
        <w:ind w:left="987" w:hanging="42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2F90090"/>
    <w:multiLevelType w:val="multilevel"/>
    <w:tmpl w:val="AC68897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0F4CF0"/>
    <w:multiLevelType w:val="hybridMultilevel"/>
    <w:tmpl w:val="C1046F28"/>
    <w:lvl w:ilvl="0" w:tplc="FF66B5E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09366A"/>
    <w:multiLevelType w:val="hybridMultilevel"/>
    <w:tmpl w:val="BA328CD6"/>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C641DD"/>
    <w:multiLevelType w:val="hybridMultilevel"/>
    <w:tmpl w:val="9E0471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3B5E53"/>
    <w:multiLevelType w:val="hybridMultilevel"/>
    <w:tmpl w:val="C44E8D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1B67FD"/>
    <w:multiLevelType w:val="hybridMultilevel"/>
    <w:tmpl w:val="F3E8C6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160794"/>
    <w:multiLevelType w:val="hybridMultilevel"/>
    <w:tmpl w:val="789C6C34"/>
    <w:lvl w:ilvl="0" w:tplc="5D924052">
      <w:start w:val="1"/>
      <w:numFmt w:val="decimal"/>
      <w:lvlText w:val="Artículo %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E1132D0"/>
    <w:multiLevelType w:val="hybridMultilevel"/>
    <w:tmpl w:val="704A3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
  </w:num>
  <w:num w:numId="5">
    <w:abstractNumId w:val="13"/>
  </w:num>
  <w:num w:numId="6">
    <w:abstractNumId w:val="11"/>
  </w:num>
  <w:num w:numId="7">
    <w:abstractNumId w:val="2"/>
  </w:num>
  <w:num w:numId="8">
    <w:abstractNumId w:val="10"/>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E17"/>
    <w:rsid w:val="000033D6"/>
    <w:rsid w:val="0000340D"/>
    <w:rsid w:val="000040C7"/>
    <w:rsid w:val="000057BF"/>
    <w:rsid w:val="000107B6"/>
    <w:rsid w:val="00010B91"/>
    <w:rsid w:val="0001225B"/>
    <w:rsid w:val="0002656E"/>
    <w:rsid w:val="00026E16"/>
    <w:rsid w:val="0003286D"/>
    <w:rsid w:val="00034F31"/>
    <w:rsid w:val="0003590C"/>
    <w:rsid w:val="00035A4E"/>
    <w:rsid w:val="00035D2E"/>
    <w:rsid w:val="00036831"/>
    <w:rsid w:val="00037C0D"/>
    <w:rsid w:val="00040EBE"/>
    <w:rsid w:val="0004338E"/>
    <w:rsid w:val="00046133"/>
    <w:rsid w:val="00047F62"/>
    <w:rsid w:val="00065E6E"/>
    <w:rsid w:val="00066D43"/>
    <w:rsid w:val="00073F2D"/>
    <w:rsid w:val="0008030D"/>
    <w:rsid w:val="00082D9A"/>
    <w:rsid w:val="000860CC"/>
    <w:rsid w:val="00087CE3"/>
    <w:rsid w:val="00087CF9"/>
    <w:rsid w:val="00091116"/>
    <w:rsid w:val="000978A8"/>
    <w:rsid w:val="000A2819"/>
    <w:rsid w:val="000A34DE"/>
    <w:rsid w:val="000A4C6F"/>
    <w:rsid w:val="000A65B5"/>
    <w:rsid w:val="000B0814"/>
    <w:rsid w:val="000B08A0"/>
    <w:rsid w:val="000B0B1B"/>
    <w:rsid w:val="000B6A15"/>
    <w:rsid w:val="000C3BBD"/>
    <w:rsid w:val="000C4524"/>
    <w:rsid w:val="000C4C76"/>
    <w:rsid w:val="000D1189"/>
    <w:rsid w:val="000D3FCE"/>
    <w:rsid w:val="000D42A6"/>
    <w:rsid w:val="000D4474"/>
    <w:rsid w:val="000E0EF6"/>
    <w:rsid w:val="000E6B73"/>
    <w:rsid w:val="000F0F67"/>
    <w:rsid w:val="000F5DBB"/>
    <w:rsid w:val="00100C66"/>
    <w:rsid w:val="00101FBB"/>
    <w:rsid w:val="00102AAD"/>
    <w:rsid w:val="00103B46"/>
    <w:rsid w:val="00105928"/>
    <w:rsid w:val="00105C02"/>
    <w:rsid w:val="00106224"/>
    <w:rsid w:val="0011143E"/>
    <w:rsid w:val="00111755"/>
    <w:rsid w:val="001126DD"/>
    <w:rsid w:val="001132A4"/>
    <w:rsid w:val="00115CF6"/>
    <w:rsid w:val="00117AE8"/>
    <w:rsid w:val="00117BA6"/>
    <w:rsid w:val="00136031"/>
    <w:rsid w:val="00140E82"/>
    <w:rsid w:val="00141020"/>
    <w:rsid w:val="00142070"/>
    <w:rsid w:val="00143892"/>
    <w:rsid w:val="001453B9"/>
    <w:rsid w:val="00151DE4"/>
    <w:rsid w:val="001525A8"/>
    <w:rsid w:val="00156168"/>
    <w:rsid w:val="00156FC6"/>
    <w:rsid w:val="00157567"/>
    <w:rsid w:val="0016565D"/>
    <w:rsid w:val="00173BD6"/>
    <w:rsid w:val="00174196"/>
    <w:rsid w:val="001742B0"/>
    <w:rsid w:val="00175127"/>
    <w:rsid w:val="0018078E"/>
    <w:rsid w:val="0018100B"/>
    <w:rsid w:val="0018528D"/>
    <w:rsid w:val="00186B1E"/>
    <w:rsid w:val="0019028A"/>
    <w:rsid w:val="00190D2B"/>
    <w:rsid w:val="001916B2"/>
    <w:rsid w:val="00191D29"/>
    <w:rsid w:val="001932FC"/>
    <w:rsid w:val="001957D5"/>
    <w:rsid w:val="00197760"/>
    <w:rsid w:val="001A05C2"/>
    <w:rsid w:val="001A259B"/>
    <w:rsid w:val="001A34C3"/>
    <w:rsid w:val="001A3B5D"/>
    <w:rsid w:val="001A5509"/>
    <w:rsid w:val="001A6E29"/>
    <w:rsid w:val="001A7CE5"/>
    <w:rsid w:val="001B702B"/>
    <w:rsid w:val="001B73EC"/>
    <w:rsid w:val="001C14A1"/>
    <w:rsid w:val="001C14CA"/>
    <w:rsid w:val="001C184F"/>
    <w:rsid w:val="001C18AE"/>
    <w:rsid w:val="001C43C2"/>
    <w:rsid w:val="001E3322"/>
    <w:rsid w:val="001E3D24"/>
    <w:rsid w:val="001E5EBB"/>
    <w:rsid w:val="001E78D3"/>
    <w:rsid w:val="001E7960"/>
    <w:rsid w:val="001F059F"/>
    <w:rsid w:val="001F232F"/>
    <w:rsid w:val="001F42E4"/>
    <w:rsid w:val="001F7E43"/>
    <w:rsid w:val="00200CF3"/>
    <w:rsid w:val="00212D49"/>
    <w:rsid w:val="00215224"/>
    <w:rsid w:val="00215776"/>
    <w:rsid w:val="00217ED9"/>
    <w:rsid w:val="0022158E"/>
    <w:rsid w:val="00225A16"/>
    <w:rsid w:val="00231E86"/>
    <w:rsid w:val="00232CB5"/>
    <w:rsid w:val="00242C71"/>
    <w:rsid w:val="002459ED"/>
    <w:rsid w:val="00247DAB"/>
    <w:rsid w:val="002612FF"/>
    <w:rsid w:val="00262107"/>
    <w:rsid w:val="00263359"/>
    <w:rsid w:val="0026363A"/>
    <w:rsid w:val="00271139"/>
    <w:rsid w:val="002723BA"/>
    <w:rsid w:val="00272A40"/>
    <w:rsid w:val="002744DC"/>
    <w:rsid w:val="00274858"/>
    <w:rsid w:val="00284EC8"/>
    <w:rsid w:val="0029094A"/>
    <w:rsid w:val="00292DE7"/>
    <w:rsid w:val="00295E97"/>
    <w:rsid w:val="00296CC0"/>
    <w:rsid w:val="002A05A2"/>
    <w:rsid w:val="002A7BF7"/>
    <w:rsid w:val="002B2811"/>
    <w:rsid w:val="002B3580"/>
    <w:rsid w:val="002C4C48"/>
    <w:rsid w:val="002C4E04"/>
    <w:rsid w:val="002C5F84"/>
    <w:rsid w:val="002D18A3"/>
    <w:rsid w:val="002D2087"/>
    <w:rsid w:val="002D7CF5"/>
    <w:rsid w:val="002E150D"/>
    <w:rsid w:val="002E1E60"/>
    <w:rsid w:val="002E2C01"/>
    <w:rsid w:val="002E6222"/>
    <w:rsid w:val="002F0D73"/>
    <w:rsid w:val="002F4CD6"/>
    <w:rsid w:val="002F6017"/>
    <w:rsid w:val="0030055F"/>
    <w:rsid w:val="00300E4F"/>
    <w:rsid w:val="00301CD4"/>
    <w:rsid w:val="003039BF"/>
    <w:rsid w:val="003058AD"/>
    <w:rsid w:val="00306F69"/>
    <w:rsid w:val="003106E3"/>
    <w:rsid w:val="00311900"/>
    <w:rsid w:val="003122AA"/>
    <w:rsid w:val="00312768"/>
    <w:rsid w:val="00317C6C"/>
    <w:rsid w:val="00326B8C"/>
    <w:rsid w:val="00332910"/>
    <w:rsid w:val="00333FAA"/>
    <w:rsid w:val="00334C81"/>
    <w:rsid w:val="00334F1A"/>
    <w:rsid w:val="003355EF"/>
    <w:rsid w:val="0034199B"/>
    <w:rsid w:val="003577E5"/>
    <w:rsid w:val="0036022D"/>
    <w:rsid w:val="00366D16"/>
    <w:rsid w:val="003673B3"/>
    <w:rsid w:val="0038102E"/>
    <w:rsid w:val="00383E74"/>
    <w:rsid w:val="0038532A"/>
    <w:rsid w:val="00385FE6"/>
    <w:rsid w:val="00387092"/>
    <w:rsid w:val="00393B5C"/>
    <w:rsid w:val="00394CB1"/>
    <w:rsid w:val="003961CC"/>
    <w:rsid w:val="003A02C3"/>
    <w:rsid w:val="003A09B9"/>
    <w:rsid w:val="003A2A67"/>
    <w:rsid w:val="003A3FE5"/>
    <w:rsid w:val="003A541F"/>
    <w:rsid w:val="003B06DD"/>
    <w:rsid w:val="003B180E"/>
    <w:rsid w:val="003B1D2D"/>
    <w:rsid w:val="003B5A4C"/>
    <w:rsid w:val="003B6105"/>
    <w:rsid w:val="003D1351"/>
    <w:rsid w:val="003D6876"/>
    <w:rsid w:val="003D6F3D"/>
    <w:rsid w:val="003F05E7"/>
    <w:rsid w:val="003F0B63"/>
    <w:rsid w:val="003F18B1"/>
    <w:rsid w:val="003F2E6F"/>
    <w:rsid w:val="00406C36"/>
    <w:rsid w:val="004101F0"/>
    <w:rsid w:val="00413865"/>
    <w:rsid w:val="004151D7"/>
    <w:rsid w:val="00421489"/>
    <w:rsid w:val="00421AC8"/>
    <w:rsid w:val="00422936"/>
    <w:rsid w:val="00424BE4"/>
    <w:rsid w:val="0042566C"/>
    <w:rsid w:val="00426952"/>
    <w:rsid w:val="00431F81"/>
    <w:rsid w:val="00433C0E"/>
    <w:rsid w:val="00433C63"/>
    <w:rsid w:val="00434FC4"/>
    <w:rsid w:val="00442FED"/>
    <w:rsid w:val="00447F13"/>
    <w:rsid w:val="00451A93"/>
    <w:rsid w:val="00452C73"/>
    <w:rsid w:val="00453B32"/>
    <w:rsid w:val="00454C85"/>
    <w:rsid w:val="00460236"/>
    <w:rsid w:val="00463A5B"/>
    <w:rsid w:val="004649ED"/>
    <w:rsid w:val="00466097"/>
    <w:rsid w:val="00470ABD"/>
    <w:rsid w:val="00472107"/>
    <w:rsid w:val="00476628"/>
    <w:rsid w:val="0047715F"/>
    <w:rsid w:val="00480D4B"/>
    <w:rsid w:val="00491D75"/>
    <w:rsid w:val="004A3116"/>
    <w:rsid w:val="004A606A"/>
    <w:rsid w:val="004A722B"/>
    <w:rsid w:val="004B157A"/>
    <w:rsid w:val="004B2357"/>
    <w:rsid w:val="004B5636"/>
    <w:rsid w:val="004C76C9"/>
    <w:rsid w:val="004D2AA0"/>
    <w:rsid w:val="004D2CB5"/>
    <w:rsid w:val="004D6221"/>
    <w:rsid w:val="004D69C7"/>
    <w:rsid w:val="004E0DA9"/>
    <w:rsid w:val="004E3D31"/>
    <w:rsid w:val="004F46E2"/>
    <w:rsid w:val="004F47A5"/>
    <w:rsid w:val="00501ADF"/>
    <w:rsid w:val="00507FAA"/>
    <w:rsid w:val="00507FDA"/>
    <w:rsid w:val="00512C8F"/>
    <w:rsid w:val="00515170"/>
    <w:rsid w:val="00515CD3"/>
    <w:rsid w:val="00516043"/>
    <w:rsid w:val="005169C3"/>
    <w:rsid w:val="00520BCA"/>
    <w:rsid w:val="00522595"/>
    <w:rsid w:val="00522E40"/>
    <w:rsid w:val="00524145"/>
    <w:rsid w:val="00524E60"/>
    <w:rsid w:val="00526014"/>
    <w:rsid w:val="00526BF8"/>
    <w:rsid w:val="0053271E"/>
    <w:rsid w:val="00533333"/>
    <w:rsid w:val="00536CA1"/>
    <w:rsid w:val="00543407"/>
    <w:rsid w:val="005509C4"/>
    <w:rsid w:val="00554332"/>
    <w:rsid w:val="00554EEF"/>
    <w:rsid w:val="00560148"/>
    <w:rsid w:val="00560CE0"/>
    <w:rsid w:val="00561740"/>
    <w:rsid w:val="00565079"/>
    <w:rsid w:val="00566200"/>
    <w:rsid w:val="005704F8"/>
    <w:rsid w:val="005706CE"/>
    <w:rsid w:val="00571ADA"/>
    <w:rsid w:val="0057469C"/>
    <w:rsid w:val="0058178A"/>
    <w:rsid w:val="00581BA6"/>
    <w:rsid w:val="00581CA4"/>
    <w:rsid w:val="00582407"/>
    <w:rsid w:val="00584C7F"/>
    <w:rsid w:val="0058644C"/>
    <w:rsid w:val="0059214D"/>
    <w:rsid w:val="005965D8"/>
    <w:rsid w:val="005A1B99"/>
    <w:rsid w:val="005A3F1F"/>
    <w:rsid w:val="005A40FB"/>
    <w:rsid w:val="005B29B9"/>
    <w:rsid w:val="005B565F"/>
    <w:rsid w:val="005B6512"/>
    <w:rsid w:val="005B7808"/>
    <w:rsid w:val="005C5326"/>
    <w:rsid w:val="005C78E2"/>
    <w:rsid w:val="005C7981"/>
    <w:rsid w:val="005D5380"/>
    <w:rsid w:val="005D55AC"/>
    <w:rsid w:val="005E47E1"/>
    <w:rsid w:val="005F025D"/>
    <w:rsid w:val="005F0B18"/>
    <w:rsid w:val="005F1C02"/>
    <w:rsid w:val="005F6053"/>
    <w:rsid w:val="006109AC"/>
    <w:rsid w:val="0062308D"/>
    <w:rsid w:val="006241FE"/>
    <w:rsid w:val="00625764"/>
    <w:rsid w:val="00625774"/>
    <w:rsid w:val="00626CB3"/>
    <w:rsid w:val="006278C1"/>
    <w:rsid w:val="00627FAE"/>
    <w:rsid w:val="00632A53"/>
    <w:rsid w:val="00634243"/>
    <w:rsid w:val="00634263"/>
    <w:rsid w:val="00636DEB"/>
    <w:rsid w:val="00637486"/>
    <w:rsid w:val="00637B75"/>
    <w:rsid w:val="006450E5"/>
    <w:rsid w:val="006507DB"/>
    <w:rsid w:val="00654A8C"/>
    <w:rsid w:val="00654FD1"/>
    <w:rsid w:val="00661700"/>
    <w:rsid w:val="00664830"/>
    <w:rsid w:val="00672975"/>
    <w:rsid w:val="00674B73"/>
    <w:rsid w:val="00680D09"/>
    <w:rsid w:val="00681C51"/>
    <w:rsid w:val="00682815"/>
    <w:rsid w:val="0068307E"/>
    <w:rsid w:val="0068519C"/>
    <w:rsid w:val="00687C5B"/>
    <w:rsid w:val="006935D2"/>
    <w:rsid w:val="00694F48"/>
    <w:rsid w:val="00695183"/>
    <w:rsid w:val="00697DA0"/>
    <w:rsid w:val="006A0B90"/>
    <w:rsid w:val="006A2315"/>
    <w:rsid w:val="006A34E3"/>
    <w:rsid w:val="006B178A"/>
    <w:rsid w:val="006B4BFD"/>
    <w:rsid w:val="006B5C4F"/>
    <w:rsid w:val="006B6E74"/>
    <w:rsid w:val="006C14CF"/>
    <w:rsid w:val="006C2245"/>
    <w:rsid w:val="006D4DEB"/>
    <w:rsid w:val="006D7008"/>
    <w:rsid w:val="006D7A08"/>
    <w:rsid w:val="006E2423"/>
    <w:rsid w:val="006E4023"/>
    <w:rsid w:val="006E5D1A"/>
    <w:rsid w:val="006F2857"/>
    <w:rsid w:val="00703176"/>
    <w:rsid w:val="00703D2C"/>
    <w:rsid w:val="00707D2E"/>
    <w:rsid w:val="00712C1C"/>
    <w:rsid w:val="00717BA2"/>
    <w:rsid w:val="00721168"/>
    <w:rsid w:val="00721761"/>
    <w:rsid w:val="0072412C"/>
    <w:rsid w:val="00725A14"/>
    <w:rsid w:val="007261EC"/>
    <w:rsid w:val="0073035B"/>
    <w:rsid w:val="00740D31"/>
    <w:rsid w:val="0074507D"/>
    <w:rsid w:val="00747C03"/>
    <w:rsid w:val="00760465"/>
    <w:rsid w:val="00761A32"/>
    <w:rsid w:val="00763A19"/>
    <w:rsid w:val="00763CAC"/>
    <w:rsid w:val="007701E0"/>
    <w:rsid w:val="00771655"/>
    <w:rsid w:val="00774C3E"/>
    <w:rsid w:val="00774C55"/>
    <w:rsid w:val="00776F4B"/>
    <w:rsid w:val="0077787E"/>
    <w:rsid w:val="00782390"/>
    <w:rsid w:val="0078341C"/>
    <w:rsid w:val="00787146"/>
    <w:rsid w:val="00792668"/>
    <w:rsid w:val="00795503"/>
    <w:rsid w:val="007A0149"/>
    <w:rsid w:val="007A5947"/>
    <w:rsid w:val="007A5F72"/>
    <w:rsid w:val="007A6269"/>
    <w:rsid w:val="007B664F"/>
    <w:rsid w:val="007C23DE"/>
    <w:rsid w:val="007C2C64"/>
    <w:rsid w:val="007C3928"/>
    <w:rsid w:val="007C3C08"/>
    <w:rsid w:val="007D292B"/>
    <w:rsid w:val="007D295B"/>
    <w:rsid w:val="007E261D"/>
    <w:rsid w:val="007E371C"/>
    <w:rsid w:val="007E4FAE"/>
    <w:rsid w:val="007E6977"/>
    <w:rsid w:val="007E7259"/>
    <w:rsid w:val="007F0F4B"/>
    <w:rsid w:val="007F1415"/>
    <w:rsid w:val="007F272D"/>
    <w:rsid w:val="007F3AB0"/>
    <w:rsid w:val="007F3D34"/>
    <w:rsid w:val="00801FED"/>
    <w:rsid w:val="00802F64"/>
    <w:rsid w:val="0080329E"/>
    <w:rsid w:val="00803677"/>
    <w:rsid w:val="00811C02"/>
    <w:rsid w:val="00813498"/>
    <w:rsid w:val="00816D17"/>
    <w:rsid w:val="00822AF4"/>
    <w:rsid w:val="008255C1"/>
    <w:rsid w:val="008346B8"/>
    <w:rsid w:val="0083501D"/>
    <w:rsid w:val="0084197F"/>
    <w:rsid w:val="00843618"/>
    <w:rsid w:val="0086027E"/>
    <w:rsid w:val="00861460"/>
    <w:rsid w:val="008628E1"/>
    <w:rsid w:val="00863C13"/>
    <w:rsid w:val="00863D3F"/>
    <w:rsid w:val="00864A17"/>
    <w:rsid w:val="00865D39"/>
    <w:rsid w:val="0086684A"/>
    <w:rsid w:val="00870931"/>
    <w:rsid w:val="00870B50"/>
    <w:rsid w:val="0087219A"/>
    <w:rsid w:val="00873C9D"/>
    <w:rsid w:val="0087590A"/>
    <w:rsid w:val="00876D05"/>
    <w:rsid w:val="00880E7E"/>
    <w:rsid w:val="00881804"/>
    <w:rsid w:val="00884EC6"/>
    <w:rsid w:val="008858A6"/>
    <w:rsid w:val="00890DC9"/>
    <w:rsid w:val="008910EA"/>
    <w:rsid w:val="00891133"/>
    <w:rsid w:val="00892DE6"/>
    <w:rsid w:val="00893C67"/>
    <w:rsid w:val="008A48B0"/>
    <w:rsid w:val="008A61A2"/>
    <w:rsid w:val="008A674B"/>
    <w:rsid w:val="008A7836"/>
    <w:rsid w:val="008B3B3D"/>
    <w:rsid w:val="008B478C"/>
    <w:rsid w:val="008B482C"/>
    <w:rsid w:val="008C54A1"/>
    <w:rsid w:val="008C5E0B"/>
    <w:rsid w:val="008C6A1B"/>
    <w:rsid w:val="008C76AF"/>
    <w:rsid w:val="008D112A"/>
    <w:rsid w:val="008D7A7B"/>
    <w:rsid w:val="008E2556"/>
    <w:rsid w:val="008E3C7E"/>
    <w:rsid w:val="008E538A"/>
    <w:rsid w:val="008E5F13"/>
    <w:rsid w:val="008F140E"/>
    <w:rsid w:val="008F1823"/>
    <w:rsid w:val="008F35E1"/>
    <w:rsid w:val="008F7059"/>
    <w:rsid w:val="00900744"/>
    <w:rsid w:val="009037D7"/>
    <w:rsid w:val="00904417"/>
    <w:rsid w:val="00906787"/>
    <w:rsid w:val="00910D02"/>
    <w:rsid w:val="0091654F"/>
    <w:rsid w:val="009170AF"/>
    <w:rsid w:val="009176E3"/>
    <w:rsid w:val="00920917"/>
    <w:rsid w:val="009209B4"/>
    <w:rsid w:val="00921FCD"/>
    <w:rsid w:val="009249F8"/>
    <w:rsid w:val="00930B5B"/>
    <w:rsid w:val="00933B42"/>
    <w:rsid w:val="00941E27"/>
    <w:rsid w:val="009432B9"/>
    <w:rsid w:val="00947052"/>
    <w:rsid w:val="00950572"/>
    <w:rsid w:val="0095133B"/>
    <w:rsid w:val="009514C4"/>
    <w:rsid w:val="009546F3"/>
    <w:rsid w:val="00955359"/>
    <w:rsid w:val="00955DC8"/>
    <w:rsid w:val="00956958"/>
    <w:rsid w:val="009575A4"/>
    <w:rsid w:val="009656CC"/>
    <w:rsid w:val="009660C5"/>
    <w:rsid w:val="00967A96"/>
    <w:rsid w:val="0097269A"/>
    <w:rsid w:val="009741C3"/>
    <w:rsid w:val="0097500B"/>
    <w:rsid w:val="00977905"/>
    <w:rsid w:val="0098000C"/>
    <w:rsid w:val="00981F7C"/>
    <w:rsid w:val="00982C90"/>
    <w:rsid w:val="00985D56"/>
    <w:rsid w:val="009876C3"/>
    <w:rsid w:val="00990FE3"/>
    <w:rsid w:val="009A025B"/>
    <w:rsid w:val="009A5009"/>
    <w:rsid w:val="009B3D5E"/>
    <w:rsid w:val="009C66F6"/>
    <w:rsid w:val="009C730B"/>
    <w:rsid w:val="009D6424"/>
    <w:rsid w:val="009E2A99"/>
    <w:rsid w:val="009F5EC2"/>
    <w:rsid w:val="009F7847"/>
    <w:rsid w:val="009F7BA3"/>
    <w:rsid w:val="00A0031F"/>
    <w:rsid w:val="00A004AB"/>
    <w:rsid w:val="00A027A4"/>
    <w:rsid w:val="00A0428B"/>
    <w:rsid w:val="00A05535"/>
    <w:rsid w:val="00A07CBC"/>
    <w:rsid w:val="00A1622C"/>
    <w:rsid w:val="00A1694B"/>
    <w:rsid w:val="00A170B4"/>
    <w:rsid w:val="00A2047E"/>
    <w:rsid w:val="00A22110"/>
    <w:rsid w:val="00A22DEC"/>
    <w:rsid w:val="00A23AB8"/>
    <w:rsid w:val="00A2405B"/>
    <w:rsid w:val="00A27819"/>
    <w:rsid w:val="00A36F24"/>
    <w:rsid w:val="00A4180F"/>
    <w:rsid w:val="00A42C9B"/>
    <w:rsid w:val="00A50D5D"/>
    <w:rsid w:val="00A63A4E"/>
    <w:rsid w:val="00A64336"/>
    <w:rsid w:val="00A64EE1"/>
    <w:rsid w:val="00A65C11"/>
    <w:rsid w:val="00A73AD8"/>
    <w:rsid w:val="00A7481E"/>
    <w:rsid w:val="00A76224"/>
    <w:rsid w:val="00A806B8"/>
    <w:rsid w:val="00A8152B"/>
    <w:rsid w:val="00A81C9C"/>
    <w:rsid w:val="00A823E8"/>
    <w:rsid w:val="00A94F75"/>
    <w:rsid w:val="00A9761D"/>
    <w:rsid w:val="00AA14E2"/>
    <w:rsid w:val="00AA20C8"/>
    <w:rsid w:val="00AA4383"/>
    <w:rsid w:val="00AB1E76"/>
    <w:rsid w:val="00AB2B29"/>
    <w:rsid w:val="00AB51B7"/>
    <w:rsid w:val="00AC53FF"/>
    <w:rsid w:val="00AD2021"/>
    <w:rsid w:val="00AE0780"/>
    <w:rsid w:val="00AE095C"/>
    <w:rsid w:val="00AE3394"/>
    <w:rsid w:val="00AF5FF6"/>
    <w:rsid w:val="00AF7463"/>
    <w:rsid w:val="00B01C06"/>
    <w:rsid w:val="00B03123"/>
    <w:rsid w:val="00B05D5F"/>
    <w:rsid w:val="00B05E69"/>
    <w:rsid w:val="00B06718"/>
    <w:rsid w:val="00B07034"/>
    <w:rsid w:val="00B106C9"/>
    <w:rsid w:val="00B10926"/>
    <w:rsid w:val="00B10FC2"/>
    <w:rsid w:val="00B11D90"/>
    <w:rsid w:val="00B13B9D"/>
    <w:rsid w:val="00B20488"/>
    <w:rsid w:val="00B238EA"/>
    <w:rsid w:val="00B26A93"/>
    <w:rsid w:val="00B26B9D"/>
    <w:rsid w:val="00B30663"/>
    <w:rsid w:val="00B331C9"/>
    <w:rsid w:val="00B331CF"/>
    <w:rsid w:val="00B346F7"/>
    <w:rsid w:val="00B3644A"/>
    <w:rsid w:val="00B403F6"/>
    <w:rsid w:val="00B43E01"/>
    <w:rsid w:val="00B44ED4"/>
    <w:rsid w:val="00B52F7E"/>
    <w:rsid w:val="00B559EC"/>
    <w:rsid w:val="00B6025B"/>
    <w:rsid w:val="00B6461E"/>
    <w:rsid w:val="00B67BF4"/>
    <w:rsid w:val="00B70832"/>
    <w:rsid w:val="00B7343E"/>
    <w:rsid w:val="00B74C55"/>
    <w:rsid w:val="00B76D0B"/>
    <w:rsid w:val="00B77C29"/>
    <w:rsid w:val="00B82AC8"/>
    <w:rsid w:val="00B82FEA"/>
    <w:rsid w:val="00B8458F"/>
    <w:rsid w:val="00B94624"/>
    <w:rsid w:val="00B97BA5"/>
    <w:rsid w:val="00BA5A86"/>
    <w:rsid w:val="00BA5D32"/>
    <w:rsid w:val="00BA6D97"/>
    <w:rsid w:val="00BA7295"/>
    <w:rsid w:val="00BB057E"/>
    <w:rsid w:val="00BB1C8C"/>
    <w:rsid w:val="00BB419E"/>
    <w:rsid w:val="00BB4E7D"/>
    <w:rsid w:val="00BC3256"/>
    <w:rsid w:val="00BC3AF8"/>
    <w:rsid w:val="00BC77D0"/>
    <w:rsid w:val="00BD124A"/>
    <w:rsid w:val="00BD1E56"/>
    <w:rsid w:val="00BD4456"/>
    <w:rsid w:val="00BD7772"/>
    <w:rsid w:val="00BE3953"/>
    <w:rsid w:val="00BF2804"/>
    <w:rsid w:val="00BF3B14"/>
    <w:rsid w:val="00BF6B27"/>
    <w:rsid w:val="00C01E7E"/>
    <w:rsid w:val="00C042C1"/>
    <w:rsid w:val="00C10B9A"/>
    <w:rsid w:val="00C111A0"/>
    <w:rsid w:val="00C155E1"/>
    <w:rsid w:val="00C15859"/>
    <w:rsid w:val="00C1747D"/>
    <w:rsid w:val="00C17CF3"/>
    <w:rsid w:val="00C20E75"/>
    <w:rsid w:val="00C24E71"/>
    <w:rsid w:val="00C27B41"/>
    <w:rsid w:val="00C31C12"/>
    <w:rsid w:val="00C33B0E"/>
    <w:rsid w:val="00C36264"/>
    <w:rsid w:val="00C37188"/>
    <w:rsid w:val="00C37BF8"/>
    <w:rsid w:val="00C4111D"/>
    <w:rsid w:val="00C468BF"/>
    <w:rsid w:val="00C46EF2"/>
    <w:rsid w:val="00C470EA"/>
    <w:rsid w:val="00C517D6"/>
    <w:rsid w:val="00C53F17"/>
    <w:rsid w:val="00C553E6"/>
    <w:rsid w:val="00C566AF"/>
    <w:rsid w:val="00C5773C"/>
    <w:rsid w:val="00C6009E"/>
    <w:rsid w:val="00C61AF8"/>
    <w:rsid w:val="00C67445"/>
    <w:rsid w:val="00C67A58"/>
    <w:rsid w:val="00C70598"/>
    <w:rsid w:val="00C803D7"/>
    <w:rsid w:val="00C917FC"/>
    <w:rsid w:val="00C91B0A"/>
    <w:rsid w:val="00C95456"/>
    <w:rsid w:val="00CA1278"/>
    <w:rsid w:val="00CA2468"/>
    <w:rsid w:val="00CA2F4C"/>
    <w:rsid w:val="00CA5CB9"/>
    <w:rsid w:val="00CA769B"/>
    <w:rsid w:val="00CB11A8"/>
    <w:rsid w:val="00CB332B"/>
    <w:rsid w:val="00CB6A39"/>
    <w:rsid w:val="00CC12ED"/>
    <w:rsid w:val="00CC21CB"/>
    <w:rsid w:val="00CC25B8"/>
    <w:rsid w:val="00CC313E"/>
    <w:rsid w:val="00CC46E3"/>
    <w:rsid w:val="00CD165D"/>
    <w:rsid w:val="00CD26F0"/>
    <w:rsid w:val="00CD45BA"/>
    <w:rsid w:val="00CD4BDF"/>
    <w:rsid w:val="00CD75F8"/>
    <w:rsid w:val="00CE013C"/>
    <w:rsid w:val="00CE070E"/>
    <w:rsid w:val="00CE0BE8"/>
    <w:rsid w:val="00CE278B"/>
    <w:rsid w:val="00CE4AE9"/>
    <w:rsid w:val="00CE7258"/>
    <w:rsid w:val="00CF3F58"/>
    <w:rsid w:val="00D01ADC"/>
    <w:rsid w:val="00D038E6"/>
    <w:rsid w:val="00D0476A"/>
    <w:rsid w:val="00D05869"/>
    <w:rsid w:val="00D07B46"/>
    <w:rsid w:val="00D14A03"/>
    <w:rsid w:val="00D20020"/>
    <w:rsid w:val="00D20BB5"/>
    <w:rsid w:val="00D22B9B"/>
    <w:rsid w:val="00D239B9"/>
    <w:rsid w:val="00D243D0"/>
    <w:rsid w:val="00D27847"/>
    <w:rsid w:val="00D3051E"/>
    <w:rsid w:val="00D3164C"/>
    <w:rsid w:val="00D33195"/>
    <w:rsid w:val="00D3516D"/>
    <w:rsid w:val="00D37312"/>
    <w:rsid w:val="00D375DD"/>
    <w:rsid w:val="00D41D33"/>
    <w:rsid w:val="00D42838"/>
    <w:rsid w:val="00D42FA2"/>
    <w:rsid w:val="00D43006"/>
    <w:rsid w:val="00D43F1B"/>
    <w:rsid w:val="00D4411A"/>
    <w:rsid w:val="00D456D3"/>
    <w:rsid w:val="00D54DAF"/>
    <w:rsid w:val="00D56EF6"/>
    <w:rsid w:val="00D57F3A"/>
    <w:rsid w:val="00D614DE"/>
    <w:rsid w:val="00D62734"/>
    <w:rsid w:val="00D63C40"/>
    <w:rsid w:val="00D66C60"/>
    <w:rsid w:val="00D73C0D"/>
    <w:rsid w:val="00D7537A"/>
    <w:rsid w:val="00D758D4"/>
    <w:rsid w:val="00D774E9"/>
    <w:rsid w:val="00D86498"/>
    <w:rsid w:val="00D904C8"/>
    <w:rsid w:val="00D9478A"/>
    <w:rsid w:val="00D95304"/>
    <w:rsid w:val="00DA1DE2"/>
    <w:rsid w:val="00DA4EF4"/>
    <w:rsid w:val="00DA6B88"/>
    <w:rsid w:val="00DA703F"/>
    <w:rsid w:val="00DA73A8"/>
    <w:rsid w:val="00DA7A13"/>
    <w:rsid w:val="00DB31C4"/>
    <w:rsid w:val="00DB5273"/>
    <w:rsid w:val="00DB53F7"/>
    <w:rsid w:val="00DB6ED7"/>
    <w:rsid w:val="00DB76E3"/>
    <w:rsid w:val="00DC4572"/>
    <w:rsid w:val="00DC4A28"/>
    <w:rsid w:val="00DC611C"/>
    <w:rsid w:val="00DD17D0"/>
    <w:rsid w:val="00DD288A"/>
    <w:rsid w:val="00DD55B1"/>
    <w:rsid w:val="00DD5E27"/>
    <w:rsid w:val="00DD65C7"/>
    <w:rsid w:val="00DE0496"/>
    <w:rsid w:val="00DE186E"/>
    <w:rsid w:val="00DE339C"/>
    <w:rsid w:val="00DE6A04"/>
    <w:rsid w:val="00E0412D"/>
    <w:rsid w:val="00E07040"/>
    <w:rsid w:val="00E07921"/>
    <w:rsid w:val="00E07F1A"/>
    <w:rsid w:val="00E10C92"/>
    <w:rsid w:val="00E11946"/>
    <w:rsid w:val="00E12628"/>
    <w:rsid w:val="00E12C56"/>
    <w:rsid w:val="00E12DD9"/>
    <w:rsid w:val="00E15293"/>
    <w:rsid w:val="00E159D1"/>
    <w:rsid w:val="00E26112"/>
    <w:rsid w:val="00E27972"/>
    <w:rsid w:val="00E31787"/>
    <w:rsid w:val="00E329AD"/>
    <w:rsid w:val="00E436F1"/>
    <w:rsid w:val="00E44FAB"/>
    <w:rsid w:val="00E50245"/>
    <w:rsid w:val="00E55841"/>
    <w:rsid w:val="00E56500"/>
    <w:rsid w:val="00E57F10"/>
    <w:rsid w:val="00E6045E"/>
    <w:rsid w:val="00E6080B"/>
    <w:rsid w:val="00E62027"/>
    <w:rsid w:val="00E661B4"/>
    <w:rsid w:val="00E729ED"/>
    <w:rsid w:val="00E73ED2"/>
    <w:rsid w:val="00E74C59"/>
    <w:rsid w:val="00E753DE"/>
    <w:rsid w:val="00E804FC"/>
    <w:rsid w:val="00E91742"/>
    <w:rsid w:val="00E93437"/>
    <w:rsid w:val="00E939A0"/>
    <w:rsid w:val="00E96BA5"/>
    <w:rsid w:val="00E9715D"/>
    <w:rsid w:val="00EA2B4D"/>
    <w:rsid w:val="00EA5064"/>
    <w:rsid w:val="00EA6F38"/>
    <w:rsid w:val="00EB1AEA"/>
    <w:rsid w:val="00EB2C2F"/>
    <w:rsid w:val="00EC0187"/>
    <w:rsid w:val="00EC3048"/>
    <w:rsid w:val="00ED5A84"/>
    <w:rsid w:val="00EE221A"/>
    <w:rsid w:val="00EF1141"/>
    <w:rsid w:val="00EF476B"/>
    <w:rsid w:val="00F003D5"/>
    <w:rsid w:val="00F007DC"/>
    <w:rsid w:val="00F04942"/>
    <w:rsid w:val="00F05428"/>
    <w:rsid w:val="00F17DC6"/>
    <w:rsid w:val="00F20C37"/>
    <w:rsid w:val="00F21078"/>
    <w:rsid w:val="00F23CE3"/>
    <w:rsid w:val="00F23D26"/>
    <w:rsid w:val="00F2507B"/>
    <w:rsid w:val="00F27B26"/>
    <w:rsid w:val="00F30775"/>
    <w:rsid w:val="00F340D3"/>
    <w:rsid w:val="00F34ACE"/>
    <w:rsid w:val="00F4274E"/>
    <w:rsid w:val="00F47299"/>
    <w:rsid w:val="00F53906"/>
    <w:rsid w:val="00F546DE"/>
    <w:rsid w:val="00F565CE"/>
    <w:rsid w:val="00F6157D"/>
    <w:rsid w:val="00F62FE9"/>
    <w:rsid w:val="00F635C3"/>
    <w:rsid w:val="00F6491F"/>
    <w:rsid w:val="00F64955"/>
    <w:rsid w:val="00F66AB1"/>
    <w:rsid w:val="00F71498"/>
    <w:rsid w:val="00F71E2A"/>
    <w:rsid w:val="00F739BA"/>
    <w:rsid w:val="00F73D47"/>
    <w:rsid w:val="00F74335"/>
    <w:rsid w:val="00F760D5"/>
    <w:rsid w:val="00F76B23"/>
    <w:rsid w:val="00F816FD"/>
    <w:rsid w:val="00F8283F"/>
    <w:rsid w:val="00F84196"/>
    <w:rsid w:val="00F85E11"/>
    <w:rsid w:val="00F8794F"/>
    <w:rsid w:val="00F92323"/>
    <w:rsid w:val="00F954F5"/>
    <w:rsid w:val="00F96189"/>
    <w:rsid w:val="00FA25B3"/>
    <w:rsid w:val="00FA2AF4"/>
    <w:rsid w:val="00FA52A6"/>
    <w:rsid w:val="00FA604D"/>
    <w:rsid w:val="00FB1E8F"/>
    <w:rsid w:val="00FB385C"/>
    <w:rsid w:val="00FB7093"/>
    <w:rsid w:val="00FC00BD"/>
    <w:rsid w:val="00FC0348"/>
    <w:rsid w:val="00FC0CD1"/>
    <w:rsid w:val="00FC42B5"/>
    <w:rsid w:val="00FC5347"/>
    <w:rsid w:val="00FD1E02"/>
    <w:rsid w:val="00FD31F2"/>
    <w:rsid w:val="00FD7BC8"/>
    <w:rsid w:val="00FE107F"/>
    <w:rsid w:val="00FE11A9"/>
    <w:rsid w:val="00FE78ED"/>
    <w:rsid w:val="00FE7ABA"/>
    <w:rsid w:val="00FF3227"/>
    <w:rsid w:val="00FF5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8AB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BB4E7D"/>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BB4E7D"/>
    <w:rPr>
      <w:sz w:val="20"/>
      <w:szCs w:val="20"/>
    </w:rPr>
  </w:style>
  <w:style w:type="character" w:styleId="Refdenotaalpie">
    <w:name w:val="footnote reference"/>
    <w:basedOn w:val="Fuentedeprrafopredeter"/>
    <w:uiPriority w:val="99"/>
    <w:semiHidden/>
    <w:unhideWhenUsed/>
    <w:qFormat/>
    <w:rsid w:val="00BB4E7D"/>
    <w:rPr>
      <w:vertAlign w:val="superscript"/>
    </w:rPr>
  </w:style>
  <w:style w:type="character" w:customStyle="1" w:styleId="TextoCar">
    <w:name w:val="Texto Car"/>
    <w:link w:val="Texto"/>
    <w:qFormat/>
    <w:locked/>
    <w:rsid w:val="00385FE6"/>
    <w:rPr>
      <w:rFonts w:ascii="Arial" w:eastAsia="Times New Roman" w:hAnsi="Arial" w:cs="Arial"/>
      <w:sz w:val="18"/>
      <w:szCs w:val="20"/>
      <w:lang w:val="es-ES" w:eastAsia="es-ES"/>
    </w:rPr>
  </w:style>
  <w:style w:type="paragraph" w:customStyle="1" w:styleId="Texto">
    <w:name w:val="Texto"/>
    <w:basedOn w:val="Normal"/>
    <w:link w:val="TextoCar"/>
    <w:qFormat/>
    <w:rsid w:val="00385FE6"/>
    <w:pPr>
      <w:spacing w:after="101" w:line="216" w:lineRule="exact"/>
      <w:ind w:firstLine="288"/>
      <w:jc w:val="both"/>
    </w:pPr>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049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4942"/>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
    <w:link w:val="Prrafodelista"/>
    <w:qFormat/>
    <w:locked/>
    <w:rsid w:val="006B4BFD"/>
  </w:style>
  <w:style w:type="character" w:customStyle="1" w:styleId="TextocomentarioCar">
    <w:name w:val="Texto comentario Car"/>
    <w:basedOn w:val="Fuentedeprrafopredeter"/>
    <w:link w:val="Textocomentario"/>
    <w:uiPriority w:val="99"/>
    <w:qFormat/>
    <w:rsid w:val="00FE11A9"/>
    <w:rPr>
      <w:sz w:val="20"/>
      <w:szCs w:val="20"/>
    </w:rPr>
  </w:style>
  <w:style w:type="paragraph" w:styleId="Textocomentario">
    <w:name w:val="annotation text"/>
    <w:basedOn w:val="Normal"/>
    <w:link w:val="TextocomentarioCar"/>
    <w:uiPriority w:val="99"/>
    <w:unhideWhenUsed/>
    <w:qFormat/>
    <w:rsid w:val="00FE11A9"/>
    <w:pPr>
      <w:spacing w:line="240" w:lineRule="auto"/>
    </w:pPr>
    <w:rPr>
      <w:sz w:val="20"/>
      <w:szCs w:val="20"/>
    </w:rPr>
  </w:style>
  <w:style w:type="character" w:customStyle="1" w:styleId="TextocomentarioCar1">
    <w:name w:val="Texto comentario Car1"/>
    <w:basedOn w:val="Fuentedeprrafopredeter"/>
    <w:uiPriority w:val="99"/>
    <w:semiHidden/>
    <w:rsid w:val="00FE11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113">
      <w:bodyDiv w:val="1"/>
      <w:marLeft w:val="0"/>
      <w:marRight w:val="0"/>
      <w:marTop w:val="0"/>
      <w:marBottom w:val="0"/>
      <w:divBdr>
        <w:top w:val="none" w:sz="0" w:space="0" w:color="auto"/>
        <w:left w:val="none" w:sz="0" w:space="0" w:color="auto"/>
        <w:bottom w:val="none" w:sz="0" w:space="0" w:color="auto"/>
        <w:right w:val="none" w:sz="0" w:space="0" w:color="auto"/>
      </w:divBdr>
    </w:div>
    <w:div w:id="131681519">
      <w:bodyDiv w:val="1"/>
      <w:marLeft w:val="0"/>
      <w:marRight w:val="0"/>
      <w:marTop w:val="0"/>
      <w:marBottom w:val="0"/>
      <w:divBdr>
        <w:top w:val="none" w:sz="0" w:space="0" w:color="auto"/>
        <w:left w:val="none" w:sz="0" w:space="0" w:color="auto"/>
        <w:bottom w:val="none" w:sz="0" w:space="0" w:color="auto"/>
        <w:right w:val="none" w:sz="0" w:space="0" w:color="auto"/>
      </w:divBdr>
    </w:div>
    <w:div w:id="43070914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08507">
      <w:bodyDiv w:val="1"/>
      <w:marLeft w:val="0"/>
      <w:marRight w:val="0"/>
      <w:marTop w:val="0"/>
      <w:marBottom w:val="0"/>
      <w:divBdr>
        <w:top w:val="none" w:sz="0" w:space="0" w:color="auto"/>
        <w:left w:val="none" w:sz="0" w:space="0" w:color="auto"/>
        <w:bottom w:val="none" w:sz="0" w:space="0" w:color="auto"/>
        <w:right w:val="none" w:sz="0" w:space="0" w:color="auto"/>
      </w:divBdr>
    </w:div>
    <w:div w:id="834034017">
      <w:bodyDiv w:val="1"/>
      <w:marLeft w:val="0"/>
      <w:marRight w:val="0"/>
      <w:marTop w:val="0"/>
      <w:marBottom w:val="0"/>
      <w:divBdr>
        <w:top w:val="none" w:sz="0" w:space="0" w:color="auto"/>
        <w:left w:val="none" w:sz="0" w:space="0" w:color="auto"/>
        <w:bottom w:val="none" w:sz="0" w:space="0" w:color="auto"/>
        <w:right w:val="none" w:sz="0" w:space="0" w:color="auto"/>
      </w:divBdr>
      <w:divsChild>
        <w:div w:id="687604354">
          <w:marLeft w:val="547"/>
          <w:marRight w:val="0"/>
          <w:marTop w:val="200"/>
          <w:marBottom w:val="0"/>
          <w:divBdr>
            <w:top w:val="none" w:sz="0" w:space="0" w:color="auto"/>
            <w:left w:val="none" w:sz="0" w:space="0" w:color="auto"/>
            <w:bottom w:val="none" w:sz="0" w:space="0" w:color="auto"/>
            <w:right w:val="none" w:sz="0" w:space="0" w:color="auto"/>
          </w:divBdr>
        </w:div>
      </w:divsChild>
    </w:div>
    <w:div w:id="944120147">
      <w:bodyDiv w:val="1"/>
      <w:marLeft w:val="0"/>
      <w:marRight w:val="0"/>
      <w:marTop w:val="0"/>
      <w:marBottom w:val="0"/>
      <w:divBdr>
        <w:top w:val="none" w:sz="0" w:space="0" w:color="auto"/>
        <w:left w:val="none" w:sz="0" w:space="0" w:color="auto"/>
        <w:bottom w:val="none" w:sz="0" w:space="0" w:color="auto"/>
        <w:right w:val="none" w:sz="0" w:space="0" w:color="auto"/>
      </w:divBdr>
    </w:div>
    <w:div w:id="1227111676">
      <w:bodyDiv w:val="1"/>
      <w:marLeft w:val="0"/>
      <w:marRight w:val="0"/>
      <w:marTop w:val="0"/>
      <w:marBottom w:val="0"/>
      <w:divBdr>
        <w:top w:val="none" w:sz="0" w:space="0" w:color="auto"/>
        <w:left w:val="none" w:sz="0" w:space="0" w:color="auto"/>
        <w:bottom w:val="none" w:sz="0" w:space="0" w:color="auto"/>
        <w:right w:val="none" w:sz="0" w:space="0" w:color="auto"/>
      </w:divBdr>
      <w:divsChild>
        <w:div w:id="1155485593">
          <w:marLeft w:val="0"/>
          <w:marRight w:val="0"/>
          <w:marTop w:val="0"/>
          <w:marBottom w:val="84"/>
          <w:divBdr>
            <w:top w:val="none" w:sz="0" w:space="0" w:color="auto"/>
            <w:left w:val="none" w:sz="0" w:space="0" w:color="auto"/>
            <w:bottom w:val="none" w:sz="0" w:space="0" w:color="auto"/>
            <w:right w:val="none" w:sz="0" w:space="0" w:color="auto"/>
          </w:divBdr>
        </w:div>
        <w:div w:id="1177114679">
          <w:marLeft w:val="0"/>
          <w:marRight w:val="0"/>
          <w:marTop w:val="0"/>
          <w:marBottom w:val="84"/>
          <w:divBdr>
            <w:top w:val="none" w:sz="0" w:space="0" w:color="auto"/>
            <w:left w:val="none" w:sz="0" w:space="0" w:color="auto"/>
            <w:bottom w:val="none" w:sz="0" w:space="0" w:color="auto"/>
            <w:right w:val="none" w:sz="0" w:space="0" w:color="auto"/>
          </w:divBdr>
        </w:div>
        <w:div w:id="1780105326">
          <w:marLeft w:val="0"/>
          <w:marRight w:val="0"/>
          <w:marTop w:val="0"/>
          <w:marBottom w:val="84"/>
          <w:divBdr>
            <w:top w:val="none" w:sz="0" w:space="0" w:color="auto"/>
            <w:left w:val="none" w:sz="0" w:space="0" w:color="auto"/>
            <w:bottom w:val="none" w:sz="0" w:space="0" w:color="auto"/>
            <w:right w:val="none" w:sz="0" w:space="0" w:color="auto"/>
          </w:divBdr>
        </w:div>
      </w:divsChild>
    </w:div>
    <w:div w:id="1232037442">
      <w:bodyDiv w:val="1"/>
      <w:marLeft w:val="0"/>
      <w:marRight w:val="0"/>
      <w:marTop w:val="0"/>
      <w:marBottom w:val="0"/>
      <w:divBdr>
        <w:top w:val="none" w:sz="0" w:space="0" w:color="auto"/>
        <w:left w:val="none" w:sz="0" w:space="0" w:color="auto"/>
        <w:bottom w:val="none" w:sz="0" w:space="0" w:color="auto"/>
        <w:right w:val="none" w:sz="0" w:space="0" w:color="auto"/>
      </w:divBdr>
    </w:div>
    <w:div w:id="1467316301">
      <w:bodyDiv w:val="1"/>
      <w:marLeft w:val="0"/>
      <w:marRight w:val="0"/>
      <w:marTop w:val="0"/>
      <w:marBottom w:val="0"/>
      <w:divBdr>
        <w:top w:val="none" w:sz="0" w:space="0" w:color="auto"/>
        <w:left w:val="none" w:sz="0" w:space="0" w:color="auto"/>
        <w:bottom w:val="none" w:sz="0" w:space="0" w:color="auto"/>
        <w:right w:val="none" w:sz="0" w:space="0" w:color="auto"/>
      </w:divBdr>
    </w:div>
    <w:div w:id="1678969684">
      <w:bodyDiv w:val="1"/>
      <w:marLeft w:val="0"/>
      <w:marRight w:val="0"/>
      <w:marTop w:val="0"/>
      <w:marBottom w:val="0"/>
      <w:divBdr>
        <w:top w:val="none" w:sz="0" w:space="0" w:color="auto"/>
        <w:left w:val="none" w:sz="0" w:space="0" w:color="auto"/>
        <w:bottom w:val="none" w:sz="0" w:space="0" w:color="auto"/>
        <w:right w:val="none" w:sz="0" w:space="0" w:color="auto"/>
      </w:divBdr>
    </w:div>
    <w:div w:id="1701390665">
      <w:bodyDiv w:val="1"/>
      <w:marLeft w:val="0"/>
      <w:marRight w:val="0"/>
      <w:marTop w:val="0"/>
      <w:marBottom w:val="0"/>
      <w:divBdr>
        <w:top w:val="none" w:sz="0" w:space="0" w:color="auto"/>
        <w:left w:val="none" w:sz="0" w:space="0" w:color="auto"/>
        <w:bottom w:val="none" w:sz="0" w:space="0" w:color="auto"/>
        <w:right w:val="none" w:sz="0" w:space="0" w:color="auto"/>
      </w:divBdr>
    </w:div>
    <w:div w:id="1771461917">
      <w:bodyDiv w:val="1"/>
      <w:marLeft w:val="0"/>
      <w:marRight w:val="0"/>
      <w:marTop w:val="0"/>
      <w:marBottom w:val="0"/>
      <w:divBdr>
        <w:top w:val="none" w:sz="0" w:space="0" w:color="auto"/>
        <w:left w:val="none" w:sz="0" w:space="0" w:color="auto"/>
        <w:bottom w:val="none" w:sz="0" w:space="0" w:color="auto"/>
        <w:right w:val="none" w:sz="0" w:space="0" w:color="auto"/>
      </w:divBdr>
      <w:divsChild>
        <w:div w:id="895235881">
          <w:marLeft w:val="0"/>
          <w:marRight w:val="0"/>
          <w:marTop w:val="0"/>
          <w:marBottom w:val="82"/>
          <w:divBdr>
            <w:top w:val="none" w:sz="0" w:space="0" w:color="auto"/>
            <w:left w:val="none" w:sz="0" w:space="0" w:color="auto"/>
            <w:bottom w:val="none" w:sz="0" w:space="0" w:color="auto"/>
            <w:right w:val="none" w:sz="0" w:space="0" w:color="auto"/>
          </w:divBdr>
        </w:div>
        <w:div w:id="887447969">
          <w:marLeft w:val="1080"/>
          <w:marRight w:val="0"/>
          <w:marTop w:val="0"/>
          <w:marBottom w:val="82"/>
          <w:divBdr>
            <w:top w:val="none" w:sz="0" w:space="0" w:color="auto"/>
            <w:left w:val="none" w:sz="0" w:space="0" w:color="auto"/>
            <w:bottom w:val="none" w:sz="0" w:space="0" w:color="auto"/>
            <w:right w:val="none" w:sz="0" w:space="0" w:color="auto"/>
          </w:divBdr>
        </w:div>
        <w:div w:id="130557016">
          <w:marLeft w:val="1080"/>
          <w:marRight w:val="0"/>
          <w:marTop w:val="0"/>
          <w:marBottom w:val="8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P-SM.2153-5-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namericas.com/company-profile/es/agencia-nacional-de-telecomunicacoes-anatel" TargetMode="External"/><Relationship Id="rId4" Type="http://schemas.openxmlformats.org/officeDocument/2006/relationships/settings" Target="settings.xml"/><Relationship Id="rId9" Type="http://schemas.openxmlformats.org/officeDocument/2006/relationships/hyperlink" Target="mailto:aaa@ift.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9C0D3A57-66B2-4A4C-A473-378CAFB4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7578</Words>
  <Characters>41682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Jesus Bello Ramirez</cp:lastModifiedBy>
  <cp:revision>2</cp:revision>
  <cp:lastPrinted>2018-02-13T19:40:00Z</cp:lastPrinted>
  <dcterms:created xsi:type="dcterms:W3CDTF">2018-02-13T19:39:00Z</dcterms:created>
  <dcterms:modified xsi:type="dcterms:W3CDTF">2018-02-13T19:39:00Z</dcterms:modified>
</cp:coreProperties>
</file>