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058B" w:rsidRPr="00C254F6" w:rsidRDefault="0049058B">
      <w:pPr>
        <w:jc w:val="both"/>
        <w:rPr>
          <w:rFonts w:ascii="ITC Avant Garde" w:hAnsi="ITC Avant Garde" w:cs="ITC Avant Garde"/>
          <w:b/>
          <w:sz w:val="20"/>
          <w:szCs w:val="20"/>
        </w:rPr>
      </w:pPr>
      <w:r w:rsidRPr="00C254F6">
        <w:rPr>
          <w:rFonts w:ascii="ITC Avant Garde" w:hAnsi="ITC Avant Garde" w:cs="ITC Avant Garde"/>
          <w:b/>
          <w:sz w:val="20"/>
          <w:szCs w:val="20"/>
        </w:rPr>
        <w:t>RESPUESTAS GENERALES QUE PROPORCIONA EL INSTITUTO FEDERAL DE TELECOMUNICACIONES A LAS MANIFESTACIONES, OPINIONES, COMENTARIOS Y PROPUESTAS PRESENTADAS DURANTE LA CONSULTA PÚBLICA DEL:</w:t>
      </w:r>
    </w:p>
    <w:p w:rsidR="00900D5A" w:rsidRDefault="0049058B">
      <w:pPr>
        <w:jc w:val="both"/>
        <w:rPr>
          <w:rFonts w:ascii="ITC Avant Garde" w:hAnsi="ITC Avant Garde" w:cs="ITC Avant Garde"/>
          <w:b/>
          <w:sz w:val="20"/>
          <w:szCs w:val="20"/>
        </w:rPr>
      </w:pPr>
      <w:r w:rsidRPr="00C254F6">
        <w:rPr>
          <w:rFonts w:ascii="ITC Avant Garde" w:hAnsi="ITC Avant Garde" w:cs="ITC Avant Garde"/>
          <w:b/>
          <w:sz w:val="20"/>
          <w:szCs w:val="20"/>
        </w:rPr>
        <w:t>“</w:t>
      </w:r>
      <w:r w:rsidR="001F4E03" w:rsidRPr="001F4E03">
        <w:rPr>
          <w:rFonts w:ascii="ITC Avant Garde" w:hAnsi="ITC Avant Garde" w:cs="ITC Avant Garde"/>
          <w:b/>
          <w:sz w:val="20"/>
          <w:szCs w:val="20"/>
        </w:rPr>
        <w:t>ANTEPROYECTO DE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w:t>
      </w:r>
      <w:r w:rsidR="001F4E03">
        <w:rPr>
          <w:rFonts w:ascii="ITC Avant Garde" w:hAnsi="ITC Avant Garde" w:cs="ITC Avant Garde"/>
          <w:b/>
          <w:sz w:val="20"/>
          <w:szCs w:val="20"/>
        </w:rPr>
        <w:t>.”</w:t>
      </w:r>
    </w:p>
    <w:p w:rsidR="00B96E4E" w:rsidRDefault="0049058B">
      <w:pPr>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 xml:space="preserve">En relación con los comentarios, opiniones y propuestas concretas recibidas durante el periodo </w:t>
      </w:r>
      <w:r w:rsidR="00B77A93">
        <w:rPr>
          <w:rFonts w:ascii="ITC Avant Garde" w:eastAsia="Times New Roman" w:hAnsi="ITC Avant Garde" w:cs="ITC Avant Garde"/>
          <w:color w:val="000000"/>
          <w:sz w:val="20"/>
          <w:szCs w:val="20"/>
        </w:rPr>
        <w:t xml:space="preserve">de consulta pública </w:t>
      </w:r>
      <w:r w:rsidRPr="00C254F6">
        <w:rPr>
          <w:rFonts w:ascii="ITC Avant Garde" w:eastAsia="Times New Roman" w:hAnsi="ITC Avant Garde" w:cs="ITC Avant Garde"/>
          <w:color w:val="000000"/>
          <w:sz w:val="20"/>
          <w:szCs w:val="20"/>
        </w:rPr>
        <w:t>comprendido del 1</w:t>
      </w:r>
      <w:r w:rsidR="001F4E03">
        <w:rPr>
          <w:rFonts w:ascii="ITC Avant Garde" w:eastAsia="Times New Roman" w:hAnsi="ITC Avant Garde" w:cs="ITC Avant Garde"/>
          <w:color w:val="000000"/>
          <w:sz w:val="20"/>
          <w:szCs w:val="20"/>
        </w:rPr>
        <w:t>4</w:t>
      </w:r>
      <w:r w:rsidRPr="00C254F6">
        <w:rPr>
          <w:rFonts w:ascii="ITC Avant Garde" w:eastAsia="Times New Roman" w:hAnsi="ITC Avant Garde" w:cs="ITC Avant Garde"/>
          <w:color w:val="000000"/>
          <w:sz w:val="20"/>
          <w:szCs w:val="20"/>
        </w:rPr>
        <w:t xml:space="preserve"> de </w:t>
      </w:r>
      <w:r w:rsidR="00B96E4E">
        <w:rPr>
          <w:rFonts w:ascii="ITC Avant Garde" w:eastAsia="Times New Roman" w:hAnsi="ITC Avant Garde" w:cs="ITC Avant Garde"/>
          <w:color w:val="000000"/>
          <w:sz w:val="20"/>
          <w:szCs w:val="20"/>
        </w:rPr>
        <w:t>j</w:t>
      </w:r>
      <w:r w:rsidR="00900D5A" w:rsidRPr="00C254F6">
        <w:rPr>
          <w:rFonts w:ascii="ITC Avant Garde" w:eastAsia="Times New Roman" w:hAnsi="ITC Avant Garde" w:cs="ITC Avant Garde"/>
          <w:color w:val="000000"/>
          <w:sz w:val="20"/>
          <w:szCs w:val="20"/>
        </w:rPr>
        <w:t xml:space="preserve">ulio </w:t>
      </w:r>
      <w:r w:rsidRPr="00C254F6">
        <w:rPr>
          <w:rFonts w:ascii="ITC Avant Garde" w:eastAsia="Times New Roman" w:hAnsi="ITC Avant Garde" w:cs="ITC Avant Garde"/>
          <w:color w:val="000000"/>
          <w:sz w:val="20"/>
          <w:szCs w:val="20"/>
        </w:rPr>
        <w:t xml:space="preserve">al </w:t>
      </w:r>
      <w:r w:rsidR="001F4E03">
        <w:rPr>
          <w:rFonts w:ascii="ITC Avant Garde" w:eastAsia="Times New Roman" w:hAnsi="ITC Avant Garde" w:cs="ITC Avant Garde"/>
          <w:color w:val="000000"/>
          <w:sz w:val="20"/>
          <w:szCs w:val="20"/>
        </w:rPr>
        <w:t xml:space="preserve">12 </w:t>
      </w:r>
      <w:r w:rsidR="00B96E4E">
        <w:rPr>
          <w:rFonts w:ascii="ITC Avant Garde" w:eastAsia="Times New Roman" w:hAnsi="ITC Avant Garde" w:cs="ITC Avant Garde"/>
          <w:color w:val="000000"/>
          <w:sz w:val="20"/>
          <w:szCs w:val="20"/>
        </w:rPr>
        <w:t>de a</w:t>
      </w:r>
      <w:r w:rsidR="00900D5A" w:rsidRPr="00C254F6">
        <w:rPr>
          <w:rFonts w:ascii="ITC Avant Garde" w:eastAsia="Times New Roman" w:hAnsi="ITC Avant Garde" w:cs="ITC Avant Garde"/>
          <w:color w:val="000000"/>
          <w:sz w:val="20"/>
          <w:szCs w:val="20"/>
        </w:rPr>
        <w:t>gosto</w:t>
      </w:r>
      <w:r w:rsidRPr="00C254F6">
        <w:rPr>
          <w:rFonts w:ascii="ITC Avant Garde" w:eastAsia="Times New Roman" w:hAnsi="ITC Avant Garde" w:cs="ITC Avant Garde"/>
          <w:color w:val="000000"/>
          <w:sz w:val="20"/>
          <w:szCs w:val="20"/>
        </w:rPr>
        <w:t xml:space="preserve"> de 201</w:t>
      </w:r>
      <w:r w:rsidR="001F4E03">
        <w:rPr>
          <w:rFonts w:ascii="ITC Avant Garde" w:eastAsia="Times New Roman" w:hAnsi="ITC Avant Garde" w:cs="ITC Avant Garde"/>
          <w:color w:val="000000"/>
          <w:sz w:val="20"/>
          <w:szCs w:val="20"/>
        </w:rPr>
        <w:t>7</w:t>
      </w:r>
      <w:r w:rsidRPr="00C254F6">
        <w:rPr>
          <w:rFonts w:ascii="ITC Avant Garde" w:eastAsia="Times New Roman" w:hAnsi="ITC Avant Garde" w:cs="ITC Avant Garde"/>
          <w:color w:val="000000"/>
          <w:sz w:val="20"/>
          <w:szCs w:val="20"/>
        </w:rPr>
        <w:t xml:space="preserve"> respecto al Anteproyecto</w:t>
      </w:r>
      <w:r w:rsidR="00B77A93">
        <w:rPr>
          <w:rFonts w:ascii="ITC Avant Garde" w:eastAsia="Times New Roman" w:hAnsi="ITC Avant Garde" w:cs="ITC Avant Garde"/>
          <w:color w:val="000000"/>
          <w:sz w:val="20"/>
          <w:szCs w:val="20"/>
        </w:rPr>
        <w:t xml:space="preserve"> de mérito</w:t>
      </w:r>
      <w:r w:rsidRPr="00C254F6">
        <w:rPr>
          <w:rFonts w:ascii="ITC Avant Garde" w:eastAsia="Times New Roman" w:hAnsi="ITC Avant Garde" w:cs="ITC Avant Garde"/>
          <w:color w:val="000000"/>
          <w:sz w:val="20"/>
          <w:szCs w:val="20"/>
        </w:rPr>
        <w:t xml:space="preserve">, se informa que el Instituto Federal de Telecomunicaciones (en lo sucesivo, el “Instituto”) identificó diversos temas, por lo que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rsidR="0049058B" w:rsidRPr="00C254F6" w:rsidRDefault="0049058B">
      <w:pPr>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Una vez concluido el plazo de consulta respectivo, se publicaron en el portal de Internet del Instituto todos y cada uno de los comentarios, opiniones y propuestas concretas recibidas respecto del Anteproyecto, las cuales se encuentran disponibles al público en general</w:t>
      </w:r>
      <w:r w:rsidR="00B96E4E">
        <w:rPr>
          <w:rFonts w:ascii="ITC Avant Garde" w:eastAsia="Times New Roman" w:hAnsi="ITC Avant Garde" w:cs="ITC Avant Garde"/>
          <w:color w:val="000000"/>
          <w:sz w:val="20"/>
          <w:szCs w:val="20"/>
        </w:rPr>
        <w:t xml:space="preserve"> en el portal de Internet del Instituto</w:t>
      </w:r>
      <w:r w:rsidRPr="00C254F6">
        <w:rPr>
          <w:rFonts w:ascii="ITC Avant Garde" w:eastAsia="Times New Roman" w:hAnsi="ITC Avant Garde" w:cs="ITC Avant Garde"/>
          <w:color w:val="000000"/>
          <w:sz w:val="20"/>
          <w:szCs w:val="20"/>
        </w:rPr>
        <w:t xml:space="preserve">. </w:t>
      </w:r>
    </w:p>
    <w:p w:rsidR="0049058B" w:rsidRDefault="0049058B">
      <w:pPr>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 xml:space="preserve">Durante la consulta pública se </w:t>
      </w:r>
      <w:r w:rsidR="001F4E03">
        <w:rPr>
          <w:rFonts w:ascii="ITC Avant Garde" w:eastAsia="Times New Roman" w:hAnsi="ITC Avant Garde" w:cs="ITC Avant Garde"/>
          <w:color w:val="000000"/>
          <w:sz w:val="20"/>
          <w:szCs w:val="20"/>
        </w:rPr>
        <w:t>recibieron 15</w:t>
      </w:r>
      <w:r w:rsidR="001F4E03" w:rsidRPr="00C254F6">
        <w:rPr>
          <w:rFonts w:ascii="ITC Avant Garde" w:eastAsia="Times New Roman" w:hAnsi="ITC Avant Garde" w:cs="ITC Avant Garde"/>
          <w:color w:val="000000"/>
          <w:sz w:val="20"/>
          <w:szCs w:val="20"/>
        </w:rPr>
        <w:t xml:space="preserve"> </w:t>
      </w:r>
      <w:r w:rsidR="001F4E03">
        <w:rPr>
          <w:rFonts w:ascii="ITC Avant Garde" w:eastAsia="Times New Roman" w:hAnsi="ITC Avant Garde" w:cs="ITC Avant Garde"/>
          <w:color w:val="000000"/>
          <w:sz w:val="20"/>
          <w:szCs w:val="20"/>
        </w:rPr>
        <w:t xml:space="preserve">participaciones de </w:t>
      </w:r>
      <w:r w:rsidR="001F4E03" w:rsidRPr="00C254F6">
        <w:rPr>
          <w:rFonts w:ascii="ITC Avant Garde" w:eastAsia="Times New Roman" w:hAnsi="ITC Avant Garde" w:cs="ITC Avant Garde"/>
          <w:color w:val="000000"/>
          <w:sz w:val="20"/>
          <w:szCs w:val="20"/>
        </w:rPr>
        <w:t>personas morales</w:t>
      </w:r>
      <w:r w:rsidR="001F4E03">
        <w:rPr>
          <w:rFonts w:ascii="ITC Avant Garde" w:eastAsia="Times New Roman" w:hAnsi="ITC Avant Garde" w:cs="ITC Avant Garde"/>
          <w:color w:val="000000"/>
          <w:sz w:val="20"/>
          <w:szCs w:val="20"/>
        </w:rPr>
        <w:t>, las cuales</w:t>
      </w:r>
      <w:r w:rsidR="00E26695">
        <w:rPr>
          <w:rFonts w:ascii="ITC Avant Garde" w:eastAsia="Times New Roman" w:hAnsi="ITC Avant Garde" w:cs="ITC Avant Garde"/>
          <w:color w:val="000000"/>
          <w:sz w:val="20"/>
          <w:szCs w:val="20"/>
        </w:rPr>
        <w:t xml:space="preserve"> </w:t>
      </w:r>
      <w:r w:rsidR="001F4E03">
        <w:rPr>
          <w:rFonts w:ascii="ITC Avant Garde" w:eastAsia="Times New Roman" w:hAnsi="ITC Avant Garde" w:cs="ITC Avant Garde"/>
          <w:color w:val="000000"/>
          <w:sz w:val="20"/>
          <w:szCs w:val="20"/>
        </w:rPr>
        <w:t>se listan a continuación:</w:t>
      </w:r>
    </w:p>
    <w:p w:rsidR="0091701F" w:rsidRPr="00C254F6" w:rsidRDefault="0091701F">
      <w:pPr>
        <w:jc w:val="both"/>
        <w:rPr>
          <w:rFonts w:ascii="ITC Avant Garde" w:hAnsi="ITC Avant Garde" w:cs="ITC Avant Garde"/>
          <w:b/>
          <w:sz w:val="20"/>
          <w:szCs w:val="20"/>
        </w:rPr>
      </w:pPr>
    </w:p>
    <w:tbl>
      <w:tblPr>
        <w:tblW w:w="5000" w:type="pct"/>
        <w:tblLayout w:type="fixed"/>
        <w:tblCellMar>
          <w:left w:w="0" w:type="dxa"/>
          <w:right w:w="0" w:type="dxa"/>
        </w:tblCellMar>
        <w:tblLook w:val="04A0" w:firstRow="1" w:lastRow="0" w:firstColumn="1" w:lastColumn="0" w:noHBand="0" w:noVBand="1"/>
      </w:tblPr>
      <w:tblGrid>
        <w:gridCol w:w="1123"/>
        <w:gridCol w:w="7695"/>
      </w:tblGrid>
      <w:tr w:rsidR="0091701F" w:rsidRPr="0091701F" w:rsidTr="0091701F">
        <w:trPr>
          <w:trHeight w:val="541"/>
        </w:trPr>
        <w:tc>
          <w:tcPr>
            <w:tcW w:w="637" w:type="pct"/>
            <w:tcBorders>
              <w:top w:val="single" w:sz="8" w:space="0" w:color="9BBB59"/>
              <w:left w:val="single" w:sz="8" w:space="0" w:color="9BBB59"/>
              <w:bottom w:val="single" w:sz="8" w:space="0" w:color="9BBB59"/>
              <w:right w:val="nil"/>
            </w:tcBorders>
            <w:shd w:val="clear" w:color="auto" w:fill="9BBB59"/>
            <w:tcMar>
              <w:top w:w="15" w:type="dxa"/>
              <w:left w:w="47" w:type="dxa"/>
              <w:bottom w:w="0" w:type="dxa"/>
              <w:right w:w="47" w:type="dxa"/>
            </w:tcMar>
            <w:vAlign w:val="center"/>
            <w:hideMark/>
          </w:tcPr>
          <w:p w:rsidR="0091701F" w:rsidRPr="0091701F" w:rsidRDefault="0091701F" w:rsidP="0091701F">
            <w:pPr>
              <w:ind w:left="720" w:hanging="777"/>
              <w:jc w:val="center"/>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NÚMERO</w:t>
            </w:r>
          </w:p>
        </w:tc>
        <w:tc>
          <w:tcPr>
            <w:tcW w:w="4363" w:type="pct"/>
            <w:tcBorders>
              <w:top w:val="single" w:sz="8" w:space="0" w:color="9BBB59"/>
              <w:left w:val="nil"/>
              <w:bottom w:val="single" w:sz="8" w:space="0" w:color="9BBB59"/>
              <w:right w:val="single" w:sz="8" w:space="0" w:color="9BBB59"/>
            </w:tcBorders>
            <w:shd w:val="clear" w:color="auto" w:fill="9BBB59"/>
            <w:tcMar>
              <w:top w:w="15" w:type="dxa"/>
              <w:left w:w="47" w:type="dxa"/>
              <w:bottom w:w="0" w:type="dxa"/>
              <w:right w:w="47" w:type="dxa"/>
            </w:tcMar>
            <w:vAlign w:val="center"/>
            <w:hideMark/>
          </w:tcPr>
          <w:p w:rsidR="0091701F" w:rsidRPr="0091701F" w:rsidRDefault="0091701F" w:rsidP="0091701F">
            <w:pPr>
              <w:ind w:left="720"/>
              <w:jc w:val="center"/>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NOMBRE O  RAZÓN SOCIAL</w:t>
            </w:r>
          </w:p>
        </w:tc>
      </w:tr>
      <w:tr w:rsidR="0091701F" w:rsidRPr="0091701F" w:rsidTr="0091701F">
        <w:trPr>
          <w:trHeight w:val="288"/>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1</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91701F" w:rsidP="0091701F">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ALTÁN REDES, S.A.P.I. DE C.V.</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2</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hideMark/>
          </w:tcPr>
          <w:p w:rsidR="0091701F" w:rsidRPr="0091701F" w:rsidRDefault="0091701F" w:rsidP="0091701F">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OMNISPACE MÉXICO, S. DE R.L. DE C.V.</w:t>
            </w:r>
          </w:p>
        </w:tc>
      </w:tr>
      <w:tr w:rsidR="0091701F" w:rsidRPr="0091701F" w:rsidTr="0091701F">
        <w:trPr>
          <w:trHeight w:val="541"/>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3</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91701F" w:rsidP="0091701F">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ORGANISMO PROMOTOR DE INVERSIONES EN TELECOMUNICACIONES (PROMTEL).</w:t>
            </w:r>
          </w:p>
        </w:tc>
      </w:tr>
      <w:tr w:rsidR="0091701F" w:rsidRPr="0091701F" w:rsidTr="0091701F">
        <w:trPr>
          <w:trHeight w:val="541"/>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4</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hideMark/>
          </w:tcPr>
          <w:p w:rsidR="0091701F" w:rsidRPr="0091701F" w:rsidRDefault="0091701F" w:rsidP="00E26695">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CÁMARA NACIONAL DE LA INDUSTRIA ELECTRÓNICA, DE TELECOMUNICACIONES Y TECNOLOGÍAS DE LA INFORMACIÓN (CANIETI).</w:t>
            </w:r>
          </w:p>
        </w:tc>
      </w:tr>
      <w:tr w:rsidR="0091701F" w:rsidRPr="0091701F" w:rsidTr="0091701F">
        <w:trPr>
          <w:trHeight w:val="271"/>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5</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91701F" w:rsidP="0091701F">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AXTEL.</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6</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hideMark/>
          </w:tcPr>
          <w:p w:rsidR="0091701F" w:rsidRPr="0091701F" w:rsidRDefault="0091701F" w:rsidP="0091701F">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NORMALIZACIÓN Y CERTIFICACIÓN NYCE, SC. (NYCE).</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7</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91701F" w:rsidP="0091701F">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ASOCIACIÓN NACIONAL DE TELECOMUNICACIONES, A.C. (ANATEL).</w:t>
            </w:r>
          </w:p>
        </w:tc>
      </w:tr>
      <w:tr w:rsidR="0091701F" w:rsidRPr="0043649B" w:rsidTr="0091701F">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8</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hideMark/>
          </w:tcPr>
          <w:p w:rsidR="0091701F" w:rsidRPr="00886182" w:rsidRDefault="0091701F" w:rsidP="0091701F">
            <w:pPr>
              <w:ind w:left="248"/>
              <w:rPr>
                <w:rFonts w:ascii="ITC Avant Garde" w:eastAsia="Times New Roman" w:hAnsi="ITC Avant Garde" w:cs="ITC Avant Garde"/>
                <w:b/>
                <w:bCs/>
                <w:color w:val="000000"/>
                <w:sz w:val="20"/>
                <w:szCs w:val="20"/>
                <w:lang w:val="en-GB"/>
              </w:rPr>
            </w:pPr>
            <w:r w:rsidRPr="00886182">
              <w:rPr>
                <w:rFonts w:ascii="ITC Avant Garde" w:eastAsia="Times New Roman" w:hAnsi="ITC Avant Garde" w:cs="ITC Avant Garde"/>
                <w:b/>
                <w:bCs/>
                <w:color w:val="000000"/>
                <w:sz w:val="20"/>
                <w:szCs w:val="20"/>
                <w:lang w:val="en-GB"/>
              </w:rPr>
              <w:t>ADVANCE WIRE &amp; WIRELESS LABORATORIOS SC.</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9</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91701F" w:rsidP="0091701F">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QUALCOMM INTERNATIONAL INC.</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10</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hideMark/>
          </w:tcPr>
          <w:p w:rsidR="0091701F" w:rsidRPr="0091701F" w:rsidRDefault="0091701F" w:rsidP="0091701F">
            <w:pPr>
              <w:ind w:left="248"/>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ASOCIACION DE NORMALIZACION Y CERTIFICACION, A.C. (ANCE).</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lastRenderedPageBreak/>
              <w:t>11</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91701F" w:rsidP="00E26695">
            <w:pPr>
              <w:ind w:left="248"/>
              <w:rPr>
                <w:rFonts w:ascii="ITC Avant Garde" w:eastAsia="Times New Roman" w:hAnsi="ITC Avant Garde" w:cs="ITC Avant Garde"/>
                <w:b/>
                <w:bCs/>
                <w:color w:val="000000"/>
                <w:sz w:val="20"/>
                <w:szCs w:val="20"/>
                <w:lang w:val="es-MX"/>
              </w:rPr>
            </w:pPr>
            <w:r w:rsidRPr="00886182">
              <w:rPr>
                <w:rFonts w:ascii="ITC Avant Garde" w:eastAsia="Times New Roman" w:hAnsi="ITC Avant Garde" w:cs="ITC Avant Garde"/>
                <w:b/>
                <w:bCs/>
                <w:color w:val="000000"/>
                <w:sz w:val="20"/>
                <w:szCs w:val="20"/>
                <w:lang w:val="en-GB"/>
              </w:rPr>
              <w:t xml:space="preserve">NOKIA SOLUTIONS AND NETWORKS SA. </w:t>
            </w:r>
            <w:r w:rsidRPr="0091701F">
              <w:rPr>
                <w:rFonts w:ascii="ITC Avant Garde" w:eastAsia="Times New Roman" w:hAnsi="ITC Avant Garde" w:cs="ITC Avant Garde"/>
                <w:b/>
                <w:bCs/>
                <w:color w:val="000000"/>
                <w:sz w:val="20"/>
                <w:szCs w:val="20"/>
                <w:lang w:val="es-MX"/>
              </w:rPr>
              <w:t>DE CV.</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12</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 xml:space="preserve">OPERBES, S.A. de C.V. </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13</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DIVERACY, S.A. DE C.V.</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14</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CLUMTI, A.C.</w:t>
            </w:r>
          </w:p>
        </w:tc>
      </w:tr>
      <w:tr w:rsidR="0091701F" w:rsidRPr="0091701F" w:rsidTr="0091701F">
        <w:trPr>
          <w:trHeight w:val="350"/>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15</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VIRTUALWARE MÉXICO, S. DE R.L DE C.V.</w:t>
            </w:r>
          </w:p>
        </w:tc>
      </w:tr>
    </w:tbl>
    <w:p w:rsidR="00900D5A" w:rsidRPr="00C254F6" w:rsidRDefault="00900D5A" w:rsidP="00D770BD">
      <w:pPr>
        <w:ind w:left="720"/>
        <w:jc w:val="both"/>
        <w:rPr>
          <w:rFonts w:ascii="ITC Avant Garde" w:eastAsia="Times New Roman" w:hAnsi="ITC Avant Garde" w:cs="ITC Avant Garde"/>
          <w:color w:val="000000"/>
          <w:sz w:val="20"/>
          <w:szCs w:val="20"/>
          <w:lang w:val="es-MX"/>
        </w:rPr>
      </w:pPr>
    </w:p>
    <w:p w:rsidR="00AE514D" w:rsidRDefault="007B5DB5" w:rsidP="00AE514D">
      <w:pPr>
        <w:pStyle w:val="Prrafodelista1"/>
        <w:spacing w:line="276" w:lineRule="auto"/>
        <w:ind w:left="0"/>
        <w:jc w:val="both"/>
        <w:rPr>
          <w:rFonts w:ascii="ITC Avant Garde" w:hAnsi="ITC Avant Garde" w:cs="ITC Avant Garde"/>
          <w:b/>
          <w:sz w:val="20"/>
          <w:szCs w:val="20"/>
        </w:rPr>
      </w:pPr>
      <w:r w:rsidRPr="004176D0">
        <w:rPr>
          <w:rFonts w:ascii="ITC Avant Garde" w:hAnsi="ITC Avant Garde" w:cs="ITC Avant Garde"/>
          <w:sz w:val="20"/>
          <w:szCs w:val="20"/>
        </w:rPr>
        <w:t>De acuerdo a los comentarios recibidos durante la Consulta Pública se</w:t>
      </w:r>
      <w:r w:rsidR="00AE514D" w:rsidRPr="004176D0">
        <w:rPr>
          <w:rFonts w:ascii="ITC Avant Garde" w:hAnsi="ITC Avant Garde" w:cs="ITC Avant Garde"/>
          <w:sz w:val="20"/>
          <w:szCs w:val="20"/>
        </w:rPr>
        <w:t xml:space="preserve"> integra</w:t>
      </w:r>
      <w:r w:rsidRPr="004176D0">
        <w:rPr>
          <w:rFonts w:ascii="ITC Avant Garde" w:hAnsi="ITC Avant Garde" w:cs="ITC Avant Garde"/>
          <w:sz w:val="20"/>
          <w:szCs w:val="20"/>
        </w:rPr>
        <w:t>ron</w:t>
      </w:r>
      <w:r w:rsidR="00B96E4E" w:rsidRPr="004176D0">
        <w:rPr>
          <w:rFonts w:ascii="ITC Avant Garde" w:hAnsi="ITC Avant Garde" w:cs="ITC Avant Garde"/>
          <w:sz w:val="20"/>
          <w:szCs w:val="20"/>
        </w:rPr>
        <w:t>, modificaron</w:t>
      </w:r>
      <w:r w:rsidR="00AE514D" w:rsidRPr="004176D0">
        <w:rPr>
          <w:rFonts w:ascii="ITC Avant Garde" w:hAnsi="ITC Avant Garde" w:cs="ITC Avant Garde"/>
          <w:sz w:val="20"/>
          <w:szCs w:val="20"/>
        </w:rPr>
        <w:t xml:space="preserve"> </w:t>
      </w:r>
      <w:r w:rsidR="00137D3B" w:rsidRPr="004176D0">
        <w:rPr>
          <w:rFonts w:ascii="ITC Avant Garde" w:hAnsi="ITC Avant Garde" w:cs="ITC Avant Garde"/>
          <w:sz w:val="20"/>
          <w:szCs w:val="20"/>
        </w:rPr>
        <w:t>y/o elimina</w:t>
      </w:r>
      <w:r w:rsidRPr="004176D0">
        <w:rPr>
          <w:rFonts w:ascii="ITC Avant Garde" w:hAnsi="ITC Avant Garde" w:cs="ITC Avant Garde"/>
          <w:sz w:val="20"/>
          <w:szCs w:val="20"/>
        </w:rPr>
        <w:t>ron</w:t>
      </w:r>
      <w:r w:rsidR="00AE514D" w:rsidRPr="004176D0">
        <w:rPr>
          <w:rFonts w:ascii="ITC Avant Garde" w:hAnsi="ITC Avant Garde" w:cs="ITC Avant Garde"/>
          <w:sz w:val="20"/>
          <w:szCs w:val="20"/>
        </w:rPr>
        <w:t xml:space="preserve"> definiciones, </w:t>
      </w:r>
      <w:r w:rsidR="00C9399E" w:rsidRPr="004176D0">
        <w:rPr>
          <w:rFonts w:ascii="ITC Avant Garde" w:hAnsi="ITC Avant Garde" w:cs="ITC Avant Garde"/>
          <w:sz w:val="20"/>
          <w:szCs w:val="20"/>
        </w:rPr>
        <w:t xml:space="preserve">numerales </w:t>
      </w:r>
      <w:r w:rsidR="00137D3B" w:rsidRPr="004176D0">
        <w:rPr>
          <w:rFonts w:ascii="ITC Avant Garde" w:hAnsi="ITC Avant Garde" w:cs="ITC Avant Garde"/>
          <w:sz w:val="20"/>
          <w:szCs w:val="20"/>
        </w:rPr>
        <w:t>y fracciones</w:t>
      </w:r>
      <w:r w:rsidR="009F7DD3" w:rsidRPr="004176D0">
        <w:rPr>
          <w:rFonts w:ascii="ITC Avant Garde" w:hAnsi="ITC Avant Garde" w:cs="ITC Avant Garde"/>
          <w:sz w:val="20"/>
          <w:szCs w:val="20"/>
        </w:rPr>
        <w:t xml:space="preserve"> en</w:t>
      </w:r>
      <w:r w:rsidR="00137D3B" w:rsidRPr="004176D0">
        <w:rPr>
          <w:rFonts w:ascii="ITC Avant Garde" w:hAnsi="ITC Avant Garde" w:cs="ITC Avant Garde"/>
          <w:sz w:val="20"/>
          <w:szCs w:val="20"/>
        </w:rPr>
        <w:t xml:space="preserve"> </w:t>
      </w:r>
      <w:r w:rsidR="009F7DD3" w:rsidRPr="004176D0">
        <w:rPr>
          <w:rFonts w:ascii="ITC Avant Garde" w:hAnsi="ITC Avant Garde" w:cs="ITC Avant Garde"/>
          <w:sz w:val="20"/>
          <w:szCs w:val="20"/>
        </w:rPr>
        <w:t>el anteproyecto</w:t>
      </w:r>
      <w:r w:rsidR="00941E0C" w:rsidRPr="004176D0">
        <w:rPr>
          <w:rFonts w:ascii="ITC Avant Garde" w:hAnsi="ITC Avant Garde" w:cs="ITC Avant Garde"/>
          <w:sz w:val="20"/>
          <w:szCs w:val="20"/>
        </w:rPr>
        <w:t xml:space="preserve"> original</w:t>
      </w:r>
      <w:r w:rsidR="009F7DD3" w:rsidRPr="004176D0">
        <w:rPr>
          <w:rFonts w:ascii="ITC Avant Garde" w:hAnsi="ITC Avant Garde" w:cs="ITC Avant Garde"/>
          <w:sz w:val="20"/>
          <w:szCs w:val="20"/>
        </w:rPr>
        <w:t xml:space="preserve">, </w:t>
      </w:r>
      <w:r w:rsidR="00941E0C" w:rsidRPr="004176D0">
        <w:rPr>
          <w:rFonts w:ascii="ITC Avant Garde" w:hAnsi="ITC Avant Garde" w:cs="ITC Avant Garde"/>
          <w:sz w:val="20"/>
          <w:szCs w:val="20"/>
        </w:rPr>
        <w:t xml:space="preserve">por lo tanto el proyecto que ahora nos ocupa </w:t>
      </w:r>
      <w:r w:rsidR="009F7DD3" w:rsidRPr="004176D0">
        <w:rPr>
          <w:rFonts w:ascii="ITC Avant Garde" w:hAnsi="ITC Avant Garde" w:cs="ITC Avant Garde"/>
          <w:sz w:val="20"/>
          <w:szCs w:val="20"/>
        </w:rPr>
        <w:t>sufrió un</w:t>
      </w:r>
      <w:r w:rsidR="00137D3B" w:rsidRPr="004176D0">
        <w:rPr>
          <w:rFonts w:ascii="ITC Avant Garde" w:hAnsi="ITC Avant Garde" w:cs="ITC Avant Garde"/>
          <w:sz w:val="20"/>
          <w:szCs w:val="20"/>
        </w:rPr>
        <w:t xml:space="preserve"> reordenamiento </w:t>
      </w:r>
      <w:r w:rsidR="00941E0C" w:rsidRPr="004176D0">
        <w:rPr>
          <w:rFonts w:ascii="ITC Avant Garde" w:hAnsi="ITC Avant Garde" w:cs="ITC Avant Garde"/>
          <w:sz w:val="20"/>
          <w:szCs w:val="20"/>
        </w:rPr>
        <w:t xml:space="preserve">lo cual </w:t>
      </w:r>
      <w:r w:rsidR="00886182">
        <w:rPr>
          <w:rFonts w:ascii="ITC Avant Garde" w:hAnsi="ITC Avant Garde" w:cs="ITC Avant Garde"/>
          <w:sz w:val="20"/>
          <w:szCs w:val="20"/>
        </w:rPr>
        <w:t>se</w:t>
      </w:r>
      <w:r w:rsidR="00137D3B" w:rsidRPr="004176D0">
        <w:rPr>
          <w:rFonts w:ascii="ITC Avant Garde" w:hAnsi="ITC Avant Garde" w:cs="ITC Avant Garde"/>
          <w:sz w:val="20"/>
          <w:szCs w:val="20"/>
        </w:rPr>
        <w:t xml:space="preserve"> </w:t>
      </w:r>
      <w:r w:rsidR="00886182">
        <w:rPr>
          <w:rFonts w:ascii="ITC Avant Garde" w:hAnsi="ITC Avant Garde" w:cs="ITC Avant Garde"/>
          <w:sz w:val="20"/>
          <w:szCs w:val="20"/>
        </w:rPr>
        <w:t>refleja</w:t>
      </w:r>
      <w:r w:rsidR="00941E0C" w:rsidRPr="004176D0">
        <w:rPr>
          <w:rFonts w:ascii="ITC Avant Garde" w:hAnsi="ITC Avant Garde" w:cs="ITC Avant Garde"/>
          <w:sz w:val="20"/>
          <w:szCs w:val="20"/>
        </w:rPr>
        <w:t xml:space="preserve"> </w:t>
      </w:r>
      <w:r w:rsidR="00137D3B" w:rsidRPr="004176D0">
        <w:rPr>
          <w:rFonts w:ascii="ITC Avant Garde" w:hAnsi="ITC Avant Garde" w:cs="ITC Avant Garde"/>
          <w:sz w:val="20"/>
          <w:szCs w:val="20"/>
        </w:rPr>
        <w:t>en el proyecto final</w:t>
      </w:r>
      <w:r w:rsidR="00137D3B" w:rsidRPr="00C254F6">
        <w:rPr>
          <w:rFonts w:ascii="ITC Avant Garde" w:hAnsi="ITC Avant Garde" w:cs="ITC Avant Garde"/>
          <w:b/>
          <w:sz w:val="20"/>
          <w:szCs w:val="20"/>
        </w:rPr>
        <w:t>.</w:t>
      </w:r>
    </w:p>
    <w:p w:rsidR="0091701F" w:rsidRPr="00C254F6" w:rsidRDefault="0091701F" w:rsidP="00AE514D">
      <w:pPr>
        <w:pStyle w:val="Prrafodelista1"/>
        <w:spacing w:line="276" w:lineRule="auto"/>
        <w:ind w:left="0"/>
        <w:jc w:val="both"/>
        <w:rPr>
          <w:rFonts w:ascii="ITC Avant Garde" w:hAnsi="ITC Avant Garde" w:cs="ITC Avant Garde"/>
          <w:b/>
          <w:sz w:val="20"/>
          <w:szCs w:val="20"/>
        </w:rPr>
      </w:pPr>
    </w:p>
    <w:p w:rsidR="0049058B" w:rsidRPr="00C254F6" w:rsidRDefault="0083314B" w:rsidP="00137D3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Titulo</w:t>
      </w:r>
      <w:r w:rsidR="0049058B" w:rsidRPr="00C254F6">
        <w:rPr>
          <w:rFonts w:ascii="ITC Avant Garde" w:hAnsi="ITC Avant Garde" w:cs="ITC Avant Garde"/>
          <w:b/>
          <w:sz w:val="20"/>
          <w:szCs w:val="20"/>
        </w:rPr>
        <w:t xml:space="preserve"> - Disposiciones Generales – Lineamiento Primero</w:t>
      </w:r>
      <w:r w:rsidR="0014721F">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Participantes:</w:t>
      </w:r>
    </w:p>
    <w:p w:rsidR="0049058B" w:rsidRPr="00C254F6" w:rsidRDefault="005F5BF8" w:rsidP="00D770BD">
      <w:pPr>
        <w:jc w:val="both"/>
        <w:rPr>
          <w:rFonts w:ascii="ITC Avant Garde" w:eastAsia="Times New Roman" w:hAnsi="ITC Avant Garde" w:cs="ITC Avant Garde"/>
          <w:b/>
          <w:color w:val="000000"/>
          <w:sz w:val="20"/>
          <w:szCs w:val="20"/>
        </w:rPr>
      </w:pPr>
      <w:r>
        <w:rPr>
          <w:rFonts w:ascii="ITC Avant Garde" w:eastAsia="Times New Roman" w:hAnsi="ITC Avant Garde" w:cs="ITC Avant Garde"/>
          <w:color w:val="000000"/>
          <w:sz w:val="20"/>
          <w:szCs w:val="20"/>
          <w:lang w:val="es-MX"/>
        </w:rPr>
        <w:t xml:space="preserve">CANIETI, </w:t>
      </w:r>
      <w:r w:rsidR="00B96E4E">
        <w:rPr>
          <w:rFonts w:ascii="ITC Avant Garde" w:eastAsia="Times New Roman" w:hAnsi="ITC Avant Garde" w:cs="ITC Avant Garde"/>
          <w:color w:val="000000"/>
          <w:sz w:val="20"/>
          <w:szCs w:val="20"/>
          <w:lang w:val="es-MX"/>
        </w:rPr>
        <w:t>A</w:t>
      </w:r>
      <w:r>
        <w:rPr>
          <w:rFonts w:ascii="ITC Avant Garde" w:eastAsia="Times New Roman" w:hAnsi="ITC Avant Garde" w:cs="ITC Avant Garde"/>
          <w:color w:val="000000"/>
          <w:sz w:val="20"/>
          <w:szCs w:val="20"/>
          <w:lang w:val="es-MX"/>
        </w:rPr>
        <w:t>DVANCE y NYCE</w:t>
      </w:r>
      <w:r w:rsidR="00B96E4E">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Propuesta:</w:t>
      </w:r>
    </w:p>
    <w:p w:rsidR="005F5BF8" w:rsidRDefault="005F5BF8" w:rsidP="005F5BF8">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lang w:val="es-MX"/>
        </w:rPr>
        <w:t>CANIETI</w:t>
      </w:r>
      <w:r w:rsidR="00B029AD">
        <w:rPr>
          <w:rFonts w:ascii="ITC Avant Garde" w:eastAsia="Times New Roman" w:hAnsi="ITC Avant Garde" w:cs="ITC Avant Garde"/>
          <w:color w:val="000000"/>
          <w:sz w:val="20"/>
          <w:szCs w:val="20"/>
          <w:lang w:val="es-MX"/>
        </w:rPr>
        <w:t xml:space="preserve"> y</w:t>
      </w:r>
      <w:r>
        <w:rPr>
          <w:rFonts w:ascii="ITC Avant Garde" w:eastAsia="Times New Roman" w:hAnsi="ITC Avant Garde" w:cs="ITC Avant Garde"/>
          <w:color w:val="000000"/>
          <w:sz w:val="20"/>
          <w:szCs w:val="20"/>
          <w:lang w:val="es-MX"/>
        </w:rPr>
        <w:t xml:space="preserve"> ADVANCE sugiere:</w:t>
      </w:r>
      <w:r>
        <w:rPr>
          <w:rFonts w:ascii="ITC Avant Garde" w:eastAsia="Times New Roman" w:hAnsi="ITC Avant Garde" w:cs="ITC Avant Garde"/>
          <w:color w:val="000000"/>
          <w:sz w:val="20"/>
          <w:szCs w:val="20"/>
        </w:rPr>
        <w:t xml:space="preserve"> </w:t>
      </w:r>
    </w:p>
    <w:p w:rsidR="005F5BF8" w:rsidRDefault="005F5BF8" w:rsidP="005F5BF8">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 xml:space="preserve">Los participantes </w:t>
      </w:r>
      <w:r w:rsidR="00A10661">
        <w:rPr>
          <w:rFonts w:ascii="ITC Avant Garde" w:eastAsia="Times New Roman" w:hAnsi="ITC Avant Garde" w:cs="ITC Avant Garde"/>
          <w:color w:val="000000"/>
          <w:sz w:val="20"/>
          <w:szCs w:val="20"/>
        </w:rPr>
        <w:t>sugiere</w:t>
      </w:r>
      <w:r>
        <w:rPr>
          <w:rFonts w:ascii="ITC Avant Garde" w:eastAsia="Times New Roman" w:hAnsi="ITC Avant Garde" w:cs="ITC Avant Garde"/>
          <w:color w:val="000000"/>
          <w:sz w:val="20"/>
          <w:szCs w:val="20"/>
        </w:rPr>
        <w:t>n</w:t>
      </w:r>
      <w:r w:rsidR="00C9399E" w:rsidRPr="00C254F6">
        <w:rPr>
          <w:rFonts w:ascii="ITC Avant Garde" w:eastAsia="Times New Roman" w:hAnsi="ITC Avant Garde" w:cs="ITC Avant Garde"/>
          <w:color w:val="000000"/>
          <w:sz w:val="20"/>
          <w:szCs w:val="20"/>
        </w:rPr>
        <w:t xml:space="preserve"> modificar el título del anteproyecto, </w:t>
      </w:r>
      <w:r>
        <w:rPr>
          <w:rFonts w:ascii="ITC Avant Garde" w:eastAsia="Times New Roman" w:hAnsi="ITC Avant Garde" w:cs="ITC Avant Garde"/>
          <w:color w:val="000000"/>
          <w:sz w:val="20"/>
          <w:szCs w:val="20"/>
        </w:rPr>
        <w:t>el cual debe incluir la banda de frecuencia de operación de 850 MHz y 1700 MHz, así como incorporar la siguiente notación: IFT-011/2-2017.</w:t>
      </w:r>
    </w:p>
    <w:p w:rsidR="005F5BF8" w:rsidRPr="005F5BF8" w:rsidRDefault="005F5BF8" w:rsidP="005F5BF8">
      <w:pPr>
        <w:spacing w:line="276" w:lineRule="auto"/>
        <w:jc w:val="both"/>
        <w:rPr>
          <w:rFonts w:ascii="ITC Avant Garde" w:eastAsia="Times New Roman" w:hAnsi="ITC Avant Garde" w:cs="ITC Avant Garde"/>
          <w:color w:val="000000"/>
          <w:sz w:val="20"/>
          <w:szCs w:val="20"/>
        </w:rPr>
      </w:pPr>
      <w:r w:rsidRPr="005F5BF8">
        <w:rPr>
          <w:rFonts w:ascii="ITC Avant Garde" w:eastAsia="Times New Roman" w:hAnsi="ITC Avant Garde" w:cs="ITC Avant Garde"/>
          <w:color w:val="000000"/>
          <w:sz w:val="20"/>
          <w:szCs w:val="20"/>
        </w:rPr>
        <w:t>La adición de la banda 1700 MHz impacta todo el documento, por ejemplo la inclusión en las especificaciones de potencia, tolerancia en frecuencia y de emisiones no deseadas, así como los respectivos métodos de prueba.</w:t>
      </w:r>
    </w:p>
    <w:p w:rsidR="005F5BF8" w:rsidRDefault="00C066A4" w:rsidP="005F5BF8">
      <w:pPr>
        <w:pStyle w:val="Textocomentario"/>
        <w:rPr>
          <w:b/>
        </w:rPr>
      </w:pPr>
      <w:r w:rsidRPr="00C254F6">
        <w:rPr>
          <w:rFonts w:ascii="ITC Avant Garde" w:eastAsia="Times New Roman" w:hAnsi="ITC Avant Garde" w:cs="ITC Avant Garde"/>
          <w:color w:val="000000"/>
        </w:rPr>
        <w:t>NYCE</w:t>
      </w:r>
      <w:r w:rsidR="006B0852" w:rsidRPr="00C254F6">
        <w:rPr>
          <w:rFonts w:ascii="ITC Avant Garde" w:eastAsia="Times New Roman" w:hAnsi="ITC Avant Garde" w:cs="ITC Avant Garde"/>
          <w:color w:val="000000"/>
        </w:rPr>
        <w:t xml:space="preserve"> sugiere</w:t>
      </w:r>
      <w:r w:rsidR="005F5BF8">
        <w:rPr>
          <w:b/>
        </w:rPr>
        <w:t>:</w:t>
      </w:r>
    </w:p>
    <w:p w:rsidR="005F5BF8" w:rsidRPr="005F5BF8" w:rsidRDefault="005F5BF8" w:rsidP="005F5BF8">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 xml:space="preserve">El participante sugiere modificar el </w:t>
      </w:r>
      <w:r w:rsidR="006769FE">
        <w:rPr>
          <w:rFonts w:ascii="ITC Avant Garde" w:eastAsia="Times New Roman" w:hAnsi="ITC Avant Garde" w:cs="ITC Avant Garde"/>
          <w:color w:val="000000"/>
          <w:sz w:val="20"/>
          <w:szCs w:val="20"/>
        </w:rPr>
        <w:t>título</w:t>
      </w:r>
      <w:r>
        <w:rPr>
          <w:rFonts w:ascii="ITC Avant Garde" w:eastAsia="Times New Roman" w:hAnsi="ITC Avant Garde" w:cs="ITC Avant Garde"/>
          <w:color w:val="000000"/>
          <w:sz w:val="20"/>
          <w:szCs w:val="20"/>
        </w:rPr>
        <w:t xml:space="preserve"> para quedar en los </w:t>
      </w:r>
      <w:r w:rsidR="008A2164">
        <w:rPr>
          <w:rFonts w:ascii="ITC Avant Garde" w:eastAsia="Times New Roman" w:hAnsi="ITC Avant Garde" w:cs="ITC Avant Garde"/>
          <w:color w:val="000000"/>
          <w:sz w:val="20"/>
          <w:szCs w:val="20"/>
        </w:rPr>
        <w:t>siguientes</w:t>
      </w:r>
      <w:r>
        <w:rPr>
          <w:rFonts w:ascii="ITC Avant Garde" w:eastAsia="Times New Roman" w:hAnsi="ITC Avant Garde" w:cs="ITC Avant Garde"/>
          <w:color w:val="000000"/>
          <w:sz w:val="20"/>
          <w:szCs w:val="20"/>
        </w:rPr>
        <w:t xml:space="preserve"> términos: “</w:t>
      </w:r>
      <w:r w:rsidRPr="005F5BF8">
        <w:rPr>
          <w:rFonts w:ascii="ITC Avant Garde" w:eastAsia="Times New Roman" w:hAnsi="ITC Avant Garde" w:cs="ITC Avant Garde"/>
          <w:color w:val="000000"/>
          <w:sz w:val="20"/>
          <w:szCs w:val="20"/>
        </w:rPr>
        <w:t>Anteproyecto de disposición técnica…que operan en las bandas de 700 MHz, 800 MHz, 850 MHz, 1900 MHz, 2100 MHz y 2500 MHZ, o combinaciones de las mismas</w:t>
      </w:r>
      <w:r>
        <w:rPr>
          <w:rFonts w:ascii="ITC Avant Garde" w:eastAsia="Times New Roman" w:hAnsi="ITC Avant Garde" w:cs="ITC Avant Garde"/>
          <w:color w:val="000000"/>
          <w:sz w:val="20"/>
          <w:szCs w:val="20"/>
        </w:rPr>
        <w:t>”</w:t>
      </w:r>
      <w:r w:rsidRPr="005F5BF8">
        <w:rPr>
          <w:rFonts w:ascii="ITC Avant Garde" w:eastAsia="Times New Roman" w:hAnsi="ITC Avant Garde" w:cs="ITC Avant Garde"/>
          <w:color w:val="000000"/>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Respuesta:</w:t>
      </w:r>
    </w:p>
    <w:p w:rsidR="005F5BF8" w:rsidRPr="008A2164" w:rsidRDefault="005F5BF8" w:rsidP="008A2164">
      <w:pPr>
        <w:spacing w:line="276" w:lineRule="auto"/>
        <w:jc w:val="both"/>
        <w:rPr>
          <w:rFonts w:ascii="ITC Avant Garde" w:eastAsia="Times New Roman" w:hAnsi="ITC Avant Garde" w:cs="ITC Avant Garde"/>
          <w:color w:val="000000"/>
          <w:sz w:val="20"/>
          <w:szCs w:val="20"/>
        </w:rPr>
      </w:pPr>
      <w:r w:rsidRPr="008A2164">
        <w:rPr>
          <w:rFonts w:ascii="ITC Avant Garde" w:eastAsia="Times New Roman" w:hAnsi="ITC Avant Garde" w:cs="ITC Avant Garde"/>
          <w:color w:val="000000"/>
          <w:sz w:val="20"/>
          <w:szCs w:val="20"/>
        </w:rPr>
        <w:t>Se considera parcialmente.</w:t>
      </w:r>
    </w:p>
    <w:p w:rsidR="00E41A8F" w:rsidRPr="008A2164" w:rsidRDefault="008A2164" w:rsidP="008A2164">
      <w:pPr>
        <w:spacing w:line="276" w:lineRule="auto"/>
        <w:jc w:val="both"/>
        <w:rPr>
          <w:rFonts w:ascii="ITC Avant Garde" w:eastAsia="Times New Roman" w:hAnsi="ITC Avant Garde" w:cs="ITC Avant Garde"/>
          <w:color w:val="000000"/>
          <w:sz w:val="20"/>
          <w:szCs w:val="20"/>
        </w:rPr>
      </w:pPr>
      <w:r w:rsidRPr="008A2164">
        <w:rPr>
          <w:rFonts w:ascii="ITC Avant Garde" w:eastAsia="Times New Roman" w:hAnsi="ITC Avant Garde" w:cs="ITC Avant Garde"/>
          <w:color w:val="000000"/>
          <w:sz w:val="20"/>
          <w:szCs w:val="20"/>
        </w:rPr>
        <w:t>Respecto a la notación en el título propuesto por CANIETI</w:t>
      </w:r>
      <w:r w:rsidR="00E41A8F">
        <w:rPr>
          <w:rFonts w:ascii="ITC Avant Garde" w:eastAsia="Times New Roman" w:hAnsi="ITC Avant Garde" w:cs="ITC Avant Garde"/>
          <w:color w:val="000000"/>
          <w:sz w:val="20"/>
          <w:szCs w:val="20"/>
        </w:rPr>
        <w:t xml:space="preserve"> y </w:t>
      </w:r>
      <w:r w:rsidRPr="008A2164">
        <w:rPr>
          <w:rFonts w:ascii="ITC Avant Garde" w:eastAsia="Times New Roman" w:hAnsi="ITC Avant Garde" w:cs="ITC Avant Garde"/>
          <w:color w:val="000000"/>
          <w:sz w:val="20"/>
          <w:szCs w:val="20"/>
        </w:rPr>
        <w:t>ADVANCE no se considera por consistencia con la DT-011-201</w:t>
      </w:r>
      <w:r w:rsidR="001F7380">
        <w:rPr>
          <w:rFonts w:ascii="ITC Avant Garde" w:eastAsia="Times New Roman" w:hAnsi="ITC Avant Garde" w:cs="ITC Avant Garde"/>
          <w:color w:val="000000"/>
          <w:sz w:val="20"/>
          <w:szCs w:val="20"/>
        </w:rPr>
        <w:t>7</w:t>
      </w:r>
      <w:r w:rsidRPr="008A2164">
        <w:rPr>
          <w:rFonts w:ascii="ITC Avant Garde" w:eastAsia="Times New Roman" w:hAnsi="ITC Avant Garde" w:cs="ITC Avant Garde"/>
          <w:color w:val="000000"/>
          <w:sz w:val="20"/>
          <w:szCs w:val="20"/>
        </w:rPr>
        <w:t>. Parte 1</w:t>
      </w:r>
      <w:r w:rsidR="00E26695">
        <w:rPr>
          <w:rFonts w:ascii="ITC Avant Garde" w:eastAsia="Times New Roman" w:hAnsi="ITC Avant Garde" w:cs="ITC Avant Garde"/>
          <w:color w:val="000000"/>
          <w:sz w:val="20"/>
          <w:szCs w:val="20"/>
        </w:rPr>
        <w:t xml:space="preserve"> en lo referente a la notación</w:t>
      </w:r>
      <w:r w:rsidR="00E41A8F">
        <w:rPr>
          <w:rFonts w:ascii="ITC Avant Garde" w:eastAsia="Times New Roman" w:hAnsi="ITC Avant Garde" w:cs="ITC Avant Garde"/>
          <w:color w:val="000000"/>
          <w:sz w:val="20"/>
          <w:szCs w:val="20"/>
        </w:rPr>
        <w:t>; por lo que hace a la adición de las bandas de 850 MHz y 1700 MHz</w:t>
      </w:r>
      <w:r w:rsidR="001F7380">
        <w:rPr>
          <w:rFonts w:ascii="ITC Avant Garde" w:eastAsia="Times New Roman" w:hAnsi="ITC Avant Garde" w:cs="ITC Avant Garde"/>
          <w:color w:val="000000"/>
          <w:sz w:val="20"/>
          <w:szCs w:val="20"/>
        </w:rPr>
        <w:t>/2100 M</w:t>
      </w:r>
      <w:r w:rsidR="00A45E57">
        <w:rPr>
          <w:rFonts w:ascii="ITC Avant Garde" w:eastAsia="Times New Roman" w:hAnsi="ITC Avant Garde" w:cs="ITC Avant Garde"/>
          <w:color w:val="000000"/>
          <w:sz w:val="20"/>
          <w:szCs w:val="20"/>
        </w:rPr>
        <w:t>H</w:t>
      </w:r>
      <w:r w:rsidR="001F7380">
        <w:rPr>
          <w:rFonts w:ascii="ITC Avant Garde" w:eastAsia="Times New Roman" w:hAnsi="ITC Avant Garde" w:cs="ITC Avant Garde"/>
          <w:color w:val="000000"/>
          <w:sz w:val="20"/>
          <w:szCs w:val="20"/>
        </w:rPr>
        <w:t>z</w:t>
      </w:r>
      <w:r w:rsidR="00E41A8F">
        <w:rPr>
          <w:rFonts w:ascii="ITC Avant Garde" w:eastAsia="Times New Roman" w:hAnsi="ITC Avant Garde" w:cs="ITC Avant Garde"/>
          <w:color w:val="000000"/>
          <w:sz w:val="20"/>
          <w:szCs w:val="20"/>
        </w:rPr>
        <w:t>, estas se incorporan</w:t>
      </w:r>
      <w:r w:rsidR="002E2873" w:rsidRPr="008A2164">
        <w:rPr>
          <w:rFonts w:ascii="ITC Avant Garde" w:eastAsia="Times New Roman" w:hAnsi="ITC Avant Garde" w:cs="ITC Avant Garde"/>
          <w:color w:val="000000"/>
          <w:sz w:val="20"/>
          <w:szCs w:val="20"/>
        </w:rPr>
        <w:t xml:space="preserve"> al título</w:t>
      </w:r>
      <w:r w:rsidR="002E2873">
        <w:rPr>
          <w:rFonts w:ascii="ITC Avant Garde" w:eastAsia="Times New Roman" w:hAnsi="ITC Avant Garde" w:cs="ITC Avant Garde"/>
          <w:color w:val="000000"/>
          <w:sz w:val="20"/>
          <w:szCs w:val="20"/>
        </w:rPr>
        <w:t xml:space="preserve"> y consecuentemente </w:t>
      </w:r>
      <w:r w:rsidR="0035794F">
        <w:rPr>
          <w:rFonts w:ascii="ITC Avant Garde" w:eastAsia="Times New Roman" w:hAnsi="ITC Avant Garde" w:cs="ITC Avant Garde"/>
          <w:color w:val="000000"/>
          <w:sz w:val="20"/>
          <w:szCs w:val="20"/>
        </w:rPr>
        <w:t>en e</w:t>
      </w:r>
      <w:r w:rsidR="002E2873">
        <w:rPr>
          <w:rFonts w:ascii="ITC Avant Garde" w:eastAsia="Times New Roman" w:hAnsi="ITC Avant Garde" w:cs="ITC Avant Garde"/>
          <w:color w:val="000000"/>
          <w:sz w:val="20"/>
          <w:szCs w:val="20"/>
        </w:rPr>
        <w:t xml:space="preserve">l </w:t>
      </w:r>
      <w:r w:rsidR="0035794F">
        <w:rPr>
          <w:rFonts w:ascii="ITC Avant Garde" w:eastAsia="Times New Roman" w:hAnsi="ITC Avant Garde" w:cs="ITC Avant Garde"/>
          <w:color w:val="000000"/>
          <w:sz w:val="20"/>
          <w:szCs w:val="20"/>
        </w:rPr>
        <w:t xml:space="preserve">cuerpo del </w:t>
      </w:r>
      <w:r w:rsidR="002E2873">
        <w:rPr>
          <w:rFonts w:ascii="ITC Avant Garde" w:eastAsia="Times New Roman" w:hAnsi="ITC Avant Garde" w:cs="ITC Avant Garde"/>
          <w:color w:val="000000"/>
          <w:sz w:val="20"/>
          <w:szCs w:val="20"/>
        </w:rPr>
        <w:t xml:space="preserve">Anteproyecto, </w:t>
      </w:r>
      <w:r w:rsidR="00E41A8F">
        <w:rPr>
          <w:rFonts w:ascii="ITC Avant Garde" w:eastAsia="Times New Roman" w:hAnsi="ITC Avant Garde" w:cs="ITC Avant Garde"/>
          <w:color w:val="000000"/>
          <w:sz w:val="20"/>
          <w:szCs w:val="20"/>
        </w:rPr>
        <w:t>sin embargo</w:t>
      </w:r>
      <w:r w:rsidR="002E2873">
        <w:rPr>
          <w:rFonts w:ascii="ITC Avant Garde" w:eastAsia="Times New Roman" w:hAnsi="ITC Avant Garde" w:cs="ITC Avant Garde"/>
          <w:color w:val="000000"/>
          <w:sz w:val="20"/>
          <w:szCs w:val="20"/>
        </w:rPr>
        <w:t>,</w:t>
      </w:r>
      <w:r w:rsidR="00E41A8F">
        <w:rPr>
          <w:rFonts w:ascii="ITC Avant Garde" w:eastAsia="Times New Roman" w:hAnsi="ITC Avant Garde" w:cs="ITC Avant Garde"/>
          <w:color w:val="000000"/>
          <w:sz w:val="20"/>
          <w:szCs w:val="20"/>
        </w:rPr>
        <w:t xml:space="preserve"> para lo propuesto por NYCE</w:t>
      </w:r>
      <w:r w:rsidR="002E2873">
        <w:rPr>
          <w:rFonts w:ascii="ITC Avant Garde" w:eastAsia="Times New Roman" w:hAnsi="ITC Avant Garde" w:cs="ITC Avant Garde"/>
          <w:color w:val="000000"/>
          <w:sz w:val="20"/>
          <w:szCs w:val="20"/>
        </w:rPr>
        <w:t xml:space="preserve"> solo se considera la adición de las bandas</w:t>
      </w:r>
      <w:r w:rsidR="0035794F">
        <w:rPr>
          <w:rFonts w:ascii="ITC Avant Garde" w:eastAsia="Times New Roman" w:hAnsi="ITC Avant Garde" w:cs="ITC Avant Garde"/>
          <w:color w:val="000000"/>
          <w:sz w:val="20"/>
          <w:szCs w:val="20"/>
        </w:rPr>
        <w:t xml:space="preserve">, no así el texto referente a “… </w:t>
      </w:r>
      <w:r w:rsidR="002E2873">
        <w:rPr>
          <w:rFonts w:ascii="ITC Avant Garde" w:eastAsia="Times New Roman" w:hAnsi="ITC Avant Garde" w:cs="ITC Avant Garde"/>
          <w:color w:val="000000"/>
          <w:sz w:val="20"/>
          <w:szCs w:val="20"/>
        </w:rPr>
        <w:t>la combinación de las mismas.</w:t>
      </w:r>
      <w:r w:rsidR="0035794F">
        <w:rPr>
          <w:rFonts w:ascii="ITC Avant Garde" w:eastAsia="Times New Roman" w:hAnsi="ITC Avant Garde" w:cs="ITC Avant Garde"/>
          <w:color w:val="000000"/>
          <w:sz w:val="20"/>
          <w:szCs w:val="20"/>
        </w:rPr>
        <w:t>”</w:t>
      </w:r>
    </w:p>
    <w:p w:rsidR="00E41A8F" w:rsidRDefault="008A2164" w:rsidP="008A2164">
      <w:pPr>
        <w:pStyle w:val="Textocomentario"/>
        <w:jc w:val="both"/>
        <w:rPr>
          <w:rFonts w:ascii="ITC Avant Garde" w:eastAsia="Times New Roman" w:hAnsi="ITC Avant Garde" w:cs="ITC Avant Garde"/>
          <w:color w:val="000000"/>
        </w:rPr>
      </w:pPr>
      <w:r>
        <w:rPr>
          <w:rFonts w:ascii="ITC Avant Garde" w:eastAsia="Times New Roman" w:hAnsi="ITC Avant Garde" w:cs="ITC Avant Garde"/>
          <w:color w:val="000000"/>
        </w:rPr>
        <w:lastRenderedPageBreak/>
        <w:t xml:space="preserve">Respecto </w:t>
      </w:r>
      <w:r w:rsidRPr="008A2164">
        <w:rPr>
          <w:rFonts w:ascii="ITC Avant Garde" w:eastAsia="Times New Roman" w:hAnsi="ITC Avant Garde" w:cs="ITC Avant Garde"/>
          <w:color w:val="000000"/>
        </w:rPr>
        <w:t>a la adición de la Banda de 1700 MHz</w:t>
      </w:r>
      <w:r w:rsidR="001F7380">
        <w:rPr>
          <w:rFonts w:ascii="ITC Avant Garde" w:eastAsia="Times New Roman" w:hAnsi="ITC Avant Garde" w:cs="ITC Avant Garde"/>
          <w:color w:val="000000"/>
        </w:rPr>
        <w:t>/2100 MHz</w:t>
      </w:r>
      <w:r w:rsidRPr="008A2164">
        <w:rPr>
          <w:rFonts w:ascii="ITC Avant Garde" w:eastAsia="Times New Roman" w:hAnsi="ITC Avant Garde" w:cs="ITC Avant Garde"/>
          <w:color w:val="000000"/>
        </w:rPr>
        <w:t>, en el proyecto se indican las bandas de frecuencia de operación</w:t>
      </w:r>
      <w:r w:rsidR="005B3825">
        <w:rPr>
          <w:rFonts w:ascii="ITC Avant Garde" w:eastAsia="Times New Roman" w:hAnsi="ITC Avant Garde" w:cs="ITC Avant Garde"/>
          <w:color w:val="000000"/>
        </w:rPr>
        <w:t xml:space="preserve"> desagregada</w:t>
      </w:r>
      <w:r w:rsidRPr="008A2164">
        <w:rPr>
          <w:rFonts w:ascii="ITC Avant Garde" w:eastAsia="Times New Roman" w:hAnsi="ITC Avant Garde" w:cs="ITC Avant Garde"/>
          <w:color w:val="000000"/>
        </w:rPr>
        <w:t xml:space="preserve"> para cada banda.</w:t>
      </w:r>
    </w:p>
    <w:p w:rsidR="008A2164" w:rsidRPr="008A2164" w:rsidRDefault="00E41A8F" w:rsidP="00E41A8F">
      <w:pPr>
        <w:pStyle w:val="Textocomentario"/>
        <w:jc w:val="both"/>
        <w:rPr>
          <w:rFonts w:ascii="ITC Avant Garde" w:eastAsia="Times New Roman" w:hAnsi="ITC Avant Garde" w:cs="ITC Avant Garde"/>
          <w:color w:val="000000"/>
        </w:rPr>
      </w:pPr>
      <w:r>
        <w:rPr>
          <w:rFonts w:ascii="ITC Avant Garde" w:eastAsia="Times New Roman" w:hAnsi="ITC Avant Garde" w:cs="ITC Avant Garde"/>
          <w:color w:val="000000"/>
        </w:rPr>
        <w:t>Lo anterior en virtud de que e</w:t>
      </w:r>
      <w:r w:rsidR="008A2164" w:rsidRPr="00E41A8F">
        <w:rPr>
          <w:rFonts w:ascii="ITC Avant Garde" w:eastAsia="Times New Roman" w:hAnsi="ITC Avant Garde" w:cs="ITC Avant Garde"/>
          <w:color w:val="000000"/>
        </w:rPr>
        <w:t>n el CNAF, la nota MX 190 indica lo siguiente:</w:t>
      </w:r>
    </w:p>
    <w:p w:rsidR="005F5BF8" w:rsidRPr="00E41A8F" w:rsidRDefault="00E41A8F" w:rsidP="00E41A8F">
      <w:pPr>
        <w:pStyle w:val="Textocomentario"/>
        <w:ind w:left="426" w:right="616"/>
        <w:jc w:val="both"/>
        <w:rPr>
          <w:rFonts w:ascii="ITC Avant Garde" w:eastAsia="Times New Roman" w:hAnsi="ITC Avant Garde" w:cs="ITC Avant Garde"/>
          <w:b/>
          <w:i/>
          <w:color w:val="000000"/>
        </w:rPr>
      </w:pPr>
      <w:r w:rsidRPr="00E41A8F">
        <w:rPr>
          <w:rFonts w:ascii="ITC Avant Garde" w:eastAsia="Times New Roman" w:hAnsi="ITC Avant Garde" w:cs="ITC Avant Garde"/>
          <w:b/>
          <w:i/>
          <w:color w:val="000000"/>
        </w:rPr>
        <w:t xml:space="preserve"> </w:t>
      </w:r>
      <w:r w:rsidR="005F5BF8" w:rsidRPr="00E41A8F">
        <w:rPr>
          <w:rFonts w:ascii="ITC Avant Garde" w:eastAsia="Times New Roman" w:hAnsi="ITC Avant Garde" w:cs="ITC Avant Garde"/>
          <w:b/>
          <w:i/>
          <w:color w:val="000000"/>
        </w:rPr>
        <w:t>“La banda de frecuencias 1710 – 1780/2110 – 2180 MHz está designada para sistemas IMT en México. La segmentación definida para esta banda se basa en un esquema FDD, en el cual el segmento 1710 – 1780 MHz se emplea para la transmisión móvil-base y el segmento 2110 – 2180 MHz se emplea para la transmisión base-móvil.”</w:t>
      </w:r>
    </w:p>
    <w:p w:rsidR="0049058B" w:rsidRPr="00C254F6" w:rsidRDefault="003E23A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CB0385">
        <w:rPr>
          <w:rFonts w:ascii="ITC Avant Garde" w:hAnsi="ITC Avant Garde" w:cs="ITC Avant Garde"/>
          <w:b/>
          <w:sz w:val="20"/>
          <w:szCs w:val="20"/>
        </w:rPr>
        <w:t>1</w:t>
      </w:r>
      <w:r w:rsidRPr="00C254F6">
        <w:rPr>
          <w:rFonts w:ascii="ITC Avant Garde" w:eastAsia="Times New Roman" w:hAnsi="ITC Avant Garde" w:cs="ITC Avant Garde"/>
          <w:color w:val="000000"/>
          <w:sz w:val="20"/>
          <w:szCs w:val="20"/>
        </w:rPr>
        <w:t xml:space="preserve"> </w:t>
      </w:r>
      <w:r w:rsidR="00CB0385" w:rsidRPr="00CB0385">
        <w:rPr>
          <w:rFonts w:ascii="ITC Avant Garde" w:eastAsia="Times New Roman" w:hAnsi="ITC Avant Garde" w:cs="ITC Avant Garde"/>
          <w:b/>
          <w:color w:val="000000"/>
          <w:sz w:val="20"/>
          <w:szCs w:val="20"/>
        </w:rPr>
        <w:t>Objetivo</w:t>
      </w:r>
      <w:r w:rsidR="00D770BD" w:rsidRPr="00C254F6">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Participantes:</w:t>
      </w:r>
    </w:p>
    <w:p w:rsidR="00B029AD" w:rsidRDefault="00CB0385" w:rsidP="00B029AD">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NYCE</w:t>
      </w:r>
      <w:r w:rsidR="00B029AD">
        <w:rPr>
          <w:rFonts w:ascii="ITC Avant Garde" w:eastAsia="Times New Roman" w:hAnsi="ITC Avant Garde" w:cs="ITC Avant Garde"/>
          <w:color w:val="000000"/>
          <w:sz w:val="20"/>
          <w:szCs w:val="20"/>
          <w:lang w:val="es-MX"/>
        </w:rPr>
        <w:t>, CANIETI y ADVANCE.</w:t>
      </w: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Propuesta:</w:t>
      </w:r>
    </w:p>
    <w:p w:rsidR="00CB0385" w:rsidRDefault="00B029AD" w:rsidP="003E23AD">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lang w:val="es-MX"/>
        </w:rPr>
        <w:t>NYCE</w:t>
      </w:r>
      <w:r w:rsidRPr="00C254F6">
        <w:rPr>
          <w:rFonts w:ascii="ITC Avant Garde" w:eastAsia="Times New Roman" w:hAnsi="ITC Avant Garde" w:cs="ITC Avant Garde"/>
          <w:color w:val="000000"/>
          <w:sz w:val="20"/>
          <w:szCs w:val="20"/>
        </w:rPr>
        <w:t xml:space="preserve"> </w:t>
      </w:r>
      <w:r w:rsidR="0049058B" w:rsidRPr="00C254F6">
        <w:rPr>
          <w:rFonts w:ascii="ITC Avant Garde" w:eastAsia="Times New Roman" w:hAnsi="ITC Avant Garde" w:cs="ITC Avant Garde"/>
          <w:color w:val="000000"/>
          <w:sz w:val="20"/>
          <w:szCs w:val="20"/>
        </w:rPr>
        <w:t>considera que</w:t>
      </w:r>
      <w:r w:rsidR="00CB0385">
        <w:rPr>
          <w:rFonts w:ascii="ITC Avant Garde" w:eastAsia="Times New Roman" w:hAnsi="ITC Avant Garde" w:cs="ITC Avant Garde"/>
          <w:color w:val="000000"/>
          <w:sz w:val="20"/>
          <w:szCs w:val="20"/>
        </w:rPr>
        <w:t xml:space="preserve"> los ETM </w:t>
      </w:r>
      <w:r w:rsidR="00CB0385" w:rsidRPr="00CB0385">
        <w:rPr>
          <w:rFonts w:ascii="ITC Avant Garde" w:eastAsia="Times New Roman" w:hAnsi="ITC Avant Garde" w:cs="ITC Avant Garde"/>
          <w:color w:val="000000"/>
          <w:sz w:val="20"/>
          <w:szCs w:val="20"/>
        </w:rPr>
        <w:t xml:space="preserve">pueden hacer uso del espectro radioeléctrico </w:t>
      </w:r>
      <w:r w:rsidR="00CB0385" w:rsidRPr="00E26695">
        <w:rPr>
          <w:rFonts w:ascii="ITC Avant Garde" w:eastAsia="Times New Roman" w:hAnsi="ITC Avant Garde" w:cs="ITC Avant Garde"/>
          <w:color w:val="000000"/>
          <w:sz w:val="20"/>
          <w:szCs w:val="20"/>
        </w:rPr>
        <w:t>y</w:t>
      </w:r>
      <w:r w:rsidR="00CB0385" w:rsidRPr="00CB0385">
        <w:rPr>
          <w:rFonts w:ascii="ITC Avant Garde" w:eastAsia="Times New Roman" w:hAnsi="ITC Avant Garde" w:cs="ITC Avant Garde"/>
          <w:color w:val="000000"/>
          <w:sz w:val="20"/>
          <w:szCs w:val="20"/>
        </w:rPr>
        <w:t xml:space="preserve"> ser conectados a redes de telecomunicaciones"                                                                                                                     </w:t>
      </w:r>
    </w:p>
    <w:p w:rsidR="00B029AD" w:rsidRDefault="00B029AD" w:rsidP="00CB0385">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 y ADVANCE.</w:t>
      </w:r>
    </w:p>
    <w:p w:rsidR="00B029AD" w:rsidRDefault="00B029AD" w:rsidP="00CB0385">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Los participantes sugieren modificar el objetivo para quedar en los siguientes términos: …”</w:t>
      </w:r>
      <w:r w:rsidR="00991055">
        <w:rPr>
          <w:rFonts w:ascii="ITC Avant Garde" w:eastAsia="Times New Roman" w:hAnsi="ITC Avant Garde" w:cs="ITC Avant Garde"/>
          <w:color w:val="000000"/>
          <w:sz w:val="20"/>
          <w:szCs w:val="20"/>
          <w:lang w:val="es-MX"/>
        </w:rPr>
        <w:t xml:space="preserve"> </w:t>
      </w:r>
      <w:r w:rsidRPr="00B029AD">
        <w:rPr>
          <w:rFonts w:ascii="ITC Avant Garde" w:eastAsia="Times New Roman" w:hAnsi="ITC Avant Garde" w:cs="ITC Avant Garde"/>
          <w:color w:val="000000"/>
          <w:sz w:val="20"/>
          <w:szCs w:val="20"/>
          <w:lang w:val="es-MX"/>
        </w:rPr>
        <w:t xml:space="preserve">que puedan hacer uso del espectro radioeléctrico o ser conectados a redes </w:t>
      </w:r>
      <w:r w:rsidRPr="00B029AD">
        <w:rPr>
          <w:rFonts w:ascii="ITC Avant Garde" w:eastAsia="Times New Roman" w:hAnsi="ITC Avant Garde" w:cs="ITC Avant Garde"/>
          <w:b/>
          <w:i/>
          <w:color w:val="000000"/>
          <w:sz w:val="20"/>
          <w:szCs w:val="20"/>
          <w:u w:val="single"/>
          <w:lang w:val="es-MX"/>
        </w:rPr>
        <w:t>concesionadas</w:t>
      </w:r>
      <w:r w:rsidRPr="00B029AD">
        <w:rPr>
          <w:rFonts w:ascii="ITC Avant Garde" w:eastAsia="Times New Roman" w:hAnsi="ITC Avant Garde" w:cs="ITC Avant Garde"/>
          <w:color w:val="000000"/>
          <w:sz w:val="20"/>
          <w:szCs w:val="20"/>
          <w:lang w:val="es-MX"/>
        </w:rPr>
        <w:t xml:space="preserve"> de telecomunicaciones</w:t>
      </w:r>
      <w:r>
        <w:rPr>
          <w:rFonts w:ascii="ITC Avant Garde" w:eastAsia="Times New Roman" w:hAnsi="ITC Avant Garde" w:cs="ITC Avant Garde"/>
          <w:color w:val="000000"/>
          <w:sz w:val="20"/>
          <w:szCs w:val="20"/>
          <w:lang w:val="es-MX"/>
        </w:rPr>
        <w:t>.</w:t>
      </w:r>
    </w:p>
    <w:p w:rsidR="00B029AD" w:rsidRPr="00C254F6" w:rsidRDefault="00B029AD" w:rsidP="00B029AD">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B029AD" w:rsidRPr="00C254F6" w:rsidRDefault="00E26695" w:rsidP="00CB0385">
      <w:pPr>
        <w:spacing w:line="276" w:lineRule="auto"/>
        <w:jc w:val="both"/>
        <w:rPr>
          <w:rFonts w:ascii="ITC Avant Garde" w:hAnsi="ITC Avant Garde" w:cs="ITC Avant Garde"/>
          <w:sz w:val="20"/>
          <w:szCs w:val="20"/>
        </w:rPr>
      </w:pPr>
      <w:r>
        <w:rPr>
          <w:rFonts w:ascii="ITC Avant Garde" w:hAnsi="ITC Avant Garde" w:cs="ITC Avant Garde"/>
          <w:sz w:val="20"/>
          <w:szCs w:val="20"/>
        </w:rPr>
        <w:t>No se consideran los comentarios, s</w:t>
      </w:r>
      <w:r w:rsidR="00B029AD" w:rsidRPr="00B029AD">
        <w:rPr>
          <w:rFonts w:ascii="ITC Avant Garde" w:hAnsi="ITC Avant Garde" w:cs="ITC Avant Garde"/>
          <w:sz w:val="20"/>
          <w:szCs w:val="20"/>
        </w:rPr>
        <w:t>e es consistente con lo establecido en el artículo 289 de la LFTR.</w:t>
      </w:r>
    </w:p>
    <w:p w:rsidR="005E347E" w:rsidRPr="00C254F6" w:rsidRDefault="005E347E" w:rsidP="00D770BD">
      <w:pPr>
        <w:jc w:val="both"/>
        <w:rPr>
          <w:rFonts w:ascii="ITC Avant Garde" w:hAnsi="ITC Avant Garde" w:cs="ITC Avant Garde"/>
          <w:sz w:val="20"/>
          <w:szCs w:val="20"/>
        </w:rPr>
      </w:pPr>
    </w:p>
    <w:p w:rsidR="00B029AD" w:rsidRDefault="00B24C02"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B029AD">
        <w:rPr>
          <w:rFonts w:ascii="ITC Avant Garde" w:hAnsi="ITC Avant Garde" w:cs="ITC Avant Garde"/>
          <w:b/>
          <w:sz w:val="20"/>
          <w:szCs w:val="20"/>
        </w:rPr>
        <w:t>2 Campo de aplicación.</w:t>
      </w:r>
    </w:p>
    <w:p w:rsidR="00B16C0D" w:rsidRPr="00B16C0D" w:rsidRDefault="00B16C0D" w:rsidP="00B16C0D">
      <w:pPr>
        <w:pStyle w:val="Prrafodelista1"/>
        <w:tabs>
          <w:tab w:val="left" w:pos="-708"/>
        </w:tabs>
        <w:spacing w:line="276" w:lineRule="auto"/>
        <w:ind w:left="12"/>
        <w:jc w:val="both"/>
        <w:rPr>
          <w:rFonts w:ascii="ITC Avant Garde" w:hAnsi="ITC Avant Garde" w:cs="ITC Avant Garde"/>
          <w:b/>
          <w:sz w:val="20"/>
          <w:szCs w:val="20"/>
        </w:rPr>
      </w:pPr>
      <w:r w:rsidRPr="00B16C0D">
        <w:rPr>
          <w:rFonts w:ascii="ITC Avant Garde" w:hAnsi="ITC Avant Garde" w:cs="ITC Avant Garde"/>
          <w:b/>
          <w:sz w:val="20"/>
          <w:szCs w:val="20"/>
        </w:rPr>
        <w:t>Participantes:</w:t>
      </w:r>
    </w:p>
    <w:p w:rsidR="00B029AD" w:rsidRPr="00B029AD" w:rsidRDefault="00B029AD" w:rsidP="00B029AD">
      <w:pPr>
        <w:spacing w:line="276" w:lineRule="auto"/>
        <w:jc w:val="both"/>
        <w:rPr>
          <w:rFonts w:ascii="ITC Avant Garde" w:eastAsia="Times New Roman" w:hAnsi="ITC Avant Garde" w:cs="ITC Avant Garde"/>
          <w:color w:val="000000"/>
          <w:sz w:val="20"/>
          <w:szCs w:val="20"/>
          <w:lang w:val="es-MX"/>
        </w:rPr>
      </w:pPr>
      <w:r w:rsidRPr="00B029AD">
        <w:rPr>
          <w:rFonts w:ascii="ITC Avant Garde" w:eastAsia="Times New Roman" w:hAnsi="ITC Avant Garde" w:cs="ITC Avant Garde"/>
          <w:color w:val="000000"/>
          <w:sz w:val="20"/>
          <w:szCs w:val="20"/>
          <w:lang w:val="es-MX"/>
        </w:rPr>
        <w:t>ALTÁN, PROMTEL, AXTEL, OPERBES, DIVERACY,</w:t>
      </w:r>
      <w:r>
        <w:rPr>
          <w:rFonts w:ascii="ITC Avant Garde" w:eastAsia="Times New Roman" w:hAnsi="ITC Avant Garde" w:cs="ITC Avant Garde"/>
          <w:color w:val="000000"/>
          <w:sz w:val="20"/>
          <w:szCs w:val="20"/>
          <w:lang w:val="es-MX"/>
        </w:rPr>
        <w:t xml:space="preserve"> </w:t>
      </w:r>
      <w:r w:rsidRPr="00B029AD">
        <w:rPr>
          <w:rFonts w:ascii="ITC Avant Garde" w:eastAsia="Times New Roman" w:hAnsi="ITC Avant Garde" w:cs="ITC Avant Garde"/>
          <w:color w:val="000000"/>
          <w:sz w:val="20"/>
          <w:szCs w:val="20"/>
          <w:lang w:val="es-MX"/>
        </w:rPr>
        <w:t>CLUMTI,</w:t>
      </w:r>
      <w:r>
        <w:rPr>
          <w:rFonts w:ascii="ITC Avant Garde" w:eastAsia="Times New Roman" w:hAnsi="ITC Avant Garde" w:cs="ITC Avant Garde"/>
          <w:color w:val="000000"/>
          <w:sz w:val="20"/>
          <w:szCs w:val="20"/>
          <w:lang w:val="es-MX"/>
        </w:rPr>
        <w:t xml:space="preserve"> </w:t>
      </w:r>
      <w:r w:rsidRPr="00B029AD">
        <w:rPr>
          <w:rFonts w:ascii="ITC Avant Garde" w:eastAsia="Times New Roman" w:hAnsi="ITC Avant Garde" w:cs="ITC Avant Garde"/>
          <w:color w:val="000000"/>
          <w:sz w:val="20"/>
          <w:szCs w:val="20"/>
          <w:lang w:val="es-MX"/>
        </w:rPr>
        <w:t>VIRTUALWARE</w:t>
      </w:r>
      <w:r w:rsidR="007F5611">
        <w:rPr>
          <w:rFonts w:ascii="ITC Avant Garde" w:eastAsia="Times New Roman" w:hAnsi="ITC Avant Garde" w:cs="ITC Avant Garde"/>
          <w:color w:val="000000"/>
          <w:sz w:val="20"/>
          <w:szCs w:val="20"/>
          <w:lang w:val="es-MX"/>
        </w:rPr>
        <w:t xml:space="preserve">, </w:t>
      </w:r>
      <w:r w:rsidRPr="00B029AD">
        <w:rPr>
          <w:rFonts w:ascii="ITC Avant Garde" w:eastAsia="Times New Roman" w:hAnsi="ITC Avant Garde" w:cs="ITC Avant Garde"/>
          <w:color w:val="000000"/>
          <w:sz w:val="20"/>
          <w:szCs w:val="20"/>
          <w:lang w:val="es-MX"/>
        </w:rPr>
        <w:t>NYCE</w:t>
      </w:r>
      <w:r w:rsidR="007F5611">
        <w:rPr>
          <w:rFonts w:ascii="ITC Avant Garde" w:eastAsia="Times New Roman" w:hAnsi="ITC Avant Garde" w:cs="ITC Avant Garde"/>
          <w:color w:val="000000"/>
          <w:sz w:val="20"/>
          <w:szCs w:val="20"/>
          <w:lang w:val="es-MX"/>
        </w:rPr>
        <w:t xml:space="preserve"> y QUALCOMM</w:t>
      </w:r>
      <w:r w:rsidRPr="00B029AD">
        <w:rPr>
          <w:rFonts w:ascii="ITC Avant Garde" w:eastAsia="Times New Roman" w:hAnsi="ITC Avant Garde" w:cs="ITC Avant Garde"/>
          <w:color w:val="000000"/>
          <w:sz w:val="20"/>
          <w:szCs w:val="20"/>
          <w:lang w:val="es-MX"/>
        </w:rPr>
        <w:t xml:space="preserve">: </w:t>
      </w:r>
    </w:p>
    <w:p w:rsidR="00B16C0D" w:rsidRPr="00C254F6" w:rsidRDefault="00B16C0D" w:rsidP="00B16C0D">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Propuesta:</w:t>
      </w:r>
    </w:p>
    <w:p w:rsidR="006C0B93" w:rsidRPr="00B16C0D" w:rsidRDefault="00B029AD" w:rsidP="00B029AD">
      <w:pPr>
        <w:spacing w:line="276" w:lineRule="auto"/>
        <w:jc w:val="both"/>
        <w:rPr>
          <w:b/>
        </w:rPr>
      </w:pPr>
      <w:r w:rsidRPr="00B029AD">
        <w:rPr>
          <w:rFonts w:ascii="ITC Avant Garde" w:eastAsia="Times New Roman" w:hAnsi="ITC Avant Garde" w:cs="ITC Avant Garde"/>
          <w:color w:val="000000"/>
          <w:sz w:val="20"/>
          <w:szCs w:val="20"/>
          <w:lang w:val="es-MX"/>
        </w:rPr>
        <w:t>ALTÁN, PROMTEL, AXTEL, OPERBES, DIVERACY,</w:t>
      </w:r>
      <w:r>
        <w:rPr>
          <w:rFonts w:ascii="ITC Avant Garde" w:eastAsia="Times New Roman" w:hAnsi="ITC Avant Garde" w:cs="ITC Avant Garde"/>
          <w:color w:val="000000"/>
          <w:sz w:val="20"/>
          <w:szCs w:val="20"/>
          <w:lang w:val="es-MX"/>
        </w:rPr>
        <w:t xml:space="preserve"> </w:t>
      </w:r>
      <w:r w:rsidRPr="00B029AD">
        <w:rPr>
          <w:rFonts w:ascii="ITC Avant Garde" w:eastAsia="Times New Roman" w:hAnsi="ITC Avant Garde" w:cs="ITC Avant Garde"/>
          <w:color w:val="000000"/>
          <w:sz w:val="20"/>
          <w:szCs w:val="20"/>
          <w:lang w:val="es-MX"/>
        </w:rPr>
        <w:t>CLUMTI</w:t>
      </w:r>
      <w:r w:rsidR="00B16C0D">
        <w:rPr>
          <w:rFonts w:ascii="ITC Avant Garde" w:eastAsia="Times New Roman" w:hAnsi="ITC Avant Garde" w:cs="ITC Avant Garde"/>
          <w:color w:val="000000"/>
          <w:sz w:val="20"/>
          <w:szCs w:val="20"/>
          <w:lang w:val="es-MX"/>
        </w:rPr>
        <w:t xml:space="preserve"> y </w:t>
      </w:r>
      <w:r w:rsidRPr="00B029AD">
        <w:rPr>
          <w:rFonts w:ascii="ITC Avant Garde" w:eastAsia="Times New Roman" w:hAnsi="ITC Avant Garde" w:cs="ITC Avant Garde"/>
          <w:color w:val="000000"/>
          <w:sz w:val="20"/>
          <w:szCs w:val="20"/>
          <w:lang w:val="es-MX"/>
        </w:rPr>
        <w:t>VIRTUALWARE</w:t>
      </w:r>
      <w:r w:rsidRPr="00B029AD">
        <w:rPr>
          <w:b/>
        </w:rPr>
        <w:t xml:space="preserve">                                                                                                        </w:t>
      </w:r>
      <w:r w:rsidR="006C0B93" w:rsidRPr="006C0B93">
        <w:rPr>
          <w:rFonts w:ascii="ITC Avant Garde" w:hAnsi="ITC Avant Garde" w:cs="ITC Avant Garde"/>
          <w:sz w:val="20"/>
          <w:szCs w:val="20"/>
        </w:rPr>
        <w:t xml:space="preserve">sugirieron incluir la disponibilidad del protocolo </w:t>
      </w:r>
      <w:proofErr w:type="spellStart"/>
      <w:r w:rsidR="006C0B93" w:rsidRPr="006C0B93">
        <w:rPr>
          <w:rFonts w:ascii="ITC Avant Garde" w:hAnsi="ITC Avant Garde" w:cs="ITC Avant Garde"/>
          <w:sz w:val="20"/>
          <w:szCs w:val="20"/>
        </w:rPr>
        <w:t>VoLTE</w:t>
      </w:r>
      <w:proofErr w:type="spellEnd"/>
      <w:r w:rsidR="006C0B93" w:rsidRPr="006C0B93">
        <w:rPr>
          <w:rFonts w:ascii="ITC Avant Garde" w:hAnsi="ITC Avant Garde" w:cs="ITC Avant Garde"/>
          <w:sz w:val="20"/>
          <w:szCs w:val="20"/>
        </w:rPr>
        <w:t xml:space="preserve"> en todos los ETM que soporten el estándar tecnológico LTE; a efecto de permitir las comunicaciones de voz entre la Red Compartida y cualquier otra red de telecomunicaciones.</w:t>
      </w:r>
    </w:p>
    <w:p w:rsidR="00B16C0D" w:rsidRPr="00B16C0D" w:rsidRDefault="00B16C0D" w:rsidP="00B16C0D">
      <w:pPr>
        <w:spacing w:line="276" w:lineRule="auto"/>
        <w:jc w:val="both"/>
        <w:rPr>
          <w:rFonts w:ascii="ITC Avant Garde" w:hAnsi="ITC Avant Garde" w:cs="ITC Avant Garde"/>
          <w:b/>
          <w:sz w:val="20"/>
          <w:szCs w:val="20"/>
        </w:rPr>
      </w:pPr>
      <w:r w:rsidRPr="00B16C0D">
        <w:rPr>
          <w:rFonts w:ascii="ITC Avant Garde" w:hAnsi="ITC Avant Garde" w:cs="ITC Avant Garde"/>
          <w:b/>
          <w:sz w:val="20"/>
          <w:szCs w:val="20"/>
        </w:rPr>
        <w:t>Respuesta:</w:t>
      </w:r>
      <w:r w:rsidRPr="00B16C0D">
        <w:rPr>
          <w:rFonts w:ascii="ITC Avant Garde" w:hAnsi="ITC Avant Garde" w:cs="ITC Avant Garde"/>
          <w:b/>
          <w:sz w:val="20"/>
          <w:szCs w:val="20"/>
        </w:rPr>
        <w:tab/>
      </w:r>
    </w:p>
    <w:p w:rsidR="00B16C0D" w:rsidRDefault="00AA0636" w:rsidP="00B029AD">
      <w:pPr>
        <w:spacing w:line="276" w:lineRule="auto"/>
        <w:jc w:val="both"/>
      </w:pPr>
      <w:r>
        <w:rPr>
          <w:rFonts w:ascii="ITC Avant Garde" w:hAnsi="ITC Avant Garde" w:cs="ITC Avant Garde"/>
          <w:sz w:val="20"/>
          <w:szCs w:val="20"/>
        </w:rPr>
        <w:t xml:space="preserve">No se considera debido a que </w:t>
      </w:r>
      <w:proofErr w:type="spellStart"/>
      <w:r w:rsidR="00B16C0D" w:rsidRPr="00B16C0D">
        <w:rPr>
          <w:rFonts w:ascii="ITC Avant Garde" w:hAnsi="ITC Avant Garde" w:cs="ITC Avant Garde"/>
          <w:sz w:val="20"/>
          <w:szCs w:val="20"/>
        </w:rPr>
        <w:t>VoLTE</w:t>
      </w:r>
      <w:proofErr w:type="spellEnd"/>
      <w:r w:rsidR="00B16C0D" w:rsidRPr="00B16C0D">
        <w:rPr>
          <w:rFonts w:ascii="ITC Avant Garde" w:hAnsi="ITC Avant Garde" w:cs="ITC Avant Garde"/>
          <w:sz w:val="20"/>
          <w:szCs w:val="20"/>
        </w:rPr>
        <w:t xml:space="preserve"> es </w:t>
      </w:r>
      <w:r w:rsidR="00B16C0D" w:rsidRPr="00AA0636">
        <w:rPr>
          <w:rFonts w:ascii="ITC Avant Garde" w:hAnsi="ITC Avant Garde" w:cs="ITC Avant Garde"/>
          <w:sz w:val="20"/>
          <w:szCs w:val="20"/>
          <w:u w:val="single"/>
        </w:rPr>
        <w:t>una aplicación de voz</w:t>
      </w:r>
      <w:r w:rsidR="00B16C0D" w:rsidRPr="00B16C0D">
        <w:rPr>
          <w:rFonts w:ascii="ITC Avant Garde" w:hAnsi="ITC Avant Garde" w:cs="ITC Avant Garde"/>
          <w:sz w:val="20"/>
          <w:szCs w:val="20"/>
        </w:rPr>
        <w:t xml:space="preserve"> que emplea la estructura de la red de telecomunicaciones para su aplicación. </w:t>
      </w:r>
    </w:p>
    <w:p w:rsidR="00B16C0D" w:rsidRDefault="00B16C0D" w:rsidP="00B029AD">
      <w:pPr>
        <w:spacing w:line="276" w:lineRule="auto"/>
        <w:jc w:val="both"/>
      </w:pPr>
    </w:p>
    <w:p w:rsidR="00B16C0D" w:rsidRPr="00C254F6" w:rsidRDefault="00B16C0D" w:rsidP="00B16C0D">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lastRenderedPageBreak/>
        <w:t>Propuesta:</w:t>
      </w:r>
    </w:p>
    <w:p w:rsidR="00B16C0D" w:rsidRDefault="00B16C0D" w:rsidP="00B16C0D">
      <w:pPr>
        <w:pStyle w:val="Prrafodelista1"/>
        <w:tabs>
          <w:tab w:val="left" w:pos="-708"/>
        </w:tabs>
        <w:spacing w:line="276" w:lineRule="auto"/>
        <w:ind w:left="12"/>
        <w:jc w:val="both"/>
        <w:rPr>
          <w:b/>
        </w:rPr>
      </w:pPr>
      <w:r w:rsidRPr="00B029AD">
        <w:rPr>
          <w:rFonts w:ascii="ITC Avant Garde" w:hAnsi="ITC Avant Garde" w:cs="ITC Avant Garde"/>
          <w:sz w:val="20"/>
          <w:szCs w:val="20"/>
        </w:rPr>
        <w:t>NYCE</w:t>
      </w:r>
      <w:r>
        <w:rPr>
          <w:rFonts w:ascii="ITC Avant Garde" w:hAnsi="ITC Avant Garde" w:cs="ITC Avant Garde"/>
          <w:sz w:val="20"/>
          <w:szCs w:val="20"/>
        </w:rPr>
        <w:t xml:space="preserve">, sugiere </w:t>
      </w:r>
      <w:r w:rsidRPr="00B029AD">
        <w:rPr>
          <w:rFonts w:ascii="ITC Avant Garde" w:hAnsi="ITC Avant Garde" w:cs="ITC Avant Garde"/>
          <w:sz w:val="20"/>
          <w:szCs w:val="20"/>
        </w:rPr>
        <w:t>el siguiente cambio en el texto, "…700 MHz, 800 MHz, 850 MHz, 1900 MHz, 2100 MHz y 2500 MHz, o combinaciones de ellos y ser conectados a redes de telecomunicaciones.</w:t>
      </w:r>
      <w:r w:rsidRPr="00B029AD">
        <w:rPr>
          <w:b/>
        </w:rPr>
        <w:t xml:space="preserve"> ..."   </w:t>
      </w:r>
    </w:p>
    <w:p w:rsidR="00B16C0D" w:rsidRPr="00C254F6" w:rsidRDefault="00B16C0D" w:rsidP="00B16C0D">
      <w:pPr>
        <w:tabs>
          <w:tab w:val="left" w:pos="1459"/>
        </w:tabs>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r>
        <w:rPr>
          <w:rFonts w:ascii="ITC Avant Garde" w:hAnsi="ITC Avant Garde" w:cs="ITC Avant Garde"/>
          <w:b/>
          <w:sz w:val="20"/>
          <w:szCs w:val="20"/>
        </w:rPr>
        <w:tab/>
      </w:r>
    </w:p>
    <w:p w:rsidR="00B16C0D" w:rsidRPr="00B029AD" w:rsidRDefault="00B16C0D" w:rsidP="00B16C0D">
      <w:pPr>
        <w:spacing w:line="276" w:lineRule="auto"/>
        <w:jc w:val="both"/>
        <w:rPr>
          <w:rFonts w:ascii="ITC Avant Garde" w:hAnsi="ITC Avant Garde" w:cs="ITC Avant Garde"/>
          <w:sz w:val="20"/>
          <w:szCs w:val="20"/>
        </w:rPr>
      </w:pPr>
      <w:r>
        <w:rPr>
          <w:rFonts w:ascii="ITC Avant Garde" w:hAnsi="ITC Avant Garde" w:cs="ITC Avant Garde"/>
          <w:sz w:val="20"/>
          <w:szCs w:val="20"/>
        </w:rPr>
        <w:t>S</w:t>
      </w:r>
      <w:r w:rsidRPr="00B029AD">
        <w:rPr>
          <w:rFonts w:ascii="ITC Avant Garde" w:hAnsi="ITC Avant Garde" w:cs="ITC Avant Garde"/>
          <w:sz w:val="20"/>
          <w:szCs w:val="20"/>
        </w:rPr>
        <w:t>e c</w:t>
      </w:r>
      <w:r>
        <w:rPr>
          <w:rFonts w:ascii="ITC Avant Garde" w:hAnsi="ITC Avant Garde" w:cs="ITC Avant Garde"/>
          <w:sz w:val="20"/>
          <w:szCs w:val="20"/>
        </w:rPr>
        <w:t>onsidera parcialmente, s</w:t>
      </w:r>
      <w:r w:rsidRPr="00B029AD">
        <w:rPr>
          <w:rFonts w:ascii="ITC Avant Garde" w:hAnsi="ITC Avant Garde" w:cs="ITC Avant Garde"/>
          <w:sz w:val="20"/>
          <w:szCs w:val="20"/>
        </w:rPr>
        <w:t xml:space="preserve">e anexa la banda de 850 MHz y </w:t>
      </w:r>
      <w:r w:rsidR="00E26695">
        <w:rPr>
          <w:rFonts w:ascii="ITC Avant Garde" w:hAnsi="ITC Avant Garde" w:cs="ITC Avant Garde"/>
          <w:sz w:val="20"/>
          <w:szCs w:val="20"/>
        </w:rPr>
        <w:t xml:space="preserve">se complementa </w:t>
      </w:r>
      <w:r w:rsidRPr="00B029AD">
        <w:rPr>
          <w:rFonts w:ascii="ITC Avant Garde" w:hAnsi="ITC Avant Garde" w:cs="ITC Avant Garde"/>
          <w:sz w:val="20"/>
          <w:szCs w:val="20"/>
        </w:rPr>
        <w:t>1700 MHz</w:t>
      </w:r>
      <w:r w:rsidR="00E26695">
        <w:rPr>
          <w:rFonts w:ascii="ITC Avant Garde" w:hAnsi="ITC Avant Garde" w:cs="ITC Avant Garde"/>
          <w:sz w:val="20"/>
          <w:szCs w:val="20"/>
        </w:rPr>
        <w:t>/</w:t>
      </w:r>
      <w:r w:rsidR="00E26695" w:rsidRPr="00B029AD">
        <w:rPr>
          <w:rFonts w:ascii="ITC Avant Garde" w:hAnsi="ITC Avant Garde" w:cs="ITC Avant Garde"/>
          <w:sz w:val="20"/>
          <w:szCs w:val="20"/>
        </w:rPr>
        <w:t>2100 MHz</w:t>
      </w:r>
      <w:r w:rsidRPr="00B029AD">
        <w:rPr>
          <w:rFonts w:ascii="ITC Avant Garde" w:hAnsi="ITC Avant Garde" w:cs="ITC Avant Garde"/>
          <w:sz w:val="20"/>
          <w:szCs w:val="20"/>
        </w:rPr>
        <w:t xml:space="preserve"> al Anteproyecto</w:t>
      </w:r>
      <w:r w:rsidR="00E26695">
        <w:rPr>
          <w:rFonts w:ascii="ITC Avant Garde" w:hAnsi="ITC Avant Garde" w:cs="ITC Avant Garde"/>
          <w:sz w:val="20"/>
          <w:szCs w:val="20"/>
        </w:rPr>
        <w:t>. Pa</w:t>
      </w:r>
      <w:r>
        <w:rPr>
          <w:rFonts w:ascii="ITC Avant Garde" w:hAnsi="ITC Avant Garde" w:cs="ITC Avant Garde"/>
          <w:sz w:val="20"/>
          <w:szCs w:val="20"/>
        </w:rPr>
        <w:t xml:space="preserve">ra el caso de </w:t>
      </w:r>
      <w:r w:rsidR="00E26695">
        <w:rPr>
          <w:rFonts w:ascii="ITC Avant Garde" w:hAnsi="ITC Avant Garde" w:cs="ITC Avant Garde"/>
          <w:sz w:val="20"/>
          <w:szCs w:val="20"/>
        </w:rPr>
        <w:t xml:space="preserve">anexar el texto: “o </w:t>
      </w:r>
      <w:r>
        <w:rPr>
          <w:rFonts w:ascii="ITC Avant Garde" w:hAnsi="ITC Avant Garde" w:cs="ITC Avant Garde"/>
          <w:sz w:val="20"/>
          <w:szCs w:val="20"/>
        </w:rPr>
        <w:t>combinaciones de ellos</w:t>
      </w:r>
      <w:r w:rsidR="00E26695">
        <w:rPr>
          <w:rFonts w:ascii="ITC Avant Garde" w:hAnsi="ITC Avant Garde" w:cs="ITC Avant Garde"/>
          <w:sz w:val="20"/>
          <w:szCs w:val="20"/>
        </w:rPr>
        <w:t>”</w:t>
      </w:r>
      <w:r>
        <w:rPr>
          <w:rFonts w:ascii="ITC Avant Garde" w:hAnsi="ITC Avant Garde" w:cs="ITC Avant Garde"/>
          <w:sz w:val="20"/>
          <w:szCs w:val="20"/>
        </w:rPr>
        <w:t xml:space="preserve"> no se considera, </w:t>
      </w:r>
      <w:r w:rsidR="00E26695">
        <w:rPr>
          <w:rFonts w:ascii="ITC Avant Garde" w:hAnsi="ITC Avant Garde" w:cs="ITC Avant Garde"/>
          <w:sz w:val="20"/>
          <w:szCs w:val="20"/>
        </w:rPr>
        <w:t xml:space="preserve">ni </w:t>
      </w:r>
      <w:r>
        <w:rPr>
          <w:rFonts w:ascii="ITC Avant Garde" w:hAnsi="ITC Avant Garde" w:cs="ITC Avant Garde"/>
          <w:sz w:val="20"/>
          <w:szCs w:val="20"/>
        </w:rPr>
        <w:t xml:space="preserve">el conector </w:t>
      </w:r>
      <w:r w:rsidRPr="00B029AD">
        <w:rPr>
          <w:rFonts w:ascii="ITC Avant Garde" w:hAnsi="ITC Avant Garde" w:cs="ITC Avant Garde"/>
          <w:b/>
          <w:i/>
          <w:sz w:val="20"/>
          <w:szCs w:val="20"/>
          <w:u w:val="single"/>
        </w:rPr>
        <w:t>y</w:t>
      </w:r>
      <w:r w:rsidR="00E26695">
        <w:rPr>
          <w:rFonts w:ascii="ITC Avant Garde" w:hAnsi="ITC Avant Garde" w:cs="ITC Avant Garde"/>
          <w:b/>
          <w:i/>
          <w:sz w:val="20"/>
          <w:szCs w:val="20"/>
        </w:rPr>
        <w:t>,</w:t>
      </w:r>
      <w:r>
        <w:rPr>
          <w:rFonts w:ascii="ITC Avant Garde" w:hAnsi="ITC Avant Garde" w:cs="ITC Avant Garde"/>
          <w:b/>
          <w:i/>
          <w:sz w:val="20"/>
          <w:szCs w:val="20"/>
        </w:rPr>
        <w:t xml:space="preserve"> </w:t>
      </w:r>
      <w:r w:rsidRPr="00B029AD">
        <w:rPr>
          <w:rFonts w:ascii="ITC Avant Garde" w:hAnsi="ITC Avant Garde" w:cs="ITC Avant Garde"/>
          <w:sz w:val="20"/>
          <w:szCs w:val="20"/>
        </w:rPr>
        <w:t>por consi</w:t>
      </w:r>
      <w:r>
        <w:rPr>
          <w:rFonts w:ascii="ITC Avant Garde" w:hAnsi="ITC Avant Garde" w:cs="ITC Avant Garde"/>
          <w:sz w:val="20"/>
          <w:szCs w:val="20"/>
        </w:rPr>
        <w:t>s</w:t>
      </w:r>
      <w:r w:rsidRPr="00B029AD">
        <w:rPr>
          <w:rFonts w:ascii="ITC Avant Garde" w:hAnsi="ITC Avant Garde" w:cs="ITC Avant Garde"/>
          <w:sz w:val="20"/>
          <w:szCs w:val="20"/>
        </w:rPr>
        <w:t>tencia con lo establecido en el artículo 289 de la LFTR.</w:t>
      </w:r>
    </w:p>
    <w:p w:rsidR="00B16C0D" w:rsidRDefault="007F5611" w:rsidP="00B029AD">
      <w:pPr>
        <w:spacing w:line="276" w:lineRule="auto"/>
        <w:jc w:val="both"/>
        <w:rPr>
          <w:rFonts w:ascii="ITC Avant Garde" w:hAnsi="ITC Avant Garde" w:cs="ITC Avant Garde"/>
          <w:sz w:val="20"/>
          <w:szCs w:val="20"/>
        </w:rPr>
      </w:pPr>
      <w:r w:rsidRPr="00C254F6">
        <w:rPr>
          <w:rFonts w:ascii="ITC Avant Garde" w:eastAsia="Times New Roman" w:hAnsi="ITC Avant Garde" w:cs="ITC Avant Garde"/>
          <w:b/>
          <w:color w:val="000000"/>
          <w:sz w:val="20"/>
          <w:szCs w:val="20"/>
        </w:rPr>
        <w:t>Propuesta</w:t>
      </w:r>
    </w:p>
    <w:p w:rsidR="007F5611" w:rsidRPr="007F5611" w:rsidRDefault="007F5611" w:rsidP="007F5611">
      <w:pPr>
        <w:spacing w:line="276" w:lineRule="auto"/>
        <w:jc w:val="both"/>
        <w:rPr>
          <w:rFonts w:ascii="ITC Avant Garde" w:hAnsi="ITC Avant Garde" w:cs="ITC Avant Garde"/>
          <w:sz w:val="20"/>
          <w:szCs w:val="20"/>
        </w:rPr>
      </w:pPr>
      <w:r>
        <w:rPr>
          <w:rFonts w:ascii="ITC Avant Garde" w:hAnsi="ITC Avant Garde" w:cs="ITC Avant Garde"/>
          <w:sz w:val="20"/>
          <w:szCs w:val="20"/>
        </w:rPr>
        <w:t>QUALCOMM, indica que l</w:t>
      </w:r>
      <w:r w:rsidRPr="007F5611">
        <w:rPr>
          <w:rFonts w:ascii="ITC Avant Garde" w:hAnsi="ITC Avant Garde" w:cs="ITC Avant Garde"/>
          <w:sz w:val="20"/>
          <w:szCs w:val="20"/>
        </w:rPr>
        <w:t>a referencia a la banda de 2100 MHz puede generar confusión entre las bandas 4,10 y 66 (1710-1780 /2110-2180MHz) y la banda 1 (1920-1980 / 2110-2170 MHz), por lo que consideramos conveniente utilizar el término</w:t>
      </w:r>
      <w:r w:rsidR="00991055">
        <w:rPr>
          <w:rFonts w:ascii="ITC Avant Garde" w:hAnsi="ITC Avant Garde" w:cs="ITC Avant Garde"/>
          <w:sz w:val="20"/>
          <w:szCs w:val="20"/>
        </w:rPr>
        <w:t xml:space="preserve"> </w:t>
      </w:r>
      <w:r w:rsidRPr="007F5611">
        <w:rPr>
          <w:rFonts w:ascii="ITC Avant Garde" w:hAnsi="ITC Avant Garde" w:cs="ITC Avant Garde"/>
          <w:sz w:val="20"/>
          <w:szCs w:val="20"/>
        </w:rPr>
        <w:t>“1700/2100 MHz”, el cual es comúnmente utilizado por la industria para hacer referencia a esta banda.</w:t>
      </w:r>
    </w:p>
    <w:p w:rsidR="007F5611" w:rsidRPr="00C254F6" w:rsidRDefault="007F5611" w:rsidP="007F5611">
      <w:pPr>
        <w:tabs>
          <w:tab w:val="left" w:pos="1459"/>
        </w:tabs>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r>
        <w:rPr>
          <w:rFonts w:ascii="ITC Avant Garde" w:hAnsi="ITC Avant Garde" w:cs="ITC Avant Garde"/>
          <w:b/>
          <w:sz w:val="20"/>
          <w:szCs w:val="20"/>
        </w:rPr>
        <w:tab/>
      </w:r>
    </w:p>
    <w:p w:rsidR="007F5611" w:rsidRDefault="007F5611" w:rsidP="00B029AD">
      <w:pPr>
        <w:spacing w:line="276" w:lineRule="auto"/>
        <w:jc w:val="both"/>
        <w:rPr>
          <w:rFonts w:ascii="ITC Avant Garde" w:hAnsi="ITC Avant Garde" w:cs="ITC Avant Garde"/>
          <w:sz w:val="20"/>
          <w:szCs w:val="20"/>
        </w:rPr>
      </w:pPr>
      <w:r>
        <w:rPr>
          <w:rFonts w:ascii="ITC Avant Garde" w:hAnsi="ITC Avant Garde" w:cs="ITC Avant Garde"/>
          <w:sz w:val="20"/>
          <w:szCs w:val="20"/>
        </w:rPr>
        <w:t>Se considera</w:t>
      </w:r>
      <w:r w:rsidR="00E26695">
        <w:rPr>
          <w:rFonts w:ascii="ITC Avant Garde" w:hAnsi="ITC Avant Garde" w:cs="ITC Avant Garde"/>
          <w:sz w:val="20"/>
          <w:szCs w:val="20"/>
        </w:rPr>
        <w:t xml:space="preserve"> la propuesta</w:t>
      </w:r>
      <w:r>
        <w:rPr>
          <w:rFonts w:ascii="ITC Avant Garde" w:hAnsi="ITC Avant Garde" w:cs="ITC Avant Garde"/>
          <w:sz w:val="20"/>
          <w:szCs w:val="20"/>
        </w:rPr>
        <w:t>, s</w:t>
      </w:r>
      <w:r w:rsidRPr="007F5611">
        <w:rPr>
          <w:rFonts w:ascii="ITC Avant Garde" w:hAnsi="ITC Avant Garde" w:cs="ITC Avant Garde"/>
          <w:sz w:val="20"/>
          <w:szCs w:val="20"/>
        </w:rPr>
        <w:t xml:space="preserve">e </w:t>
      </w:r>
      <w:r>
        <w:rPr>
          <w:rFonts w:ascii="ITC Avant Garde" w:hAnsi="ITC Avant Garde" w:cs="ITC Avant Garde"/>
          <w:sz w:val="20"/>
          <w:szCs w:val="20"/>
        </w:rPr>
        <w:t>emplea la notación 1</w:t>
      </w:r>
      <w:r w:rsidRPr="007F5611">
        <w:rPr>
          <w:rFonts w:ascii="ITC Avant Garde" w:hAnsi="ITC Avant Garde" w:cs="ITC Avant Garde"/>
          <w:sz w:val="20"/>
          <w:szCs w:val="20"/>
        </w:rPr>
        <w:t xml:space="preserve">700 MHz/2100 MHz </w:t>
      </w:r>
      <w:r>
        <w:rPr>
          <w:rFonts w:ascii="ITC Avant Garde" w:hAnsi="ITC Avant Garde" w:cs="ITC Avant Garde"/>
          <w:sz w:val="20"/>
          <w:szCs w:val="20"/>
        </w:rPr>
        <w:t xml:space="preserve">para indicarla </w:t>
      </w:r>
      <w:r w:rsidRPr="007F5611">
        <w:rPr>
          <w:rFonts w:ascii="ITC Avant Garde" w:hAnsi="ITC Avant Garde" w:cs="ITC Avant Garde"/>
          <w:sz w:val="20"/>
          <w:szCs w:val="20"/>
        </w:rPr>
        <w:t>en el cuerpo de la DT.</w:t>
      </w:r>
    </w:p>
    <w:p w:rsidR="0049058B" w:rsidRPr="00C254F6" w:rsidRDefault="00240BF3"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3</w:t>
      </w:r>
      <w:r w:rsidR="00705E79" w:rsidRPr="00C254F6">
        <w:rPr>
          <w:rFonts w:ascii="ITC Avant Garde" w:hAnsi="ITC Avant Garde" w:cs="ITC Avant Garde"/>
          <w:b/>
          <w:sz w:val="20"/>
          <w:szCs w:val="20"/>
        </w:rPr>
        <w:t>.1</w:t>
      </w:r>
      <w:r w:rsidR="00B24C02" w:rsidRPr="00C254F6">
        <w:rPr>
          <w:rFonts w:ascii="ITC Avant Garde" w:eastAsia="Times New Roman" w:hAnsi="ITC Avant Garde" w:cs="ITC Avant Garde"/>
          <w:color w:val="000000"/>
          <w:sz w:val="20"/>
          <w:szCs w:val="20"/>
        </w:rPr>
        <w:t xml:space="preserve"> </w:t>
      </w:r>
      <w:r w:rsidR="0049058B" w:rsidRPr="00C254F6">
        <w:rPr>
          <w:rFonts w:ascii="ITC Avant Garde" w:hAnsi="ITC Avant Garde" w:cs="ITC Avant Garde"/>
          <w:b/>
          <w:sz w:val="20"/>
          <w:szCs w:val="20"/>
        </w:rPr>
        <w:t>Definiciones</w:t>
      </w:r>
      <w:r w:rsidR="00494BB9">
        <w:rPr>
          <w:rFonts w:ascii="ITC Avant Garde" w:hAnsi="ITC Avant Garde" w:cs="ITC Avant Garde"/>
          <w:b/>
          <w:sz w:val="20"/>
          <w:szCs w:val="20"/>
        </w:rPr>
        <w:t>.</w:t>
      </w:r>
    </w:p>
    <w:p w:rsidR="006B1A29" w:rsidRPr="00C254F6"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Participantes: </w:t>
      </w:r>
    </w:p>
    <w:p w:rsidR="004B7AEA" w:rsidRDefault="00C200B6" w:rsidP="004B7AEA">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t>CANIETI</w:t>
      </w:r>
      <w:r w:rsidR="004B7AEA">
        <w:rPr>
          <w:rFonts w:ascii="ITC Avant Garde" w:hAnsi="ITC Avant Garde" w:cs="ITC Avant Garde"/>
          <w:sz w:val="20"/>
          <w:szCs w:val="20"/>
        </w:rPr>
        <w:t xml:space="preserve"> y </w:t>
      </w:r>
      <w:r w:rsidR="004B7AEA">
        <w:rPr>
          <w:rFonts w:ascii="ITC Avant Garde" w:eastAsia="Times New Roman" w:hAnsi="ITC Avant Garde" w:cs="ITC Avant Garde"/>
          <w:color w:val="000000"/>
          <w:sz w:val="20"/>
          <w:szCs w:val="20"/>
          <w:lang w:val="es-MX"/>
        </w:rPr>
        <w:t>ADVANCE.</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4B7AEA" w:rsidRDefault="0049058B" w:rsidP="004B7AEA">
      <w:pPr>
        <w:pStyle w:val="Textocomentario"/>
        <w:rPr>
          <w:rFonts w:ascii="ITC Avant Garde" w:eastAsia="Times New Roman" w:hAnsi="ITC Avant Garde" w:cs="ITC Avant Garde"/>
          <w:b/>
          <w:color w:val="000000"/>
          <w:shd w:val="clear" w:color="auto" w:fill="FFFFFF"/>
          <w:lang w:val="es-MX"/>
        </w:rPr>
      </w:pPr>
      <w:r w:rsidRPr="00C254F6">
        <w:rPr>
          <w:rFonts w:ascii="ITC Avant Garde" w:eastAsia="Times New Roman" w:hAnsi="ITC Avant Garde" w:cs="ITC Avant Garde"/>
          <w:color w:val="000000"/>
          <w:shd w:val="clear" w:color="auto" w:fill="FFFFFF"/>
          <w:lang w:val="es-MX"/>
        </w:rPr>
        <w:t xml:space="preserve">Los participantes sugieren </w:t>
      </w:r>
      <w:r w:rsidR="00C066A4" w:rsidRPr="00C254F6">
        <w:rPr>
          <w:rFonts w:ascii="ITC Avant Garde" w:eastAsia="Times New Roman" w:hAnsi="ITC Avant Garde" w:cs="ITC Avant Garde"/>
          <w:color w:val="000000"/>
          <w:shd w:val="clear" w:color="auto" w:fill="FFFFFF"/>
          <w:lang w:val="es-MX"/>
        </w:rPr>
        <w:t>el empleo de</w:t>
      </w:r>
      <w:r w:rsidR="004B7AEA">
        <w:rPr>
          <w:rFonts w:ascii="ITC Avant Garde" w:eastAsia="Times New Roman" w:hAnsi="ITC Avant Garde" w:cs="ITC Avant Garde"/>
          <w:color w:val="000000"/>
          <w:shd w:val="clear" w:color="auto" w:fill="FFFFFF"/>
          <w:lang w:val="es-MX"/>
        </w:rPr>
        <w:t xml:space="preserve"> los </w:t>
      </w:r>
      <w:r w:rsidR="00A54272" w:rsidRPr="00C254F6">
        <w:rPr>
          <w:rFonts w:ascii="ITC Avant Garde" w:eastAsia="Times New Roman" w:hAnsi="ITC Avant Garde" w:cs="ITC Avant Garde"/>
          <w:color w:val="000000"/>
          <w:shd w:val="clear" w:color="auto" w:fill="FFFFFF"/>
          <w:lang w:val="es-MX"/>
        </w:rPr>
        <w:t>siguiente</w:t>
      </w:r>
      <w:r w:rsidR="004B7AEA">
        <w:rPr>
          <w:rFonts w:ascii="ITC Avant Garde" w:eastAsia="Times New Roman" w:hAnsi="ITC Avant Garde" w:cs="ITC Avant Garde"/>
          <w:color w:val="000000"/>
          <w:shd w:val="clear" w:color="auto" w:fill="FFFFFF"/>
          <w:lang w:val="es-MX"/>
        </w:rPr>
        <w:t>s</w:t>
      </w:r>
      <w:r w:rsidR="00A54272" w:rsidRPr="00C254F6">
        <w:rPr>
          <w:rFonts w:ascii="ITC Avant Garde" w:eastAsia="Times New Roman" w:hAnsi="ITC Avant Garde" w:cs="ITC Avant Garde"/>
          <w:color w:val="000000"/>
          <w:shd w:val="clear" w:color="auto" w:fill="FFFFFF"/>
          <w:lang w:val="es-MX"/>
        </w:rPr>
        <w:t xml:space="preserve"> </w:t>
      </w:r>
      <w:r w:rsidR="00C066A4" w:rsidRPr="00C254F6">
        <w:rPr>
          <w:rFonts w:ascii="ITC Avant Garde" w:eastAsia="Times New Roman" w:hAnsi="ITC Avant Garde" w:cs="ITC Avant Garde"/>
          <w:color w:val="000000"/>
          <w:shd w:val="clear" w:color="auto" w:fill="FFFFFF"/>
          <w:lang w:val="es-MX"/>
        </w:rPr>
        <w:t>término</w:t>
      </w:r>
      <w:r w:rsidR="004B7AEA">
        <w:rPr>
          <w:rFonts w:ascii="ITC Avant Garde" w:eastAsia="Times New Roman" w:hAnsi="ITC Avant Garde" w:cs="ITC Avant Garde"/>
          <w:color w:val="000000"/>
          <w:shd w:val="clear" w:color="auto" w:fill="FFFFFF"/>
          <w:lang w:val="es-MX"/>
        </w:rPr>
        <w:t>s</w:t>
      </w:r>
      <w:r w:rsidR="00C066A4" w:rsidRPr="00C254F6">
        <w:rPr>
          <w:rFonts w:ascii="ITC Avant Garde" w:eastAsia="Times New Roman" w:hAnsi="ITC Avant Garde" w:cs="ITC Avant Garde"/>
          <w:color w:val="000000"/>
          <w:shd w:val="clear" w:color="auto" w:fill="FFFFFF"/>
          <w:lang w:val="es-MX"/>
        </w:rPr>
        <w:t>:</w:t>
      </w:r>
      <w:r w:rsidR="00C066A4" w:rsidRPr="00C254F6">
        <w:rPr>
          <w:rFonts w:ascii="ITC Avant Garde" w:eastAsia="Times New Roman" w:hAnsi="ITC Avant Garde" w:cs="ITC Avant Garde"/>
          <w:b/>
          <w:color w:val="000000"/>
          <w:shd w:val="clear" w:color="auto" w:fill="FFFFFF"/>
          <w:lang w:val="es-MX"/>
        </w:rPr>
        <w:t xml:space="preserve"> </w:t>
      </w:r>
    </w:p>
    <w:p w:rsidR="004B7AEA" w:rsidRPr="004B7AEA" w:rsidRDefault="004B7AEA" w:rsidP="004B7AEA">
      <w:pPr>
        <w:pStyle w:val="Prrafodelista"/>
        <w:numPr>
          <w:ilvl w:val="0"/>
          <w:numId w:val="10"/>
        </w:numPr>
        <w:spacing w:line="276" w:lineRule="auto"/>
        <w:jc w:val="both"/>
        <w:rPr>
          <w:rFonts w:ascii="ITC Avant Garde" w:hAnsi="ITC Avant Garde" w:cs="ITC Avant Garde"/>
        </w:rPr>
      </w:pPr>
      <w:r w:rsidRPr="004B7AEA">
        <w:rPr>
          <w:rFonts w:ascii="ITC Avant Garde" w:hAnsi="ITC Avant Garde" w:cs="ITC Avant Garde"/>
        </w:rPr>
        <w:t>Marcado: Se entiende como el proceso de troquelar, grabar, termo-fijar, imprimir, sellar, coser, moldear en forma permanente, incluido de manera electrónica en el software del producto, o cualquier otro proceso similar donde el usuario puede encontrar la contraseña oficial.</w:t>
      </w:r>
    </w:p>
    <w:p w:rsidR="004B7AEA" w:rsidRDefault="004B7AEA" w:rsidP="004B7AEA">
      <w:pPr>
        <w:pStyle w:val="Prrafodelista"/>
        <w:numPr>
          <w:ilvl w:val="0"/>
          <w:numId w:val="10"/>
        </w:numPr>
        <w:spacing w:line="276" w:lineRule="auto"/>
        <w:jc w:val="both"/>
        <w:rPr>
          <w:rFonts w:ascii="ITC Avant Garde" w:hAnsi="ITC Avant Garde" w:cs="ITC Avant Garde"/>
        </w:rPr>
      </w:pPr>
      <w:r w:rsidRPr="004B7AEA">
        <w:rPr>
          <w:rFonts w:ascii="ITC Avant Garde" w:hAnsi="ITC Avant Garde" w:cs="ITC Avant Garde"/>
        </w:rPr>
        <w:t>Etiqueta: Cualquier rótulo, marbete, inscripción, imagen u otra materia descriptiva o gráfica, escrita, impresa, estarcida, marcada, grabada en alto o bajo relieve, adherida, sobrepuesta o fijada al producto, a su envase o, cuando no sea posible por las características del producto o su envase, a su embalaje, o en formato digital dentro del software del producto donde el usuario puede encontrar la contraseña oficial.</w:t>
      </w:r>
    </w:p>
    <w:p w:rsidR="00C066A4" w:rsidRDefault="0049058B" w:rsidP="004B7AEA">
      <w:pPr>
        <w:spacing w:line="276" w:lineRule="auto"/>
        <w:jc w:val="both"/>
        <w:rPr>
          <w:rFonts w:ascii="ITC Avant Garde" w:hAnsi="ITC Avant Garde" w:cs="ITC Avant Garde"/>
          <w:b/>
          <w:sz w:val="20"/>
          <w:szCs w:val="20"/>
        </w:rPr>
      </w:pPr>
      <w:r w:rsidRPr="004B7AEA">
        <w:rPr>
          <w:rFonts w:ascii="ITC Avant Garde" w:hAnsi="ITC Avant Garde" w:cs="ITC Avant Garde"/>
          <w:b/>
          <w:sz w:val="20"/>
          <w:szCs w:val="20"/>
        </w:rPr>
        <w:t>Respuesta:</w:t>
      </w:r>
      <w:r w:rsidR="00816E6A" w:rsidRPr="004B7AEA">
        <w:rPr>
          <w:rFonts w:ascii="ITC Avant Garde" w:hAnsi="ITC Avant Garde" w:cs="ITC Avant Garde"/>
          <w:b/>
          <w:sz w:val="20"/>
          <w:szCs w:val="20"/>
        </w:rPr>
        <w:t xml:space="preserve"> </w:t>
      </w:r>
    </w:p>
    <w:p w:rsidR="004B7AEA" w:rsidRPr="004B7AEA" w:rsidRDefault="004B7AEA" w:rsidP="004B7AEA">
      <w:pPr>
        <w:pStyle w:val="Textocomentario"/>
        <w:rPr>
          <w:rFonts w:ascii="ITC Avant Garde" w:eastAsia="Times New Roman" w:hAnsi="ITC Avant Garde" w:cs="ITC Avant Garde"/>
          <w:color w:val="000000"/>
          <w:shd w:val="clear" w:color="auto" w:fill="FFFFFF"/>
          <w:lang w:val="es-MX"/>
        </w:rPr>
      </w:pPr>
      <w:r w:rsidRPr="004B7AEA">
        <w:rPr>
          <w:rFonts w:ascii="ITC Avant Garde" w:eastAsia="Times New Roman" w:hAnsi="ITC Avant Garde" w:cs="ITC Avant Garde"/>
          <w:color w:val="000000"/>
          <w:shd w:val="clear" w:color="auto" w:fill="FFFFFF"/>
          <w:lang w:val="es-MX"/>
        </w:rPr>
        <w:t>No se considera.</w:t>
      </w:r>
    </w:p>
    <w:p w:rsidR="004B7AEA" w:rsidRDefault="004B7AEA" w:rsidP="004B7AEA">
      <w:pPr>
        <w:pStyle w:val="Textocomentario"/>
        <w:rPr>
          <w:rFonts w:ascii="ITC Avant Garde" w:eastAsia="Times New Roman" w:hAnsi="ITC Avant Garde" w:cs="ITC Avant Garde"/>
          <w:color w:val="000000"/>
          <w:shd w:val="clear" w:color="auto" w:fill="FFFFFF"/>
          <w:lang w:val="es-MX"/>
        </w:rPr>
      </w:pPr>
      <w:r w:rsidRPr="004B7AEA">
        <w:rPr>
          <w:rFonts w:ascii="ITC Avant Garde" w:eastAsia="Times New Roman" w:hAnsi="ITC Avant Garde" w:cs="ITC Avant Garde"/>
          <w:color w:val="000000"/>
          <w:shd w:val="clear" w:color="auto" w:fill="FFFFFF"/>
          <w:lang w:val="es-MX"/>
        </w:rPr>
        <w:t>El Instituto emitir</w:t>
      </w:r>
      <w:r w:rsidR="00EB1E42">
        <w:rPr>
          <w:rFonts w:ascii="ITC Avant Garde" w:eastAsia="Times New Roman" w:hAnsi="ITC Avant Garde" w:cs="ITC Avant Garde"/>
          <w:color w:val="000000"/>
          <w:shd w:val="clear" w:color="auto" w:fill="FFFFFF"/>
          <w:lang w:val="es-MX"/>
        </w:rPr>
        <w:t xml:space="preserve">á en su momento las disposiciones relativas a la </w:t>
      </w:r>
      <w:r w:rsidRPr="004B7AEA">
        <w:rPr>
          <w:rFonts w:ascii="ITC Avant Garde" w:eastAsia="Times New Roman" w:hAnsi="ITC Avant Garde" w:cs="ITC Avant Garde"/>
          <w:color w:val="000000"/>
          <w:shd w:val="clear" w:color="auto" w:fill="FFFFFF"/>
          <w:lang w:val="es-MX"/>
        </w:rPr>
        <w:t>contraseña de producto</w:t>
      </w:r>
      <w:r w:rsidR="00A45E57">
        <w:rPr>
          <w:rFonts w:ascii="ITC Avant Garde" w:eastAsia="Times New Roman" w:hAnsi="ITC Avant Garde" w:cs="ITC Avant Garde"/>
          <w:color w:val="000000"/>
          <w:shd w:val="clear" w:color="auto" w:fill="FFFFFF"/>
          <w:lang w:val="es-MX"/>
        </w:rPr>
        <w:t>.</w:t>
      </w:r>
    </w:p>
    <w:p w:rsidR="008B3504" w:rsidRPr="00C254F6" w:rsidRDefault="008B3504" w:rsidP="008B3504">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lastRenderedPageBreak/>
        <w:t xml:space="preserve">Participantes: </w:t>
      </w:r>
    </w:p>
    <w:p w:rsidR="008B3504" w:rsidRDefault="008B3504" w:rsidP="008B3504">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sz w:val="20"/>
          <w:szCs w:val="20"/>
        </w:rPr>
        <w:t>ANATEL</w:t>
      </w:r>
    </w:p>
    <w:p w:rsidR="008B3504" w:rsidRPr="00C254F6" w:rsidRDefault="008B3504" w:rsidP="008B3504">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8B3504" w:rsidRPr="008B3504" w:rsidRDefault="008B3504" w:rsidP="008B3504">
      <w:pPr>
        <w:pStyle w:val="Textocomentario"/>
        <w:jc w:val="both"/>
        <w:rPr>
          <w:rFonts w:ascii="ITC Avant Garde" w:eastAsia="Times New Roman" w:hAnsi="ITC Avant Garde" w:cs="ITC Avant Garde"/>
          <w:color w:val="000000"/>
          <w:shd w:val="clear" w:color="auto" w:fill="FFFFFF"/>
          <w:lang w:val="es-MX"/>
        </w:rPr>
      </w:pPr>
      <w:r>
        <w:rPr>
          <w:rFonts w:ascii="ITC Avant Garde" w:eastAsia="Times New Roman" w:hAnsi="ITC Avant Garde" w:cs="ITC Avant Garde"/>
          <w:color w:val="000000"/>
          <w:shd w:val="clear" w:color="auto" w:fill="FFFFFF"/>
          <w:lang w:val="es-MX"/>
        </w:rPr>
        <w:t xml:space="preserve">Sugiere incluir la </w:t>
      </w:r>
      <w:r w:rsidRPr="008B3504">
        <w:rPr>
          <w:rFonts w:ascii="ITC Avant Garde" w:eastAsia="Times New Roman" w:hAnsi="ITC Avant Garde" w:cs="ITC Avant Garde"/>
          <w:color w:val="000000"/>
          <w:shd w:val="clear" w:color="auto" w:fill="FFFFFF"/>
          <w:lang w:val="es-MX"/>
        </w:rPr>
        <w:t>defini</w:t>
      </w:r>
      <w:r>
        <w:rPr>
          <w:rFonts w:ascii="ITC Avant Garde" w:eastAsia="Times New Roman" w:hAnsi="ITC Avant Garde" w:cs="ITC Avant Garde"/>
          <w:color w:val="000000"/>
          <w:shd w:val="clear" w:color="auto" w:fill="FFFFFF"/>
          <w:lang w:val="es-MX"/>
        </w:rPr>
        <w:t xml:space="preserve">ción de </w:t>
      </w:r>
      <w:r w:rsidRPr="008B3504">
        <w:rPr>
          <w:rFonts w:ascii="ITC Avant Garde" w:eastAsia="Times New Roman" w:hAnsi="ITC Avant Garde" w:cs="ITC Avant Garde"/>
          <w:color w:val="000000"/>
          <w:shd w:val="clear" w:color="auto" w:fill="FFFFFF"/>
          <w:lang w:val="es-MX"/>
        </w:rPr>
        <w:t xml:space="preserve">los conceptos </w:t>
      </w:r>
      <w:r>
        <w:rPr>
          <w:rFonts w:ascii="ITC Avant Garde" w:eastAsia="Times New Roman" w:hAnsi="ITC Avant Garde" w:cs="ITC Avant Garde"/>
          <w:color w:val="000000"/>
          <w:shd w:val="clear" w:color="auto" w:fill="FFFFFF"/>
          <w:lang w:val="es-MX"/>
        </w:rPr>
        <w:t xml:space="preserve">de </w:t>
      </w:r>
      <w:r w:rsidRPr="008B3504">
        <w:rPr>
          <w:rFonts w:ascii="ITC Avant Garde" w:eastAsia="Times New Roman" w:hAnsi="ITC Avant Garde" w:cs="ITC Avant Garde"/>
          <w:color w:val="000000"/>
          <w:shd w:val="clear" w:color="auto" w:fill="FFFFFF"/>
          <w:lang w:val="es-MX"/>
        </w:rPr>
        <w:t xml:space="preserve">"emisiones armónicas" y "emisiones parásitas". </w:t>
      </w:r>
    </w:p>
    <w:p w:rsidR="008B3504" w:rsidRDefault="008B3504" w:rsidP="008B3504">
      <w:pPr>
        <w:spacing w:line="276" w:lineRule="auto"/>
        <w:jc w:val="both"/>
        <w:rPr>
          <w:rFonts w:ascii="ITC Avant Garde" w:hAnsi="ITC Avant Garde" w:cs="ITC Avant Garde"/>
          <w:b/>
          <w:sz w:val="20"/>
          <w:szCs w:val="20"/>
        </w:rPr>
      </w:pPr>
      <w:r w:rsidRPr="008B3504">
        <w:rPr>
          <w:rFonts w:ascii="ITC Avant Garde" w:hAnsi="ITC Avant Garde" w:cs="ITC Avant Garde"/>
          <w:b/>
          <w:sz w:val="20"/>
          <w:szCs w:val="20"/>
        </w:rPr>
        <w:t xml:space="preserve"> </w:t>
      </w:r>
      <w:r w:rsidRPr="004B7AEA">
        <w:rPr>
          <w:rFonts w:ascii="ITC Avant Garde" w:hAnsi="ITC Avant Garde" w:cs="ITC Avant Garde"/>
          <w:b/>
          <w:sz w:val="20"/>
          <w:szCs w:val="20"/>
        </w:rPr>
        <w:t xml:space="preserve">Respuesta: </w:t>
      </w:r>
    </w:p>
    <w:p w:rsidR="008B3504" w:rsidRPr="008B3504" w:rsidRDefault="008B3504" w:rsidP="008B3504">
      <w:pPr>
        <w:pStyle w:val="Textocomentario"/>
        <w:rPr>
          <w:rFonts w:ascii="ITC Avant Garde" w:eastAsia="Times New Roman" w:hAnsi="ITC Avant Garde" w:cs="ITC Avant Garde"/>
          <w:color w:val="000000"/>
          <w:shd w:val="clear" w:color="auto" w:fill="FFFFFF"/>
          <w:lang w:val="es-MX"/>
        </w:rPr>
      </w:pPr>
      <w:r w:rsidRPr="008B3504">
        <w:rPr>
          <w:rFonts w:ascii="ITC Avant Garde" w:eastAsia="Times New Roman" w:hAnsi="ITC Avant Garde" w:cs="ITC Avant Garde"/>
          <w:color w:val="000000"/>
          <w:shd w:val="clear" w:color="auto" w:fill="FFFFFF"/>
          <w:lang w:val="es-MX"/>
        </w:rPr>
        <w:t>No se considera.</w:t>
      </w:r>
    </w:p>
    <w:p w:rsidR="008B3504" w:rsidRPr="008B3504" w:rsidRDefault="008B3504" w:rsidP="008B3504">
      <w:pPr>
        <w:pStyle w:val="Textocomentario"/>
        <w:rPr>
          <w:rFonts w:ascii="ITC Avant Garde" w:eastAsia="Times New Roman" w:hAnsi="ITC Avant Garde" w:cs="ITC Avant Garde"/>
          <w:color w:val="000000"/>
          <w:shd w:val="clear" w:color="auto" w:fill="FFFFFF"/>
          <w:lang w:val="es-MX"/>
        </w:rPr>
      </w:pPr>
      <w:r w:rsidRPr="008B3504">
        <w:rPr>
          <w:rFonts w:ascii="ITC Avant Garde" w:eastAsia="Times New Roman" w:hAnsi="ITC Avant Garde" w:cs="ITC Avant Garde"/>
          <w:color w:val="000000"/>
          <w:shd w:val="clear" w:color="auto" w:fill="FFFFFF"/>
          <w:lang w:val="es-MX"/>
        </w:rPr>
        <w:t xml:space="preserve">Están </w:t>
      </w:r>
      <w:r w:rsidR="004B4189">
        <w:rPr>
          <w:rFonts w:ascii="ITC Avant Garde" w:eastAsia="Times New Roman" w:hAnsi="ITC Avant Garde" w:cs="ITC Avant Garde"/>
          <w:color w:val="000000"/>
          <w:shd w:val="clear" w:color="auto" w:fill="FFFFFF"/>
          <w:lang w:val="es-MX"/>
        </w:rPr>
        <w:t xml:space="preserve">consideradas </w:t>
      </w:r>
      <w:r w:rsidR="00E26695">
        <w:rPr>
          <w:rFonts w:ascii="ITC Avant Garde" w:eastAsia="Times New Roman" w:hAnsi="ITC Avant Garde" w:cs="ITC Avant Garde"/>
          <w:color w:val="000000"/>
          <w:shd w:val="clear" w:color="auto" w:fill="FFFFFF"/>
          <w:lang w:val="es-MX"/>
        </w:rPr>
        <w:t xml:space="preserve">dentro de la definición de </w:t>
      </w:r>
      <w:r w:rsidRPr="008B3504">
        <w:rPr>
          <w:rFonts w:ascii="ITC Avant Garde" w:eastAsia="Times New Roman" w:hAnsi="ITC Avant Garde" w:cs="ITC Avant Garde"/>
          <w:color w:val="000000"/>
          <w:shd w:val="clear" w:color="auto" w:fill="FFFFFF"/>
          <w:lang w:val="es-MX"/>
        </w:rPr>
        <w:t>emisiones no esenciales.</w:t>
      </w:r>
    </w:p>
    <w:p w:rsidR="008B3504" w:rsidRPr="004B7AEA" w:rsidRDefault="008B3504" w:rsidP="004B7AEA">
      <w:pPr>
        <w:pStyle w:val="Textocomentario"/>
        <w:rPr>
          <w:rFonts w:ascii="ITC Avant Garde" w:eastAsia="Times New Roman" w:hAnsi="ITC Avant Garde" w:cs="ITC Avant Garde"/>
          <w:color w:val="000000"/>
          <w:shd w:val="clear" w:color="auto" w:fill="FFFFFF"/>
          <w:lang w:val="es-MX"/>
        </w:rPr>
      </w:pPr>
    </w:p>
    <w:p w:rsidR="005E352F" w:rsidRPr="00C254F6" w:rsidRDefault="005E352F" w:rsidP="008B3504">
      <w:pPr>
        <w:pStyle w:val="Prrafodelista1"/>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240BF3" w:rsidRPr="00C254F6">
        <w:rPr>
          <w:rFonts w:ascii="ITC Avant Garde" w:hAnsi="ITC Avant Garde" w:cs="ITC Avant Garde"/>
          <w:b/>
          <w:sz w:val="20"/>
          <w:szCs w:val="20"/>
        </w:rPr>
        <w:t>3</w:t>
      </w:r>
      <w:r w:rsidR="00705E79" w:rsidRPr="00C254F6">
        <w:rPr>
          <w:rFonts w:ascii="ITC Avant Garde" w:hAnsi="ITC Avant Garde" w:cs="ITC Avant Garde"/>
          <w:b/>
          <w:sz w:val="20"/>
          <w:szCs w:val="20"/>
        </w:rPr>
        <w:t>.1</w:t>
      </w:r>
      <w:r w:rsidRPr="00C254F6">
        <w:rPr>
          <w:rFonts w:ascii="ITC Avant Garde" w:hAnsi="ITC Avant Garde" w:cs="ITC Avant Garde"/>
          <w:b/>
          <w:sz w:val="20"/>
          <w:szCs w:val="20"/>
        </w:rPr>
        <w:t xml:space="preserve"> – Definiciones, fracción II</w:t>
      </w:r>
      <w:r w:rsidR="00494BB9">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Participantes:</w:t>
      </w:r>
    </w:p>
    <w:p w:rsidR="005E352F" w:rsidRPr="00C254F6" w:rsidRDefault="000D275A" w:rsidP="005E352F">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hAnsi="ITC Avant Garde" w:cs="ITC Avant Garde"/>
          <w:sz w:val="20"/>
          <w:szCs w:val="20"/>
        </w:rPr>
        <w:t>NYCE</w:t>
      </w:r>
      <w:r w:rsidR="005E352F" w:rsidRPr="00C254F6">
        <w:rPr>
          <w:rFonts w:ascii="ITC Avant Garde" w:hAnsi="ITC Avant Garde" w:cs="ITC Avant Garde"/>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Propuesta:</w:t>
      </w:r>
    </w:p>
    <w:p w:rsidR="005E352F" w:rsidRPr="003F60DE" w:rsidRDefault="000D275A" w:rsidP="005E352F">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t xml:space="preserve">El </w:t>
      </w:r>
      <w:r w:rsidR="005E352F" w:rsidRPr="00C254F6">
        <w:rPr>
          <w:rFonts w:ascii="ITC Avant Garde" w:eastAsia="Times New Roman" w:hAnsi="ITC Avant Garde" w:cs="ITC Avant Garde"/>
          <w:color w:val="000000"/>
          <w:sz w:val="20"/>
          <w:szCs w:val="20"/>
          <w:shd w:val="clear" w:color="auto" w:fill="FFFFFF"/>
          <w:lang w:val="es-MX"/>
        </w:rPr>
        <w:t xml:space="preserve">participante sugiere </w:t>
      </w:r>
      <w:r>
        <w:rPr>
          <w:rFonts w:ascii="ITC Avant Garde" w:eastAsia="Times New Roman" w:hAnsi="ITC Avant Garde" w:cs="ITC Avant Garde"/>
          <w:color w:val="000000"/>
          <w:sz w:val="20"/>
          <w:szCs w:val="20"/>
          <w:shd w:val="clear" w:color="auto" w:fill="FFFFFF"/>
          <w:lang w:val="es-MX"/>
        </w:rPr>
        <w:t xml:space="preserve">eliminar </w:t>
      </w:r>
      <w:r w:rsidRPr="000D275A">
        <w:rPr>
          <w:rFonts w:ascii="ITC Avant Garde" w:eastAsia="Times New Roman" w:hAnsi="ITC Avant Garde" w:cs="ITC Avant Garde"/>
          <w:color w:val="000000"/>
          <w:sz w:val="20"/>
          <w:szCs w:val="20"/>
          <w:shd w:val="clear" w:color="auto" w:fill="FFFFFF"/>
          <w:lang w:val="es-MX"/>
        </w:rPr>
        <w:t xml:space="preserve">el </w:t>
      </w:r>
      <w:r>
        <w:rPr>
          <w:rFonts w:ascii="ITC Avant Garde" w:eastAsia="Times New Roman" w:hAnsi="ITC Avant Garde" w:cs="ITC Avant Garde"/>
          <w:color w:val="000000"/>
          <w:sz w:val="20"/>
          <w:szCs w:val="20"/>
          <w:shd w:val="clear" w:color="auto" w:fill="FFFFFF"/>
          <w:lang w:val="es-MX"/>
        </w:rPr>
        <w:t xml:space="preserve">término de </w:t>
      </w:r>
      <w:r w:rsidRPr="000D275A">
        <w:rPr>
          <w:rFonts w:ascii="ITC Avant Garde" w:eastAsia="Times New Roman" w:hAnsi="ITC Avant Garde" w:cs="ITC Avant Garde"/>
          <w:b/>
          <w:i/>
          <w:color w:val="000000"/>
          <w:sz w:val="20"/>
          <w:szCs w:val="20"/>
          <w:shd w:val="clear" w:color="auto" w:fill="FFFFFF"/>
          <w:lang w:val="es-MX"/>
        </w:rPr>
        <w:t>“dispositivo”</w:t>
      </w:r>
      <w:r>
        <w:rPr>
          <w:rFonts w:ascii="ITC Avant Garde" w:eastAsia="Times New Roman" w:hAnsi="ITC Avant Garde" w:cs="ITC Avant Garde"/>
          <w:color w:val="000000"/>
          <w:sz w:val="20"/>
          <w:szCs w:val="20"/>
          <w:shd w:val="clear" w:color="auto" w:fill="FFFFFF"/>
          <w:lang w:val="es-MX"/>
        </w:rPr>
        <w:t xml:space="preserve"> de la definición de </w:t>
      </w:r>
      <w:r w:rsidRPr="000D275A">
        <w:rPr>
          <w:rFonts w:ascii="ITC Avant Garde" w:eastAsia="Times New Roman" w:hAnsi="ITC Avant Garde" w:cs="ITC Avant Garde"/>
          <w:color w:val="000000"/>
          <w:sz w:val="20"/>
          <w:szCs w:val="20"/>
          <w:shd w:val="clear" w:color="auto" w:fill="FFFFFF"/>
          <w:lang w:val="es-MX"/>
        </w:rPr>
        <w:t>Equipo Terminal Móvil (ETM</w:t>
      </w:r>
      <w:r>
        <w:rPr>
          <w:rFonts w:ascii="ITC Avant Garde" w:eastAsia="Times New Roman" w:hAnsi="ITC Avant Garde" w:cs="ITC Avant Garde"/>
          <w:color w:val="000000"/>
          <w:sz w:val="20"/>
          <w:szCs w:val="20"/>
          <w:shd w:val="clear" w:color="auto" w:fill="FFFFFF"/>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Respuesta:</w:t>
      </w:r>
    </w:p>
    <w:p w:rsidR="004B1111" w:rsidRPr="004B1111" w:rsidRDefault="004B1111" w:rsidP="004B1111">
      <w:pPr>
        <w:spacing w:line="276" w:lineRule="auto"/>
        <w:jc w:val="both"/>
        <w:rPr>
          <w:rFonts w:ascii="ITC Avant Garde" w:eastAsia="Times New Roman" w:hAnsi="ITC Avant Garde" w:cs="ITC Avant Garde"/>
          <w:color w:val="000000"/>
          <w:sz w:val="20"/>
          <w:szCs w:val="20"/>
          <w:shd w:val="clear" w:color="auto" w:fill="FFFFFF"/>
          <w:lang w:val="es-MX"/>
        </w:rPr>
      </w:pPr>
      <w:r w:rsidRPr="004B1111">
        <w:rPr>
          <w:rFonts w:ascii="ITC Avant Garde" w:eastAsia="Times New Roman" w:hAnsi="ITC Avant Garde" w:cs="ITC Avant Garde"/>
          <w:color w:val="000000"/>
          <w:sz w:val="20"/>
          <w:szCs w:val="20"/>
          <w:shd w:val="clear" w:color="auto" w:fill="FFFFFF"/>
          <w:lang w:val="es-MX"/>
        </w:rPr>
        <w:t>No se considera.</w:t>
      </w:r>
    </w:p>
    <w:p w:rsidR="004B1111" w:rsidRPr="004B1111" w:rsidRDefault="004B1111" w:rsidP="004B1111">
      <w:pPr>
        <w:spacing w:line="276" w:lineRule="auto"/>
        <w:jc w:val="both"/>
        <w:rPr>
          <w:rFonts w:ascii="ITC Avant Garde" w:eastAsia="Times New Roman" w:hAnsi="ITC Avant Garde" w:cs="ITC Avant Garde"/>
          <w:color w:val="000000"/>
          <w:sz w:val="20"/>
          <w:szCs w:val="20"/>
          <w:shd w:val="clear" w:color="auto" w:fill="FFFFFF"/>
          <w:lang w:val="es-MX"/>
        </w:rPr>
      </w:pPr>
      <w:r w:rsidRPr="004B1111">
        <w:rPr>
          <w:rFonts w:ascii="ITC Avant Garde" w:eastAsia="Times New Roman" w:hAnsi="ITC Avant Garde" w:cs="ITC Avant Garde"/>
          <w:color w:val="000000"/>
          <w:sz w:val="20"/>
          <w:szCs w:val="20"/>
          <w:shd w:val="clear" w:color="auto" w:fill="FFFFFF"/>
          <w:lang w:val="es-MX"/>
        </w:rPr>
        <w:t xml:space="preserve">Se </w:t>
      </w:r>
      <w:r>
        <w:rPr>
          <w:rFonts w:ascii="ITC Avant Garde" w:eastAsia="Times New Roman" w:hAnsi="ITC Avant Garde" w:cs="ITC Avant Garde"/>
          <w:color w:val="000000"/>
          <w:sz w:val="20"/>
          <w:szCs w:val="20"/>
          <w:shd w:val="clear" w:color="auto" w:fill="FFFFFF"/>
          <w:lang w:val="es-MX"/>
        </w:rPr>
        <w:t>conserva la</w:t>
      </w:r>
      <w:r w:rsidRPr="004B1111">
        <w:rPr>
          <w:rFonts w:ascii="ITC Avant Garde" w:eastAsia="Times New Roman" w:hAnsi="ITC Avant Garde" w:cs="ITC Avant Garde"/>
          <w:color w:val="000000"/>
          <w:sz w:val="20"/>
          <w:szCs w:val="20"/>
          <w:shd w:val="clear" w:color="auto" w:fill="FFFFFF"/>
          <w:lang w:val="es-MX"/>
        </w:rPr>
        <w:t xml:space="preserve"> definición </w:t>
      </w:r>
      <w:r w:rsidR="00602404">
        <w:rPr>
          <w:rFonts w:ascii="ITC Avant Garde" w:eastAsia="Times New Roman" w:hAnsi="ITC Avant Garde" w:cs="ITC Avant Garde"/>
          <w:color w:val="000000"/>
          <w:sz w:val="20"/>
          <w:szCs w:val="20"/>
          <w:shd w:val="clear" w:color="auto" w:fill="FFFFFF"/>
          <w:lang w:val="es-MX"/>
        </w:rPr>
        <w:t>en consistencia</w:t>
      </w:r>
      <w:r w:rsidRPr="004B1111">
        <w:rPr>
          <w:rFonts w:ascii="ITC Avant Garde" w:eastAsia="Times New Roman" w:hAnsi="ITC Avant Garde" w:cs="ITC Avant Garde"/>
          <w:color w:val="000000"/>
          <w:sz w:val="20"/>
          <w:szCs w:val="20"/>
          <w:shd w:val="clear" w:color="auto" w:fill="FFFFFF"/>
          <w:lang w:val="es-MX"/>
        </w:rPr>
        <w:t xml:space="preserve"> con l</w:t>
      </w:r>
      <w:r>
        <w:rPr>
          <w:rFonts w:ascii="ITC Avant Garde" w:eastAsia="Times New Roman" w:hAnsi="ITC Avant Garde" w:cs="ITC Avant Garde"/>
          <w:color w:val="000000"/>
          <w:sz w:val="20"/>
          <w:szCs w:val="20"/>
          <w:shd w:val="clear" w:color="auto" w:fill="FFFFFF"/>
          <w:lang w:val="es-MX"/>
        </w:rPr>
        <w:t>a</w:t>
      </w:r>
      <w:r w:rsidRPr="004B1111">
        <w:rPr>
          <w:rFonts w:ascii="ITC Avant Garde" w:eastAsia="Times New Roman" w:hAnsi="ITC Avant Garde" w:cs="ITC Avant Garde"/>
          <w:color w:val="000000"/>
          <w:sz w:val="20"/>
          <w:szCs w:val="20"/>
          <w:shd w:val="clear" w:color="auto" w:fill="FFFFFF"/>
          <w:lang w:val="es-MX"/>
        </w:rPr>
        <w:t xml:space="preserve"> </w:t>
      </w:r>
      <w:r>
        <w:rPr>
          <w:rFonts w:ascii="ITC Avant Garde" w:eastAsia="Times New Roman" w:hAnsi="ITC Avant Garde" w:cs="ITC Avant Garde"/>
          <w:color w:val="000000"/>
          <w:sz w:val="20"/>
          <w:szCs w:val="20"/>
          <w:shd w:val="clear" w:color="auto" w:fill="FFFFFF"/>
          <w:lang w:val="es-MX"/>
        </w:rPr>
        <w:t xml:space="preserve">definición empleada en la </w:t>
      </w:r>
      <w:r w:rsidRPr="004B1111">
        <w:rPr>
          <w:rFonts w:ascii="ITC Avant Garde" w:eastAsia="Times New Roman" w:hAnsi="ITC Avant Garde" w:cs="ITC Avant Garde"/>
          <w:color w:val="000000"/>
          <w:sz w:val="20"/>
          <w:szCs w:val="20"/>
          <w:shd w:val="clear" w:color="auto" w:fill="FFFFFF"/>
          <w:lang w:val="es-MX"/>
        </w:rPr>
        <w:t>DT-IFT-011-2017. Parte 1</w:t>
      </w:r>
      <w:r>
        <w:rPr>
          <w:rFonts w:ascii="ITC Avant Garde" w:eastAsia="Times New Roman" w:hAnsi="ITC Avant Garde" w:cs="ITC Avant Garde"/>
          <w:color w:val="000000"/>
          <w:sz w:val="20"/>
          <w:szCs w:val="20"/>
          <w:shd w:val="clear" w:color="auto" w:fill="FFFFFF"/>
          <w:lang w:val="es-MX"/>
        </w:rPr>
        <w:t>.</w:t>
      </w:r>
    </w:p>
    <w:p w:rsidR="00D32EDB" w:rsidRPr="00C254F6"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Participantes:</w:t>
      </w:r>
    </w:p>
    <w:p w:rsidR="00D32EDB" w:rsidRPr="00D32EDB" w:rsidRDefault="00D32EDB" w:rsidP="00D32EDB">
      <w:pPr>
        <w:spacing w:line="276" w:lineRule="auto"/>
        <w:jc w:val="both"/>
        <w:rPr>
          <w:rFonts w:ascii="ITC Avant Garde" w:hAnsi="ITC Avant Garde" w:cs="ITC Avant Garde"/>
          <w:sz w:val="20"/>
          <w:szCs w:val="20"/>
        </w:rPr>
      </w:pPr>
      <w:r w:rsidRPr="00D32EDB">
        <w:rPr>
          <w:rFonts w:ascii="ITC Avant Garde" w:hAnsi="ITC Avant Garde" w:cs="ITC Avant Garde"/>
          <w:sz w:val="20"/>
          <w:szCs w:val="20"/>
        </w:rPr>
        <w:t>CLUMTI:</w:t>
      </w:r>
    </w:p>
    <w:p w:rsidR="00D32EDB" w:rsidRPr="00C254F6"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Propuesta:</w:t>
      </w:r>
    </w:p>
    <w:p w:rsidR="0049058B" w:rsidRPr="00D32EDB"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D32EDB">
        <w:rPr>
          <w:rFonts w:ascii="ITC Avant Garde" w:eastAsia="Times New Roman" w:hAnsi="ITC Avant Garde" w:cs="ITC Avant Garde"/>
          <w:color w:val="000000"/>
          <w:sz w:val="20"/>
          <w:szCs w:val="20"/>
          <w:shd w:val="clear" w:color="auto" w:fill="FFFFFF"/>
          <w:lang w:val="es-MX"/>
        </w:rPr>
        <w:t>Entendemos que la disposición (particularmente en la definición de equipo terminal móvil) no debe restringirse a equipos que utiliza el usuario sino también debe referirse a cualquier dispositivo que utilice como medio de conexión las redes públicas de telecomunicaciones a efecto de impulsar el desarrollo de soluciones móviles para el sector sanitario, industrial, educativo, entre otros, así como para la explotación adecuada y eficiente de otras tecnologías existentes.</w:t>
      </w:r>
    </w:p>
    <w:p w:rsidR="00D32EDB" w:rsidRPr="00C254F6"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Respuesta:</w:t>
      </w:r>
    </w:p>
    <w:p w:rsidR="00D32EDB" w:rsidRPr="00D32EDB"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D32EDB">
        <w:rPr>
          <w:rFonts w:ascii="ITC Avant Garde" w:eastAsia="Times New Roman" w:hAnsi="ITC Avant Garde" w:cs="ITC Avant Garde"/>
          <w:color w:val="000000"/>
          <w:sz w:val="20"/>
          <w:szCs w:val="20"/>
          <w:shd w:val="clear" w:color="auto" w:fill="FFFFFF"/>
          <w:lang w:val="es-MX"/>
        </w:rPr>
        <w:t>No se considera.</w:t>
      </w:r>
    </w:p>
    <w:p w:rsidR="0049058B" w:rsidRPr="00D32EDB"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3C3212">
        <w:rPr>
          <w:rFonts w:ascii="ITC Avant Garde" w:eastAsia="Times New Roman" w:hAnsi="ITC Avant Garde" w:cs="ITC Avant Garde"/>
          <w:color w:val="000000"/>
          <w:sz w:val="20"/>
          <w:szCs w:val="20"/>
          <w:shd w:val="clear" w:color="auto" w:fill="FFFFFF"/>
          <w:lang w:val="es-MX"/>
        </w:rPr>
        <w:t xml:space="preserve">El campo de aplicación de la DT se enfoca a ETM que </w:t>
      </w:r>
      <w:r w:rsidR="00CC4523" w:rsidRPr="003C3212">
        <w:rPr>
          <w:rFonts w:ascii="ITC Avant Garde" w:eastAsia="Times New Roman" w:hAnsi="ITC Avant Garde" w:cs="ITC Avant Garde"/>
          <w:color w:val="000000"/>
          <w:sz w:val="20"/>
          <w:szCs w:val="20"/>
          <w:shd w:val="clear" w:color="auto" w:fill="FFFFFF"/>
          <w:lang w:val="es-MX"/>
        </w:rPr>
        <w:t>puedan hacer uso del espectro radioeléctrico o ser conectados a redes de telecomunicaciones</w:t>
      </w:r>
      <w:r w:rsidRPr="003C3212">
        <w:rPr>
          <w:rFonts w:ascii="ITC Avant Garde" w:eastAsia="Times New Roman" w:hAnsi="ITC Avant Garde" w:cs="ITC Avant Garde"/>
          <w:color w:val="000000"/>
          <w:sz w:val="20"/>
          <w:szCs w:val="20"/>
          <w:shd w:val="clear" w:color="auto" w:fill="FFFFFF"/>
          <w:lang w:val="es-MX"/>
        </w:rPr>
        <w:t>.</w:t>
      </w:r>
    </w:p>
    <w:p w:rsidR="00EA2BBD" w:rsidRPr="00C254F6" w:rsidRDefault="00EA2BBD"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240BF3" w:rsidRPr="00C254F6">
        <w:rPr>
          <w:rFonts w:ascii="ITC Avant Garde" w:hAnsi="ITC Avant Garde" w:cs="ITC Avant Garde"/>
          <w:b/>
          <w:sz w:val="20"/>
          <w:szCs w:val="20"/>
        </w:rPr>
        <w:t>3</w:t>
      </w:r>
      <w:r w:rsidR="00705E79" w:rsidRPr="00C254F6">
        <w:rPr>
          <w:rFonts w:ascii="ITC Avant Garde" w:hAnsi="ITC Avant Garde" w:cs="ITC Avant Garde"/>
          <w:b/>
          <w:sz w:val="20"/>
          <w:szCs w:val="20"/>
        </w:rPr>
        <w:t>.1</w:t>
      </w:r>
      <w:r w:rsidRPr="00C254F6">
        <w:rPr>
          <w:rFonts w:ascii="ITC Avant Garde" w:hAnsi="ITC Avant Garde" w:cs="ITC Avant Garde"/>
          <w:b/>
          <w:sz w:val="20"/>
          <w:szCs w:val="20"/>
        </w:rPr>
        <w:t xml:space="preserve"> – Definiciones, fracción </w:t>
      </w:r>
      <w:r w:rsidR="00D32EDB">
        <w:rPr>
          <w:rFonts w:ascii="ITC Avant Garde" w:hAnsi="ITC Avant Garde" w:cs="ITC Avant Garde"/>
          <w:b/>
          <w:sz w:val="20"/>
          <w:szCs w:val="20"/>
        </w:rPr>
        <w:t>XI</w:t>
      </w:r>
      <w:r w:rsidRPr="00C254F6">
        <w:rPr>
          <w:rFonts w:ascii="ITC Avant Garde" w:hAnsi="ITC Avant Garde" w:cs="ITC Avant Garde"/>
          <w:b/>
          <w:sz w:val="20"/>
          <w:szCs w:val="20"/>
        </w:rPr>
        <w:t>I</w:t>
      </w:r>
      <w:r w:rsidR="00494BB9">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lastRenderedPageBreak/>
        <w:t xml:space="preserve">Participantes: </w:t>
      </w:r>
    </w:p>
    <w:p w:rsidR="00EA2BBD" w:rsidRPr="00C254F6" w:rsidRDefault="00602404"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00D32EDB">
        <w:rPr>
          <w:rFonts w:ascii="ITC Avant Garde" w:eastAsia="Times New Roman" w:hAnsi="ITC Avant Garde" w:cs="ITC Avant Garde"/>
          <w:color w:val="000000"/>
          <w:sz w:val="20"/>
          <w:szCs w:val="20"/>
          <w:lang w:val="es-MX"/>
        </w:rPr>
        <w:t xml:space="preserve"> Y ADVANCE</w:t>
      </w:r>
      <w:r w:rsidR="00EA2BBD" w:rsidRPr="00C254F6">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D32EDB" w:rsidRPr="00D32EDB"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D32EDB">
        <w:rPr>
          <w:rFonts w:ascii="ITC Avant Garde" w:eastAsia="Times New Roman" w:hAnsi="ITC Avant Garde" w:cs="ITC Avant Garde"/>
          <w:color w:val="000000"/>
          <w:sz w:val="20"/>
          <w:szCs w:val="20"/>
          <w:shd w:val="clear" w:color="auto" w:fill="FFFFFF"/>
          <w:lang w:val="es-MX"/>
        </w:rPr>
        <w:t xml:space="preserve">CANIETI </w:t>
      </w:r>
      <w:r w:rsidR="004B4189">
        <w:rPr>
          <w:rFonts w:ascii="ITC Avant Garde" w:eastAsia="Times New Roman" w:hAnsi="ITC Avant Garde" w:cs="ITC Avant Garde"/>
          <w:color w:val="000000"/>
          <w:sz w:val="20"/>
          <w:szCs w:val="20"/>
          <w:shd w:val="clear" w:color="auto" w:fill="FFFFFF"/>
          <w:lang w:val="es-MX"/>
        </w:rPr>
        <w:t>y</w:t>
      </w:r>
      <w:r w:rsidRPr="00D32EDB">
        <w:rPr>
          <w:rFonts w:ascii="ITC Avant Garde" w:eastAsia="Times New Roman" w:hAnsi="ITC Avant Garde" w:cs="ITC Avant Garde"/>
          <w:color w:val="000000"/>
          <w:sz w:val="20"/>
          <w:szCs w:val="20"/>
          <w:shd w:val="clear" w:color="auto" w:fill="FFFFFF"/>
          <w:lang w:val="es-MX"/>
        </w:rPr>
        <w:t xml:space="preserve"> ADVANCE</w:t>
      </w:r>
    </w:p>
    <w:p w:rsidR="00D32EDB"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t xml:space="preserve">Los participantes sugieren modificar el término </w:t>
      </w:r>
      <w:r w:rsidRPr="00D32EDB">
        <w:rPr>
          <w:rFonts w:ascii="ITC Avant Garde" w:eastAsia="Times New Roman" w:hAnsi="ITC Avant Garde" w:cs="ITC Avant Garde"/>
          <w:color w:val="000000"/>
          <w:sz w:val="20"/>
          <w:szCs w:val="20"/>
          <w:shd w:val="clear" w:color="auto" w:fill="FFFFFF"/>
          <w:lang w:val="es-MX"/>
        </w:rPr>
        <w:t>Tolerancia de frecuencia</w:t>
      </w:r>
      <w:r>
        <w:rPr>
          <w:rFonts w:ascii="ITC Avant Garde" w:eastAsia="Times New Roman" w:hAnsi="ITC Avant Garde" w:cs="ITC Avant Garde"/>
          <w:color w:val="000000"/>
          <w:sz w:val="20"/>
          <w:szCs w:val="20"/>
          <w:shd w:val="clear" w:color="auto" w:fill="FFFFFF"/>
          <w:lang w:val="es-MX"/>
        </w:rPr>
        <w:t xml:space="preserve"> por la siguiente definición</w:t>
      </w:r>
      <w:r w:rsidRPr="00D32EDB">
        <w:rPr>
          <w:rFonts w:ascii="ITC Avant Garde" w:eastAsia="Times New Roman" w:hAnsi="ITC Avant Garde" w:cs="ITC Avant Garde"/>
          <w:color w:val="000000"/>
          <w:sz w:val="20"/>
          <w:szCs w:val="20"/>
          <w:shd w:val="clear" w:color="auto" w:fill="FFFFFF"/>
          <w:lang w:val="es-MX"/>
        </w:rPr>
        <w:t>: Desviación máxima admisible entre la frecuencia asignada y la situada en el centro de la banda de frecuencia ocupada por una emisión, o entre la frecuencia de referencia y la frecuencia característica de una emisión.</w:t>
      </w:r>
    </w:p>
    <w:p w:rsidR="0049058B" w:rsidRPr="00C254F6" w:rsidRDefault="0049058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Respuesta:</w:t>
      </w:r>
    </w:p>
    <w:p w:rsidR="00D32EDB" w:rsidRPr="00D32EDB" w:rsidRDefault="00D32EDB" w:rsidP="00D32EDB">
      <w:pPr>
        <w:spacing w:line="276" w:lineRule="auto"/>
        <w:jc w:val="both"/>
        <w:rPr>
          <w:rFonts w:ascii="ITC Avant Garde" w:eastAsia="Times New Roman" w:hAnsi="ITC Avant Garde" w:cs="ITC Avant Garde"/>
          <w:color w:val="000000"/>
          <w:sz w:val="20"/>
          <w:szCs w:val="20"/>
          <w:shd w:val="clear" w:color="auto" w:fill="FFFFFF"/>
          <w:lang w:val="es-MX"/>
        </w:rPr>
      </w:pPr>
      <w:r w:rsidRPr="00D32EDB">
        <w:rPr>
          <w:rFonts w:ascii="ITC Avant Garde" w:eastAsia="Times New Roman" w:hAnsi="ITC Avant Garde" w:cs="ITC Avant Garde"/>
          <w:color w:val="000000"/>
          <w:sz w:val="20"/>
          <w:szCs w:val="20"/>
          <w:shd w:val="clear" w:color="auto" w:fill="FFFFFF"/>
          <w:lang w:val="es-MX"/>
        </w:rPr>
        <w:t>Se considera.</w:t>
      </w:r>
      <w:r w:rsidR="00602404">
        <w:rPr>
          <w:rFonts w:ascii="ITC Avant Garde" w:eastAsia="Times New Roman" w:hAnsi="ITC Avant Garde" w:cs="ITC Avant Garde"/>
          <w:color w:val="000000"/>
          <w:sz w:val="20"/>
          <w:szCs w:val="20"/>
          <w:shd w:val="clear" w:color="auto" w:fill="FFFFFF"/>
          <w:lang w:val="es-MX"/>
        </w:rPr>
        <w:t xml:space="preserve"> </w:t>
      </w:r>
      <w:r>
        <w:rPr>
          <w:rFonts w:ascii="ITC Avant Garde" w:eastAsia="Times New Roman" w:hAnsi="ITC Avant Garde" w:cs="ITC Avant Garde"/>
          <w:color w:val="000000"/>
          <w:sz w:val="20"/>
          <w:szCs w:val="20"/>
          <w:shd w:val="clear" w:color="auto" w:fill="FFFFFF"/>
          <w:lang w:val="es-MX"/>
        </w:rPr>
        <w:t>En virtud de que dicha definición proviene de</w:t>
      </w:r>
      <w:r w:rsidRPr="00D32EDB">
        <w:rPr>
          <w:rFonts w:ascii="ITC Avant Garde" w:eastAsia="Times New Roman" w:hAnsi="ITC Avant Garde" w:cs="ITC Avant Garde"/>
          <w:color w:val="000000"/>
          <w:sz w:val="20"/>
          <w:szCs w:val="20"/>
          <w:shd w:val="clear" w:color="auto" w:fill="FFFFFF"/>
          <w:lang w:val="es-MX"/>
        </w:rPr>
        <w:t xml:space="preserve">l Reglamento de Radiocomunicaciones de la </w:t>
      </w:r>
      <w:r w:rsidR="002247D6" w:rsidRPr="00D32EDB">
        <w:rPr>
          <w:rFonts w:ascii="ITC Avant Garde" w:eastAsia="Times New Roman" w:hAnsi="ITC Avant Garde" w:cs="ITC Avant Garde"/>
          <w:color w:val="000000"/>
          <w:sz w:val="20"/>
          <w:szCs w:val="20"/>
          <w:shd w:val="clear" w:color="auto" w:fill="FFFFFF"/>
          <w:lang w:val="es-MX"/>
        </w:rPr>
        <w:t>U</w:t>
      </w:r>
      <w:r w:rsidR="002247D6">
        <w:rPr>
          <w:rFonts w:ascii="ITC Avant Garde" w:eastAsia="Times New Roman" w:hAnsi="ITC Avant Garde" w:cs="ITC Avant Garde"/>
          <w:color w:val="000000"/>
          <w:sz w:val="20"/>
          <w:szCs w:val="20"/>
          <w:shd w:val="clear" w:color="auto" w:fill="FFFFFF"/>
          <w:lang w:val="es-MX"/>
        </w:rPr>
        <w:t xml:space="preserve">nión </w:t>
      </w:r>
      <w:r w:rsidRPr="00D32EDB">
        <w:rPr>
          <w:rFonts w:ascii="ITC Avant Garde" w:eastAsia="Times New Roman" w:hAnsi="ITC Avant Garde" w:cs="ITC Avant Garde"/>
          <w:color w:val="000000"/>
          <w:sz w:val="20"/>
          <w:szCs w:val="20"/>
          <w:shd w:val="clear" w:color="auto" w:fill="FFFFFF"/>
          <w:lang w:val="es-MX"/>
        </w:rPr>
        <w:t>I</w:t>
      </w:r>
      <w:r w:rsidR="002247D6">
        <w:rPr>
          <w:rFonts w:ascii="ITC Avant Garde" w:eastAsia="Times New Roman" w:hAnsi="ITC Avant Garde" w:cs="ITC Avant Garde"/>
          <w:color w:val="000000"/>
          <w:sz w:val="20"/>
          <w:szCs w:val="20"/>
          <w:shd w:val="clear" w:color="auto" w:fill="FFFFFF"/>
          <w:lang w:val="es-MX"/>
        </w:rPr>
        <w:t xml:space="preserve">nternacional de </w:t>
      </w:r>
      <w:r w:rsidR="002247D6" w:rsidRPr="00D32EDB">
        <w:rPr>
          <w:rFonts w:ascii="ITC Avant Garde" w:eastAsia="Times New Roman" w:hAnsi="ITC Avant Garde" w:cs="ITC Avant Garde"/>
          <w:color w:val="000000"/>
          <w:sz w:val="20"/>
          <w:szCs w:val="20"/>
          <w:shd w:val="clear" w:color="auto" w:fill="FFFFFF"/>
          <w:lang w:val="es-MX"/>
        </w:rPr>
        <w:t>T</w:t>
      </w:r>
      <w:r w:rsidR="002247D6">
        <w:rPr>
          <w:rFonts w:ascii="ITC Avant Garde" w:eastAsia="Times New Roman" w:hAnsi="ITC Avant Garde" w:cs="ITC Avant Garde"/>
          <w:color w:val="000000"/>
          <w:sz w:val="20"/>
          <w:szCs w:val="20"/>
          <w:shd w:val="clear" w:color="auto" w:fill="FFFFFF"/>
          <w:lang w:val="es-MX"/>
        </w:rPr>
        <w:t>elecomunicaciones (UIT)</w:t>
      </w:r>
      <w:r w:rsidRPr="00D32EDB">
        <w:rPr>
          <w:rFonts w:ascii="ITC Avant Garde" w:eastAsia="Times New Roman" w:hAnsi="ITC Avant Garde" w:cs="ITC Avant Garde"/>
          <w:color w:val="000000"/>
          <w:sz w:val="20"/>
          <w:szCs w:val="20"/>
          <w:shd w:val="clear" w:color="auto" w:fill="FFFFFF"/>
          <w:lang w:val="es-MX"/>
        </w:rPr>
        <w:t>.</w:t>
      </w:r>
    </w:p>
    <w:p w:rsidR="00FF0437" w:rsidRPr="00C254F6" w:rsidRDefault="00FF0437" w:rsidP="003F4942">
      <w:pPr>
        <w:pStyle w:val="Textocomentario"/>
        <w:rPr>
          <w:rFonts w:ascii="ITC Avant Garde" w:hAnsi="ITC Avant Garde" w:cs="ITC Avant Garde"/>
          <w:b/>
        </w:rPr>
      </w:pPr>
    </w:p>
    <w:p w:rsidR="003F4942" w:rsidRPr="00C254F6" w:rsidRDefault="003F4942" w:rsidP="00C254F6">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 3.</w:t>
      </w:r>
      <w:r w:rsidR="00903719">
        <w:rPr>
          <w:rFonts w:ascii="ITC Avant Garde" w:hAnsi="ITC Avant Garde" w:cs="ITC Avant Garde"/>
          <w:b/>
          <w:sz w:val="20"/>
          <w:szCs w:val="20"/>
        </w:rPr>
        <w:t>2</w:t>
      </w:r>
      <w:r w:rsidRPr="00C254F6">
        <w:rPr>
          <w:rFonts w:ascii="ITC Avant Garde" w:hAnsi="ITC Avant Garde" w:cs="ITC Avant Garde"/>
          <w:b/>
          <w:sz w:val="20"/>
          <w:szCs w:val="20"/>
        </w:rPr>
        <w:t xml:space="preserve"> – </w:t>
      </w:r>
      <w:r w:rsidR="00903719">
        <w:rPr>
          <w:rFonts w:ascii="ITC Avant Garde" w:hAnsi="ITC Avant Garde" w:cs="ITC Avant Garde"/>
          <w:b/>
          <w:sz w:val="20"/>
          <w:szCs w:val="20"/>
        </w:rPr>
        <w:t>Abreviaturas</w:t>
      </w:r>
      <w:r w:rsidR="00CF1ABC" w:rsidRPr="00C254F6">
        <w:rPr>
          <w:rFonts w:ascii="ITC Avant Garde" w:hAnsi="ITC Avant Garde" w:cs="ITC Avant Garde"/>
          <w:b/>
          <w:sz w:val="20"/>
          <w:szCs w:val="20"/>
        </w:rPr>
        <w:t>.</w:t>
      </w:r>
    </w:p>
    <w:p w:rsidR="003F4942" w:rsidRPr="00C254F6" w:rsidRDefault="003F4942" w:rsidP="003F4942">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Participantes: </w:t>
      </w:r>
    </w:p>
    <w:p w:rsidR="001D3E79" w:rsidRPr="00C254F6" w:rsidRDefault="00903719" w:rsidP="001D3E79">
      <w:pPr>
        <w:jc w:val="both"/>
        <w:rPr>
          <w:rFonts w:ascii="ITC Avant Garde" w:eastAsia="Times New Roman" w:hAnsi="ITC Avant Garde" w:cs="ITC Avant Garde"/>
          <w:color w:val="000000"/>
          <w:sz w:val="20"/>
          <w:szCs w:val="20"/>
          <w:lang w:val="es-MX"/>
        </w:rPr>
      </w:pPr>
      <w:r w:rsidRPr="00903719">
        <w:rPr>
          <w:rFonts w:ascii="ITC Avant Garde" w:hAnsi="ITC Avant Garde" w:cs="ITC Avant Garde"/>
          <w:sz w:val="20"/>
          <w:szCs w:val="20"/>
        </w:rPr>
        <w:t>CANIETI, QUALCOMM, NYCE:</w:t>
      </w:r>
    </w:p>
    <w:p w:rsidR="003F4942" w:rsidRPr="00C254F6" w:rsidRDefault="003F4942" w:rsidP="003F4942">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903719" w:rsidRPr="0033781A" w:rsidRDefault="00A54272" w:rsidP="00903719">
      <w:pPr>
        <w:pStyle w:val="Prrafodelista1"/>
        <w:tabs>
          <w:tab w:val="left" w:pos="-708"/>
        </w:tabs>
        <w:spacing w:line="276" w:lineRule="auto"/>
        <w:ind w:left="12"/>
        <w:jc w:val="both"/>
        <w:rPr>
          <w:rFonts w:ascii="ITC Avant Garde" w:eastAsia="Times New Roman" w:hAnsi="ITC Avant Garde" w:cs="ITC Avant Garde"/>
          <w:color w:val="000000"/>
          <w:sz w:val="20"/>
          <w:szCs w:val="20"/>
          <w:shd w:val="clear" w:color="auto" w:fill="FFFFFF"/>
          <w:lang w:val="es-MX"/>
        </w:rPr>
      </w:pPr>
      <w:r w:rsidRPr="00CD1649">
        <w:rPr>
          <w:rFonts w:ascii="ITC Avant Garde" w:eastAsia="Times New Roman" w:hAnsi="ITC Avant Garde" w:cs="ITC Avant Garde"/>
          <w:color w:val="000000"/>
          <w:sz w:val="20"/>
          <w:szCs w:val="20"/>
          <w:shd w:val="clear" w:color="auto" w:fill="FFFFFF"/>
          <w:lang w:val="es-MX"/>
        </w:rPr>
        <w:t xml:space="preserve">Los participantes </w:t>
      </w:r>
      <w:r w:rsidR="003F4942" w:rsidRPr="00CD1649">
        <w:rPr>
          <w:rFonts w:ascii="ITC Avant Garde" w:eastAsia="Times New Roman" w:hAnsi="ITC Avant Garde" w:cs="ITC Avant Garde"/>
          <w:color w:val="000000"/>
          <w:sz w:val="20"/>
          <w:szCs w:val="20"/>
          <w:shd w:val="clear" w:color="auto" w:fill="FFFFFF"/>
          <w:lang w:val="es-MX"/>
        </w:rPr>
        <w:t>sugiere</w:t>
      </w:r>
      <w:r w:rsidRPr="00CD1649">
        <w:rPr>
          <w:rFonts w:ascii="ITC Avant Garde" w:eastAsia="Times New Roman" w:hAnsi="ITC Avant Garde" w:cs="ITC Avant Garde"/>
          <w:color w:val="000000"/>
          <w:sz w:val="20"/>
          <w:szCs w:val="20"/>
          <w:shd w:val="clear" w:color="auto" w:fill="FFFFFF"/>
          <w:lang w:val="es-MX"/>
        </w:rPr>
        <w:t>n</w:t>
      </w:r>
      <w:r w:rsidR="003F4942" w:rsidRPr="00CD1649">
        <w:rPr>
          <w:rFonts w:ascii="ITC Avant Garde" w:eastAsia="Times New Roman" w:hAnsi="ITC Avant Garde" w:cs="ITC Avant Garde"/>
          <w:color w:val="000000"/>
          <w:sz w:val="20"/>
          <w:szCs w:val="20"/>
          <w:shd w:val="clear" w:color="auto" w:fill="FFFFFF"/>
          <w:lang w:val="es-MX"/>
        </w:rPr>
        <w:t xml:space="preserve"> </w:t>
      </w:r>
      <w:r w:rsidR="00903719">
        <w:rPr>
          <w:rFonts w:ascii="ITC Avant Garde" w:eastAsia="Times New Roman" w:hAnsi="ITC Avant Garde" w:cs="ITC Avant Garde"/>
          <w:color w:val="000000"/>
          <w:sz w:val="20"/>
          <w:szCs w:val="20"/>
          <w:shd w:val="clear" w:color="auto" w:fill="FFFFFF"/>
          <w:lang w:val="es-MX"/>
        </w:rPr>
        <w:t>modificar el significado de la abreviatura LTE.</w:t>
      </w:r>
      <w:r w:rsidR="00903719" w:rsidRPr="0033781A">
        <w:rPr>
          <w:rFonts w:ascii="ITC Avant Garde" w:eastAsia="Times New Roman" w:hAnsi="ITC Avant Garde" w:cs="ITC Avant Garde"/>
          <w:color w:val="000000"/>
          <w:sz w:val="20"/>
          <w:szCs w:val="20"/>
          <w:shd w:val="clear" w:color="auto" w:fill="FFFFFF"/>
          <w:lang w:val="es-MX"/>
        </w:rPr>
        <w:t xml:space="preserve"> </w:t>
      </w:r>
    </w:p>
    <w:p w:rsidR="00CF1ABC" w:rsidRPr="00C254F6" w:rsidRDefault="00CF1ABC" w:rsidP="00CF1ABC">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Respuesta:</w:t>
      </w:r>
    </w:p>
    <w:p w:rsidR="00903719" w:rsidRDefault="00903719" w:rsidP="00CF1ABC">
      <w:pPr>
        <w:pStyle w:val="Textocomentario"/>
        <w:jc w:val="both"/>
        <w:rPr>
          <w:rFonts w:ascii="ITC Avant Garde" w:eastAsia="Times New Roman" w:hAnsi="ITC Avant Garde" w:cs="ITC Avant Garde"/>
          <w:color w:val="000000"/>
          <w:shd w:val="clear" w:color="auto" w:fill="FFFFFF"/>
          <w:lang w:val="es-MX"/>
        </w:rPr>
      </w:pPr>
      <w:r>
        <w:rPr>
          <w:rFonts w:ascii="ITC Avant Garde" w:eastAsia="Times New Roman" w:hAnsi="ITC Avant Garde" w:cs="ITC Avant Garde"/>
          <w:color w:val="000000"/>
          <w:shd w:val="clear" w:color="auto" w:fill="FFFFFF"/>
          <w:lang w:val="es-MX"/>
        </w:rPr>
        <w:t>S</w:t>
      </w:r>
      <w:r w:rsidR="00CF1ABC" w:rsidRPr="00C254F6">
        <w:rPr>
          <w:rFonts w:ascii="ITC Avant Garde" w:eastAsia="Times New Roman" w:hAnsi="ITC Avant Garde" w:cs="ITC Avant Garde"/>
          <w:color w:val="000000"/>
          <w:shd w:val="clear" w:color="auto" w:fill="FFFFFF"/>
          <w:lang w:val="es-MX"/>
        </w:rPr>
        <w:t>e considera</w:t>
      </w:r>
      <w:r>
        <w:rPr>
          <w:rFonts w:ascii="ITC Avant Garde" w:eastAsia="Times New Roman" w:hAnsi="ITC Avant Garde" w:cs="ITC Avant Garde"/>
          <w:color w:val="000000"/>
          <w:shd w:val="clear" w:color="auto" w:fill="FFFFFF"/>
          <w:lang w:val="es-MX"/>
        </w:rPr>
        <w:t>.</w:t>
      </w:r>
    </w:p>
    <w:p w:rsidR="00A02E89" w:rsidRPr="00C254F6" w:rsidRDefault="00A02E89" w:rsidP="00A02E89">
      <w:pPr>
        <w:pStyle w:val="Textocomentario"/>
        <w:jc w:val="both"/>
        <w:rPr>
          <w:rFonts w:ascii="ITC Avant Garde" w:eastAsia="Times New Roman" w:hAnsi="ITC Avant Garde" w:cs="ITC Avant Garde"/>
          <w:i/>
          <w:color w:val="000000"/>
          <w:shd w:val="clear" w:color="auto" w:fill="FFFFFF"/>
          <w:lang w:val="es-MX"/>
        </w:rPr>
      </w:pPr>
    </w:p>
    <w:p w:rsidR="00240BF3" w:rsidRPr="00C254F6" w:rsidRDefault="00240BF3" w:rsidP="005A48F8">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5A48F8" w:rsidRPr="005A48F8">
        <w:rPr>
          <w:rFonts w:ascii="ITC Avant Garde" w:hAnsi="ITC Avant Garde" w:cs="ITC Avant Garde"/>
          <w:b/>
          <w:sz w:val="20"/>
          <w:szCs w:val="20"/>
        </w:rPr>
        <w:t>4.1 Bandas de frecuencias de operación.</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Participantes: </w:t>
      </w:r>
    </w:p>
    <w:p w:rsidR="003B3973" w:rsidRPr="00C254F6" w:rsidRDefault="00CD1649" w:rsidP="00D770BD">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003B3973" w:rsidRPr="00C254F6">
        <w:rPr>
          <w:rFonts w:ascii="ITC Avant Garde" w:eastAsia="Times New Roman" w:hAnsi="ITC Avant Garde" w:cs="ITC Avant Garde"/>
          <w:color w:val="000000"/>
          <w:sz w:val="20"/>
          <w:szCs w:val="20"/>
          <w:lang w:val="es-MX"/>
        </w:rPr>
        <w:t xml:space="preserve">, </w:t>
      </w:r>
      <w:r w:rsidR="00B854EF">
        <w:rPr>
          <w:rFonts w:ascii="ITC Avant Garde" w:eastAsia="Times New Roman" w:hAnsi="ITC Avant Garde" w:cs="ITC Avant Garde"/>
          <w:color w:val="000000"/>
          <w:sz w:val="20"/>
          <w:szCs w:val="20"/>
          <w:lang w:val="es-MX"/>
        </w:rPr>
        <w:t>ADVANCE, NYCE y ANCE</w:t>
      </w:r>
    </w:p>
    <w:p w:rsidR="0049058B" w:rsidRPr="00C254F6" w:rsidRDefault="0049058B">
      <w:pPr>
        <w:spacing w:line="276" w:lineRule="auto"/>
        <w:jc w:val="both"/>
        <w:rPr>
          <w:rFonts w:ascii="ITC Avant Garde" w:eastAsia="Times New Roman" w:hAnsi="ITC Avant Garde" w:cs="ITC Avant Garde"/>
          <w:color w:val="000000"/>
          <w:sz w:val="20"/>
          <w:szCs w:val="20"/>
          <w:shd w:val="clear" w:color="auto" w:fill="FFFFFF"/>
          <w:lang w:val="es-MX"/>
        </w:rPr>
      </w:pPr>
      <w:r w:rsidRPr="00C254F6">
        <w:rPr>
          <w:rFonts w:ascii="ITC Avant Garde" w:hAnsi="ITC Avant Garde" w:cs="ITC Avant Garde"/>
          <w:b/>
          <w:sz w:val="20"/>
          <w:szCs w:val="20"/>
        </w:rPr>
        <w:t xml:space="preserve">Propuesta: </w:t>
      </w:r>
    </w:p>
    <w:p w:rsidR="005A48F8" w:rsidRDefault="005A48F8">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lang w:val="es-MX"/>
        </w:rPr>
        <w:t>CANIETI</w:t>
      </w:r>
      <w:r w:rsidR="00B854EF">
        <w:rPr>
          <w:rFonts w:ascii="ITC Avant Garde" w:eastAsia="Times New Roman" w:hAnsi="ITC Avant Garde" w:cs="ITC Avant Garde"/>
          <w:color w:val="000000"/>
          <w:sz w:val="20"/>
          <w:szCs w:val="20"/>
          <w:lang w:val="es-MX"/>
        </w:rPr>
        <w:t xml:space="preserve"> y </w:t>
      </w:r>
      <w:r w:rsidR="00B854EF" w:rsidRPr="005A48F8">
        <w:rPr>
          <w:rFonts w:ascii="ITC Avant Garde" w:eastAsia="Times New Roman" w:hAnsi="ITC Avant Garde" w:cs="ITC Avant Garde"/>
          <w:color w:val="000000"/>
          <w:sz w:val="20"/>
          <w:szCs w:val="20"/>
          <w:shd w:val="clear" w:color="auto" w:fill="FFFFFF"/>
          <w:lang w:val="es-MX"/>
        </w:rPr>
        <w:t>ADVANCE</w:t>
      </w:r>
      <w:r>
        <w:rPr>
          <w:rFonts w:ascii="ITC Avant Garde" w:eastAsia="Times New Roman" w:hAnsi="ITC Avant Garde" w:cs="ITC Avant Garde"/>
          <w:color w:val="000000"/>
          <w:sz w:val="20"/>
          <w:szCs w:val="20"/>
          <w:shd w:val="clear" w:color="auto" w:fill="FFFFFF"/>
          <w:lang w:val="es-MX"/>
        </w:rPr>
        <w:t xml:space="preserve">: </w:t>
      </w:r>
      <w:r w:rsidRPr="005A48F8">
        <w:rPr>
          <w:rFonts w:ascii="ITC Avant Garde" w:eastAsia="Times New Roman" w:hAnsi="ITC Avant Garde" w:cs="ITC Avant Garde"/>
          <w:color w:val="000000"/>
          <w:sz w:val="20"/>
          <w:szCs w:val="20"/>
          <w:shd w:val="clear" w:color="auto" w:fill="FFFFFF"/>
          <w:lang w:val="es-MX"/>
        </w:rPr>
        <w:t>Como se indicó en la propuesta correspondiente al título, se sugiere agregar la banda 1700</w:t>
      </w:r>
      <w:r w:rsidR="00174D76">
        <w:rPr>
          <w:rFonts w:ascii="ITC Avant Garde" w:eastAsia="Times New Roman" w:hAnsi="ITC Avant Garde" w:cs="ITC Avant Garde"/>
          <w:color w:val="000000"/>
          <w:sz w:val="20"/>
          <w:szCs w:val="20"/>
          <w:shd w:val="clear" w:color="auto" w:fill="FFFFFF"/>
          <w:lang w:val="es-MX"/>
        </w:rPr>
        <w:t xml:space="preserve"> MHz/2100</w:t>
      </w:r>
      <w:r w:rsidRPr="005A48F8">
        <w:rPr>
          <w:rFonts w:ascii="ITC Avant Garde" w:eastAsia="Times New Roman" w:hAnsi="ITC Avant Garde" w:cs="ITC Avant Garde"/>
          <w:color w:val="000000"/>
          <w:sz w:val="20"/>
          <w:szCs w:val="20"/>
          <w:shd w:val="clear" w:color="auto" w:fill="FFFFFF"/>
          <w:lang w:val="es-MX"/>
        </w:rPr>
        <w:t xml:space="preserve"> MHz en la Tabla 2 en forma desagregada de la banda 2100 MHz.</w:t>
      </w:r>
    </w:p>
    <w:p w:rsidR="00B854EF" w:rsidRDefault="00B854EF" w:rsidP="00B854EF">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t xml:space="preserve">NYCE: </w:t>
      </w:r>
    </w:p>
    <w:p w:rsidR="00B854EF" w:rsidRDefault="00B854EF" w:rsidP="00B854EF">
      <w:pPr>
        <w:spacing w:line="276" w:lineRule="auto"/>
        <w:jc w:val="both"/>
        <w:rPr>
          <w:rFonts w:ascii="ITC Avant Garde" w:eastAsia="Times New Roman" w:hAnsi="ITC Avant Garde" w:cs="ITC Avant Garde"/>
          <w:color w:val="000000"/>
          <w:sz w:val="20"/>
          <w:szCs w:val="20"/>
          <w:shd w:val="clear" w:color="auto" w:fill="FFFFFF"/>
          <w:lang w:val="es-MX"/>
        </w:rPr>
      </w:pPr>
      <w:r w:rsidRPr="00B854EF">
        <w:rPr>
          <w:rFonts w:ascii="ITC Avant Garde" w:eastAsia="Times New Roman" w:hAnsi="ITC Avant Garde" w:cs="ITC Avant Garde"/>
          <w:color w:val="000000"/>
          <w:sz w:val="20"/>
          <w:szCs w:val="20"/>
          <w:shd w:val="clear" w:color="auto" w:fill="FFFFFF"/>
          <w:lang w:val="es-MX"/>
        </w:rPr>
        <w:t xml:space="preserve">Se propone la siguiente adición al final de la Tabla 2, "Nota: un ETM puede estar diseñado para operar en dos o más bandas de frecuencias"   </w:t>
      </w:r>
    </w:p>
    <w:p w:rsidR="00B854EF" w:rsidRDefault="00B854EF" w:rsidP="00B854EF">
      <w:pPr>
        <w:spacing w:line="276" w:lineRule="auto"/>
        <w:jc w:val="both"/>
        <w:rPr>
          <w:rFonts w:ascii="ITC Avant Garde" w:eastAsia="Times New Roman" w:hAnsi="ITC Avant Garde" w:cs="ITC Avant Garde"/>
          <w:color w:val="000000"/>
          <w:sz w:val="20"/>
          <w:szCs w:val="20"/>
          <w:shd w:val="clear" w:color="auto" w:fill="FFFFFF"/>
          <w:lang w:val="es-MX"/>
        </w:rPr>
      </w:pPr>
    </w:p>
    <w:p w:rsidR="00B854EF" w:rsidRDefault="00B854EF" w:rsidP="00B854EF">
      <w:pPr>
        <w:spacing w:line="276" w:lineRule="auto"/>
        <w:jc w:val="both"/>
        <w:rPr>
          <w:rFonts w:ascii="ITC Avant Garde" w:eastAsia="Times New Roman" w:hAnsi="ITC Avant Garde" w:cs="ITC Avant Garde"/>
          <w:color w:val="000000"/>
          <w:sz w:val="20"/>
          <w:szCs w:val="20"/>
          <w:shd w:val="clear" w:color="auto" w:fill="FFFFFF"/>
          <w:lang w:val="es-MX"/>
        </w:rPr>
      </w:pPr>
    </w:p>
    <w:p w:rsidR="00B854EF" w:rsidRDefault="00B854EF" w:rsidP="00B854EF">
      <w:pPr>
        <w:spacing w:line="276" w:lineRule="auto"/>
        <w:jc w:val="both"/>
        <w:rPr>
          <w:rFonts w:ascii="ITC Avant Garde" w:eastAsia="Times New Roman" w:hAnsi="ITC Avant Garde" w:cs="ITC Avant Garde"/>
          <w:color w:val="000000"/>
          <w:sz w:val="20"/>
          <w:szCs w:val="20"/>
          <w:shd w:val="clear" w:color="auto" w:fill="FFFFFF"/>
          <w:lang w:val="es-MX"/>
        </w:rPr>
      </w:pPr>
      <w:r>
        <w:rPr>
          <w:rFonts w:ascii="ITC Avant Garde" w:eastAsia="Times New Roman" w:hAnsi="ITC Avant Garde" w:cs="ITC Avant Garde"/>
          <w:color w:val="000000"/>
          <w:sz w:val="20"/>
          <w:szCs w:val="20"/>
          <w:shd w:val="clear" w:color="auto" w:fill="FFFFFF"/>
          <w:lang w:val="es-MX"/>
        </w:rPr>
        <w:lastRenderedPageBreak/>
        <w:t>ANCE:</w:t>
      </w:r>
    </w:p>
    <w:p w:rsidR="00B854EF" w:rsidRDefault="00B854EF" w:rsidP="00B854EF">
      <w:pPr>
        <w:spacing w:line="276" w:lineRule="auto"/>
        <w:jc w:val="both"/>
        <w:rPr>
          <w:rFonts w:ascii="ITC Avant Garde" w:eastAsia="Times New Roman" w:hAnsi="ITC Avant Garde" w:cs="ITC Avant Garde"/>
          <w:color w:val="000000"/>
          <w:sz w:val="20"/>
          <w:szCs w:val="20"/>
          <w:shd w:val="clear" w:color="auto" w:fill="FFFFFF"/>
          <w:lang w:val="es-MX"/>
        </w:rPr>
      </w:pPr>
      <w:r w:rsidRPr="00B854EF">
        <w:rPr>
          <w:rFonts w:ascii="ITC Avant Garde" w:eastAsia="Times New Roman" w:hAnsi="ITC Avant Garde" w:cs="ITC Avant Garde"/>
          <w:color w:val="000000"/>
          <w:sz w:val="20"/>
          <w:szCs w:val="20"/>
          <w:shd w:val="clear" w:color="auto" w:fill="FFFFFF"/>
          <w:lang w:val="es-MX"/>
        </w:rPr>
        <w:t>Sugiere incorpora</w:t>
      </w:r>
      <w:r>
        <w:rPr>
          <w:rFonts w:ascii="ITC Avant Garde" w:eastAsia="Times New Roman" w:hAnsi="ITC Avant Garde" w:cs="ITC Avant Garde"/>
          <w:color w:val="000000"/>
          <w:sz w:val="20"/>
          <w:szCs w:val="20"/>
          <w:shd w:val="clear" w:color="auto" w:fill="FFFFFF"/>
          <w:lang w:val="es-MX"/>
        </w:rPr>
        <w:t>r</w:t>
      </w:r>
      <w:r w:rsidRPr="00B854EF">
        <w:rPr>
          <w:rFonts w:ascii="ITC Avant Garde" w:eastAsia="Times New Roman" w:hAnsi="ITC Avant Garde" w:cs="ITC Avant Garde"/>
          <w:color w:val="000000"/>
          <w:sz w:val="20"/>
          <w:szCs w:val="20"/>
          <w:shd w:val="clear" w:color="auto" w:fill="FFFFFF"/>
          <w:lang w:val="es-MX"/>
        </w:rPr>
        <w:t xml:space="preserve"> en</w:t>
      </w:r>
      <w:r>
        <w:rPr>
          <w:rFonts w:ascii="ITC Avant Garde" w:eastAsia="Times New Roman" w:hAnsi="ITC Avant Garde" w:cs="ITC Avant Garde"/>
          <w:color w:val="000000"/>
          <w:sz w:val="20"/>
          <w:szCs w:val="20"/>
          <w:shd w:val="clear" w:color="auto" w:fill="FFFFFF"/>
          <w:lang w:val="es-MX"/>
        </w:rPr>
        <w:t xml:space="preserve"> </w:t>
      </w:r>
      <w:r w:rsidRPr="00B854EF">
        <w:rPr>
          <w:rFonts w:ascii="ITC Avant Garde" w:eastAsia="Times New Roman" w:hAnsi="ITC Avant Garde" w:cs="ITC Avant Garde"/>
          <w:color w:val="000000"/>
          <w:sz w:val="20"/>
          <w:szCs w:val="20"/>
          <w:shd w:val="clear" w:color="auto" w:fill="FFFFFF"/>
          <w:lang w:val="es-MX"/>
        </w:rPr>
        <w:t xml:space="preserve">la Tabla 2 </w:t>
      </w:r>
      <w:r>
        <w:rPr>
          <w:rFonts w:ascii="ITC Avant Garde" w:eastAsia="Times New Roman" w:hAnsi="ITC Avant Garde" w:cs="ITC Avant Garde"/>
          <w:color w:val="000000"/>
          <w:sz w:val="20"/>
          <w:szCs w:val="20"/>
          <w:shd w:val="clear" w:color="auto" w:fill="FFFFFF"/>
          <w:lang w:val="es-MX"/>
        </w:rPr>
        <w:t>el número de banda de operación que emplea l</w:t>
      </w:r>
      <w:r w:rsidRPr="00B854EF">
        <w:rPr>
          <w:rFonts w:ascii="ITC Avant Garde" w:eastAsia="Times New Roman" w:hAnsi="ITC Avant Garde" w:cs="ITC Avant Garde"/>
          <w:color w:val="000000"/>
          <w:sz w:val="20"/>
          <w:szCs w:val="20"/>
          <w:shd w:val="clear" w:color="auto" w:fill="FFFFFF"/>
          <w:lang w:val="es-MX"/>
        </w:rPr>
        <w:t>a ITU (IMT)</w:t>
      </w:r>
      <w:r w:rsidR="004A1ADE">
        <w:rPr>
          <w:rFonts w:ascii="ITC Avant Garde" w:eastAsia="Times New Roman" w:hAnsi="ITC Avant Garde" w:cs="ITC Avant Garde"/>
          <w:color w:val="000000"/>
          <w:sz w:val="20"/>
          <w:szCs w:val="20"/>
          <w:shd w:val="clear" w:color="auto" w:fill="FFFFFF"/>
          <w:lang w:val="es-MX"/>
        </w:rPr>
        <w:t xml:space="preserve">, </w:t>
      </w:r>
      <w:r w:rsidR="004A1ADE" w:rsidRPr="00B854EF">
        <w:rPr>
          <w:rFonts w:ascii="ITC Avant Garde" w:eastAsia="Times New Roman" w:hAnsi="ITC Avant Garde" w:cs="ITC Avant Garde"/>
          <w:color w:val="000000"/>
          <w:sz w:val="20"/>
          <w:szCs w:val="20"/>
          <w:shd w:val="clear" w:color="auto" w:fill="FFFFFF"/>
          <w:lang w:val="es-MX"/>
        </w:rPr>
        <w:t>para</w:t>
      </w:r>
      <w:r w:rsidRPr="00B854EF">
        <w:rPr>
          <w:rFonts w:ascii="ITC Avant Garde" w:eastAsia="Times New Roman" w:hAnsi="ITC Avant Garde" w:cs="ITC Avant Garde"/>
          <w:color w:val="000000"/>
          <w:sz w:val="20"/>
          <w:szCs w:val="20"/>
          <w:shd w:val="clear" w:color="auto" w:fill="FFFFFF"/>
          <w:lang w:val="es-MX"/>
        </w:rPr>
        <w:t xml:space="preserve"> hacer consistente </w:t>
      </w:r>
      <w:r w:rsidR="004A1ADE">
        <w:rPr>
          <w:rFonts w:ascii="ITC Avant Garde" w:eastAsia="Times New Roman" w:hAnsi="ITC Avant Garde" w:cs="ITC Avant Garde"/>
          <w:color w:val="000000"/>
          <w:sz w:val="20"/>
          <w:szCs w:val="20"/>
          <w:shd w:val="clear" w:color="auto" w:fill="FFFFFF"/>
          <w:lang w:val="es-MX"/>
        </w:rPr>
        <w:t xml:space="preserve">dicha </w:t>
      </w:r>
      <w:r>
        <w:rPr>
          <w:rFonts w:ascii="ITC Avant Garde" w:eastAsia="Times New Roman" w:hAnsi="ITC Avant Garde" w:cs="ITC Avant Garde"/>
          <w:color w:val="000000"/>
          <w:sz w:val="20"/>
          <w:szCs w:val="20"/>
          <w:shd w:val="clear" w:color="auto" w:fill="FFFFFF"/>
          <w:lang w:val="es-MX"/>
        </w:rPr>
        <w:t>Ta</w:t>
      </w:r>
      <w:r w:rsidRPr="00B854EF">
        <w:rPr>
          <w:rFonts w:ascii="ITC Avant Garde" w:eastAsia="Times New Roman" w:hAnsi="ITC Avant Garde" w:cs="ITC Avant Garde"/>
          <w:color w:val="000000"/>
          <w:sz w:val="20"/>
          <w:szCs w:val="20"/>
          <w:shd w:val="clear" w:color="auto" w:fill="FFFFFF"/>
          <w:lang w:val="es-MX"/>
        </w:rPr>
        <w:t xml:space="preserve">bla </w:t>
      </w:r>
      <w:r>
        <w:rPr>
          <w:rFonts w:ascii="ITC Avant Garde" w:eastAsia="Times New Roman" w:hAnsi="ITC Avant Garde" w:cs="ITC Avant Garde"/>
          <w:color w:val="000000"/>
          <w:sz w:val="20"/>
          <w:szCs w:val="20"/>
          <w:shd w:val="clear" w:color="auto" w:fill="FFFFFF"/>
          <w:lang w:val="es-MX"/>
        </w:rPr>
        <w:t xml:space="preserve">con la </w:t>
      </w:r>
      <w:r w:rsidR="004A1ADE">
        <w:rPr>
          <w:rFonts w:ascii="ITC Avant Garde" w:eastAsia="Times New Roman" w:hAnsi="ITC Avant Garde" w:cs="ITC Avant Garde"/>
          <w:color w:val="000000"/>
          <w:sz w:val="20"/>
          <w:szCs w:val="20"/>
          <w:shd w:val="clear" w:color="auto" w:fill="FFFFFF"/>
          <w:lang w:val="es-MX"/>
        </w:rPr>
        <w:t>nomenclatura</w:t>
      </w:r>
      <w:r>
        <w:rPr>
          <w:rFonts w:ascii="ITC Avant Garde" w:eastAsia="Times New Roman" w:hAnsi="ITC Avant Garde" w:cs="ITC Avant Garde"/>
          <w:color w:val="000000"/>
          <w:sz w:val="20"/>
          <w:szCs w:val="20"/>
          <w:shd w:val="clear" w:color="auto" w:fill="FFFFFF"/>
          <w:lang w:val="es-MX"/>
        </w:rPr>
        <w:t xml:space="preserve"> internacional; asimismo incorporar la referencia con una nota al pie.</w:t>
      </w:r>
    </w:p>
    <w:p w:rsidR="0049058B"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Respuesta:</w:t>
      </w:r>
    </w:p>
    <w:p w:rsidR="00F85998" w:rsidRPr="00C254F6" w:rsidRDefault="00F85998" w:rsidP="00F85998">
      <w:pPr>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w:t>
      </w:r>
      <w:r w:rsidRPr="00C254F6">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lang w:val="es-MX"/>
        </w:rPr>
        <w:t>ADVANCE y ANCE</w:t>
      </w:r>
    </w:p>
    <w:p w:rsidR="005A48F8" w:rsidRPr="005A48F8" w:rsidRDefault="005A48F8" w:rsidP="005A48F8">
      <w:pPr>
        <w:spacing w:line="276" w:lineRule="auto"/>
        <w:jc w:val="both"/>
        <w:rPr>
          <w:rFonts w:ascii="ITC Avant Garde" w:eastAsia="Times New Roman" w:hAnsi="ITC Avant Garde" w:cs="ITC Avant Garde"/>
          <w:color w:val="000000"/>
          <w:sz w:val="20"/>
          <w:szCs w:val="20"/>
          <w:shd w:val="clear" w:color="auto" w:fill="FFFFFF"/>
          <w:lang w:val="es-MX"/>
        </w:rPr>
      </w:pPr>
      <w:r w:rsidRPr="005A48F8">
        <w:rPr>
          <w:rFonts w:ascii="ITC Avant Garde" w:eastAsia="Times New Roman" w:hAnsi="ITC Avant Garde" w:cs="ITC Avant Garde"/>
          <w:color w:val="000000"/>
          <w:sz w:val="20"/>
          <w:szCs w:val="20"/>
          <w:shd w:val="clear" w:color="auto" w:fill="FFFFFF"/>
          <w:lang w:val="es-MX"/>
        </w:rPr>
        <w:t>Se considera.</w:t>
      </w:r>
    </w:p>
    <w:p w:rsidR="00FB7E17" w:rsidRDefault="00B854EF" w:rsidP="00B854EF">
      <w:pPr>
        <w:spacing w:line="276" w:lineRule="auto"/>
        <w:jc w:val="both"/>
        <w:rPr>
          <w:rFonts w:ascii="ITC Avant Garde" w:eastAsia="Times New Roman" w:hAnsi="ITC Avant Garde" w:cs="ITC Avant Garde"/>
          <w:color w:val="000000"/>
          <w:sz w:val="20"/>
          <w:szCs w:val="20"/>
          <w:shd w:val="clear" w:color="auto" w:fill="FFFFFF"/>
          <w:lang w:val="es-MX"/>
        </w:rPr>
      </w:pPr>
      <w:r w:rsidRPr="00B854EF">
        <w:rPr>
          <w:rFonts w:ascii="ITC Avant Garde" w:eastAsia="Times New Roman" w:hAnsi="ITC Avant Garde" w:cs="ITC Avant Garde"/>
          <w:color w:val="000000"/>
          <w:sz w:val="20"/>
          <w:szCs w:val="20"/>
          <w:shd w:val="clear" w:color="auto" w:fill="FFFFFF"/>
          <w:lang w:val="es-MX"/>
        </w:rPr>
        <w:t xml:space="preserve">Se agregó a la Tabla 2, el correspondiente número de banda de frecuencia </w:t>
      </w:r>
      <w:r w:rsidR="00602404">
        <w:rPr>
          <w:rFonts w:ascii="ITC Avant Garde" w:eastAsia="Times New Roman" w:hAnsi="ITC Avant Garde" w:cs="ITC Avant Garde"/>
          <w:color w:val="000000"/>
          <w:sz w:val="20"/>
          <w:szCs w:val="20"/>
          <w:shd w:val="clear" w:color="auto" w:fill="FFFFFF"/>
          <w:lang w:val="es-MX"/>
        </w:rPr>
        <w:t>asignado</w:t>
      </w:r>
      <w:r w:rsidRPr="00B854EF">
        <w:rPr>
          <w:rFonts w:ascii="ITC Avant Garde" w:eastAsia="Times New Roman" w:hAnsi="ITC Avant Garde" w:cs="ITC Avant Garde"/>
          <w:color w:val="000000"/>
          <w:sz w:val="20"/>
          <w:szCs w:val="20"/>
          <w:shd w:val="clear" w:color="auto" w:fill="FFFFFF"/>
          <w:lang w:val="es-MX"/>
        </w:rPr>
        <w:t xml:space="preserve"> por la UIT; se agregó la banda de 1700 MHz/2100 MHz </w:t>
      </w:r>
      <w:r w:rsidR="00F85998">
        <w:rPr>
          <w:rFonts w:ascii="ITC Avant Garde" w:eastAsia="Times New Roman" w:hAnsi="ITC Avant Garde" w:cs="ITC Avant Garde"/>
          <w:color w:val="000000"/>
          <w:sz w:val="20"/>
          <w:szCs w:val="20"/>
          <w:shd w:val="clear" w:color="auto" w:fill="FFFFFF"/>
          <w:lang w:val="es-MX"/>
        </w:rPr>
        <w:t xml:space="preserve">de forma desagregada </w:t>
      </w:r>
      <w:r w:rsidRPr="00B854EF">
        <w:rPr>
          <w:rFonts w:ascii="ITC Avant Garde" w:eastAsia="Times New Roman" w:hAnsi="ITC Avant Garde" w:cs="ITC Avant Garde"/>
          <w:color w:val="000000"/>
          <w:sz w:val="20"/>
          <w:szCs w:val="20"/>
          <w:shd w:val="clear" w:color="auto" w:fill="FFFFFF"/>
          <w:lang w:val="es-MX"/>
        </w:rPr>
        <w:t xml:space="preserve">y se indicó </w:t>
      </w:r>
      <w:r w:rsidR="00CC4523">
        <w:rPr>
          <w:rFonts w:ascii="ITC Avant Garde" w:eastAsia="Times New Roman" w:hAnsi="ITC Avant Garde" w:cs="ITC Avant Garde"/>
          <w:color w:val="000000"/>
          <w:sz w:val="20"/>
          <w:szCs w:val="20"/>
          <w:shd w:val="clear" w:color="auto" w:fill="FFFFFF"/>
          <w:lang w:val="es-MX"/>
        </w:rPr>
        <w:t>en el pie de página la referencia de</w:t>
      </w:r>
      <w:r w:rsidRPr="00B854EF">
        <w:rPr>
          <w:rFonts w:ascii="ITC Avant Garde" w:eastAsia="Times New Roman" w:hAnsi="ITC Avant Garde" w:cs="ITC Avant Garde"/>
          <w:color w:val="000000"/>
          <w:sz w:val="20"/>
          <w:szCs w:val="20"/>
          <w:shd w:val="clear" w:color="auto" w:fill="FFFFFF"/>
          <w:lang w:val="es-MX"/>
        </w:rPr>
        <w:t xml:space="preserve"> los estándares empleados.</w:t>
      </w:r>
    </w:p>
    <w:p w:rsidR="00F85998" w:rsidRDefault="00F85998" w:rsidP="00B854EF">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NYCE.</w:t>
      </w:r>
    </w:p>
    <w:p w:rsidR="00F85998" w:rsidRDefault="00F85998" w:rsidP="00B854EF">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No se considera.</w:t>
      </w:r>
    </w:p>
    <w:p w:rsidR="008F111B" w:rsidRDefault="00CC4523" w:rsidP="00CC4523">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 xml:space="preserve">En el primer párrafo del numeral </w:t>
      </w:r>
      <w:r w:rsidRPr="00CC4523">
        <w:rPr>
          <w:rFonts w:ascii="ITC Avant Garde" w:eastAsia="Times New Roman" w:hAnsi="ITC Avant Garde" w:cs="ITC Avant Garde"/>
          <w:color w:val="000000"/>
          <w:sz w:val="20"/>
          <w:szCs w:val="20"/>
          <w:lang w:val="es-MX"/>
        </w:rPr>
        <w:t>4.1 Bandas de frecuencias de operación.</w:t>
      </w:r>
      <w:r>
        <w:rPr>
          <w:rFonts w:ascii="ITC Avant Garde" w:eastAsia="Times New Roman" w:hAnsi="ITC Avant Garde" w:cs="ITC Avant Garde"/>
          <w:color w:val="000000"/>
          <w:sz w:val="20"/>
          <w:szCs w:val="20"/>
          <w:lang w:val="es-MX"/>
        </w:rPr>
        <w:t xml:space="preserve"> Se establece lo siguiente: </w:t>
      </w:r>
    </w:p>
    <w:p w:rsidR="00CC4523" w:rsidRPr="008F111B" w:rsidRDefault="008F111B" w:rsidP="008F111B">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r w:rsidR="00CC4523" w:rsidRPr="008F111B">
        <w:rPr>
          <w:rFonts w:ascii="ITC Avant Garde" w:hAnsi="ITC Avant Garde" w:cs="ITC Avant Garde"/>
          <w:b/>
          <w:i/>
          <w:sz w:val="20"/>
          <w:szCs w:val="20"/>
        </w:rPr>
        <w:t>Conforme a lo establecido en el Cuadro Nacional de Atribución de Frecuencias, las bandas de frecuencias en las que pueden operar los Equipos Terminales Móviles s</w:t>
      </w:r>
      <w:r w:rsidR="00D36B02">
        <w:rPr>
          <w:rFonts w:ascii="ITC Avant Garde" w:hAnsi="ITC Avant Garde" w:cs="ITC Avant Garde"/>
          <w:b/>
          <w:i/>
          <w:sz w:val="20"/>
          <w:szCs w:val="20"/>
        </w:rPr>
        <w:t>o</w:t>
      </w:r>
      <w:r w:rsidR="00CC4523" w:rsidRPr="008F111B">
        <w:rPr>
          <w:rFonts w:ascii="ITC Avant Garde" w:hAnsi="ITC Avant Garde" w:cs="ITC Avant Garde"/>
          <w:b/>
          <w:i/>
          <w:sz w:val="20"/>
          <w:szCs w:val="20"/>
        </w:rPr>
        <w:t>n las mostradas en la Tabla 2:</w:t>
      </w:r>
    </w:p>
    <w:p w:rsidR="00CC4523" w:rsidRDefault="001E2B2D" w:rsidP="00B854EF">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 xml:space="preserve">              </w:t>
      </w:r>
      <w:r w:rsidR="008F111B" w:rsidRPr="001E2B2D">
        <w:rPr>
          <w:rFonts w:ascii="ITC Avant Garde" w:hAnsi="ITC Avant Garde" w:cs="ITC Avant Garde"/>
          <w:b/>
          <w:i/>
          <w:sz w:val="20"/>
          <w:szCs w:val="20"/>
        </w:rPr>
        <w:t>...”</w:t>
      </w:r>
    </w:p>
    <w:p w:rsidR="00F85998" w:rsidRPr="00B854EF" w:rsidRDefault="00F85998" w:rsidP="00B854EF">
      <w:pPr>
        <w:spacing w:line="276" w:lineRule="auto"/>
        <w:jc w:val="both"/>
        <w:rPr>
          <w:rFonts w:ascii="ITC Avant Garde" w:eastAsia="Times New Roman" w:hAnsi="ITC Avant Garde" w:cs="ITC Avant Garde"/>
          <w:color w:val="000000"/>
          <w:sz w:val="20"/>
          <w:szCs w:val="20"/>
          <w:shd w:val="clear" w:color="auto" w:fill="FFFFFF"/>
          <w:lang w:val="es-MX"/>
        </w:rPr>
      </w:pPr>
    </w:p>
    <w:p w:rsidR="0049058B" w:rsidRPr="00C254F6" w:rsidRDefault="008C5B86"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2F3EEA" w:rsidRPr="00C254F6">
        <w:rPr>
          <w:rFonts w:ascii="ITC Avant Garde" w:hAnsi="ITC Avant Garde" w:cs="ITC Avant Garde"/>
          <w:b/>
          <w:sz w:val="20"/>
          <w:szCs w:val="20"/>
        </w:rPr>
        <w:t xml:space="preserve">4.1.1 </w:t>
      </w:r>
      <w:r w:rsidR="00AB0905" w:rsidRPr="00AB0905">
        <w:rPr>
          <w:rFonts w:ascii="ITC Avant Garde" w:hAnsi="ITC Avant Garde" w:cs="ITC Avant Garde"/>
          <w:b/>
          <w:sz w:val="20"/>
          <w:szCs w:val="20"/>
        </w:rPr>
        <w:t>No bloqueo de bandas de frecuencias de operación</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2F3EEA" w:rsidRPr="00C254F6" w:rsidRDefault="00AB0905">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NYCE</w:t>
      </w:r>
      <w:r w:rsidR="00495FB6">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lang w:val="es-MX"/>
        </w:rPr>
        <w:t>ANATEL</w:t>
      </w:r>
      <w:r w:rsidR="00C934B6">
        <w:rPr>
          <w:rFonts w:ascii="ITC Avant Garde" w:eastAsia="Times New Roman" w:hAnsi="ITC Avant Garde" w:cs="ITC Avant Garde"/>
          <w:color w:val="000000"/>
          <w:sz w:val="20"/>
          <w:szCs w:val="20"/>
          <w:lang w:val="es-MX"/>
        </w:rPr>
        <w:t>,</w:t>
      </w:r>
      <w:r w:rsidR="00910410">
        <w:rPr>
          <w:rFonts w:ascii="ITC Avant Garde" w:eastAsia="Times New Roman" w:hAnsi="ITC Avant Garde" w:cs="ITC Avant Garde"/>
          <w:color w:val="000000"/>
          <w:sz w:val="20"/>
          <w:szCs w:val="20"/>
          <w:lang w:val="es-MX"/>
        </w:rPr>
        <w:t xml:space="preserve"> </w:t>
      </w:r>
      <w:r w:rsidR="00495FB6">
        <w:rPr>
          <w:rFonts w:ascii="ITC Avant Garde" w:eastAsia="Times New Roman" w:hAnsi="ITC Avant Garde" w:cs="ITC Avant Garde"/>
          <w:color w:val="000000"/>
          <w:sz w:val="20"/>
          <w:szCs w:val="20"/>
          <w:lang w:val="es-MX"/>
        </w:rPr>
        <w:t>CANIETI</w:t>
      </w:r>
      <w:r w:rsidR="00910410">
        <w:rPr>
          <w:rFonts w:ascii="ITC Avant Garde" w:eastAsia="Times New Roman" w:hAnsi="ITC Avant Garde" w:cs="ITC Avant Garde"/>
          <w:color w:val="000000"/>
          <w:sz w:val="20"/>
          <w:szCs w:val="20"/>
          <w:lang w:val="es-MX"/>
        </w:rPr>
        <w:t xml:space="preserve">, </w:t>
      </w:r>
      <w:r w:rsidR="00C934B6">
        <w:rPr>
          <w:rFonts w:ascii="ITC Avant Garde" w:eastAsia="Times New Roman" w:hAnsi="ITC Avant Garde" w:cs="ITC Avant Garde"/>
          <w:color w:val="000000"/>
          <w:sz w:val="20"/>
          <w:szCs w:val="20"/>
          <w:lang w:val="es-MX"/>
        </w:rPr>
        <w:t>OMNISPACE</w:t>
      </w:r>
      <w:r w:rsidR="00910410">
        <w:rPr>
          <w:rFonts w:ascii="ITC Avant Garde" w:eastAsia="Times New Roman" w:hAnsi="ITC Avant Garde" w:cs="ITC Avant Garde"/>
          <w:color w:val="000000"/>
          <w:sz w:val="20"/>
          <w:szCs w:val="20"/>
          <w:lang w:val="es-MX"/>
        </w:rPr>
        <w:t xml:space="preserve"> y QUALCOMM</w:t>
      </w:r>
      <w:r>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Propuesta: </w:t>
      </w:r>
    </w:p>
    <w:p w:rsidR="000A6B4A" w:rsidRPr="00C254F6" w:rsidRDefault="00AB0905" w:rsidP="00AB0905">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 xml:space="preserve">NYCE </w:t>
      </w:r>
      <w:r w:rsidRPr="00AB0905">
        <w:rPr>
          <w:rFonts w:ascii="ITC Avant Garde" w:eastAsia="Times New Roman" w:hAnsi="ITC Avant Garde" w:cs="ITC Avant Garde"/>
          <w:color w:val="000000"/>
          <w:sz w:val="20"/>
          <w:szCs w:val="20"/>
          <w:lang w:val="es-MX"/>
        </w:rPr>
        <w:t>propone el siguiente texto</w:t>
      </w:r>
      <w:r w:rsidR="008F111B">
        <w:rPr>
          <w:rFonts w:ascii="ITC Avant Garde" w:eastAsia="Times New Roman" w:hAnsi="ITC Avant Garde" w:cs="ITC Avant Garde"/>
          <w:color w:val="000000"/>
          <w:sz w:val="20"/>
          <w:szCs w:val="20"/>
          <w:lang w:val="es-MX"/>
        </w:rPr>
        <w:t>:</w:t>
      </w:r>
      <w:r w:rsidRPr="00AB0905">
        <w:rPr>
          <w:rFonts w:ascii="ITC Avant Garde" w:eastAsia="Times New Roman" w:hAnsi="ITC Avant Garde" w:cs="ITC Avant Garde"/>
          <w:color w:val="000000"/>
          <w:sz w:val="20"/>
          <w:szCs w:val="20"/>
          <w:lang w:val="es-MX"/>
        </w:rPr>
        <w:t xml:space="preserve"> "</w:t>
      </w:r>
      <w:r w:rsidRPr="00CD3E61">
        <w:rPr>
          <w:rFonts w:ascii="ITC Avant Garde" w:eastAsia="Times New Roman" w:hAnsi="ITC Avant Garde" w:cs="ITC Avant Garde"/>
          <w:i/>
          <w:color w:val="000000"/>
          <w:sz w:val="20"/>
          <w:szCs w:val="20"/>
          <w:lang w:val="es-MX"/>
        </w:rPr>
        <w:t>Los ETM que cuenten desde su fabricación con todos los componentes para operar en alguna o más bandas de frecuencias de operación establecidas en la tabla 2, deberán estar habilitadas para pruebas de tal forma que no exista ningún tipo de bloqueo o restricción para su operación en dichas bandas. Cuando los ETM puedan operar en bandas de frecuencias diferentes a las de la tabla 2, dichas bandas para operar en México.</w:t>
      </w:r>
      <w:r w:rsidR="00CD3E61">
        <w:rPr>
          <w:rFonts w:ascii="ITC Avant Garde" w:eastAsia="Times New Roman" w:hAnsi="ITC Avant Garde" w:cs="ITC Avant Garde"/>
          <w:i/>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Respuesta:</w:t>
      </w:r>
    </w:p>
    <w:p w:rsidR="00AB0905" w:rsidRDefault="001F6900" w:rsidP="00B928A6">
      <w:pPr>
        <w:spacing w:line="276" w:lineRule="auto"/>
        <w:jc w:val="both"/>
        <w:rPr>
          <w:rFonts w:ascii="ITC Avant Garde" w:hAnsi="ITC Avant Garde" w:cs="ITC Avant Garde"/>
          <w:sz w:val="20"/>
          <w:szCs w:val="20"/>
        </w:rPr>
      </w:pPr>
      <w:r>
        <w:rPr>
          <w:rFonts w:ascii="ITC Avant Garde" w:hAnsi="ITC Avant Garde" w:cs="ITC Avant Garde"/>
          <w:sz w:val="20"/>
          <w:szCs w:val="20"/>
        </w:rPr>
        <w:t>Se considera parcialmente, se modificó</w:t>
      </w:r>
      <w:r w:rsidR="00AB0905">
        <w:rPr>
          <w:rFonts w:ascii="ITC Avant Garde" w:hAnsi="ITC Avant Garde" w:cs="ITC Avant Garde"/>
          <w:sz w:val="20"/>
          <w:szCs w:val="20"/>
        </w:rPr>
        <w:t xml:space="preserve"> el texto para quedar en los siguientes términos:</w:t>
      </w:r>
    </w:p>
    <w:p w:rsidR="00AB0905" w:rsidRPr="00706A78" w:rsidRDefault="008F111B" w:rsidP="001F6900">
      <w:pPr>
        <w:pStyle w:val="Texto"/>
        <w:spacing w:line="360" w:lineRule="auto"/>
        <w:ind w:left="708" w:firstLine="0"/>
        <w:rPr>
          <w:rFonts w:ascii="ITC Avant Garde" w:hAnsi="ITC Avant Garde"/>
          <w:b/>
          <w:i/>
          <w:sz w:val="20"/>
          <w:lang w:val="es-ES_tradnl"/>
        </w:rPr>
      </w:pPr>
      <w:r w:rsidRPr="00706A78">
        <w:rPr>
          <w:rFonts w:ascii="ITC Avant Garde" w:hAnsi="ITC Avant Garde" w:cs="ITC Avant Garde"/>
          <w:b/>
          <w:i/>
        </w:rPr>
        <w:t>“</w:t>
      </w:r>
      <w:r w:rsidR="001F6900" w:rsidRPr="00706A78">
        <w:rPr>
          <w:rFonts w:ascii="ITC Avant Garde" w:hAnsi="ITC Avant Garde"/>
          <w:b/>
          <w:i/>
          <w:sz w:val="20"/>
          <w:lang w:val="es-ES_tradnl"/>
        </w:rPr>
        <w:t>Los ETM que soporten</w:t>
      </w:r>
      <w:r w:rsidR="001F6900" w:rsidRPr="00706A78">
        <w:rPr>
          <w:rFonts w:ascii="ITC Avant Garde" w:hAnsi="ITC Avant Garde"/>
          <w:b/>
          <w:i/>
          <w:sz w:val="20"/>
          <w:szCs w:val="22"/>
        </w:rPr>
        <w:t xml:space="preserve"> alguna</w:t>
      </w:r>
      <w:r w:rsidR="001F7380">
        <w:rPr>
          <w:rFonts w:ascii="ITC Avant Garde" w:hAnsi="ITC Avant Garde"/>
          <w:b/>
          <w:i/>
          <w:sz w:val="20"/>
          <w:szCs w:val="22"/>
        </w:rPr>
        <w:t>(s)</w:t>
      </w:r>
      <w:r w:rsidR="001F6900" w:rsidRPr="00706A78">
        <w:rPr>
          <w:rFonts w:ascii="ITC Avant Garde" w:hAnsi="ITC Avant Garde"/>
          <w:b/>
          <w:i/>
          <w:sz w:val="20"/>
          <w:szCs w:val="22"/>
        </w:rPr>
        <w:t xml:space="preserve"> de las bandas de frecuencias de las establecidas en la Tabla 2</w:t>
      </w:r>
      <w:r w:rsidR="001F6900" w:rsidRPr="00706A78">
        <w:rPr>
          <w:rFonts w:ascii="ITC Avant Garde" w:hAnsi="ITC Avant Garde"/>
          <w:b/>
          <w:i/>
          <w:sz w:val="20"/>
          <w:lang w:val="es-ES_tradnl"/>
        </w:rPr>
        <w:t xml:space="preserve">, deben estar habilitadas de tal forma que no exista ningún tipo de </w:t>
      </w:r>
      <w:r w:rsidR="001F6900" w:rsidRPr="00706A78">
        <w:rPr>
          <w:rFonts w:ascii="ITC Avant Garde" w:hAnsi="ITC Avant Garde"/>
          <w:b/>
          <w:i/>
          <w:sz w:val="20"/>
          <w:lang w:val="es-ES_tradnl"/>
        </w:rPr>
        <w:lastRenderedPageBreak/>
        <w:t>bloqueo o restricción para su operación en dichas bandas dentro del territorio nacional.</w:t>
      </w:r>
      <w:r w:rsidRPr="00706A78">
        <w:rPr>
          <w:rFonts w:ascii="ITC Avant Garde" w:hAnsi="ITC Avant Garde" w:cs="ITC Avant Garde"/>
          <w:b/>
          <w:i/>
        </w:rPr>
        <w:t>”</w:t>
      </w:r>
    </w:p>
    <w:p w:rsidR="00CD3E61" w:rsidRDefault="00CD3E61" w:rsidP="00B928A6">
      <w:pPr>
        <w:spacing w:line="276" w:lineRule="auto"/>
        <w:jc w:val="both"/>
        <w:rPr>
          <w:rFonts w:ascii="ITC Avant Garde" w:hAnsi="ITC Avant Garde" w:cs="ITC Avant Garde"/>
          <w:sz w:val="20"/>
          <w:szCs w:val="20"/>
        </w:rPr>
      </w:pPr>
    </w:p>
    <w:p w:rsidR="00AB0905" w:rsidRDefault="00AB0905" w:rsidP="00B928A6">
      <w:pPr>
        <w:spacing w:line="276" w:lineRule="auto"/>
        <w:jc w:val="both"/>
        <w:rPr>
          <w:rFonts w:ascii="ITC Avant Garde" w:hAnsi="ITC Avant Garde" w:cs="ITC Avant Garde"/>
          <w:sz w:val="20"/>
          <w:szCs w:val="20"/>
        </w:rPr>
      </w:pPr>
      <w:r>
        <w:rPr>
          <w:rFonts w:ascii="ITC Avant Garde" w:hAnsi="ITC Avant Garde" w:cs="ITC Avant Garde"/>
          <w:sz w:val="20"/>
          <w:szCs w:val="20"/>
        </w:rPr>
        <w:t>ANATEL</w:t>
      </w:r>
      <w:r w:rsidR="00910410">
        <w:rPr>
          <w:rFonts w:ascii="ITC Avant Garde" w:hAnsi="ITC Avant Garde" w:cs="ITC Avant Garde"/>
          <w:sz w:val="20"/>
          <w:szCs w:val="20"/>
        </w:rPr>
        <w:t>.</w:t>
      </w:r>
    </w:p>
    <w:p w:rsidR="00AB0905" w:rsidRDefault="00AB0905" w:rsidP="00AB0905">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AB0905" w:rsidRDefault="00AB0905" w:rsidP="00AB0905">
      <w:pPr>
        <w:spacing w:line="276" w:lineRule="auto"/>
        <w:jc w:val="both"/>
        <w:rPr>
          <w:rFonts w:ascii="ITC Avant Garde" w:eastAsia="Times New Roman" w:hAnsi="ITC Avant Garde" w:cs="ITC Avant Garde"/>
          <w:color w:val="000000"/>
          <w:sz w:val="20"/>
          <w:szCs w:val="20"/>
          <w:lang w:val="es-MX"/>
        </w:rPr>
      </w:pPr>
      <w:r w:rsidRPr="00AB0905">
        <w:rPr>
          <w:rFonts w:ascii="ITC Avant Garde" w:eastAsia="Times New Roman" w:hAnsi="ITC Avant Garde" w:cs="ITC Avant Garde"/>
          <w:color w:val="000000"/>
          <w:sz w:val="20"/>
          <w:szCs w:val="20"/>
          <w:lang w:val="es-MX"/>
        </w:rPr>
        <w:t>Para evitar confusiones en los límites, se sugiere utilizar el esquema de numeración de bandas E-UTRA</w:t>
      </w:r>
      <w:r w:rsidR="00495FB6">
        <w:rPr>
          <w:rFonts w:ascii="ITC Avant Garde" w:eastAsia="Times New Roman" w:hAnsi="ITC Avant Garde" w:cs="ITC Avant Garde"/>
          <w:color w:val="000000"/>
          <w:sz w:val="20"/>
          <w:szCs w:val="20"/>
          <w:lang w:val="es-MX"/>
        </w:rPr>
        <w:t xml:space="preserve"> e incorpóralos en la Tabla 3</w:t>
      </w:r>
      <w:r>
        <w:rPr>
          <w:rFonts w:ascii="ITC Avant Garde" w:eastAsia="Times New Roman" w:hAnsi="ITC Avant Garde" w:cs="ITC Avant Garde"/>
          <w:color w:val="000000"/>
          <w:sz w:val="20"/>
          <w:szCs w:val="20"/>
          <w:lang w:val="es-MX"/>
        </w:rPr>
        <w:t>.</w:t>
      </w:r>
    </w:p>
    <w:p w:rsidR="00AB0905" w:rsidRPr="00C254F6" w:rsidRDefault="00AB0905" w:rsidP="00AB0905">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Respuesta:</w:t>
      </w:r>
    </w:p>
    <w:p w:rsidR="00AB0905" w:rsidRPr="00AB0905" w:rsidRDefault="00AB0905" w:rsidP="00AB0905">
      <w:pPr>
        <w:spacing w:line="276" w:lineRule="auto"/>
        <w:jc w:val="both"/>
        <w:rPr>
          <w:rFonts w:ascii="ITC Avant Garde" w:eastAsia="Times New Roman" w:hAnsi="ITC Avant Garde" w:cs="ITC Avant Garde"/>
          <w:color w:val="000000"/>
          <w:sz w:val="20"/>
          <w:szCs w:val="20"/>
          <w:lang w:val="es-MX"/>
        </w:rPr>
      </w:pPr>
      <w:r w:rsidRPr="00AB0905">
        <w:rPr>
          <w:rFonts w:ascii="ITC Avant Garde" w:eastAsia="Times New Roman" w:hAnsi="ITC Avant Garde" w:cs="ITC Avant Garde"/>
          <w:color w:val="000000"/>
          <w:sz w:val="20"/>
          <w:szCs w:val="20"/>
          <w:lang w:val="es-MX"/>
        </w:rPr>
        <w:t xml:space="preserve">Se considera. </w:t>
      </w:r>
    </w:p>
    <w:p w:rsidR="00AB0905" w:rsidRDefault="00AB0905" w:rsidP="00AB0905">
      <w:pPr>
        <w:spacing w:line="276" w:lineRule="auto"/>
        <w:jc w:val="both"/>
        <w:rPr>
          <w:rFonts w:ascii="ITC Avant Garde" w:eastAsia="Times New Roman" w:hAnsi="ITC Avant Garde" w:cs="ITC Avant Garde"/>
          <w:color w:val="000000"/>
          <w:sz w:val="20"/>
          <w:szCs w:val="20"/>
          <w:lang w:val="es-MX"/>
        </w:rPr>
      </w:pPr>
      <w:r w:rsidRPr="00AB0905">
        <w:rPr>
          <w:rFonts w:ascii="ITC Avant Garde" w:eastAsia="Times New Roman" w:hAnsi="ITC Avant Garde" w:cs="ITC Avant Garde"/>
          <w:color w:val="000000"/>
          <w:sz w:val="20"/>
          <w:szCs w:val="20"/>
          <w:lang w:val="es-MX"/>
        </w:rPr>
        <w:t xml:space="preserve">Se agregó en la Tabla </w:t>
      </w:r>
      <w:r w:rsidR="00495FB6">
        <w:rPr>
          <w:rFonts w:ascii="ITC Avant Garde" w:eastAsia="Times New Roman" w:hAnsi="ITC Avant Garde" w:cs="ITC Avant Garde"/>
          <w:color w:val="000000"/>
          <w:sz w:val="20"/>
          <w:szCs w:val="20"/>
          <w:lang w:val="es-MX"/>
        </w:rPr>
        <w:t>3</w:t>
      </w:r>
      <w:r w:rsidRPr="00AB0905">
        <w:rPr>
          <w:rFonts w:ascii="ITC Avant Garde" w:eastAsia="Times New Roman" w:hAnsi="ITC Avant Garde" w:cs="ITC Avant Garde"/>
          <w:color w:val="000000"/>
          <w:sz w:val="20"/>
          <w:szCs w:val="20"/>
          <w:lang w:val="es-MX"/>
        </w:rPr>
        <w:t xml:space="preserve"> el correspondiente número de banda de frecuencia empleado por la UIT.</w:t>
      </w:r>
    </w:p>
    <w:p w:rsidR="0096287B" w:rsidRDefault="0096287B" w:rsidP="00910410">
      <w:pPr>
        <w:spacing w:line="276" w:lineRule="auto"/>
        <w:jc w:val="both"/>
        <w:rPr>
          <w:rFonts w:ascii="ITC Avant Garde" w:hAnsi="ITC Avant Garde" w:cs="ITC Avant Garde"/>
          <w:b/>
          <w:sz w:val="20"/>
          <w:szCs w:val="20"/>
        </w:rPr>
      </w:pPr>
    </w:p>
    <w:p w:rsidR="00910410" w:rsidRPr="00C254F6" w:rsidRDefault="00910410" w:rsidP="00910410">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910410" w:rsidRPr="00C254F6" w:rsidRDefault="00910410" w:rsidP="00910410">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QUALCOMM</w:t>
      </w:r>
      <w:r w:rsidRPr="00C254F6">
        <w:rPr>
          <w:rFonts w:ascii="ITC Avant Garde" w:eastAsia="Times New Roman" w:hAnsi="ITC Avant Garde" w:cs="ITC Avant Garde"/>
          <w:color w:val="000000"/>
          <w:sz w:val="20"/>
          <w:szCs w:val="20"/>
          <w:lang w:val="es-MX"/>
        </w:rPr>
        <w:t>.</w:t>
      </w:r>
    </w:p>
    <w:p w:rsidR="00910410" w:rsidRPr="00C254F6" w:rsidRDefault="00910410" w:rsidP="00910410">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Propuesta: </w:t>
      </w:r>
    </w:p>
    <w:p w:rsidR="00910410" w:rsidRPr="00910410" w:rsidRDefault="00910410" w:rsidP="00910410">
      <w:pPr>
        <w:spacing w:line="276" w:lineRule="auto"/>
        <w:jc w:val="both"/>
        <w:rPr>
          <w:rFonts w:ascii="ITC Avant Garde" w:hAnsi="ITC Avant Garde" w:cs="ITC Avant Garde"/>
          <w:sz w:val="20"/>
          <w:szCs w:val="20"/>
        </w:rPr>
      </w:pPr>
      <w:r w:rsidRPr="00910410">
        <w:rPr>
          <w:rFonts w:ascii="ITC Avant Garde" w:hAnsi="ITC Avant Garde" w:cs="ITC Avant Garde"/>
          <w:sz w:val="20"/>
          <w:szCs w:val="20"/>
        </w:rPr>
        <w:t>A fin de evitar confusión y para ser consistentes con la especificación técnica 3GPP</w:t>
      </w:r>
      <w:r w:rsidR="008F111B">
        <w:rPr>
          <w:rFonts w:ascii="ITC Avant Garde" w:hAnsi="ITC Avant Garde" w:cs="ITC Avant Garde"/>
          <w:sz w:val="20"/>
          <w:szCs w:val="20"/>
        </w:rPr>
        <w:t xml:space="preserve"> </w:t>
      </w:r>
      <w:r w:rsidRPr="00910410">
        <w:rPr>
          <w:rFonts w:ascii="ITC Avant Garde" w:hAnsi="ITC Avant Garde" w:cs="ITC Avant Garde"/>
          <w:sz w:val="20"/>
          <w:szCs w:val="20"/>
        </w:rPr>
        <w:t xml:space="preserve">TS36.101 versión14.3.0, sería conveniente indicar en la Tabla 3 el número de banda de operación para cada bloque y no solo para la banda 28. De igual manera, sería conveniente incluir el segmento TDD de la banda de 2500 MHz. </w:t>
      </w:r>
    </w:p>
    <w:p w:rsidR="00910410" w:rsidRPr="00C254F6" w:rsidRDefault="00910410" w:rsidP="00910410">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Respuesta:</w:t>
      </w:r>
    </w:p>
    <w:p w:rsidR="00910410" w:rsidRDefault="00910410" w:rsidP="00C74EEF">
      <w:pPr>
        <w:spacing w:line="276" w:lineRule="auto"/>
        <w:jc w:val="both"/>
        <w:rPr>
          <w:rFonts w:ascii="ITC Avant Garde" w:hAnsi="ITC Avant Garde" w:cs="ITC Avant Garde"/>
          <w:color w:val="000000"/>
          <w:sz w:val="20"/>
          <w:lang w:val="es-MX"/>
        </w:rPr>
      </w:pPr>
      <w:r w:rsidRPr="00910410">
        <w:rPr>
          <w:rFonts w:ascii="ITC Avant Garde" w:eastAsia="Times New Roman" w:hAnsi="ITC Avant Garde" w:cs="ITC Avant Garde"/>
          <w:color w:val="000000"/>
          <w:sz w:val="20"/>
          <w:szCs w:val="20"/>
          <w:lang w:val="es-MX"/>
        </w:rPr>
        <w:t>Se considera.</w:t>
      </w:r>
      <w:r w:rsidR="00BC4F49">
        <w:rPr>
          <w:rFonts w:ascii="ITC Avant Garde" w:hAnsi="ITC Avant Garde" w:cs="ITC Avant Garde"/>
          <w:color w:val="000000"/>
          <w:sz w:val="20"/>
          <w:lang w:val="es-MX"/>
        </w:rPr>
        <w:t xml:space="preserve"> </w:t>
      </w:r>
      <w:r w:rsidRPr="00910410">
        <w:rPr>
          <w:rFonts w:ascii="ITC Avant Garde" w:hAnsi="ITC Avant Garde" w:cs="ITC Avant Garde"/>
          <w:color w:val="000000"/>
          <w:sz w:val="20"/>
          <w:lang w:val="es-MX"/>
        </w:rPr>
        <w:t>Se agregó a la Tabla 3, el correspondiente número de banda de frecuencia empleado por la UIT.</w:t>
      </w:r>
      <w:r>
        <w:rPr>
          <w:rFonts w:ascii="ITC Avant Garde" w:hAnsi="ITC Avant Garde" w:cs="ITC Avant Garde"/>
          <w:color w:val="000000"/>
          <w:sz w:val="20"/>
          <w:lang w:val="es-MX"/>
        </w:rPr>
        <w:t xml:space="preserve"> </w:t>
      </w:r>
      <w:r w:rsidRPr="00910410">
        <w:rPr>
          <w:rFonts w:ascii="ITC Avant Garde" w:hAnsi="ITC Avant Garde" w:cs="ITC Avant Garde"/>
          <w:color w:val="000000"/>
          <w:sz w:val="20"/>
          <w:lang w:val="es-MX"/>
        </w:rPr>
        <w:t xml:space="preserve">Para el caso de la banda </w:t>
      </w:r>
      <w:r w:rsidR="001F7380">
        <w:rPr>
          <w:rFonts w:ascii="ITC Avant Garde" w:hAnsi="ITC Avant Garde" w:cs="ITC Avant Garde"/>
          <w:color w:val="000000"/>
          <w:sz w:val="20"/>
          <w:lang w:val="es-MX"/>
        </w:rPr>
        <w:t>38</w:t>
      </w:r>
      <w:r w:rsidRPr="00910410">
        <w:rPr>
          <w:rFonts w:ascii="ITC Avant Garde" w:hAnsi="ITC Avant Garde" w:cs="ITC Avant Garde"/>
          <w:color w:val="000000"/>
          <w:sz w:val="20"/>
          <w:lang w:val="es-MX"/>
        </w:rPr>
        <w:t xml:space="preserve"> </w:t>
      </w:r>
      <w:r w:rsidR="00121AB4">
        <w:rPr>
          <w:rFonts w:ascii="ITC Avant Garde" w:hAnsi="ITC Avant Garde" w:cs="ITC Avant Garde"/>
          <w:color w:val="000000"/>
          <w:sz w:val="20"/>
          <w:lang w:val="es-MX"/>
        </w:rPr>
        <w:t xml:space="preserve">también </w:t>
      </w:r>
      <w:r w:rsidRPr="00910410">
        <w:rPr>
          <w:rFonts w:ascii="ITC Avant Garde" w:hAnsi="ITC Avant Garde" w:cs="ITC Avant Garde"/>
          <w:color w:val="000000"/>
          <w:sz w:val="20"/>
          <w:lang w:val="es-MX"/>
        </w:rPr>
        <w:t xml:space="preserve">se </w:t>
      </w:r>
      <w:r w:rsidR="001F7380">
        <w:rPr>
          <w:rFonts w:ascii="ITC Avant Garde" w:hAnsi="ITC Avant Garde" w:cs="ITC Avant Garde"/>
          <w:color w:val="000000"/>
          <w:sz w:val="20"/>
          <w:lang w:val="es-MX"/>
        </w:rPr>
        <w:t>anex</w:t>
      </w:r>
      <w:r w:rsidR="00121AB4">
        <w:rPr>
          <w:rFonts w:ascii="ITC Avant Garde" w:hAnsi="ITC Avant Garde" w:cs="ITC Avant Garde"/>
          <w:color w:val="000000"/>
          <w:sz w:val="20"/>
          <w:lang w:val="es-MX"/>
        </w:rPr>
        <w:t>o</w:t>
      </w:r>
      <w:r w:rsidR="001F7380">
        <w:rPr>
          <w:rFonts w:ascii="ITC Avant Garde" w:hAnsi="ITC Avant Garde" w:cs="ITC Avant Garde"/>
          <w:color w:val="000000"/>
          <w:sz w:val="20"/>
          <w:lang w:val="es-MX"/>
        </w:rPr>
        <w:t xml:space="preserve"> a la Tabla 3, la banda de frecuencia de operación</w:t>
      </w:r>
      <w:r w:rsidR="00121AB4">
        <w:rPr>
          <w:rFonts w:ascii="ITC Avant Garde" w:hAnsi="ITC Avant Garde" w:cs="ITC Avant Garde"/>
          <w:color w:val="000000"/>
          <w:sz w:val="20"/>
          <w:lang w:val="es-MX"/>
        </w:rPr>
        <w:t xml:space="preserve"> en que ésta </w:t>
      </w:r>
      <w:proofErr w:type="spellStart"/>
      <w:r w:rsidR="00AC0C33">
        <w:rPr>
          <w:rFonts w:ascii="ITC Avant Garde" w:hAnsi="ITC Avant Garde" w:cs="ITC Avant Garde"/>
          <w:color w:val="000000"/>
          <w:sz w:val="20"/>
          <w:lang w:val="es-MX"/>
        </w:rPr>
        <w:t>o</w:t>
      </w:r>
      <w:r w:rsidR="00BC4F49">
        <w:rPr>
          <w:rFonts w:ascii="ITC Avant Garde" w:hAnsi="ITC Avant Garde" w:cs="ITC Avant Garde"/>
          <w:color w:val="000000"/>
          <w:sz w:val="20"/>
          <w:lang w:val="es-MX"/>
        </w:rPr>
        <w:t>pera</w:t>
      </w:r>
      <w:proofErr w:type="spellEnd"/>
      <w:r w:rsidR="00121AB4">
        <w:rPr>
          <w:rFonts w:ascii="ITC Avant Garde" w:hAnsi="ITC Avant Garde" w:cs="ITC Avant Garde"/>
          <w:color w:val="000000"/>
          <w:sz w:val="20"/>
          <w:lang w:val="es-MX"/>
        </w:rPr>
        <w:t>.</w:t>
      </w:r>
      <w:r w:rsidR="00121AB4" w:rsidRPr="00910410" w:rsidDel="00121AB4">
        <w:rPr>
          <w:rFonts w:ascii="ITC Avant Garde" w:hAnsi="ITC Avant Garde" w:cs="ITC Avant Garde"/>
          <w:color w:val="000000"/>
          <w:sz w:val="20"/>
          <w:lang w:val="es-MX"/>
        </w:rPr>
        <w:t xml:space="preserve"> </w:t>
      </w:r>
    </w:p>
    <w:p w:rsidR="0096287B" w:rsidRDefault="0096287B" w:rsidP="00B928A6">
      <w:pPr>
        <w:spacing w:line="276" w:lineRule="auto"/>
        <w:jc w:val="both"/>
        <w:rPr>
          <w:rFonts w:ascii="ITC Avant Garde" w:hAnsi="ITC Avant Garde" w:cs="ITC Avant Garde"/>
          <w:sz w:val="20"/>
          <w:szCs w:val="20"/>
        </w:rPr>
      </w:pPr>
    </w:p>
    <w:p w:rsidR="0096287B" w:rsidRPr="00C254F6" w:rsidRDefault="0096287B" w:rsidP="0096287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B928A6" w:rsidRDefault="00495FB6" w:rsidP="00B928A6">
      <w:pPr>
        <w:spacing w:line="276" w:lineRule="auto"/>
        <w:jc w:val="both"/>
        <w:rPr>
          <w:rFonts w:ascii="ITC Avant Garde" w:hAnsi="ITC Avant Garde" w:cs="ITC Avant Garde"/>
          <w:sz w:val="20"/>
          <w:szCs w:val="20"/>
        </w:rPr>
      </w:pPr>
      <w:r>
        <w:rPr>
          <w:rFonts w:ascii="ITC Avant Garde" w:hAnsi="ITC Avant Garde" w:cs="ITC Avant Garde"/>
          <w:sz w:val="20"/>
          <w:szCs w:val="20"/>
        </w:rPr>
        <w:t>CANIETI:</w:t>
      </w:r>
    </w:p>
    <w:p w:rsidR="00495FB6" w:rsidRDefault="00495FB6" w:rsidP="00495FB6">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495FB6" w:rsidRPr="00495FB6" w:rsidRDefault="00495FB6" w:rsidP="00495FB6">
      <w:pPr>
        <w:spacing w:line="276" w:lineRule="auto"/>
        <w:jc w:val="both"/>
        <w:rPr>
          <w:rFonts w:ascii="ITC Avant Garde" w:eastAsia="Times New Roman" w:hAnsi="ITC Avant Garde" w:cs="ITC Avant Garde"/>
          <w:color w:val="000000"/>
          <w:sz w:val="20"/>
          <w:szCs w:val="20"/>
          <w:lang w:val="es-MX"/>
        </w:rPr>
      </w:pPr>
      <w:r w:rsidRPr="00495FB6">
        <w:rPr>
          <w:rFonts w:ascii="ITC Avant Garde" w:eastAsia="Times New Roman" w:hAnsi="ITC Avant Garde" w:cs="ITC Avant Garde"/>
          <w:color w:val="000000"/>
          <w:sz w:val="20"/>
          <w:szCs w:val="20"/>
          <w:lang w:val="es-MX"/>
        </w:rPr>
        <w:t>Ver punto anterior y adicionalmente el Instituto necesita revisar los rangos exactos y hacer correcciones en caso de ser necesario</w:t>
      </w:r>
      <w:r>
        <w:rPr>
          <w:rFonts w:ascii="ITC Avant Garde" w:eastAsia="Times New Roman" w:hAnsi="ITC Avant Garde" w:cs="ITC Avant Garde"/>
          <w:color w:val="000000"/>
          <w:sz w:val="20"/>
          <w:szCs w:val="20"/>
          <w:lang w:val="es-MX"/>
        </w:rPr>
        <w:t>.</w:t>
      </w:r>
    </w:p>
    <w:p w:rsidR="00C934B6" w:rsidRPr="00C254F6" w:rsidRDefault="00C934B6" w:rsidP="00C934B6">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Respuesta:</w:t>
      </w:r>
    </w:p>
    <w:p w:rsidR="00495FB6" w:rsidRPr="00495FB6" w:rsidRDefault="00495FB6" w:rsidP="00495FB6">
      <w:pPr>
        <w:spacing w:line="276" w:lineRule="auto"/>
        <w:jc w:val="both"/>
        <w:rPr>
          <w:rFonts w:ascii="ITC Avant Garde" w:hAnsi="ITC Avant Garde" w:cs="ITC Avant Garde"/>
          <w:sz w:val="20"/>
          <w:szCs w:val="20"/>
        </w:rPr>
      </w:pPr>
      <w:r w:rsidRPr="00495FB6">
        <w:rPr>
          <w:rFonts w:ascii="ITC Avant Garde" w:hAnsi="ITC Avant Garde" w:cs="ITC Avant Garde"/>
          <w:sz w:val="20"/>
          <w:szCs w:val="20"/>
        </w:rPr>
        <w:t>Se considera.</w:t>
      </w:r>
    </w:p>
    <w:p w:rsidR="00495FB6" w:rsidRPr="00495FB6" w:rsidRDefault="00495FB6" w:rsidP="00495FB6">
      <w:pPr>
        <w:spacing w:line="276" w:lineRule="auto"/>
        <w:jc w:val="both"/>
        <w:rPr>
          <w:rFonts w:ascii="ITC Avant Garde" w:hAnsi="ITC Avant Garde" w:cs="ITC Avant Garde"/>
          <w:sz w:val="20"/>
          <w:szCs w:val="20"/>
        </w:rPr>
      </w:pPr>
      <w:r w:rsidRPr="00495FB6">
        <w:rPr>
          <w:rFonts w:ascii="ITC Avant Garde" w:hAnsi="ITC Avant Garde" w:cs="ITC Avant Garde"/>
          <w:sz w:val="20"/>
          <w:szCs w:val="20"/>
        </w:rPr>
        <w:t>Se agregó a la Tabla 3, el correspondiente número de banda de frecuencia empleado por la UIT</w:t>
      </w:r>
      <w:r w:rsidR="008F111B">
        <w:rPr>
          <w:rFonts w:ascii="ITC Avant Garde" w:hAnsi="ITC Avant Garde" w:cs="ITC Avant Garde"/>
          <w:sz w:val="20"/>
          <w:szCs w:val="20"/>
        </w:rPr>
        <w:t>,</w:t>
      </w:r>
      <w:r w:rsidRPr="00495FB6">
        <w:rPr>
          <w:rFonts w:ascii="ITC Avant Garde" w:hAnsi="ITC Avant Garde" w:cs="ITC Avant Garde"/>
          <w:sz w:val="20"/>
          <w:szCs w:val="20"/>
        </w:rPr>
        <w:t xml:space="preserve"> también se adicionó la banda de 1700 MHz/2100 MHz.</w:t>
      </w:r>
    </w:p>
    <w:p w:rsidR="00495FB6" w:rsidRDefault="00495FB6">
      <w:pPr>
        <w:spacing w:line="276" w:lineRule="auto"/>
        <w:jc w:val="both"/>
        <w:rPr>
          <w:rFonts w:ascii="ITC Avant Garde" w:hAnsi="ITC Avant Garde" w:cs="ITC Avant Garde"/>
          <w:sz w:val="20"/>
          <w:szCs w:val="20"/>
        </w:rPr>
      </w:pPr>
      <w:r w:rsidRPr="00495FB6">
        <w:rPr>
          <w:rFonts w:ascii="ITC Avant Garde" w:hAnsi="ITC Avant Garde" w:cs="ITC Avant Garde"/>
          <w:sz w:val="20"/>
          <w:szCs w:val="20"/>
        </w:rPr>
        <w:lastRenderedPageBreak/>
        <w:t>Respecto a los intervalos de la Banda de 1900 MHz,</w:t>
      </w:r>
      <w:r w:rsidR="005848CC">
        <w:rPr>
          <w:rFonts w:ascii="ITC Avant Garde" w:hAnsi="ITC Avant Garde" w:cs="ITC Avant Garde"/>
          <w:sz w:val="20"/>
          <w:szCs w:val="20"/>
        </w:rPr>
        <w:t xml:space="preserve"> se considera y se modifican dichos intervalos. </w:t>
      </w:r>
    </w:p>
    <w:p w:rsidR="0096287B" w:rsidRDefault="0096287B" w:rsidP="0096287B">
      <w:pPr>
        <w:spacing w:line="276" w:lineRule="auto"/>
        <w:jc w:val="both"/>
        <w:rPr>
          <w:rFonts w:ascii="ITC Avant Garde" w:hAnsi="ITC Avant Garde" w:cs="ITC Avant Garde"/>
          <w:b/>
          <w:sz w:val="20"/>
          <w:szCs w:val="20"/>
        </w:rPr>
      </w:pPr>
    </w:p>
    <w:p w:rsidR="0096287B" w:rsidRPr="00C254F6" w:rsidRDefault="0096287B" w:rsidP="0096287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C934B6" w:rsidRDefault="00C934B6" w:rsidP="00495FB6">
      <w:pPr>
        <w:spacing w:line="276" w:lineRule="auto"/>
        <w:jc w:val="both"/>
        <w:rPr>
          <w:rFonts w:ascii="ITC Avant Garde" w:hAnsi="ITC Avant Garde" w:cs="ITC Avant Garde"/>
          <w:sz w:val="20"/>
          <w:szCs w:val="20"/>
        </w:rPr>
      </w:pPr>
      <w:r>
        <w:rPr>
          <w:rFonts w:ascii="ITC Avant Garde" w:hAnsi="ITC Avant Garde" w:cs="ITC Avant Garde"/>
          <w:sz w:val="20"/>
          <w:szCs w:val="20"/>
        </w:rPr>
        <w:t>ONMISPACE:</w:t>
      </w:r>
    </w:p>
    <w:p w:rsidR="00C934B6" w:rsidRDefault="00C934B6" w:rsidP="00C934B6">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C934B6" w:rsidRPr="00C934B6" w:rsidRDefault="00C934B6" w:rsidP="00C934B6">
      <w:pPr>
        <w:spacing w:line="276" w:lineRule="auto"/>
        <w:jc w:val="both"/>
        <w:rPr>
          <w:rFonts w:ascii="ITC Avant Garde" w:hAnsi="ITC Avant Garde" w:cs="ITC Avant Garde"/>
          <w:sz w:val="20"/>
          <w:szCs w:val="20"/>
        </w:rPr>
      </w:pPr>
      <w:r w:rsidRPr="00C934B6">
        <w:rPr>
          <w:rFonts w:ascii="ITC Avant Garde" w:hAnsi="ITC Avant Garde" w:cs="ITC Avant Garde"/>
          <w:sz w:val="20"/>
          <w:szCs w:val="20"/>
        </w:rPr>
        <w:t xml:space="preserve">Como es del conocimiento del IFT,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opera en la banda “S” y está autorizado para explotar los derechos de emisión y recepción de señales de bandas de frecuencias dentro de los rangos 2000-2010 MHz (Tierra-espacio) y 2190-2200 MHz (espacio-Tierra) para la prestación de la capacidad satelital dentro de su Autorización, para fines de Servicios Móviles por Satélite (MSS por sus siglas en inglés). En México, la atribución para </w:t>
      </w:r>
      <w:r w:rsidR="00CB12FF" w:rsidRPr="00C934B6">
        <w:rPr>
          <w:rFonts w:ascii="ITC Avant Garde" w:hAnsi="ITC Avant Garde" w:cs="ITC Avant Garde"/>
          <w:sz w:val="20"/>
          <w:szCs w:val="20"/>
        </w:rPr>
        <w:t>PCS [</w:t>
      </w:r>
      <w:r w:rsidRPr="00C934B6">
        <w:rPr>
          <w:rFonts w:ascii="ITC Avant Garde" w:hAnsi="ITC Avant Garde" w:cs="ITC Avant Garde"/>
          <w:sz w:val="20"/>
          <w:szCs w:val="20"/>
        </w:rPr>
        <w:t>MLDT1] de la banda de 1930-1990 MHz es el enlace descendente (</w:t>
      </w:r>
      <w:proofErr w:type="spellStart"/>
      <w:r w:rsidRPr="00C934B6">
        <w:rPr>
          <w:rFonts w:ascii="ITC Avant Garde" w:hAnsi="ITC Avant Garde" w:cs="ITC Avant Garde"/>
          <w:sz w:val="20"/>
          <w:szCs w:val="20"/>
        </w:rPr>
        <w:t>downlink</w:t>
      </w:r>
      <w:proofErr w:type="spellEnd"/>
      <w:r w:rsidRPr="00C934B6">
        <w:rPr>
          <w:rFonts w:ascii="ITC Avant Garde" w:hAnsi="ITC Avant Garde" w:cs="ITC Avant Garde"/>
          <w:sz w:val="20"/>
          <w:szCs w:val="20"/>
        </w:rPr>
        <w:t xml:space="preserve">) y ha existido una banda de guarda de 10 MHz junto a la atribución de 2000-2020 MHz para MSS.  En el Anteproyecto, pareciera que el IFT podría planear la atribución de los 1990-2000 MHz para servicios terrestres PCS, removiendo con ello la banda de guarda de 10 MHz. En caso de que el IFT llevara a cabo tal acción, el </w:t>
      </w:r>
      <w:proofErr w:type="spellStart"/>
      <w:r w:rsidRPr="00C934B6">
        <w:rPr>
          <w:rFonts w:ascii="ITC Avant Garde" w:hAnsi="ITC Avant Garde" w:cs="ITC Avant Garde"/>
          <w:sz w:val="20"/>
          <w:szCs w:val="20"/>
        </w:rPr>
        <w:t>downlink</w:t>
      </w:r>
      <w:proofErr w:type="spellEnd"/>
      <w:r w:rsidRPr="00C934B6">
        <w:rPr>
          <w:rFonts w:ascii="ITC Avant Garde" w:hAnsi="ITC Avant Garde" w:cs="ITC Avant Garde"/>
          <w:sz w:val="20"/>
          <w:szCs w:val="20"/>
        </w:rPr>
        <w:t xml:space="preserve"> terrestre de PCS estaría inmediatamente adyacente al enlace ascendente (</w:t>
      </w:r>
      <w:proofErr w:type="spellStart"/>
      <w:r w:rsidRPr="00C934B6">
        <w:rPr>
          <w:rFonts w:ascii="ITC Avant Garde" w:hAnsi="ITC Avant Garde" w:cs="ITC Avant Garde"/>
          <w:sz w:val="20"/>
          <w:szCs w:val="20"/>
        </w:rPr>
        <w:t>uplink</w:t>
      </w:r>
      <w:proofErr w:type="spellEnd"/>
      <w:r w:rsidRPr="00C934B6">
        <w:rPr>
          <w:rFonts w:ascii="ITC Avant Garde" w:hAnsi="ITC Avant Garde" w:cs="ITC Avant Garde"/>
          <w:sz w:val="20"/>
          <w:szCs w:val="20"/>
        </w:rPr>
        <w:t xml:space="preserve">) atribuido para MSS, que ha sido autorizado por el IFT. </w:t>
      </w:r>
    </w:p>
    <w:p w:rsidR="00C934B6" w:rsidRPr="00C934B6" w:rsidRDefault="00C934B6" w:rsidP="00C934B6">
      <w:pPr>
        <w:spacing w:line="276" w:lineRule="auto"/>
        <w:jc w:val="both"/>
        <w:rPr>
          <w:rFonts w:ascii="ITC Avant Garde" w:hAnsi="ITC Avant Garde" w:cs="ITC Avant Garde"/>
          <w:sz w:val="20"/>
          <w:szCs w:val="20"/>
        </w:rPr>
      </w:pPr>
      <w:r w:rsidRPr="00C934B6">
        <w:rPr>
          <w:rFonts w:ascii="ITC Avant Garde" w:hAnsi="ITC Avant Garde" w:cs="ITC Avant Garde"/>
          <w:sz w:val="20"/>
          <w:szCs w:val="20"/>
        </w:rPr>
        <w:t xml:space="preserve">La preocupación principal de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México en relación con el Anteproyecto es que la atribución de </w:t>
      </w:r>
      <w:proofErr w:type="spellStart"/>
      <w:r w:rsidRPr="00C934B6">
        <w:rPr>
          <w:rFonts w:ascii="ITC Avant Garde" w:hAnsi="ITC Avant Garde" w:cs="ITC Avant Garde"/>
          <w:sz w:val="20"/>
          <w:szCs w:val="20"/>
        </w:rPr>
        <w:t>downlink</w:t>
      </w:r>
      <w:proofErr w:type="spellEnd"/>
      <w:r w:rsidRPr="00C934B6">
        <w:rPr>
          <w:rFonts w:ascii="ITC Avant Garde" w:hAnsi="ITC Avant Garde" w:cs="ITC Avant Garde"/>
          <w:sz w:val="20"/>
          <w:szCs w:val="20"/>
        </w:rPr>
        <w:t xml:space="preserve"> para PCS se extendería a 2000 MHz, que es directamente adyacente al </w:t>
      </w:r>
      <w:proofErr w:type="spellStart"/>
      <w:r w:rsidRPr="00C934B6">
        <w:rPr>
          <w:rFonts w:ascii="ITC Avant Garde" w:hAnsi="ITC Avant Garde" w:cs="ITC Avant Garde"/>
          <w:sz w:val="20"/>
          <w:szCs w:val="20"/>
        </w:rPr>
        <w:t>uplink</w:t>
      </w:r>
      <w:proofErr w:type="spellEnd"/>
      <w:r w:rsidRPr="00C934B6">
        <w:rPr>
          <w:rFonts w:ascii="ITC Avant Garde" w:hAnsi="ITC Avant Garde" w:cs="ITC Avant Garde"/>
          <w:sz w:val="20"/>
          <w:szCs w:val="20"/>
        </w:rPr>
        <w:t xml:space="preserve"> atribuido para MSS, dentro del que se encuentra la capacidad satelital con fines de MSS que se ha autorizado a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así como a la atribución para MSS actual en México. Dado que la atribución para MSS en 2000 MHz es utilizada como </w:t>
      </w:r>
      <w:proofErr w:type="spellStart"/>
      <w:r w:rsidRPr="00C934B6">
        <w:rPr>
          <w:rFonts w:ascii="ITC Avant Garde" w:hAnsi="ITC Avant Garde" w:cs="ITC Avant Garde"/>
          <w:sz w:val="20"/>
          <w:szCs w:val="20"/>
        </w:rPr>
        <w:t>uplink</w:t>
      </w:r>
      <w:proofErr w:type="spellEnd"/>
      <w:r w:rsidRPr="00C934B6">
        <w:rPr>
          <w:rFonts w:ascii="ITC Avant Garde" w:hAnsi="ITC Avant Garde" w:cs="ITC Avant Garde"/>
          <w:sz w:val="20"/>
          <w:szCs w:val="20"/>
        </w:rPr>
        <w:t xml:space="preserve">, existe un potencial real de que las conocidas </w:t>
      </w:r>
      <w:proofErr w:type="spellStart"/>
      <w:r w:rsidRPr="00C934B6">
        <w:rPr>
          <w:rFonts w:ascii="ITC Avant Garde" w:hAnsi="ITC Avant Garde" w:cs="ITC Avant Garde"/>
          <w:sz w:val="20"/>
          <w:szCs w:val="20"/>
        </w:rPr>
        <w:t>Out</w:t>
      </w:r>
      <w:proofErr w:type="spellEnd"/>
      <w:r w:rsidRPr="00C934B6">
        <w:rPr>
          <w:rFonts w:ascii="ITC Avant Garde" w:hAnsi="ITC Avant Garde" w:cs="ITC Avant Garde"/>
          <w:sz w:val="20"/>
          <w:szCs w:val="20"/>
        </w:rPr>
        <w:t xml:space="preserve"> of Band </w:t>
      </w:r>
      <w:proofErr w:type="spellStart"/>
      <w:r w:rsidRPr="00C934B6">
        <w:rPr>
          <w:rFonts w:ascii="ITC Avant Garde" w:hAnsi="ITC Avant Garde" w:cs="ITC Avant Garde"/>
          <w:sz w:val="20"/>
          <w:szCs w:val="20"/>
        </w:rPr>
        <w:t>Emissions</w:t>
      </w:r>
      <w:proofErr w:type="spellEnd"/>
      <w:r w:rsidRPr="00C934B6">
        <w:rPr>
          <w:rFonts w:ascii="ITC Avant Garde" w:hAnsi="ITC Avant Garde" w:cs="ITC Avant Garde"/>
          <w:sz w:val="20"/>
          <w:szCs w:val="20"/>
        </w:rPr>
        <w:t xml:space="preserve"> (OOBE o emisiones fuera de banda) de operaciones de estaciones PCS causen interferencia a las operaciones de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México en la provisión de capacidad satelital para MSS y posiblemente más allá de ellas.</w:t>
      </w:r>
    </w:p>
    <w:p w:rsidR="00C934B6" w:rsidRDefault="00C934B6" w:rsidP="00C934B6">
      <w:pPr>
        <w:spacing w:line="276" w:lineRule="auto"/>
        <w:jc w:val="both"/>
        <w:rPr>
          <w:rFonts w:ascii="ITC Avant Garde" w:hAnsi="ITC Avant Garde" w:cs="ITC Avant Garde"/>
          <w:sz w:val="20"/>
          <w:szCs w:val="20"/>
        </w:rPr>
      </w:pPr>
      <w:r w:rsidRPr="00C934B6">
        <w:rPr>
          <w:rFonts w:ascii="ITC Avant Garde" w:hAnsi="ITC Avant Garde" w:cs="ITC Avant Garde"/>
          <w:sz w:val="20"/>
          <w:szCs w:val="20"/>
        </w:rPr>
        <w:t xml:space="preserve">En </w:t>
      </w:r>
      <w:r w:rsidR="00097E70" w:rsidRPr="00C934B6">
        <w:rPr>
          <w:rFonts w:ascii="ITC Avant Garde" w:hAnsi="ITC Avant Garde" w:cs="ITC Avant Garde"/>
          <w:sz w:val="20"/>
          <w:szCs w:val="20"/>
        </w:rPr>
        <w:t>julio</w:t>
      </w:r>
      <w:r w:rsidRPr="00C934B6">
        <w:rPr>
          <w:rFonts w:ascii="ITC Avant Garde" w:hAnsi="ITC Avant Garde" w:cs="ITC Avant Garde"/>
          <w:sz w:val="20"/>
          <w:szCs w:val="20"/>
        </w:rPr>
        <w:t xml:space="preserve"> de 2016,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utilizó el satélite F2, que ha sido autorizado por el IFT para prestar servicios de capacidad satelital en México, para medir el espectro de 1990-2015 MHZ sobre México, con el propósito de evaluar los niveles de interferencia dentro del </w:t>
      </w:r>
      <w:proofErr w:type="spellStart"/>
      <w:r w:rsidRPr="00C934B6">
        <w:rPr>
          <w:rFonts w:ascii="ITC Avant Garde" w:hAnsi="ITC Avant Garde" w:cs="ITC Avant Garde"/>
          <w:sz w:val="20"/>
          <w:szCs w:val="20"/>
        </w:rPr>
        <w:t>uplink</w:t>
      </w:r>
      <w:proofErr w:type="spellEnd"/>
      <w:r w:rsidRPr="00C934B6">
        <w:rPr>
          <w:rFonts w:ascii="ITC Avant Garde" w:hAnsi="ITC Avant Garde" w:cs="ITC Avant Garde"/>
          <w:sz w:val="20"/>
          <w:szCs w:val="20"/>
        </w:rPr>
        <w:t xml:space="preserve"> de 2000-2010 MHz autorizado a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México. Si bien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México descubrió que el segmento de 2000-2010 MHz estaba libre de interferencia, también descubrió que las emisiones fuera de banda de operadores basados en los Estados Unidos de América en 1990-1995 MHz tenía “colas” OOBE (OOBE </w:t>
      </w:r>
      <w:proofErr w:type="spellStart"/>
      <w:r w:rsidRPr="00C934B6">
        <w:rPr>
          <w:rFonts w:ascii="ITC Avant Garde" w:hAnsi="ITC Avant Garde" w:cs="ITC Avant Garde"/>
          <w:sz w:val="20"/>
          <w:szCs w:val="20"/>
        </w:rPr>
        <w:t>tails</w:t>
      </w:r>
      <w:proofErr w:type="spellEnd"/>
      <w:r w:rsidRPr="00C934B6">
        <w:rPr>
          <w:rFonts w:ascii="ITC Avant Garde" w:hAnsi="ITC Avant Garde" w:cs="ITC Avant Garde"/>
          <w:sz w:val="20"/>
          <w:szCs w:val="20"/>
        </w:rPr>
        <w:t>) que claramente elevaban el piso de ruido (</w:t>
      </w:r>
      <w:proofErr w:type="spellStart"/>
      <w:r w:rsidRPr="00C934B6">
        <w:rPr>
          <w:rFonts w:ascii="ITC Avant Garde" w:hAnsi="ITC Avant Garde" w:cs="ITC Avant Garde"/>
          <w:sz w:val="20"/>
          <w:szCs w:val="20"/>
        </w:rPr>
        <w:t>noise</w:t>
      </w:r>
      <w:proofErr w:type="spellEnd"/>
      <w:r w:rsidRPr="00C934B6">
        <w:rPr>
          <w:rFonts w:ascii="ITC Avant Garde" w:hAnsi="ITC Avant Garde" w:cs="ITC Avant Garde"/>
          <w:sz w:val="20"/>
          <w:szCs w:val="20"/>
        </w:rPr>
        <w:t xml:space="preserve"> </w:t>
      </w:r>
      <w:proofErr w:type="spellStart"/>
      <w:r w:rsidRPr="00C934B6">
        <w:rPr>
          <w:rFonts w:ascii="ITC Avant Garde" w:hAnsi="ITC Avant Garde" w:cs="ITC Avant Garde"/>
          <w:sz w:val="20"/>
          <w:szCs w:val="20"/>
        </w:rPr>
        <w:t>floor</w:t>
      </w:r>
      <w:proofErr w:type="spellEnd"/>
      <w:r w:rsidRPr="00C934B6">
        <w:rPr>
          <w:rFonts w:ascii="ITC Avant Garde" w:hAnsi="ITC Avant Garde" w:cs="ITC Avant Garde"/>
          <w:sz w:val="20"/>
          <w:szCs w:val="20"/>
        </w:rPr>
        <w:t>) en el espectro de 1995 MHz a 1998 MHz. La tabla que se acompaña a este documento muestra el resultado de una porción de esa prueba realizada sobre el noroeste de México, justo al sur de la f</w:t>
      </w:r>
      <w:r>
        <w:rPr>
          <w:rFonts w:ascii="ITC Avant Garde" w:hAnsi="ITC Avant Garde" w:cs="ITC Avant Garde"/>
          <w:sz w:val="20"/>
          <w:szCs w:val="20"/>
        </w:rPr>
        <w:t>rontera con los Estados Unidos.</w:t>
      </w:r>
    </w:p>
    <w:p w:rsidR="00C934B6" w:rsidRPr="00C934B6" w:rsidRDefault="00C934B6" w:rsidP="00C934B6">
      <w:pPr>
        <w:spacing w:line="276" w:lineRule="auto"/>
        <w:jc w:val="both"/>
        <w:rPr>
          <w:rFonts w:ascii="ITC Avant Garde" w:hAnsi="ITC Avant Garde" w:cs="ITC Avant Garde"/>
          <w:sz w:val="20"/>
          <w:szCs w:val="20"/>
        </w:rPr>
      </w:pPr>
      <w:r w:rsidRPr="00C934B6">
        <w:rPr>
          <w:rFonts w:ascii="ITC Avant Garde" w:hAnsi="ITC Avant Garde" w:cs="ITC Avant Garde"/>
          <w:sz w:val="20"/>
          <w:szCs w:val="20"/>
        </w:rPr>
        <w:t xml:space="preserve">Dado que todo el equipo PCS debe cumplir con las especificaciones 3GPP para OOBE, es posible suponer razonablemente un desempeño OOBE y niveles operativos de potencia de transmisión BTS en el equipo PCS que sería operado en México, si la banda de 1995-2000 MHz fuera atribuida para tal uso. En ese caso, 3 MHZ del canal de 10 MHZ que tiene </w:t>
      </w:r>
      <w:r w:rsidRPr="00C934B6">
        <w:rPr>
          <w:rFonts w:ascii="ITC Avant Garde" w:hAnsi="ITC Avant Garde" w:cs="ITC Avant Garde"/>
          <w:sz w:val="20"/>
          <w:szCs w:val="20"/>
        </w:rPr>
        <w:lastRenderedPageBreak/>
        <w:t xml:space="preserve">autorizados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México tendrían una reducción de capacidad o cobertura debido al piso de ruido asociado con OOBE del operador PCS inmediatamente adyacente, impactando los receptores en el satélite de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México.</w:t>
      </w:r>
    </w:p>
    <w:p w:rsidR="00C934B6" w:rsidRDefault="00C934B6" w:rsidP="00C934B6">
      <w:pPr>
        <w:spacing w:line="276" w:lineRule="auto"/>
        <w:jc w:val="both"/>
        <w:rPr>
          <w:rFonts w:ascii="ITC Avant Garde" w:hAnsi="ITC Avant Garde" w:cs="ITC Avant Garde"/>
          <w:sz w:val="20"/>
          <w:szCs w:val="20"/>
        </w:rPr>
      </w:pPr>
      <w:r w:rsidRPr="00C934B6">
        <w:rPr>
          <w:rFonts w:ascii="ITC Avant Garde" w:hAnsi="ITC Avant Garde" w:cs="ITC Avant Garde"/>
          <w:sz w:val="20"/>
          <w:szCs w:val="20"/>
        </w:rPr>
        <w:t xml:space="preserve">En virtud de que MSS tiene un uso primario en las bandas referidas,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México debe ser protegido de interferencias provenientes de bandas adyacentes. Esto puede lograrse si el IFT mantiene una banda de guarda de 5 MHz entre las operaciones MSS y PCS, o si implementa una “OOBE </w:t>
      </w:r>
      <w:proofErr w:type="spellStart"/>
      <w:r w:rsidRPr="00C934B6">
        <w:rPr>
          <w:rFonts w:ascii="ITC Avant Garde" w:hAnsi="ITC Avant Garde" w:cs="ITC Avant Garde"/>
          <w:sz w:val="20"/>
          <w:szCs w:val="20"/>
        </w:rPr>
        <w:t>mask</w:t>
      </w:r>
      <w:proofErr w:type="spellEnd"/>
      <w:r w:rsidRPr="00C934B6">
        <w:rPr>
          <w:rFonts w:ascii="ITC Avant Garde" w:hAnsi="ITC Avant Garde" w:cs="ITC Avant Garde"/>
          <w:sz w:val="20"/>
          <w:szCs w:val="20"/>
        </w:rPr>
        <w:t>” que es más estricta que la máscara [43+</w:t>
      </w:r>
      <w:r w:rsidR="007F21EE" w:rsidRPr="00C934B6">
        <w:rPr>
          <w:rFonts w:ascii="ITC Avant Garde" w:hAnsi="ITC Avant Garde" w:cs="ITC Avant Garde"/>
          <w:sz w:val="20"/>
          <w:szCs w:val="20"/>
        </w:rPr>
        <w:t>10LOG (</w:t>
      </w:r>
      <w:r w:rsidRPr="00C934B6">
        <w:rPr>
          <w:rFonts w:ascii="ITC Avant Garde" w:hAnsi="ITC Avant Garde" w:cs="ITC Avant Garde"/>
          <w:sz w:val="20"/>
          <w:szCs w:val="20"/>
        </w:rPr>
        <w:t xml:space="preserve">P)] comúnmente asociada con la operación de equipo PCS. Esta situación fue considerada por la Federal </w:t>
      </w:r>
      <w:proofErr w:type="spellStart"/>
      <w:r w:rsidRPr="00C934B6">
        <w:rPr>
          <w:rFonts w:ascii="ITC Avant Garde" w:hAnsi="ITC Avant Garde" w:cs="ITC Avant Garde"/>
          <w:sz w:val="20"/>
          <w:szCs w:val="20"/>
        </w:rPr>
        <w:t>Communications</w:t>
      </w:r>
      <w:proofErr w:type="spellEnd"/>
      <w:r w:rsidRPr="00C934B6">
        <w:rPr>
          <w:rFonts w:ascii="ITC Avant Garde" w:hAnsi="ITC Avant Garde" w:cs="ITC Avant Garde"/>
          <w:sz w:val="20"/>
          <w:szCs w:val="20"/>
        </w:rPr>
        <w:t xml:space="preserve"> </w:t>
      </w:r>
      <w:proofErr w:type="spellStart"/>
      <w:r w:rsidRPr="00C934B6">
        <w:rPr>
          <w:rFonts w:ascii="ITC Avant Garde" w:hAnsi="ITC Avant Garde" w:cs="ITC Avant Garde"/>
          <w:sz w:val="20"/>
          <w:szCs w:val="20"/>
        </w:rPr>
        <w:t>Commision</w:t>
      </w:r>
      <w:proofErr w:type="spellEnd"/>
      <w:r w:rsidRPr="00C934B6">
        <w:rPr>
          <w:rFonts w:ascii="ITC Avant Garde" w:hAnsi="ITC Avant Garde" w:cs="ITC Avant Garde"/>
          <w:sz w:val="20"/>
          <w:szCs w:val="20"/>
        </w:rPr>
        <w:t xml:space="preserve"> (FCC por sus siglas en inglés) durante el Reporte y Orden AWS-4 (AWS-4 </w:t>
      </w:r>
      <w:proofErr w:type="spellStart"/>
      <w:r w:rsidRPr="00C934B6">
        <w:rPr>
          <w:rFonts w:ascii="ITC Avant Garde" w:hAnsi="ITC Avant Garde" w:cs="ITC Avant Garde"/>
          <w:sz w:val="20"/>
          <w:szCs w:val="20"/>
        </w:rPr>
        <w:t>Report</w:t>
      </w:r>
      <w:proofErr w:type="spellEnd"/>
      <w:r w:rsidRPr="00C934B6">
        <w:rPr>
          <w:rFonts w:ascii="ITC Avant Garde" w:hAnsi="ITC Avant Garde" w:cs="ITC Avant Garde"/>
          <w:sz w:val="20"/>
          <w:szCs w:val="20"/>
        </w:rPr>
        <w:t xml:space="preserve"> and </w:t>
      </w:r>
      <w:proofErr w:type="spellStart"/>
      <w:r w:rsidRPr="00C934B6">
        <w:rPr>
          <w:rFonts w:ascii="ITC Avant Garde" w:hAnsi="ITC Avant Garde" w:cs="ITC Avant Garde"/>
          <w:sz w:val="20"/>
          <w:szCs w:val="20"/>
        </w:rPr>
        <w:t>Order</w:t>
      </w:r>
      <w:proofErr w:type="spellEnd"/>
      <w:r w:rsidRPr="00C934B6">
        <w:rPr>
          <w:rFonts w:ascii="ITC Avant Garde" w:hAnsi="ITC Avant Garde" w:cs="ITC Avant Garde"/>
          <w:sz w:val="20"/>
          <w:szCs w:val="20"/>
        </w:rPr>
        <w:t xml:space="preserve">) y llevó a la FCC a </w:t>
      </w:r>
      <w:proofErr w:type="spellStart"/>
      <w:r w:rsidRPr="00C934B6">
        <w:rPr>
          <w:rFonts w:ascii="ITC Avant Garde" w:hAnsi="ITC Avant Garde" w:cs="ITC Avant Garde"/>
          <w:sz w:val="20"/>
          <w:szCs w:val="20"/>
        </w:rPr>
        <w:t>reducer</w:t>
      </w:r>
      <w:proofErr w:type="spellEnd"/>
      <w:r w:rsidRPr="00C934B6">
        <w:rPr>
          <w:rFonts w:ascii="ITC Avant Garde" w:hAnsi="ITC Avant Garde" w:cs="ITC Avant Garde"/>
          <w:sz w:val="20"/>
          <w:szCs w:val="20"/>
        </w:rPr>
        <w:t xml:space="preserve"> el OOBE de dispositivos de </w:t>
      </w:r>
      <w:r w:rsidR="007F21EE" w:rsidRPr="00C934B6">
        <w:rPr>
          <w:rFonts w:ascii="ITC Avant Garde" w:hAnsi="ITC Avant Garde" w:cs="ITC Avant Garde"/>
          <w:sz w:val="20"/>
          <w:szCs w:val="20"/>
        </w:rPr>
        <w:t>transmisión</w:t>
      </w:r>
      <w:r w:rsidRPr="00C934B6">
        <w:rPr>
          <w:rFonts w:ascii="ITC Avant Garde" w:hAnsi="ITC Avant Garde" w:cs="ITC Avant Garde"/>
          <w:sz w:val="20"/>
          <w:szCs w:val="20"/>
        </w:rPr>
        <w:t xml:space="preserve"> móviles terrestre que operaban adyacentes a la banda de frecuencia 2000-2020 MHz a -40 dBm/MHz, equivalente a una máscara OOBE de 70+10LOG(P) para cualquier frecuencia del rango 2000-2020 MHz. </w:t>
      </w:r>
      <w:proofErr w:type="spellStart"/>
      <w:r w:rsidRPr="00C934B6">
        <w:rPr>
          <w:rFonts w:ascii="ITC Avant Garde" w:hAnsi="ITC Avant Garde" w:cs="ITC Avant Garde"/>
          <w:sz w:val="20"/>
          <w:szCs w:val="20"/>
        </w:rPr>
        <w:t>Omnispace</w:t>
      </w:r>
      <w:proofErr w:type="spellEnd"/>
      <w:r w:rsidRPr="00C934B6">
        <w:rPr>
          <w:rFonts w:ascii="ITC Avant Garde" w:hAnsi="ITC Avant Garde" w:cs="ITC Avant Garde"/>
          <w:sz w:val="20"/>
          <w:szCs w:val="20"/>
        </w:rPr>
        <w:t xml:space="preserve"> México considera que esto podría ser suficiente para reducir la interferencia potencial a un nivel manejable.</w:t>
      </w:r>
    </w:p>
    <w:p w:rsidR="00C934B6" w:rsidRPr="00C254F6" w:rsidRDefault="00C934B6" w:rsidP="00C934B6">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Respuesta:</w:t>
      </w:r>
    </w:p>
    <w:p w:rsidR="00C934B6" w:rsidRPr="00C934B6" w:rsidRDefault="00527828" w:rsidP="00C934B6">
      <w:pPr>
        <w:spacing w:line="276" w:lineRule="auto"/>
        <w:jc w:val="both"/>
        <w:rPr>
          <w:rFonts w:ascii="ITC Avant Garde" w:hAnsi="ITC Avant Garde" w:cs="ITC Avant Garde"/>
          <w:sz w:val="20"/>
          <w:szCs w:val="20"/>
        </w:rPr>
      </w:pPr>
      <w:r>
        <w:rPr>
          <w:rFonts w:ascii="ITC Avant Garde" w:hAnsi="ITC Avant Garde" w:cs="ITC Avant Garde"/>
          <w:sz w:val="20"/>
          <w:szCs w:val="20"/>
        </w:rPr>
        <w:t>S</w:t>
      </w:r>
      <w:r w:rsidR="00C934B6" w:rsidRPr="00C934B6">
        <w:rPr>
          <w:rFonts w:ascii="ITC Avant Garde" w:hAnsi="ITC Avant Garde" w:cs="ITC Avant Garde"/>
          <w:sz w:val="20"/>
          <w:szCs w:val="20"/>
        </w:rPr>
        <w:t>e considera.</w:t>
      </w:r>
    </w:p>
    <w:p w:rsidR="00C934B6" w:rsidRPr="00C934B6" w:rsidRDefault="002E27EA" w:rsidP="00C934B6">
      <w:pPr>
        <w:spacing w:line="276" w:lineRule="auto"/>
        <w:jc w:val="both"/>
        <w:rPr>
          <w:rFonts w:ascii="ITC Avant Garde" w:hAnsi="ITC Avant Garde" w:cs="ITC Avant Garde"/>
          <w:sz w:val="20"/>
          <w:szCs w:val="20"/>
        </w:rPr>
      </w:pPr>
      <w:r>
        <w:rPr>
          <w:rFonts w:ascii="ITC Avant Garde" w:hAnsi="ITC Avant Garde" w:cs="ITC Avant Garde"/>
          <w:sz w:val="20"/>
          <w:szCs w:val="20"/>
        </w:rPr>
        <w:t>L</w:t>
      </w:r>
      <w:r w:rsidR="00C934B6" w:rsidRPr="00C934B6">
        <w:rPr>
          <w:rFonts w:ascii="ITC Avant Garde" w:hAnsi="ITC Avant Garde" w:cs="ITC Avant Garde"/>
          <w:sz w:val="20"/>
          <w:szCs w:val="20"/>
        </w:rPr>
        <w:t xml:space="preserve">os intervalos establecidos </w:t>
      </w:r>
      <w:r w:rsidR="00034D81">
        <w:rPr>
          <w:rFonts w:ascii="ITC Avant Garde" w:hAnsi="ITC Avant Garde" w:cs="ITC Avant Garde"/>
          <w:sz w:val="20"/>
          <w:szCs w:val="20"/>
        </w:rPr>
        <w:t xml:space="preserve">en la DT </w:t>
      </w:r>
      <w:r w:rsidR="00527828">
        <w:rPr>
          <w:rFonts w:ascii="ITC Avant Garde" w:hAnsi="ITC Avant Garde" w:cs="ITC Avant Garde"/>
          <w:sz w:val="20"/>
          <w:szCs w:val="20"/>
        </w:rPr>
        <w:t>fueron modificados</w:t>
      </w:r>
      <w:r w:rsidR="00DB07A3">
        <w:rPr>
          <w:rFonts w:ascii="ITC Avant Garde" w:hAnsi="ITC Avant Garde" w:cs="ITC Avant Garde"/>
          <w:sz w:val="20"/>
          <w:szCs w:val="20"/>
        </w:rPr>
        <w:t xml:space="preserve"> en la Tabla 3</w:t>
      </w:r>
      <w:r w:rsidR="00C934B6" w:rsidRPr="00C934B6">
        <w:rPr>
          <w:rFonts w:ascii="ITC Avant Garde" w:hAnsi="ITC Avant Garde" w:cs="ITC Avant Garde"/>
          <w:sz w:val="20"/>
          <w:szCs w:val="20"/>
        </w:rPr>
        <w:t>.</w:t>
      </w:r>
    </w:p>
    <w:p w:rsidR="00C934B6" w:rsidRPr="00C254F6" w:rsidRDefault="00C934B6" w:rsidP="00495FB6">
      <w:pPr>
        <w:spacing w:line="276" w:lineRule="auto"/>
        <w:jc w:val="both"/>
        <w:rPr>
          <w:rFonts w:ascii="ITC Avant Garde" w:hAnsi="ITC Avant Garde" w:cs="ITC Avant Garde"/>
          <w:sz w:val="20"/>
          <w:szCs w:val="20"/>
        </w:rPr>
      </w:pPr>
    </w:p>
    <w:p w:rsidR="002F3EEA" w:rsidRPr="00C254F6" w:rsidRDefault="002F3EEA" w:rsidP="00C254F6">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4.1.2 </w:t>
      </w:r>
      <w:r w:rsidR="003621E8" w:rsidRPr="003621E8">
        <w:rPr>
          <w:rFonts w:ascii="ITC Avant Garde" w:hAnsi="ITC Avant Garde" w:cs="ITC Avant Garde"/>
          <w:b/>
          <w:sz w:val="20"/>
          <w:szCs w:val="20"/>
        </w:rPr>
        <w:t>Soporte de la banda</w:t>
      </w:r>
      <w:r w:rsidR="009A033B">
        <w:rPr>
          <w:rFonts w:ascii="ITC Avant Garde" w:hAnsi="ITC Avant Garde" w:cs="ITC Avant Garde"/>
          <w:b/>
          <w:sz w:val="20"/>
          <w:szCs w:val="20"/>
        </w:rPr>
        <w:t xml:space="preserve"> 28 (700 MHz) APT</w:t>
      </w:r>
      <w:r w:rsidR="00C1708E" w:rsidRPr="00C254F6">
        <w:rPr>
          <w:rFonts w:ascii="ITC Avant Garde" w:hAnsi="ITC Avant Garde" w:cs="ITC Avant Garde"/>
          <w:b/>
          <w:sz w:val="20"/>
          <w:szCs w:val="20"/>
        </w:rPr>
        <w:t xml:space="preserve">. </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2F3EEA" w:rsidRPr="00C254F6" w:rsidRDefault="00E610DE" w:rsidP="002F3EEA">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ANATEL</w:t>
      </w:r>
    </w:p>
    <w:p w:rsidR="0049058B" w:rsidRDefault="0049058B">
      <w:pPr>
        <w:spacing w:line="276" w:lineRule="auto"/>
        <w:jc w:val="both"/>
        <w:rPr>
          <w:rFonts w:ascii="ITC Avant Garde" w:hAnsi="ITC Avant Garde" w:cs="ITC Avant Garde"/>
          <w:b/>
          <w:sz w:val="20"/>
          <w:szCs w:val="20"/>
        </w:rPr>
      </w:pPr>
      <w:r w:rsidRPr="00C254F6">
        <w:rPr>
          <w:rFonts w:ascii="ITC Avant Garde" w:hAnsi="ITC Avant Garde" w:cs="ITC Avant Garde"/>
          <w:b/>
          <w:sz w:val="20"/>
          <w:szCs w:val="20"/>
        </w:rPr>
        <w:t xml:space="preserve">Propuesta: </w:t>
      </w:r>
    </w:p>
    <w:p w:rsidR="00E610DE" w:rsidRPr="00E610DE" w:rsidRDefault="00E610DE" w:rsidP="00E610DE">
      <w:pPr>
        <w:pStyle w:val="Prrafodelista"/>
        <w:numPr>
          <w:ilvl w:val="0"/>
          <w:numId w:val="12"/>
        </w:numPr>
        <w:spacing w:line="276" w:lineRule="auto"/>
        <w:ind w:left="567"/>
        <w:jc w:val="both"/>
        <w:rPr>
          <w:rFonts w:ascii="ITC Avant Garde" w:eastAsia="SimSun" w:hAnsi="ITC Avant Garde" w:cs="ITC Avant Garde"/>
          <w:lang w:val="es-ES"/>
        </w:rPr>
      </w:pPr>
      <w:r w:rsidRPr="00E610DE">
        <w:rPr>
          <w:rFonts w:ascii="ITC Avant Garde" w:hAnsi="ITC Avant Garde" w:cs="ITC Avant Garde"/>
        </w:rPr>
        <w:t xml:space="preserve">Como principio general no debiera regularse la tecnología e imponer costos innecesarios a los usuarios. </w:t>
      </w:r>
      <w:r w:rsidRPr="00E610DE">
        <w:rPr>
          <w:rFonts w:ascii="ITC Avant Garde" w:hAnsi="ITC Avant Garde" w:cs="ITC Avant Garde"/>
        </w:rPr>
        <w:cr/>
      </w:r>
    </w:p>
    <w:p w:rsidR="00E610DE" w:rsidRPr="00E610DE" w:rsidRDefault="00E610DE" w:rsidP="00E610DE">
      <w:pPr>
        <w:pStyle w:val="Prrafodelista"/>
        <w:numPr>
          <w:ilvl w:val="0"/>
          <w:numId w:val="12"/>
        </w:numPr>
        <w:spacing w:line="276" w:lineRule="auto"/>
        <w:ind w:left="567"/>
        <w:jc w:val="both"/>
        <w:rPr>
          <w:rFonts w:ascii="ITC Avant Garde" w:eastAsia="SimSun" w:hAnsi="ITC Avant Garde" w:cs="ITC Avant Garde"/>
          <w:lang w:val="es-ES"/>
        </w:rPr>
      </w:pPr>
      <w:r w:rsidRPr="00E610DE">
        <w:rPr>
          <w:rFonts w:ascii="ITC Avant Garde" w:hAnsi="ITC Avant Garde" w:cs="ITC Avant Garde"/>
        </w:rPr>
        <w:t>Si a pesar de ello ha de implementarse este escenario, la regulación no debe ser retroactiva.</w:t>
      </w:r>
      <w:r w:rsidRPr="00E610DE">
        <w:rPr>
          <w:rFonts w:ascii="ITC Avant Garde" w:hAnsi="ITC Avant Garde" w:cs="ITC Avant Garde"/>
        </w:rPr>
        <w:cr/>
      </w:r>
    </w:p>
    <w:p w:rsidR="00E610DE" w:rsidRPr="00E610DE" w:rsidRDefault="00E610DE" w:rsidP="00E610DE">
      <w:pPr>
        <w:pStyle w:val="Prrafodelista"/>
        <w:numPr>
          <w:ilvl w:val="0"/>
          <w:numId w:val="12"/>
        </w:numPr>
        <w:spacing w:line="276" w:lineRule="auto"/>
        <w:ind w:left="567"/>
        <w:jc w:val="both"/>
        <w:rPr>
          <w:rFonts w:ascii="ITC Avant Garde" w:eastAsia="SimSun" w:hAnsi="ITC Avant Garde" w:cs="ITC Avant Garde"/>
          <w:lang w:val="es-ES"/>
        </w:rPr>
      </w:pPr>
      <w:r w:rsidRPr="00E610DE">
        <w:rPr>
          <w:rFonts w:ascii="ITC Avant Garde" w:hAnsi="ITC Avant Garde" w:cs="ITC Avant Garde"/>
        </w:rPr>
        <w:t xml:space="preserve">Además, se debe considerar el derecho de todos los usuarios a la portabilidad. Los ETM que soporten el estándar tecnológico LTE deben estar preparados para conectarse a cualquier red, en cualquier banda y en cualquier tecnología; por esta razón, los </w:t>
      </w:r>
      <w:proofErr w:type="spellStart"/>
      <w:r w:rsidRPr="00E610DE">
        <w:rPr>
          <w:rFonts w:ascii="ITC Avant Garde" w:hAnsi="ITC Avant Garde" w:cs="ITC Avant Garde"/>
        </w:rPr>
        <w:t>ETMs</w:t>
      </w:r>
      <w:proofErr w:type="spellEnd"/>
      <w:r w:rsidRPr="00E610DE">
        <w:rPr>
          <w:rFonts w:ascii="ITC Avant Garde" w:hAnsi="ITC Avant Garde" w:cs="ITC Avant Garde"/>
        </w:rPr>
        <w:t xml:space="preserve"> que soporten el estándar tecnológico LTE y se comercialicen en México, deberán contemplar su utilización con todas las bandas de frecuencias que hayan sido concesionadas y se encuentren disponibles para la prestación de los mismos servicios.</w:t>
      </w:r>
    </w:p>
    <w:p w:rsidR="00E610DE" w:rsidRDefault="00E610DE" w:rsidP="00E610DE">
      <w:pPr>
        <w:spacing w:line="276" w:lineRule="auto"/>
        <w:jc w:val="both"/>
        <w:rPr>
          <w:rFonts w:ascii="ITC Avant Garde" w:hAnsi="ITC Avant Garde" w:cs="ITC Avant Garde"/>
          <w:b/>
          <w:sz w:val="20"/>
          <w:szCs w:val="20"/>
        </w:rPr>
      </w:pPr>
      <w:r>
        <w:rPr>
          <w:rFonts w:ascii="ITC Avant Garde" w:hAnsi="ITC Avant Garde" w:cs="ITC Avant Garde"/>
          <w:b/>
          <w:sz w:val="20"/>
          <w:szCs w:val="20"/>
        </w:rPr>
        <w:t>Respuesta:</w:t>
      </w:r>
    </w:p>
    <w:p w:rsidR="00121AB4" w:rsidRDefault="00E610DE" w:rsidP="00E610DE">
      <w:pPr>
        <w:spacing w:line="276" w:lineRule="auto"/>
        <w:jc w:val="both"/>
        <w:rPr>
          <w:rFonts w:ascii="ITC Avant Garde" w:hAnsi="ITC Avant Garde" w:cs="ITC Avant Garde"/>
          <w:sz w:val="20"/>
          <w:szCs w:val="20"/>
        </w:rPr>
      </w:pPr>
      <w:r w:rsidRPr="00E610DE">
        <w:rPr>
          <w:rFonts w:ascii="ITC Avant Garde" w:hAnsi="ITC Avant Garde" w:cs="ITC Avant Garde"/>
          <w:sz w:val="20"/>
          <w:szCs w:val="20"/>
        </w:rPr>
        <w:t xml:space="preserve">No se </w:t>
      </w:r>
      <w:r w:rsidR="008F7BA9">
        <w:rPr>
          <w:rFonts w:ascii="ITC Avant Garde" w:hAnsi="ITC Avant Garde" w:cs="ITC Avant Garde"/>
          <w:sz w:val="20"/>
          <w:szCs w:val="20"/>
        </w:rPr>
        <w:t>considera</w:t>
      </w:r>
      <w:r w:rsidR="00121AB4">
        <w:rPr>
          <w:rFonts w:ascii="ITC Avant Garde" w:hAnsi="ITC Avant Garde" w:cs="ITC Avant Garde"/>
          <w:sz w:val="20"/>
          <w:szCs w:val="20"/>
        </w:rPr>
        <w:t>.</w:t>
      </w:r>
    </w:p>
    <w:p w:rsidR="00E610DE" w:rsidRDefault="00121AB4" w:rsidP="00E610DE">
      <w:pPr>
        <w:spacing w:line="276" w:lineRule="auto"/>
        <w:jc w:val="both"/>
        <w:rPr>
          <w:rFonts w:ascii="ITC Avant Garde" w:hAnsi="ITC Avant Garde" w:cs="ITC Avant Garde"/>
          <w:sz w:val="20"/>
          <w:szCs w:val="20"/>
        </w:rPr>
      </w:pPr>
      <w:r>
        <w:rPr>
          <w:rFonts w:ascii="ITC Avant Garde" w:hAnsi="ITC Avant Garde" w:cs="ITC Avant Garde"/>
          <w:sz w:val="20"/>
          <w:szCs w:val="20"/>
        </w:rPr>
        <w:lastRenderedPageBreak/>
        <w:t>No</w:t>
      </w:r>
      <w:r w:rsidR="008F7BA9">
        <w:rPr>
          <w:rFonts w:ascii="ITC Avant Garde" w:hAnsi="ITC Avant Garde" w:cs="ITC Avant Garde"/>
          <w:sz w:val="20"/>
          <w:szCs w:val="20"/>
        </w:rPr>
        <w:t xml:space="preserve"> se </w:t>
      </w:r>
      <w:r w:rsidR="00E610DE" w:rsidRPr="00E610DE">
        <w:rPr>
          <w:rFonts w:ascii="ITC Avant Garde" w:hAnsi="ITC Avant Garde" w:cs="ITC Avant Garde"/>
          <w:sz w:val="20"/>
          <w:szCs w:val="20"/>
        </w:rPr>
        <w:t>está regulando por tecnología y la DT no será retroactiva.</w:t>
      </w:r>
      <w:r w:rsidR="00F32792">
        <w:rPr>
          <w:rFonts w:ascii="ITC Avant Garde" w:hAnsi="ITC Avant Garde" w:cs="ITC Avant Garde"/>
          <w:sz w:val="20"/>
          <w:szCs w:val="20"/>
        </w:rPr>
        <w:t xml:space="preserve"> Al respecto el transitorio SEGUNDO establece lo siguiente:</w:t>
      </w:r>
    </w:p>
    <w:p w:rsidR="00F32792" w:rsidRPr="00F32792" w:rsidRDefault="00F32792" w:rsidP="00F32792">
      <w:pPr>
        <w:spacing w:line="276" w:lineRule="auto"/>
        <w:ind w:left="708"/>
        <w:jc w:val="both"/>
        <w:rPr>
          <w:rFonts w:ascii="ITC Avant Garde" w:hAnsi="ITC Avant Garde" w:cs="ITC Avant Garde"/>
          <w:b/>
          <w:i/>
          <w:sz w:val="20"/>
          <w:szCs w:val="20"/>
        </w:rPr>
      </w:pPr>
      <w:r w:rsidRPr="00F32792">
        <w:rPr>
          <w:rFonts w:ascii="ITC Avant Garde" w:hAnsi="ITC Avant Garde" w:cs="ITC Avant Garde"/>
          <w:b/>
          <w:i/>
          <w:sz w:val="20"/>
          <w:szCs w:val="20"/>
        </w:rPr>
        <w:t xml:space="preserve">“Los Certificados de Conformidad y Homologación emitidos conforme a la Norma Oficial Mexicana NOM-081-SCT1-1993, Sistemas de radiotelefonía con tecnología celular que operan en la banda de 800 MHz, mantendrán su vigencia hasta el término señalado en ellos, y no estarán sujetos a su seguimiento. Dichos certificados no podrán ampliarse o utilizarse para equipos de la misma familia a partir de la entrada en vigor de la presente DT IFT­011­2017. Parte </w:t>
      </w:r>
      <w:r w:rsidR="002E27EA" w:rsidRPr="00F32792">
        <w:rPr>
          <w:rFonts w:ascii="ITC Avant Garde" w:hAnsi="ITC Avant Garde" w:cs="ITC Avant Garde"/>
          <w:b/>
          <w:i/>
          <w:sz w:val="20"/>
          <w:szCs w:val="20"/>
        </w:rPr>
        <w:t>2. ¨</w:t>
      </w:r>
    </w:p>
    <w:p w:rsidR="00E610DE" w:rsidRPr="00E610DE" w:rsidRDefault="00E610DE" w:rsidP="00E610DE">
      <w:pPr>
        <w:spacing w:line="276" w:lineRule="auto"/>
        <w:jc w:val="both"/>
        <w:rPr>
          <w:rFonts w:ascii="ITC Avant Garde" w:hAnsi="ITC Avant Garde" w:cs="ITC Avant Garde"/>
          <w:b/>
          <w:sz w:val="20"/>
          <w:szCs w:val="20"/>
        </w:rPr>
      </w:pPr>
      <w:r w:rsidRPr="00E610DE">
        <w:rPr>
          <w:rFonts w:ascii="ITC Avant Garde" w:hAnsi="ITC Avant Garde" w:cs="ITC Avant Garde"/>
          <w:sz w:val="20"/>
          <w:szCs w:val="20"/>
        </w:rPr>
        <w:t xml:space="preserve">La DT </w:t>
      </w:r>
      <w:r w:rsidR="008F111B">
        <w:rPr>
          <w:rFonts w:ascii="ITC Avant Garde" w:hAnsi="ITC Avant Garde" w:cs="ITC Avant Garde"/>
          <w:sz w:val="20"/>
          <w:szCs w:val="20"/>
        </w:rPr>
        <w:t>en su</w:t>
      </w:r>
      <w:r w:rsidRPr="00E610DE">
        <w:rPr>
          <w:rFonts w:ascii="ITC Avant Garde" w:hAnsi="ITC Avant Garde" w:cs="ITC Avant Garde"/>
          <w:sz w:val="20"/>
          <w:szCs w:val="20"/>
        </w:rPr>
        <w:t xml:space="preserve"> numeral 4.1.1. No bloqueo de bandas de frecuencia de operación</w:t>
      </w:r>
      <w:r w:rsidR="008F111B">
        <w:rPr>
          <w:rFonts w:ascii="ITC Avant Garde" w:hAnsi="ITC Avant Garde" w:cs="ITC Avant Garde"/>
          <w:sz w:val="20"/>
          <w:szCs w:val="20"/>
        </w:rPr>
        <w:t>,</w:t>
      </w:r>
      <w:r w:rsidRPr="00E610DE">
        <w:rPr>
          <w:rFonts w:ascii="ITC Avant Garde" w:hAnsi="ITC Avant Garde" w:cs="ITC Avant Garde"/>
          <w:sz w:val="20"/>
          <w:szCs w:val="20"/>
        </w:rPr>
        <w:t xml:space="preserve"> establece que </w:t>
      </w:r>
      <w:r w:rsidR="009F1198">
        <w:rPr>
          <w:rFonts w:ascii="ITC Avant Garde" w:hAnsi="ITC Avant Garde" w:cs="ITC Avant Garde"/>
          <w:sz w:val="20"/>
          <w:szCs w:val="20"/>
        </w:rPr>
        <w:t>los</w:t>
      </w:r>
      <w:r w:rsidRPr="00E610DE">
        <w:rPr>
          <w:rFonts w:ascii="ITC Avant Garde" w:hAnsi="ITC Avant Garde" w:cs="ITC Avant Garde"/>
          <w:sz w:val="20"/>
          <w:szCs w:val="20"/>
        </w:rPr>
        <w:t xml:space="preserve"> ETM que soporte</w:t>
      </w:r>
      <w:r w:rsidR="00121AB4">
        <w:rPr>
          <w:rFonts w:ascii="ITC Avant Garde" w:hAnsi="ITC Avant Garde" w:cs="ITC Avant Garde"/>
          <w:sz w:val="20"/>
          <w:szCs w:val="20"/>
        </w:rPr>
        <w:t>n</w:t>
      </w:r>
      <w:r w:rsidRPr="00E610DE">
        <w:rPr>
          <w:rFonts w:ascii="ITC Avant Garde" w:hAnsi="ITC Avant Garde" w:cs="ITC Avant Garde"/>
          <w:sz w:val="20"/>
          <w:szCs w:val="20"/>
        </w:rPr>
        <w:t xml:space="preserve"> </w:t>
      </w:r>
      <w:r w:rsidR="00121AB4" w:rsidRPr="00121AB4">
        <w:rPr>
          <w:rFonts w:ascii="ITC Avant Garde" w:hAnsi="ITC Avant Garde" w:cs="ITC Avant Garde"/>
          <w:sz w:val="20"/>
          <w:szCs w:val="20"/>
        </w:rPr>
        <w:t>alguna(s) de las bandas de frecuencias de las establecidas en la Tabla 2, deben estar habilitados de tal forma que no exista ningún tipo de bloqueo o restricción para su operación en dichas bandas dentro del territorio nacional</w:t>
      </w:r>
      <w:r w:rsidRPr="00E610DE">
        <w:rPr>
          <w:rFonts w:ascii="ITC Avant Garde" w:hAnsi="ITC Avant Garde" w:cs="ITC Avant Garde"/>
          <w:b/>
          <w:sz w:val="20"/>
          <w:szCs w:val="20"/>
        </w:rPr>
        <w:t>.</w:t>
      </w:r>
    </w:p>
    <w:p w:rsidR="00E610DE" w:rsidRDefault="00E610DE" w:rsidP="00E610DE">
      <w:pPr>
        <w:spacing w:line="276" w:lineRule="auto"/>
        <w:jc w:val="both"/>
        <w:rPr>
          <w:rFonts w:ascii="ITC Avant Garde" w:hAnsi="ITC Avant Garde" w:cs="ITC Avant Garde"/>
          <w:b/>
          <w:sz w:val="20"/>
          <w:szCs w:val="20"/>
        </w:rPr>
      </w:pPr>
    </w:p>
    <w:p w:rsidR="00CE5965" w:rsidRPr="00C254F6" w:rsidRDefault="00CE5965" w:rsidP="00CE5965">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CE5965" w:rsidRPr="00CE5965" w:rsidRDefault="00CE5965" w:rsidP="00CE5965">
      <w:pPr>
        <w:spacing w:line="276" w:lineRule="auto"/>
        <w:jc w:val="both"/>
        <w:rPr>
          <w:rFonts w:ascii="ITC Avant Garde" w:eastAsia="Times New Roman" w:hAnsi="ITC Avant Garde" w:cs="ITC Avant Garde"/>
          <w:color w:val="000000"/>
          <w:sz w:val="20"/>
          <w:szCs w:val="20"/>
          <w:lang w:val="es-MX"/>
        </w:rPr>
      </w:pPr>
      <w:r w:rsidRPr="00CE5965">
        <w:rPr>
          <w:rFonts w:ascii="ITC Avant Garde" w:eastAsia="Times New Roman" w:hAnsi="ITC Avant Garde" w:cs="ITC Avant Garde"/>
          <w:color w:val="000000"/>
          <w:sz w:val="20"/>
          <w:szCs w:val="20"/>
          <w:lang w:val="es-MX"/>
        </w:rPr>
        <w:t>ALTÁN, PROMTEL, ANATEL, AXTEL, OPERBES, DIVERACY, CLUMTI y VIRTUALWARE</w:t>
      </w:r>
      <w:r w:rsidR="00762CDF">
        <w:rPr>
          <w:rFonts w:ascii="ITC Avant Garde" w:eastAsia="Times New Roman" w:hAnsi="ITC Avant Garde" w:cs="ITC Avant Garde"/>
          <w:color w:val="000000"/>
          <w:sz w:val="20"/>
          <w:szCs w:val="20"/>
          <w:lang w:val="es-MX"/>
        </w:rPr>
        <w:t>.</w:t>
      </w:r>
    </w:p>
    <w:p w:rsidR="00CE5965" w:rsidRPr="00CE5965" w:rsidRDefault="00CE5965" w:rsidP="00CE5965">
      <w:pPr>
        <w:spacing w:line="276" w:lineRule="auto"/>
        <w:jc w:val="both"/>
        <w:rPr>
          <w:rFonts w:ascii="ITC Avant Garde" w:hAnsi="ITC Avant Garde" w:cs="ITC Avant Garde"/>
          <w:sz w:val="20"/>
          <w:szCs w:val="20"/>
        </w:rPr>
      </w:pPr>
      <w:r w:rsidRPr="00CE5965">
        <w:rPr>
          <w:rFonts w:ascii="ITC Avant Garde" w:hAnsi="ITC Avant Garde" w:cs="ITC Avant Garde"/>
          <w:sz w:val="20"/>
          <w:szCs w:val="20"/>
        </w:rPr>
        <w:t>Los participantes sugirieron respecto del punto Soporte de la</w:t>
      </w:r>
      <w:r w:rsidR="00762CDF">
        <w:rPr>
          <w:rFonts w:ascii="ITC Avant Garde" w:hAnsi="ITC Avant Garde" w:cs="ITC Avant Garde"/>
          <w:sz w:val="20"/>
          <w:szCs w:val="20"/>
        </w:rPr>
        <w:t>s</w:t>
      </w:r>
      <w:r w:rsidRPr="00CE5965">
        <w:rPr>
          <w:rFonts w:ascii="ITC Avant Garde" w:hAnsi="ITC Avant Garde" w:cs="ITC Avant Garde"/>
          <w:sz w:val="20"/>
          <w:szCs w:val="20"/>
        </w:rPr>
        <w:t xml:space="preserve"> banda</w:t>
      </w:r>
      <w:r w:rsidR="00762CDF">
        <w:rPr>
          <w:rFonts w:ascii="ITC Avant Garde" w:hAnsi="ITC Avant Garde" w:cs="ITC Avant Garde"/>
          <w:sz w:val="20"/>
          <w:szCs w:val="20"/>
        </w:rPr>
        <w:t>s</w:t>
      </w:r>
      <w:r w:rsidRPr="00CE5965">
        <w:rPr>
          <w:rFonts w:ascii="ITC Avant Garde" w:hAnsi="ITC Avant Garde" w:cs="ITC Avant Garde"/>
          <w:sz w:val="20"/>
          <w:szCs w:val="20"/>
        </w:rPr>
        <w:t xml:space="preserve"> </w:t>
      </w:r>
      <w:r w:rsidR="00762CDF">
        <w:rPr>
          <w:rFonts w:ascii="ITC Avant Garde" w:hAnsi="ITC Avant Garde" w:cs="ITC Avant Garde"/>
          <w:sz w:val="20"/>
          <w:szCs w:val="20"/>
        </w:rPr>
        <w:t>de frecuencias</w:t>
      </w:r>
      <w:r w:rsidRPr="00CE5965">
        <w:rPr>
          <w:rFonts w:ascii="ITC Avant Garde" w:hAnsi="ITC Avant Garde" w:cs="ITC Avant Garde"/>
          <w:sz w:val="20"/>
          <w:szCs w:val="20"/>
        </w:rPr>
        <w:t xml:space="preserve"> del Anteproyecto, eliminar la referencia a la versión 11del estándar LTE, y dejarlo abierto para que cualquier terminal que se comercialice en el país que soporte dicha tecnología deba incluir la banda 28, ello con la finalidad de eliminar cualquier limitación que pudiera darse derivada de la existencia de categorías anteriores.</w:t>
      </w:r>
    </w:p>
    <w:p w:rsidR="00CE5965" w:rsidRDefault="00CE5965" w:rsidP="00CE5965">
      <w:pPr>
        <w:spacing w:line="276" w:lineRule="auto"/>
        <w:jc w:val="both"/>
        <w:rPr>
          <w:rFonts w:ascii="ITC Avant Garde" w:hAnsi="ITC Avant Garde" w:cs="ITC Avant Garde"/>
          <w:b/>
          <w:sz w:val="20"/>
          <w:szCs w:val="20"/>
        </w:rPr>
      </w:pPr>
      <w:r>
        <w:rPr>
          <w:rFonts w:ascii="ITC Avant Garde" w:hAnsi="ITC Avant Garde" w:cs="ITC Avant Garde"/>
          <w:b/>
          <w:sz w:val="20"/>
          <w:szCs w:val="20"/>
        </w:rPr>
        <w:t>Respuesta:</w:t>
      </w:r>
    </w:p>
    <w:p w:rsidR="00CE5965" w:rsidRDefault="00762CDF" w:rsidP="00CE5965">
      <w:pPr>
        <w:spacing w:line="276" w:lineRule="auto"/>
        <w:jc w:val="both"/>
        <w:rPr>
          <w:rFonts w:ascii="ITC Avant Garde" w:hAnsi="ITC Avant Garde" w:cs="ITC Avant Garde"/>
          <w:sz w:val="20"/>
          <w:szCs w:val="20"/>
        </w:rPr>
      </w:pPr>
      <w:r>
        <w:rPr>
          <w:rFonts w:ascii="ITC Avant Garde" w:hAnsi="ITC Avant Garde" w:cs="ITC Avant Garde"/>
          <w:sz w:val="20"/>
          <w:szCs w:val="20"/>
        </w:rPr>
        <w:t>S</w:t>
      </w:r>
      <w:r w:rsidR="00CE5965">
        <w:rPr>
          <w:rFonts w:ascii="ITC Avant Garde" w:hAnsi="ITC Avant Garde" w:cs="ITC Avant Garde"/>
          <w:sz w:val="20"/>
          <w:szCs w:val="20"/>
        </w:rPr>
        <w:t>e considera.</w:t>
      </w:r>
    </w:p>
    <w:p w:rsidR="00CE5965" w:rsidRDefault="00762CDF" w:rsidP="00294A29">
      <w:pPr>
        <w:spacing w:line="276" w:lineRule="auto"/>
        <w:jc w:val="both"/>
        <w:rPr>
          <w:rFonts w:ascii="ITC Avant Garde" w:hAnsi="ITC Avant Garde" w:cs="ITC Avant Garde"/>
          <w:sz w:val="20"/>
          <w:szCs w:val="20"/>
        </w:rPr>
      </w:pPr>
      <w:r>
        <w:rPr>
          <w:rFonts w:ascii="ITC Avant Garde" w:hAnsi="ITC Avant Garde" w:cs="ITC Avant Garde"/>
          <w:sz w:val="20"/>
          <w:szCs w:val="20"/>
        </w:rPr>
        <w:t>E</w:t>
      </w:r>
      <w:r w:rsidR="008F111B">
        <w:rPr>
          <w:rFonts w:ascii="ITC Avant Garde" w:hAnsi="ITC Avant Garde" w:cs="ITC Avant Garde"/>
          <w:sz w:val="20"/>
          <w:szCs w:val="20"/>
        </w:rPr>
        <w:t xml:space="preserve">l texto correspondiente se </w:t>
      </w:r>
      <w:r>
        <w:rPr>
          <w:rFonts w:ascii="ITC Avant Garde" w:hAnsi="ITC Avant Garde" w:cs="ITC Avant Garde"/>
          <w:sz w:val="20"/>
          <w:szCs w:val="20"/>
        </w:rPr>
        <w:t xml:space="preserve">modificó y </w:t>
      </w:r>
      <w:r w:rsidR="008F111B">
        <w:rPr>
          <w:rFonts w:ascii="ITC Avant Garde" w:hAnsi="ITC Avant Garde" w:cs="ITC Avant Garde"/>
          <w:sz w:val="20"/>
          <w:szCs w:val="20"/>
        </w:rPr>
        <w:t>encuentra en los siguientes términos:</w:t>
      </w:r>
    </w:p>
    <w:p w:rsidR="008F111B" w:rsidRPr="001A4E11" w:rsidRDefault="00715CFC" w:rsidP="001A4E11">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r w:rsidR="008F111B" w:rsidRPr="001A4E11">
        <w:rPr>
          <w:rFonts w:ascii="ITC Avant Garde" w:hAnsi="ITC Avant Garde" w:cs="ITC Avant Garde"/>
          <w:b/>
          <w:i/>
          <w:sz w:val="20"/>
          <w:szCs w:val="20"/>
        </w:rPr>
        <w:t>4.1.2. Soporte de las banda</w:t>
      </w:r>
      <w:r w:rsidR="000A6A86">
        <w:rPr>
          <w:rFonts w:ascii="ITC Avant Garde" w:hAnsi="ITC Avant Garde" w:cs="ITC Avant Garde"/>
          <w:b/>
          <w:i/>
          <w:sz w:val="20"/>
          <w:szCs w:val="20"/>
        </w:rPr>
        <w:t xml:space="preserve"> 28 (700 MHz) APT</w:t>
      </w:r>
      <w:r w:rsidR="008F111B" w:rsidRPr="001A4E11">
        <w:rPr>
          <w:rFonts w:ascii="ITC Avant Garde" w:hAnsi="ITC Avant Garde" w:cs="ITC Avant Garde"/>
          <w:b/>
          <w:i/>
          <w:sz w:val="20"/>
          <w:szCs w:val="20"/>
        </w:rPr>
        <w:t>.</w:t>
      </w:r>
    </w:p>
    <w:p w:rsidR="008F111B" w:rsidRPr="001A4E11" w:rsidRDefault="00D36B02" w:rsidP="001A4E11">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L</w:t>
      </w:r>
      <w:r w:rsidR="008F111B" w:rsidRPr="001A4E11">
        <w:rPr>
          <w:rFonts w:ascii="ITC Avant Garde" w:hAnsi="ITC Avant Garde" w:cs="ITC Avant Garde"/>
          <w:b/>
          <w:i/>
          <w:sz w:val="20"/>
          <w:szCs w:val="20"/>
        </w:rPr>
        <w:t xml:space="preserve">os ETM que </w:t>
      </w:r>
      <w:r w:rsidR="0043649B" w:rsidRPr="0043649B">
        <w:rPr>
          <w:rFonts w:ascii="ITC Avant Garde" w:hAnsi="ITC Avant Garde" w:cs="ITC Avant Garde"/>
          <w:b/>
          <w:i/>
          <w:sz w:val="20"/>
          <w:szCs w:val="20"/>
        </w:rPr>
        <w:t>se utilicen particularmente cerca del oído</w:t>
      </w:r>
      <w:r w:rsidR="0043649B">
        <w:rPr>
          <w:rFonts w:ascii="ITC Avant Garde" w:hAnsi="ITC Avant Garde" w:cs="ITC Avant Garde"/>
          <w:b/>
          <w:i/>
          <w:sz w:val="20"/>
          <w:szCs w:val="20"/>
        </w:rPr>
        <w:t xml:space="preserve"> y </w:t>
      </w:r>
      <w:bookmarkStart w:id="0" w:name="_GoBack"/>
      <w:bookmarkEnd w:id="0"/>
      <w:r w:rsidR="008F111B" w:rsidRPr="001A4E11">
        <w:rPr>
          <w:rFonts w:ascii="ITC Avant Garde" w:hAnsi="ITC Avant Garde" w:cs="ITC Avant Garde"/>
          <w:b/>
          <w:i/>
          <w:sz w:val="20"/>
          <w:szCs w:val="20"/>
        </w:rPr>
        <w:t>soporten el estándar tecnológico LTE deben soportar y tener habilitada la banda 28 (700 MHz) APT.</w:t>
      </w:r>
      <w:r w:rsidR="00715CFC">
        <w:rPr>
          <w:rFonts w:ascii="ITC Avant Garde" w:hAnsi="ITC Avant Garde" w:cs="ITC Avant Garde"/>
          <w:b/>
          <w:i/>
          <w:sz w:val="20"/>
          <w:szCs w:val="20"/>
        </w:rPr>
        <w:t>”</w:t>
      </w:r>
    </w:p>
    <w:p w:rsidR="008F111B" w:rsidRPr="00CE5965" w:rsidRDefault="008F111B" w:rsidP="00CE5965">
      <w:pPr>
        <w:spacing w:line="276" w:lineRule="auto"/>
        <w:jc w:val="both"/>
        <w:rPr>
          <w:rFonts w:ascii="ITC Avant Garde" w:hAnsi="ITC Avant Garde" w:cs="ITC Avant Garde"/>
          <w:sz w:val="20"/>
          <w:szCs w:val="20"/>
        </w:rPr>
      </w:pPr>
    </w:p>
    <w:p w:rsidR="00793E6B" w:rsidRPr="00793E6B" w:rsidRDefault="00793E6B" w:rsidP="00793E6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793E6B">
        <w:rPr>
          <w:rFonts w:ascii="ITC Avant Garde" w:hAnsi="ITC Avant Garde" w:cs="ITC Avant Garde"/>
          <w:b/>
          <w:sz w:val="20"/>
          <w:szCs w:val="20"/>
        </w:rPr>
        <w:t>Numeral 4.2. Tolerancia de frecuencia de operación.</w:t>
      </w:r>
    </w:p>
    <w:p w:rsidR="008C1190" w:rsidRPr="00C254F6" w:rsidRDefault="008C1190" w:rsidP="008C1190">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793E6B" w:rsidRPr="00793E6B" w:rsidRDefault="00793E6B" w:rsidP="00793E6B">
      <w:pPr>
        <w:spacing w:line="276" w:lineRule="auto"/>
        <w:jc w:val="both"/>
        <w:rPr>
          <w:rFonts w:ascii="ITC Avant Garde" w:hAnsi="ITC Avant Garde" w:cs="ITC Avant Garde"/>
          <w:sz w:val="20"/>
          <w:szCs w:val="20"/>
        </w:rPr>
      </w:pPr>
      <w:r w:rsidRPr="00793E6B">
        <w:rPr>
          <w:rFonts w:ascii="ITC Avant Garde" w:hAnsi="ITC Avant Garde" w:cs="ITC Avant Garde"/>
          <w:sz w:val="20"/>
          <w:szCs w:val="20"/>
        </w:rPr>
        <w:t>CANIETI y ADVANCE</w:t>
      </w:r>
    </w:p>
    <w:p w:rsidR="004A085D" w:rsidRDefault="008C1190" w:rsidP="00793E6B">
      <w:pPr>
        <w:pStyle w:val="Textocomentario"/>
        <w:rPr>
          <w:rFonts w:ascii="ITC Avant Garde" w:eastAsia="Times New Roman" w:hAnsi="ITC Avant Garde" w:cs="ITC Avant Garde"/>
          <w:color w:val="000000"/>
          <w:lang w:val="es-MX"/>
        </w:rPr>
      </w:pPr>
      <w:r w:rsidRPr="008C1190">
        <w:rPr>
          <w:rFonts w:ascii="ITC Avant Garde" w:eastAsia="Times New Roman" w:hAnsi="ITC Avant Garde" w:cs="ITC Avant Garde"/>
          <w:color w:val="000000"/>
          <w:lang w:val="es-MX"/>
        </w:rPr>
        <w:t>Los participantes sugieren separar las tolerancias de acuerdo a la tecnología (2G, 3G, 4G, LTE) y la frecuencia en caso de que fuesen diferentes junto con hacer referencia al estándar de donde se tomaron dichas tolerancias</w:t>
      </w:r>
    </w:p>
    <w:p w:rsidR="00793E6B" w:rsidRPr="00793E6B" w:rsidRDefault="00793E6B" w:rsidP="00793E6B">
      <w:pPr>
        <w:spacing w:line="276" w:lineRule="auto"/>
        <w:jc w:val="both"/>
        <w:rPr>
          <w:rFonts w:ascii="ITC Avant Garde" w:hAnsi="ITC Avant Garde" w:cs="ITC Avant Garde"/>
          <w:b/>
          <w:sz w:val="20"/>
          <w:szCs w:val="20"/>
        </w:rPr>
      </w:pPr>
      <w:r w:rsidRPr="00793E6B">
        <w:rPr>
          <w:rFonts w:ascii="ITC Avant Garde" w:hAnsi="ITC Avant Garde" w:cs="ITC Avant Garde"/>
          <w:b/>
          <w:sz w:val="20"/>
          <w:szCs w:val="20"/>
        </w:rPr>
        <w:t>Respuesta:</w:t>
      </w:r>
    </w:p>
    <w:p w:rsidR="00793E6B" w:rsidRPr="008D4E6B" w:rsidRDefault="00793E6B" w:rsidP="00793E6B">
      <w:pPr>
        <w:pStyle w:val="Textocomentario"/>
        <w:rPr>
          <w:rFonts w:ascii="ITC Avant Garde" w:eastAsia="Times New Roman" w:hAnsi="ITC Avant Garde" w:cs="ITC Avant Garde"/>
          <w:color w:val="000000"/>
          <w:lang w:val="es-MX"/>
        </w:rPr>
      </w:pPr>
      <w:r w:rsidRPr="008D4E6B">
        <w:rPr>
          <w:rFonts w:ascii="ITC Avant Garde" w:eastAsia="Times New Roman" w:hAnsi="ITC Avant Garde" w:cs="ITC Avant Garde"/>
          <w:color w:val="000000"/>
          <w:lang w:val="es-MX"/>
        </w:rPr>
        <w:t>No se considera.</w:t>
      </w:r>
    </w:p>
    <w:p w:rsidR="00793E6B" w:rsidRPr="008D4E6B" w:rsidRDefault="00793E6B" w:rsidP="00793E6B">
      <w:pPr>
        <w:pStyle w:val="Textocomentario"/>
        <w:rPr>
          <w:rFonts w:ascii="ITC Avant Garde" w:eastAsia="Times New Roman" w:hAnsi="ITC Avant Garde" w:cs="ITC Avant Garde"/>
          <w:color w:val="000000"/>
          <w:lang w:val="es-MX"/>
        </w:rPr>
      </w:pPr>
      <w:r w:rsidRPr="008D4E6B">
        <w:rPr>
          <w:rFonts w:ascii="ITC Avant Garde" w:eastAsia="Times New Roman" w:hAnsi="ITC Avant Garde" w:cs="ITC Avant Garde"/>
          <w:color w:val="000000"/>
          <w:lang w:val="es-MX"/>
        </w:rPr>
        <w:lastRenderedPageBreak/>
        <w:t>La DT no regula por tecnología sino por banda de frecuencia de operación.</w:t>
      </w:r>
    </w:p>
    <w:p w:rsidR="008658B2" w:rsidRPr="00C254F6" w:rsidRDefault="008658B2" w:rsidP="008658B2">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 xml:space="preserve">Participantes: </w:t>
      </w:r>
    </w:p>
    <w:p w:rsidR="008658B2" w:rsidRPr="008D4E6B" w:rsidRDefault="00C84FA4" w:rsidP="008D4E6B">
      <w:pPr>
        <w:pStyle w:val="Textocomentario"/>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ANCE y ANATEL</w:t>
      </w:r>
    </w:p>
    <w:p w:rsidR="00793E6B" w:rsidRDefault="007D311A" w:rsidP="00737CED">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Los </w:t>
      </w:r>
      <w:r w:rsidR="008658B2">
        <w:rPr>
          <w:rFonts w:ascii="ITC Avant Garde" w:eastAsia="Times New Roman" w:hAnsi="ITC Avant Garde" w:cs="ITC Avant Garde"/>
          <w:color w:val="000000"/>
          <w:lang w:val="es-MX"/>
        </w:rPr>
        <w:t>participante</w:t>
      </w:r>
      <w:r>
        <w:rPr>
          <w:rFonts w:ascii="ITC Avant Garde" w:eastAsia="Times New Roman" w:hAnsi="ITC Avant Garde" w:cs="ITC Avant Garde"/>
          <w:color w:val="000000"/>
          <w:lang w:val="es-MX"/>
        </w:rPr>
        <w:t>s</w:t>
      </w:r>
      <w:r w:rsidR="008658B2">
        <w:rPr>
          <w:rFonts w:ascii="ITC Avant Garde" w:eastAsia="Times New Roman" w:hAnsi="ITC Avant Garde" w:cs="ITC Avant Garde"/>
          <w:color w:val="000000"/>
          <w:lang w:val="es-MX"/>
        </w:rPr>
        <w:t xml:space="preserve"> sugiere</w:t>
      </w:r>
      <w:r>
        <w:rPr>
          <w:rFonts w:ascii="ITC Avant Garde" w:eastAsia="Times New Roman" w:hAnsi="ITC Avant Garde" w:cs="ITC Avant Garde"/>
          <w:color w:val="000000"/>
          <w:lang w:val="es-MX"/>
        </w:rPr>
        <w:t>n</w:t>
      </w:r>
      <w:r w:rsidR="008658B2">
        <w:rPr>
          <w:rFonts w:ascii="ITC Avant Garde" w:eastAsia="Times New Roman" w:hAnsi="ITC Avant Garde" w:cs="ITC Avant Garde"/>
          <w:color w:val="000000"/>
          <w:lang w:val="es-MX"/>
        </w:rPr>
        <w:t xml:space="preserve"> e</w:t>
      </w:r>
      <w:r w:rsidR="008658B2" w:rsidRPr="008658B2">
        <w:rPr>
          <w:rFonts w:ascii="ITC Avant Garde" w:eastAsia="Times New Roman" w:hAnsi="ITC Avant Garde" w:cs="ITC Avant Garde"/>
          <w:color w:val="000000"/>
          <w:lang w:val="es-MX"/>
        </w:rPr>
        <w:t xml:space="preserve">n la tabla 4, </w:t>
      </w:r>
      <w:r w:rsidR="008658B2">
        <w:rPr>
          <w:rFonts w:ascii="ITC Avant Garde" w:eastAsia="Times New Roman" w:hAnsi="ITC Avant Garde" w:cs="ITC Avant Garde"/>
          <w:color w:val="000000"/>
          <w:lang w:val="es-MX"/>
        </w:rPr>
        <w:t>incorporar la referencia a estándares internacionales.</w:t>
      </w:r>
    </w:p>
    <w:p w:rsidR="008D4E6B" w:rsidRPr="00793E6B" w:rsidRDefault="008D4E6B" w:rsidP="008D4E6B">
      <w:pPr>
        <w:spacing w:line="276" w:lineRule="auto"/>
        <w:jc w:val="both"/>
        <w:rPr>
          <w:rFonts w:ascii="ITC Avant Garde" w:hAnsi="ITC Avant Garde" w:cs="ITC Avant Garde"/>
          <w:b/>
          <w:sz w:val="20"/>
          <w:szCs w:val="20"/>
        </w:rPr>
      </w:pPr>
      <w:r w:rsidRPr="00793E6B">
        <w:rPr>
          <w:rFonts w:ascii="ITC Avant Garde" w:hAnsi="ITC Avant Garde" w:cs="ITC Avant Garde"/>
          <w:b/>
          <w:sz w:val="20"/>
          <w:szCs w:val="20"/>
        </w:rPr>
        <w:t>Respuesta:</w:t>
      </w:r>
    </w:p>
    <w:p w:rsidR="008D4E6B" w:rsidRPr="008D4E6B" w:rsidRDefault="008D4E6B" w:rsidP="008D4E6B">
      <w:pPr>
        <w:pStyle w:val="Textocomentario"/>
        <w:rPr>
          <w:rFonts w:ascii="ITC Avant Garde" w:eastAsia="Times New Roman" w:hAnsi="ITC Avant Garde" w:cs="ITC Avant Garde"/>
          <w:color w:val="000000"/>
          <w:lang w:val="es-MX"/>
        </w:rPr>
      </w:pPr>
      <w:r w:rsidRPr="008D4E6B">
        <w:rPr>
          <w:rFonts w:ascii="ITC Avant Garde" w:eastAsia="Times New Roman" w:hAnsi="ITC Avant Garde" w:cs="ITC Avant Garde"/>
          <w:color w:val="000000"/>
          <w:lang w:val="es-MX"/>
        </w:rPr>
        <w:t>Se considera.</w:t>
      </w:r>
    </w:p>
    <w:p w:rsidR="008D4E6B" w:rsidRDefault="008D4E6B" w:rsidP="008D4E6B">
      <w:pPr>
        <w:pStyle w:val="Textocomentario"/>
        <w:rPr>
          <w:rFonts w:ascii="ITC Avant Garde" w:eastAsia="Times New Roman" w:hAnsi="ITC Avant Garde" w:cs="ITC Avant Garde"/>
          <w:color w:val="000000"/>
          <w:lang w:val="es-MX"/>
        </w:rPr>
      </w:pPr>
      <w:r w:rsidRPr="008D4E6B">
        <w:rPr>
          <w:rFonts w:ascii="ITC Avant Garde" w:eastAsia="Times New Roman" w:hAnsi="ITC Avant Garde" w:cs="ITC Avant Garde"/>
          <w:color w:val="000000"/>
          <w:lang w:val="es-MX"/>
        </w:rPr>
        <w:t>Se agregaron las nota</w:t>
      </w:r>
      <w:r w:rsidR="004B6606">
        <w:rPr>
          <w:rFonts w:ascii="ITC Avant Garde" w:eastAsia="Times New Roman" w:hAnsi="ITC Avant Garde" w:cs="ITC Avant Garde"/>
          <w:color w:val="000000"/>
          <w:lang w:val="es-MX"/>
        </w:rPr>
        <w:t>s</w:t>
      </w:r>
      <w:r w:rsidRPr="008D4E6B">
        <w:rPr>
          <w:rFonts w:ascii="ITC Avant Garde" w:eastAsia="Times New Roman" w:hAnsi="ITC Avant Garde" w:cs="ITC Avant Garde"/>
          <w:color w:val="000000"/>
          <w:lang w:val="es-MX"/>
        </w:rPr>
        <w:t xml:space="preserve"> </w:t>
      </w:r>
      <w:r w:rsidR="001A4E11">
        <w:rPr>
          <w:rFonts w:ascii="ITC Avant Garde" w:eastAsia="Times New Roman" w:hAnsi="ITC Avant Garde" w:cs="ITC Avant Garde"/>
          <w:color w:val="000000"/>
          <w:lang w:val="es-MX"/>
        </w:rPr>
        <w:t>en el</w:t>
      </w:r>
      <w:r w:rsidRPr="008D4E6B">
        <w:rPr>
          <w:rFonts w:ascii="ITC Avant Garde" w:eastAsia="Times New Roman" w:hAnsi="ITC Avant Garde" w:cs="ITC Avant Garde"/>
          <w:color w:val="000000"/>
          <w:lang w:val="es-MX"/>
        </w:rPr>
        <w:t xml:space="preserve"> pie</w:t>
      </w:r>
      <w:r>
        <w:rPr>
          <w:rFonts w:ascii="ITC Avant Garde" w:eastAsia="Times New Roman" w:hAnsi="ITC Avant Garde" w:cs="ITC Avant Garde"/>
          <w:color w:val="000000"/>
          <w:lang w:val="es-MX"/>
        </w:rPr>
        <w:t xml:space="preserve"> </w:t>
      </w:r>
      <w:r w:rsidR="001A4E11">
        <w:rPr>
          <w:rFonts w:ascii="ITC Avant Garde" w:eastAsia="Times New Roman" w:hAnsi="ITC Avant Garde" w:cs="ITC Avant Garde"/>
          <w:color w:val="000000"/>
          <w:lang w:val="es-MX"/>
        </w:rPr>
        <w:t xml:space="preserve">de página </w:t>
      </w:r>
      <w:r>
        <w:rPr>
          <w:rFonts w:ascii="ITC Avant Garde" w:eastAsia="Times New Roman" w:hAnsi="ITC Avant Garde" w:cs="ITC Avant Garde"/>
          <w:color w:val="000000"/>
          <w:lang w:val="es-MX"/>
        </w:rPr>
        <w:t>correspondiente</w:t>
      </w:r>
      <w:r w:rsidRPr="008D4E6B">
        <w:rPr>
          <w:rFonts w:ascii="ITC Avant Garde" w:eastAsia="Times New Roman" w:hAnsi="ITC Avant Garde" w:cs="ITC Avant Garde"/>
          <w:color w:val="000000"/>
          <w:lang w:val="es-MX"/>
        </w:rPr>
        <w:t>.</w:t>
      </w:r>
    </w:p>
    <w:p w:rsidR="009A4EA9" w:rsidRDefault="009A4EA9" w:rsidP="008D4E6B">
      <w:pPr>
        <w:pStyle w:val="Textocomentario"/>
        <w:rPr>
          <w:rFonts w:ascii="ITC Avant Garde" w:eastAsia="Times New Roman" w:hAnsi="ITC Avant Garde" w:cs="ITC Avant Garde"/>
          <w:color w:val="000000"/>
          <w:lang w:val="es-MX"/>
        </w:rPr>
      </w:pPr>
    </w:p>
    <w:p w:rsidR="009A4EA9" w:rsidRPr="009A4EA9" w:rsidRDefault="009A4EA9" w:rsidP="009A4EA9">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9A4EA9">
        <w:rPr>
          <w:rFonts w:ascii="ITC Avant Garde" w:hAnsi="ITC Avant Garde" w:cs="ITC Avant Garde"/>
          <w:b/>
          <w:sz w:val="20"/>
          <w:szCs w:val="20"/>
        </w:rPr>
        <w:t xml:space="preserve">4.3. Potencia </w:t>
      </w:r>
      <w:r w:rsidR="00441B83">
        <w:rPr>
          <w:rFonts w:ascii="ITC Avant Garde" w:hAnsi="ITC Avant Garde" w:cs="ITC Avant Garde"/>
          <w:b/>
          <w:sz w:val="20"/>
          <w:szCs w:val="20"/>
        </w:rPr>
        <w:t>Isótropa Radiada Equivalente</w:t>
      </w:r>
      <w:r w:rsidRPr="009A4EA9">
        <w:rPr>
          <w:rFonts w:ascii="ITC Avant Garde" w:hAnsi="ITC Avant Garde" w:cs="ITC Avant Garde"/>
          <w:b/>
          <w:sz w:val="20"/>
          <w:szCs w:val="20"/>
        </w:rPr>
        <w:t>.</w:t>
      </w:r>
    </w:p>
    <w:p w:rsidR="00A62C86" w:rsidRPr="00C254F6" w:rsidRDefault="00A62C86" w:rsidP="00A62C86">
      <w:pPr>
        <w:spacing w:line="276" w:lineRule="auto"/>
        <w:jc w:val="both"/>
        <w:rPr>
          <w:rFonts w:ascii="ITC Avant Garde" w:eastAsia="Times New Roman" w:hAnsi="ITC Avant Garde" w:cs="ITC Avant Garde"/>
          <w:color w:val="000000"/>
          <w:sz w:val="20"/>
          <w:szCs w:val="20"/>
          <w:lang w:val="es-MX"/>
        </w:rPr>
      </w:pPr>
      <w:r w:rsidRPr="00A62C86">
        <w:rPr>
          <w:rFonts w:ascii="ITC Avant Garde" w:hAnsi="ITC Avant Garde" w:cs="ITC Avant Garde"/>
          <w:b/>
          <w:sz w:val="20"/>
          <w:szCs w:val="20"/>
        </w:rPr>
        <w:t xml:space="preserve"> </w:t>
      </w:r>
      <w:r w:rsidRPr="00C254F6">
        <w:rPr>
          <w:rFonts w:ascii="ITC Avant Garde" w:hAnsi="ITC Avant Garde" w:cs="ITC Avant Garde"/>
          <w:b/>
          <w:sz w:val="20"/>
          <w:szCs w:val="20"/>
        </w:rPr>
        <w:t xml:space="preserve">Participantes: </w:t>
      </w:r>
    </w:p>
    <w:p w:rsidR="00A62C86" w:rsidRDefault="00A62C86" w:rsidP="00A62C86">
      <w:pPr>
        <w:pStyle w:val="Textocomentario"/>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ANCE</w:t>
      </w:r>
    </w:p>
    <w:p w:rsidR="00A62C86" w:rsidRPr="00A62C86" w:rsidRDefault="00A62C86" w:rsidP="00915F87">
      <w:pPr>
        <w:pStyle w:val="Textocomentario"/>
        <w:jc w:val="both"/>
        <w:rPr>
          <w:b/>
        </w:rPr>
      </w:pPr>
      <w:r>
        <w:rPr>
          <w:rFonts w:ascii="ITC Avant Garde" w:eastAsia="Times New Roman" w:hAnsi="ITC Avant Garde" w:cs="ITC Avant Garde"/>
          <w:color w:val="000000"/>
          <w:lang w:val="es-MX"/>
        </w:rPr>
        <w:t>El participante sugiere en</w:t>
      </w:r>
      <w:r w:rsidRPr="00A62C86">
        <w:rPr>
          <w:rFonts w:ascii="ITC Avant Garde" w:eastAsia="Times New Roman" w:hAnsi="ITC Avant Garde" w:cs="ITC Avant Garde"/>
          <w:color w:val="000000"/>
          <w:lang w:val="es-MX"/>
        </w:rPr>
        <w:t xml:space="preserve"> la tabla 5, donde dice: "11.5 W" de </w:t>
      </w:r>
      <w:r w:rsidR="009F6EE7">
        <w:rPr>
          <w:rFonts w:ascii="ITC Avant Garde" w:eastAsia="Times New Roman" w:hAnsi="ITC Avant Garde" w:cs="ITC Avant Garde"/>
          <w:color w:val="000000"/>
          <w:lang w:val="es-MX"/>
        </w:rPr>
        <w:t>P</w:t>
      </w:r>
      <w:r w:rsidRPr="00A62C86">
        <w:rPr>
          <w:rFonts w:ascii="ITC Avant Garde" w:eastAsia="Times New Roman" w:hAnsi="ITC Avant Garde" w:cs="ITC Avant Garde"/>
          <w:color w:val="000000"/>
          <w:lang w:val="es-MX"/>
        </w:rPr>
        <w:t xml:space="preserve">otencia </w:t>
      </w:r>
      <w:r w:rsidR="009F6EE7">
        <w:rPr>
          <w:rFonts w:ascii="ITC Avant Garde" w:eastAsia="Times New Roman" w:hAnsi="ITC Avant Garde" w:cs="ITC Avant Garde"/>
          <w:color w:val="000000"/>
          <w:lang w:val="es-MX"/>
        </w:rPr>
        <w:t xml:space="preserve">Isótropa Radiada Equivalente </w:t>
      </w:r>
      <w:r w:rsidRPr="00A62C86">
        <w:rPr>
          <w:rFonts w:ascii="ITC Avant Garde" w:eastAsia="Times New Roman" w:hAnsi="ITC Avant Garde" w:cs="ITC Avant Garde"/>
          <w:color w:val="000000"/>
          <w:lang w:val="es-MX"/>
        </w:rPr>
        <w:t>para las bandas de operación, se recomienda tener concordancia con lo indicado en la tabla 1 del proyecto de DT-IFT-012-2016, ya que un valor tan alto excedería los límites de SAR.</w:t>
      </w:r>
    </w:p>
    <w:p w:rsidR="001A4E11" w:rsidRPr="00706A78" w:rsidRDefault="001A4E11" w:rsidP="001A4E11">
      <w:pPr>
        <w:pStyle w:val="Textocomentario"/>
        <w:jc w:val="both"/>
        <w:rPr>
          <w:rFonts w:ascii="ITC Avant Garde" w:hAnsi="ITC Avant Garde" w:cs="ITC Avant Garde"/>
          <w:b/>
        </w:rPr>
      </w:pPr>
      <w:r w:rsidRPr="00706A78">
        <w:rPr>
          <w:rFonts w:ascii="ITC Avant Garde" w:hAnsi="ITC Avant Garde" w:cs="ITC Avant Garde"/>
          <w:b/>
        </w:rPr>
        <w:t>Respuesta:</w:t>
      </w:r>
    </w:p>
    <w:p w:rsidR="00DB07A3" w:rsidRDefault="00DB07A3" w:rsidP="000054D8">
      <w:pPr>
        <w:pStyle w:val="Prrafodelista1"/>
        <w:tabs>
          <w:tab w:val="left" w:pos="-708"/>
        </w:tabs>
        <w:spacing w:line="276" w:lineRule="auto"/>
        <w:ind w:left="12"/>
        <w:jc w:val="both"/>
        <w:rPr>
          <w:rFonts w:ascii="ITC Avant Garde" w:hAnsi="ITC Avant Garde" w:cs="ITC Avant Garde"/>
          <w:sz w:val="20"/>
          <w:szCs w:val="20"/>
        </w:rPr>
      </w:pPr>
      <w:r>
        <w:rPr>
          <w:rFonts w:ascii="ITC Avant Garde" w:hAnsi="ITC Avant Garde" w:cs="ITC Avant Garde"/>
          <w:sz w:val="20"/>
          <w:szCs w:val="20"/>
        </w:rPr>
        <w:t>Se analizó el comentario y, para precisar se incluyó el siguiente párrafo.</w:t>
      </w:r>
    </w:p>
    <w:p w:rsidR="00DB07A3" w:rsidRPr="00DB07A3" w:rsidRDefault="00DB07A3" w:rsidP="00DB07A3">
      <w:pPr>
        <w:pStyle w:val="Prrafodelista1"/>
        <w:tabs>
          <w:tab w:val="left" w:pos="-708"/>
        </w:tabs>
        <w:spacing w:line="276" w:lineRule="auto"/>
        <w:ind w:left="708"/>
        <w:jc w:val="both"/>
        <w:rPr>
          <w:rFonts w:ascii="ITC Avant Garde" w:hAnsi="ITC Avant Garde" w:cs="ITC Avant Garde"/>
          <w:b/>
          <w:i/>
          <w:sz w:val="20"/>
          <w:szCs w:val="20"/>
        </w:rPr>
      </w:pPr>
      <w:r>
        <w:rPr>
          <w:rFonts w:ascii="ITC Avant Garde" w:hAnsi="ITC Avant Garde" w:cs="ITC Avant Garde"/>
          <w:b/>
          <w:i/>
          <w:sz w:val="20"/>
          <w:szCs w:val="20"/>
        </w:rPr>
        <w:t>“</w:t>
      </w:r>
      <w:r w:rsidRPr="00DB07A3">
        <w:rPr>
          <w:rFonts w:ascii="ITC Avant Garde" w:hAnsi="ITC Avant Garde" w:cs="ITC Avant Garde"/>
          <w:b/>
          <w:i/>
          <w:sz w:val="20"/>
          <w:szCs w:val="20"/>
        </w:rPr>
        <w:t>La Potencia Isótropa Radiada Equivalente (PIRE) máxima de los ETM operando en alguna(s) de las bandas de frecuencias indicadas en la Tabla 3 no debe exceder 11.5 W. Se deberá constatar la clase de potencia (</w:t>
      </w:r>
      <w:proofErr w:type="spellStart"/>
      <w:r w:rsidRPr="00DB07A3">
        <w:rPr>
          <w:rFonts w:ascii="ITC Avant Garde" w:hAnsi="ITC Avant Garde" w:cs="ITC Avant Garde"/>
          <w:b/>
          <w:i/>
          <w:sz w:val="20"/>
          <w:szCs w:val="20"/>
        </w:rPr>
        <w:t>Power</w:t>
      </w:r>
      <w:proofErr w:type="spellEnd"/>
      <w:r w:rsidRPr="00DB07A3">
        <w:rPr>
          <w:rFonts w:ascii="ITC Avant Garde" w:hAnsi="ITC Avant Garde" w:cs="ITC Avant Garde"/>
          <w:b/>
          <w:i/>
          <w:sz w:val="20"/>
          <w:szCs w:val="20"/>
        </w:rPr>
        <w:t xml:space="preserve"> </w:t>
      </w:r>
      <w:proofErr w:type="spellStart"/>
      <w:r w:rsidRPr="00DB07A3">
        <w:rPr>
          <w:rFonts w:ascii="ITC Avant Garde" w:hAnsi="ITC Avant Garde" w:cs="ITC Avant Garde"/>
          <w:b/>
          <w:i/>
          <w:sz w:val="20"/>
          <w:szCs w:val="20"/>
        </w:rPr>
        <w:t>Class</w:t>
      </w:r>
      <w:proofErr w:type="spellEnd"/>
      <w:r w:rsidRPr="00DB07A3">
        <w:rPr>
          <w:rFonts w:ascii="ITC Avant Garde" w:hAnsi="ITC Avant Garde" w:cs="ITC Avant Garde"/>
          <w:b/>
          <w:i/>
          <w:sz w:val="20"/>
          <w:szCs w:val="20"/>
        </w:rPr>
        <w:t>) de dichos dispositivos para determinar la PIRE correspondiente conforme a los estándares ETSI y/o 3GPP  aplicables.</w:t>
      </w:r>
      <w:r>
        <w:rPr>
          <w:rFonts w:ascii="ITC Avant Garde" w:hAnsi="ITC Avant Garde" w:cs="ITC Avant Garde"/>
          <w:b/>
          <w:i/>
          <w:sz w:val="20"/>
          <w:szCs w:val="20"/>
        </w:rPr>
        <w:t>”</w:t>
      </w:r>
    </w:p>
    <w:p w:rsidR="000054D8" w:rsidRPr="00B77A93" w:rsidRDefault="00DB07A3" w:rsidP="00DB07A3">
      <w:pPr>
        <w:pStyle w:val="Prrafodelista1"/>
        <w:tabs>
          <w:tab w:val="left" w:pos="-708"/>
        </w:tabs>
        <w:spacing w:line="276" w:lineRule="auto"/>
        <w:ind w:left="0"/>
        <w:jc w:val="both"/>
        <w:rPr>
          <w:rFonts w:ascii="ITC Avant Garde" w:eastAsia="Times New Roman" w:hAnsi="ITC Avant Garde" w:cs="ITC Avant Garde"/>
          <w:color w:val="000000"/>
          <w:sz w:val="20"/>
          <w:szCs w:val="20"/>
          <w:lang w:val="en-GB"/>
        </w:rPr>
      </w:pPr>
      <w:r>
        <w:rPr>
          <w:rFonts w:ascii="ITC Avant Garde" w:hAnsi="ITC Avant Garde" w:cs="ITC Avant Garde"/>
          <w:sz w:val="20"/>
          <w:szCs w:val="20"/>
        </w:rPr>
        <w:t>Se comenta que, e</w:t>
      </w:r>
      <w:r w:rsidR="00A34DAA" w:rsidRPr="00706A78">
        <w:rPr>
          <w:rFonts w:ascii="ITC Avant Garde" w:hAnsi="ITC Avant Garde" w:cs="ITC Avant Garde"/>
          <w:sz w:val="20"/>
          <w:szCs w:val="20"/>
        </w:rPr>
        <w:t>l</w:t>
      </w:r>
      <w:r w:rsidR="001A4E11" w:rsidRPr="00706A78">
        <w:rPr>
          <w:rFonts w:ascii="ITC Avant Garde" w:hAnsi="ITC Avant Garde" w:cs="ITC Avant Garde"/>
          <w:sz w:val="20"/>
          <w:szCs w:val="20"/>
        </w:rPr>
        <w:t xml:space="preserve"> parámetro </w:t>
      </w:r>
      <w:r w:rsidR="009F1198">
        <w:rPr>
          <w:rFonts w:ascii="ITC Avant Garde" w:hAnsi="ITC Avant Garde" w:cs="ITC Avant Garde"/>
          <w:sz w:val="20"/>
          <w:szCs w:val="20"/>
        </w:rPr>
        <w:t xml:space="preserve">de </w:t>
      </w:r>
      <w:r w:rsidR="009F1198">
        <w:rPr>
          <w:rFonts w:ascii="ITC Avant Garde" w:eastAsia="Times New Roman" w:hAnsi="ITC Avant Garde" w:cs="ITC Avant Garde"/>
          <w:color w:val="000000"/>
          <w:sz w:val="20"/>
          <w:szCs w:val="20"/>
          <w:lang w:val="es-MX"/>
        </w:rPr>
        <w:t>P</w:t>
      </w:r>
      <w:r w:rsidR="009F1198" w:rsidRPr="00706A78">
        <w:rPr>
          <w:rFonts w:ascii="ITC Avant Garde" w:eastAsia="Times New Roman" w:hAnsi="ITC Avant Garde" w:cs="ITC Avant Garde"/>
          <w:color w:val="000000"/>
          <w:sz w:val="20"/>
          <w:szCs w:val="20"/>
          <w:lang w:val="es-MX"/>
        </w:rPr>
        <w:t xml:space="preserve">otencia </w:t>
      </w:r>
      <w:r w:rsidR="009F1198">
        <w:rPr>
          <w:rFonts w:ascii="ITC Avant Garde" w:eastAsia="Times New Roman" w:hAnsi="ITC Avant Garde" w:cs="ITC Avant Garde"/>
          <w:color w:val="000000"/>
          <w:sz w:val="20"/>
          <w:szCs w:val="20"/>
          <w:lang w:val="es-MX"/>
        </w:rPr>
        <w:t xml:space="preserve">Isótropa Radiada Equivalente </w:t>
      </w:r>
      <w:r w:rsidR="001A4E11" w:rsidRPr="00706A78">
        <w:rPr>
          <w:rFonts w:ascii="ITC Avant Garde" w:eastAsia="Times New Roman" w:hAnsi="ITC Avant Garde" w:cs="ITC Avant Garde"/>
          <w:color w:val="000000"/>
          <w:sz w:val="20"/>
          <w:szCs w:val="20"/>
          <w:lang w:val="es-MX"/>
        </w:rPr>
        <w:t xml:space="preserve">para la Banda </w:t>
      </w:r>
      <w:r w:rsidR="00BC4F49">
        <w:rPr>
          <w:rFonts w:ascii="ITC Avant Garde" w:eastAsia="Times New Roman" w:hAnsi="ITC Avant Garde" w:cs="ITC Avant Garde"/>
          <w:color w:val="000000"/>
          <w:sz w:val="20"/>
          <w:szCs w:val="20"/>
          <w:lang w:val="es-MX"/>
        </w:rPr>
        <w:t>5 (</w:t>
      </w:r>
      <w:r w:rsidR="001A4E11" w:rsidRPr="00706A78">
        <w:rPr>
          <w:rFonts w:ascii="ITC Avant Garde" w:eastAsia="Times New Roman" w:hAnsi="ITC Avant Garde" w:cs="ITC Avant Garde"/>
          <w:color w:val="000000"/>
          <w:sz w:val="20"/>
          <w:szCs w:val="20"/>
          <w:lang w:val="es-MX"/>
        </w:rPr>
        <w:t>850 MHz</w:t>
      </w:r>
      <w:r w:rsidR="00BC4F49">
        <w:rPr>
          <w:rFonts w:ascii="ITC Avant Garde" w:eastAsia="Times New Roman" w:hAnsi="ITC Avant Garde" w:cs="ITC Avant Garde"/>
          <w:color w:val="000000"/>
          <w:sz w:val="20"/>
          <w:szCs w:val="20"/>
          <w:lang w:val="es-MX"/>
        </w:rPr>
        <w:t xml:space="preserve">) es </w:t>
      </w:r>
      <w:r w:rsidR="009F1198">
        <w:rPr>
          <w:rFonts w:ascii="ITC Avant Garde" w:eastAsia="Times New Roman" w:hAnsi="ITC Avant Garde" w:cs="ITC Avant Garde"/>
          <w:color w:val="000000"/>
          <w:sz w:val="20"/>
          <w:szCs w:val="20"/>
          <w:lang w:val="es-MX"/>
        </w:rPr>
        <w:t>&lt;</w:t>
      </w:r>
      <w:r w:rsidR="001A4E11" w:rsidRPr="00706A78">
        <w:rPr>
          <w:rFonts w:ascii="ITC Avant Garde" w:eastAsia="Times New Roman" w:hAnsi="ITC Avant Garde" w:cs="ITC Avant Garde" w:hint="eastAsia"/>
          <w:color w:val="000000"/>
          <w:sz w:val="20"/>
          <w:szCs w:val="20"/>
          <w:lang w:val="es-MX"/>
        </w:rPr>
        <w:t>11.5 W</w:t>
      </w:r>
      <w:r w:rsidR="00BC4F49">
        <w:rPr>
          <w:rFonts w:ascii="ITC Avant Garde" w:eastAsia="Times New Roman" w:hAnsi="ITC Avant Garde" w:cs="ITC Avant Garde"/>
          <w:color w:val="000000"/>
          <w:sz w:val="20"/>
          <w:szCs w:val="20"/>
          <w:lang w:val="es-MX"/>
        </w:rPr>
        <w:t xml:space="preserve">, y </w:t>
      </w:r>
      <w:r w:rsidR="001A4E11" w:rsidRPr="00706A78">
        <w:rPr>
          <w:rFonts w:ascii="ITC Avant Garde" w:eastAsia="Times New Roman" w:hAnsi="ITC Avant Garde" w:cs="ITC Avant Garde"/>
          <w:color w:val="000000"/>
          <w:sz w:val="20"/>
          <w:szCs w:val="20"/>
          <w:lang w:val="es-MX"/>
        </w:rPr>
        <w:t>es consistente con</w:t>
      </w:r>
      <w:r w:rsidR="000054D8" w:rsidRPr="00706A78">
        <w:rPr>
          <w:rFonts w:ascii="ITC Avant Garde" w:eastAsia="Times New Roman" w:hAnsi="ITC Avant Garde" w:cs="ITC Avant Garde"/>
          <w:color w:val="000000"/>
          <w:sz w:val="20"/>
          <w:szCs w:val="20"/>
          <w:lang w:val="es-MX"/>
        </w:rPr>
        <w:t xml:space="preserve"> el estándar emitido por Innovación, Ciencia y Desarrollo Económico de</w:t>
      </w:r>
      <w:r w:rsidR="00706A78">
        <w:rPr>
          <w:rFonts w:ascii="ITC Avant Garde" w:eastAsia="Times New Roman" w:hAnsi="ITC Avant Garde" w:cs="ITC Avant Garde"/>
          <w:color w:val="000000"/>
          <w:sz w:val="20"/>
          <w:szCs w:val="20"/>
          <w:lang w:val="es-MX"/>
        </w:rPr>
        <w:t>l</w:t>
      </w:r>
      <w:r w:rsidR="000054D8" w:rsidRPr="00706A78">
        <w:rPr>
          <w:rFonts w:ascii="ITC Avant Garde" w:eastAsia="Times New Roman" w:hAnsi="ITC Avant Garde" w:cs="ITC Avant Garde"/>
          <w:color w:val="000000"/>
          <w:sz w:val="20"/>
          <w:szCs w:val="20"/>
          <w:lang w:val="es-MX"/>
        </w:rPr>
        <w:t xml:space="preserve"> Gobierno de Canadá, especificación de radio 132, tema 3, Sistemas de telefonía celular que oper</w:t>
      </w:r>
      <w:r w:rsidR="000054D8" w:rsidRPr="00A34DAA">
        <w:rPr>
          <w:rFonts w:ascii="ITC Avant Garde" w:eastAsia="Times New Roman" w:hAnsi="ITC Avant Garde" w:cs="ITC Avant Garde"/>
          <w:color w:val="000000"/>
          <w:sz w:val="20"/>
          <w:szCs w:val="20"/>
          <w:lang w:val="es-MX"/>
        </w:rPr>
        <w:t>an en las bandas de 824-849 MHz y 869-894 MHz,</w:t>
      </w:r>
      <w:r w:rsidR="00BC4F49">
        <w:rPr>
          <w:rFonts w:ascii="ITC Avant Garde" w:eastAsia="Times New Roman" w:hAnsi="ITC Avant Garde" w:cs="ITC Avant Garde"/>
          <w:color w:val="000000"/>
          <w:sz w:val="20"/>
          <w:szCs w:val="20"/>
          <w:lang w:val="es-MX"/>
        </w:rPr>
        <w:t xml:space="preserve"> </w:t>
      </w:r>
      <w:r w:rsidR="000054D8" w:rsidRPr="00A34DAA">
        <w:rPr>
          <w:rFonts w:ascii="ITC Avant Garde" w:eastAsia="Times New Roman" w:hAnsi="ITC Avant Garde" w:cs="ITC Avant Garde"/>
          <w:color w:val="000000"/>
          <w:sz w:val="20"/>
          <w:szCs w:val="20"/>
          <w:lang w:val="es-MX"/>
        </w:rPr>
        <w:t>(</w:t>
      </w:r>
      <w:proofErr w:type="spellStart"/>
      <w:r w:rsidR="000054D8" w:rsidRPr="00A34DAA">
        <w:rPr>
          <w:rFonts w:ascii="ITC Avant Garde" w:eastAsia="Times New Roman" w:hAnsi="ITC Avant Garde" w:cs="ITC Avant Garde"/>
          <w:color w:val="000000"/>
          <w:sz w:val="20"/>
          <w:szCs w:val="20"/>
          <w:lang w:val="es-MX"/>
        </w:rPr>
        <w:t>Innovation</w:t>
      </w:r>
      <w:proofErr w:type="spellEnd"/>
      <w:r w:rsidR="000054D8" w:rsidRPr="00A34DAA">
        <w:rPr>
          <w:rFonts w:ascii="ITC Avant Garde" w:eastAsia="Times New Roman" w:hAnsi="ITC Avant Garde" w:cs="ITC Avant Garde"/>
          <w:color w:val="000000"/>
          <w:sz w:val="20"/>
          <w:szCs w:val="20"/>
          <w:lang w:val="es-MX"/>
        </w:rPr>
        <w:t xml:space="preserve">, </w:t>
      </w:r>
      <w:proofErr w:type="spellStart"/>
      <w:r w:rsidR="000054D8" w:rsidRPr="00A34DAA">
        <w:rPr>
          <w:rFonts w:ascii="ITC Avant Garde" w:eastAsia="Times New Roman" w:hAnsi="ITC Avant Garde" w:cs="ITC Avant Garde"/>
          <w:color w:val="000000"/>
          <w:sz w:val="20"/>
          <w:szCs w:val="20"/>
          <w:lang w:val="es-MX"/>
        </w:rPr>
        <w:t>Science</w:t>
      </w:r>
      <w:proofErr w:type="spellEnd"/>
      <w:r w:rsidR="000054D8" w:rsidRPr="00A34DAA">
        <w:rPr>
          <w:rFonts w:ascii="ITC Avant Garde" w:eastAsia="Times New Roman" w:hAnsi="ITC Avant Garde" w:cs="ITC Avant Garde"/>
          <w:color w:val="000000"/>
          <w:sz w:val="20"/>
          <w:szCs w:val="20"/>
          <w:lang w:val="es-MX"/>
        </w:rPr>
        <w:t xml:space="preserve"> and </w:t>
      </w:r>
      <w:proofErr w:type="spellStart"/>
      <w:r w:rsidR="000054D8" w:rsidRPr="00A34DAA">
        <w:rPr>
          <w:rFonts w:ascii="ITC Avant Garde" w:eastAsia="Times New Roman" w:hAnsi="ITC Avant Garde" w:cs="ITC Avant Garde"/>
          <w:color w:val="000000"/>
          <w:sz w:val="20"/>
          <w:szCs w:val="20"/>
          <w:lang w:val="es-MX"/>
        </w:rPr>
        <w:t>Economic</w:t>
      </w:r>
      <w:proofErr w:type="spellEnd"/>
      <w:r w:rsidR="000054D8" w:rsidRPr="00A34DAA">
        <w:rPr>
          <w:rFonts w:ascii="ITC Avant Garde" w:eastAsia="Times New Roman" w:hAnsi="ITC Avant Garde" w:cs="ITC Avant Garde"/>
          <w:color w:val="000000"/>
          <w:sz w:val="20"/>
          <w:szCs w:val="20"/>
          <w:lang w:val="es-MX"/>
        </w:rPr>
        <w:t xml:space="preserve"> </w:t>
      </w:r>
      <w:proofErr w:type="spellStart"/>
      <w:r w:rsidR="000054D8" w:rsidRPr="00A34DAA">
        <w:rPr>
          <w:rFonts w:ascii="ITC Avant Garde" w:eastAsia="Times New Roman" w:hAnsi="ITC Avant Garde" w:cs="ITC Avant Garde"/>
          <w:color w:val="000000"/>
          <w:sz w:val="20"/>
          <w:szCs w:val="20"/>
          <w:lang w:val="es-MX"/>
        </w:rPr>
        <w:t>Development</w:t>
      </w:r>
      <w:proofErr w:type="spellEnd"/>
      <w:r w:rsidR="000054D8" w:rsidRPr="00A34DAA">
        <w:rPr>
          <w:rFonts w:ascii="ITC Avant Garde" w:eastAsia="Times New Roman" w:hAnsi="ITC Avant Garde" w:cs="ITC Avant Garde"/>
          <w:color w:val="000000"/>
          <w:sz w:val="20"/>
          <w:szCs w:val="20"/>
          <w:lang w:val="es-MX"/>
        </w:rPr>
        <w:t xml:space="preserve"> </w:t>
      </w:r>
      <w:proofErr w:type="spellStart"/>
      <w:r w:rsidR="000054D8" w:rsidRPr="00A34DAA">
        <w:rPr>
          <w:rFonts w:ascii="ITC Avant Garde" w:eastAsia="Times New Roman" w:hAnsi="ITC Avant Garde" w:cs="ITC Avant Garde"/>
          <w:color w:val="000000"/>
          <w:sz w:val="20"/>
          <w:szCs w:val="20"/>
          <w:lang w:val="es-MX"/>
        </w:rPr>
        <w:t>Canada</w:t>
      </w:r>
      <w:proofErr w:type="spellEnd"/>
      <w:r w:rsidR="000054D8" w:rsidRPr="00A34DAA">
        <w:rPr>
          <w:rFonts w:ascii="ITC Avant Garde" w:eastAsia="Times New Roman" w:hAnsi="ITC Avant Garde" w:cs="ITC Avant Garde"/>
          <w:color w:val="000000"/>
          <w:sz w:val="20"/>
          <w:szCs w:val="20"/>
          <w:lang w:val="es-MX"/>
        </w:rPr>
        <w:t xml:space="preserve">, </w:t>
      </w:r>
      <w:proofErr w:type="spellStart"/>
      <w:r w:rsidR="000054D8" w:rsidRPr="00A34DAA">
        <w:rPr>
          <w:rFonts w:ascii="ITC Avant Garde" w:eastAsia="Times New Roman" w:hAnsi="ITC Avant Garde" w:cs="ITC Avant Garde"/>
          <w:color w:val="000000"/>
          <w:sz w:val="20"/>
          <w:szCs w:val="20"/>
          <w:lang w:val="es-MX"/>
        </w:rPr>
        <w:t>Spectrum</w:t>
      </w:r>
      <w:proofErr w:type="spellEnd"/>
      <w:r w:rsidR="000054D8" w:rsidRPr="00A34DAA">
        <w:rPr>
          <w:rFonts w:ascii="ITC Avant Garde" w:eastAsia="Times New Roman" w:hAnsi="ITC Avant Garde" w:cs="ITC Avant Garde"/>
          <w:color w:val="000000"/>
          <w:sz w:val="20"/>
          <w:szCs w:val="20"/>
          <w:lang w:val="es-MX"/>
        </w:rPr>
        <w:t xml:space="preserve"> Management and </w:t>
      </w:r>
      <w:proofErr w:type="spellStart"/>
      <w:r w:rsidR="000054D8" w:rsidRPr="00A34DAA">
        <w:rPr>
          <w:rFonts w:ascii="ITC Avant Garde" w:eastAsia="Times New Roman" w:hAnsi="ITC Avant Garde" w:cs="ITC Avant Garde"/>
          <w:color w:val="000000"/>
          <w:sz w:val="20"/>
          <w:szCs w:val="20"/>
          <w:lang w:val="es-MX"/>
        </w:rPr>
        <w:t>Telecommunications</w:t>
      </w:r>
      <w:proofErr w:type="spellEnd"/>
      <w:r w:rsidR="000054D8" w:rsidRPr="00A34DAA">
        <w:rPr>
          <w:rFonts w:ascii="ITC Avant Garde" w:eastAsia="Times New Roman" w:hAnsi="ITC Avant Garde" w:cs="ITC Avant Garde"/>
          <w:color w:val="000000"/>
          <w:sz w:val="20"/>
          <w:szCs w:val="20"/>
          <w:lang w:val="es-MX"/>
        </w:rPr>
        <w:t xml:space="preserve">. </w:t>
      </w:r>
      <w:r w:rsidR="000054D8" w:rsidRPr="00B77A93">
        <w:rPr>
          <w:rFonts w:ascii="ITC Avant Garde" w:eastAsia="Times New Roman" w:hAnsi="ITC Avant Garde" w:cs="ITC Avant Garde"/>
          <w:color w:val="000000"/>
          <w:sz w:val="20"/>
          <w:szCs w:val="20"/>
          <w:lang w:val="en-GB"/>
        </w:rPr>
        <w:t>Radio Standards Specification 132, Issue 3, Cellular Telephone Systems Operating in the Bands 824-849 MHz and 869-894 MHz, January 2013).</w:t>
      </w:r>
    </w:p>
    <w:p w:rsidR="00441B83" w:rsidRDefault="00441B83" w:rsidP="00441B83">
      <w:pPr>
        <w:pStyle w:val="Textocomentario"/>
        <w:jc w:val="both"/>
        <w:rPr>
          <w:rFonts w:ascii="ITC Avant Garde" w:eastAsia="Times New Roman" w:hAnsi="ITC Avant Garde" w:cs="ITC Avant Garde"/>
          <w:color w:val="000000"/>
          <w:lang w:val="es-MX"/>
        </w:rPr>
      </w:pPr>
      <w:r w:rsidRPr="0077115D">
        <w:rPr>
          <w:rFonts w:ascii="ITC Avant Garde" w:eastAsia="Times New Roman" w:hAnsi="ITC Avant Garde" w:cs="ITC Avant Garde"/>
          <w:color w:val="000000"/>
          <w:lang w:val="es-MX"/>
        </w:rPr>
        <w:t>Adicionalmente se verificaron estándares tales como el ETSI GSM 05.05</w:t>
      </w:r>
      <w:r>
        <w:rPr>
          <w:rStyle w:val="Refdenotaalpie"/>
          <w:rFonts w:ascii="ITC Avant Garde" w:eastAsia="Times New Roman" w:hAnsi="ITC Avant Garde" w:cs="ITC Avant Garde"/>
          <w:color w:val="000000"/>
          <w:lang w:val="es-MX"/>
        </w:rPr>
        <w:footnoteReference w:id="1"/>
      </w:r>
      <w:r w:rsidRPr="0077115D">
        <w:rPr>
          <w:rFonts w:ascii="ITC Avant Garde" w:eastAsia="Times New Roman" w:hAnsi="ITC Avant Garde" w:cs="ITC Avant Garde"/>
          <w:color w:val="000000"/>
          <w:lang w:val="es-MX"/>
        </w:rPr>
        <w:t xml:space="preserve">  donde se establece que la potencia máxima medido en la entrada de la antena de los ETM es de 8 W (39 dBm), sin embargo, en el quinto párrafo del referido documento se indica lo siguiente</w:t>
      </w:r>
      <w:r>
        <w:rPr>
          <w:rFonts w:ascii="ITC Avant Garde" w:eastAsia="Times New Roman" w:hAnsi="ITC Avant Garde" w:cs="ITC Avant Garde"/>
          <w:color w:val="000000"/>
          <w:lang w:val="es-MX"/>
        </w:rPr>
        <w:t>:</w:t>
      </w:r>
    </w:p>
    <w:p w:rsidR="00441B83" w:rsidRPr="00480840" w:rsidRDefault="00441B83" w:rsidP="00441B83">
      <w:pPr>
        <w:pStyle w:val="Textocomentario"/>
        <w:ind w:left="851" w:right="985"/>
        <w:jc w:val="both"/>
        <w:rPr>
          <w:rFonts w:asciiTheme="minorHAnsi" w:eastAsiaTheme="minorEastAsia" w:hAnsiTheme="minorHAnsi" w:cstheme="minorBidi"/>
          <w:b/>
          <w:i/>
          <w:sz w:val="24"/>
          <w:szCs w:val="24"/>
          <w:lang w:val="en-US" w:eastAsia="es-ES"/>
        </w:rPr>
      </w:pPr>
      <w:r w:rsidRPr="00480840">
        <w:rPr>
          <w:rFonts w:asciiTheme="minorHAnsi" w:eastAsiaTheme="minorEastAsia" w:hAnsiTheme="minorHAnsi" w:cstheme="minorBidi"/>
          <w:b/>
          <w:i/>
          <w:sz w:val="24"/>
          <w:szCs w:val="24"/>
          <w:lang w:val="en-US" w:eastAsia="es-ES"/>
        </w:rPr>
        <w:t>…</w:t>
      </w:r>
    </w:p>
    <w:p w:rsidR="00441B83" w:rsidRDefault="00441B83" w:rsidP="00441B83">
      <w:pPr>
        <w:pStyle w:val="Textocomentario"/>
        <w:ind w:left="851" w:right="985"/>
        <w:jc w:val="both"/>
        <w:rPr>
          <w:rFonts w:asciiTheme="minorHAnsi" w:eastAsiaTheme="minorEastAsia" w:hAnsiTheme="minorHAnsi" w:cstheme="minorBidi"/>
          <w:b/>
          <w:i/>
          <w:sz w:val="24"/>
          <w:szCs w:val="24"/>
          <w:lang w:val="es-ES_tradnl" w:eastAsia="es-ES"/>
        </w:rPr>
      </w:pPr>
      <w:r w:rsidRPr="00480840">
        <w:rPr>
          <w:rFonts w:asciiTheme="minorHAnsi" w:eastAsiaTheme="minorEastAsia" w:hAnsiTheme="minorHAnsi" w:cstheme="minorBidi"/>
          <w:b/>
          <w:i/>
          <w:sz w:val="24"/>
          <w:szCs w:val="24"/>
          <w:lang w:val="en-US" w:eastAsia="es-ES"/>
        </w:rPr>
        <w:lastRenderedPageBreak/>
        <w:t>“For GSM 850 MS, including its actual antenna gain, shall not exceed a maximum of 7 Watts (+38,</w:t>
      </w:r>
      <w:r w:rsidR="00EC3E93">
        <w:rPr>
          <w:rFonts w:asciiTheme="minorHAnsi" w:eastAsiaTheme="minorEastAsia" w:hAnsiTheme="minorHAnsi" w:cstheme="minorBidi"/>
          <w:b/>
          <w:i/>
          <w:sz w:val="24"/>
          <w:szCs w:val="24"/>
          <w:lang w:val="en-US" w:eastAsia="es-ES"/>
        </w:rPr>
        <w:t xml:space="preserve"> </w:t>
      </w:r>
      <w:r w:rsidRPr="00480840">
        <w:rPr>
          <w:rFonts w:asciiTheme="minorHAnsi" w:eastAsiaTheme="minorEastAsia" w:hAnsiTheme="minorHAnsi" w:cstheme="minorBidi"/>
          <w:b/>
          <w:i/>
          <w:sz w:val="24"/>
          <w:szCs w:val="24"/>
          <w:lang w:val="en-US" w:eastAsia="es-ES"/>
        </w:rPr>
        <w:t xml:space="preserve">5 dBm) ERP per the applicable FCC rules for public mobile services. </w:t>
      </w:r>
      <w:r w:rsidRPr="00E74F20">
        <w:rPr>
          <w:rFonts w:asciiTheme="minorHAnsi" w:eastAsiaTheme="minorEastAsia" w:hAnsiTheme="minorHAnsi" w:cstheme="minorBidi"/>
          <w:b/>
          <w:i/>
          <w:sz w:val="24"/>
          <w:szCs w:val="24"/>
          <w:lang w:val="es-ES_tradnl" w:eastAsia="es-ES"/>
        </w:rPr>
        <w:t xml:space="preserve">[FCC </w:t>
      </w:r>
      <w:proofErr w:type="spellStart"/>
      <w:r w:rsidRPr="00E74F20">
        <w:rPr>
          <w:rFonts w:asciiTheme="minorHAnsi" w:eastAsiaTheme="minorEastAsia" w:hAnsiTheme="minorHAnsi" w:cstheme="minorBidi"/>
          <w:b/>
          <w:i/>
          <w:sz w:val="24"/>
          <w:szCs w:val="24"/>
          <w:lang w:val="es-ES_tradnl" w:eastAsia="es-ES"/>
        </w:rPr>
        <w:t>Part</w:t>
      </w:r>
      <w:proofErr w:type="spellEnd"/>
      <w:r w:rsidRPr="00E74F20">
        <w:rPr>
          <w:rFonts w:asciiTheme="minorHAnsi" w:eastAsiaTheme="minorEastAsia" w:hAnsiTheme="minorHAnsi" w:cstheme="minorBidi"/>
          <w:b/>
          <w:i/>
          <w:sz w:val="24"/>
          <w:szCs w:val="24"/>
          <w:lang w:val="es-ES_tradnl" w:eastAsia="es-ES"/>
        </w:rPr>
        <w:t xml:space="preserve"> 22, </w:t>
      </w:r>
      <w:proofErr w:type="spellStart"/>
      <w:r w:rsidRPr="00E74F20">
        <w:rPr>
          <w:rFonts w:asciiTheme="minorHAnsi" w:eastAsiaTheme="minorEastAsia" w:hAnsiTheme="minorHAnsi" w:cstheme="minorBidi"/>
          <w:b/>
          <w:i/>
          <w:sz w:val="24"/>
          <w:szCs w:val="24"/>
          <w:lang w:val="es-ES_tradnl" w:eastAsia="es-ES"/>
        </w:rPr>
        <w:t>Subpart</w:t>
      </w:r>
      <w:proofErr w:type="spellEnd"/>
      <w:r w:rsidRPr="00E74F20">
        <w:rPr>
          <w:rFonts w:asciiTheme="minorHAnsi" w:eastAsiaTheme="minorEastAsia" w:hAnsiTheme="minorHAnsi" w:cstheme="minorBidi"/>
          <w:b/>
          <w:i/>
          <w:sz w:val="24"/>
          <w:szCs w:val="24"/>
          <w:lang w:val="es-ES_tradnl" w:eastAsia="es-ES"/>
        </w:rPr>
        <w:t xml:space="preserve"> H, </w:t>
      </w:r>
      <w:proofErr w:type="spellStart"/>
      <w:r w:rsidRPr="00E74F20">
        <w:rPr>
          <w:rFonts w:asciiTheme="minorHAnsi" w:eastAsiaTheme="minorEastAsia" w:hAnsiTheme="minorHAnsi" w:cstheme="minorBidi"/>
          <w:b/>
          <w:i/>
          <w:sz w:val="24"/>
          <w:szCs w:val="24"/>
          <w:lang w:val="es-ES_tradnl" w:eastAsia="es-ES"/>
        </w:rPr>
        <w:t>Section</w:t>
      </w:r>
      <w:proofErr w:type="spellEnd"/>
      <w:r w:rsidRPr="00E74F20">
        <w:rPr>
          <w:rFonts w:asciiTheme="minorHAnsi" w:eastAsiaTheme="minorEastAsia" w:hAnsiTheme="minorHAnsi" w:cstheme="minorBidi"/>
          <w:b/>
          <w:i/>
          <w:sz w:val="24"/>
          <w:szCs w:val="24"/>
          <w:lang w:val="es-ES_tradnl" w:eastAsia="es-ES"/>
        </w:rPr>
        <w:t xml:space="preserve"> 22.913]</w:t>
      </w:r>
      <w:r>
        <w:rPr>
          <w:rFonts w:asciiTheme="minorHAnsi" w:eastAsiaTheme="minorEastAsia" w:hAnsiTheme="minorHAnsi" w:cstheme="minorBidi"/>
          <w:b/>
          <w:i/>
          <w:sz w:val="24"/>
          <w:szCs w:val="24"/>
          <w:lang w:val="es-ES_tradnl" w:eastAsia="es-ES"/>
        </w:rPr>
        <w:t>”</w:t>
      </w:r>
    </w:p>
    <w:p w:rsidR="00441B83" w:rsidRPr="00E74F20" w:rsidRDefault="00441B83" w:rsidP="00441B83">
      <w:pPr>
        <w:pStyle w:val="Textocomentario"/>
        <w:ind w:left="851" w:right="985"/>
        <w:jc w:val="both"/>
        <w:rPr>
          <w:rFonts w:asciiTheme="minorHAnsi" w:eastAsiaTheme="minorEastAsia" w:hAnsiTheme="minorHAnsi" w:cstheme="minorBidi"/>
          <w:b/>
          <w:i/>
          <w:sz w:val="24"/>
          <w:szCs w:val="24"/>
          <w:lang w:val="es-ES_tradnl" w:eastAsia="es-ES"/>
        </w:rPr>
      </w:pPr>
      <w:r>
        <w:rPr>
          <w:rFonts w:asciiTheme="minorHAnsi" w:eastAsiaTheme="minorEastAsia" w:hAnsiTheme="minorHAnsi" w:cstheme="minorBidi"/>
          <w:b/>
          <w:i/>
          <w:sz w:val="24"/>
          <w:szCs w:val="24"/>
          <w:lang w:val="es-ES_tradnl" w:eastAsia="es-ES"/>
        </w:rPr>
        <w:t>…</w:t>
      </w:r>
    </w:p>
    <w:p w:rsidR="00441B83" w:rsidRPr="0077115D" w:rsidRDefault="00441B83" w:rsidP="00441B83">
      <w:pPr>
        <w:pStyle w:val="Textocomentario"/>
        <w:jc w:val="both"/>
        <w:rPr>
          <w:rFonts w:ascii="ITC Avant Garde" w:eastAsia="Times New Roman" w:hAnsi="ITC Avant Garde" w:cs="ITC Avant Garde"/>
          <w:color w:val="000000"/>
          <w:lang w:val="es-MX"/>
        </w:rPr>
      </w:pPr>
      <w:r w:rsidRPr="0077115D">
        <w:rPr>
          <w:rFonts w:ascii="ITC Avant Garde" w:eastAsia="Times New Roman" w:hAnsi="ITC Avant Garde" w:cs="ITC Avant Garde"/>
          <w:color w:val="000000"/>
          <w:lang w:val="es-MX"/>
        </w:rPr>
        <w:t>Dicho párrafo hace referencia nuevamente al estándar de la Comisión Federal de Comunicaciones FCC [</w:t>
      </w:r>
      <w:proofErr w:type="spellStart"/>
      <w:r w:rsidRPr="0077115D">
        <w:rPr>
          <w:rFonts w:ascii="ITC Avant Garde" w:eastAsia="Times New Roman" w:hAnsi="ITC Avant Garde" w:cs="ITC Avant Garde"/>
          <w:color w:val="000000"/>
          <w:lang w:val="es-MX"/>
        </w:rPr>
        <w:t>Part</w:t>
      </w:r>
      <w:proofErr w:type="spellEnd"/>
      <w:r w:rsidRPr="0077115D">
        <w:rPr>
          <w:rFonts w:ascii="ITC Avant Garde" w:eastAsia="Times New Roman" w:hAnsi="ITC Avant Garde" w:cs="ITC Avant Garde"/>
          <w:color w:val="000000"/>
          <w:lang w:val="es-MX"/>
        </w:rPr>
        <w:t xml:space="preserve"> 22, </w:t>
      </w:r>
      <w:proofErr w:type="spellStart"/>
      <w:r w:rsidRPr="0077115D">
        <w:rPr>
          <w:rFonts w:ascii="ITC Avant Garde" w:eastAsia="Times New Roman" w:hAnsi="ITC Avant Garde" w:cs="ITC Avant Garde"/>
          <w:color w:val="000000"/>
          <w:lang w:val="es-MX"/>
        </w:rPr>
        <w:t>Subpart</w:t>
      </w:r>
      <w:proofErr w:type="spellEnd"/>
      <w:r w:rsidRPr="0077115D">
        <w:rPr>
          <w:rFonts w:ascii="ITC Avant Garde" w:eastAsia="Times New Roman" w:hAnsi="ITC Avant Garde" w:cs="ITC Avant Garde"/>
          <w:color w:val="000000"/>
          <w:lang w:val="es-MX"/>
        </w:rPr>
        <w:t xml:space="preserve"> H, </w:t>
      </w:r>
      <w:proofErr w:type="spellStart"/>
      <w:r w:rsidRPr="0077115D">
        <w:rPr>
          <w:rFonts w:ascii="ITC Avant Garde" w:eastAsia="Times New Roman" w:hAnsi="ITC Avant Garde" w:cs="ITC Avant Garde"/>
          <w:color w:val="000000"/>
          <w:lang w:val="es-MX"/>
        </w:rPr>
        <w:t>Section</w:t>
      </w:r>
      <w:proofErr w:type="spellEnd"/>
      <w:r w:rsidRPr="0077115D">
        <w:rPr>
          <w:rFonts w:ascii="ITC Avant Garde" w:eastAsia="Times New Roman" w:hAnsi="ITC Avant Garde" w:cs="ITC Avant Garde"/>
          <w:color w:val="000000"/>
          <w:lang w:val="es-MX"/>
        </w:rPr>
        <w:t xml:space="preserve"> 22.913], donde se establecen los 7 W de potencia radiada aparente (ERP) o 11.5 de PIRE </w:t>
      </w:r>
      <w:r>
        <w:rPr>
          <w:rFonts w:ascii="ITC Avant Garde" w:eastAsia="Times New Roman" w:hAnsi="ITC Avant Garde" w:cs="ITC Avant Garde"/>
          <w:color w:val="000000"/>
          <w:lang w:val="es-MX"/>
        </w:rPr>
        <w:t>equivalentes</w:t>
      </w:r>
      <w:r w:rsidRPr="0077115D">
        <w:rPr>
          <w:rFonts w:ascii="ITC Avant Garde" w:eastAsia="Times New Roman" w:hAnsi="ITC Avant Garde" w:cs="ITC Avant Garde"/>
          <w:color w:val="000000"/>
          <w:lang w:val="es-MX"/>
        </w:rPr>
        <w:t>.</w:t>
      </w:r>
    </w:p>
    <w:p w:rsidR="009A4EA9" w:rsidRPr="009A4EA9" w:rsidRDefault="009A4EA9" w:rsidP="001A4E11">
      <w:pPr>
        <w:pStyle w:val="Prrafodelista1"/>
        <w:tabs>
          <w:tab w:val="left" w:pos="-708"/>
        </w:tabs>
        <w:spacing w:line="276" w:lineRule="auto"/>
        <w:ind w:left="12"/>
        <w:jc w:val="both"/>
        <w:rPr>
          <w:rFonts w:ascii="ITC Avant Garde" w:hAnsi="ITC Avant Garde" w:cs="ITC Avant Garde"/>
          <w:b/>
          <w:sz w:val="20"/>
          <w:szCs w:val="20"/>
        </w:rPr>
      </w:pPr>
      <w:r w:rsidRPr="009A4EA9">
        <w:rPr>
          <w:rFonts w:ascii="ITC Avant Garde" w:hAnsi="ITC Avant Garde" w:cs="ITC Avant Garde"/>
          <w:b/>
          <w:sz w:val="20"/>
          <w:szCs w:val="20"/>
        </w:rPr>
        <w:t xml:space="preserve">4.4. Emisiones no deseadas. </w:t>
      </w:r>
    </w:p>
    <w:p w:rsidR="009A4EA9" w:rsidRPr="00B0494B" w:rsidRDefault="009A4EA9" w:rsidP="009A4EA9">
      <w:pPr>
        <w:spacing w:line="276" w:lineRule="auto"/>
        <w:jc w:val="both"/>
        <w:rPr>
          <w:rFonts w:ascii="ITC Avant Garde" w:hAnsi="ITC Avant Garde" w:cs="ITC Avant Garde"/>
          <w:b/>
          <w:sz w:val="20"/>
          <w:szCs w:val="20"/>
        </w:rPr>
      </w:pPr>
      <w:r w:rsidRPr="00B0494B">
        <w:rPr>
          <w:rFonts w:ascii="ITC Avant Garde" w:hAnsi="ITC Avant Garde" w:cs="ITC Avant Garde"/>
          <w:b/>
          <w:sz w:val="20"/>
          <w:szCs w:val="20"/>
        </w:rPr>
        <w:t xml:space="preserve">Participantes: </w:t>
      </w:r>
    </w:p>
    <w:p w:rsidR="009A4EA9" w:rsidRPr="008D4E6B" w:rsidRDefault="009A4EA9" w:rsidP="009A4EA9">
      <w:pPr>
        <w:pStyle w:val="Textocomentario"/>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ANCE </w:t>
      </w:r>
    </w:p>
    <w:p w:rsidR="009A4EA9" w:rsidRDefault="009A4EA9" w:rsidP="009A4EA9">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El participante sugiere e</w:t>
      </w:r>
      <w:r w:rsidRPr="009A4EA9">
        <w:rPr>
          <w:rFonts w:ascii="ITC Avant Garde" w:eastAsia="Times New Roman" w:hAnsi="ITC Avant Garde" w:cs="ITC Avant Garde"/>
          <w:color w:val="000000"/>
          <w:lang w:val="es-MX"/>
        </w:rPr>
        <w:t xml:space="preserve">n donde dice: "4.4 Emisiones no deseadas", se recomienda dividir dos grandes incisos para agrupar en uno a las emisiones fuera de banda así como la atenuación de emisiones y en otro inciso las emisiones espurias. </w:t>
      </w:r>
    </w:p>
    <w:p w:rsidR="009A4EA9" w:rsidRDefault="009A4EA9" w:rsidP="009A4EA9">
      <w:pPr>
        <w:pStyle w:val="Textocomentario"/>
        <w:jc w:val="both"/>
        <w:rPr>
          <w:rFonts w:ascii="ITC Avant Garde" w:hAnsi="ITC Avant Garde" w:cs="ITC Avant Garde"/>
          <w:b/>
        </w:rPr>
      </w:pPr>
      <w:r w:rsidRPr="00793E6B">
        <w:rPr>
          <w:rFonts w:ascii="ITC Avant Garde" w:hAnsi="ITC Avant Garde" w:cs="ITC Avant Garde"/>
          <w:b/>
        </w:rPr>
        <w:t>Respuesta:</w:t>
      </w:r>
    </w:p>
    <w:p w:rsidR="00B0494B" w:rsidRDefault="009A4EA9" w:rsidP="009A4EA9">
      <w:pPr>
        <w:pStyle w:val="Textocomentario"/>
        <w:jc w:val="both"/>
        <w:rPr>
          <w:rFonts w:ascii="ITC Avant Garde" w:eastAsia="Times New Roman" w:hAnsi="ITC Avant Garde" w:cs="ITC Avant Garde"/>
          <w:color w:val="000000"/>
          <w:lang w:val="es-MX"/>
        </w:rPr>
      </w:pPr>
      <w:r w:rsidRPr="009A4EA9">
        <w:rPr>
          <w:rFonts w:ascii="ITC Avant Garde" w:eastAsia="Times New Roman" w:hAnsi="ITC Avant Garde" w:cs="ITC Avant Garde"/>
          <w:color w:val="000000"/>
          <w:lang w:val="es-MX"/>
        </w:rPr>
        <w:t>Se considera.</w:t>
      </w:r>
    </w:p>
    <w:p w:rsidR="009A4EA9" w:rsidRDefault="009A4EA9" w:rsidP="009A4EA9">
      <w:pPr>
        <w:pStyle w:val="Textocomentario"/>
        <w:jc w:val="both"/>
        <w:rPr>
          <w:rFonts w:ascii="ITC Avant Garde" w:eastAsia="Times New Roman" w:hAnsi="ITC Avant Garde" w:cs="ITC Avant Garde"/>
          <w:color w:val="000000"/>
          <w:lang w:val="es-MX"/>
        </w:rPr>
      </w:pPr>
      <w:r w:rsidRPr="009A4EA9">
        <w:rPr>
          <w:rFonts w:ascii="ITC Avant Garde" w:eastAsia="Times New Roman" w:hAnsi="ITC Avant Garde" w:cs="ITC Avant Garde"/>
          <w:color w:val="000000"/>
          <w:lang w:val="es-MX"/>
        </w:rPr>
        <w:t xml:space="preserve">Las emisiones </w:t>
      </w:r>
      <w:r w:rsidR="001A4E11" w:rsidRPr="009A4EA9">
        <w:rPr>
          <w:rFonts w:ascii="ITC Avant Garde" w:eastAsia="Times New Roman" w:hAnsi="ITC Avant Garde" w:cs="ITC Avant Garde"/>
          <w:color w:val="000000"/>
          <w:lang w:val="es-MX"/>
        </w:rPr>
        <w:t xml:space="preserve">no </w:t>
      </w:r>
      <w:r w:rsidRPr="009A4EA9">
        <w:rPr>
          <w:rFonts w:ascii="ITC Avant Garde" w:eastAsia="Times New Roman" w:hAnsi="ITC Avant Garde" w:cs="ITC Avant Garde"/>
          <w:color w:val="000000"/>
          <w:lang w:val="es-MX"/>
        </w:rPr>
        <w:t xml:space="preserve">deseadas se dividieron en dos partes: Emisiones fuera de </w:t>
      </w:r>
      <w:r w:rsidR="001A4E11">
        <w:rPr>
          <w:rFonts w:ascii="ITC Avant Garde" w:eastAsia="Times New Roman" w:hAnsi="ITC Avant Garde" w:cs="ITC Avant Garde"/>
          <w:color w:val="000000"/>
          <w:lang w:val="es-MX"/>
        </w:rPr>
        <w:t>banda y emisiones no esenciales y se reflejan en la DT en comento.</w:t>
      </w:r>
    </w:p>
    <w:p w:rsidR="00F74365" w:rsidRDefault="00F74365" w:rsidP="009A4EA9">
      <w:pPr>
        <w:pStyle w:val="Textocomentario"/>
        <w:jc w:val="both"/>
        <w:rPr>
          <w:rFonts w:ascii="ITC Avant Garde" w:eastAsia="Times New Roman" w:hAnsi="ITC Avant Garde" w:cs="ITC Avant Garde"/>
          <w:color w:val="000000"/>
          <w:lang w:val="es-MX"/>
        </w:rPr>
      </w:pPr>
    </w:p>
    <w:p w:rsidR="00D52E58" w:rsidRDefault="00F74365" w:rsidP="00F74365">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F74365">
        <w:rPr>
          <w:rFonts w:ascii="ITC Avant Garde" w:hAnsi="ITC Avant Garde" w:cs="ITC Avant Garde"/>
          <w:b/>
          <w:sz w:val="20"/>
          <w:szCs w:val="20"/>
        </w:rPr>
        <w:t>4.6 Manual del</w:t>
      </w:r>
      <w:r w:rsidR="00D52E58">
        <w:rPr>
          <w:rFonts w:ascii="ITC Avant Garde" w:hAnsi="ITC Avant Garde" w:cs="ITC Avant Garde"/>
          <w:b/>
          <w:sz w:val="20"/>
          <w:szCs w:val="20"/>
        </w:rPr>
        <w:t xml:space="preserve"> ETM</w:t>
      </w:r>
    </w:p>
    <w:p w:rsidR="00D52E58" w:rsidRPr="00D52E58" w:rsidRDefault="00D52E58" w:rsidP="00D52E58">
      <w:pPr>
        <w:pStyle w:val="Textocomentario"/>
        <w:rPr>
          <w:rFonts w:ascii="ITC Avant Garde" w:eastAsia="Times New Roman" w:hAnsi="ITC Avant Garde" w:cs="ITC Avant Garde"/>
          <w:color w:val="000000"/>
          <w:lang w:val="es-MX"/>
        </w:rPr>
      </w:pPr>
      <w:r w:rsidRPr="00D52E58">
        <w:rPr>
          <w:rFonts w:ascii="ITC Avant Garde" w:eastAsia="Times New Roman" w:hAnsi="ITC Avant Garde" w:cs="ITC Avant Garde"/>
          <w:b/>
          <w:color w:val="000000"/>
          <w:lang w:val="es-MX"/>
        </w:rPr>
        <w:t>Participantes</w:t>
      </w:r>
      <w:r w:rsidRPr="00D52E58">
        <w:rPr>
          <w:rFonts w:ascii="ITC Avant Garde" w:eastAsia="Times New Roman" w:hAnsi="ITC Avant Garde" w:cs="ITC Avant Garde"/>
          <w:color w:val="000000"/>
          <w:lang w:val="es-MX"/>
        </w:rPr>
        <w:t xml:space="preserve">: </w:t>
      </w:r>
    </w:p>
    <w:p w:rsidR="00D52E58" w:rsidRPr="00D52E58" w:rsidRDefault="00D52E58" w:rsidP="00D52E58">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CANIETI y </w:t>
      </w:r>
      <w:r w:rsidRPr="00D52E58">
        <w:rPr>
          <w:rFonts w:ascii="ITC Avant Garde" w:eastAsia="Times New Roman" w:hAnsi="ITC Avant Garde" w:cs="ITC Avant Garde"/>
          <w:color w:val="000000"/>
          <w:lang w:val="es-MX"/>
        </w:rPr>
        <w:t>ADVANCE:</w:t>
      </w:r>
    </w:p>
    <w:p w:rsidR="00D52E58" w:rsidRPr="00D52E58" w:rsidRDefault="00D52E58" w:rsidP="00D52E58">
      <w:pPr>
        <w:pStyle w:val="Textocomentario"/>
        <w:jc w:val="both"/>
        <w:rPr>
          <w:rFonts w:ascii="ITC Avant Garde" w:eastAsia="Times New Roman" w:hAnsi="ITC Avant Garde" w:cs="ITC Avant Garde"/>
          <w:color w:val="000000"/>
          <w:lang w:val="es-MX"/>
        </w:rPr>
      </w:pPr>
      <w:r w:rsidRPr="00D52E58">
        <w:rPr>
          <w:rFonts w:ascii="ITC Avant Garde" w:eastAsia="Times New Roman" w:hAnsi="ITC Avant Garde" w:cs="ITC Avant Garde"/>
          <w:color w:val="000000"/>
          <w:lang w:val="es-MX"/>
        </w:rPr>
        <w:t>Sugieren que el manual del ETM debe estar impreso o en formato digital disponible al usuario en el mismo empaque del ETM, adicionalmente el manual se podría disponer en la página electrónica del fabricante, debe estar escrito incluyendo el idioma español, y debe contener información suficiente, clara y veraz de sus características técnicas, así como los procedimientos de configuración, ajuste, operación y resolución de problemas.</w:t>
      </w:r>
    </w:p>
    <w:p w:rsidR="00D52E58" w:rsidRDefault="00D52E58" w:rsidP="00D52E58">
      <w:pPr>
        <w:pStyle w:val="Textocomentario"/>
        <w:jc w:val="both"/>
        <w:rPr>
          <w:rFonts w:ascii="ITC Avant Garde" w:hAnsi="ITC Avant Garde" w:cs="ITC Avant Garde"/>
          <w:b/>
        </w:rPr>
      </w:pPr>
      <w:r w:rsidRPr="00793E6B">
        <w:rPr>
          <w:rFonts w:ascii="ITC Avant Garde" w:hAnsi="ITC Avant Garde" w:cs="ITC Avant Garde"/>
          <w:b/>
        </w:rPr>
        <w:t>Respuesta:</w:t>
      </w:r>
    </w:p>
    <w:p w:rsidR="00D52E58" w:rsidRPr="00D52E58" w:rsidRDefault="00D52E58" w:rsidP="00D52E58">
      <w:pPr>
        <w:pStyle w:val="Textocomentario"/>
        <w:jc w:val="both"/>
        <w:rPr>
          <w:rFonts w:ascii="ITC Avant Garde" w:eastAsia="Times New Roman" w:hAnsi="ITC Avant Garde" w:cs="ITC Avant Garde"/>
          <w:color w:val="000000"/>
          <w:lang w:val="es-MX"/>
        </w:rPr>
      </w:pPr>
      <w:r w:rsidRPr="00D52E58">
        <w:rPr>
          <w:rFonts w:ascii="ITC Avant Garde" w:eastAsia="Times New Roman" w:hAnsi="ITC Avant Garde" w:cs="ITC Avant Garde"/>
          <w:color w:val="000000"/>
          <w:lang w:val="es-MX"/>
        </w:rPr>
        <w:t>Se considera.</w:t>
      </w:r>
    </w:p>
    <w:p w:rsidR="00D52E58" w:rsidRPr="00D52E58" w:rsidRDefault="00D52E58" w:rsidP="00D52E58">
      <w:pPr>
        <w:pStyle w:val="Textocomentario"/>
        <w:jc w:val="both"/>
        <w:rPr>
          <w:rFonts w:ascii="ITC Avant Garde" w:eastAsia="Times New Roman" w:hAnsi="ITC Avant Garde" w:cs="ITC Avant Garde"/>
          <w:color w:val="000000"/>
          <w:lang w:val="es-MX"/>
        </w:rPr>
      </w:pPr>
      <w:r w:rsidRPr="00D52E58">
        <w:rPr>
          <w:rFonts w:ascii="ITC Avant Garde" w:eastAsia="Times New Roman" w:hAnsi="ITC Avant Garde" w:cs="ITC Avant Garde"/>
          <w:color w:val="000000"/>
          <w:lang w:val="es-MX"/>
        </w:rPr>
        <w:t>Se elimina el término pruebas</w:t>
      </w:r>
      <w:r w:rsidR="001A4E11">
        <w:rPr>
          <w:rFonts w:ascii="ITC Avant Garde" w:eastAsia="Times New Roman" w:hAnsi="ITC Avant Garde" w:cs="ITC Avant Garde"/>
          <w:color w:val="000000"/>
          <w:lang w:val="es-MX"/>
        </w:rPr>
        <w:t xml:space="preserve"> del texto original sometido a consulta pública</w:t>
      </w:r>
      <w:r w:rsidRPr="00D52E58">
        <w:rPr>
          <w:rFonts w:ascii="ITC Avant Garde" w:eastAsia="Times New Roman" w:hAnsi="ITC Avant Garde" w:cs="ITC Avant Garde"/>
          <w:color w:val="000000"/>
          <w:lang w:val="es-MX"/>
        </w:rPr>
        <w:t>.</w:t>
      </w:r>
    </w:p>
    <w:p w:rsidR="00F74365" w:rsidRDefault="00D52E58" w:rsidP="00D52E58">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5 Métodos de Prueba</w:t>
      </w:r>
    </w:p>
    <w:p w:rsidR="00D52E58" w:rsidRPr="00D52E58" w:rsidRDefault="00D52E58" w:rsidP="00D52E58">
      <w:pPr>
        <w:pStyle w:val="Textocomentario"/>
        <w:rPr>
          <w:rFonts w:ascii="ITC Avant Garde" w:eastAsia="Times New Roman" w:hAnsi="ITC Avant Garde" w:cs="ITC Avant Garde"/>
          <w:color w:val="000000"/>
          <w:lang w:val="es-MX"/>
        </w:rPr>
      </w:pPr>
      <w:r w:rsidRPr="00D52E58">
        <w:rPr>
          <w:rFonts w:ascii="ITC Avant Garde" w:eastAsia="Times New Roman" w:hAnsi="ITC Avant Garde" w:cs="ITC Avant Garde"/>
          <w:b/>
          <w:color w:val="000000"/>
          <w:lang w:val="es-MX"/>
        </w:rPr>
        <w:t>Participantes</w:t>
      </w:r>
      <w:r w:rsidRPr="00D52E58">
        <w:rPr>
          <w:rFonts w:ascii="ITC Avant Garde" w:eastAsia="Times New Roman" w:hAnsi="ITC Avant Garde" w:cs="ITC Avant Garde"/>
          <w:color w:val="000000"/>
          <w:lang w:val="es-MX"/>
        </w:rPr>
        <w:t xml:space="preserve">: </w:t>
      </w:r>
    </w:p>
    <w:p w:rsidR="00D52E58" w:rsidRPr="00D52E58" w:rsidRDefault="00D52E58" w:rsidP="00D52E58">
      <w:pPr>
        <w:pStyle w:val="Textocomentario"/>
        <w:jc w:val="both"/>
        <w:rPr>
          <w:rFonts w:ascii="ITC Avant Garde" w:eastAsia="Times New Roman" w:hAnsi="ITC Avant Garde" w:cs="ITC Avant Garde"/>
          <w:color w:val="000000"/>
          <w:lang w:val="es-MX"/>
        </w:rPr>
      </w:pPr>
      <w:r w:rsidRPr="00D52E58">
        <w:rPr>
          <w:rFonts w:ascii="ITC Avant Garde" w:eastAsia="Times New Roman" w:hAnsi="ITC Avant Garde" w:cs="ITC Avant Garde"/>
          <w:color w:val="000000"/>
          <w:lang w:val="es-MX"/>
        </w:rPr>
        <w:t>CANIETI:</w:t>
      </w:r>
    </w:p>
    <w:p w:rsidR="00D52E58" w:rsidRPr="00D52E58" w:rsidRDefault="00D52E58" w:rsidP="00D52E58">
      <w:pPr>
        <w:pStyle w:val="Textocomentario"/>
        <w:jc w:val="both"/>
        <w:rPr>
          <w:rFonts w:ascii="ITC Avant Garde" w:eastAsia="Times New Roman" w:hAnsi="ITC Avant Garde" w:cs="ITC Avant Garde"/>
          <w:color w:val="000000"/>
          <w:lang w:val="es-MX"/>
        </w:rPr>
      </w:pPr>
      <w:r w:rsidRPr="00D52E58">
        <w:rPr>
          <w:rFonts w:ascii="ITC Avant Garde" w:eastAsia="Times New Roman" w:hAnsi="ITC Avant Garde" w:cs="ITC Avant Garde"/>
          <w:color w:val="000000"/>
          <w:lang w:val="es-MX"/>
        </w:rPr>
        <w:t xml:space="preserve">Se sugiere que el IFT considere la posibilidad de requerir y aceptar de una manera alternativa que las pruebas que apliquen se realicen con un simulador digital de radiocomunicaciones en vez de realizar las mediciones solamente con un Analizador de Espectros excepto para Emisiones No Esenciales tanto radiadas como conducidas y </w:t>
      </w:r>
      <w:r w:rsidRPr="006734FC">
        <w:rPr>
          <w:rFonts w:ascii="ITC Avant Garde" w:eastAsia="Times New Roman" w:hAnsi="ITC Avant Garde" w:cs="ITC Avant Garde"/>
          <w:color w:val="000000"/>
          <w:lang w:val="es-MX"/>
        </w:rPr>
        <w:t>PIRE</w:t>
      </w:r>
      <w:r w:rsidRPr="00D52E58">
        <w:rPr>
          <w:rFonts w:ascii="ITC Avant Garde" w:eastAsia="Times New Roman" w:hAnsi="ITC Avant Garde" w:cs="ITC Avant Garde"/>
          <w:color w:val="000000"/>
          <w:lang w:val="es-MX"/>
        </w:rPr>
        <w:t xml:space="preserve"> </w:t>
      </w:r>
      <w:r w:rsidRPr="00D52E58">
        <w:rPr>
          <w:rFonts w:ascii="ITC Avant Garde" w:eastAsia="Times New Roman" w:hAnsi="ITC Avant Garde" w:cs="ITC Avant Garde"/>
          <w:color w:val="000000"/>
          <w:lang w:val="es-MX"/>
        </w:rPr>
        <w:lastRenderedPageBreak/>
        <w:t>donde ahí se pudiera requerir el Analizador de Espectros. La certeza en las mediciones de los simuladores digitales de radiocomunicación se garantiza al requerir la certificación que asegura el equipo se comporta de acuerdo a lo especificado por la 3GPP. Esto ayuda a reducir los tiempos de prueba.</w:t>
      </w:r>
    </w:p>
    <w:p w:rsidR="00D52E58" w:rsidRPr="00D52E58" w:rsidRDefault="00D52E58" w:rsidP="00D52E58">
      <w:pPr>
        <w:pStyle w:val="Textocomentario"/>
        <w:jc w:val="both"/>
        <w:rPr>
          <w:rFonts w:ascii="ITC Avant Garde" w:eastAsia="Times New Roman" w:hAnsi="ITC Avant Garde" w:cs="ITC Avant Garde"/>
          <w:b/>
          <w:color w:val="000000"/>
          <w:lang w:val="es-MX"/>
        </w:rPr>
      </w:pPr>
      <w:r w:rsidRPr="00D52E58">
        <w:rPr>
          <w:rFonts w:ascii="ITC Avant Garde" w:eastAsia="Times New Roman" w:hAnsi="ITC Avant Garde" w:cs="ITC Avant Garde"/>
          <w:b/>
          <w:color w:val="000000"/>
          <w:lang w:val="es-MX"/>
        </w:rPr>
        <w:t>Respuesta:</w:t>
      </w:r>
    </w:p>
    <w:p w:rsidR="00D52E58" w:rsidRDefault="00D52E58" w:rsidP="00D52E58">
      <w:pPr>
        <w:pStyle w:val="Textocomentario"/>
        <w:jc w:val="both"/>
        <w:rPr>
          <w:rFonts w:ascii="ITC Avant Garde" w:eastAsia="Times New Roman" w:hAnsi="ITC Avant Garde" w:cs="ITC Avant Garde"/>
          <w:color w:val="000000"/>
          <w:lang w:val="es-MX"/>
        </w:rPr>
      </w:pPr>
      <w:r w:rsidRPr="00D52E58">
        <w:rPr>
          <w:rFonts w:ascii="ITC Avant Garde" w:eastAsia="Times New Roman" w:hAnsi="ITC Avant Garde" w:cs="ITC Avant Garde"/>
          <w:color w:val="000000"/>
          <w:lang w:val="es-MX"/>
        </w:rPr>
        <w:t>Se considera.</w:t>
      </w:r>
      <w:r w:rsidR="00FC499C">
        <w:rPr>
          <w:rFonts w:ascii="ITC Avant Garde" w:eastAsia="Times New Roman" w:hAnsi="ITC Avant Garde" w:cs="ITC Avant Garde"/>
          <w:color w:val="000000"/>
          <w:lang w:val="es-MX"/>
        </w:rPr>
        <w:t xml:space="preserve"> </w:t>
      </w:r>
      <w:r w:rsidRPr="00D52E58">
        <w:rPr>
          <w:rFonts w:ascii="ITC Avant Garde" w:eastAsia="Times New Roman" w:hAnsi="ITC Avant Garde" w:cs="ITC Avant Garde"/>
          <w:color w:val="000000"/>
          <w:lang w:val="es-MX"/>
        </w:rPr>
        <w:t>Se anexa en los métodos de prueba el empleo del Simulador digital de radiocomunicaciones</w:t>
      </w:r>
      <w:r w:rsidR="001A4E11">
        <w:rPr>
          <w:rFonts w:ascii="ITC Avant Garde" w:eastAsia="Times New Roman" w:hAnsi="ITC Avant Garde" w:cs="ITC Avant Garde"/>
          <w:color w:val="000000"/>
          <w:lang w:val="es-MX"/>
        </w:rPr>
        <w:t xml:space="preserve"> en los métodos de prueba correspondientes</w:t>
      </w:r>
      <w:r w:rsidRPr="00D52E58">
        <w:rPr>
          <w:rFonts w:ascii="ITC Avant Garde" w:eastAsia="Times New Roman" w:hAnsi="ITC Avant Garde" w:cs="ITC Avant Garde"/>
          <w:color w:val="000000"/>
          <w:lang w:val="es-MX"/>
        </w:rPr>
        <w:t>.</w:t>
      </w:r>
    </w:p>
    <w:p w:rsidR="003B5376" w:rsidRDefault="003B5376" w:rsidP="00D52E58">
      <w:pPr>
        <w:pStyle w:val="Textocomentario"/>
        <w:jc w:val="both"/>
        <w:rPr>
          <w:rFonts w:ascii="ITC Avant Garde" w:eastAsia="Times New Roman" w:hAnsi="ITC Avant Garde" w:cs="ITC Avant Garde"/>
          <w:color w:val="000000"/>
          <w:lang w:val="es-MX"/>
        </w:rPr>
      </w:pPr>
    </w:p>
    <w:p w:rsidR="003B5376" w:rsidRPr="00D52E58" w:rsidRDefault="003B5376" w:rsidP="003B5376">
      <w:pPr>
        <w:pStyle w:val="Textocomentario"/>
        <w:rPr>
          <w:rFonts w:ascii="ITC Avant Garde" w:eastAsia="Times New Roman" w:hAnsi="ITC Avant Garde" w:cs="ITC Avant Garde"/>
          <w:color w:val="000000"/>
          <w:lang w:val="es-MX"/>
        </w:rPr>
      </w:pPr>
      <w:r w:rsidRPr="00D52E58">
        <w:rPr>
          <w:rFonts w:ascii="ITC Avant Garde" w:eastAsia="Times New Roman" w:hAnsi="ITC Avant Garde" w:cs="ITC Avant Garde"/>
          <w:b/>
          <w:color w:val="000000"/>
          <w:lang w:val="es-MX"/>
        </w:rPr>
        <w:t>Participantes</w:t>
      </w:r>
      <w:r w:rsidRPr="00D52E58">
        <w:rPr>
          <w:rFonts w:ascii="ITC Avant Garde" w:eastAsia="Times New Roman" w:hAnsi="ITC Avant Garde" w:cs="ITC Avant Garde"/>
          <w:color w:val="000000"/>
          <w:lang w:val="es-MX"/>
        </w:rPr>
        <w:t xml:space="preserve">: </w:t>
      </w:r>
    </w:p>
    <w:p w:rsidR="003B5376" w:rsidRPr="00D52E58" w:rsidRDefault="003B5376" w:rsidP="003B5376">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ANCE</w:t>
      </w:r>
      <w:r w:rsidRPr="00D52E58">
        <w:rPr>
          <w:rFonts w:ascii="ITC Avant Garde" w:eastAsia="Times New Roman" w:hAnsi="ITC Avant Garde" w:cs="ITC Avant Garde"/>
          <w:color w:val="000000"/>
          <w:lang w:val="es-MX"/>
        </w:rPr>
        <w:t>:</w:t>
      </w:r>
    </w:p>
    <w:p w:rsidR="003B5376" w:rsidRPr="003B5376" w:rsidRDefault="003B5376" w:rsidP="003B5376">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El participante sugiere que e</w:t>
      </w:r>
      <w:r w:rsidRPr="003B5376">
        <w:rPr>
          <w:rFonts w:ascii="ITC Avant Garde" w:eastAsia="Times New Roman" w:hAnsi="ITC Avant Garde" w:cs="ITC Avant Garde"/>
          <w:color w:val="000000"/>
          <w:lang w:val="es-MX"/>
        </w:rPr>
        <w:t>l sitio para la aplicación de los métodos de pruebas de emisiones radiadas es una cámara anecoica, la cual debe poseer las características que aseguren condiciones de espacio libre</w:t>
      </w:r>
      <w:r>
        <w:rPr>
          <w:rFonts w:ascii="ITC Avant Garde" w:eastAsia="Times New Roman" w:hAnsi="ITC Avant Garde" w:cs="ITC Avant Garde"/>
          <w:color w:val="000000"/>
          <w:lang w:val="es-MX"/>
        </w:rPr>
        <w:t>.</w:t>
      </w:r>
    </w:p>
    <w:p w:rsidR="0023622D" w:rsidRPr="0023622D" w:rsidRDefault="0023622D" w:rsidP="003B5376">
      <w:pPr>
        <w:pStyle w:val="Textocomentario"/>
        <w:jc w:val="both"/>
        <w:rPr>
          <w:rFonts w:ascii="ITC Avant Garde" w:eastAsia="Times New Roman" w:hAnsi="ITC Avant Garde" w:cs="ITC Avant Garde"/>
          <w:b/>
          <w:color w:val="000000"/>
          <w:lang w:val="es-MX"/>
        </w:rPr>
      </w:pPr>
      <w:r w:rsidRPr="0023622D">
        <w:rPr>
          <w:rFonts w:ascii="ITC Avant Garde" w:eastAsia="Times New Roman" w:hAnsi="ITC Avant Garde" w:cs="ITC Avant Garde"/>
          <w:b/>
          <w:color w:val="000000"/>
          <w:lang w:val="es-MX"/>
        </w:rPr>
        <w:t>Respuesta:</w:t>
      </w:r>
    </w:p>
    <w:p w:rsidR="003B5376" w:rsidRDefault="003B5376" w:rsidP="003B5376">
      <w:pPr>
        <w:pStyle w:val="Textocomentario"/>
        <w:jc w:val="both"/>
        <w:rPr>
          <w:rFonts w:ascii="ITC Avant Garde" w:eastAsia="Times New Roman" w:hAnsi="ITC Avant Garde" w:cs="ITC Avant Garde"/>
          <w:color w:val="000000"/>
          <w:lang w:val="es-MX"/>
        </w:rPr>
      </w:pPr>
      <w:r w:rsidRPr="003B5376">
        <w:rPr>
          <w:rFonts w:ascii="ITC Avant Garde" w:eastAsia="Times New Roman" w:hAnsi="ITC Avant Garde" w:cs="ITC Avant Garde"/>
          <w:color w:val="000000"/>
          <w:lang w:val="es-MX"/>
        </w:rPr>
        <w:t>Se considera.</w:t>
      </w:r>
      <w:r w:rsidR="0023622D">
        <w:rPr>
          <w:rFonts w:ascii="ITC Avant Garde" w:eastAsia="Times New Roman" w:hAnsi="ITC Avant Garde" w:cs="ITC Avant Garde"/>
          <w:color w:val="000000"/>
          <w:lang w:val="es-MX"/>
        </w:rPr>
        <w:t xml:space="preserve"> </w:t>
      </w:r>
      <w:r w:rsidRPr="003B5376">
        <w:rPr>
          <w:rFonts w:ascii="ITC Avant Garde" w:eastAsia="Times New Roman" w:hAnsi="ITC Avant Garde" w:cs="ITC Avant Garde"/>
          <w:color w:val="000000"/>
          <w:lang w:val="es-MX"/>
        </w:rPr>
        <w:t>Se elimina sitio de pruebas de área abierta; la realización de las pruebas de emisiones radiadas se limita a su ejecución en cámaras anecoica, para evitar posibles afectaciones a la confiabilidad de la medición</w:t>
      </w:r>
    </w:p>
    <w:p w:rsidR="00A94D0E" w:rsidRDefault="00A94D0E" w:rsidP="003B5376">
      <w:pPr>
        <w:pStyle w:val="Textocomentario"/>
        <w:jc w:val="both"/>
        <w:rPr>
          <w:rFonts w:ascii="ITC Avant Garde" w:eastAsia="Times New Roman" w:hAnsi="ITC Avant Garde" w:cs="ITC Avant Garde"/>
          <w:color w:val="000000"/>
          <w:lang w:val="es-MX"/>
        </w:rPr>
      </w:pPr>
    </w:p>
    <w:p w:rsidR="00A94D0E" w:rsidRPr="00A94D0E" w:rsidRDefault="00DC431A" w:rsidP="00A94D0E">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Numeral 5.5.1 </w:t>
      </w:r>
      <w:r w:rsidR="00A94D0E" w:rsidRPr="00A94D0E">
        <w:rPr>
          <w:rFonts w:ascii="ITC Avant Garde" w:hAnsi="ITC Avant Garde" w:cs="ITC Avant Garde"/>
          <w:b/>
          <w:sz w:val="20"/>
          <w:szCs w:val="20"/>
        </w:rPr>
        <w:t>Potencia Pico de Salida</w:t>
      </w:r>
    </w:p>
    <w:p w:rsidR="00854F76" w:rsidRPr="006231F7" w:rsidRDefault="00854F76" w:rsidP="00854F76">
      <w:pPr>
        <w:pStyle w:val="Textocomentario"/>
        <w:jc w:val="both"/>
        <w:rPr>
          <w:rFonts w:ascii="ITC Avant Garde" w:eastAsia="Times New Roman" w:hAnsi="ITC Avant Garde" w:cs="ITC Avant Garde"/>
          <w:b/>
          <w:color w:val="000000"/>
          <w:lang w:val="es-MX"/>
        </w:rPr>
      </w:pPr>
      <w:r w:rsidRPr="00854F76">
        <w:rPr>
          <w:rFonts w:ascii="ITC Avant Garde" w:eastAsia="Times New Roman" w:hAnsi="ITC Avant Garde" w:cs="ITC Avant Garde"/>
          <w:b/>
          <w:color w:val="000000"/>
          <w:lang w:val="es-MX"/>
        </w:rPr>
        <w:t xml:space="preserve"> </w:t>
      </w:r>
      <w:r w:rsidRPr="006231F7">
        <w:rPr>
          <w:rFonts w:ascii="ITC Avant Garde" w:eastAsia="Times New Roman" w:hAnsi="ITC Avant Garde" w:cs="ITC Avant Garde"/>
          <w:b/>
          <w:color w:val="000000"/>
          <w:lang w:val="es-MX"/>
        </w:rPr>
        <w:t>Participante</w:t>
      </w:r>
    </w:p>
    <w:p w:rsidR="00A94D0E" w:rsidRPr="00DC431A" w:rsidRDefault="00A94D0E" w:rsidP="00DC431A">
      <w:pPr>
        <w:pStyle w:val="Prrafodelista1"/>
        <w:tabs>
          <w:tab w:val="left" w:pos="-708"/>
        </w:tabs>
        <w:spacing w:line="276" w:lineRule="auto"/>
        <w:ind w:left="12"/>
        <w:jc w:val="both"/>
        <w:rPr>
          <w:rFonts w:ascii="ITC Avant Garde" w:hAnsi="ITC Avant Garde" w:cs="ITC Avant Garde"/>
          <w:b/>
          <w:sz w:val="20"/>
          <w:szCs w:val="20"/>
        </w:rPr>
      </w:pPr>
      <w:r w:rsidRPr="00DC431A">
        <w:rPr>
          <w:rFonts w:ascii="ITC Avant Garde" w:hAnsi="ITC Avant Garde" w:cs="ITC Avant Garde"/>
          <w:b/>
          <w:sz w:val="20"/>
          <w:szCs w:val="20"/>
        </w:rPr>
        <w:t>CANIETI:</w:t>
      </w:r>
    </w:p>
    <w:p w:rsidR="00DC431A" w:rsidRPr="00DC431A" w:rsidRDefault="00DC431A" w:rsidP="00A94D0E">
      <w:pPr>
        <w:pStyle w:val="Textocomentario"/>
        <w:jc w:val="both"/>
        <w:rPr>
          <w:rFonts w:ascii="ITC Avant Garde" w:eastAsia="Times New Roman" w:hAnsi="ITC Avant Garde" w:cs="ITC Avant Garde"/>
          <w:b/>
          <w:color w:val="000000"/>
          <w:lang w:val="es-MX"/>
        </w:rPr>
      </w:pPr>
      <w:r w:rsidRPr="00DC431A">
        <w:rPr>
          <w:rFonts w:ascii="ITC Avant Garde" w:eastAsia="Times New Roman" w:hAnsi="ITC Avant Garde" w:cs="ITC Avant Garde"/>
          <w:b/>
          <w:color w:val="000000"/>
          <w:lang w:val="es-MX"/>
        </w:rPr>
        <w:t>Propuesta:</w:t>
      </w:r>
    </w:p>
    <w:p w:rsidR="00A94D0E" w:rsidRPr="00A94D0E" w:rsidRDefault="00A94D0E" w:rsidP="00A94D0E">
      <w:pPr>
        <w:pStyle w:val="Textocomentario"/>
        <w:jc w:val="both"/>
        <w:rPr>
          <w:rFonts w:ascii="ITC Avant Garde" w:eastAsia="Times New Roman" w:hAnsi="ITC Avant Garde" w:cs="ITC Avant Garde"/>
          <w:color w:val="000000"/>
          <w:lang w:val="es-MX"/>
        </w:rPr>
      </w:pPr>
      <w:r w:rsidRPr="00A94D0E">
        <w:rPr>
          <w:rFonts w:ascii="ITC Avant Garde" w:eastAsia="Times New Roman" w:hAnsi="ITC Avant Garde" w:cs="ITC Avant Garde"/>
          <w:color w:val="000000"/>
          <w:lang w:val="es-MX"/>
        </w:rPr>
        <w:t>El participante sugiere eliminar el inciso k.</w:t>
      </w:r>
    </w:p>
    <w:p w:rsidR="00A94D0E" w:rsidRDefault="00A94D0E" w:rsidP="00A94D0E">
      <w:pPr>
        <w:pStyle w:val="Textocomentario"/>
        <w:jc w:val="both"/>
        <w:rPr>
          <w:rFonts w:ascii="ITC Avant Garde" w:eastAsia="Times New Roman" w:hAnsi="ITC Avant Garde" w:cs="ITC Avant Garde"/>
          <w:color w:val="000000"/>
          <w:lang w:val="es-MX"/>
        </w:rPr>
      </w:pPr>
      <w:r w:rsidRPr="00A94D0E">
        <w:rPr>
          <w:rFonts w:ascii="ITC Avant Garde" w:eastAsia="Times New Roman" w:hAnsi="ITC Avant Garde" w:cs="ITC Avant Garde"/>
          <w:color w:val="000000"/>
          <w:lang w:val="es-MX"/>
        </w:rPr>
        <w:t xml:space="preserve">En el artículo 3 de este proyecto de disposición técnica, se define en el párrafo VIII al EBP, como una unidad representativa de un ETM, sin </w:t>
      </w:r>
      <w:r w:rsidR="007D311A" w:rsidRPr="00A94D0E">
        <w:rPr>
          <w:rFonts w:ascii="ITC Avant Garde" w:eastAsia="Times New Roman" w:hAnsi="ITC Avant Garde" w:cs="ITC Avant Garde"/>
          <w:color w:val="000000"/>
          <w:lang w:val="es-MX"/>
        </w:rPr>
        <w:t>embargo,</w:t>
      </w:r>
      <w:r w:rsidRPr="00A94D0E">
        <w:rPr>
          <w:rFonts w:ascii="ITC Avant Garde" w:eastAsia="Times New Roman" w:hAnsi="ITC Avant Garde" w:cs="ITC Avant Garde"/>
          <w:color w:val="000000"/>
          <w:lang w:val="es-MX"/>
        </w:rPr>
        <w:t xml:space="preserve"> los índices k.; l.; y m.; forzarían a la entrega de EBP predispuestos y/o preparados para ser presentados a un laboratorio de pruebas, ya que se requeriría la colocación de cables o conexiones con los que el ETM no se vende en forma común en el mercado. En caso de que no se presenten dichas conexiones provocaría que el Laboratorio deba “destruir” la carcasa del EBP cuando es del tipo “sellado”, para colocar cables externos de conexión a una fuente externa en lugar la batería. Además</w:t>
      </w:r>
      <w:r w:rsidR="007D311A">
        <w:rPr>
          <w:rFonts w:ascii="ITC Avant Garde" w:eastAsia="Times New Roman" w:hAnsi="ITC Avant Garde" w:cs="ITC Avant Garde"/>
          <w:color w:val="000000"/>
          <w:lang w:val="es-MX"/>
        </w:rPr>
        <w:t>,</w:t>
      </w:r>
      <w:r w:rsidRPr="00A94D0E">
        <w:rPr>
          <w:rFonts w:ascii="ITC Avant Garde" w:eastAsia="Times New Roman" w:hAnsi="ITC Avant Garde" w:cs="ITC Avant Garde"/>
          <w:color w:val="000000"/>
          <w:lang w:val="es-MX"/>
        </w:rPr>
        <w:t xml:space="preserve"> la colocación del EBP dentro de una cámara térmica, de shock térmico, enfriamiento o calentamiento de -10 °C a +50 °C provocaría que la medición en configuración de radiadas sería inviable la medición. Existen EBP no sellados a los cuales se les puede alimentar externamente, pero tal como está el proyecto de DT provocaría discriminación entre los diferentes tipos de ETM, algunos serían alterados (destruidos en su fabricación original) mientras otros no sufrirían daño alguno. Se reconoce deseable la medición de variaciones de potencia y frecuencia, sin embargo son inviables en muchos ETM. Particularmente esta situación se vuelve crítica en el seguimiento (punto 8.1) de este proyecto de DT. Adicionalmente de una revisión rápida de varias especificaciones de ETM los fabricantes especifican temperatura de operación de 0°C y +35°C, por lo que someterlos </w:t>
      </w:r>
      <w:r w:rsidRPr="00A94D0E">
        <w:rPr>
          <w:rFonts w:ascii="ITC Avant Garde" w:eastAsia="Times New Roman" w:hAnsi="ITC Avant Garde" w:cs="ITC Avant Garde"/>
          <w:color w:val="000000"/>
          <w:lang w:val="es-MX"/>
        </w:rPr>
        <w:lastRenderedPageBreak/>
        <w:t>a temperaturas por debajo y por encima de esas temperaturas el mismo fabricante no garantiza el funcionamiento correcto.</w:t>
      </w:r>
    </w:p>
    <w:p w:rsidR="000B28C3" w:rsidRPr="000B28C3" w:rsidRDefault="000B28C3" w:rsidP="00A94D0E">
      <w:pPr>
        <w:pStyle w:val="Textocomentario"/>
        <w:rPr>
          <w:rFonts w:ascii="ITC Avant Garde" w:eastAsia="Times New Roman" w:hAnsi="ITC Avant Garde" w:cs="ITC Avant Garde"/>
          <w:b/>
          <w:color w:val="000000"/>
          <w:lang w:val="es-MX"/>
        </w:rPr>
      </w:pPr>
      <w:r w:rsidRPr="000B28C3">
        <w:rPr>
          <w:rFonts w:ascii="ITC Avant Garde" w:eastAsia="Times New Roman" w:hAnsi="ITC Avant Garde" w:cs="ITC Avant Garde"/>
          <w:b/>
          <w:color w:val="000000"/>
          <w:lang w:val="es-MX"/>
        </w:rPr>
        <w:t>Respuesta:</w:t>
      </w:r>
    </w:p>
    <w:p w:rsidR="00A94D0E" w:rsidRPr="001A4E11" w:rsidRDefault="00A94D0E" w:rsidP="00A94D0E">
      <w:pPr>
        <w:pStyle w:val="Textocomentario"/>
        <w:rPr>
          <w:rFonts w:ascii="ITC Avant Garde" w:eastAsia="Times New Roman" w:hAnsi="ITC Avant Garde" w:cs="ITC Avant Garde"/>
          <w:color w:val="000000"/>
          <w:lang w:val="es-MX"/>
        </w:rPr>
      </w:pPr>
      <w:r w:rsidRPr="001A4E11">
        <w:rPr>
          <w:rFonts w:ascii="ITC Avant Garde" w:eastAsia="Times New Roman" w:hAnsi="ITC Avant Garde" w:cs="ITC Avant Garde"/>
          <w:color w:val="000000"/>
          <w:lang w:val="es-MX"/>
        </w:rPr>
        <w:t>Se considera.</w:t>
      </w:r>
    </w:p>
    <w:p w:rsidR="00DC431A" w:rsidRDefault="00DC431A" w:rsidP="00A94D0E">
      <w:pPr>
        <w:pStyle w:val="Textocomentario"/>
      </w:pPr>
    </w:p>
    <w:p w:rsidR="00854F76" w:rsidRPr="006231F7" w:rsidRDefault="00854F76" w:rsidP="00854F76">
      <w:pPr>
        <w:pStyle w:val="Textocomentario"/>
        <w:jc w:val="both"/>
        <w:rPr>
          <w:rFonts w:ascii="ITC Avant Garde" w:eastAsia="Times New Roman" w:hAnsi="ITC Avant Garde" w:cs="ITC Avant Garde"/>
          <w:b/>
          <w:color w:val="000000"/>
          <w:lang w:val="es-MX"/>
        </w:rPr>
      </w:pPr>
      <w:r w:rsidRPr="006231F7">
        <w:rPr>
          <w:rFonts w:ascii="ITC Avant Garde" w:eastAsia="Times New Roman" w:hAnsi="ITC Avant Garde" w:cs="ITC Avant Garde"/>
          <w:b/>
          <w:color w:val="000000"/>
          <w:lang w:val="es-MX"/>
        </w:rPr>
        <w:t>Participante</w:t>
      </w:r>
    </w:p>
    <w:p w:rsidR="00DC431A" w:rsidRPr="00DC431A" w:rsidRDefault="00DC431A" w:rsidP="00DC431A">
      <w:pPr>
        <w:pStyle w:val="Prrafodelista1"/>
        <w:tabs>
          <w:tab w:val="left" w:pos="-708"/>
        </w:tabs>
        <w:spacing w:line="276" w:lineRule="auto"/>
        <w:ind w:left="12"/>
        <w:jc w:val="both"/>
        <w:rPr>
          <w:rFonts w:ascii="ITC Avant Garde" w:hAnsi="ITC Avant Garde" w:cs="ITC Avant Garde"/>
          <w:b/>
          <w:sz w:val="20"/>
          <w:szCs w:val="20"/>
        </w:rPr>
      </w:pPr>
      <w:r w:rsidRPr="00DC431A">
        <w:rPr>
          <w:rFonts w:ascii="ITC Avant Garde" w:hAnsi="ITC Avant Garde" w:cs="ITC Avant Garde"/>
          <w:b/>
          <w:sz w:val="20"/>
          <w:szCs w:val="20"/>
        </w:rPr>
        <w:t>NYCE</w:t>
      </w:r>
    </w:p>
    <w:p w:rsidR="00DC431A" w:rsidRPr="00DC431A" w:rsidRDefault="00DC431A" w:rsidP="00DC431A">
      <w:pPr>
        <w:pStyle w:val="Textocomentario"/>
        <w:jc w:val="both"/>
        <w:rPr>
          <w:rFonts w:ascii="ITC Avant Garde" w:eastAsia="Times New Roman" w:hAnsi="ITC Avant Garde" w:cs="ITC Avant Garde"/>
          <w:b/>
          <w:color w:val="000000"/>
          <w:lang w:val="es-MX"/>
        </w:rPr>
      </w:pPr>
      <w:r w:rsidRPr="00DC431A">
        <w:rPr>
          <w:rFonts w:ascii="ITC Avant Garde" w:eastAsia="Times New Roman" w:hAnsi="ITC Avant Garde" w:cs="ITC Avant Garde"/>
          <w:b/>
          <w:color w:val="000000"/>
          <w:lang w:val="es-MX"/>
        </w:rPr>
        <w:t>Propuesta:</w:t>
      </w:r>
    </w:p>
    <w:p w:rsidR="00A94D0E" w:rsidRDefault="00DC431A" w:rsidP="00DC431A">
      <w:pPr>
        <w:pStyle w:val="Textocomentario"/>
        <w:jc w:val="both"/>
        <w:rPr>
          <w:rFonts w:ascii="ITC Avant Garde" w:eastAsia="Times New Roman" w:hAnsi="ITC Avant Garde" w:cs="ITC Avant Garde"/>
          <w:color w:val="000000"/>
          <w:lang w:val="es-MX"/>
        </w:rPr>
      </w:pPr>
      <w:r w:rsidRPr="00DC431A">
        <w:rPr>
          <w:rFonts w:ascii="ITC Avant Garde" w:eastAsia="Times New Roman" w:hAnsi="ITC Avant Garde" w:cs="ITC Avant Garde"/>
          <w:color w:val="000000"/>
          <w:lang w:val="es-MX"/>
        </w:rPr>
        <w:t>Comentario general. Para el caso de las mediciones de estabilidad en frecuencia, variando la tensión nominal y variando la temperatura, pensamos que no sería conveniente realizar esta prueba de la manera señalada, ya que varios ETM actualmente no se pueden abrir, lo que implicaría prácticamente la pérdida de los terminales a evaluar, de la misma forma, los laboratorios de pruebas tendrían que invertir en una cámara de temperatura y en una fuente de alimentación variable. Lo más conveniente para estos casos, sería realizar la prueba dejando el ETM un tiempo determinado y después se tome la variación en frecuencia, ello mediante la utilización de analizador de espectro. Realizar los siguientes ajustes al formato de reporte de resultados, Anexo A: 1. Falta también establecer los límites de humedad relativa y de temperatura para las mediciones ya que en el reporte de pruebas están incluidos esos campos.</w:t>
      </w:r>
    </w:p>
    <w:p w:rsidR="00DC431A" w:rsidRPr="00DC431A" w:rsidRDefault="00DC431A" w:rsidP="00DC431A">
      <w:pPr>
        <w:pStyle w:val="Textocomentario"/>
        <w:jc w:val="both"/>
        <w:rPr>
          <w:rFonts w:ascii="ITC Avant Garde" w:eastAsia="Times New Roman" w:hAnsi="ITC Avant Garde" w:cs="ITC Avant Garde"/>
          <w:b/>
          <w:color w:val="000000"/>
          <w:lang w:val="es-MX"/>
        </w:rPr>
      </w:pPr>
      <w:r w:rsidRPr="00DC431A">
        <w:rPr>
          <w:rFonts w:ascii="ITC Avant Garde" w:eastAsia="Times New Roman" w:hAnsi="ITC Avant Garde" w:cs="ITC Avant Garde"/>
          <w:b/>
          <w:color w:val="000000"/>
          <w:lang w:val="es-MX"/>
        </w:rPr>
        <w:t>Respuesta:</w:t>
      </w:r>
    </w:p>
    <w:p w:rsidR="00D72CCF" w:rsidRDefault="00DF310A" w:rsidP="00DC431A">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S</w:t>
      </w:r>
      <w:r w:rsidR="00DC431A" w:rsidRPr="00DC431A">
        <w:rPr>
          <w:rFonts w:ascii="ITC Avant Garde" w:eastAsia="Times New Roman" w:hAnsi="ITC Avant Garde" w:cs="ITC Avant Garde"/>
          <w:color w:val="000000"/>
          <w:lang w:val="es-MX"/>
        </w:rPr>
        <w:t>e considera</w:t>
      </w:r>
      <w:r>
        <w:rPr>
          <w:rFonts w:ascii="ITC Avant Garde" w:eastAsia="Times New Roman" w:hAnsi="ITC Avant Garde" w:cs="ITC Avant Garde"/>
          <w:color w:val="000000"/>
          <w:lang w:val="es-MX"/>
        </w:rPr>
        <w:t xml:space="preserve"> parcialmente</w:t>
      </w:r>
      <w:r w:rsidR="00DC431A" w:rsidRPr="00DC431A">
        <w:rPr>
          <w:rFonts w:ascii="ITC Avant Garde" w:eastAsia="Times New Roman" w:hAnsi="ITC Avant Garde" w:cs="ITC Avant Garde"/>
          <w:color w:val="000000"/>
          <w:lang w:val="es-MX"/>
        </w:rPr>
        <w:t>.</w:t>
      </w:r>
      <w:r w:rsidR="00FC499C">
        <w:rPr>
          <w:rFonts w:ascii="ITC Avant Garde" w:eastAsia="Times New Roman" w:hAnsi="ITC Avant Garde" w:cs="ITC Avant Garde"/>
          <w:color w:val="000000"/>
          <w:lang w:val="es-MX"/>
        </w:rPr>
        <w:t xml:space="preserve"> </w:t>
      </w:r>
    </w:p>
    <w:p w:rsidR="00DC431A" w:rsidRPr="00DC431A" w:rsidRDefault="00DC431A" w:rsidP="00DC431A">
      <w:pPr>
        <w:pStyle w:val="Textocomentario"/>
        <w:jc w:val="both"/>
        <w:rPr>
          <w:rFonts w:ascii="ITC Avant Garde" w:eastAsia="Times New Roman" w:hAnsi="ITC Avant Garde" w:cs="ITC Avant Garde"/>
          <w:color w:val="000000"/>
          <w:lang w:val="es-MX"/>
        </w:rPr>
      </w:pPr>
      <w:r w:rsidRPr="00DC431A">
        <w:rPr>
          <w:rFonts w:ascii="ITC Avant Garde" w:eastAsia="Times New Roman" w:hAnsi="ITC Avant Garde" w:cs="ITC Avant Garde"/>
          <w:color w:val="000000"/>
          <w:lang w:val="es-MX"/>
        </w:rPr>
        <w:t>El método de prueba se modificó para permitir el empleo de la configuración para mediciones conducidas, empleando una cámara de temperatura controlada y una fuente de alimentación variable.</w:t>
      </w:r>
    </w:p>
    <w:p w:rsidR="00D40CFA" w:rsidRPr="00D40CFA" w:rsidRDefault="00D40CFA" w:rsidP="00D40CF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Numeral </w:t>
      </w:r>
      <w:r w:rsidRPr="00D40CFA">
        <w:rPr>
          <w:rFonts w:ascii="ITC Avant Garde" w:hAnsi="ITC Avant Garde" w:cs="ITC Avant Garde"/>
          <w:b/>
          <w:sz w:val="20"/>
          <w:szCs w:val="20"/>
        </w:rPr>
        <w:t>5.</w:t>
      </w:r>
      <w:r>
        <w:rPr>
          <w:rFonts w:ascii="ITC Avant Garde" w:hAnsi="ITC Avant Garde" w:cs="ITC Avant Garde"/>
          <w:b/>
          <w:sz w:val="20"/>
          <w:szCs w:val="20"/>
        </w:rPr>
        <w:t xml:space="preserve">6 </w:t>
      </w:r>
      <w:r w:rsidRPr="00D40CFA">
        <w:rPr>
          <w:rFonts w:ascii="ITC Avant Garde" w:hAnsi="ITC Avant Garde" w:cs="ITC Avant Garde"/>
          <w:b/>
          <w:sz w:val="20"/>
          <w:szCs w:val="20"/>
        </w:rPr>
        <w:t>Potencia de las emisiones no deseadas</w:t>
      </w:r>
      <w:r w:rsidR="00D72CCF">
        <w:rPr>
          <w:rStyle w:val="Refdenotaalpie"/>
          <w:rFonts w:ascii="ITC Avant Garde" w:hAnsi="ITC Avant Garde" w:cs="ITC Avant Garde"/>
          <w:b/>
          <w:sz w:val="20"/>
          <w:szCs w:val="20"/>
        </w:rPr>
        <w:footnoteReference w:id="2"/>
      </w:r>
      <w:r w:rsidRPr="00D40CFA">
        <w:rPr>
          <w:rFonts w:ascii="ITC Avant Garde" w:hAnsi="ITC Avant Garde" w:cs="ITC Avant Garde"/>
          <w:b/>
          <w:sz w:val="20"/>
          <w:szCs w:val="20"/>
        </w:rPr>
        <w:t>.</w:t>
      </w:r>
    </w:p>
    <w:p w:rsidR="00854F76" w:rsidRPr="006231F7" w:rsidRDefault="00D40CFA" w:rsidP="00854F76">
      <w:pPr>
        <w:pStyle w:val="Textocomentario"/>
        <w:jc w:val="both"/>
        <w:rPr>
          <w:rFonts w:ascii="ITC Avant Garde" w:eastAsia="Times New Roman" w:hAnsi="ITC Avant Garde" w:cs="ITC Avant Garde"/>
          <w:b/>
          <w:color w:val="000000"/>
          <w:lang w:val="es-MX"/>
        </w:rPr>
      </w:pPr>
      <w:r w:rsidRPr="00E01D91">
        <w:rPr>
          <w:rFonts w:ascii="ITC Avant Garde" w:eastAsia="Times New Roman" w:hAnsi="ITC Avant Garde" w:cs="ITC Avant Garde"/>
          <w:color w:val="000000"/>
          <w:lang w:val="es-MX"/>
        </w:rPr>
        <w:t xml:space="preserve"> </w:t>
      </w:r>
      <w:r w:rsidR="00854F76">
        <w:rPr>
          <w:rFonts w:ascii="ITC Avant Garde" w:eastAsia="Times New Roman" w:hAnsi="ITC Avant Garde" w:cs="ITC Avant Garde"/>
          <w:b/>
          <w:color w:val="000000"/>
          <w:lang w:val="es-MX"/>
        </w:rPr>
        <w:t>Participante</w:t>
      </w:r>
    </w:p>
    <w:p w:rsidR="00D40CFA" w:rsidRPr="00E01D91" w:rsidRDefault="00E01D91" w:rsidP="00E01D91">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ANCE</w:t>
      </w:r>
    </w:p>
    <w:p w:rsidR="00E01D91" w:rsidRDefault="00E01D91" w:rsidP="00D40CFA">
      <w:pPr>
        <w:pStyle w:val="Textocomentario"/>
        <w:jc w:val="both"/>
        <w:rPr>
          <w:rFonts w:ascii="ITC Avant Garde" w:eastAsia="Times New Roman" w:hAnsi="ITC Avant Garde" w:cs="ITC Avant Garde"/>
          <w:b/>
          <w:color w:val="000000"/>
          <w:lang w:val="es-MX"/>
        </w:rPr>
      </w:pPr>
      <w:r>
        <w:rPr>
          <w:rFonts w:ascii="ITC Avant Garde" w:eastAsia="Times New Roman" w:hAnsi="ITC Avant Garde" w:cs="ITC Avant Garde"/>
          <w:b/>
          <w:color w:val="000000"/>
          <w:lang w:val="es-MX"/>
        </w:rPr>
        <w:t>Propuesta:</w:t>
      </w:r>
    </w:p>
    <w:p w:rsidR="00D40CFA" w:rsidRDefault="00E01D91" w:rsidP="00D40CFA">
      <w:pPr>
        <w:pStyle w:val="Textocomentario"/>
        <w:jc w:val="both"/>
        <w:rPr>
          <w:rFonts w:ascii="ITC Avant Garde" w:eastAsia="Times New Roman" w:hAnsi="ITC Avant Garde" w:cs="ITC Avant Garde"/>
          <w:color w:val="000000"/>
          <w:lang w:val="es-MX"/>
        </w:rPr>
      </w:pPr>
      <w:r w:rsidRPr="00E01D91">
        <w:rPr>
          <w:rFonts w:ascii="ITC Avant Garde" w:eastAsia="Times New Roman" w:hAnsi="ITC Avant Garde" w:cs="ITC Avant Garde"/>
          <w:color w:val="000000"/>
          <w:lang w:val="es-MX"/>
        </w:rPr>
        <w:br/>
      </w:r>
      <w:r w:rsidR="00D40CFA">
        <w:rPr>
          <w:rFonts w:ascii="ITC Avant Garde" w:eastAsia="Times New Roman" w:hAnsi="ITC Avant Garde" w:cs="ITC Avant Garde"/>
          <w:color w:val="000000"/>
          <w:lang w:val="es-MX"/>
        </w:rPr>
        <w:t xml:space="preserve">El participante </w:t>
      </w:r>
      <w:r w:rsidR="00D40CFA" w:rsidRPr="00D40CFA">
        <w:rPr>
          <w:rFonts w:ascii="ITC Avant Garde" w:eastAsia="Times New Roman" w:hAnsi="ITC Avant Garde" w:cs="ITC Avant Garde"/>
          <w:color w:val="000000"/>
          <w:lang w:val="es-MX"/>
        </w:rPr>
        <w:t>recomienda incluir la referencia al documento "</w:t>
      </w:r>
      <w:proofErr w:type="spellStart"/>
      <w:r w:rsidR="00D40CFA" w:rsidRPr="00D40CFA">
        <w:rPr>
          <w:rFonts w:ascii="ITC Avant Garde" w:eastAsia="Times New Roman" w:hAnsi="ITC Avant Garde" w:cs="ITC Avant Garde"/>
          <w:color w:val="000000"/>
          <w:lang w:val="es-MX"/>
        </w:rPr>
        <w:t>Measurement</w:t>
      </w:r>
      <w:proofErr w:type="spellEnd"/>
      <w:r w:rsidR="00D40CFA" w:rsidRPr="00D40CFA">
        <w:rPr>
          <w:rFonts w:ascii="ITC Avant Garde" w:eastAsia="Times New Roman" w:hAnsi="ITC Avant Garde" w:cs="ITC Avant Garde"/>
          <w:color w:val="000000"/>
          <w:lang w:val="es-MX"/>
        </w:rPr>
        <w:t xml:space="preserve"> </w:t>
      </w:r>
      <w:proofErr w:type="spellStart"/>
      <w:r w:rsidR="00D40CFA" w:rsidRPr="00D40CFA">
        <w:rPr>
          <w:rFonts w:ascii="ITC Avant Garde" w:eastAsia="Times New Roman" w:hAnsi="ITC Avant Garde" w:cs="ITC Avant Garde"/>
          <w:color w:val="000000"/>
          <w:lang w:val="es-MX"/>
        </w:rPr>
        <w:t>guidance</w:t>
      </w:r>
      <w:proofErr w:type="spellEnd"/>
      <w:r w:rsidR="00D40CFA" w:rsidRPr="00D40CFA">
        <w:rPr>
          <w:rFonts w:ascii="ITC Avant Garde" w:eastAsia="Times New Roman" w:hAnsi="ITC Avant Garde" w:cs="ITC Avant Garde"/>
          <w:color w:val="000000"/>
          <w:lang w:val="es-MX"/>
        </w:rPr>
        <w:t xml:space="preserve"> </w:t>
      </w:r>
      <w:proofErr w:type="spellStart"/>
      <w:r w:rsidR="00D40CFA" w:rsidRPr="00D40CFA">
        <w:rPr>
          <w:rFonts w:ascii="ITC Avant Garde" w:eastAsia="Times New Roman" w:hAnsi="ITC Avant Garde" w:cs="ITC Avant Garde"/>
          <w:color w:val="000000"/>
          <w:lang w:val="es-MX"/>
        </w:rPr>
        <w:t>for</w:t>
      </w:r>
      <w:proofErr w:type="spellEnd"/>
      <w:r w:rsidR="00D40CFA" w:rsidRPr="00D40CFA">
        <w:rPr>
          <w:rFonts w:ascii="ITC Avant Garde" w:eastAsia="Times New Roman" w:hAnsi="ITC Avant Garde" w:cs="ITC Avant Garde"/>
          <w:color w:val="000000"/>
          <w:lang w:val="es-MX"/>
        </w:rPr>
        <w:t xml:space="preserve"> </w:t>
      </w:r>
      <w:proofErr w:type="spellStart"/>
      <w:r w:rsidR="00D40CFA" w:rsidRPr="00D40CFA">
        <w:rPr>
          <w:rFonts w:ascii="ITC Avant Garde" w:eastAsia="Times New Roman" w:hAnsi="ITC Avant Garde" w:cs="ITC Avant Garde"/>
          <w:color w:val="000000"/>
          <w:lang w:val="es-MX"/>
        </w:rPr>
        <w:t>certificacion</w:t>
      </w:r>
      <w:proofErr w:type="spellEnd"/>
      <w:r w:rsidR="00D40CFA" w:rsidRPr="00D40CFA">
        <w:rPr>
          <w:rFonts w:ascii="ITC Avant Garde" w:eastAsia="Times New Roman" w:hAnsi="ITC Avant Garde" w:cs="ITC Avant Garde"/>
          <w:color w:val="000000"/>
          <w:lang w:val="es-MX"/>
        </w:rPr>
        <w:t xml:space="preserve"> of </w:t>
      </w:r>
      <w:proofErr w:type="spellStart"/>
      <w:r w:rsidR="00D40CFA" w:rsidRPr="00D40CFA">
        <w:rPr>
          <w:rFonts w:ascii="ITC Avant Garde" w:eastAsia="Times New Roman" w:hAnsi="ITC Avant Garde" w:cs="ITC Avant Garde"/>
          <w:color w:val="000000"/>
          <w:lang w:val="es-MX"/>
        </w:rPr>
        <w:t>licensed</w:t>
      </w:r>
      <w:proofErr w:type="spellEnd"/>
      <w:r w:rsidR="00D40CFA" w:rsidRPr="00D40CFA">
        <w:rPr>
          <w:rFonts w:ascii="ITC Avant Garde" w:eastAsia="Times New Roman" w:hAnsi="ITC Avant Garde" w:cs="ITC Avant Garde"/>
          <w:color w:val="000000"/>
          <w:lang w:val="es-MX"/>
        </w:rPr>
        <w:t xml:space="preserve"> digital </w:t>
      </w:r>
      <w:proofErr w:type="spellStart"/>
      <w:r w:rsidR="00D40CFA" w:rsidRPr="00D40CFA">
        <w:rPr>
          <w:rFonts w:ascii="ITC Avant Garde" w:eastAsia="Times New Roman" w:hAnsi="ITC Avant Garde" w:cs="ITC Avant Garde"/>
          <w:color w:val="000000"/>
          <w:lang w:val="es-MX"/>
        </w:rPr>
        <w:t>transmitters</w:t>
      </w:r>
      <w:proofErr w:type="spellEnd"/>
      <w:r w:rsidR="00D40CFA" w:rsidRPr="00D40CFA">
        <w:rPr>
          <w:rFonts w:ascii="ITC Avant Garde" w:eastAsia="Times New Roman" w:hAnsi="ITC Avant Garde" w:cs="ITC Avant Garde"/>
          <w:color w:val="000000"/>
          <w:lang w:val="es-MX"/>
        </w:rPr>
        <w:t xml:space="preserve"> de FCC, KDB </w:t>
      </w:r>
      <w:proofErr w:type="spellStart"/>
      <w:r w:rsidR="00D40CFA" w:rsidRPr="00D40CFA">
        <w:rPr>
          <w:rFonts w:ascii="ITC Avant Garde" w:eastAsia="Times New Roman" w:hAnsi="ITC Avant Garde" w:cs="ITC Avant Garde"/>
          <w:color w:val="000000"/>
          <w:lang w:val="es-MX"/>
        </w:rPr>
        <w:t>Publication</w:t>
      </w:r>
      <w:proofErr w:type="spellEnd"/>
      <w:r w:rsidR="00D40CFA" w:rsidRPr="00D40CFA">
        <w:rPr>
          <w:rFonts w:ascii="ITC Avant Garde" w:eastAsia="Times New Roman" w:hAnsi="ITC Avant Garde" w:cs="ITC Avant Garde"/>
          <w:color w:val="000000"/>
          <w:lang w:val="es-MX"/>
        </w:rPr>
        <w:t xml:space="preserve"> 971168 "https://apps.fcc.gov/oetcf/kdb/forms/FTSSearchResultPage.cfm?switch=P&amp;id=47466", en su inciso 5.7." para el método de prueba de 5.6 del presente proyecto de disposición técnica.</w:t>
      </w:r>
    </w:p>
    <w:p w:rsidR="00D40CFA" w:rsidRPr="00D40CFA" w:rsidRDefault="00D40CFA" w:rsidP="00D40CFA">
      <w:pPr>
        <w:pStyle w:val="Textocomentario"/>
        <w:jc w:val="both"/>
        <w:rPr>
          <w:rFonts w:ascii="ITC Avant Garde" w:eastAsia="Times New Roman" w:hAnsi="ITC Avant Garde" w:cs="ITC Avant Garde"/>
          <w:b/>
          <w:color w:val="000000"/>
          <w:lang w:val="es-MX"/>
        </w:rPr>
      </w:pPr>
      <w:r w:rsidRPr="00D40CFA">
        <w:rPr>
          <w:rFonts w:ascii="ITC Avant Garde" w:eastAsia="Times New Roman" w:hAnsi="ITC Avant Garde" w:cs="ITC Avant Garde"/>
          <w:b/>
          <w:color w:val="000000"/>
          <w:lang w:val="es-MX"/>
        </w:rPr>
        <w:t>Respuestas:</w:t>
      </w:r>
    </w:p>
    <w:p w:rsidR="00D40CFA" w:rsidRDefault="00FC499C" w:rsidP="00D40CFA">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lastRenderedPageBreak/>
        <w:t>S</w:t>
      </w:r>
      <w:r w:rsidR="00B8288E">
        <w:rPr>
          <w:rFonts w:ascii="ITC Avant Garde" w:eastAsia="Times New Roman" w:hAnsi="ITC Avant Garde" w:cs="ITC Avant Garde"/>
          <w:color w:val="000000"/>
          <w:lang w:val="es-MX"/>
        </w:rPr>
        <w:t>e</w:t>
      </w:r>
      <w:r>
        <w:rPr>
          <w:rFonts w:ascii="ITC Avant Garde" w:eastAsia="Times New Roman" w:hAnsi="ITC Avant Garde" w:cs="ITC Avant Garde"/>
          <w:color w:val="000000"/>
          <w:lang w:val="es-MX"/>
        </w:rPr>
        <w:t xml:space="preserve"> considera. </w:t>
      </w:r>
      <w:r w:rsidR="00D40CFA" w:rsidRPr="00D40CFA">
        <w:rPr>
          <w:rFonts w:ascii="ITC Avant Garde" w:eastAsia="Times New Roman" w:hAnsi="ITC Avant Garde" w:cs="ITC Avant Garde"/>
          <w:color w:val="000000"/>
          <w:lang w:val="es-MX"/>
        </w:rPr>
        <w:t>Se anexa la referencia como nota al pie.</w:t>
      </w:r>
    </w:p>
    <w:p w:rsidR="00E01D91" w:rsidRPr="00E01D91" w:rsidRDefault="00E01D91" w:rsidP="00854F76">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E01D91">
        <w:rPr>
          <w:rFonts w:ascii="ITC Avant Garde" w:hAnsi="ITC Avant Garde" w:cs="ITC Avant Garde"/>
          <w:b/>
          <w:sz w:val="20"/>
          <w:szCs w:val="20"/>
        </w:rPr>
        <w:t xml:space="preserve">Numeral 5.8 Manual del ETM </w:t>
      </w:r>
    </w:p>
    <w:p w:rsidR="006231F7" w:rsidRPr="006231F7" w:rsidRDefault="006231F7" w:rsidP="006231F7">
      <w:pPr>
        <w:pStyle w:val="Textocomentario"/>
        <w:jc w:val="both"/>
        <w:rPr>
          <w:rFonts w:ascii="ITC Avant Garde" w:eastAsia="Times New Roman" w:hAnsi="ITC Avant Garde" w:cs="ITC Avant Garde"/>
          <w:b/>
          <w:color w:val="000000"/>
          <w:lang w:val="es-MX"/>
        </w:rPr>
      </w:pPr>
      <w:r w:rsidRPr="006231F7">
        <w:rPr>
          <w:rFonts w:ascii="ITC Avant Garde" w:eastAsia="Times New Roman" w:hAnsi="ITC Avant Garde" w:cs="ITC Avant Garde"/>
          <w:b/>
          <w:color w:val="000000"/>
          <w:lang w:val="es-MX"/>
        </w:rPr>
        <w:t>Participantes</w:t>
      </w:r>
    </w:p>
    <w:p w:rsidR="00E01D91" w:rsidRDefault="00E01D91" w:rsidP="00E01D91">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CANIETI y ADVANCE</w:t>
      </w:r>
    </w:p>
    <w:p w:rsidR="00E01D91" w:rsidRPr="00E01D91" w:rsidRDefault="00E01D91" w:rsidP="00E01D91">
      <w:pPr>
        <w:pStyle w:val="Textocomentario"/>
        <w:jc w:val="both"/>
        <w:rPr>
          <w:rFonts w:ascii="ITC Avant Garde" w:eastAsia="Times New Roman" w:hAnsi="ITC Avant Garde" w:cs="ITC Avant Garde"/>
          <w:b/>
          <w:color w:val="000000"/>
          <w:lang w:val="es-MX"/>
        </w:rPr>
      </w:pPr>
      <w:r w:rsidRPr="00E01D91">
        <w:rPr>
          <w:rFonts w:ascii="ITC Avant Garde" w:eastAsia="Times New Roman" w:hAnsi="ITC Avant Garde" w:cs="ITC Avant Garde"/>
          <w:b/>
          <w:color w:val="000000"/>
          <w:lang w:val="es-MX"/>
        </w:rPr>
        <w:t>Propuesta:</w:t>
      </w:r>
    </w:p>
    <w:p w:rsidR="00E01D91" w:rsidRPr="00E01D91" w:rsidRDefault="00E01D91" w:rsidP="00E01D91">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Los participantes sugieren eliminar el término pruebas</w:t>
      </w:r>
      <w:r w:rsidR="00680497">
        <w:rPr>
          <w:rFonts w:ascii="ITC Avant Garde" w:eastAsia="Times New Roman" w:hAnsi="ITC Avant Garde" w:cs="ITC Avant Garde"/>
          <w:color w:val="000000"/>
          <w:lang w:val="es-MX"/>
        </w:rPr>
        <w:t xml:space="preserve"> del n</w:t>
      </w:r>
      <w:r w:rsidR="00680497" w:rsidRPr="00680497">
        <w:rPr>
          <w:rFonts w:ascii="ITC Avant Garde" w:eastAsia="Times New Roman" w:hAnsi="ITC Avant Garde" w:cs="ITC Avant Garde"/>
          <w:color w:val="000000"/>
          <w:lang w:val="es-MX"/>
        </w:rPr>
        <w:t>umeral 5.8 Manual del ETM</w:t>
      </w:r>
      <w:r>
        <w:rPr>
          <w:rFonts w:ascii="ITC Avant Garde" w:eastAsia="Times New Roman" w:hAnsi="ITC Avant Garde" w:cs="ITC Avant Garde"/>
          <w:color w:val="000000"/>
          <w:lang w:val="es-MX"/>
        </w:rPr>
        <w:t>.</w:t>
      </w:r>
    </w:p>
    <w:p w:rsidR="00E01D91" w:rsidRPr="00DC431A" w:rsidRDefault="00E01D91" w:rsidP="00E01D91">
      <w:pPr>
        <w:pStyle w:val="Textocomentario"/>
        <w:jc w:val="both"/>
        <w:rPr>
          <w:rFonts w:ascii="ITC Avant Garde" w:eastAsia="Times New Roman" w:hAnsi="ITC Avant Garde" w:cs="ITC Avant Garde"/>
          <w:b/>
          <w:color w:val="000000"/>
          <w:lang w:val="es-MX"/>
        </w:rPr>
      </w:pPr>
      <w:r w:rsidRPr="00DC431A">
        <w:rPr>
          <w:rFonts w:ascii="ITC Avant Garde" w:eastAsia="Times New Roman" w:hAnsi="ITC Avant Garde" w:cs="ITC Avant Garde"/>
          <w:b/>
          <w:color w:val="000000"/>
          <w:lang w:val="es-MX"/>
        </w:rPr>
        <w:t>Respuesta:</w:t>
      </w:r>
    </w:p>
    <w:p w:rsidR="00E01D91" w:rsidRPr="00E01D91" w:rsidRDefault="00E01D91" w:rsidP="00E01D91">
      <w:pPr>
        <w:pStyle w:val="Textocomentario"/>
        <w:jc w:val="both"/>
        <w:rPr>
          <w:rFonts w:ascii="ITC Avant Garde" w:eastAsia="Times New Roman" w:hAnsi="ITC Avant Garde" w:cs="ITC Avant Garde"/>
          <w:color w:val="000000"/>
          <w:lang w:val="es-MX"/>
        </w:rPr>
      </w:pPr>
      <w:r w:rsidRPr="00E01D91">
        <w:rPr>
          <w:rFonts w:ascii="ITC Avant Garde" w:eastAsia="Times New Roman" w:hAnsi="ITC Avant Garde" w:cs="ITC Avant Garde"/>
          <w:color w:val="000000"/>
          <w:lang w:val="es-MX"/>
        </w:rPr>
        <w:t>Se considera.</w:t>
      </w:r>
    </w:p>
    <w:p w:rsidR="00E01D91" w:rsidRPr="00713CA9" w:rsidRDefault="002575D2" w:rsidP="00713CA9">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2575D2">
        <w:rPr>
          <w:rFonts w:ascii="ITC Avant Garde" w:hAnsi="ITC Avant Garde" w:cs="ITC Avant Garde"/>
          <w:b/>
          <w:sz w:val="20"/>
          <w:szCs w:val="20"/>
        </w:rPr>
        <w:t>8</w:t>
      </w:r>
      <w:r w:rsidRPr="00713CA9">
        <w:rPr>
          <w:rFonts w:ascii="ITC Avant Garde" w:hAnsi="ITC Avant Garde" w:cs="ITC Avant Garde"/>
          <w:b/>
          <w:sz w:val="20"/>
          <w:szCs w:val="20"/>
        </w:rPr>
        <w:t>. Evaluación de la conformidad</w:t>
      </w:r>
    </w:p>
    <w:p w:rsidR="006231F7" w:rsidRPr="006231F7" w:rsidRDefault="00854F76" w:rsidP="006231F7">
      <w:pPr>
        <w:pStyle w:val="Textocomentario"/>
        <w:jc w:val="both"/>
        <w:rPr>
          <w:rFonts w:ascii="ITC Avant Garde" w:eastAsia="Times New Roman" w:hAnsi="ITC Avant Garde" w:cs="ITC Avant Garde"/>
          <w:b/>
          <w:color w:val="000000"/>
          <w:lang w:val="es-MX"/>
        </w:rPr>
      </w:pPr>
      <w:r>
        <w:rPr>
          <w:rFonts w:ascii="ITC Avant Garde" w:eastAsia="Times New Roman" w:hAnsi="ITC Avant Garde" w:cs="ITC Avant Garde"/>
          <w:b/>
          <w:color w:val="000000"/>
          <w:lang w:val="es-MX"/>
        </w:rPr>
        <w:t>Participante</w:t>
      </w:r>
    </w:p>
    <w:p w:rsidR="004B40A1" w:rsidRPr="004B40A1" w:rsidRDefault="004B40A1" w:rsidP="00713CA9">
      <w:pPr>
        <w:pStyle w:val="Textocomentario"/>
        <w:jc w:val="both"/>
        <w:rPr>
          <w:rFonts w:ascii="ITC Avant Garde" w:eastAsia="Times New Roman" w:hAnsi="ITC Avant Garde" w:cs="ITC Avant Garde"/>
          <w:color w:val="000000"/>
          <w:lang w:val="es-MX"/>
        </w:rPr>
      </w:pPr>
      <w:r w:rsidRPr="004B40A1">
        <w:rPr>
          <w:rFonts w:ascii="ITC Avant Garde" w:eastAsia="Times New Roman" w:hAnsi="ITC Avant Garde" w:cs="ITC Avant Garde"/>
          <w:color w:val="000000"/>
          <w:lang w:val="es-MX"/>
        </w:rPr>
        <w:t>NYCE</w:t>
      </w:r>
    </w:p>
    <w:p w:rsidR="00713CA9" w:rsidRPr="00E01D91" w:rsidRDefault="00713CA9" w:rsidP="00713CA9">
      <w:pPr>
        <w:pStyle w:val="Textocomentario"/>
        <w:jc w:val="both"/>
        <w:rPr>
          <w:rFonts w:ascii="ITC Avant Garde" w:eastAsia="Times New Roman" w:hAnsi="ITC Avant Garde" w:cs="ITC Avant Garde"/>
          <w:b/>
          <w:color w:val="000000"/>
          <w:lang w:val="es-MX"/>
        </w:rPr>
      </w:pPr>
      <w:r w:rsidRPr="00E01D91">
        <w:rPr>
          <w:rFonts w:ascii="ITC Avant Garde" w:eastAsia="Times New Roman" w:hAnsi="ITC Avant Garde" w:cs="ITC Avant Garde"/>
          <w:b/>
          <w:color w:val="000000"/>
          <w:lang w:val="es-MX"/>
        </w:rPr>
        <w:t>Propuesta:</w:t>
      </w:r>
    </w:p>
    <w:p w:rsidR="004B40A1" w:rsidRDefault="00713CA9" w:rsidP="00713CA9">
      <w:pPr>
        <w:pStyle w:val="Prrafodelista1"/>
        <w:tabs>
          <w:tab w:val="left" w:pos="-708"/>
        </w:tabs>
        <w:spacing w:line="276" w:lineRule="auto"/>
        <w:ind w:left="0"/>
        <w:jc w:val="both"/>
        <w:rPr>
          <w:rFonts w:ascii="ITC Avant Garde" w:hAnsi="ITC Avant Garde" w:cs="ITC Avant Garde"/>
          <w:b/>
          <w:sz w:val="20"/>
          <w:szCs w:val="20"/>
        </w:rPr>
      </w:pPr>
      <w:r w:rsidRPr="00713CA9">
        <w:rPr>
          <w:rFonts w:ascii="ITC Avant Garde" w:eastAsia="Times New Roman" w:hAnsi="ITC Avant Garde" w:cs="ITC Avant Garde"/>
          <w:color w:val="000000"/>
          <w:sz w:val="20"/>
          <w:szCs w:val="20"/>
          <w:lang w:val="es-MX"/>
        </w:rPr>
        <w:t>Se propone eliminar los textos actuales de este numeral y sustituirlos por los siguientes, "La evaluación de la conformidad se realizará conforme a los Procedimientos de evaluación de la conformidad de productos sujetos al cumplimiento de normas oficiales mexicanas de la competencia de la Secretaría de Comunicaciones y Transportes a través de la Comisión Federal de Telecomunicaciones o los que los sustituyan</w:t>
      </w:r>
      <w:r w:rsidRPr="00713CA9">
        <w:rPr>
          <w:rFonts w:ascii="ITC Avant Garde" w:hAnsi="ITC Avant Garde" w:cs="ITC Avant Garde"/>
          <w:b/>
          <w:sz w:val="20"/>
          <w:szCs w:val="20"/>
        </w:rPr>
        <w:t xml:space="preserve">.       </w:t>
      </w:r>
    </w:p>
    <w:p w:rsidR="004B40A1" w:rsidRPr="00DC431A" w:rsidRDefault="004B40A1" w:rsidP="004B40A1">
      <w:pPr>
        <w:pStyle w:val="Textocomentario"/>
        <w:jc w:val="both"/>
        <w:rPr>
          <w:rFonts w:ascii="ITC Avant Garde" w:eastAsia="Times New Roman" w:hAnsi="ITC Avant Garde" w:cs="ITC Avant Garde"/>
          <w:b/>
          <w:color w:val="000000"/>
          <w:lang w:val="es-MX"/>
        </w:rPr>
      </w:pPr>
      <w:r w:rsidRPr="00DC431A">
        <w:rPr>
          <w:rFonts w:ascii="ITC Avant Garde" w:eastAsia="Times New Roman" w:hAnsi="ITC Avant Garde" w:cs="ITC Avant Garde"/>
          <w:b/>
          <w:color w:val="000000"/>
          <w:lang w:val="es-MX"/>
        </w:rPr>
        <w:t>Respuesta:</w:t>
      </w:r>
    </w:p>
    <w:p w:rsidR="00680497" w:rsidRDefault="00916D27" w:rsidP="00597D0A">
      <w:pPr>
        <w:pStyle w:val="Textocomentario"/>
        <w:jc w:val="both"/>
        <w:rPr>
          <w:rFonts w:ascii="ITC Avant Garde" w:eastAsia="Times New Roman" w:hAnsi="ITC Avant Garde" w:cs="ITC Avant Garde"/>
          <w:color w:val="000000"/>
          <w:lang w:val="es-MX"/>
        </w:rPr>
      </w:pPr>
      <w:r w:rsidRPr="004024B7">
        <w:rPr>
          <w:rFonts w:ascii="ITC Avant Garde" w:hAnsi="ITC Avant Garde" w:cs="ITC Avant Garde"/>
        </w:rPr>
        <w:t>No se considera.</w:t>
      </w:r>
      <w:r w:rsidRPr="004024B7">
        <w:rPr>
          <w:rFonts w:ascii="ITC Avant Garde" w:eastAsia="Times New Roman" w:hAnsi="ITC Avant Garde" w:cs="ITC Avant Garde"/>
          <w:color w:val="000000"/>
          <w:lang w:val="es-MX"/>
        </w:rPr>
        <w:t xml:space="preserve"> </w:t>
      </w:r>
      <w:r w:rsidR="00FC499C">
        <w:rPr>
          <w:rFonts w:ascii="ITC Avant Garde" w:eastAsia="Times New Roman" w:hAnsi="ITC Avant Garde" w:cs="ITC Avant Garde"/>
          <w:color w:val="000000"/>
          <w:lang w:val="es-MX"/>
        </w:rPr>
        <w:t>El texto se establece</w:t>
      </w:r>
      <w:r w:rsidR="00680497">
        <w:rPr>
          <w:rFonts w:ascii="ITC Avant Garde" w:eastAsia="Times New Roman" w:hAnsi="ITC Avant Garde" w:cs="ITC Avant Garde"/>
          <w:color w:val="000000"/>
          <w:lang w:val="es-MX"/>
        </w:rPr>
        <w:t xml:space="preserve"> en los siguientes términos: </w:t>
      </w:r>
    </w:p>
    <w:p w:rsidR="00680497" w:rsidRPr="00680497" w:rsidRDefault="00FC499C" w:rsidP="00680497">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lang w:val="es-MX"/>
        </w:rPr>
        <w:t>“</w:t>
      </w:r>
      <w:r w:rsidR="00680497" w:rsidRPr="00680497">
        <w:rPr>
          <w:rFonts w:ascii="ITC Avant Garde" w:hAnsi="ITC Avant Garde" w:cs="ITC Avant Garde"/>
          <w:b/>
          <w:i/>
          <w:sz w:val="20"/>
          <w:szCs w:val="20"/>
        </w:rPr>
        <w:t>8. EVALUACIÓN DE LA CONFORMIDAD.</w:t>
      </w:r>
    </w:p>
    <w:p w:rsidR="00680497" w:rsidRPr="00680497" w:rsidRDefault="00680497" w:rsidP="00680497">
      <w:pPr>
        <w:spacing w:line="276" w:lineRule="auto"/>
        <w:ind w:left="709" w:right="474"/>
        <w:jc w:val="both"/>
        <w:rPr>
          <w:rFonts w:ascii="ITC Avant Garde" w:hAnsi="ITC Avant Garde" w:cs="ITC Avant Garde"/>
          <w:b/>
          <w:i/>
          <w:sz w:val="20"/>
          <w:szCs w:val="20"/>
        </w:rPr>
      </w:pPr>
      <w:r w:rsidRPr="00680497">
        <w:rPr>
          <w:rFonts w:ascii="ITC Avant Garde" w:hAnsi="ITC Avant Garde" w:cs="ITC Avant Garde"/>
          <w:b/>
          <w:i/>
          <w:sz w:val="20"/>
          <w:szCs w:val="20"/>
        </w:rPr>
        <w:t xml:space="preserve">La evaluación de la conformidad de la parte 2 de la presente Disposición Técnica se realizará en los términos de la LFTR, </w:t>
      </w:r>
      <w:r w:rsidR="006734FC">
        <w:rPr>
          <w:rFonts w:ascii="ITC Avant Garde" w:hAnsi="ITC Avant Garde" w:cs="ITC Avant Garde"/>
          <w:b/>
          <w:i/>
          <w:sz w:val="20"/>
          <w:szCs w:val="20"/>
        </w:rPr>
        <w:t xml:space="preserve">en lo aplicable </w:t>
      </w:r>
      <w:r w:rsidRPr="00680497">
        <w:rPr>
          <w:rFonts w:ascii="ITC Avant Garde" w:hAnsi="ITC Avant Garde" w:cs="ITC Avant Garde"/>
          <w:b/>
          <w:i/>
          <w:sz w:val="20"/>
          <w:szCs w:val="20"/>
        </w:rPr>
        <w:t>del Procedimiento de Evaluación de la Conformidad vigente y de las disposiciones que al efecto emita el Instituto.</w:t>
      </w:r>
    </w:p>
    <w:p w:rsidR="006231F7" w:rsidRPr="006231F7" w:rsidRDefault="006231F7" w:rsidP="006231F7">
      <w:pPr>
        <w:pStyle w:val="Textocomentario"/>
        <w:jc w:val="both"/>
        <w:rPr>
          <w:rFonts w:ascii="ITC Avant Garde" w:eastAsia="Times New Roman" w:hAnsi="ITC Avant Garde" w:cs="ITC Avant Garde"/>
          <w:b/>
          <w:color w:val="000000"/>
          <w:lang w:val="es-MX"/>
        </w:rPr>
      </w:pPr>
      <w:r w:rsidRPr="006231F7">
        <w:rPr>
          <w:rFonts w:ascii="ITC Avant Garde" w:eastAsia="Times New Roman" w:hAnsi="ITC Avant Garde" w:cs="ITC Avant Garde"/>
          <w:b/>
          <w:color w:val="000000"/>
          <w:lang w:val="es-MX"/>
        </w:rPr>
        <w:t>Participantes</w:t>
      </w:r>
    </w:p>
    <w:p w:rsidR="004B40A1" w:rsidRPr="004B40A1" w:rsidRDefault="004B40A1" w:rsidP="00713CA9">
      <w:pPr>
        <w:pStyle w:val="Prrafodelista1"/>
        <w:tabs>
          <w:tab w:val="left" w:pos="-708"/>
        </w:tabs>
        <w:spacing w:line="276" w:lineRule="auto"/>
        <w:ind w:left="0"/>
        <w:jc w:val="both"/>
        <w:rPr>
          <w:rFonts w:ascii="ITC Avant Garde" w:hAnsi="ITC Avant Garde" w:cs="ITC Avant Garde"/>
          <w:sz w:val="20"/>
          <w:szCs w:val="20"/>
        </w:rPr>
      </w:pPr>
      <w:r w:rsidRPr="004B40A1">
        <w:rPr>
          <w:rFonts w:ascii="ITC Avant Garde" w:hAnsi="ITC Avant Garde" w:cs="ITC Avant Garde"/>
          <w:sz w:val="20"/>
          <w:szCs w:val="20"/>
        </w:rPr>
        <w:t>CANIETI y ADVANCE</w:t>
      </w:r>
    </w:p>
    <w:p w:rsidR="004B40A1" w:rsidRPr="00E01D91" w:rsidRDefault="004B40A1" w:rsidP="004B40A1">
      <w:pPr>
        <w:pStyle w:val="Textocomentario"/>
        <w:jc w:val="both"/>
        <w:rPr>
          <w:rFonts w:ascii="ITC Avant Garde" w:eastAsia="Times New Roman" w:hAnsi="ITC Avant Garde" w:cs="ITC Avant Garde"/>
          <w:b/>
          <w:color w:val="000000"/>
          <w:lang w:val="es-MX"/>
        </w:rPr>
      </w:pPr>
      <w:r w:rsidRPr="00E01D91">
        <w:rPr>
          <w:rFonts w:ascii="ITC Avant Garde" w:eastAsia="Times New Roman" w:hAnsi="ITC Avant Garde" w:cs="ITC Avant Garde"/>
          <w:b/>
          <w:color w:val="000000"/>
          <w:lang w:val="es-MX"/>
        </w:rPr>
        <w:t>Propuesta:</w:t>
      </w:r>
    </w:p>
    <w:p w:rsidR="004B40A1" w:rsidRDefault="004B40A1" w:rsidP="004B40A1">
      <w:pPr>
        <w:pStyle w:val="Textocomentario"/>
        <w:jc w:val="both"/>
        <w:rPr>
          <w:rFonts w:ascii="ITC Avant Garde" w:eastAsia="Times New Roman" w:hAnsi="ITC Avant Garde" w:cs="ITC Avant Garde"/>
          <w:color w:val="000000"/>
          <w:lang w:val="es-MX"/>
        </w:rPr>
      </w:pPr>
      <w:r w:rsidRPr="004B40A1">
        <w:rPr>
          <w:rFonts w:ascii="ITC Avant Garde" w:eastAsia="Times New Roman" w:hAnsi="ITC Avant Garde" w:cs="ITC Avant Garde"/>
          <w:color w:val="000000"/>
          <w:lang w:val="es-MX"/>
        </w:rPr>
        <w:t xml:space="preserve">El Instituto otorgará al solicitante el Certificado de Homologación el cual será único, y podrá amparar diversos Certificados de Conformidad emitidos bajo diversas Disposiciones Técnicas aplicables a los ETM. Dicho proceso se realizará una vez que el solicitante anexe en su solicitud de Homologación el o los Certificados de Conformidad correspondientes, en un plazo no mayor a doce días hábiles contados a partir de la fecha de recepción de la solicitud del Certificado de Homologación correspondiente.   </w:t>
      </w:r>
    </w:p>
    <w:p w:rsidR="004B40A1" w:rsidRDefault="004B40A1" w:rsidP="004B40A1">
      <w:pPr>
        <w:pStyle w:val="Textocomentario"/>
        <w:jc w:val="both"/>
        <w:rPr>
          <w:rFonts w:ascii="ITC Avant Garde" w:eastAsia="Times New Roman" w:hAnsi="ITC Avant Garde" w:cs="ITC Avant Garde"/>
          <w:b/>
          <w:color w:val="000000"/>
          <w:lang w:val="es-MX"/>
        </w:rPr>
      </w:pPr>
      <w:r w:rsidRPr="00DC431A">
        <w:rPr>
          <w:rFonts w:ascii="ITC Avant Garde" w:eastAsia="Times New Roman" w:hAnsi="ITC Avant Garde" w:cs="ITC Avant Garde"/>
          <w:b/>
          <w:color w:val="000000"/>
          <w:lang w:val="es-MX"/>
        </w:rPr>
        <w:t>Respuesta</w:t>
      </w:r>
      <w:r w:rsidR="00680497">
        <w:rPr>
          <w:rFonts w:ascii="ITC Avant Garde" w:eastAsia="Times New Roman" w:hAnsi="ITC Avant Garde" w:cs="ITC Avant Garde"/>
          <w:b/>
          <w:color w:val="000000"/>
          <w:lang w:val="es-MX"/>
        </w:rPr>
        <w:t>:</w:t>
      </w:r>
    </w:p>
    <w:p w:rsidR="00680497" w:rsidRDefault="001F1FE6" w:rsidP="004B40A1">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lastRenderedPageBreak/>
        <w:t>Se considera parcialmente</w:t>
      </w:r>
      <w:r w:rsidR="00680497">
        <w:rPr>
          <w:rFonts w:ascii="ITC Avant Garde" w:eastAsia="Times New Roman" w:hAnsi="ITC Avant Garde" w:cs="ITC Avant Garde"/>
          <w:color w:val="000000"/>
          <w:lang w:val="es-MX"/>
        </w:rPr>
        <w:t>.</w:t>
      </w:r>
      <w:r w:rsidR="00FC499C">
        <w:rPr>
          <w:rFonts w:ascii="ITC Avant Garde" w:eastAsia="Times New Roman" w:hAnsi="ITC Avant Garde" w:cs="ITC Avant Garde"/>
          <w:color w:val="000000"/>
          <w:lang w:val="es-MX"/>
        </w:rPr>
        <w:t xml:space="preserve"> </w:t>
      </w:r>
      <w:r>
        <w:rPr>
          <w:rFonts w:ascii="ITC Avant Garde" w:eastAsia="Times New Roman" w:hAnsi="ITC Avant Garde" w:cs="ITC Avant Garde"/>
          <w:color w:val="000000"/>
          <w:lang w:val="es-MX"/>
        </w:rPr>
        <w:t>Quedando en los siguientes términos</w:t>
      </w:r>
      <w:r w:rsidR="00FC499C">
        <w:rPr>
          <w:rFonts w:ascii="ITC Avant Garde" w:eastAsia="Times New Roman" w:hAnsi="ITC Avant Garde" w:cs="ITC Avant Garde"/>
          <w:color w:val="000000"/>
          <w:lang w:val="es-MX"/>
        </w:rPr>
        <w:t xml:space="preserve"> (en concordancia con la DT IFT-011-2017 Parte 1)</w:t>
      </w:r>
      <w:r>
        <w:rPr>
          <w:rFonts w:ascii="ITC Avant Garde" w:eastAsia="Times New Roman" w:hAnsi="ITC Avant Garde" w:cs="ITC Avant Garde"/>
          <w:color w:val="000000"/>
          <w:lang w:val="es-MX"/>
        </w:rPr>
        <w:t>:</w:t>
      </w:r>
    </w:p>
    <w:p w:rsidR="00680497" w:rsidRPr="00680497" w:rsidRDefault="00706E34" w:rsidP="00680497">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r w:rsidR="00680497" w:rsidRPr="00680497">
        <w:rPr>
          <w:rFonts w:ascii="ITC Avant Garde" w:hAnsi="ITC Avant Garde" w:cs="ITC Avant Garde"/>
          <w:b/>
          <w:i/>
          <w:sz w:val="20"/>
          <w:szCs w:val="20"/>
        </w:rPr>
        <w:t>8. EVALUACIÓN DE LA CONFORMIDAD.</w:t>
      </w:r>
    </w:p>
    <w:p w:rsidR="00680497" w:rsidRPr="00680497" w:rsidRDefault="001F1FE6" w:rsidP="00680497">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p>
    <w:p w:rsidR="00680497" w:rsidRPr="00680497" w:rsidRDefault="00680497" w:rsidP="00680497">
      <w:pPr>
        <w:spacing w:line="276" w:lineRule="auto"/>
        <w:ind w:left="709" w:right="474"/>
        <w:jc w:val="both"/>
        <w:rPr>
          <w:rFonts w:ascii="ITC Avant Garde" w:hAnsi="ITC Avant Garde" w:cs="ITC Avant Garde"/>
          <w:b/>
          <w:i/>
          <w:sz w:val="20"/>
          <w:szCs w:val="20"/>
        </w:rPr>
      </w:pPr>
      <w:r w:rsidRPr="00680497">
        <w:rPr>
          <w:rFonts w:ascii="ITC Avant Garde" w:hAnsi="ITC Avant Garde" w:cs="ITC Avant Garde"/>
          <w:b/>
          <w:i/>
          <w:sz w:val="20"/>
          <w:szCs w:val="20"/>
        </w:rPr>
        <w:t xml:space="preserve">El Instituto otorgará el Certificado de Homologación al solicitante, una vez que éste anexe en su solicitud de Homologación el Certificado de Conformidad </w:t>
      </w:r>
      <w:r w:rsidR="00265025">
        <w:rPr>
          <w:rFonts w:ascii="ITC Avant Garde" w:hAnsi="ITC Avant Garde" w:cs="ITC Avant Garde"/>
          <w:b/>
          <w:i/>
          <w:sz w:val="20"/>
          <w:szCs w:val="20"/>
        </w:rPr>
        <w:t xml:space="preserve">y el pago de derechos </w:t>
      </w:r>
      <w:r w:rsidRPr="00680497">
        <w:rPr>
          <w:rFonts w:ascii="ITC Avant Garde" w:hAnsi="ITC Avant Garde" w:cs="ITC Avant Garde"/>
          <w:b/>
          <w:i/>
          <w:sz w:val="20"/>
          <w:szCs w:val="20"/>
        </w:rPr>
        <w:t>correspondiente</w:t>
      </w:r>
      <w:r w:rsidR="00265025">
        <w:rPr>
          <w:rFonts w:ascii="ITC Avant Garde" w:hAnsi="ITC Avant Garde" w:cs="ITC Avant Garde"/>
          <w:b/>
          <w:i/>
          <w:sz w:val="20"/>
          <w:szCs w:val="20"/>
        </w:rPr>
        <w:t>s</w:t>
      </w:r>
      <w:r w:rsidRPr="00680497">
        <w:rPr>
          <w:rFonts w:ascii="ITC Avant Garde" w:hAnsi="ITC Avant Garde" w:cs="ITC Avant Garde"/>
          <w:b/>
          <w:i/>
          <w:sz w:val="20"/>
          <w:szCs w:val="20"/>
        </w:rPr>
        <w:t xml:space="preserve">, en un plazo no mayor a veinte días hábiles contados a partir de la fecha de recepción de la solicitud del Certificado de Homologación.  </w:t>
      </w:r>
    </w:p>
    <w:p w:rsidR="00680497" w:rsidRPr="00680497" w:rsidRDefault="00680497" w:rsidP="00680497">
      <w:pPr>
        <w:spacing w:line="276" w:lineRule="auto"/>
        <w:ind w:left="709" w:right="474"/>
        <w:jc w:val="both"/>
        <w:rPr>
          <w:rFonts w:ascii="ITC Avant Garde" w:hAnsi="ITC Avant Garde" w:cs="ITC Avant Garde"/>
          <w:b/>
          <w:i/>
          <w:sz w:val="20"/>
          <w:szCs w:val="20"/>
        </w:rPr>
      </w:pPr>
      <w:r w:rsidRPr="00680497">
        <w:rPr>
          <w:rFonts w:ascii="ITC Avant Garde" w:hAnsi="ITC Avant Garde" w:cs="ITC Avant Garde"/>
          <w:b/>
          <w:i/>
          <w:sz w:val="20"/>
          <w:szCs w:val="20"/>
        </w:rPr>
        <w:t>El Certificado de Homologación será único y podrá amparar diversos Certificados de Conformidad emitidos bajo las Disposiciones Técnicas aplicables a los ETM.</w:t>
      </w:r>
      <w:r w:rsidR="00706E34">
        <w:rPr>
          <w:rFonts w:ascii="ITC Avant Garde" w:hAnsi="ITC Avant Garde" w:cs="ITC Avant Garde"/>
          <w:b/>
          <w:i/>
          <w:sz w:val="20"/>
          <w:szCs w:val="20"/>
        </w:rPr>
        <w:t>”</w:t>
      </w:r>
    </w:p>
    <w:p w:rsidR="00713CA9" w:rsidRPr="004B40A1" w:rsidRDefault="00713CA9" w:rsidP="004B40A1">
      <w:pPr>
        <w:pStyle w:val="Textocomentario"/>
        <w:jc w:val="both"/>
        <w:rPr>
          <w:rFonts w:ascii="ITC Avant Garde" w:eastAsia="Times New Roman" w:hAnsi="ITC Avant Garde" w:cs="ITC Avant Garde"/>
          <w:color w:val="000000"/>
          <w:lang w:val="es-MX"/>
        </w:rPr>
      </w:pPr>
      <w:r w:rsidRPr="004B40A1">
        <w:rPr>
          <w:rFonts w:ascii="ITC Avant Garde" w:eastAsia="Times New Roman" w:hAnsi="ITC Avant Garde" w:cs="ITC Avant Garde"/>
          <w:color w:val="000000"/>
          <w:lang w:val="es-MX"/>
        </w:rPr>
        <w:t xml:space="preserve">                                                                                                                   </w:t>
      </w:r>
    </w:p>
    <w:p w:rsidR="002575D2" w:rsidRDefault="002575D2" w:rsidP="002575D2">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8.1 Vigilancia del Cumplimiento de la Certificación</w:t>
      </w:r>
    </w:p>
    <w:p w:rsidR="006231F7" w:rsidRPr="006231F7" w:rsidRDefault="006231F7" w:rsidP="006231F7">
      <w:pPr>
        <w:pStyle w:val="Textocomentario"/>
        <w:jc w:val="both"/>
        <w:rPr>
          <w:rFonts w:ascii="ITC Avant Garde" w:eastAsia="Times New Roman" w:hAnsi="ITC Avant Garde" w:cs="ITC Avant Garde"/>
          <w:b/>
          <w:color w:val="000000"/>
          <w:lang w:val="es-MX"/>
        </w:rPr>
      </w:pPr>
      <w:r w:rsidRPr="006231F7">
        <w:rPr>
          <w:rFonts w:ascii="ITC Avant Garde" w:eastAsia="Times New Roman" w:hAnsi="ITC Avant Garde" w:cs="ITC Avant Garde"/>
          <w:b/>
          <w:color w:val="000000"/>
          <w:lang w:val="es-MX"/>
        </w:rPr>
        <w:t>Participantes</w:t>
      </w:r>
    </w:p>
    <w:p w:rsidR="002575D2" w:rsidRPr="002575D2" w:rsidRDefault="002575D2" w:rsidP="002575D2">
      <w:pPr>
        <w:pStyle w:val="Textocomentario"/>
        <w:jc w:val="both"/>
        <w:rPr>
          <w:rFonts w:ascii="ITC Avant Garde" w:eastAsia="Times New Roman" w:hAnsi="ITC Avant Garde" w:cs="ITC Avant Garde"/>
          <w:color w:val="000000"/>
          <w:lang w:val="es-MX"/>
        </w:rPr>
      </w:pPr>
      <w:r w:rsidRPr="002575D2">
        <w:rPr>
          <w:rFonts w:ascii="ITC Avant Garde" w:eastAsia="Times New Roman" w:hAnsi="ITC Avant Garde" w:cs="ITC Avant Garde"/>
          <w:color w:val="000000"/>
          <w:lang w:val="es-MX"/>
        </w:rPr>
        <w:t>CANIETI</w:t>
      </w:r>
      <w:r w:rsidR="00713CA9">
        <w:rPr>
          <w:rFonts w:ascii="ITC Avant Garde" w:eastAsia="Times New Roman" w:hAnsi="ITC Avant Garde" w:cs="ITC Avant Garde"/>
          <w:color w:val="000000"/>
          <w:lang w:val="es-MX"/>
        </w:rPr>
        <w:t xml:space="preserve"> y ADVANCE</w:t>
      </w:r>
      <w:r w:rsidRPr="002575D2">
        <w:rPr>
          <w:rFonts w:ascii="ITC Avant Garde" w:eastAsia="Times New Roman" w:hAnsi="ITC Avant Garde" w:cs="ITC Avant Garde"/>
          <w:color w:val="000000"/>
          <w:lang w:val="es-MX"/>
        </w:rPr>
        <w:t>:</w:t>
      </w:r>
    </w:p>
    <w:p w:rsidR="004B40A1" w:rsidRPr="00E01D91" w:rsidRDefault="004B40A1" w:rsidP="004B40A1">
      <w:pPr>
        <w:pStyle w:val="Textocomentario"/>
        <w:jc w:val="both"/>
        <w:rPr>
          <w:rFonts w:ascii="ITC Avant Garde" w:eastAsia="Times New Roman" w:hAnsi="ITC Avant Garde" w:cs="ITC Avant Garde"/>
          <w:b/>
          <w:color w:val="000000"/>
          <w:lang w:val="es-MX"/>
        </w:rPr>
      </w:pPr>
      <w:r w:rsidRPr="00E01D91">
        <w:rPr>
          <w:rFonts w:ascii="ITC Avant Garde" w:eastAsia="Times New Roman" w:hAnsi="ITC Avant Garde" w:cs="ITC Avant Garde"/>
          <w:b/>
          <w:color w:val="000000"/>
          <w:lang w:val="es-MX"/>
        </w:rPr>
        <w:t>Propuesta:</w:t>
      </w:r>
    </w:p>
    <w:p w:rsidR="00713CA9" w:rsidRDefault="002575D2" w:rsidP="00713CA9">
      <w:pPr>
        <w:pStyle w:val="Textocomentario"/>
        <w:jc w:val="both"/>
        <w:rPr>
          <w:b/>
        </w:rPr>
      </w:pPr>
      <w:r>
        <w:rPr>
          <w:rFonts w:ascii="ITC Avant Garde" w:eastAsia="Times New Roman" w:hAnsi="ITC Avant Garde" w:cs="ITC Avant Garde"/>
          <w:color w:val="000000"/>
          <w:lang w:val="es-MX"/>
        </w:rPr>
        <w:t xml:space="preserve">Los participantes sugieren </w:t>
      </w:r>
      <w:r w:rsidR="00713CA9">
        <w:rPr>
          <w:rFonts w:ascii="ITC Avant Garde" w:eastAsia="Times New Roman" w:hAnsi="ITC Avant Garde" w:cs="ITC Avant Garde"/>
          <w:color w:val="000000"/>
          <w:lang w:val="es-MX"/>
        </w:rPr>
        <w:t>reducir e</w:t>
      </w:r>
      <w:r w:rsidRPr="002575D2">
        <w:rPr>
          <w:rFonts w:ascii="ITC Avant Garde" w:eastAsia="Times New Roman" w:hAnsi="ITC Avant Garde" w:cs="ITC Avant Garde"/>
          <w:color w:val="000000"/>
          <w:lang w:val="es-MX"/>
        </w:rPr>
        <w:t>l número anual de visitas de Vigilancia del cumplimiento de la certificación se llevará a cabo sobre una porción del diez por ciento del total de los certificados expedidos respecto a la Disposición</w:t>
      </w:r>
      <w:r w:rsidRPr="00713CA9">
        <w:rPr>
          <w:rFonts w:ascii="ITC Avant Garde" w:eastAsia="Times New Roman" w:hAnsi="ITC Avant Garde" w:cs="ITC Avant Garde"/>
          <w:color w:val="000000"/>
          <w:lang w:val="es-MX"/>
        </w:rPr>
        <w:t xml:space="preserve"> Técnica IFT-011-2017. Parte 2</w:t>
      </w:r>
      <w:r w:rsidR="00713CA9">
        <w:rPr>
          <w:rFonts w:ascii="ITC Avant Garde" w:eastAsia="Times New Roman" w:hAnsi="ITC Avant Garde" w:cs="ITC Avant Garde"/>
          <w:color w:val="000000"/>
          <w:lang w:val="es-MX"/>
        </w:rPr>
        <w:t>.</w:t>
      </w:r>
      <w:r w:rsidR="00713CA9" w:rsidRPr="00864E31">
        <w:rPr>
          <w:b/>
        </w:rPr>
        <w:t xml:space="preserve"> </w:t>
      </w:r>
    </w:p>
    <w:p w:rsidR="004B40A1" w:rsidRDefault="004B40A1" w:rsidP="004B40A1">
      <w:pPr>
        <w:pStyle w:val="Textocomentario"/>
        <w:jc w:val="both"/>
        <w:rPr>
          <w:rFonts w:ascii="ITC Avant Garde" w:eastAsia="Times New Roman" w:hAnsi="ITC Avant Garde" w:cs="ITC Avant Garde"/>
          <w:color w:val="000000"/>
          <w:lang w:val="es-MX"/>
        </w:rPr>
      </w:pPr>
      <w:r w:rsidRPr="00DC431A">
        <w:rPr>
          <w:rFonts w:ascii="ITC Avant Garde" w:eastAsia="Times New Roman" w:hAnsi="ITC Avant Garde" w:cs="ITC Avant Garde"/>
          <w:b/>
          <w:color w:val="000000"/>
          <w:lang w:val="es-MX"/>
        </w:rPr>
        <w:t>Respuesta</w:t>
      </w:r>
    </w:p>
    <w:p w:rsidR="001F1FE6" w:rsidRDefault="001F1FE6" w:rsidP="002557CD">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Se </w:t>
      </w:r>
      <w:r w:rsidR="002557CD" w:rsidRPr="000B1376">
        <w:rPr>
          <w:rFonts w:ascii="ITC Avant Garde" w:eastAsia="Times New Roman" w:hAnsi="ITC Avant Garde" w:cs="ITC Avant Garde"/>
          <w:color w:val="000000"/>
          <w:lang w:val="es-MX"/>
        </w:rPr>
        <w:t xml:space="preserve">considera </w:t>
      </w:r>
      <w:r>
        <w:rPr>
          <w:rFonts w:ascii="ITC Avant Garde" w:eastAsia="Times New Roman" w:hAnsi="ITC Avant Garde" w:cs="ITC Avant Garde"/>
          <w:color w:val="000000"/>
          <w:lang w:val="es-MX"/>
        </w:rPr>
        <w:t xml:space="preserve">parcialmente. </w:t>
      </w:r>
    </w:p>
    <w:p w:rsidR="001F1FE6" w:rsidRDefault="001F1FE6" w:rsidP="002557CD">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En el numeral </w:t>
      </w:r>
      <w:r w:rsidRPr="001F1FE6">
        <w:rPr>
          <w:rFonts w:ascii="ITC Avant Garde" w:eastAsia="Times New Roman" w:hAnsi="ITC Avant Garde" w:cs="ITC Avant Garde"/>
          <w:color w:val="000000"/>
          <w:lang w:val="es-MX"/>
        </w:rPr>
        <w:t>8.1 Vigilancia del cumplimiento de la certificación.</w:t>
      </w:r>
      <w:r>
        <w:rPr>
          <w:rFonts w:ascii="ITC Avant Garde" w:eastAsia="Times New Roman" w:hAnsi="ITC Avant Garde" w:cs="ITC Avant Garde"/>
          <w:color w:val="000000"/>
          <w:lang w:val="es-MX"/>
        </w:rPr>
        <w:t xml:space="preserve"> Se establece:</w:t>
      </w:r>
    </w:p>
    <w:p w:rsidR="001F1FE6" w:rsidRDefault="001F1FE6" w:rsidP="002557CD">
      <w:pPr>
        <w:pStyle w:val="Textocomentario"/>
        <w:jc w:val="both"/>
        <w:rPr>
          <w:rFonts w:ascii="ITC Avant Garde" w:eastAsia="Times New Roman" w:hAnsi="ITC Avant Garde" w:cs="ITC Avant Garde"/>
          <w:color w:val="000000"/>
          <w:lang w:val="es-MX"/>
        </w:rPr>
      </w:pPr>
    </w:p>
    <w:p w:rsidR="001F1FE6" w:rsidRDefault="00402A08" w:rsidP="001F1FE6">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r w:rsidR="001F1FE6">
        <w:rPr>
          <w:rFonts w:ascii="ITC Avant Garde" w:hAnsi="ITC Avant Garde" w:cs="ITC Avant Garde"/>
          <w:b/>
          <w:i/>
          <w:sz w:val="20"/>
          <w:szCs w:val="20"/>
        </w:rPr>
        <w:t>…</w:t>
      </w:r>
    </w:p>
    <w:p w:rsidR="001F1FE6" w:rsidRDefault="001F1FE6" w:rsidP="001F1FE6">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p>
    <w:p w:rsidR="001F1FE6" w:rsidRDefault="001F1FE6" w:rsidP="001F1FE6">
      <w:pPr>
        <w:spacing w:line="276" w:lineRule="auto"/>
        <w:ind w:left="709" w:right="474"/>
        <w:jc w:val="both"/>
        <w:rPr>
          <w:rFonts w:ascii="ITC Avant Garde" w:hAnsi="ITC Avant Garde" w:cs="ITC Avant Garde"/>
          <w:b/>
          <w:i/>
          <w:sz w:val="20"/>
          <w:szCs w:val="20"/>
        </w:rPr>
      </w:pPr>
      <w:r w:rsidRPr="001F1FE6">
        <w:rPr>
          <w:rFonts w:ascii="ITC Avant Garde" w:hAnsi="ITC Avant Garde" w:cs="ITC Avant Garde"/>
          <w:b/>
          <w:i/>
          <w:sz w:val="20"/>
          <w:szCs w:val="20"/>
        </w:rPr>
        <w:t xml:space="preserve">El número anual de visitas de Vigilancia del cumplimiento de la certificación se llevará a cabo sobre una porción de entre el cinco y el quince por ciento del total de los Certificados de Conformidad expedidos por cada Organismo de Certificación respecto a la Disposición Técnica IFT-011-2017. Parte 2., el año anterior en que se realice la Vigilancia del cumplimiento de la certificación, seleccionados éstos de manera aleatoria. </w:t>
      </w:r>
    </w:p>
    <w:p w:rsidR="001F1FE6" w:rsidRDefault="001F1FE6" w:rsidP="001F1FE6">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p>
    <w:p w:rsidR="001F1FE6" w:rsidRPr="001F1FE6" w:rsidRDefault="001F1FE6" w:rsidP="001F1FE6">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r w:rsidR="00402A08">
        <w:rPr>
          <w:rFonts w:ascii="ITC Avant Garde" w:hAnsi="ITC Avant Garde" w:cs="ITC Avant Garde"/>
          <w:b/>
          <w:i/>
          <w:sz w:val="20"/>
          <w:szCs w:val="20"/>
        </w:rPr>
        <w:t>”</w:t>
      </w:r>
    </w:p>
    <w:p w:rsidR="001F1FE6" w:rsidRDefault="001F1FE6" w:rsidP="001F1FE6">
      <w:pPr>
        <w:spacing w:line="276" w:lineRule="auto"/>
        <w:ind w:right="474"/>
        <w:jc w:val="both"/>
        <w:rPr>
          <w:rFonts w:ascii="ITC Avant Garde" w:hAnsi="ITC Avant Garde" w:cs="ITC Avant Garde"/>
          <w:sz w:val="20"/>
          <w:szCs w:val="20"/>
        </w:rPr>
      </w:pPr>
      <w:r>
        <w:rPr>
          <w:rFonts w:ascii="ITC Avant Garde" w:hAnsi="ITC Avant Garde" w:cs="ITC Avant Garde"/>
          <w:sz w:val="20"/>
          <w:szCs w:val="20"/>
        </w:rPr>
        <w:t xml:space="preserve">Adicionalmente en el primer párrafo del TRANSITORIO Quinto se establece lo siguiente: </w:t>
      </w:r>
    </w:p>
    <w:p w:rsidR="001F1FE6" w:rsidRPr="001F1FE6" w:rsidRDefault="00DB65E3" w:rsidP="001F1FE6">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lastRenderedPageBreak/>
        <w:t>“</w:t>
      </w:r>
      <w:r w:rsidR="001F1FE6" w:rsidRPr="001F1FE6">
        <w:rPr>
          <w:rFonts w:ascii="ITC Avant Garde" w:hAnsi="ITC Avant Garde" w:cs="ITC Avant Garde"/>
          <w:b/>
          <w:i/>
          <w:sz w:val="20"/>
          <w:szCs w:val="20"/>
        </w:rPr>
        <w:t>QUINTO.- El porcentaje de Certificados de Conformidad sujetos a visitas de Vigilancia de la certificación será del cinco por ciento del total de los Certificados de Conformidad expedidos respecto a la Disposición Técnica IFT-011-2017. Parte 2, por cada Organismo de Certificación. Lo anterior, a partir de la fecha de entrada en vigor de la presente disposición a la fecha en que los Organismos de Certificación sometan a autorización de la Unidad de Concesiones y Servicios su primera propuesta de actividades de vigilancia.</w:t>
      </w:r>
      <w:r w:rsidR="00437EEC">
        <w:rPr>
          <w:rFonts w:ascii="ITC Avant Garde" w:hAnsi="ITC Avant Garde" w:cs="ITC Avant Garde"/>
          <w:b/>
          <w:i/>
          <w:sz w:val="20"/>
          <w:szCs w:val="20"/>
        </w:rPr>
        <w:t>”</w:t>
      </w:r>
    </w:p>
    <w:p w:rsidR="001F1FE6" w:rsidRDefault="001F1FE6" w:rsidP="002557CD">
      <w:pPr>
        <w:pStyle w:val="Textocomentario"/>
        <w:jc w:val="both"/>
        <w:rPr>
          <w:rFonts w:ascii="ITC Avant Garde" w:eastAsia="Times New Roman" w:hAnsi="ITC Avant Garde" w:cs="ITC Avant Garde"/>
          <w:color w:val="000000"/>
          <w:lang w:val="es-MX"/>
        </w:rPr>
      </w:pPr>
    </w:p>
    <w:p w:rsidR="00597D0A" w:rsidRPr="006231F7" w:rsidRDefault="00597D0A" w:rsidP="00597D0A">
      <w:pPr>
        <w:pStyle w:val="Textocomentario"/>
        <w:jc w:val="both"/>
        <w:rPr>
          <w:rFonts w:ascii="ITC Avant Garde" w:eastAsia="Times New Roman" w:hAnsi="ITC Avant Garde" w:cs="ITC Avant Garde"/>
          <w:b/>
          <w:color w:val="000000"/>
          <w:lang w:val="es-MX"/>
        </w:rPr>
      </w:pPr>
      <w:r w:rsidRPr="006231F7">
        <w:rPr>
          <w:rFonts w:ascii="ITC Avant Garde" w:eastAsia="Times New Roman" w:hAnsi="ITC Avant Garde" w:cs="ITC Avant Garde"/>
          <w:b/>
          <w:color w:val="000000"/>
          <w:lang w:val="es-MX"/>
        </w:rPr>
        <w:t>Participantes</w:t>
      </w:r>
    </w:p>
    <w:p w:rsidR="004B40A1" w:rsidRPr="004B40A1" w:rsidRDefault="004B40A1" w:rsidP="004B40A1">
      <w:pPr>
        <w:pStyle w:val="Textocomentario"/>
        <w:jc w:val="both"/>
        <w:rPr>
          <w:rFonts w:ascii="ITC Avant Garde" w:eastAsia="Times New Roman" w:hAnsi="ITC Avant Garde" w:cs="ITC Avant Garde"/>
          <w:color w:val="000000"/>
          <w:lang w:val="es-MX"/>
        </w:rPr>
      </w:pPr>
      <w:r w:rsidRPr="004B40A1">
        <w:rPr>
          <w:rFonts w:ascii="ITC Avant Garde" w:eastAsia="Times New Roman" w:hAnsi="ITC Avant Garde" w:cs="ITC Avant Garde"/>
          <w:color w:val="000000"/>
          <w:lang w:val="es-MX"/>
        </w:rPr>
        <w:t>ANATEL:</w:t>
      </w:r>
    </w:p>
    <w:p w:rsidR="004B40A1" w:rsidRPr="00E01D91" w:rsidRDefault="004B40A1" w:rsidP="004B40A1">
      <w:pPr>
        <w:pStyle w:val="Textocomentario"/>
        <w:jc w:val="both"/>
        <w:rPr>
          <w:rFonts w:ascii="ITC Avant Garde" w:eastAsia="Times New Roman" w:hAnsi="ITC Avant Garde" w:cs="ITC Avant Garde"/>
          <w:b/>
          <w:color w:val="000000"/>
          <w:lang w:val="es-MX"/>
        </w:rPr>
      </w:pPr>
      <w:r w:rsidRPr="00E01D91">
        <w:rPr>
          <w:rFonts w:ascii="ITC Avant Garde" w:eastAsia="Times New Roman" w:hAnsi="ITC Avant Garde" w:cs="ITC Avant Garde"/>
          <w:b/>
          <w:color w:val="000000"/>
          <w:lang w:val="es-MX"/>
        </w:rPr>
        <w:t>Propuesta:</w:t>
      </w:r>
    </w:p>
    <w:p w:rsidR="004B40A1" w:rsidRPr="004B40A1" w:rsidRDefault="004B40A1" w:rsidP="004B40A1">
      <w:pPr>
        <w:pStyle w:val="Textocomentario"/>
        <w:jc w:val="both"/>
        <w:rPr>
          <w:rFonts w:ascii="ITC Avant Garde" w:eastAsia="Times New Roman" w:hAnsi="ITC Avant Garde" w:cs="ITC Avant Garde"/>
          <w:color w:val="000000"/>
          <w:lang w:val="es-MX"/>
        </w:rPr>
      </w:pPr>
      <w:r w:rsidRPr="004B40A1">
        <w:rPr>
          <w:rFonts w:ascii="ITC Avant Garde" w:eastAsia="Times New Roman" w:hAnsi="ITC Avant Garde" w:cs="ITC Avant Garde"/>
          <w:color w:val="000000"/>
          <w:lang w:val="es-MX"/>
        </w:rPr>
        <w:t xml:space="preserve">Se solicita que ese IFT indique con claridad que dichas visitas de vigilancia deben cumplir con las formalidades del procedimiento, incluyendo, sin limitar las previstas en la Ley Federal del Procedimiento Administrativo, en todo lo que beneficien a los interesados.  </w:t>
      </w:r>
    </w:p>
    <w:p w:rsidR="002575D2" w:rsidRPr="004B40A1" w:rsidRDefault="004B40A1" w:rsidP="004B40A1">
      <w:pPr>
        <w:pStyle w:val="Textocomentario"/>
        <w:jc w:val="both"/>
        <w:rPr>
          <w:rFonts w:ascii="ITC Avant Garde" w:eastAsia="Times New Roman" w:hAnsi="ITC Avant Garde" w:cs="ITC Avant Garde"/>
          <w:color w:val="000000"/>
          <w:lang w:val="es-MX"/>
        </w:rPr>
      </w:pPr>
      <w:r w:rsidRPr="004B40A1">
        <w:rPr>
          <w:rFonts w:ascii="ITC Avant Garde" w:eastAsia="Times New Roman" w:hAnsi="ITC Avant Garde" w:cs="ITC Avant Garde"/>
          <w:color w:val="000000"/>
          <w:lang w:val="es-MX"/>
        </w:rPr>
        <w:t>Así como, en lo que se refiere al párrafo quinto, se solicita precisar ¿con apoyo en qué disposición, dichas visitas serán a cargo de los titulares y cuál será el importe de las mismas?</w:t>
      </w:r>
      <w:r w:rsidRPr="004B40A1">
        <w:rPr>
          <w:rFonts w:ascii="ITC Avant Garde" w:eastAsia="Times New Roman" w:hAnsi="ITC Avant Garde" w:cs="ITC Avant Garde"/>
          <w:color w:val="000000"/>
          <w:lang w:val="es-MX"/>
        </w:rPr>
        <w:cr/>
        <w:t>Asimismo, se solicita p</w:t>
      </w:r>
      <w:r>
        <w:rPr>
          <w:rFonts w:ascii="ITC Avant Garde" w:eastAsia="Times New Roman" w:hAnsi="ITC Avant Garde" w:cs="ITC Avant Garde"/>
          <w:color w:val="000000"/>
          <w:lang w:val="es-MX"/>
        </w:rPr>
        <w:t xml:space="preserve">recisar con detalle cuáles son </w:t>
      </w:r>
      <w:r w:rsidRPr="004B40A1">
        <w:rPr>
          <w:rFonts w:ascii="ITC Avant Garde" w:eastAsia="Times New Roman" w:hAnsi="ITC Avant Garde" w:cs="ITC Avant Garde"/>
          <w:color w:val="000000"/>
          <w:lang w:val="es-MX"/>
        </w:rPr>
        <w:t>las disposiciones jurídicas a que se refiere este párrafo.</w:t>
      </w:r>
    </w:p>
    <w:p w:rsidR="0082048B" w:rsidRPr="0082048B" w:rsidRDefault="0082048B" w:rsidP="0082048B">
      <w:pPr>
        <w:pStyle w:val="Textocomentario"/>
        <w:jc w:val="both"/>
        <w:rPr>
          <w:rFonts w:ascii="ITC Avant Garde" w:eastAsia="Times New Roman" w:hAnsi="ITC Avant Garde" w:cs="ITC Avant Garde"/>
          <w:b/>
          <w:color w:val="000000"/>
          <w:lang w:val="es-MX"/>
        </w:rPr>
      </w:pPr>
      <w:r w:rsidRPr="0082048B">
        <w:rPr>
          <w:rFonts w:ascii="ITC Avant Garde" w:eastAsia="Times New Roman" w:hAnsi="ITC Avant Garde" w:cs="ITC Avant Garde"/>
          <w:b/>
          <w:color w:val="000000"/>
          <w:lang w:val="es-MX"/>
        </w:rPr>
        <w:t>Respuesta:</w:t>
      </w:r>
    </w:p>
    <w:p w:rsidR="004D11BF" w:rsidRDefault="00FC499C" w:rsidP="00A5776C">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No se considera. </w:t>
      </w:r>
    </w:p>
    <w:p w:rsidR="001F1FE6" w:rsidRDefault="004B40A1" w:rsidP="00A5776C">
      <w:pPr>
        <w:pStyle w:val="Textocomentario"/>
        <w:jc w:val="both"/>
        <w:rPr>
          <w:rFonts w:ascii="ITC Avant Garde" w:eastAsia="Times New Roman" w:hAnsi="ITC Avant Garde" w:cs="ITC Avant Garde"/>
          <w:color w:val="000000"/>
          <w:lang w:val="es-MX"/>
        </w:rPr>
      </w:pPr>
      <w:r w:rsidRPr="00A5776C">
        <w:rPr>
          <w:rFonts w:ascii="ITC Avant Garde" w:eastAsia="Times New Roman" w:hAnsi="ITC Avant Garde" w:cs="ITC Avant Garde"/>
          <w:color w:val="000000"/>
          <w:lang w:val="es-MX"/>
        </w:rPr>
        <w:t>La visita de Vigilancia de la Certificación es una etapa de la certificación del producto</w:t>
      </w:r>
      <w:r w:rsidR="001F1FE6">
        <w:rPr>
          <w:rFonts w:ascii="ITC Avant Garde" w:eastAsia="Times New Roman" w:hAnsi="ITC Avant Garde" w:cs="ITC Avant Garde"/>
          <w:color w:val="000000"/>
          <w:lang w:val="es-MX"/>
        </w:rPr>
        <w:t xml:space="preserve"> y por ende de la evaluación de</w:t>
      </w:r>
      <w:r w:rsidR="0042385E">
        <w:rPr>
          <w:rFonts w:ascii="ITC Avant Garde" w:eastAsia="Times New Roman" w:hAnsi="ITC Avant Garde" w:cs="ITC Avant Garde"/>
          <w:color w:val="000000"/>
          <w:lang w:val="es-MX"/>
        </w:rPr>
        <w:t xml:space="preserve"> </w:t>
      </w:r>
      <w:r w:rsidR="001F1FE6">
        <w:rPr>
          <w:rFonts w:ascii="ITC Avant Garde" w:eastAsia="Times New Roman" w:hAnsi="ITC Avant Garde" w:cs="ITC Avant Garde"/>
          <w:color w:val="000000"/>
          <w:lang w:val="es-MX"/>
        </w:rPr>
        <w:t xml:space="preserve">la conformidad y es </w:t>
      </w:r>
      <w:r w:rsidRPr="00A5776C">
        <w:rPr>
          <w:rFonts w:ascii="ITC Avant Garde" w:eastAsia="Times New Roman" w:hAnsi="ITC Avant Garde" w:cs="ITC Avant Garde"/>
          <w:color w:val="000000"/>
          <w:lang w:val="es-MX"/>
        </w:rPr>
        <w:t>una obligación del titular del certificado de conformidad</w:t>
      </w:r>
      <w:r w:rsidR="001F1FE6">
        <w:rPr>
          <w:rFonts w:ascii="ITC Avant Garde" w:eastAsia="Times New Roman" w:hAnsi="ITC Avant Garde" w:cs="ITC Avant Garde"/>
          <w:color w:val="000000"/>
          <w:lang w:val="es-MX"/>
        </w:rPr>
        <w:t xml:space="preserve"> considerarla </w:t>
      </w:r>
      <w:r w:rsidRPr="00A5776C">
        <w:rPr>
          <w:rFonts w:ascii="ITC Avant Garde" w:eastAsia="Times New Roman" w:hAnsi="ITC Avant Garde" w:cs="ITC Avant Garde"/>
          <w:color w:val="000000"/>
          <w:lang w:val="es-MX"/>
        </w:rPr>
        <w:t>cuando solicitó la certificación de sus productos ante el OC</w:t>
      </w:r>
      <w:r w:rsidR="001F1FE6">
        <w:rPr>
          <w:rFonts w:ascii="ITC Avant Garde" w:eastAsia="Times New Roman" w:hAnsi="ITC Avant Garde" w:cs="ITC Avant Garde"/>
          <w:color w:val="000000"/>
          <w:lang w:val="es-MX"/>
        </w:rPr>
        <w:t xml:space="preserve">. </w:t>
      </w:r>
      <w:r w:rsidRPr="00A5776C">
        <w:rPr>
          <w:rFonts w:ascii="ITC Avant Garde" w:eastAsia="Times New Roman" w:hAnsi="ITC Avant Garde" w:cs="ITC Avant Garde"/>
          <w:color w:val="000000"/>
          <w:lang w:val="es-MX"/>
        </w:rPr>
        <w:t xml:space="preserve"> </w:t>
      </w:r>
    </w:p>
    <w:p w:rsidR="004B40A1" w:rsidRPr="00A5776C" w:rsidRDefault="001F1FE6" w:rsidP="00A5776C">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En otras palabras</w:t>
      </w:r>
      <w:r w:rsidR="004B40A1" w:rsidRPr="00A5776C">
        <w:rPr>
          <w:rFonts w:ascii="ITC Avant Garde" w:eastAsia="Times New Roman" w:hAnsi="ITC Avant Garde" w:cs="ITC Avant Garde"/>
          <w:color w:val="000000"/>
          <w:lang w:val="es-MX"/>
        </w:rPr>
        <w:t>, el solicitante al momento de requerirle al OC el certificado de conformidad, acepta las condiciones que están establecidas en los esquemas de certificación de producto, las cuales pueden incluir la vigilancia o inspección para verificar que los productos siguen cumpliendo con las disposiciones establecidas.</w:t>
      </w:r>
    </w:p>
    <w:p w:rsidR="001F1FE6" w:rsidRPr="00A5776C" w:rsidRDefault="001F1FE6" w:rsidP="001F1FE6">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Adicionalmente</w:t>
      </w:r>
      <w:r w:rsidR="0042385E">
        <w:rPr>
          <w:rFonts w:ascii="ITC Avant Garde" w:eastAsia="Times New Roman" w:hAnsi="ITC Avant Garde" w:cs="ITC Avant Garde"/>
          <w:color w:val="000000"/>
          <w:lang w:val="es-MX"/>
        </w:rPr>
        <w:t>,</w:t>
      </w:r>
      <w:r>
        <w:rPr>
          <w:rFonts w:ascii="ITC Avant Garde" w:eastAsia="Times New Roman" w:hAnsi="ITC Avant Garde" w:cs="ITC Avant Garde"/>
          <w:color w:val="000000"/>
          <w:lang w:val="es-MX"/>
        </w:rPr>
        <w:t xml:space="preserve"> se menciona que es consistente con </w:t>
      </w:r>
      <w:r w:rsidRPr="00A5776C">
        <w:rPr>
          <w:rFonts w:ascii="ITC Avant Garde" w:eastAsia="Times New Roman" w:hAnsi="ITC Avant Garde" w:cs="ITC Avant Garde"/>
          <w:color w:val="000000"/>
          <w:lang w:val="es-MX"/>
        </w:rPr>
        <w:t xml:space="preserve">los procedimientos ya establecidos </w:t>
      </w:r>
      <w:r>
        <w:rPr>
          <w:rFonts w:ascii="ITC Avant Garde" w:eastAsia="Times New Roman" w:hAnsi="ITC Avant Garde" w:cs="ITC Avant Garde"/>
          <w:color w:val="000000"/>
          <w:lang w:val="es-MX"/>
        </w:rPr>
        <w:t>en la DT IFT-011-201</w:t>
      </w:r>
      <w:r w:rsidR="0042385E">
        <w:rPr>
          <w:rFonts w:ascii="ITC Avant Garde" w:eastAsia="Times New Roman" w:hAnsi="ITC Avant Garde" w:cs="ITC Avant Garde"/>
          <w:color w:val="000000"/>
          <w:lang w:val="es-MX"/>
        </w:rPr>
        <w:t>7</w:t>
      </w:r>
      <w:r>
        <w:rPr>
          <w:rFonts w:ascii="ITC Avant Garde" w:eastAsia="Times New Roman" w:hAnsi="ITC Avant Garde" w:cs="ITC Avant Garde"/>
          <w:color w:val="000000"/>
          <w:lang w:val="es-MX"/>
        </w:rPr>
        <w:t>. Parte 1, vigente.</w:t>
      </w:r>
    </w:p>
    <w:p w:rsidR="006231F7" w:rsidRPr="006231F7" w:rsidRDefault="006231F7" w:rsidP="006231F7">
      <w:pPr>
        <w:pStyle w:val="Textocomentario"/>
        <w:jc w:val="both"/>
        <w:rPr>
          <w:rFonts w:ascii="ITC Avant Garde" w:eastAsia="Times New Roman" w:hAnsi="ITC Avant Garde" w:cs="ITC Avant Garde"/>
          <w:b/>
          <w:color w:val="000000"/>
          <w:lang w:val="es-MX"/>
        </w:rPr>
      </w:pPr>
      <w:r w:rsidRPr="006231F7">
        <w:rPr>
          <w:rFonts w:ascii="ITC Avant Garde" w:eastAsia="Times New Roman" w:hAnsi="ITC Avant Garde" w:cs="ITC Avant Garde"/>
          <w:b/>
          <w:color w:val="000000"/>
          <w:lang w:val="es-MX"/>
        </w:rPr>
        <w:t>Participantes</w:t>
      </w:r>
    </w:p>
    <w:p w:rsidR="00A5776C" w:rsidRPr="0015245C" w:rsidRDefault="00A5776C" w:rsidP="00A5776C">
      <w:pPr>
        <w:pStyle w:val="Textocomentario"/>
        <w:jc w:val="both"/>
        <w:rPr>
          <w:rFonts w:ascii="ITC Avant Garde" w:eastAsia="Times New Roman" w:hAnsi="ITC Avant Garde" w:cs="ITC Avant Garde"/>
          <w:color w:val="000000"/>
          <w:lang w:val="es-MX"/>
        </w:rPr>
      </w:pPr>
      <w:r w:rsidRPr="0015245C">
        <w:rPr>
          <w:rFonts w:ascii="ITC Avant Garde" w:eastAsia="Times New Roman" w:hAnsi="ITC Avant Garde" w:cs="ITC Avant Garde"/>
          <w:color w:val="000000"/>
          <w:lang w:val="es-MX"/>
        </w:rPr>
        <w:t>CANIETI Y ADVANCE:</w:t>
      </w:r>
    </w:p>
    <w:p w:rsidR="00A5776C" w:rsidRPr="0015245C" w:rsidRDefault="0015245C" w:rsidP="00A5776C">
      <w:pPr>
        <w:pStyle w:val="Textocomentario"/>
        <w:jc w:val="both"/>
        <w:rPr>
          <w:rFonts w:ascii="ITC Avant Garde" w:eastAsia="Times New Roman" w:hAnsi="ITC Avant Garde" w:cs="ITC Avant Garde"/>
          <w:b/>
          <w:color w:val="000000"/>
          <w:lang w:val="es-MX"/>
        </w:rPr>
      </w:pPr>
      <w:r>
        <w:rPr>
          <w:rFonts w:ascii="ITC Avant Garde" w:eastAsia="Times New Roman" w:hAnsi="ITC Avant Garde" w:cs="ITC Avant Garde"/>
          <w:b/>
          <w:color w:val="000000"/>
          <w:lang w:val="es-MX"/>
        </w:rPr>
        <w:t>P</w:t>
      </w:r>
      <w:r w:rsidRPr="0015245C">
        <w:rPr>
          <w:rFonts w:ascii="ITC Avant Garde" w:eastAsia="Times New Roman" w:hAnsi="ITC Avant Garde" w:cs="ITC Avant Garde"/>
          <w:b/>
          <w:color w:val="000000"/>
          <w:lang w:val="es-MX"/>
        </w:rPr>
        <w:t>ropuesta</w:t>
      </w:r>
      <w:r>
        <w:rPr>
          <w:rFonts w:ascii="ITC Avant Garde" w:eastAsia="Times New Roman" w:hAnsi="ITC Avant Garde" w:cs="ITC Avant Garde"/>
          <w:b/>
          <w:color w:val="000000"/>
          <w:lang w:val="es-MX"/>
        </w:rPr>
        <w:t>:</w:t>
      </w:r>
    </w:p>
    <w:p w:rsidR="00A5776C" w:rsidRDefault="00A5776C" w:rsidP="00A5776C">
      <w:pPr>
        <w:pStyle w:val="Textocomentario"/>
        <w:jc w:val="both"/>
      </w:pPr>
      <w:r w:rsidRPr="00A5776C">
        <w:rPr>
          <w:rFonts w:ascii="ITC Avant Garde" w:eastAsia="Times New Roman" w:hAnsi="ITC Avant Garde" w:cs="ITC Avant Garde"/>
          <w:color w:val="000000"/>
          <w:lang w:val="es-MX"/>
        </w:rPr>
        <w:t>El solicitante propone que</w:t>
      </w:r>
      <w:r w:rsidR="00415242">
        <w:rPr>
          <w:rFonts w:ascii="ITC Avant Garde" w:eastAsia="Times New Roman" w:hAnsi="ITC Avant Garde" w:cs="ITC Avant Garde"/>
          <w:color w:val="000000"/>
          <w:lang w:val="es-MX"/>
        </w:rPr>
        <w:t>,</w:t>
      </w:r>
      <w:r w:rsidRPr="00A5776C">
        <w:rPr>
          <w:rFonts w:ascii="ITC Avant Garde" w:eastAsia="Times New Roman" w:hAnsi="ITC Avant Garde" w:cs="ITC Avant Garde"/>
          <w:color w:val="000000"/>
          <w:lang w:val="es-MX"/>
        </w:rPr>
        <w:t xml:space="preserve"> durante la visita de Vigilancia del cumplimiento de la certificación respecto a la presente disposición, el Organismo de Certificación elegirá aleatoriamente dos Equipos Terminales Móviles nuevos debidamente cerrados, uno el cual quedará en poder del solicitante como muestra testigo -si es así requerido por él mismo- Dichos equipos deberán estar empaquetados y deberán ser identificados y/o embalados para su entrega al Laboratorio de Prueba correspondiente.</w:t>
      </w:r>
    </w:p>
    <w:p w:rsidR="00A5776C" w:rsidRPr="0082048B" w:rsidRDefault="00A5776C" w:rsidP="00A5776C">
      <w:pPr>
        <w:pStyle w:val="Textocomentario"/>
        <w:jc w:val="both"/>
        <w:rPr>
          <w:rFonts w:ascii="ITC Avant Garde" w:eastAsia="Times New Roman" w:hAnsi="ITC Avant Garde" w:cs="ITC Avant Garde"/>
          <w:b/>
          <w:color w:val="000000"/>
          <w:lang w:val="es-MX"/>
        </w:rPr>
      </w:pPr>
      <w:r w:rsidRPr="0082048B">
        <w:rPr>
          <w:rFonts w:ascii="ITC Avant Garde" w:eastAsia="Times New Roman" w:hAnsi="ITC Avant Garde" w:cs="ITC Avant Garde"/>
          <w:b/>
          <w:color w:val="000000"/>
          <w:lang w:val="es-MX"/>
        </w:rPr>
        <w:t>Respuesta:</w:t>
      </w:r>
    </w:p>
    <w:p w:rsidR="004D11BF" w:rsidRDefault="00A5776C" w:rsidP="00A5776C">
      <w:pPr>
        <w:pStyle w:val="Textocomentario"/>
        <w:jc w:val="both"/>
        <w:rPr>
          <w:rFonts w:ascii="ITC Avant Garde" w:eastAsia="Times New Roman" w:hAnsi="ITC Avant Garde" w:cs="ITC Avant Garde"/>
          <w:color w:val="000000"/>
          <w:lang w:val="es-MX"/>
        </w:rPr>
      </w:pPr>
      <w:r w:rsidRPr="00A5776C">
        <w:rPr>
          <w:rFonts w:ascii="ITC Avant Garde" w:eastAsia="Times New Roman" w:hAnsi="ITC Avant Garde" w:cs="ITC Avant Garde"/>
          <w:color w:val="000000"/>
          <w:lang w:val="es-MX"/>
        </w:rPr>
        <w:lastRenderedPageBreak/>
        <w:t>Se considera.</w:t>
      </w:r>
      <w:r w:rsidR="00FC499C">
        <w:rPr>
          <w:rFonts w:ascii="ITC Avant Garde" w:eastAsia="Times New Roman" w:hAnsi="ITC Avant Garde" w:cs="ITC Avant Garde"/>
          <w:color w:val="000000"/>
          <w:lang w:val="es-MX"/>
        </w:rPr>
        <w:t xml:space="preserve"> </w:t>
      </w:r>
    </w:p>
    <w:p w:rsidR="00A5776C" w:rsidRDefault="00A5776C" w:rsidP="00A5776C">
      <w:pPr>
        <w:pStyle w:val="Textocomentario"/>
        <w:jc w:val="both"/>
        <w:rPr>
          <w:rFonts w:ascii="ITC Avant Garde" w:eastAsia="Times New Roman" w:hAnsi="ITC Avant Garde" w:cs="ITC Avant Garde"/>
          <w:color w:val="000000"/>
          <w:lang w:val="es-MX"/>
        </w:rPr>
      </w:pPr>
      <w:r w:rsidRPr="00A5776C">
        <w:rPr>
          <w:rFonts w:ascii="ITC Avant Garde" w:eastAsia="Times New Roman" w:hAnsi="ITC Avant Garde" w:cs="ITC Avant Garde"/>
          <w:color w:val="000000"/>
          <w:lang w:val="es-MX"/>
        </w:rPr>
        <w:t>Se reduce el tamaño de la muestra de 3 a 2 unidades</w:t>
      </w:r>
      <w:r w:rsidR="007F21EE">
        <w:rPr>
          <w:rFonts w:ascii="ITC Avant Garde" w:eastAsia="Times New Roman" w:hAnsi="ITC Avant Garde" w:cs="ITC Avant Garde"/>
          <w:color w:val="000000"/>
          <w:lang w:val="es-MX"/>
        </w:rPr>
        <w:t>.</w:t>
      </w:r>
    </w:p>
    <w:p w:rsidR="006231F7" w:rsidRDefault="006231F7" w:rsidP="006231F7">
      <w:pPr>
        <w:pStyle w:val="Textocomentario"/>
        <w:jc w:val="both"/>
        <w:rPr>
          <w:rFonts w:ascii="ITC Avant Garde" w:eastAsia="Times New Roman" w:hAnsi="ITC Avant Garde" w:cs="ITC Avant Garde"/>
          <w:b/>
          <w:color w:val="000000"/>
          <w:lang w:val="es-MX"/>
        </w:rPr>
      </w:pPr>
    </w:p>
    <w:p w:rsidR="006231F7" w:rsidRPr="006231F7" w:rsidRDefault="006231F7" w:rsidP="006231F7">
      <w:pPr>
        <w:pStyle w:val="Textocomentario"/>
        <w:jc w:val="both"/>
        <w:rPr>
          <w:rFonts w:ascii="ITC Avant Garde" w:eastAsia="Times New Roman" w:hAnsi="ITC Avant Garde" w:cs="ITC Avant Garde"/>
          <w:b/>
          <w:color w:val="000000"/>
          <w:lang w:val="es-MX"/>
        </w:rPr>
      </w:pPr>
      <w:r w:rsidRPr="006231F7">
        <w:rPr>
          <w:rFonts w:ascii="ITC Avant Garde" w:eastAsia="Times New Roman" w:hAnsi="ITC Avant Garde" w:cs="ITC Avant Garde"/>
          <w:b/>
          <w:color w:val="000000"/>
          <w:lang w:val="es-MX"/>
        </w:rPr>
        <w:t>Participantes</w:t>
      </w:r>
    </w:p>
    <w:p w:rsidR="0015245C" w:rsidRPr="0015245C" w:rsidRDefault="0015245C" w:rsidP="0015245C">
      <w:pPr>
        <w:pStyle w:val="Textocomentario"/>
        <w:jc w:val="both"/>
        <w:rPr>
          <w:rFonts w:ascii="ITC Avant Garde" w:eastAsia="Times New Roman" w:hAnsi="ITC Avant Garde" w:cs="ITC Avant Garde"/>
          <w:color w:val="000000"/>
          <w:lang w:val="es-MX"/>
        </w:rPr>
      </w:pPr>
      <w:r w:rsidRPr="0015245C">
        <w:rPr>
          <w:rFonts w:ascii="ITC Avant Garde" w:eastAsia="Times New Roman" w:hAnsi="ITC Avant Garde" w:cs="ITC Avant Garde"/>
          <w:color w:val="000000"/>
          <w:lang w:val="es-MX"/>
        </w:rPr>
        <w:t>CANIETI Y ADVANCE:</w:t>
      </w:r>
    </w:p>
    <w:p w:rsidR="0015245C" w:rsidRPr="0015245C" w:rsidRDefault="0015245C" w:rsidP="0015245C">
      <w:pPr>
        <w:pStyle w:val="Textocomentario"/>
        <w:jc w:val="both"/>
        <w:rPr>
          <w:rFonts w:ascii="ITC Avant Garde" w:eastAsia="Times New Roman" w:hAnsi="ITC Avant Garde" w:cs="ITC Avant Garde"/>
          <w:b/>
          <w:color w:val="000000"/>
          <w:lang w:val="es-MX"/>
        </w:rPr>
      </w:pPr>
      <w:r w:rsidRPr="0015245C">
        <w:rPr>
          <w:rFonts w:ascii="ITC Avant Garde" w:eastAsia="Times New Roman" w:hAnsi="ITC Avant Garde" w:cs="ITC Avant Garde"/>
          <w:b/>
          <w:color w:val="000000"/>
          <w:lang w:val="es-MX"/>
        </w:rPr>
        <w:t>Propuesta</w:t>
      </w:r>
    </w:p>
    <w:p w:rsidR="0015245C" w:rsidRPr="0015245C" w:rsidRDefault="0015245C" w:rsidP="0015245C">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Los participantes sugieren que en la </w:t>
      </w:r>
      <w:r w:rsidRPr="0015245C">
        <w:rPr>
          <w:rFonts w:ascii="ITC Avant Garde" w:eastAsia="Times New Roman" w:hAnsi="ITC Avant Garde" w:cs="ITC Avant Garde"/>
          <w:color w:val="000000"/>
          <w:lang w:val="es-MX"/>
        </w:rPr>
        <w:t>Visita de Vigilancia del cumplimiento de la certificación.</w:t>
      </w:r>
      <w:r w:rsidR="006C2BF8" w:rsidRPr="0015245C">
        <w:rPr>
          <w:rFonts w:ascii="ITC Avant Garde" w:eastAsia="Times New Roman" w:hAnsi="ITC Avant Garde" w:cs="ITC Avant Garde"/>
          <w:color w:val="000000"/>
          <w:lang w:val="es-MX"/>
        </w:rPr>
        <w:t>…</w:t>
      </w:r>
      <w:r w:rsidR="006C2BF8">
        <w:rPr>
          <w:rFonts w:ascii="ITC Avant Garde" w:eastAsia="Times New Roman" w:hAnsi="ITC Avant Garde" w:cs="ITC Avant Garde"/>
          <w:color w:val="000000"/>
          <w:lang w:val="es-MX"/>
        </w:rPr>
        <w:t xml:space="preserve"> </w:t>
      </w:r>
      <w:r w:rsidRPr="0015245C">
        <w:rPr>
          <w:rFonts w:ascii="ITC Avant Garde" w:eastAsia="Times New Roman" w:hAnsi="ITC Avant Garde" w:cs="ITC Avant Garde"/>
          <w:color w:val="000000"/>
          <w:lang w:val="es-MX"/>
        </w:rPr>
        <w:t>El Laboratorio de Prueba constatará mediante los métodos de prueba dispuestos en la presente Disposición Técnica IFT-011/2-2017, las especificaciones técnicas siguientes:</w:t>
      </w:r>
    </w:p>
    <w:p w:rsidR="0015245C" w:rsidRDefault="0015245C" w:rsidP="0015245C">
      <w:pPr>
        <w:pStyle w:val="Textocomentario"/>
        <w:jc w:val="both"/>
        <w:rPr>
          <w:rFonts w:ascii="ITC Avant Garde" w:eastAsia="Times New Roman" w:hAnsi="ITC Avant Garde" w:cs="ITC Avant Garde"/>
          <w:b/>
          <w:color w:val="000000"/>
          <w:lang w:val="es-MX"/>
        </w:rPr>
      </w:pPr>
      <w:r w:rsidRPr="0082048B">
        <w:rPr>
          <w:rFonts w:ascii="ITC Avant Garde" w:eastAsia="Times New Roman" w:hAnsi="ITC Avant Garde" w:cs="ITC Avant Garde"/>
          <w:b/>
          <w:color w:val="000000"/>
          <w:lang w:val="es-MX"/>
        </w:rPr>
        <w:t>Respuesta:</w:t>
      </w:r>
    </w:p>
    <w:p w:rsidR="004D11BF" w:rsidRDefault="0015245C" w:rsidP="0015245C">
      <w:pPr>
        <w:pStyle w:val="Textocomentario"/>
        <w:jc w:val="both"/>
        <w:rPr>
          <w:rFonts w:ascii="ITC Avant Garde" w:eastAsia="Times New Roman" w:hAnsi="ITC Avant Garde" w:cs="ITC Avant Garde"/>
          <w:color w:val="000000"/>
          <w:lang w:val="es-MX"/>
        </w:rPr>
      </w:pPr>
      <w:r w:rsidRPr="0015245C">
        <w:rPr>
          <w:rFonts w:ascii="ITC Avant Garde" w:eastAsia="Times New Roman" w:hAnsi="ITC Avant Garde" w:cs="ITC Avant Garde"/>
          <w:color w:val="000000"/>
          <w:lang w:val="es-MX"/>
        </w:rPr>
        <w:t>Se considera.</w:t>
      </w:r>
      <w:r w:rsidR="006D2C42">
        <w:rPr>
          <w:rFonts w:ascii="ITC Avant Garde" w:eastAsia="Times New Roman" w:hAnsi="ITC Avant Garde" w:cs="ITC Avant Garde"/>
          <w:color w:val="000000"/>
          <w:lang w:val="es-MX"/>
        </w:rPr>
        <w:t xml:space="preserve"> </w:t>
      </w:r>
    </w:p>
    <w:p w:rsidR="0015245C" w:rsidRDefault="00CD7FCA" w:rsidP="0015245C">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Con el fin de </w:t>
      </w:r>
      <w:r w:rsidR="006D2C42">
        <w:rPr>
          <w:rFonts w:ascii="ITC Avant Garde" w:eastAsia="Times New Roman" w:hAnsi="ITC Avant Garde" w:cs="ITC Avant Garde"/>
          <w:color w:val="000000"/>
          <w:lang w:val="es-MX"/>
        </w:rPr>
        <w:t>precisar</w:t>
      </w:r>
      <w:r w:rsidR="0015245C" w:rsidRPr="0015245C">
        <w:rPr>
          <w:rFonts w:ascii="ITC Avant Garde" w:eastAsia="Times New Roman" w:hAnsi="ITC Avant Garde" w:cs="ITC Avant Garde"/>
          <w:color w:val="000000"/>
          <w:lang w:val="es-MX"/>
        </w:rPr>
        <w:t xml:space="preserve"> que es respecto </w:t>
      </w:r>
      <w:r>
        <w:rPr>
          <w:rFonts w:ascii="ITC Avant Garde" w:eastAsia="Times New Roman" w:hAnsi="ITC Avant Garde" w:cs="ITC Avant Garde"/>
          <w:color w:val="000000"/>
          <w:lang w:val="es-MX"/>
        </w:rPr>
        <w:t xml:space="preserve">a la DT-IFT-011-2017. Parte 2, se anexa el texto correspondiente. </w:t>
      </w:r>
    </w:p>
    <w:p w:rsidR="000F4287" w:rsidRPr="000F4287" w:rsidRDefault="000F4287" w:rsidP="000F4287">
      <w:pPr>
        <w:pStyle w:val="Textocomentario"/>
        <w:jc w:val="both"/>
        <w:rPr>
          <w:rFonts w:ascii="ITC Avant Garde" w:eastAsia="Times New Roman" w:hAnsi="ITC Avant Garde" w:cs="ITC Avant Garde"/>
          <w:color w:val="000000"/>
          <w:lang w:val="es-MX"/>
        </w:rPr>
      </w:pPr>
    </w:p>
    <w:p w:rsidR="00F25380" w:rsidRPr="00597D0A" w:rsidRDefault="00597D0A" w:rsidP="00597D0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Numeral </w:t>
      </w:r>
      <w:r w:rsidRPr="00597D0A">
        <w:rPr>
          <w:rFonts w:ascii="ITC Avant Garde" w:hAnsi="ITC Avant Garde" w:cs="ITC Avant Garde"/>
          <w:b/>
          <w:sz w:val="20"/>
          <w:szCs w:val="20"/>
        </w:rPr>
        <w:t>10. Contraseña de producto.</w:t>
      </w:r>
    </w:p>
    <w:p w:rsidR="00597D0A" w:rsidRPr="00597D0A" w:rsidRDefault="00597D0A" w:rsidP="00597D0A">
      <w:pPr>
        <w:pStyle w:val="Textocomentario"/>
        <w:jc w:val="both"/>
        <w:rPr>
          <w:rFonts w:ascii="ITC Avant Garde" w:eastAsia="Times New Roman" w:hAnsi="ITC Avant Garde" w:cs="ITC Avant Garde"/>
          <w:b/>
          <w:color w:val="000000"/>
          <w:lang w:val="es-MX"/>
        </w:rPr>
      </w:pPr>
      <w:r w:rsidRPr="00597D0A">
        <w:rPr>
          <w:rFonts w:ascii="ITC Avant Garde" w:eastAsia="Times New Roman" w:hAnsi="ITC Avant Garde" w:cs="ITC Avant Garde"/>
          <w:b/>
          <w:color w:val="000000"/>
          <w:lang w:val="es-MX"/>
        </w:rPr>
        <w:t>Participantes:</w:t>
      </w:r>
    </w:p>
    <w:p w:rsidR="00597D0A" w:rsidRPr="00597D0A" w:rsidRDefault="00597D0A" w:rsidP="00597D0A">
      <w:pPr>
        <w:pStyle w:val="Textocomentario"/>
        <w:jc w:val="both"/>
        <w:rPr>
          <w:rFonts w:ascii="ITC Avant Garde" w:eastAsia="Times New Roman" w:hAnsi="ITC Avant Garde" w:cs="ITC Avant Garde"/>
          <w:color w:val="000000"/>
          <w:lang w:val="es-MX"/>
        </w:rPr>
      </w:pPr>
      <w:r w:rsidRPr="00597D0A">
        <w:rPr>
          <w:rFonts w:ascii="ITC Avant Garde" w:eastAsia="Times New Roman" w:hAnsi="ITC Avant Garde" w:cs="ITC Avant Garde"/>
          <w:color w:val="000000"/>
          <w:lang w:val="es-MX"/>
        </w:rPr>
        <w:t>CANIETI y ADVANCE</w:t>
      </w:r>
    </w:p>
    <w:p w:rsidR="00597D0A" w:rsidRPr="00597D0A" w:rsidRDefault="00597D0A" w:rsidP="00597D0A">
      <w:pPr>
        <w:pStyle w:val="Textocomentario"/>
        <w:jc w:val="both"/>
        <w:rPr>
          <w:rFonts w:ascii="ITC Avant Garde" w:eastAsia="Times New Roman" w:hAnsi="ITC Avant Garde" w:cs="ITC Avant Garde"/>
          <w:b/>
          <w:color w:val="000000"/>
          <w:lang w:val="es-MX"/>
        </w:rPr>
      </w:pPr>
      <w:r w:rsidRPr="00597D0A">
        <w:rPr>
          <w:rFonts w:ascii="ITC Avant Garde" w:eastAsia="Times New Roman" w:hAnsi="ITC Avant Garde" w:cs="ITC Avant Garde"/>
          <w:b/>
          <w:color w:val="000000"/>
          <w:lang w:val="es-MX"/>
        </w:rPr>
        <w:t>Propuesta</w:t>
      </w:r>
    </w:p>
    <w:p w:rsidR="00597D0A" w:rsidRDefault="00597D0A" w:rsidP="00597D0A">
      <w:pPr>
        <w:pStyle w:val="Textocomentario"/>
        <w:jc w:val="both"/>
        <w:rPr>
          <w:rFonts w:ascii="ITC Avant Garde" w:eastAsia="Times New Roman" w:hAnsi="ITC Avant Garde" w:cs="ITC Avant Garde"/>
          <w:color w:val="000000"/>
          <w:lang w:val="es-MX"/>
        </w:rPr>
      </w:pPr>
      <w:r w:rsidRPr="00597D0A">
        <w:rPr>
          <w:rFonts w:ascii="ITC Avant Garde" w:eastAsia="Times New Roman" w:hAnsi="ITC Avant Garde" w:cs="ITC Avant Garde"/>
          <w:color w:val="000000"/>
          <w:lang w:val="es-MX"/>
        </w:rPr>
        <w:t xml:space="preserve">Los equipos amparados por el certificado de homologación, deberán exhibir el número de certificado de homologación correspondiente, así como la marca y el modelo con la que se expide dicho certificado en cada unidad de producto mediante marcado o etiqueta que lo haga ostensible, claro, visible, legible, intransferible e indeleble con el uso normal de tal forma que ofrezca seguridad y certidumbre al usuario o consumidor e impida su mal uso. </w:t>
      </w:r>
    </w:p>
    <w:p w:rsidR="00F25380" w:rsidRPr="00D40CFA" w:rsidRDefault="00597D0A" w:rsidP="00597D0A">
      <w:pPr>
        <w:pStyle w:val="Textocomentario"/>
        <w:jc w:val="both"/>
        <w:rPr>
          <w:rFonts w:ascii="ITC Avant Garde" w:eastAsia="Times New Roman" w:hAnsi="ITC Avant Garde" w:cs="ITC Avant Garde"/>
          <w:color w:val="000000"/>
          <w:lang w:val="es-MX"/>
        </w:rPr>
      </w:pPr>
      <w:r w:rsidRPr="00597D0A">
        <w:rPr>
          <w:rFonts w:ascii="ITC Avant Garde" w:eastAsia="Times New Roman" w:hAnsi="ITC Avant Garde" w:cs="ITC Avant Garde"/>
          <w:color w:val="000000"/>
          <w:lang w:val="es-MX"/>
        </w:rPr>
        <w:t>De no ser posible exhibir dicho número en el producto mismo</w:t>
      </w:r>
      <w:r w:rsidR="0042385E">
        <w:rPr>
          <w:rFonts w:ascii="ITC Avant Garde" w:eastAsia="Times New Roman" w:hAnsi="ITC Avant Garde" w:cs="ITC Avant Garde"/>
          <w:color w:val="000000"/>
          <w:lang w:val="es-MX"/>
        </w:rPr>
        <w:t>,</w:t>
      </w:r>
      <w:r w:rsidRPr="00597D0A">
        <w:rPr>
          <w:rFonts w:ascii="ITC Avant Garde" w:eastAsia="Times New Roman" w:hAnsi="ITC Avant Garde" w:cs="ITC Avant Garde"/>
          <w:color w:val="000000"/>
          <w:lang w:val="es-MX"/>
        </w:rPr>
        <w:t xml:space="preserve"> debe hacerse en su envase, embalaje, etiqueta, envoltura, hoja viajera, registro electrónico (software del producto).</w:t>
      </w:r>
    </w:p>
    <w:p w:rsidR="00597D0A" w:rsidRPr="00274576" w:rsidRDefault="00597D0A" w:rsidP="00597D0A">
      <w:pPr>
        <w:pStyle w:val="Textocomentario"/>
        <w:jc w:val="both"/>
        <w:rPr>
          <w:rFonts w:ascii="ITC Avant Garde" w:eastAsia="Times New Roman" w:hAnsi="ITC Avant Garde" w:cs="ITC Avant Garde"/>
          <w:b/>
          <w:color w:val="000000"/>
          <w:lang w:val="es-MX"/>
        </w:rPr>
      </w:pPr>
      <w:r w:rsidRPr="00274576">
        <w:rPr>
          <w:rFonts w:ascii="ITC Avant Garde" w:eastAsia="Times New Roman" w:hAnsi="ITC Avant Garde" w:cs="ITC Avant Garde"/>
          <w:b/>
          <w:color w:val="000000"/>
          <w:lang w:val="es-MX"/>
        </w:rPr>
        <w:t>Respuesta:</w:t>
      </w:r>
    </w:p>
    <w:p w:rsidR="00597D0A" w:rsidRDefault="00597D0A" w:rsidP="0091328F">
      <w:pPr>
        <w:pStyle w:val="Textocomentario"/>
        <w:jc w:val="both"/>
        <w:rPr>
          <w:rFonts w:ascii="ITC Avant Garde" w:eastAsia="Times New Roman" w:hAnsi="ITC Avant Garde" w:cs="ITC Avant Garde"/>
          <w:color w:val="000000"/>
          <w:lang w:val="es-MX"/>
        </w:rPr>
      </w:pPr>
      <w:r w:rsidRPr="0091328F">
        <w:rPr>
          <w:rFonts w:ascii="ITC Avant Garde" w:eastAsia="Times New Roman" w:hAnsi="ITC Avant Garde" w:cs="ITC Avant Garde"/>
          <w:color w:val="000000"/>
          <w:lang w:val="es-MX"/>
        </w:rPr>
        <w:t>Se considera.</w:t>
      </w:r>
    </w:p>
    <w:p w:rsidR="00CD7FCA" w:rsidRDefault="00CD7FCA" w:rsidP="0091328F">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Se complementa el texto del n</w:t>
      </w:r>
      <w:r w:rsidRPr="00CD7FCA">
        <w:rPr>
          <w:rFonts w:ascii="ITC Avant Garde" w:eastAsia="Times New Roman" w:hAnsi="ITC Avant Garde" w:cs="ITC Avant Garde"/>
          <w:color w:val="000000"/>
          <w:lang w:val="es-MX"/>
        </w:rPr>
        <w:t>umeral 10. Contraseña de producto</w:t>
      </w:r>
      <w:r>
        <w:rPr>
          <w:rFonts w:ascii="ITC Avant Garde" w:eastAsia="Times New Roman" w:hAnsi="ITC Avant Garde" w:cs="ITC Avant Garde"/>
          <w:color w:val="000000"/>
          <w:lang w:val="es-MX"/>
        </w:rPr>
        <w:t>, quedando como sigue:</w:t>
      </w:r>
    </w:p>
    <w:p w:rsidR="00CD7FCA" w:rsidRPr="00CD7FCA" w:rsidRDefault="00825EB5" w:rsidP="00CD7FCA">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r w:rsidR="00CD7FCA" w:rsidRPr="00CD7FCA">
        <w:rPr>
          <w:rFonts w:ascii="ITC Avant Garde" w:hAnsi="ITC Avant Garde" w:cs="ITC Avant Garde"/>
          <w:b/>
          <w:i/>
          <w:sz w:val="20"/>
          <w:szCs w:val="20"/>
        </w:rPr>
        <w:t>10. CONTRASEÑA DE PRODUCTO.</w:t>
      </w:r>
    </w:p>
    <w:p w:rsidR="00CD7FCA" w:rsidRPr="00CD7FCA" w:rsidRDefault="00CD7FCA" w:rsidP="00CD7FCA">
      <w:pPr>
        <w:spacing w:line="276" w:lineRule="auto"/>
        <w:ind w:left="709" w:right="474"/>
        <w:jc w:val="both"/>
        <w:rPr>
          <w:rFonts w:ascii="ITC Avant Garde" w:hAnsi="ITC Avant Garde" w:cs="ITC Avant Garde"/>
          <w:b/>
          <w:i/>
          <w:sz w:val="20"/>
          <w:szCs w:val="20"/>
        </w:rPr>
      </w:pPr>
      <w:r w:rsidRPr="00CD7FCA">
        <w:rPr>
          <w:rFonts w:ascii="ITC Avant Garde" w:hAnsi="ITC Avant Garde" w:cs="ITC Avant Garde"/>
          <w:b/>
          <w:i/>
          <w:sz w:val="20"/>
          <w:szCs w:val="20"/>
        </w:rPr>
        <w:t xml:space="preserve">Los equipos amparados por el Certificado de Homologación, deberán exhibir el número de Certificado de Homologación correspondiente, así como la marca y el modelo con la que se expide dicho certificado en cada unidad de producto mediante marcado o etiqueta que lo haga ostensible, claro, visible, legible, intransferible e indeleble con el uso normal de tal forma que ofrezca seguridad y certidumbre al usuario o consumidor e impida su mal uso; de no ser </w:t>
      </w:r>
      <w:r w:rsidRPr="00CD7FCA">
        <w:rPr>
          <w:rFonts w:ascii="ITC Avant Garde" w:hAnsi="ITC Avant Garde" w:cs="ITC Avant Garde"/>
          <w:b/>
          <w:i/>
          <w:sz w:val="20"/>
          <w:szCs w:val="20"/>
        </w:rPr>
        <w:lastRenderedPageBreak/>
        <w:t>posible de exhibir dicho número en el producto mismo, deberá hacerse en su envase, embalaje, etiqueta, envoltura, hoja viajera, registro electrónico (software del producto). El marcado o etiqueta a que se refiere el párrafo anterior, deberá cumplir con los elementos y características que indique la disposición que al efecto emita el Instituto.</w:t>
      </w:r>
      <w:r w:rsidR="00825EB5">
        <w:rPr>
          <w:rFonts w:ascii="ITC Avant Garde" w:hAnsi="ITC Avant Garde" w:cs="ITC Avant Garde"/>
          <w:b/>
          <w:i/>
          <w:sz w:val="20"/>
          <w:szCs w:val="20"/>
        </w:rPr>
        <w:t>”</w:t>
      </w:r>
    </w:p>
    <w:p w:rsidR="00CD7FCA" w:rsidRDefault="00CD7FCA" w:rsidP="0091328F">
      <w:pPr>
        <w:pStyle w:val="Textocomentario"/>
        <w:jc w:val="both"/>
        <w:rPr>
          <w:rFonts w:ascii="ITC Avant Garde" w:eastAsia="Times New Roman" w:hAnsi="ITC Avant Garde" w:cs="ITC Avant Garde"/>
          <w:color w:val="000000"/>
          <w:lang w:val="es-MX"/>
        </w:rPr>
      </w:pPr>
    </w:p>
    <w:p w:rsidR="004D11BF" w:rsidRPr="0091328F" w:rsidRDefault="004D11BF" w:rsidP="0091328F">
      <w:pPr>
        <w:pStyle w:val="Textocomentario"/>
        <w:jc w:val="both"/>
        <w:rPr>
          <w:rFonts w:ascii="ITC Avant Garde" w:eastAsia="Times New Roman" w:hAnsi="ITC Avant Garde" w:cs="ITC Avant Garde"/>
          <w:color w:val="000000"/>
          <w:lang w:val="es-MX"/>
        </w:rPr>
      </w:pPr>
    </w:p>
    <w:p w:rsidR="00597D0A" w:rsidRPr="00597D0A" w:rsidRDefault="00597D0A" w:rsidP="00597D0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597D0A">
        <w:rPr>
          <w:rFonts w:ascii="ITC Avant Garde" w:hAnsi="ITC Avant Garde" w:cs="ITC Avant Garde"/>
          <w:b/>
          <w:sz w:val="20"/>
          <w:szCs w:val="20"/>
        </w:rPr>
        <w:t>Transitorios</w:t>
      </w:r>
    </w:p>
    <w:p w:rsidR="00597D0A" w:rsidRPr="00597D0A" w:rsidRDefault="00597D0A" w:rsidP="00597D0A">
      <w:pPr>
        <w:pStyle w:val="Textocomentario"/>
        <w:jc w:val="both"/>
        <w:rPr>
          <w:rFonts w:ascii="ITC Avant Garde" w:eastAsia="Times New Roman" w:hAnsi="ITC Avant Garde" w:cs="ITC Avant Garde"/>
          <w:b/>
          <w:color w:val="000000"/>
          <w:lang w:val="es-MX"/>
        </w:rPr>
      </w:pPr>
      <w:r w:rsidRPr="00597D0A">
        <w:rPr>
          <w:rFonts w:ascii="ITC Avant Garde" w:eastAsia="Times New Roman" w:hAnsi="ITC Avant Garde" w:cs="ITC Avant Garde"/>
          <w:b/>
          <w:color w:val="000000"/>
          <w:lang w:val="es-MX"/>
        </w:rPr>
        <w:t>Participantes:</w:t>
      </w:r>
    </w:p>
    <w:p w:rsidR="00597D0A" w:rsidRPr="00597D0A" w:rsidRDefault="00597D0A" w:rsidP="00597D0A">
      <w:pPr>
        <w:pStyle w:val="Textocomentario"/>
        <w:jc w:val="both"/>
        <w:rPr>
          <w:rFonts w:ascii="ITC Avant Garde" w:eastAsia="Times New Roman" w:hAnsi="ITC Avant Garde" w:cs="ITC Avant Garde"/>
          <w:color w:val="000000"/>
          <w:lang w:val="es-MX"/>
        </w:rPr>
      </w:pPr>
      <w:r w:rsidRPr="00597D0A">
        <w:rPr>
          <w:rFonts w:ascii="ITC Avant Garde" w:eastAsia="Times New Roman" w:hAnsi="ITC Avant Garde" w:cs="ITC Avant Garde"/>
          <w:color w:val="000000"/>
          <w:lang w:val="es-MX"/>
        </w:rPr>
        <w:t>ANCE Y ANATEL</w:t>
      </w:r>
      <w:r w:rsidR="005268BC">
        <w:rPr>
          <w:rFonts w:ascii="ITC Avant Garde" w:eastAsia="Times New Roman" w:hAnsi="ITC Avant Garde" w:cs="ITC Avant Garde"/>
          <w:color w:val="000000"/>
          <w:lang w:val="es-MX"/>
        </w:rPr>
        <w:t xml:space="preserve"> CANIETI</w:t>
      </w:r>
      <w:r w:rsidRPr="00597D0A">
        <w:rPr>
          <w:rFonts w:ascii="ITC Avant Garde" w:eastAsia="Times New Roman" w:hAnsi="ITC Avant Garde" w:cs="ITC Avant Garde"/>
          <w:color w:val="000000"/>
          <w:lang w:val="es-MX"/>
        </w:rPr>
        <w:t>:</w:t>
      </w:r>
    </w:p>
    <w:p w:rsidR="00597D0A" w:rsidRPr="00CD7FCA" w:rsidRDefault="00597D0A" w:rsidP="00597D0A">
      <w:pPr>
        <w:pStyle w:val="Textocomentario"/>
        <w:rPr>
          <w:rFonts w:ascii="ITC Avant Garde" w:eastAsia="Times New Roman" w:hAnsi="ITC Avant Garde" w:cs="ITC Avant Garde"/>
          <w:color w:val="000000"/>
          <w:lang w:val="es-MX"/>
        </w:rPr>
      </w:pPr>
      <w:r w:rsidRPr="00CD7FCA">
        <w:rPr>
          <w:rFonts w:ascii="ITC Avant Garde" w:eastAsia="Times New Roman" w:hAnsi="ITC Avant Garde" w:cs="ITC Avant Garde"/>
          <w:color w:val="000000"/>
          <w:lang w:val="es-MX"/>
        </w:rPr>
        <w:t>Los solicitantes sugirieron adicionar un quinto transitorio:</w:t>
      </w:r>
    </w:p>
    <w:p w:rsidR="00597D0A" w:rsidRPr="00CD7FCA" w:rsidRDefault="00597D0A" w:rsidP="00DB54AE">
      <w:pPr>
        <w:pStyle w:val="Textocomentario"/>
        <w:jc w:val="both"/>
        <w:rPr>
          <w:rFonts w:ascii="ITC Avant Garde" w:eastAsia="Times New Roman" w:hAnsi="ITC Avant Garde" w:cs="ITC Avant Garde"/>
          <w:color w:val="000000"/>
          <w:lang w:val="es-MX"/>
        </w:rPr>
      </w:pPr>
      <w:r w:rsidRPr="00CD7FCA">
        <w:rPr>
          <w:rFonts w:ascii="ITC Avant Garde" w:eastAsia="Times New Roman" w:hAnsi="ITC Avant Garde" w:cs="ITC Avant Garde"/>
          <w:color w:val="000000"/>
          <w:lang w:val="es-MX"/>
        </w:rPr>
        <w:t>QUINTO.- Los laboratorios de prueba y los organismos de certificación podrán iniciar los trámites de acreditación y autorización en la presente Disposición Técnica, el día siguiente a la publicación de la misma en el Diario Oficial de la Federación.</w:t>
      </w:r>
    </w:p>
    <w:p w:rsidR="00597D0A" w:rsidRPr="00597D0A" w:rsidRDefault="00597D0A" w:rsidP="00597D0A">
      <w:pPr>
        <w:pStyle w:val="Textocomentario"/>
        <w:jc w:val="both"/>
        <w:rPr>
          <w:rFonts w:ascii="ITC Avant Garde" w:eastAsia="Times New Roman" w:hAnsi="ITC Avant Garde" w:cs="ITC Avant Garde"/>
          <w:color w:val="000000"/>
          <w:lang w:val="es-MX"/>
        </w:rPr>
      </w:pPr>
      <w:r w:rsidRPr="00597D0A">
        <w:rPr>
          <w:rFonts w:ascii="ITC Avant Garde" w:eastAsia="Times New Roman" w:hAnsi="ITC Avant Garde" w:cs="ITC Avant Garde"/>
          <w:color w:val="000000"/>
          <w:lang w:val="es-MX"/>
        </w:rPr>
        <w:t>ANATEL:</w:t>
      </w:r>
    </w:p>
    <w:p w:rsidR="00597D0A" w:rsidRPr="003C2661" w:rsidRDefault="00597D0A" w:rsidP="00597D0A">
      <w:pPr>
        <w:pStyle w:val="Textocomentario"/>
        <w:jc w:val="both"/>
        <w:rPr>
          <w:rFonts w:ascii="ITC Avant Garde" w:eastAsia="Times New Roman" w:hAnsi="ITC Avant Garde" w:cs="ITC Avant Garde"/>
          <w:color w:val="000000"/>
          <w:lang w:val="es-MX"/>
        </w:rPr>
      </w:pPr>
      <w:r w:rsidRPr="003C2661">
        <w:rPr>
          <w:rFonts w:ascii="ITC Avant Garde" w:eastAsia="Times New Roman" w:hAnsi="ITC Avant Garde" w:cs="ITC Avant Garde"/>
          <w:color w:val="000000"/>
          <w:lang w:val="es-MX"/>
        </w:rPr>
        <w:t xml:space="preserve">Se sugiere incluir un Quinto Transitorio:  Los productos que cuenten con un certificado de homologación provisional antes de la entrada en vigor de ésta Disposición Técnica, podrán ser sujetos a solicitud de cambio a homologación definitiva a través de dictamen pericial, sin necesidad de ser evaluados de acuerdo a la presente.  </w:t>
      </w:r>
    </w:p>
    <w:p w:rsidR="00597D0A" w:rsidRDefault="00597D0A" w:rsidP="00597D0A">
      <w:pPr>
        <w:pStyle w:val="Textocomentario"/>
        <w:jc w:val="both"/>
        <w:rPr>
          <w:rFonts w:ascii="ITC Avant Garde" w:eastAsia="Times New Roman" w:hAnsi="ITC Avant Garde" w:cs="ITC Avant Garde"/>
          <w:b/>
          <w:color w:val="000000"/>
          <w:lang w:val="es-MX"/>
        </w:rPr>
      </w:pPr>
      <w:r w:rsidRPr="00597D0A">
        <w:rPr>
          <w:rFonts w:ascii="ITC Avant Garde" w:eastAsia="Times New Roman" w:hAnsi="ITC Avant Garde" w:cs="ITC Avant Garde"/>
          <w:b/>
          <w:color w:val="000000"/>
          <w:lang w:val="es-MX"/>
        </w:rPr>
        <w:t>Respuesta:</w:t>
      </w:r>
    </w:p>
    <w:p w:rsidR="00CD7FCA" w:rsidRPr="00597D0A" w:rsidRDefault="00CD7FCA" w:rsidP="00597D0A">
      <w:pPr>
        <w:pStyle w:val="Textocomentario"/>
        <w:jc w:val="both"/>
        <w:rPr>
          <w:rFonts w:ascii="ITC Avant Garde" w:eastAsia="Times New Roman" w:hAnsi="ITC Avant Garde" w:cs="ITC Avant Garde"/>
          <w:b/>
          <w:color w:val="000000"/>
          <w:lang w:val="es-MX"/>
        </w:rPr>
      </w:pPr>
      <w:r>
        <w:rPr>
          <w:rFonts w:ascii="ITC Avant Garde" w:eastAsia="Times New Roman" w:hAnsi="ITC Avant Garde" w:cs="ITC Avant Garde"/>
          <w:color w:val="000000"/>
          <w:lang w:val="es-MX"/>
        </w:rPr>
        <w:t xml:space="preserve">PARA </w:t>
      </w:r>
      <w:r w:rsidRPr="00597D0A">
        <w:rPr>
          <w:rFonts w:ascii="ITC Avant Garde" w:eastAsia="Times New Roman" w:hAnsi="ITC Avant Garde" w:cs="ITC Avant Garde"/>
          <w:color w:val="000000"/>
          <w:lang w:val="es-MX"/>
        </w:rPr>
        <w:t>ANCE Y ANATEL</w:t>
      </w:r>
      <w:r>
        <w:rPr>
          <w:rFonts w:ascii="ITC Avant Garde" w:eastAsia="Times New Roman" w:hAnsi="ITC Avant Garde" w:cs="ITC Avant Garde"/>
          <w:color w:val="000000"/>
          <w:lang w:val="es-MX"/>
        </w:rPr>
        <w:t xml:space="preserve"> CANIETI</w:t>
      </w:r>
    </w:p>
    <w:p w:rsidR="00597D0A" w:rsidRPr="003C2661" w:rsidRDefault="00597D0A" w:rsidP="003C2661">
      <w:pPr>
        <w:pStyle w:val="Textocomentario"/>
        <w:jc w:val="both"/>
        <w:rPr>
          <w:rFonts w:ascii="ITC Avant Garde" w:eastAsia="Times New Roman" w:hAnsi="ITC Avant Garde" w:cs="ITC Avant Garde"/>
          <w:color w:val="000000"/>
          <w:lang w:val="es-MX"/>
        </w:rPr>
      </w:pPr>
      <w:r w:rsidRPr="003C2661">
        <w:rPr>
          <w:rFonts w:ascii="ITC Avant Garde" w:eastAsia="Times New Roman" w:hAnsi="ITC Avant Garde" w:cs="ITC Avant Garde"/>
          <w:color w:val="000000"/>
          <w:lang w:val="es-MX"/>
        </w:rPr>
        <w:t>No se considera.</w:t>
      </w:r>
    </w:p>
    <w:p w:rsidR="00597D0A" w:rsidRPr="003C2661" w:rsidRDefault="00CD7FCA" w:rsidP="003C2661">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Actualmente no</w:t>
      </w:r>
      <w:r w:rsidR="00597D0A" w:rsidRPr="003C2661">
        <w:rPr>
          <w:rFonts w:ascii="ITC Avant Garde" w:eastAsia="Times New Roman" w:hAnsi="ITC Avant Garde" w:cs="ITC Avant Garde"/>
          <w:color w:val="000000"/>
          <w:lang w:val="es-MX"/>
        </w:rPr>
        <w:t xml:space="preserve"> existe </w:t>
      </w:r>
      <w:r>
        <w:rPr>
          <w:rFonts w:ascii="ITC Avant Garde" w:eastAsia="Times New Roman" w:hAnsi="ITC Avant Garde" w:cs="ITC Avant Garde"/>
          <w:color w:val="000000"/>
          <w:lang w:val="es-MX"/>
        </w:rPr>
        <w:t xml:space="preserve">alguna restricción </w:t>
      </w:r>
      <w:r w:rsidR="00597D0A" w:rsidRPr="003C2661">
        <w:rPr>
          <w:rFonts w:ascii="ITC Avant Garde" w:eastAsia="Times New Roman" w:hAnsi="ITC Avant Garde" w:cs="ITC Avant Garde"/>
          <w:color w:val="000000"/>
          <w:lang w:val="es-MX"/>
        </w:rPr>
        <w:t xml:space="preserve">para que los LP y los OC inicien los trámites de acreditación y autorización </w:t>
      </w:r>
      <w:r>
        <w:rPr>
          <w:rFonts w:ascii="ITC Avant Garde" w:eastAsia="Times New Roman" w:hAnsi="ITC Avant Garde" w:cs="ITC Avant Garde"/>
          <w:color w:val="000000"/>
          <w:lang w:val="es-MX"/>
        </w:rPr>
        <w:t>a</w:t>
      </w:r>
      <w:r w:rsidR="00597D0A" w:rsidRPr="003C2661">
        <w:rPr>
          <w:rFonts w:ascii="ITC Avant Garde" w:eastAsia="Times New Roman" w:hAnsi="ITC Avant Garde" w:cs="ITC Avant Garde"/>
          <w:color w:val="000000"/>
          <w:lang w:val="es-MX"/>
        </w:rPr>
        <w:t xml:space="preserve">l día siguiente </w:t>
      </w:r>
      <w:r>
        <w:rPr>
          <w:rFonts w:ascii="ITC Avant Garde" w:eastAsia="Times New Roman" w:hAnsi="ITC Avant Garde" w:cs="ITC Avant Garde"/>
          <w:color w:val="000000"/>
          <w:lang w:val="es-MX"/>
        </w:rPr>
        <w:t>de</w:t>
      </w:r>
      <w:r w:rsidR="00597D0A" w:rsidRPr="003C2661">
        <w:rPr>
          <w:rFonts w:ascii="ITC Avant Garde" w:eastAsia="Times New Roman" w:hAnsi="ITC Avant Garde" w:cs="ITC Avant Garde"/>
          <w:color w:val="000000"/>
          <w:lang w:val="es-MX"/>
        </w:rPr>
        <w:t xml:space="preserve"> la publicación de </w:t>
      </w:r>
      <w:r>
        <w:rPr>
          <w:rFonts w:ascii="ITC Avant Garde" w:eastAsia="Times New Roman" w:hAnsi="ITC Avant Garde" w:cs="ITC Avant Garde"/>
          <w:color w:val="000000"/>
          <w:lang w:val="es-MX"/>
        </w:rPr>
        <w:t xml:space="preserve">una disposición técnica </w:t>
      </w:r>
      <w:r w:rsidR="00597D0A" w:rsidRPr="003C2661">
        <w:rPr>
          <w:rFonts w:ascii="ITC Avant Garde" w:eastAsia="Times New Roman" w:hAnsi="ITC Avant Garde" w:cs="ITC Avant Garde"/>
          <w:color w:val="000000"/>
          <w:lang w:val="es-MX"/>
        </w:rPr>
        <w:t>en el Diario Oficial de la Federación.</w:t>
      </w:r>
    </w:p>
    <w:p w:rsidR="00597D0A" w:rsidRPr="003C2661" w:rsidRDefault="00597D0A" w:rsidP="003C2661">
      <w:pPr>
        <w:pStyle w:val="Textocomentario"/>
        <w:jc w:val="both"/>
        <w:rPr>
          <w:rFonts w:ascii="ITC Avant Garde" w:eastAsia="Times New Roman" w:hAnsi="ITC Avant Garde" w:cs="ITC Avant Garde"/>
          <w:color w:val="000000"/>
          <w:lang w:val="es-MX"/>
        </w:rPr>
      </w:pPr>
      <w:r w:rsidRPr="003C2661">
        <w:rPr>
          <w:rFonts w:ascii="ITC Avant Garde" w:eastAsia="Times New Roman" w:hAnsi="ITC Avant Garde" w:cs="ITC Avant Garde"/>
          <w:color w:val="000000"/>
          <w:lang w:val="es-MX"/>
        </w:rPr>
        <w:t>PARA LA ANATEL:</w:t>
      </w:r>
    </w:p>
    <w:p w:rsidR="00597D0A" w:rsidRPr="003C2661" w:rsidRDefault="00597D0A" w:rsidP="003C2661">
      <w:pPr>
        <w:pStyle w:val="Textocomentario"/>
        <w:jc w:val="both"/>
        <w:rPr>
          <w:rFonts w:ascii="ITC Avant Garde" w:eastAsia="Times New Roman" w:hAnsi="ITC Avant Garde" w:cs="ITC Avant Garde"/>
          <w:color w:val="000000"/>
          <w:lang w:val="es-MX"/>
        </w:rPr>
      </w:pPr>
      <w:r w:rsidRPr="003C2661">
        <w:rPr>
          <w:rFonts w:ascii="ITC Avant Garde" w:eastAsia="Times New Roman" w:hAnsi="ITC Avant Garde" w:cs="ITC Avant Garde"/>
          <w:color w:val="000000"/>
          <w:lang w:val="es-MX"/>
        </w:rPr>
        <w:t>No se considera.</w:t>
      </w:r>
    </w:p>
    <w:p w:rsidR="00CD7FCA" w:rsidRDefault="00CD7FCA" w:rsidP="00597D0A">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Al respecto se establece en el TRANSITORIO SEGUNDO lo siguiente:</w:t>
      </w:r>
    </w:p>
    <w:p w:rsidR="00CD7FCA" w:rsidRDefault="00CD7FCA" w:rsidP="00597D0A">
      <w:pPr>
        <w:pStyle w:val="Textocomentario"/>
        <w:jc w:val="both"/>
        <w:rPr>
          <w:rFonts w:ascii="ITC Avant Garde" w:eastAsia="Times New Roman" w:hAnsi="ITC Avant Garde" w:cs="ITC Avant Garde"/>
          <w:color w:val="000000"/>
          <w:lang w:val="es-MX"/>
        </w:rPr>
      </w:pPr>
    </w:p>
    <w:p w:rsidR="00CD7FCA" w:rsidRPr="00CD7FCA" w:rsidRDefault="00D62053" w:rsidP="00CD7FCA">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r w:rsidR="00CD7FCA" w:rsidRPr="00CD7FCA">
        <w:rPr>
          <w:rFonts w:ascii="ITC Avant Garde" w:hAnsi="ITC Avant Garde" w:cs="ITC Avant Garde"/>
          <w:b/>
          <w:i/>
          <w:sz w:val="20"/>
          <w:szCs w:val="20"/>
        </w:rPr>
        <w:t>SEGUNDO: Los Certificados de Conformidad y Homologación emitidos conforme a la Norma Oficial Mexicana NOM-081-SCT1-1993, Sistemas de radiotelefonía con tecnología celular que operan en la banda de 800 MHz, mantendrán su vigencia hasta el término señalado en, y no estarán sujetos a su seguimiento. Dichos certificados no podrán ampliarse o utilizarse para equipos de la misma familia a partir de la entrada en vigor de la presente DT IFT­011­2017. Parte 2.</w:t>
      </w:r>
    </w:p>
    <w:p w:rsidR="00415242" w:rsidRDefault="00CD7FCA" w:rsidP="00CD7FCA">
      <w:pPr>
        <w:spacing w:line="276" w:lineRule="auto"/>
        <w:ind w:left="709" w:right="474"/>
        <w:jc w:val="both"/>
        <w:rPr>
          <w:rFonts w:ascii="ITC Avant Garde" w:hAnsi="ITC Avant Garde" w:cs="ITC Avant Garde"/>
          <w:b/>
          <w:i/>
          <w:sz w:val="20"/>
          <w:szCs w:val="20"/>
        </w:rPr>
      </w:pPr>
      <w:r w:rsidRPr="00CD7FCA">
        <w:rPr>
          <w:rFonts w:ascii="ITC Avant Garde" w:hAnsi="ITC Avant Garde" w:cs="ITC Avant Garde"/>
          <w:b/>
          <w:i/>
          <w:sz w:val="20"/>
          <w:szCs w:val="20"/>
        </w:rPr>
        <w:lastRenderedPageBreak/>
        <w:t>En el caso de ETM que cuenten con certificado de homologación vigente y soporten</w:t>
      </w:r>
      <w:r w:rsidR="008A7300">
        <w:rPr>
          <w:rFonts w:ascii="ITC Avant Garde" w:hAnsi="ITC Avant Garde" w:cs="ITC Avant Garde"/>
          <w:b/>
          <w:i/>
          <w:sz w:val="20"/>
          <w:szCs w:val="20"/>
        </w:rPr>
        <w:t xml:space="preserve"> algunas(s) de </w:t>
      </w:r>
      <w:r w:rsidRPr="00CD7FCA">
        <w:rPr>
          <w:rFonts w:ascii="ITC Avant Garde" w:hAnsi="ITC Avant Garde" w:cs="ITC Avant Garde"/>
          <w:b/>
          <w:i/>
          <w:sz w:val="20"/>
          <w:szCs w:val="20"/>
        </w:rPr>
        <w:t xml:space="preserve">las bandas de frecuencia de operación </w:t>
      </w:r>
      <w:r w:rsidR="008A7300">
        <w:rPr>
          <w:rFonts w:ascii="ITC Avant Garde" w:hAnsi="ITC Avant Garde" w:cs="ITC Avant Garde"/>
          <w:b/>
          <w:i/>
          <w:sz w:val="20"/>
          <w:szCs w:val="20"/>
        </w:rPr>
        <w:t xml:space="preserve">en México </w:t>
      </w:r>
      <w:r w:rsidRPr="00CD7FCA">
        <w:rPr>
          <w:rFonts w:ascii="ITC Avant Garde" w:hAnsi="ITC Avant Garde" w:cs="ITC Avant Garde"/>
          <w:b/>
          <w:i/>
          <w:sz w:val="20"/>
          <w:szCs w:val="20"/>
        </w:rPr>
        <w:t>conforme a lo indicado en el numeral 4.1.1.</w:t>
      </w:r>
      <w:r w:rsidR="0066392B">
        <w:rPr>
          <w:rFonts w:ascii="ITC Avant Garde" w:hAnsi="ITC Avant Garde" w:cs="ITC Avant Garde"/>
          <w:b/>
          <w:i/>
          <w:sz w:val="20"/>
          <w:szCs w:val="20"/>
        </w:rPr>
        <w:t>,</w:t>
      </w:r>
      <w:r w:rsidRPr="00CD7FCA">
        <w:rPr>
          <w:rFonts w:ascii="ITC Avant Garde" w:hAnsi="ITC Avant Garde" w:cs="ITC Avant Garde"/>
          <w:b/>
          <w:i/>
          <w:sz w:val="20"/>
          <w:szCs w:val="20"/>
        </w:rPr>
        <w:t xml:space="preserve"> pero éstas no se encuentren habilitadas a la entrada en vigor de la presente DT, dicho certificado deberá ser actualizado conforme a lo establecido en la presente disposición</w:t>
      </w:r>
      <w:r>
        <w:rPr>
          <w:rFonts w:ascii="ITC Avant Garde" w:hAnsi="ITC Avant Garde" w:cs="ITC Avant Garde"/>
          <w:b/>
          <w:i/>
          <w:sz w:val="20"/>
          <w:szCs w:val="20"/>
        </w:rPr>
        <w:t>.</w:t>
      </w:r>
    </w:p>
    <w:p w:rsidR="008A7300" w:rsidRPr="00415242" w:rsidRDefault="008A7300" w:rsidP="008A7300">
      <w:pPr>
        <w:spacing w:line="276" w:lineRule="auto"/>
        <w:ind w:left="709" w:right="474"/>
        <w:jc w:val="both"/>
        <w:rPr>
          <w:rFonts w:ascii="ITC Avant Garde" w:hAnsi="ITC Avant Garde" w:cs="ITC Avant Garde"/>
          <w:b/>
          <w:i/>
          <w:sz w:val="20"/>
          <w:szCs w:val="20"/>
        </w:rPr>
      </w:pPr>
      <w:r w:rsidRPr="00415242">
        <w:rPr>
          <w:rFonts w:ascii="ITC Avant Garde" w:hAnsi="ITC Avant Garde" w:cs="ITC Avant Garde"/>
          <w:b/>
          <w:i/>
          <w:sz w:val="20"/>
          <w:szCs w:val="20"/>
        </w:rPr>
        <w:t>Para el caso de ETM que cuenten con certificado de homologación vigente y no soporte la banda 28 (700 MHz) APT</w:t>
      </w:r>
      <w:r>
        <w:rPr>
          <w:rFonts w:ascii="ITC Avant Garde" w:hAnsi="ITC Avant Garde" w:cs="ITC Avant Garde"/>
          <w:b/>
          <w:i/>
          <w:sz w:val="20"/>
          <w:szCs w:val="20"/>
        </w:rPr>
        <w:t xml:space="preserve"> c</w:t>
      </w:r>
      <w:r w:rsidRPr="00415242">
        <w:rPr>
          <w:rFonts w:ascii="ITC Avant Garde" w:hAnsi="ITC Avant Garde" w:cs="ITC Avant Garde"/>
          <w:b/>
          <w:i/>
          <w:sz w:val="20"/>
          <w:szCs w:val="20"/>
        </w:rPr>
        <w:t>onforme a lo indicado en el numeral 4.1.2., deberán indicar mediante marcado o etiqueta que lo haga ostensible, claro, visible y legible en su envase, embalaje, etiqueta, envoltura, hoja viajera o registro electrónico (software del producto) que dicho ETM no opera en dicha banda. Así mismo, en caso de ser adquirido mediante algún concesionario o comercializadora de servicios móviles, estos deberán informar al usuario que el ETM no funcionaría en la banda 28 (700 MHz) APT</w:t>
      </w:r>
      <w:r>
        <w:rPr>
          <w:rFonts w:ascii="ITC Avant Garde" w:hAnsi="ITC Avant Garde" w:cs="ITC Avant Garde"/>
          <w:b/>
          <w:i/>
          <w:sz w:val="20"/>
          <w:szCs w:val="20"/>
        </w:rPr>
        <w:t xml:space="preserve"> </w:t>
      </w:r>
      <w:r w:rsidRPr="00415242">
        <w:rPr>
          <w:rFonts w:ascii="ITC Avant Garde" w:hAnsi="ITC Avant Garde" w:cs="ITC Avant Garde"/>
          <w:b/>
          <w:i/>
          <w:sz w:val="20"/>
          <w:szCs w:val="20"/>
        </w:rPr>
        <w:t>por lo que en caso de portarse deberá adquirir un nuevo ETM y, le ofrecerá alternativas de ETM que si soporte</w:t>
      </w:r>
      <w:r>
        <w:rPr>
          <w:rFonts w:ascii="ITC Avant Garde" w:hAnsi="ITC Avant Garde" w:cs="ITC Avant Garde"/>
          <w:b/>
          <w:i/>
          <w:sz w:val="20"/>
          <w:szCs w:val="20"/>
        </w:rPr>
        <w:t xml:space="preserve"> la</w:t>
      </w:r>
      <w:r w:rsidRPr="00415242">
        <w:rPr>
          <w:rFonts w:ascii="ITC Avant Garde" w:hAnsi="ITC Avant Garde" w:cs="ITC Avant Garde"/>
          <w:b/>
          <w:i/>
          <w:sz w:val="20"/>
          <w:szCs w:val="20"/>
        </w:rPr>
        <w:t xml:space="preserve"> banda de frecuencia 28 (700 MHz) APT conforme a lo indicado en el numeral 4.1.2.</w:t>
      </w:r>
    </w:p>
    <w:p w:rsidR="00597D0A" w:rsidRPr="00CD7FCA" w:rsidRDefault="008A7300" w:rsidP="008A7300">
      <w:pPr>
        <w:spacing w:line="276" w:lineRule="auto"/>
        <w:ind w:left="709" w:right="474"/>
        <w:jc w:val="both"/>
        <w:rPr>
          <w:rFonts w:ascii="ITC Avant Garde" w:hAnsi="ITC Avant Garde" w:cs="ITC Avant Garde"/>
          <w:b/>
          <w:i/>
          <w:sz w:val="20"/>
          <w:szCs w:val="20"/>
        </w:rPr>
      </w:pPr>
      <w:r w:rsidRPr="00415242">
        <w:rPr>
          <w:rFonts w:ascii="ITC Avant Garde" w:hAnsi="ITC Avant Garde" w:cs="ITC Avant Garde"/>
          <w:b/>
          <w:i/>
          <w:sz w:val="20"/>
          <w:szCs w:val="20"/>
        </w:rPr>
        <w:t xml:space="preserve">Para el caso de ETM </w:t>
      </w:r>
      <w:r>
        <w:rPr>
          <w:rFonts w:ascii="ITC Avant Garde" w:hAnsi="ITC Avant Garde" w:cs="ITC Avant Garde"/>
          <w:b/>
          <w:i/>
          <w:sz w:val="20"/>
          <w:szCs w:val="20"/>
        </w:rPr>
        <w:t xml:space="preserve">que </w:t>
      </w:r>
      <w:r w:rsidRPr="00415242">
        <w:rPr>
          <w:rFonts w:ascii="ITC Avant Garde" w:hAnsi="ITC Avant Garde" w:cs="ITC Avant Garde"/>
          <w:b/>
          <w:i/>
          <w:sz w:val="20"/>
          <w:szCs w:val="20"/>
        </w:rPr>
        <w:t>actualmente en el mercado que soporten la banda 28 (700 MHz) APT y esta no se encuentre habilitada, deberá ser habilitada a petición del usuario.</w:t>
      </w:r>
      <w:r w:rsidR="00B65489">
        <w:rPr>
          <w:rFonts w:ascii="ITC Avant Garde" w:hAnsi="ITC Avant Garde" w:cs="ITC Avant Garde"/>
          <w:b/>
          <w:i/>
          <w:sz w:val="20"/>
          <w:szCs w:val="20"/>
        </w:rPr>
        <w:t>”</w:t>
      </w:r>
    </w:p>
    <w:p w:rsidR="00274576" w:rsidRDefault="00274576" w:rsidP="005268BC">
      <w:pPr>
        <w:pStyle w:val="Textocomentario"/>
        <w:jc w:val="both"/>
        <w:rPr>
          <w:rFonts w:ascii="ITC Avant Garde" w:eastAsia="Times New Roman" w:hAnsi="ITC Avant Garde" w:cs="ITC Avant Garde"/>
          <w:b/>
          <w:color w:val="000000"/>
          <w:lang w:val="es-MX"/>
        </w:rPr>
      </w:pPr>
    </w:p>
    <w:p w:rsidR="005268BC" w:rsidRPr="00597D0A" w:rsidRDefault="005268BC" w:rsidP="005268BC">
      <w:pPr>
        <w:pStyle w:val="Textocomentario"/>
        <w:jc w:val="both"/>
        <w:rPr>
          <w:rFonts w:ascii="ITC Avant Garde" w:eastAsia="Times New Roman" w:hAnsi="ITC Avant Garde" w:cs="ITC Avant Garde"/>
          <w:b/>
          <w:color w:val="000000"/>
          <w:lang w:val="es-MX"/>
        </w:rPr>
      </w:pPr>
      <w:r w:rsidRPr="00597D0A">
        <w:rPr>
          <w:rFonts w:ascii="ITC Avant Garde" w:eastAsia="Times New Roman" w:hAnsi="ITC Avant Garde" w:cs="ITC Avant Garde"/>
          <w:b/>
          <w:color w:val="000000"/>
          <w:lang w:val="es-MX"/>
        </w:rPr>
        <w:t>Participantes:</w:t>
      </w:r>
    </w:p>
    <w:p w:rsidR="005268BC" w:rsidRPr="005268BC" w:rsidRDefault="005268BC" w:rsidP="005268BC">
      <w:pPr>
        <w:pStyle w:val="Textocomentario"/>
        <w:jc w:val="both"/>
        <w:rPr>
          <w:rFonts w:ascii="ITC Avant Garde" w:eastAsia="Times New Roman" w:hAnsi="ITC Avant Garde" w:cs="ITC Avant Garde"/>
          <w:color w:val="000000"/>
          <w:lang w:val="es-MX"/>
        </w:rPr>
      </w:pPr>
      <w:r w:rsidRPr="005268BC">
        <w:rPr>
          <w:rFonts w:ascii="ITC Avant Garde" w:eastAsia="Times New Roman" w:hAnsi="ITC Avant Garde" w:cs="ITC Avant Garde"/>
          <w:color w:val="000000"/>
          <w:lang w:val="es-MX"/>
        </w:rPr>
        <w:t>ANATEL:</w:t>
      </w:r>
    </w:p>
    <w:p w:rsidR="00274576" w:rsidRPr="00274576" w:rsidRDefault="00274576" w:rsidP="005268BC">
      <w:pPr>
        <w:pStyle w:val="Textocomentario"/>
        <w:jc w:val="both"/>
        <w:rPr>
          <w:rFonts w:ascii="ITC Avant Garde" w:eastAsia="Times New Roman" w:hAnsi="ITC Avant Garde" w:cs="ITC Avant Garde"/>
          <w:b/>
          <w:color w:val="000000"/>
          <w:lang w:val="es-MX"/>
        </w:rPr>
      </w:pPr>
      <w:r w:rsidRPr="00274576">
        <w:rPr>
          <w:rFonts w:ascii="ITC Avant Garde" w:eastAsia="Times New Roman" w:hAnsi="ITC Avant Garde" w:cs="ITC Avant Garde"/>
          <w:b/>
          <w:color w:val="000000"/>
          <w:lang w:val="es-MX"/>
        </w:rPr>
        <w:t>Propuesta:</w:t>
      </w:r>
    </w:p>
    <w:p w:rsidR="003B5376" w:rsidRDefault="005268BC" w:rsidP="005268BC">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El participante </w:t>
      </w:r>
      <w:r w:rsidRPr="005268BC">
        <w:rPr>
          <w:rFonts w:ascii="ITC Avant Garde" w:eastAsia="Times New Roman" w:hAnsi="ITC Avant Garde" w:cs="ITC Avant Garde"/>
          <w:color w:val="000000"/>
          <w:lang w:val="es-MX"/>
        </w:rPr>
        <w:t xml:space="preserve">solicita aclarar </w:t>
      </w:r>
      <w:proofErr w:type="gramStart"/>
      <w:r w:rsidRPr="005268BC">
        <w:rPr>
          <w:rFonts w:ascii="ITC Avant Garde" w:eastAsia="Times New Roman" w:hAnsi="ITC Avant Garde" w:cs="ITC Avant Garde"/>
          <w:color w:val="000000"/>
          <w:lang w:val="es-MX"/>
        </w:rPr>
        <w:t>¿</w:t>
      </w:r>
      <w:proofErr w:type="gramEnd"/>
      <w:r w:rsidRPr="005268BC">
        <w:rPr>
          <w:rFonts w:ascii="ITC Avant Garde" w:eastAsia="Times New Roman" w:hAnsi="ITC Avant Garde" w:cs="ITC Avant Garde"/>
          <w:color w:val="000000"/>
          <w:lang w:val="es-MX"/>
        </w:rPr>
        <w:t>sobre qué bases se determinaron estos límites para la realización de las visitas de vigilancia. Es decir, ¿cuál es el standard mediante el cual se define ese porcentaje?</w:t>
      </w:r>
    </w:p>
    <w:p w:rsidR="005268BC" w:rsidRPr="005268BC" w:rsidRDefault="005268BC" w:rsidP="005268BC">
      <w:pPr>
        <w:pStyle w:val="Textocomentario"/>
        <w:jc w:val="both"/>
        <w:rPr>
          <w:rFonts w:ascii="ITC Avant Garde" w:eastAsia="Times New Roman" w:hAnsi="ITC Avant Garde" w:cs="ITC Avant Garde"/>
          <w:b/>
          <w:color w:val="000000"/>
          <w:lang w:val="es-MX"/>
        </w:rPr>
      </w:pPr>
      <w:r w:rsidRPr="005268BC">
        <w:rPr>
          <w:rFonts w:ascii="ITC Avant Garde" w:eastAsia="Times New Roman" w:hAnsi="ITC Avant Garde" w:cs="ITC Avant Garde"/>
          <w:b/>
          <w:color w:val="000000"/>
          <w:lang w:val="es-MX"/>
        </w:rPr>
        <w:t>Respuesta:</w:t>
      </w:r>
    </w:p>
    <w:p w:rsidR="005268BC" w:rsidRPr="005268BC" w:rsidRDefault="00590B91" w:rsidP="005268BC">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Se toma como referencia lo establecido en la </w:t>
      </w:r>
      <w:r w:rsidR="005268BC" w:rsidRPr="005268BC">
        <w:rPr>
          <w:rFonts w:ascii="ITC Avant Garde" w:eastAsia="Times New Roman" w:hAnsi="ITC Avant Garde" w:cs="ITC Avant Garde"/>
          <w:color w:val="000000"/>
          <w:lang w:val="es-MX"/>
        </w:rPr>
        <w:t>DT-IFT-011-2017. Parte 1</w:t>
      </w:r>
      <w:r>
        <w:rPr>
          <w:rFonts w:ascii="ITC Avant Garde" w:eastAsia="Times New Roman" w:hAnsi="ITC Avant Garde" w:cs="ITC Avant Garde"/>
          <w:color w:val="000000"/>
          <w:lang w:val="es-MX"/>
        </w:rPr>
        <w:t xml:space="preserve"> vigente, </w:t>
      </w:r>
      <w:r w:rsidR="005268BC" w:rsidRPr="005268BC">
        <w:rPr>
          <w:rFonts w:ascii="ITC Avant Garde" w:eastAsia="Times New Roman" w:hAnsi="ITC Avant Garde" w:cs="ITC Avant Garde"/>
          <w:color w:val="000000"/>
          <w:lang w:val="es-MX"/>
        </w:rPr>
        <w:t xml:space="preserve">la cual establece en su Transitorio Séptimo: </w:t>
      </w:r>
    </w:p>
    <w:p w:rsidR="005268BC" w:rsidRPr="00590B91" w:rsidRDefault="005268BC" w:rsidP="00590B91">
      <w:pPr>
        <w:spacing w:line="276" w:lineRule="auto"/>
        <w:ind w:left="709" w:right="474"/>
        <w:jc w:val="both"/>
        <w:rPr>
          <w:rFonts w:ascii="ITC Avant Garde" w:hAnsi="ITC Avant Garde" w:cs="ITC Avant Garde"/>
          <w:b/>
          <w:i/>
          <w:sz w:val="20"/>
          <w:szCs w:val="20"/>
        </w:rPr>
      </w:pPr>
      <w:r w:rsidRPr="00590B91">
        <w:rPr>
          <w:rFonts w:ascii="ITC Avant Garde" w:hAnsi="ITC Avant Garde" w:cs="ITC Avant Garde"/>
          <w:b/>
          <w:i/>
          <w:sz w:val="20"/>
          <w:szCs w:val="20"/>
        </w:rPr>
        <w:t>“SÉPTIMO.- El porcentaje de Certificados de Cumplimento sujetos a visitas de Vigilancia de la certificación será del cinco por ciento del total de los Certificados de Cumplimiento expedidos respecto a la Disposición Técnica IFT-011-2017 por cada Organismo de Certificación. Lo anterior, a partir de la fecha de entrada en vigor de la presente disposición a la fecha en que los Organismos de Certificación sometan a autorización de la Unidad de Concesiones y Servicios su primera propuesta de actividades de vigilancia.”</w:t>
      </w:r>
    </w:p>
    <w:p w:rsidR="00590B91" w:rsidRPr="00590B91" w:rsidRDefault="00590B91" w:rsidP="00F9438A">
      <w:pPr>
        <w:pStyle w:val="Textocomentario"/>
        <w:jc w:val="both"/>
        <w:rPr>
          <w:rFonts w:ascii="ITC Avant Garde" w:eastAsia="Times New Roman" w:hAnsi="ITC Avant Garde" w:cs="ITC Avant Garde"/>
          <w:color w:val="000000"/>
          <w:lang w:val="es-MX"/>
        </w:rPr>
      </w:pPr>
      <w:r w:rsidRPr="00590B91">
        <w:rPr>
          <w:rFonts w:ascii="ITC Avant Garde" w:eastAsia="Times New Roman" w:hAnsi="ITC Avant Garde" w:cs="ITC Avant Garde"/>
          <w:color w:val="000000"/>
          <w:lang w:val="es-MX"/>
        </w:rPr>
        <w:t>Lo que permite ser c</w:t>
      </w:r>
      <w:r>
        <w:rPr>
          <w:rFonts w:ascii="ITC Avant Garde" w:eastAsia="Times New Roman" w:hAnsi="ITC Avant Garde" w:cs="ITC Avant Garde"/>
          <w:color w:val="000000"/>
          <w:lang w:val="es-MX"/>
        </w:rPr>
        <w:t xml:space="preserve">onsistente para realizar </w:t>
      </w:r>
      <w:r w:rsidRPr="00590B91">
        <w:rPr>
          <w:rFonts w:ascii="ITC Avant Garde" w:eastAsia="Times New Roman" w:hAnsi="ITC Avant Garde" w:cs="ITC Avant Garde"/>
          <w:color w:val="000000"/>
          <w:lang w:val="es-MX"/>
        </w:rPr>
        <w:t>visitas de Vigilancia de la certificación</w:t>
      </w:r>
      <w:r>
        <w:rPr>
          <w:rFonts w:ascii="ITC Avant Garde" w:eastAsia="Times New Roman" w:hAnsi="ITC Avant Garde" w:cs="ITC Avant Garde"/>
          <w:color w:val="000000"/>
          <w:lang w:val="es-MX"/>
        </w:rPr>
        <w:t>.</w:t>
      </w:r>
    </w:p>
    <w:p w:rsidR="00F9438A" w:rsidRPr="00F9438A" w:rsidRDefault="00F9438A" w:rsidP="00F9438A">
      <w:pPr>
        <w:pStyle w:val="Textocomentario"/>
        <w:jc w:val="both"/>
        <w:rPr>
          <w:rFonts w:ascii="ITC Avant Garde" w:eastAsia="Times New Roman" w:hAnsi="ITC Avant Garde" w:cs="ITC Avant Garde"/>
          <w:b/>
          <w:color w:val="000000"/>
          <w:lang w:val="es-MX"/>
        </w:rPr>
      </w:pPr>
      <w:r w:rsidRPr="00F9438A">
        <w:rPr>
          <w:rFonts w:ascii="ITC Avant Garde" w:eastAsia="Times New Roman" w:hAnsi="ITC Avant Garde" w:cs="ITC Avant Garde"/>
          <w:b/>
          <w:color w:val="000000"/>
          <w:lang w:val="es-MX"/>
        </w:rPr>
        <w:t>Participantes:</w:t>
      </w:r>
    </w:p>
    <w:p w:rsidR="00F9438A" w:rsidRDefault="00F9438A" w:rsidP="00F9438A">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ANATEL.</w:t>
      </w:r>
    </w:p>
    <w:p w:rsidR="00F9438A" w:rsidRDefault="00F9438A" w:rsidP="00F9438A">
      <w:pPr>
        <w:pStyle w:val="Textocomentario"/>
        <w:jc w:val="both"/>
        <w:rPr>
          <w:rFonts w:ascii="ITC Avant Garde" w:eastAsia="Times New Roman" w:hAnsi="ITC Avant Garde" w:cs="ITC Avant Garde"/>
          <w:b/>
          <w:color w:val="000000"/>
          <w:lang w:val="es-MX"/>
        </w:rPr>
      </w:pPr>
      <w:r w:rsidRPr="00F9438A">
        <w:rPr>
          <w:rFonts w:ascii="ITC Avant Garde" w:eastAsia="Times New Roman" w:hAnsi="ITC Avant Garde" w:cs="ITC Avant Garde"/>
          <w:b/>
          <w:color w:val="000000"/>
          <w:lang w:val="es-MX"/>
        </w:rPr>
        <w:lastRenderedPageBreak/>
        <w:t>Propuesta:</w:t>
      </w:r>
    </w:p>
    <w:p w:rsidR="00F9438A" w:rsidRDefault="00F9438A" w:rsidP="00F9438A">
      <w:pPr>
        <w:pStyle w:val="Textocomentario"/>
        <w:jc w:val="both"/>
        <w:rPr>
          <w:rFonts w:ascii="ITC Avant Garde" w:eastAsia="Times New Roman" w:hAnsi="ITC Avant Garde" w:cs="ITC Avant Garde"/>
          <w:color w:val="000000"/>
          <w:lang w:val="es-MX"/>
        </w:rPr>
      </w:pPr>
      <w:r w:rsidRPr="00F9438A">
        <w:rPr>
          <w:rFonts w:ascii="ITC Avant Garde" w:eastAsia="Times New Roman" w:hAnsi="ITC Avant Garde" w:cs="ITC Avant Garde"/>
          <w:color w:val="000000"/>
          <w:lang w:val="es-MX"/>
        </w:rPr>
        <w:t xml:space="preserve">La presente Disposición Técnica será obligatoria y/o exigible, después de su entrada en vigor siempre y cuando exista el primer laboratorio y organismo de certificación acreditado, autorizado y certificados en el territorio nacional.                                                                                  </w:t>
      </w:r>
    </w:p>
    <w:p w:rsidR="00F9438A" w:rsidRDefault="00F9438A" w:rsidP="00F9438A">
      <w:pPr>
        <w:pStyle w:val="Textocomentario"/>
        <w:jc w:val="both"/>
        <w:rPr>
          <w:rFonts w:ascii="ITC Avant Garde" w:eastAsia="Times New Roman" w:hAnsi="ITC Avant Garde" w:cs="ITC Avant Garde"/>
          <w:color w:val="000000"/>
          <w:lang w:val="es-MX"/>
        </w:rPr>
      </w:pPr>
      <w:r w:rsidRPr="00F9438A">
        <w:rPr>
          <w:rFonts w:ascii="ITC Avant Garde" w:eastAsia="Times New Roman" w:hAnsi="ITC Avant Garde" w:cs="ITC Avant Garde"/>
          <w:color w:val="000000"/>
          <w:lang w:val="es-MX"/>
        </w:rPr>
        <w:t>Adicionalmente, los fabricantes generan sus planes de desarrollo con al menos 6 meses de antelación, en ocasiones 12 meses antes, por lo que se sugiere que la entrada en vigor considere un plazo de al menos un año.    </w:t>
      </w:r>
    </w:p>
    <w:p w:rsidR="00F9438A" w:rsidRPr="00F9438A" w:rsidRDefault="00F9438A" w:rsidP="00F9438A">
      <w:pPr>
        <w:pStyle w:val="Textocomentario"/>
        <w:jc w:val="both"/>
        <w:rPr>
          <w:rFonts w:ascii="ITC Avant Garde" w:eastAsia="Times New Roman" w:hAnsi="ITC Avant Garde" w:cs="ITC Avant Garde"/>
          <w:b/>
          <w:color w:val="000000"/>
          <w:lang w:val="es-MX"/>
        </w:rPr>
      </w:pPr>
      <w:r w:rsidRPr="00F9438A">
        <w:rPr>
          <w:rFonts w:ascii="ITC Avant Garde" w:eastAsia="Times New Roman" w:hAnsi="ITC Avant Garde" w:cs="ITC Avant Garde"/>
          <w:b/>
          <w:color w:val="000000"/>
          <w:lang w:val="es-MX"/>
        </w:rPr>
        <w:t>Respuesta:</w:t>
      </w:r>
    </w:p>
    <w:p w:rsidR="00F9438A" w:rsidRDefault="00F9438A" w:rsidP="00F9438A">
      <w:pPr>
        <w:pStyle w:val="Textocomentario"/>
        <w:jc w:val="both"/>
        <w:rPr>
          <w:rFonts w:ascii="ITC Avant Garde" w:eastAsia="Times New Roman" w:hAnsi="ITC Avant Garde" w:cs="ITC Avant Garde"/>
          <w:color w:val="000000"/>
          <w:lang w:val="es-MX"/>
        </w:rPr>
      </w:pPr>
      <w:r w:rsidRPr="00F9438A">
        <w:rPr>
          <w:rFonts w:ascii="ITC Avant Garde" w:eastAsia="Times New Roman" w:hAnsi="ITC Avant Garde" w:cs="ITC Avant Garde"/>
          <w:color w:val="000000"/>
          <w:lang w:val="es-MX"/>
        </w:rPr>
        <w:t>Se considera parcialmente.</w:t>
      </w:r>
    </w:p>
    <w:p w:rsidR="00590B91" w:rsidRPr="00F9438A" w:rsidRDefault="00590B91" w:rsidP="00F9438A">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En cuanto al planteamiento de que la d</w:t>
      </w:r>
      <w:r w:rsidRPr="00590B91">
        <w:rPr>
          <w:rFonts w:ascii="ITC Avant Garde" w:eastAsia="Times New Roman" w:hAnsi="ITC Avant Garde" w:cs="ITC Avant Garde"/>
          <w:color w:val="000000"/>
          <w:lang w:val="es-MX"/>
        </w:rPr>
        <w:t xml:space="preserve">isposición </w:t>
      </w:r>
      <w:r>
        <w:rPr>
          <w:rFonts w:ascii="ITC Avant Garde" w:eastAsia="Times New Roman" w:hAnsi="ITC Avant Garde" w:cs="ITC Avant Garde"/>
          <w:color w:val="000000"/>
          <w:lang w:val="es-MX"/>
        </w:rPr>
        <w:t>t</w:t>
      </w:r>
      <w:r w:rsidRPr="00590B91">
        <w:rPr>
          <w:rFonts w:ascii="ITC Avant Garde" w:eastAsia="Times New Roman" w:hAnsi="ITC Avant Garde" w:cs="ITC Avant Garde"/>
          <w:color w:val="000000"/>
          <w:lang w:val="es-MX"/>
        </w:rPr>
        <w:t>écnica será obligatoria y/o exigible, después de su entrada en vigor siempre y cuando exista el primer laboratorio y organismo de certificación acreditado, autorizado y certificados en el territorio nacional</w:t>
      </w:r>
      <w:r>
        <w:rPr>
          <w:rFonts w:ascii="ITC Avant Garde" w:eastAsia="Times New Roman" w:hAnsi="ITC Avant Garde" w:cs="ITC Avant Garde"/>
          <w:color w:val="000000"/>
          <w:lang w:val="es-MX"/>
        </w:rPr>
        <w:t xml:space="preserve">, el TRANSITORIO TERCERO queda en los siguientes términos: </w:t>
      </w:r>
    </w:p>
    <w:p w:rsidR="00590B91" w:rsidRPr="00590B91" w:rsidRDefault="0066392B" w:rsidP="00590B91">
      <w:pPr>
        <w:spacing w:line="276" w:lineRule="auto"/>
        <w:ind w:left="709" w:right="474"/>
        <w:jc w:val="both"/>
        <w:rPr>
          <w:rFonts w:ascii="ITC Avant Garde" w:hAnsi="ITC Avant Garde" w:cs="ITC Avant Garde"/>
          <w:b/>
          <w:i/>
          <w:sz w:val="20"/>
          <w:szCs w:val="20"/>
        </w:rPr>
      </w:pPr>
      <w:r>
        <w:rPr>
          <w:rFonts w:ascii="ITC Avant Garde" w:hAnsi="ITC Avant Garde" w:cs="ITC Avant Garde"/>
          <w:b/>
          <w:i/>
          <w:sz w:val="20"/>
          <w:szCs w:val="20"/>
        </w:rPr>
        <w:t>“</w:t>
      </w:r>
      <w:r w:rsidR="00590B91" w:rsidRPr="00590B91">
        <w:rPr>
          <w:rFonts w:ascii="ITC Avant Garde" w:hAnsi="ITC Avant Garde" w:cs="ITC Avant Garde"/>
          <w:b/>
          <w:i/>
          <w:sz w:val="20"/>
          <w:szCs w:val="20"/>
        </w:rPr>
        <w:t>TERCERO.- Los Organismos de Certificación y Laboratorios de Prueba podrán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sidR="001A6D4F">
        <w:rPr>
          <w:rFonts w:ascii="ITC Avant Garde" w:hAnsi="ITC Avant Garde" w:cs="ITC Avant Garde"/>
          <w:b/>
          <w:i/>
          <w:sz w:val="20"/>
          <w:szCs w:val="20"/>
        </w:rPr>
        <w:t xml:space="preserve"> </w:t>
      </w:r>
      <w:r w:rsidR="001A6D4F" w:rsidRPr="001A6D4F">
        <w:rPr>
          <w:rFonts w:ascii="ITC Avant Garde" w:hAnsi="ITC Avant Garde" w:cs="ITC Avant Garde"/>
          <w:b/>
          <w:i/>
          <w:sz w:val="20"/>
          <w:szCs w:val="20"/>
        </w:rPr>
        <w:t>en un plazo no mayor a 180 días a partir de la entrada en vigor de la presente disposición</w:t>
      </w:r>
      <w:r w:rsidR="00590B91" w:rsidRPr="00590B91">
        <w:rPr>
          <w:rFonts w:ascii="ITC Avant Garde" w:hAnsi="ITC Avant Garde" w:cs="ITC Avant Garde"/>
          <w:b/>
          <w:i/>
          <w:sz w:val="20"/>
          <w:szCs w:val="20"/>
        </w:rPr>
        <w:t xml:space="preserve">. </w:t>
      </w:r>
    </w:p>
    <w:p w:rsidR="00590B91" w:rsidRPr="00590B91" w:rsidRDefault="00590B91" w:rsidP="00590B91">
      <w:pPr>
        <w:spacing w:line="276" w:lineRule="auto"/>
        <w:ind w:left="709" w:right="474"/>
        <w:jc w:val="both"/>
        <w:rPr>
          <w:rFonts w:ascii="ITC Avant Garde" w:hAnsi="ITC Avant Garde" w:cs="ITC Avant Garde"/>
          <w:b/>
          <w:i/>
          <w:sz w:val="20"/>
          <w:szCs w:val="20"/>
        </w:rPr>
      </w:pPr>
      <w:r w:rsidRPr="00590B91">
        <w:rPr>
          <w:rFonts w:ascii="ITC Avant Garde" w:hAnsi="ITC Avant Garde" w:cs="ITC Avant Garde"/>
          <w:b/>
          <w:i/>
          <w:sz w:val="20"/>
          <w:szCs w:val="20"/>
        </w:rPr>
        <w:t xml:space="preserve">En tanto lo anterior ocurra, el solicitante del Certificado de Conformidad deberá entregar una memoria técnica firmada por un perito en telecomunicaciones acreditado por el Instituto al Organismo de Certificación, indicando que </w:t>
      </w:r>
      <w:r w:rsidR="001A6D4F">
        <w:rPr>
          <w:rFonts w:ascii="ITC Avant Garde" w:hAnsi="ITC Avant Garde" w:cs="ITC Avant Garde"/>
          <w:b/>
          <w:i/>
          <w:sz w:val="20"/>
          <w:szCs w:val="20"/>
        </w:rPr>
        <w:t xml:space="preserve">documentalmente </w:t>
      </w:r>
      <w:r w:rsidRPr="00590B91">
        <w:rPr>
          <w:rFonts w:ascii="ITC Avant Garde" w:hAnsi="ITC Avant Garde" w:cs="ITC Avant Garde"/>
          <w:b/>
          <w:i/>
          <w:sz w:val="20"/>
          <w:szCs w:val="20"/>
        </w:rPr>
        <w:t>el Equipo Terminal Móvil cumple con lo dispuesto en la presente Disposición Técnica. Lo anterior, a efectos que el citado organismo expida el correspondiente certificado. Dicho certificado tendrá validez por un año.</w:t>
      </w:r>
      <w:r w:rsidR="0066392B">
        <w:rPr>
          <w:rFonts w:ascii="ITC Avant Garde" w:hAnsi="ITC Avant Garde" w:cs="ITC Avant Garde"/>
          <w:b/>
          <w:i/>
          <w:sz w:val="20"/>
          <w:szCs w:val="20"/>
        </w:rPr>
        <w:t>”</w:t>
      </w:r>
    </w:p>
    <w:p w:rsidR="00F9438A" w:rsidRPr="00F9438A" w:rsidRDefault="00DB07A3" w:rsidP="00F9438A">
      <w:pPr>
        <w:pStyle w:val="Textocomentario"/>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Se establece que la entrada en vigor será a partir de su publicación en el DOF.</w:t>
      </w:r>
    </w:p>
    <w:p w:rsidR="00F9438A" w:rsidRPr="00D52E58" w:rsidRDefault="00F9438A" w:rsidP="005268BC">
      <w:pPr>
        <w:pStyle w:val="Textocomentario"/>
        <w:jc w:val="both"/>
        <w:rPr>
          <w:rFonts w:ascii="ITC Avant Garde" w:eastAsia="Times New Roman" w:hAnsi="ITC Avant Garde" w:cs="ITC Avant Garde"/>
          <w:color w:val="000000"/>
          <w:lang w:val="es-MX"/>
        </w:rPr>
      </w:pPr>
    </w:p>
    <w:sectPr w:rsidR="00F9438A" w:rsidRPr="00D52E58">
      <w:footerReference w:type="default" r:id="rId8"/>
      <w:pgSz w:w="12240" w:h="15840"/>
      <w:pgMar w:top="1417" w:right="1701" w:bottom="1417" w:left="1701"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BB9" w:rsidRDefault="00CC5BB9">
      <w:pPr>
        <w:spacing w:after="0" w:line="240" w:lineRule="auto"/>
      </w:pPr>
      <w:r>
        <w:separator/>
      </w:r>
    </w:p>
  </w:endnote>
  <w:endnote w:type="continuationSeparator" w:id="0">
    <w:p w:rsidR="00CC5BB9" w:rsidRDefault="00CC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93" w:rsidRDefault="00EC3E93">
    <w:pPr>
      <w:pStyle w:val="Piedepgina"/>
      <w:jc w:val="right"/>
    </w:pPr>
    <w:r>
      <w:rPr>
        <w:rFonts w:ascii="ITC Avant Garde" w:hAnsi="ITC Avant Garde" w:cs="ITC Avant Garde"/>
        <w:sz w:val="18"/>
        <w:szCs w:val="18"/>
      </w:rPr>
      <w:t xml:space="preserve">Página </w:t>
    </w:r>
    <w:r>
      <w:fldChar w:fldCharType="begin"/>
    </w:r>
    <w:r>
      <w:instrText xml:space="preserve"> PAGE </w:instrText>
    </w:r>
    <w:r>
      <w:fldChar w:fldCharType="separate"/>
    </w:r>
    <w:r w:rsidR="0043649B">
      <w:rPr>
        <w:noProof/>
      </w:rPr>
      <w:t>21</w:t>
    </w:r>
    <w:r>
      <w:fldChar w:fldCharType="end"/>
    </w:r>
    <w:r>
      <w:rPr>
        <w:rFonts w:ascii="ITC Avant Garde" w:hAnsi="ITC Avant Garde" w:cs="ITC Avant Garde"/>
        <w:sz w:val="18"/>
        <w:szCs w:val="18"/>
      </w:rPr>
      <w:t xml:space="preserve"> de </w:t>
    </w:r>
    <w:r>
      <w:fldChar w:fldCharType="begin"/>
    </w:r>
    <w:r>
      <w:instrText xml:space="preserve"> NUMPAGES \*Arabic </w:instrText>
    </w:r>
    <w:r>
      <w:fldChar w:fldCharType="separate"/>
    </w:r>
    <w:r w:rsidR="0043649B">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BB9" w:rsidRDefault="00CC5BB9">
      <w:pPr>
        <w:spacing w:after="0" w:line="240" w:lineRule="auto"/>
      </w:pPr>
      <w:r>
        <w:separator/>
      </w:r>
    </w:p>
  </w:footnote>
  <w:footnote w:type="continuationSeparator" w:id="0">
    <w:p w:rsidR="00CC5BB9" w:rsidRDefault="00CC5BB9">
      <w:pPr>
        <w:spacing w:after="0" w:line="240" w:lineRule="auto"/>
      </w:pPr>
      <w:r>
        <w:continuationSeparator/>
      </w:r>
    </w:p>
  </w:footnote>
  <w:footnote w:id="1">
    <w:p w:rsidR="00EC3E93" w:rsidRPr="00CF5A8C" w:rsidRDefault="00EC3E93" w:rsidP="00441B83">
      <w:pPr>
        <w:pStyle w:val="Textonotapie"/>
        <w:rPr>
          <w:lang w:val="es-MX"/>
        </w:rPr>
      </w:pPr>
      <w:r>
        <w:rPr>
          <w:rStyle w:val="Refdenotaalpie"/>
        </w:rPr>
        <w:footnoteRef/>
      </w:r>
      <w:r>
        <w:t xml:space="preserve"> </w:t>
      </w:r>
      <w:r w:rsidRPr="00E74F20">
        <w:rPr>
          <w:sz w:val="18"/>
        </w:rPr>
        <w:t>http://www.etsi.org/deliver/etsi_ts/100900_100999/100910/08.20.00_60/ts_100910v082000p.pdf</w:t>
      </w:r>
    </w:p>
  </w:footnote>
  <w:footnote w:id="2">
    <w:p w:rsidR="00EC3E93" w:rsidRPr="006673F3" w:rsidRDefault="00EC3E93" w:rsidP="00D72CCF">
      <w:pPr>
        <w:pStyle w:val="Textonotapie"/>
        <w:rPr>
          <w:rFonts w:ascii="ITC Avant Garde" w:hAnsi="ITC Avant Garde"/>
          <w:sz w:val="18"/>
          <w:vertAlign w:val="superscript"/>
        </w:rPr>
      </w:pPr>
      <w:r>
        <w:rPr>
          <w:rStyle w:val="Refdenotaalpie"/>
        </w:rPr>
        <w:footnoteRef/>
      </w:r>
      <w:r>
        <w:t xml:space="preserve"> </w:t>
      </w:r>
      <w:hyperlink r:id="rId1" w:history="1">
        <w:r w:rsidRPr="006673F3">
          <w:rPr>
            <w:rFonts w:ascii="ITC Avant Garde" w:hAnsi="ITC Avant Garde"/>
            <w:sz w:val="18"/>
            <w:vertAlign w:val="superscript"/>
          </w:rPr>
          <w:t>https://apps.fcc.gov/oetcf/kdb/forms/FTSSearchResultPage.cfm?switch=P&amp;id=47466</w:t>
        </w:r>
      </w:hyperlink>
    </w:p>
    <w:p w:rsidR="00EC3E93" w:rsidRPr="00BC4F49" w:rsidRDefault="00EC3E93">
      <w:pPr>
        <w:pStyle w:val="Textonotapie"/>
        <w:rPr>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Arial"/>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ITC Avant Garde" w:eastAsia="Times New Roman" w:hAnsi="ITC Avant Garde" w:cs="Arial"/>
        <w:color w:val="000000"/>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upperRoman"/>
      <w:lvlText w:val="%1."/>
      <w:lvlJc w:val="left"/>
      <w:pPr>
        <w:tabs>
          <w:tab w:val="num" w:pos="0"/>
        </w:tabs>
        <w:ind w:left="1080" w:hanging="720"/>
      </w:pPr>
      <w:rPr>
        <w:rFonts w:ascii="ITC Avant Garde" w:eastAsia="Times New Roman" w:hAnsi="ITC Avant Garde" w:cs="Arial"/>
        <w:color w:val="000000"/>
      </w:rPr>
    </w:lvl>
  </w:abstractNum>
  <w:abstractNum w:abstractNumId="4">
    <w:nsid w:val="00000005"/>
    <w:multiLevelType w:val="multilevel"/>
    <w:tmpl w:val="29BA3392"/>
    <w:name w:val="WW8Num5"/>
    <w:lvl w:ilvl="0">
      <w:start w:val="1"/>
      <w:numFmt w:val="upperRoman"/>
      <w:lvlText w:val="%1."/>
      <w:lvlJc w:val="left"/>
      <w:pPr>
        <w:tabs>
          <w:tab w:val="num" w:pos="0"/>
        </w:tabs>
        <w:ind w:left="108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6"/>
    <w:multiLevelType w:val="multilevel"/>
    <w:tmpl w:val="00000006"/>
    <w:name w:val="WWNum61"/>
    <w:lvl w:ilvl="0">
      <w:start w:val="1"/>
      <w:numFmt w:val="upperRoman"/>
      <w:lvlText w:val="%1."/>
      <w:lvlJc w:val="right"/>
      <w:pPr>
        <w:tabs>
          <w:tab w:val="num" w:pos="0"/>
        </w:tabs>
        <w:ind w:left="1080" w:hanging="360"/>
      </w:pPr>
      <w:rPr>
        <w:rFonts w:cs="Courier New"/>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07"/>
    <w:multiLevelType w:val="multilevel"/>
    <w:tmpl w:val="00000007"/>
    <w:name w:val="WWNum142"/>
    <w:lvl w:ilvl="0">
      <w:start w:val="1"/>
      <w:numFmt w:val="upperRoman"/>
      <w:lvlText w:val="%1."/>
      <w:lvlJc w:val="right"/>
      <w:pPr>
        <w:tabs>
          <w:tab w:val="num" w:pos="64"/>
        </w:tabs>
        <w:ind w:left="1068" w:hanging="360"/>
      </w:pPr>
    </w:lvl>
    <w:lvl w:ilvl="1">
      <w:start w:val="1"/>
      <w:numFmt w:val="lowerLetter"/>
      <w:lvlText w:val="%2."/>
      <w:lvlJc w:val="left"/>
      <w:pPr>
        <w:tabs>
          <w:tab w:val="num" w:pos="64"/>
        </w:tabs>
        <w:ind w:left="1788" w:hanging="360"/>
      </w:pPr>
    </w:lvl>
    <w:lvl w:ilvl="2">
      <w:start w:val="1"/>
      <w:numFmt w:val="lowerRoman"/>
      <w:lvlText w:val="%2.%3."/>
      <w:lvlJc w:val="right"/>
      <w:pPr>
        <w:tabs>
          <w:tab w:val="num" w:pos="64"/>
        </w:tabs>
        <w:ind w:left="2508" w:hanging="180"/>
      </w:pPr>
    </w:lvl>
    <w:lvl w:ilvl="3">
      <w:start w:val="1"/>
      <w:numFmt w:val="decimal"/>
      <w:lvlText w:val="%2.%3.%4."/>
      <w:lvlJc w:val="left"/>
      <w:pPr>
        <w:tabs>
          <w:tab w:val="num" w:pos="64"/>
        </w:tabs>
        <w:ind w:left="3228" w:hanging="360"/>
      </w:pPr>
    </w:lvl>
    <w:lvl w:ilvl="4">
      <w:start w:val="1"/>
      <w:numFmt w:val="lowerLetter"/>
      <w:lvlText w:val="%2.%3.%4.%5."/>
      <w:lvlJc w:val="left"/>
      <w:pPr>
        <w:tabs>
          <w:tab w:val="num" w:pos="64"/>
        </w:tabs>
        <w:ind w:left="3948" w:hanging="360"/>
      </w:pPr>
    </w:lvl>
    <w:lvl w:ilvl="5">
      <w:start w:val="1"/>
      <w:numFmt w:val="lowerRoman"/>
      <w:lvlText w:val="%2.%3.%4.%5.%6."/>
      <w:lvlJc w:val="right"/>
      <w:pPr>
        <w:tabs>
          <w:tab w:val="num" w:pos="64"/>
        </w:tabs>
        <w:ind w:left="4668" w:hanging="180"/>
      </w:pPr>
    </w:lvl>
    <w:lvl w:ilvl="6">
      <w:start w:val="1"/>
      <w:numFmt w:val="decimal"/>
      <w:lvlText w:val="%2.%3.%4.%5.%6.%7."/>
      <w:lvlJc w:val="left"/>
      <w:pPr>
        <w:tabs>
          <w:tab w:val="num" w:pos="64"/>
        </w:tabs>
        <w:ind w:left="5388" w:hanging="360"/>
      </w:pPr>
    </w:lvl>
    <w:lvl w:ilvl="7">
      <w:start w:val="1"/>
      <w:numFmt w:val="lowerLetter"/>
      <w:lvlText w:val="%2.%3.%4.%5.%6.%7.%8."/>
      <w:lvlJc w:val="left"/>
      <w:pPr>
        <w:tabs>
          <w:tab w:val="num" w:pos="64"/>
        </w:tabs>
        <w:ind w:left="6108" w:hanging="360"/>
      </w:pPr>
    </w:lvl>
    <w:lvl w:ilvl="8">
      <w:start w:val="1"/>
      <w:numFmt w:val="lowerRoman"/>
      <w:lvlText w:val="%2.%3.%4.%5.%6.%7.%8.%9."/>
      <w:lvlJc w:val="right"/>
      <w:pPr>
        <w:tabs>
          <w:tab w:val="num" w:pos="64"/>
        </w:tabs>
        <w:ind w:left="6828" w:hanging="180"/>
      </w:pPr>
    </w:lvl>
  </w:abstractNum>
  <w:abstractNum w:abstractNumId="7">
    <w:nsid w:val="00000008"/>
    <w:multiLevelType w:val="multilevel"/>
    <w:tmpl w:val="00000008"/>
    <w:name w:val="WWNum88"/>
    <w:lvl w:ilvl="0">
      <w:start w:val="1"/>
      <w:numFmt w:val="upperRoman"/>
      <w:lvlText w:val="%1."/>
      <w:lvlJc w:val="righ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48D49B0"/>
    <w:multiLevelType w:val="hybridMultilevel"/>
    <w:tmpl w:val="4DE49FB4"/>
    <w:lvl w:ilvl="0" w:tplc="080A0013">
      <w:start w:val="1"/>
      <w:numFmt w:val="upperRoman"/>
      <w:lvlText w:val="%1."/>
      <w:lvlJc w:val="righ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CB52B3"/>
    <w:multiLevelType w:val="hybridMultilevel"/>
    <w:tmpl w:val="C2C820E4"/>
    <w:lvl w:ilvl="0" w:tplc="72ACB5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FB623C"/>
    <w:multiLevelType w:val="hybridMultilevel"/>
    <w:tmpl w:val="C2E082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DA1964"/>
    <w:multiLevelType w:val="hybridMultilevel"/>
    <w:tmpl w:val="79F66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4870CC"/>
    <w:multiLevelType w:val="hybridMultilevel"/>
    <w:tmpl w:val="FD649A1C"/>
    <w:lvl w:ilvl="0" w:tplc="080A0017">
      <w:start w:val="1"/>
      <w:numFmt w:val="lowerLetter"/>
      <w:lvlText w:val="%1)"/>
      <w:lvlJc w:val="lef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nsid w:val="47B2333B"/>
    <w:multiLevelType w:val="hybridMultilevel"/>
    <w:tmpl w:val="34643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7C4CB1"/>
    <w:multiLevelType w:val="hybridMultilevel"/>
    <w:tmpl w:val="E1E0D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A8F61E1"/>
    <w:multiLevelType w:val="hybridMultilevel"/>
    <w:tmpl w:val="7C7C1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6C596A"/>
    <w:multiLevelType w:val="hybridMultilevel"/>
    <w:tmpl w:val="EE388A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11"/>
  </w:num>
  <w:num w:numId="4">
    <w:abstractNumId w:val="13"/>
  </w:num>
  <w:num w:numId="5">
    <w:abstractNumId w:val="16"/>
  </w:num>
  <w:num w:numId="6">
    <w:abstractNumId w:val="18"/>
  </w:num>
  <w:num w:numId="7">
    <w:abstractNumId w:val="17"/>
  </w:num>
  <w:num w:numId="8">
    <w:abstractNumId w:val="14"/>
  </w:num>
  <w:num w:numId="9">
    <w:abstractNumId w:val="8"/>
  </w:num>
  <w:num w:numId="10">
    <w:abstractNumId w:val="12"/>
  </w:num>
  <w:num w:numId="11">
    <w:abstractNumId w:val="15"/>
  </w:num>
  <w:num w:numId="12">
    <w:abstractNumId w:val="19"/>
  </w:num>
  <w:num w:numId="13">
    <w:abstractNumId w:val="10"/>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4"/>
    <w:rsid w:val="00001DDB"/>
    <w:rsid w:val="00002923"/>
    <w:rsid w:val="00003BCD"/>
    <w:rsid w:val="00003CBA"/>
    <w:rsid w:val="00004040"/>
    <w:rsid w:val="000054D8"/>
    <w:rsid w:val="000137F9"/>
    <w:rsid w:val="0002189A"/>
    <w:rsid w:val="00024B79"/>
    <w:rsid w:val="00025E90"/>
    <w:rsid w:val="00026A2D"/>
    <w:rsid w:val="00034D81"/>
    <w:rsid w:val="000353CC"/>
    <w:rsid w:val="000364D9"/>
    <w:rsid w:val="00043AB3"/>
    <w:rsid w:val="00045C13"/>
    <w:rsid w:val="00071AD2"/>
    <w:rsid w:val="000752A9"/>
    <w:rsid w:val="00076C35"/>
    <w:rsid w:val="00080304"/>
    <w:rsid w:val="00081DE9"/>
    <w:rsid w:val="0009065A"/>
    <w:rsid w:val="00092068"/>
    <w:rsid w:val="0009283F"/>
    <w:rsid w:val="000968E9"/>
    <w:rsid w:val="00096BDB"/>
    <w:rsid w:val="00097E70"/>
    <w:rsid w:val="000A1411"/>
    <w:rsid w:val="000A5ED4"/>
    <w:rsid w:val="000A6041"/>
    <w:rsid w:val="000A6A86"/>
    <w:rsid w:val="000A6B4A"/>
    <w:rsid w:val="000A6ED0"/>
    <w:rsid w:val="000B1376"/>
    <w:rsid w:val="000B28C3"/>
    <w:rsid w:val="000C1B7D"/>
    <w:rsid w:val="000D275A"/>
    <w:rsid w:val="000D53BA"/>
    <w:rsid w:val="000D57F8"/>
    <w:rsid w:val="000D6C46"/>
    <w:rsid w:val="000E3ECF"/>
    <w:rsid w:val="000F1AE9"/>
    <w:rsid w:val="000F4287"/>
    <w:rsid w:val="000F674C"/>
    <w:rsid w:val="00114795"/>
    <w:rsid w:val="001204B2"/>
    <w:rsid w:val="00121AB4"/>
    <w:rsid w:val="0013603B"/>
    <w:rsid w:val="00136289"/>
    <w:rsid w:val="0013656B"/>
    <w:rsid w:val="00137D3B"/>
    <w:rsid w:val="00143DDB"/>
    <w:rsid w:val="0014721F"/>
    <w:rsid w:val="0015245C"/>
    <w:rsid w:val="00153844"/>
    <w:rsid w:val="0016335E"/>
    <w:rsid w:val="00167A58"/>
    <w:rsid w:val="00174D76"/>
    <w:rsid w:val="00181744"/>
    <w:rsid w:val="001828A4"/>
    <w:rsid w:val="00195A93"/>
    <w:rsid w:val="001972E2"/>
    <w:rsid w:val="001A3267"/>
    <w:rsid w:val="001A419A"/>
    <w:rsid w:val="001A4E11"/>
    <w:rsid w:val="001A6461"/>
    <w:rsid w:val="001A6D4F"/>
    <w:rsid w:val="001A7D26"/>
    <w:rsid w:val="001B0D23"/>
    <w:rsid w:val="001B11B7"/>
    <w:rsid w:val="001B1410"/>
    <w:rsid w:val="001B1580"/>
    <w:rsid w:val="001B2E99"/>
    <w:rsid w:val="001B3A69"/>
    <w:rsid w:val="001B4DA4"/>
    <w:rsid w:val="001B4F38"/>
    <w:rsid w:val="001C02EF"/>
    <w:rsid w:val="001C2C80"/>
    <w:rsid w:val="001C3F42"/>
    <w:rsid w:val="001C4CDE"/>
    <w:rsid w:val="001D04A3"/>
    <w:rsid w:val="001D04D0"/>
    <w:rsid w:val="001D2B7C"/>
    <w:rsid w:val="001D3E79"/>
    <w:rsid w:val="001D42DF"/>
    <w:rsid w:val="001D5D92"/>
    <w:rsid w:val="001E2B2D"/>
    <w:rsid w:val="001E5EB0"/>
    <w:rsid w:val="001E6D05"/>
    <w:rsid w:val="001F1FE6"/>
    <w:rsid w:val="001F4E03"/>
    <w:rsid w:val="001F62F0"/>
    <w:rsid w:val="001F6900"/>
    <w:rsid w:val="001F7380"/>
    <w:rsid w:val="002079C3"/>
    <w:rsid w:val="00207E2C"/>
    <w:rsid w:val="002117E5"/>
    <w:rsid w:val="002125F7"/>
    <w:rsid w:val="00213483"/>
    <w:rsid w:val="00217BB8"/>
    <w:rsid w:val="0022373F"/>
    <w:rsid w:val="002247D6"/>
    <w:rsid w:val="002249AE"/>
    <w:rsid w:val="002319E3"/>
    <w:rsid w:val="0023214A"/>
    <w:rsid w:val="0023373E"/>
    <w:rsid w:val="0023622D"/>
    <w:rsid w:val="00236FF1"/>
    <w:rsid w:val="002376C1"/>
    <w:rsid w:val="0024013D"/>
    <w:rsid w:val="00240334"/>
    <w:rsid w:val="00240BF3"/>
    <w:rsid w:val="00241572"/>
    <w:rsid w:val="00241A92"/>
    <w:rsid w:val="00242FBD"/>
    <w:rsid w:val="0024610B"/>
    <w:rsid w:val="00252A3E"/>
    <w:rsid w:val="002538FC"/>
    <w:rsid w:val="002557CD"/>
    <w:rsid w:val="002575D2"/>
    <w:rsid w:val="00257B7C"/>
    <w:rsid w:val="00265025"/>
    <w:rsid w:val="00265B06"/>
    <w:rsid w:val="00273686"/>
    <w:rsid w:val="00274576"/>
    <w:rsid w:val="00274B22"/>
    <w:rsid w:val="00275F0E"/>
    <w:rsid w:val="0028107D"/>
    <w:rsid w:val="002811FD"/>
    <w:rsid w:val="00281501"/>
    <w:rsid w:val="00286C56"/>
    <w:rsid w:val="00294A29"/>
    <w:rsid w:val="0029571F"/>
    <w:rsid w:val="00296EC5"/>
    <w:rsid w:val="00297930"/>
    <w:rsid w:val="002A0896"/>
    <w:rsid w:val="002A3F95"/>
    <w:rsid w:val="002A4833"/>
    <w:rsid w:val="002A671E"/>
    <w:rsid w:val="002A6EAD"/>
    <w:rsid w:val="002B0BED"/>
    <w:rsid w:val="002B24DD"/>
    <w:rsid w:val="002B42BE"/>
    <w:rsid w:val="002B681F"/>
    <w:rsid w:val="002B7FAC"/>
    <w:rsid w:val="002C06B4"/>
    <w:rsid w:val="002C1A21"/>
    <w:rsid w:val="002C2745"/>
    <w:rsid w:val="002C2777"/>
    <w:rsid w:val="002C3B75"/>
    <w:rsid w:val="002C404B"/>
    <w:rsid w:val="002C5326"/>
    <w:rsid w:val="002C69C5"/>
    <w:rsid w:val="002C78D2"/>
    <w:rsid w:val="002C7998"/>
    <w:rsid w:val="002C7EBF"/>
    <w:rsid w:val="002D05C8"/>
    <w:rsid w:val="002D09E1"/>
    <w:rsid w:val="002D0B92"/>
    <w:rsid w:val="002D5B4B"/>
    <w:rsid w:val="002D6518"/>
    <w:rsid w:val="002E27EA"/>
    <w:rsid w:val="002E2873"/>
    <w:rsid w:val="002E4181"/>
    <w:rsid w:val="002E4AC8"/>
    <w:rsid w:val="002F0C95"/>
    <w:rsid w:val="002F0D3E"/>
    <w:rsid w:val="002F37CD"/>
    <w:rsid w:val="002F3EEA"/>
    <w:rsid w:val="002F4366"/>
    <w:rsid w:val="003018EE"/>
    <w:rsid w:val="00306228"/>
    <w:rsid w:val="00313D03"/>
    <w:rsid w:val="0031435E"/>
    <w:rsid w:val="00314390"/>
    <w:rsid w:val="00316B96"/>
    <w:rsid w:val="003171ED"/>
    <w:rsid w:val="0031760B"/>
    <w:rsid w:val="003220FB"/>
    <w:rsid w:val="0032221F"/>
    <w:rsid w:val="0033033F"/>
    <w:rsid w:val="003336CD"/>
    <w:rsid w:val="003354C6"/>
    <w:rsid w:val="0033781A"/>
    <w:rsid w:val="003416CA"/>
    <w:rsid w:val="00342856"/>
    <w:rsid w:val="0034562B"/>
    <w:rsid w:val="00354BD8"/>
    <w:rsid w:val="00356869"/>
    <w:rsid w:val="003576CD"/>
    <w:rsid w:val="0035794F"/>
    <w:rsid w:val="00357E07"/>
    <w:rsid w:val="003610A4"/>
    <w:rsid w:val="003613AE"/>
    <w:rsid w:val="003621E8"/>
    <w:rsid w:val="00362C0C"/>
    <w:rsid w:val="003671DE"/>
    <w:rsid w:val="00367210"/>
    <w:rsid w:val="00370B26"/>
    <w:rsid w:val="00371802"/>
    <w:rsid w:val="00372484"/>
    <w:rsid w:val="003736F8"/>
    <w:rsid w:val="00374860"/>
    <w:rsid w:val="003908BA"/>
    <w:rsid w:val="00393769"/>
    <w:rsid w:val="00396197"/>
    <w:rsid w:val="003A0B7C"/>
    <w:rsid w:val="003A57DC"/>
    <w:rsid w:val="003B02CD"/>
    <w:rsid w:val="003B3220"/>
    <w:rsid w:val="003B3973"/>
    <w:rsid w:val="003B5376"/>
    <w:rsid w:val="003B59E0"/>
    <w:rsid w:val="003C2661"/>
    <w:rsid w:val="003C2B26"/>
    <w:rsid w:val="003C3212"/>
    <w:rsid w:val="003D1059"/>
    <w:rsid w:val="003D3BE9"/>
    <w:rsid w:val="003D7D59"/>
    <w:rsid w:val="003E1732"/>
    <w:rsid w:val="003E23AD"/>
    <w:rsid w:val="003E7A96"/>
    <w:rsid w:val="003F43EC"/>
    <w:rsid w:val="003F4942"/>
    <w:rsid w:val="003F52D7"/>
    <w:rsid w:val="003F5DD1"/>
    <w:rsid w:val="003F5E8C"/>
    <w:rsid w:val="003F60DE"/>
    <w:rsid w:val="004024B7"/>
    <w:rsid w:val="00402A08"/>
    <w:rsid w:val="00405ABF"/>
    <w:rsid w:val="0041127D"/>
    <w:rsid w:val="004132FD"/>
    <w:rsid w:val="00415242"/>
    <w:rsid w:val="00415689"/>
    <w:rsid w:val="004176D0"/>
    <w:rsid w:val="00417C4C"/>
    <w:rsid w:val="004205E8"/>
    <w:rsid w:val="0042385E"/>
    <w:rsid w:val="0042427B"/>
    <w:rsid w:val="00427B7E"/>
    <w:rsid w:val="00427E26"/>
    <w:rsid w:val="00433934"/>
    <w:rsid w:val="0043649B"/>
    <w:rsid w:val="00437EEC"/>
    <w:rsid w:val="00441B83"/>
    <w:rsid w:val="00446B5E"/>
    <w:rsid w:val="00450589"/>
    <w:rsid w:val="004512B0"/>
    <w:rsid w:val="00451F75"/>
    <w:rsid w:val="00452233"/>
    <w:rsid w:val="00452F1C"/>
    <w:rsid w:val="0045662B"/>
    <w:rsid w:val="00457EBA"/>
    <w:rsid w:val="0046272A"/>
    <w:rsid w:val="004632CD"/>
    <w:rsid w:val="004649E4"/>
    <w:rsid w:val="0046677E"/>
    <w:rsid w:val="00470AAD"/>
    <w:rsid w:val="00470F0D"/>
    <w:rsid w:val="00472738"/>
    <w:rsid w:val="00473020"/>
    <w:rsid w:val="004747C2"/>
    <w:rsid w:val="00480D23"/>
    <w:rsid w:val="00485F82"/>
    <w:rsid w:val="0049058B"/>
    <w:rsid w:val="0049377A"/>
    <w:rsid w:val="00494BB9"/>
    <w:rsid w:val="00495190"/>
    <w:rsid w:val="00495FB6"/>
    <w:rsid w:val="004A085D"/>
    <w:rsid w:val="004A1ADE"/>
    <w:rsid w:val="004A2AFA"/>
    <w:rsid w:val="004A7A26"/>
    <w:rsid w:val="004A7BA8"/>
    <w:rsid w:val="004A7FD7"/>
    <w:rsid w:val="004B0124"/>
    <w:rsid w:val="004B1111"/>
    <w:rsid w:val="004B40A1"/>
    <w:rsid w:val="004B4189"/>
    <w:rsid w:val="004B5C33"/>
    <w:rsid w:val="004B6606"/>
    <w:rsid w:val="004B6972"/>
    <w:rsid w:val="004B70AA"/>
    <w:rsid w:val="004B71D7"/>
    <w:rsid w:val="004B7AEA"/>
    <w:rsid w:val="004C3ECF"/>
    <w:rsid w:val="004C3FDC"/>
    <w:rsid w:val="004C4525"/>
    <w:rsid w:val="004C4E6C"/>
    <w:rsid w:val="004C6EF8"/>
    <w:rsid w:val="004C6EFA"/>
    <w:rsid w:val="004D11BF"/>
    <w:rsid w:val="004D2CA3"/>
    <w:rsid w:val="004D66E4"/>
    <w:rsid w:val="004D7678"/>
    <w:rsid w:val="004E296C"/>
    <w:rsid w:val="004E6190"/>
    <w:rsid w:val="004F0EEE"/>
    <w:rsid w:val="004F3637"/>
    <w:rsid w:val="004F449E"/>
    <w:rsid w:val="004F6F5D"/>
    <w:rsid w:val="004F71B0"/>
    <w:rsid w:val="00502121"/>
    <w:rsid w:val="0050428E"/>
    <w:rsid w:val="005045EE"/>
    <w:rsid w:val="00506A57"/>
    <w:rsid w:val="00510058"/>
    <w:rsid w:val="0051082C"/>
    <w:rsid w:val="0051293D"/>
    <w:rsid w:val="00513EE0"/>
    <w:rsid w:val="005205A8"/>
    <w:rsid w:val="00525FA7"/>
    <w:rsid w:val="005268BC"/>
    <w:rsid w:val="00527828"/>
    <w:rsid w:val="0053692B"/>
    <w:rsid w:val="0054012C"/>
    <w:rsid w:val="00541525"/>
    <w:rsid w:val="00546DBF"/>
    <w:rsid w:val="00550E12"/>
    <w:rsid w:val="00551674"/>
    <w:rsid w:val="005523C3"/>
    <w:rsid w:val="0056046C"/>
    <w:rsid w:val="00562FE2"/>
    <w:rsid w:val="00563B73"/>
    <w:rsid w:val="00564DD8"/>
    <w:rsid w:val="00567694"/>
    <w:rsid w:val="005707F6"/>
    <w:rsid w:val="00573AE9"/>
    <w:rsid w:val="005779F2"/>
    <w:rsid w:val="00581DE9"/>
    <w:rsid w:val="00583547"/>
    <w:rsid w:val="005848CC"/>
    <w:rsid w:val="00587165"/>
    <w:rsid w:val="00590B91"/>
    <w:rsid w:val="00595EAD"/>
    <w:rsid w:val="00597D0A"/>
    <w:rsid w:val="005A48F8"/>
    <w:rsid w:val="005A561F"/>
    <w:rsid w:val="005B0B6B"/>
    <w:rsid w:val="005B3825"/>
    <w:rsid w:val="005B588A"/>
    <w:rsid w:val="005C488A"/>
    <w:rsid w:val="005C6C38"/>
    <w:rsid w:val="005C735D"/>
    <w:rsid w:val="005D0D92"/>
    <w:rsid w:val="005D230E"/>
    <w:rsid w:val="005D525F"/>
    <w:rsid w:val="005D55C8"/>
    <w:rsid w:val="005E2710"/>
    <w:rsid w:val="005E2809"/>
    <w:rsid w:val="005E2874"/>
    <w:rsid w:val="005E29C0"/>
    <w:rsid w:val="005E347E"/>
    <w:rsid w:val="005E352F"/>
    <w:rsid w:val="005F4D25"/>
    <w:rsid w:val="005F5BF8"/>
    <w:rsid w:val="005F7210"/>
    <w:rsid w:val="0060208D"/>
    <w:rsid w:val="00602404"/>
    <w:rsid w:val="00602EFD"/>
    <w:rsid w:val="006071F0"/>
    <w:rsid w:val="00610924"/>
    <w:rsid w:val="006167B2"/>
    <w:rsid w:val="00620F92"/>
    <w:rsid w:val="00620FBF"/>
    <w:rsid w:val="0062239E"/>
    <w:rsid w:val="006231F7"/>
    <w:rsid w:val="006250A8"/>
    <w:rsid w:val="00625ACE"/>
    <w:rsid w:val="0063073A"/>
    <w:rsid w:val="00631E65"/>
    <w:rsid w:val="00644BC3"/>
    <w:rsid w:val="0064594A"/>
    <w:rsid w:val="00647552"/>
    <w:rsid w:val="0065040C"/>
    <w:rsid w:val="00650A97"/>
    <w:rsid w:val="00661F09"/>
    <w:rsid w:val="00662F62"/>
    <w:rsid w:val="00663847"/>
    <w:rsid w:val="0066392B"/>
    <w:rsid w:val="00666CF5"/>
    <w:rsid w:val="006734FC"/>
    <w:rsid w:val="006736D6"/>
    <w:rsid w:val="006769FE"/>
    <w:rsid w:val="00676E9A"/>
    <w:rsid w:val="00680497"/>
    <w:rsid w:val="006836B1"/>
    <w:rsid w:val="00684253"/>
    <w:rsid w:val="00684E98"/>
    <w:rsid w:val="0068520E"/>
    <w:rsid w:val="00687D32"/>
    <w:rsid w:val="006909FF"/>
    <w:rsid w:val="00691FB7"/>
    <w:rsid w:val="00695A13"/>
    <w:rsid w:val="00695AFF"/>
    <w:rsid w:val="00696546"/>
    <w:rsid w:val="006A260A"/>
    <w:rsid w:val="006A3D5A"/>
    <w:rsid w:val="006A7BE8"/>
    <w:rsid w:val="006B0852"/>
    <w:rsid w:val="006B1A29"/>
    <w:rsid w:val="006B694E"/>
    <w:rsid w:val="006B74C2"/>
    <w:rsid w:val="006C0703"/>
    <w:rsid w:val="006C0B93"/>
    <w:rsid w:val="006C1068"/>
    <w:rsid w:val="006C262A"/>
    <w:rsid w:val="006C2BF8"/>
    <w:rsid w:val="006C3AB3"/>
    <w:rsid w:val="006C573F"/>
    <w:rsid w:val="006D0A34"/>
    <w:rsid w:val="006D1CE8"/>
    <w:rsid w:val="006D2C42"/>
    <w:rsid w:val="006E04A4"/>
    <w:rsid w:val="006E2871"/>
    <w:rsid w:val="006E4893"/>
    <w:rsid w:val="006E7D91"/>
    <w:rsid w:val="006F711E"/>
    <w:rsid w:val="00700EB4"/>
    <w:rsid w:val="00703EF8"/>
    <w:rsid w:val="00705E79"/>
    <w:rsid w:val="00706A78"/>
    <w:rsid w:val="00706E34"/>
    <w:rsid w:val="007114AF"/>
    <w:rsid w:val="00712232"/>
    <w:rsid w:val="00713CA9"/>
    <w:rsid w:val="00715CFC"/>
    <w:rsid w:val="007202B2"/>
    <w:rsid w:val="00720DAA"/>
    <w:rsid w:val="00734FF9"/>
    <w:rsid w:val="00737CED"/>
    <w:rsid w:val="0074153A"/>
    <w:rsid w:val="00746A2F"/>
    <w:rsid w:val="00747FCA"/>
    <w:rsid w:val="0075315D"/>
    <w:rsid w:val="007534BF"/>
    <w:rsid w:val="0075392A"/>
    <w:rsid w:val="0075739A"/>
    <w:rsid w:val="0076030B"/>
    <w:rsid w:val="00762947"/>
    <w:rsid w:val="00762CDF"/>
    <w:rsid w:val="007734E4"/>
    <w:rsid w:val="007738FC"/>
    <w:rsid w:val="00777451"/>
    <w:rsid w:val="0078166D"/>
    <w:rsid w:val="0078453B"/>
    <w:rsid w:val="0079319C"/>
    <w:rsid w:val="00793E6B"/>
    <w:rsid w:val="007940DE"/>
    <w:rsid w:val="00795E27"/>
    <w:rsid w:val="007B24D7"/>
    <w:rsid w:val="007B45D0"/>
    <w:rsid w:val="007B5DB5"/>
    <w:rsid w:val="007B66EF"/>
    <w:rsid w:val="007C06C6"/>
    <w:rsid w:val="007C23D5"/>
    <w:rsid w:val="007C2537"/>
    <w:rsid w:val="007C3751"/>
    <w:rsid w:val="007C49CD"/>
    <w:rsid w:val="007C4D23"/>
    <w:rsid w:val="007D311A"/>
    <w:rsid w:val="007D419D"/>
    <w:rsid w:val="007E2ADB"/>
    <w:rsid w:val="007E34CD"/>
    <w:rsid w:val="007E58CF"/>
    <w:rsid w:val="007E6C31"/>
    <w:rsid w:val="007F0762"/>
    <w:rsid w:val="007F21EE"/>
    <w:rsid w:val="007F38A0"/>
    <w:rsid w:val="007F5611"/>
    <w:rsid w:val="007F75CF"/>
    <w:rsid w:val="0080056E"/>
    <w:rsid w:val="00801631"/>
    <w:rsid w:val="0080221A"/>
    <w:rsid w:val="00804B27"/>
    <w:rsid w:val="00804EF0"/>
    <w:rsid w:val="00805C93"/>
    <w:rsid w:val="00806C31"/>
    <w:rsid w:val="008113F0"/>
    <w:rsid w:val="00811A7E"/>
    <w:rsid w:val="00813468"/>
    <w:rsid w:val="00813939"/>
    <w:rsid w:val="0081638A"/>
    <w:rsid w:val="00816E6A"/>
    <w:rsid w:val="0082048B"/>
    <w:rsid w:val="008206BC"/>
    <w:rsid w:val="00822262"/>
    <w:rsid w:val="008232CE"/>
    <w:rsid w:val="00823C33"/>
    <w:rsid w:val="00825EB5"/>
    <w:rsid w:val="00827F95"/>
    <w:rsid w:val="00831C76"/>
    <w:rsid w:val="0083314B"/>
    <w:rsid w:val="008341BF"/>
    <w:rsid w:val="00835D0C"/>
    <w:rsid w:val="00842D87"/>
    <w:rsid w:val="00846110"/>
    <w:rsid w:val="00854F76"/>
    <w:rsid w:val="00855EF9"/>
    <w:rsid w:val="00860EC1"/>
    <w:rsid w:val="00862332"/>
    <w:rsid w:val="008658B2"/>
    <w:rsid w:val="00872C82"/>
    <w:rsid w:val="00873711"/>
    <w:rsid w:val="008738D3"/>
    <w:rsid w:val="008758B1"/>
    <w:rsid w:val="008759E1"/>
    <w:rsid w:val="008771E8"/>
    <w:rsid w:val="00886182"/>
    <w:rsid w:val="008865B7"/>
    <w:rsid w:val="00892197"/>
    <w:rsid w:val="00892BD2"/>
    <w:rsid w:val="008970C0"/>
    <w:rsid w:val="00897148"/>
    <w:rsid w:val="008A0315"/>
    <w:rsid w:val="008A2164"/>
    <w:rsid w:val="008A6AD8"/>
    <w:rsid w:val="008A7300"/>
    <w:rsid w:val="008A7B2B"/>
    <w:rsid w:val="008B332A"/>
    <w:rsid w:val="008B3504"/>
    <w:rsid w:val="008B7676"/>
    <w:rsid w:val="008C1132"/>
    <w:rsid w:val="008C1190"/>
    <w:rsid w:val="008C4482"/>
    <w:rsid w:val="008C49FE"/>
    <w:rsid w:val="008C5B86"/>
    <w:rsid w:val="008D3688"/>
    <w:rsid w:val="008D40E6"/>
    <w:rsid w:val="008D4E6B"/>
    <w:rsid w:val="008E05CD"/>
    <w:rsid w:val="008E0D53"/>
    <w:rsid w:val="008E1C86"/>
    <w:rsid w:val="008E6C8F"/>
    <w:rsid w:val="008E7E49"/>
    <w:rsid w:val="008F111B"/>
    <w:rsid w:val="008F442A"/>
    <w:rsid w:val="008F7BA9"/>
    <w:rsid w:val="008F7EBC"/>
    <w:rsid w:val="00900D5A"/>
    <w:rsid w:val="0090322B"/>
    <w:rsid w:val="00903719"/>
    <w:rsid w:val="009054AB"/>
    <w:rsid w:val="00910410"/>
    <w:rsid w:val="0091328F"/>
    <w:rsid w:val="009147E1"/>
    <w:rsid w:val="00914D39"/>
    <w:rsid w:val="00915F87"/>
    <w:rsid w:val="00916D27"/>
    <w:rsid w:val="0091701F"/>
    <w:rsid w:val="0092309F"/>
    <w:rsid w:val="00926DB8"/>
    <w:rsid w:val="0093563E"/>
    <w:rsid w:val="00941E0C"/>
    <w:rsid w:val="009427F2"/>
    <w:rsid w:val="00945AB2"/>
    <w:rsid w:val="00946378"/>
    <w:rsid w:val="009464B3"/>
    <w:rsid w:val="009465DA"/>
    <w:rsid w:val="00950275"/>
    <w:rsid w:val="00951540"/>
    <w:rsid w:val="00951B74"/>
    <w:rsid w:val="00953CBB"/>
    <w:rsid w:val="009576D4"/>
    <w:rsid w:val="0096287B"/>
    <w:rsid w:val="00962930"/>
    <w:rsid w:val="0096342B"/>
    <w:rsid w:val="00971C99"/>
    <w:rsid w:val="00976ED1"/>
    <w:rsid w:val="00976F03"/>
    <w:rsid w:val="00980850"/>
    <w:rsid w:val="00982C23"/>
    <w:rsid w:val="009853C6"/>
    <w:rsid w:val="00991055"/>
    <w:rsid w:val="00991561"/>
    <w:rsid w:val="00997061"/>
    <w:rsid w:val="009974A6"/>
    <w:rsid w:val="009A033B"/>
    <w:rsid w:val="009A308B"/>
    <w:rsid w:val="009A4E96"/>
    <w:rsid w:val="009A4EA9"/>
    <w:rsid w:val="009A5FC8"/>
    <w:rsid w:val="009A70AE"/>
    <w:rsid w:val="009A7124"/>
    <w:rsid w:val="009B165A"/>
    <w:rsid w:val="009B465D"/>
    <w:rsid w:val="009B5E42"/>
    <w:rsid w:val="009B7A0A"/>
    <w:rsid w:val="009C0066"/>
    <w:rsid w:val="009C0728"/>
    <w:rsid w:val="009C24E1"/>
    <w:rsid w:val="009C2649"/>
    <w:rsid w:val="009C4029"/>
    <w:rsid w:val="009C59E9"/>
    <w:rsid w:val="009D02A4"/>
    <w:rsid w:val="009D05D5"/>
    <w:rsid w:val="009D11A9"/>
    <w:rsid w:val="009D2FDF"/>
    <w:rsid w:val="009D5EFD"/>
    <w:rsid w:val="009E5330"/>
    <w:rsid w:val="009E61BF"/>
    <w:rsid w:val="009E668D"/>
    <w:rsid w:val="009E78B4"/>
    <w:rsid w:val="009F070E"/>
    <w:rsid w:val="009F1198"/>
    <w:rsid w:val="009F44FD"/>
    <w:rsid w:val="009F66E7"/>
    <w:rsid w:val="009F6EE7"/>
    <w:rsid w:val="009F7B18"/>
    <w:rsid w:val="009F7DD3"/>
    <w:rsid w:val="00A02E89"/>
    <w:rsid w:val="00A03EC6"/>
    <w:rsid w:val="00A07304"/>
    <w:rsid w:val="00A10661"/>
    <w:rsid w:val="00A13C9D"/>
    <w:rsid w:val="00A1559D"/>
    <w:rsid w:val="00A16AEC"/>
    <w:rsid w:val="00A17DD4"/>
    <w:rsid w:val="00A208F4"/>
    <w:rsid w:val="00A21FB4"/>
    <w:rsid w:val="00A261B0"/>
    <w:rsid w:val="00A26A6F"/>
    <w:rsid w:val="00A2711D"/>
    <w:rsid w:val="00A27B7F"/>
    <w:rsid w:val="00A30648"/>
    <w:rsid w:val="00A320EB"/>
    <w:rsid w:val="00A3345A"/>
    <w:rsid w:val="00A34DAA"/>
    <w:rsid w:val="00A45E57"/>
    <w:rsid w:val="00A54272"/>
    <w:rsid w:val="00A54FE8"/>
    <w:rsid w:val="00A550B5"/>
    <w:rsid w:val="00A5776C"/>
    <w:rsid w:val="00A6124C"/>
    <w:rsid w:val="00A62C86"/>
    <w:rsid w:val="00A6376B"/>
    <w:rsid w:val="00A63A0B"/>
    <w:rsid w:val="00A6739B"/>
    <w:rsid w:val="00A70DA4"/>
    <w:rsid w:val="00A73171"/>
    <w:rsid w:val="00A82851"/>
    <w:rsid w:val="00A84183"/>
    <w:rsid w:val="00A93D59"/>
    <w:rsid w:val="00A945CB"/>
    <w:rsid w:val="00A94D0E"/>
    <w:rsid w:val="00A97054"/>
    <w:rsid w:val="00A9767F"/>
    <w:rsid w:val="00AA0122"/>
    <w:rsid w:val="00AA0636"/>
    <w:rsid w:val="00AA27AA"/>
    <w:rsid w:val="00AA27E6"/>
    <w:rsid w:val="00AA2AD2"/>
    <w:rsid w:val="00AA2F43"/>
    <w:rsid w:val="00AA40C5"/>
    <w:rsid w:val="00AA442A"/>
    <w:rsid w:val="00AA4F55"/>
    <w:rsid w:val="00AA6311"/>
    <w:rsid w:val="00AB0905"/>
    <w:rsid w:val="00AB101D"/>
    <w:rsid w:val="00AB144C"/>
    <w:rsid w:val="00AB1494"/>
    <w:rsid w:val="00AB3055"/>
    <w:rsid w:val="00AC07F1"/>
    <w:rsid w:val="00AC0C33"/>
    <w:rsid w:val="00AC1797"/>
    <w:rsid w:val="00AD0FCE"/>
    <w:rsid w:val="00AD4099"/>
    <w:rsid w:val="00AD473B"/>
    <w:rsid w:val="00AE1C04"/>
    <w:rsid w:val="00AE290F"/>
    <w:rsid w:val="00AE514D"/>
    <w:rsid w:val="00AF2D4E"/>
    <w:rsid w:val="00AF3293"/>
    <w:rsid w:val="00B008B1"/>
    <w:rsid w:val="00B029AD"/>
    <w:rsid w:val="00B0494B"/>
    <w:rsid w:val="00B04CE2"/>
    <w:rsid w:val="00B06866"/>
    <w:rsid w:val="00B078F9"/>
    <w:rsid w:val="00B122F3"/>
    <w:rsid w:val="00B16C0D"/>
    <w:rsid w:val="00B21885"/>
    <w:rsid w:val="00B24C02"/>
    <w:rsid w:val="00B251E5"/>
    <w:rsid w:val="00B256BD"/>
    <w:rsid w:val="00B26521"/>
    <w:rsid w:val="00B3282E"/>
    <w:rsid w:val="00B40658"/>
    <w:rsid w:val="00B42550"/>
    <w:rsid w:val="00B45694"/>
    <w:rsid w:val="00B474A6"/>
    <w:rsid w:val="00B53DD1"/>
    <w:rsid w:val="00B5688C"/>
    <w:rsid w:val="00B6055A"/>
    <w:rsid w:val="00B608D8"/>
    <w:rsid w:val="00B60FC9"/>
    <w:rsid w:val="00B61D17"/>
    <w:rsid w:val="00B62A65"/>
    <w:rsid w:val="00B64FAC"/>
    <w:rsid w:val="00B65489"/>
    <w:rsid w:val="00B65A6D"/>
    <w:rsid w:val="00B675E2"/>
    <w:rsid w:val="00B75981"/>
    <w:rsid w:val="00B75B2B"/>
    <w:rsid w:val="00B77A93"/>
    <w:rsid w:val="00B8288E"/>
    <w:rsid w:val="00B83F74"/>
    <w:rsid w:val="00B854EF"/>
    <w:rsid w:val="00B8624B"/>
    <w:rsid w:val="00B87ADB"/>
    <w:rsid w:val="00B9067C"/>
    <w:rsid w:val="00B928A6"/>
    <w:rsid w:val="00B92F91"/>
    <w:rsid w:val="00B956A2"/>
    <w:rsid w:val="00B96BAD"/>
    <w:rsid w:val="00B96E4E"/>
    <w:rsid w:val="00B9788E"/>
    <w:rsid w:val="00BA0A2D"/>
    <w:rsid w:val="00BA25DA"/>
    <w:rsid w:val="00BA2C73"/>
    <w:rsid w:val="00BA31D7"/>
    <w:rsid w:val="00BB68D0"/>
    <w:rsid w:val="00BB7576"/>
    <w:rsid w:val="00BB7787"/>
    <w:rsid w:val="00BC1F34"/>
    <w:rsid w:val="00BC2588"/>
    <w:rsid w:val="00BC2ED2"/>
    <w:rsid w:val="00BC3768"/>
    <w:rsid w:val="00BC3F2B"/>
    <w:rsid w:val="00BC4F49"/>
    <w:rsid w:val="00BC5B87"/>
    <w:rsid w:val="00BC5EC7"/>
    <w:rsid w:val="00BC7B05"/>
    <w:rsid w:val="00BD44F5"/>
    <w:rsid w:val="00BD5C15"/>
    <w:rsid w:val="00BD7CD4"/>
    <w:rsid w:val="00BE3C35"/>
    <w:rsid w:val="00BE43B0"/>
    <w:rsid w:val="00BF049F"/>
    <w:rsid w:val="00BF312E"/>
    <w:rsid w:val="00BF31B5"/>
    <w:rsid w:val="00BF6871"/>
    <w:rsid w:val="00C02586"/>
    <w:rsid w:val="00C03541"/>
    <w:rsid w:val="00C03BE0"/>
    <w:rsid w:val="00C0407A"/>
    <w:rsid w:val="00C066A4"/>
    <w:rsid w:val="00C07A24"/>
    <w:rsid w:val="00C11019"/>
    <w:rsid w:val="00C11501"/>
    <w:rsid w:val="00C1708E"/>
    <w:rsid w:val="00C17B8A"/>
    <w:rsid w:val="00C200B6"/>
    <w:rsid w:val="00C22E6A"/>
    <w:rsid w:val="00C22FE5"/>
    <w:rsid w:val="00C24539"/>
    <w:rsid w:val="00C254F6"/>
    <w:rsid w:val="00C25C9A"/>
    <w:rsid w:val="00C32B60"/>
    <w:rsid w:val="00C32DCC"/>
    <w:rsid w:val="00C3373F"/>
    <w:rsid w:val="00C42418"/>
    <w:rsid w:val="00C45039"/>
    <w:rsid w:val="00C53831"/>
    <w:rsid w:val="00C53A1A"/>
    <w:rsid w:val="00C62358"/>
    <w:rsid w:val="00C664DF"/>
    <w:rsid w:val="00C66AF5"/>
    <w:rsid w:val="00C67F6E"/>
    <w:rsid w:val="00C703A7"/>
    <w:rsid w:val="00C70495"/>
    <w:rsid w:val="00C71AAA"/>
    <w:rsid w:val="00C72A95"/>
    <w:rsid w:val="00C74EEF"/>
    <w:rsid w:val="00C75F76"/>
    <w:rsid w:val="00C77727"/>
    <w:rsid w:val="00C803CA"/>
    <w:rsid w:val="00C81EE8"/>
    <w:rsid w:val="00C823D4"/>
    <w:rsid w:val="00C82C3F"/>
    <w:rsid w:val="00C834A8"/>
    <w:rsid w:val="00C84FA4"/>
    <w:rsid w:val="00C87342"/>
    <w:rsid w:val="00C92335"/>
    <w:rsid w:val="00C92AB7"/>
    <w:rsid w:val="00C934B6"/>
    <w:rsid w:val="00C9399E"/>
    <w:rsid w:val="00C940A2"/>
    <w:rsid w:val="00C94809"/>
    <w:rsid w:val="00C973EC"/>
    <w:rsid w:val="00C9743C"/>
    <w:rsid w:val="00CA121B"/>
    <w:rsid w:val="00CA3248"/>
    <w:rsid w:val="00CA3A18"/>
    <w:rsid w:val="00CA6ECA"/>
    <w:rsid w:val="00CB0385"/>
    <w:rsid w:val="00CB0D61"/>
    <w:rsid w:val="00CB12FF"/>
    <w:rsid w:val="00CB78CF"/>
    <w:rsid w:val="00CC4523"/>
    <w:rsid w:val="00CC5BB9"/>
    <w:rsid w:val="00CD1649"/>
    <w:rsid w:val="00CD3E61"/>
    <w:rsid w:val="00CD7FCA"/>
    <w:rsid w:val="00CE0B0B"/>
    <w:rsid w:val="00CE1D1B"/>
    <w:rsid w:val="00CE3B80"/>
    <w:rsid w:val="00CE5965"/>
    <w:rsid w:val="00CE616F"/>
    <w:rsid w:val="00CE7E58"/>
    <w:rsid w:val="00CF1ABC"/>
    <w:rsid w:val="00CF1FA4"/>
    <w:rsid w:val="00CF4EE2"/>
    <w:rsid w:val="00CF522D"/>
    <w:rsid w:val="00D00FB1"/>
    <w:rsid w:val="00D026A1"/>
    <w:rsid w:val="00D044D5"/>
    <w:rsid w:val="00D0600B"/>
    <w:rsid w:val="00D11EE3"/>
    <w:rsid w:val="00D13504"/>
    <w:rsid w:val="00D13C8E"/>
    <w:rsid w:val="00D205AC"/>
    <w:rsid w:val="00D20872"/>
    <w:rsid w:val="00D21AD6"/>
    <w:rsid w:val="00D242B2"/>
    <w:rsid w:val="00D26570"/>
    <w:rsid w:val="00D32503"/>
    <w:rsid w:val="00D32EDB"/>
    <w:rsid w:val="00D33299"/>
    <w:rsid w:val="00D34108"/>
    <w:rsid w:val="00D36B02"/>
    <w:rsid w:val="00D40CFA"/>
    <w:rsid w:val="00D41525"/>
    <w:rsid w:val="00D44EF5"/>
    <w:rsid w:val="00D472F8"/>
    <w:rsid w:val="00D47F93"/>
    <w:rsid w:val="00D52E58"/>
    <w:rsid w:val="00D535B0"/>
    <w:rsid w:val="00D54792"/>
    <w:rsid w:val="00D54D57"/>
    <w:rsid w:val="00D578DF"/>
    <w:rsid w:val="00D6094F"/>
    <w:rsid w:val="00D609C0"/>
    <w:rsid w:val="00D61F54"/>
    <w:rsid w:val="00D62053"/>
    <w:rsid w:val="00D65FA7"/>
    <w:rsid w:val="00D66C13"/>
    <w:rsid w:val="00D70D3D"/>
    <w:rsid w:val="00D72CCF"/>
    <w:rsid w:val="00D72CD6"/>
    <w:rsid w:val="00D73764"/>
    <w:rsid w:val="00D770BD"/>
    <w:rsid w:val="00D77F4B"/>
    <w:rsid w:val="00D805BE"/>
    <w:rsid w:val="00D82D33"/>
    <w:rsid w:val="00D92E0D"/>
    <w:rsid w:val="00D94D92"/>
    <w:rsid w:val="00D96618"/>
    <w:rsid w:val="00D97034"/>
    <w:rsid w:val="00D97F58"/>
    <w:rsid w:val="00DA2D74"/>
    <w:rsid w:val="00DB02FD"/>
    <w:rsid w:val="00DB07A3"/>
    <w:rsid w:val="00DB27B4"/>
    <w:rsid w:val="00DB34AB"/>
    <w:rsid w:val="00DB54AE"/>
    <w:rsid w:val="00DB5666"/>
    <w:rsid w:val="00DB65E3"/>
    <w:rsid w:val="00DB684A"/>
    <w:rsid w:val="00DC2799"/>
    <w:rsid w:val="00DC2AA2"/>
    <w:rsid w:val="00DC2B21"/>
    <w:rsid w:val="00DC30F1"/>
    <w:rsid w:val="00DC3789"/>
    <w:rsid w:val="00DC431A"/>
    <w:rsid w:val="00DC7CF6"/>
    <w:rsid w:val="00DD0C95"/>
    <w:rsid w:val="00DD0D69"/>
    <w:rsid w:val="00DD5CC3"/>
    <w:rsid w:val="00DE020D"/>
    <w:rsid w:val="00DE1A6B"/>
    <w:rsid w:val="00DE1D0B"/>
    <w:rsid w:val="00DE301E"/>
    <w:rsid w:val="00DE5E06"/>
    <w:rsid w:val="00DF0786"/>
    <w:rsid w:val="00DF1650"/>
    <w:rsid w:val="00DF2107"/>
    <w:rsid w:val="00DF2914"/>
    <w:rsid w:val="00DF310A"/>
    <w:rsid w:val="00DF4DDC"/>
    <w:rsid w:val="00DF6BD5"/>
    <w:rsid w:val="00DF7B6E"/>
    <w:rsid w:val="00E01A99"/>
    <w:rsid w:val="00E01D91"/>
    <w:rsid w:val="00E07376"/>
    <w:rsid w:val="00E1268E"/>
    <w:rsid w:val="00E132B8"/>
    <w:rsid w:val="00E16082"/>
    <w:rsid w:val="00E21C0F"/>
    <w:rsid w:val="00E22BC6"/>
    <w:rsid w:val="00E2353C"/>
    <w:rsid w:val="00E26695"/>
    <w:rsid w:val="00E3276A"/>
    <w:rsid w:val="00E34A53"/>
    <w:rsid w:val="00E37727"/>
    <w:rsid w:val="00E41A8F"/>
    <w:rsid w:val="00E46429"/>
    <w:rsid w:val="00E46BDA"/>
    <w:rsid w:val="00E4759D"/>
    <w:rsid w:val="00E5201B"/>
    <w:rsid w:val="00E60462"/>
    <w:rsid w:val="00E610DE"/>
    <w:rsid w:val="00E66BDC"/>
    <w:rsid w:val="00E72369"/>
    <w:rsid w:val="00E745ED"/>
    <w:rsid w:val="00E75F11"/>
    <w:rsid w:val="00E90FD0"/>
    <w:rsid w:val="00E959D0"/>
    <w:rsid w:val="00EA2BBD"/>
    <w:rsid w:val="00EB0EEF"/>
    <w:rsid w:val="00EB1E42"/>
    <w:rsid w:val="00EB225D"/>
    <w:rsid w:val="00EB2686"/>
    <w:rsid w:val="00EB3EE4"/>
    <w:rsid w:val="00EB6C4C"/>
    <w:rsid w:val="00EC244B"/>
    <w:rsid w:val="00EC3BF1"/>
    <w:rsid w:val="00EC3E93"/>
    <w:rsid w:val="00EC4A02"/>
    <w:rsid w:val="00EC73A5"/>
    <w:rsid w:val="00ED3008"/>
    <w:rsid w:val="00EE272A"/>
    <w:rsid w:val="00EF7669"/>
    <w:rsid w:val="00F007C9"/>
    <w:rsid w:val="00F02817"/>
    <w:rsid w:val="00F04079"/>
    <w:rsid w:val="00F04082"/>
    <w:rsid w:val="00F04D32"/>
    <w:rsid w:val="00F11689"/>
    <w:rsid w:val="00F12B28"/>
    <w:rsid w:val="00F13A74"/>
    <w:rsid w:val="00F14994"/>
    <w:rsid w:val="00F1538F"/>
    <w:rsid w:val="00F15D0C"/>
    <w:rsid w:val="00F16655"/>
    <w:rsid w:val="00F167A5"/>
    <w:rsid w:val="00F17086"/>
    <w:rsid w:val="00F17A97"/>
    <w:rsid w:val="00F2473F"/>
    <w:rsid w:val="00F25380"/>
    <w:rsid w:val="00F25C84"/>
    <w:rsid w:val="00F260F9"/>
    <w:rsid w:val="00F302AD"/>
    <w:rsid w:val="00F31E3C"/>
    <w:rsid w:val="00F32792"/>
    <w:rsid w:val="00F36E3D"/>
    <w:rsid w:val="00F373C9"/>
    <w:rsid w:val="00F444C1"/>
    <w:rsid w:val="00F46131"/>
    <w:rsid w:val="00F46738"/>
    <w:rsid w:val="00F47018"/>
    <w:rsid w:val="00F546A6"/>
    <w:rsid w:val="00F55824"/>
    <w:rsid w:val="00F60265"/>
    <w:rsid w:val="00F72485"/>
    <w:rsid w:val="00F73236"/>
    <w:rsid w:val="00F73402"/>
    <w:rsid w:val="00F739CD"/>
    <w:rsid w:val="00F74365"/>
    <w:rsid w:val="00F8017A"/>
    <w:rsid w:val="00F8195F"/>
    <w:rsid w:val="00F81F5F"/>
    <w:rsid w:val="00F82D0B"/>
    <w:rsid w:val="00F85998"/>
    <w:rsid w:val="00F85C75"/>
    <w:rsid w:val="00F87813"/>
    <w:rsid w:val="00F903E2"/>
    <w:rsid w:val="00F91536"/>
    <w:rsid w:val="00F9438A"/>
    <w:rsid w:val="00F9471E"/>
    <w:rsid w:val="00F94989"/>
    <w:rsid w:val="00F950E6"/>
    <w:rsid w:val="00FA6A0D"/>
    <w:rsid w:val="00FA6F54"/>
    <w:rsid w:val="00FA7753"/>
    <w:rsid w:val="00FB071B"/>
    <w:rsid w:val="00FB413D"/>
    <w:rsid w:val="00FB7E17"/>
    <w:rsid w:val="00FC15C9"/>
    <w:rsid w:val="00FC499C"/>
    <w:rsid w:val="00FC5D73"/>
    <w:rsid w:val="00FD17EC"/>
    <w:rsid w:val="00FD47E2"/>
    <w:rsid w:val="00FD4C07"/>
    <w:rsid w:val="00FD775D"/>
    <w:rsid w:val="00FE4B79"/>
    <w:rsid w:val="00FE5422"/>
    <w:rsid w:val="00FF0437"/>
    <w:rsid w:val="00FF5D1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C9EE1FB6-F629-44CC-9B75-2E49EF2D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965"/>
    <w:pPr>
      <w:suppressAutoHyphens/>
      <w:spacing w:after="160" w:line="252" w:lineRule="auto"/>
    </w:pPr>
    <w:rPr>
      <w:rFonts w:ascii="Calibri" w:eastAsia="SimSun" w:hAnsi="Calibri" w:cs="Tahoma"/>
      <w:sz w:val="22"/>
      <w:szCs w:val="22"/>
      <w:lang w:val="es-ES" w:eastAsia="ar-SA"/>
    </w:rPr>
  </w:style>
  <w:style w:type="paragraph" w:styleId="Ttulo2">
    <w:name w:val="heading 2"/>
    <w:basedOn w:val="Normal"/>
    <w:next w:val="Normal"/>
    <w:link w:val="Ttulo2Car"/>
    <w:uiPriority w:val="9"/>
    <w:unhideWhenUsed/>
    <w:qFormat/>
    <w:rsid w:val="00CC4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lang w:val="es-MX"/>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Arial"/>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TC Avant Garde" w:eastAsia="Times New Roman" w:hAnsi="ITC Avant Garde" w:cs="Arial"/>
      <w:color w:val="000000"/>
      <w:lang w:val="es-MX"/>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ITC Avant Garde" w:eastAsia="Times New Roman" w:hAnsi="ITC Avant Garde" w:cs="Arial"/>
      <w:color w:val="000000"/>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ITC Avant Garde" w:hAnsi="ITC Avant Garde" w:cs="ITC Avant Garde" w:hint="default"/>
      <w:b/>
      <w:i/>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Refdecomentario1">
    <w:name w:val="Ref. de comentario1"/>
    <w:rPr>
      <w:rFonts w:cs="Times New Roman"/>
      <w:sz w:val="16"/>
    </w:rPr>
  </w:style>
  <w:style w:type="character" w:customStyle="1" w:styleId="TextocomentarioCar">
    <w:name w:val="Texto comentario Car"/>
    <w:rPr>
      <w:rFonts w:ascii="Arial" w:eastAsia="Calibri" w:hAnsi="Arial" w:cs="Times New Roman"/>
      <w:sz w:val="20"/>
      <w:szCs w:val="20"/>
      <w:lang w:val="en-US"/>
    </w:rPr>
  </w:style>
  <w:style w:type="character" w:customStyle="1" w:styleId="TextodegloboCar">
    <w:name w:val="Texto de globo Car"/>
    <w:rPr>
      <w:rFonts w:ascii="Segoe UI" w:hAnsi="Segoe UI" w:cs="Segoe UI"/>
      <w:sz w:val="18"/>
      <w:szCs w:val="18"/>
    </w:rPr>
  </w:style>
  <w:style w:type="character" w:customStyle="1" w:styleId="PrrafodelistaCar">
    <w:name w:val="Párrafo de lista Car"/>
    <w:uiPriority w:val="99"/>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extoCar">
    <w:name w:val="Texto Car"/>
    <w:rPr>
      <w:rFonts w:ascii="Arial" w:eastAsia="Times New Roman" w:hAnsi="Arial" w:cs="Arial"/>
      <w:sz w:val="18"/>
      <w:szCs w:val="20"/>
    </w:rPr>
  </w:style>
  <w:style w:type="character" w:customStyle="1" w:styleId="TextonotapieCar">
    <w:name w:val="Texto nota pie Car"/>
    <w:rPr>
      <w:rFonts w:ascii="Calibri" w:eastAsia="Calibri" w:hAnsi="Calibri" w:cs="Times New Roman"/>
      <w:sz w:val="20"/>
      <w:szCs w:val="20"/>
    </w:rPr>
  </w:style>
  <w:style w:type="character" w:customStyle="1" w:styleId="Refdenotaalpie1">
    <w:name w:val="Ref. de nota al pie1"/>
    <w:rPr>
      <w:vertAlign w:val="superscript"/>
    </w:rPr>
  </w:style>
  <w:style w:type="character" w:customStyle="1" w:styleId="AsuntodelcomentarioCar">
    <w:name w:val="Asunto del comentario Car"/>
    <w:rPr>
      <w:rFonts w:ascii="Arial" w:eastAsia="Calibri" w:hAnsi="Arial" w:cs="Times New Roman"/>
      <w:b/>
      <w:bCs/>
      <w:sz w:val="20"/>
      <w:szCs w:val="20"/>
      <w:lang w:val="en-US"/>
    </w:rPr>
  </w:style>
  <w:style w:type="character" w:customStyle="1" w:styleId="ROMANOSCar">
    <w:name w:val="ROMANOS Car"/>
    <w:rPr>
      <w:rFonts w:ascii="Arial" w:eastAsia="Times New Roman" w:hAnsi="Arial" w:cs="Arial"/>
      <w:sz w:val="18"/>
      <w:szCs w:val="18"/>
      <w:lang w:val="es-ES"/>
    </w:rPr>
  </w:style>
  <w:style w:type="character" w:customStyle="1" w:styleId="ListLabel1">
    <w:name w:val="ListLabel 1"/>
    <w:rPr>
      <w:rFonts w:cs="Times New Roman"/>
      <w:b/>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rFonts w:eastAsia="Times New Roman" w:cs="Arial"/>
      <w:color w:val="000000"/>
    </w:rPr>
  </w:style>
  <w:style w:type="character" w:customStyle="1" w:styleId="ListLabel5">
    <w:name w:val="ListLabel 5"/>
    <w:rPr>
      <w:b/>
      <w:sz w:val="22"/>
      <w:szCs w:val="22"/>
    </w:rPr>
  </w:style>
  <w:style w:type="character" w:customStyle="1" w:styleId="ListLabel6">
    <w:name w:val="ListLabel 6"/>
    <w:rPr>
      <w:rFonts w:cs="Arial"/>
      <w:b/>
      <w:i w:val="0"/>
      <w:sz w:val="22"/>
      <w:szCs w:val="22"/>
    </w:rPr>
  </w:style>
  <w:style w:type="character" w:customStyle="1" w:styleId="ListLabel7">
    <w:name w:val="ListLabel 7"/>
    <w:rPr>
      <w:b/>
      <w:sz w:val="20"/>
      <w:szCs w:val="20"/>
    </w:rPr>
  </w:style>
  <w:style w:type="character" w:customStyle="1" w:styleId="Caracteresdenotaalpie">
    <w:name w:val="Caracteres de nota al pie"/>
  </w:style>
  <w:style w:type="character" w:customStyle="1" w:styleId="Refdenotaalpie10">
    <w:name w:val="Ref. de nota al pie1"/>
    <w:rPr>
      <w:vertAlign w:val="superscript"/>
    </w:rPr>
  </w:style>
  <w:style w:type="character" w:customStyle="1" w:styleId="Smbolosdenumeracin">
    <w:name w:val="Símbolos de numeración"/>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TextodegloboCar1">
    <w:name w:val="Texto de globo Car1"/>
    <w:rPr>
      <w:rFonts w:ascii="Segoe UI" w:eastAsia="SimSun" w:hAnsi="Segoe UI" w:cs="Segoe UI"/>
      <w:sz w:val="18"/>
      <w:szCs w:val="18"/>
      <w:lang w:val="es-ES"/>
    </w:rPr>
  </w:style>
  <w:style w:type="character" w:styleId="Refdenotaalpie">
    <w:name w:val="footnote reference"/>
    <w:uiPriority w:val="99"/>
    <w:rPr>
      <w:vertAlign w:val="superscript"/>
    </w:rPr>
  </w:style>
  <w:style w:type="character" w:styleId="Refdenotaalfinal">
    <w:name w:val="endnote reference"/>
    <w:rPr>
      <w:vertAlign w:val="superscript"/>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customStyle="1" w:styleId="Prrafodelista1">
    <w:name w:val="Párrafo de lista1"/>
    <w:basedOn w:val="Normal"/>
    <w:pPr>
      <w:ind w:left="720"/>
    </w:pPr>
  </w:style>
  <w:style w:type="paragraph" w:customStyle="1" w:styleId="Textocomentario1">
    <w:name w:val="Texto comentario1"/>
    <w:basedOn w:val="Normal"/>
    <w:pPr>
      <w:spacing w:after="0" w:line="100" w:lineRule="atLeast"/>
      <w:jc w:val="both"/>
    </w:pPr>
    <w:rPr>
      <w:rFonts w:ascii="Arial" w:eastAsia="Calibri" w:hAnsi="Arial" w:cs="Times New Roman"/>
      <w:sz w:val="20"/>
      <w:szCs w:val="20"/>
      <w:lang w:val="en-US"/>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Revisin1">
    <w:name w:val="Revisión1"/>
    <w:pPr>
      <w:suppressAutoHyphens/>
      <w:spacing w:line="100" w:lineRule="atLeast"/>
    </w:pPr>
    <w:rPr>
      <w:rFonts w:ascii="Calibri" w:eastAsia="SimSun" w:hAnsi="Calibri" w:cs="Tahoma"/>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Texto">
    <w:name w:val="Texto"/>
    <w:basedOn w:val="Normal"/>
    <w:pPr>
      <w:spacing w:after="101" w:line="216" w:lineRule="exact"/>
      <w:ind w:firstLine="288"/>
      <w:jc w:val="both"/>
    </w:pPr>
    <w:rPr>
      <w:rFonts w:ascii="Arial" w:eastAsia="Times New Roman" w:hAnsi="Arial" w:cs="Arial"/>
      <w:sz w:val="18"/>
      <w:szCs w:val="20"/>
    </w:rPr>
  </w:style>
  <w:style w:type="paragraph" w:customStyle="1" w:styleId="Textonotapie1">
    <w:name w:val="Texto nota pie1"/>
    <w:basedOn w:val="Normal"/>
    <w:pPr>
      <w:spacing w:after="0" w:line="100" w:lineRule="atLeast"/>
    </w:pPr>
    <w:rPr>
      <w:rFonts w:eastAsia="Calibri" w:cs="Times New Roman"/>
      <w:sz w:val="20"/>
      <w:szCs w:val="20"/>
    </w:rPr>
  </w:style>
  <w:style w:type="paragraph" w:customStyle="1" w:styleId="Asuntodelcomentario1">
    <w:name w:val="Asunto del comentario1"/>
    <w:basedOn w:val="Textocomentario1"/>
    <w:pPr>
      <w:spacing w:after="160"/>
      <w:jc w:val="left"/>
    </w:pPr>
    <w:rPr>
      <w:rFonts w:ascii="Calibri" w:hAnsi="Calibri" w:cs="Calibri"/>
      <w:b/>
      <w:bCs/>
      <w:lang w:val="es-MX"/>
    </w:rPr>
  </w:style>
  <w:style w:type="paragraph" w:customStyle="1" w:styleId="ROMANOS">
    <w:name w:val="ROMANOS"/>
    <w:basedOn w:val="Texto"/>
    <w:pPr>
      <w:tabs>
        <w:tab w:val="left" w:pos="720"/>
      </w:tabs>
      <w:ind w:left="720" w:hanging="432"/>
    </w:pPr>
    <w:rPr>
      <w:szCs w:val="18"/>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lang w:val="es-MX"/>
    </w:rPr>
  </w:style>
  <w:style w:type="paragraph" w:styleId="Textonotapie">
    <w:name w:val="footnote text"/>
    <w:basedOn w:val="Normal"/>
    <w:pPr>
      <w:suppressLineNumbers/>
      <w:ind w:left="283" w:hanging="283"/>
    </w:pPr>
    <w:rPr>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suppressAutoHyphens w:val="0"/>
      <w:ind w:left="720"/>
    </w:pPr>
    <w:rPr>
      <w:rFonts w:ascii="Times New Roman" w:eastAsia="Times New Roman" w:hAnsi="Times New Roman" w:cs="Times New Roman"/>
      <w:sz w:val="20"/>
      <w:szCs w:val="20"/>
      <w:lang w:val="es-MX"/>
    </w:rPr>
  </w:style>
  <w:style w:type="paragraph" w:customStyle="1" w:styleId="Descripcin1">
    <w:name w:val="Descripción1"/>
    <w:basedOn w:val="Normal"/>
    <w:next w:val="Normal"/>
    <w:pPr>
      <w:suppressAutoHyphens w:val="0"/>
      <w:spacing w:line="240" w:lineRule="auto"/>
    </w:pPr>
    <w:rPr>
      <w:rFonts w:eastAsia="MS Mincho" w:cs="Times New Roman"/>
      <w:b/>
      <w:bCs/>
      <w:smallCaps/>
      <w:color w:val="44546A"/>
      <w:lang w:val="es-MX"/>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Textoindependiente"/>
  </w:style>
  <w:style w:type="paragraph" w:customStyle="1" w:styleId="Descripcin2">
    <w:name w:val="Descripción2"/>
    <w:basedOn w:val="Normal"/>
    <w:pPr>
      <w:spacing w:line="100" w:lineRule="atLeast"/>
    </w:pPr>
    <w:rPr>
      <w:b/>
      <w:bCs/>
      <w:smallCaps/>
      <w:color w:val="44546A"/>
    </w:rPr>
  </w:style>
  <w:style w:type="character" w:styleId="Refdecomentario">
    <w:name w:val="annotation reference"/>
    <w:uiPriority w:val="99"/>
    <w:unhideWhenUsed/>
    <w:rsid w:val="00C75F76"/>
    <w:rPr>
      <w:sz w:val="16"/>
      <w:szCs w:val="16"/>
    </w:rPr>
  </w:style>
  <w:style w:type="paragraph" w:styleId="Textocomentario">
    <w:name w:val="annotation text"/>
    <w:basedOn w:val="Normal"/>
    <w:link w:val="TextocomentarioCar1"/>
    <w:uiPriority w:val="99"/>
    <w:unhideWhenUsed/>
    <w:rsid w:val="00A84183"/>
    <w:rPr>
      <w:sz w:val="20"/>
      <w:szCs w:val="20"/>
    </w:rPr>
  </w:style>
  <w:style w:type="character" w:customStyle="1" w:styleId="TextocomentarioCar1">
    <w:name w:val="Texto comentario Car1"/>
    <w:link w:val="Textocomentario"/>
    <w:uiPriority w:val="99"/>
    <w:rsid w:val="00A84183"/>
    <w:rPr>
      <w:rFonts w:ascii="Calibri" w:eastAsia="SimSun" w:hAnsi="Calibri" w:cs="Tahoma"/>
      <w:lang w:val="es-ES" w:eastAsia="ar-SA"/>
    </w:rPr>
  </w:style>
  <w:style w:type="paragraph" w:styleId="Asuntodelcomentario">
    <w:name w:val="annotation subject"/>
    <w:basedOn w:val="Textocomentario"/>
    <w:next w:val="Textocomentario"/>
    <w:link w:val="AsuntodelcomentarioCar1"/>
    <w:uiPriority w:val="99"/>
    <w:semiHidden/>
    <w:unhideWhenUsed/>
    <w:rsid w:val="00A84183"/>
    <w:rPr>
      <w:b/>
      <w:bCs/>
    </w:rPr>
  </w:style>
  <w:style w:type="character" w:customStyle="1" w:styleId="AsuntodelcomentarioCar1">
    <w:name w:val="Asunto del comentario Car1"/>
    <w:link w:val="Asuntodelcomentario"/>
    <w:uiPriority w:val="99"/>
    <w:semiHidden/>
    <w:rsid w:val="00A84183"/>
    <w:rPr>
      <w:rFonts w:ascii="Calibri" w:eastAsia="SimSun" w:hAnsi="Calibri" w:cs="Tahoma"/>
      <w:b/>
      <w:bCs/>
      <w:lang w:val="es-ES" w:eastAsia="ar-SA"/>
    </w:rPr>
  </w:style>
  <w:style w:type="paragraph" w:styleId="Revisin">
    <w:name w:val="Revision"/>
    <w:hidden/>
    <w:uiPriority w:val="99"/>
    <w:semiHidden/>
    <w:rsid w:val="00B62A65"/>
    <w:rPr>
      <w:rFonts w:ascii="Calibri" w:eastAsia="SimSun" w:hAnsi="Calibri" w:cs="Tahoma"/>
      <w:sz w:val="22"/>
      <w:szCs w:val="22"/>
      <w:lang w:val="es-ES" w:eastAsia="ar-SA"/>
    </w:rPr>
  </w:style>
  <w:style w:type="table" w:styleId="Tablaconcuadrcula">
    <w:name w:val="Table Grid"/>
    <w:basedOn w:val="Tablanormal"/>
    <w:uiPriority w:val="39"/>
    <w:rsid w:val="005D0D92"/>
    <w:rPr>
      <w:rFonts w:ascii="Calibri" w:eastAsia="MS Mincho"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5D0D92"/>
    <w:pPr>
      <w:suppressAutoHyphens w:val="0"/>
      <w:spacing w:line="240" w:lineRule="auto"/>
    </w:pPr>
    <w:rPr>
      <w:rFonts w:eastAsia="MS Mincho" w:cs="Times New Roman"/>
      <w:b/>
      <w:bCs/>
      <w:smallCaps/>
      <w:color w:val="44546A"/>
      <w:lang w:val="es-MX" w:eastAsia="en-US"/>
    </w:rPr>
  </w:style>
  <w:style w:type="table" w:customStyle="1" w:styleId="Tabladecuadrcula4-nfasis11">
    <w:name w:val="Tabla de cuadrícula 4 - Énfasis 11"/>
    <w:basedOn w:val="Tablanormal"/>
    <w:uiPriority w:val="49"/>
    <w:rsid w:val="00945AB2"/>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C934B6"/>
    <w:rPr>
      <w:color w:val="0563C1" w:themeColor="hyperlink"/>
      <w:u w:val="single"/>
    </w:rPr>
  </w:style>
  <w:style w:type="character" w:customStyle="1" w:styleId="Ttulo2Car">
    <w:name w:val="Título 2 Car"/>
    <w:basedOn w:val="Fuentedeprrafopredeter"/>
    <w:link w:val="Ttulo2"/>
    <w:uiPriority w:val="9"/>
    <w:rsid w:val="00CC4523"/>
    <w:rPr>
      <w:rFonts w:asciiTheme="majorHAnsi" w:eastAsiaTheme="majorEastAsia" w:hAnsiTheme="majorHAnsi" w:cstheme="majorBidi"/>
      <w:color w:val="2E74B5" w:themeColor="accent1" w:themeShade="BF"/>
      <w:sz w:val="26"/>
      <w:szCs w:val="26"/>
      <w:lang w:val="es-ES" w:eastAsia="ar-SA"/>
    </w:rPr>
  </w:style>
  <w:style w:type="paragraph" w:customStyle="1" w:styleId="SUBIN">
    <w:name w:val="SUBIN"/>
    <w:basedOn w:val="Texto"/>
    <w:rsid w:val="00680497"/>
    <w:pPr>
      <w:suppressAutoHyphens w:val="0"/>
      <w:ind w:left="1987" w:hanging="720"/>
    </w:pPr>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62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47">
          <w:marLeft w:val="0"/>
          <w:marRight w:val="0"/>
          <w:marTop w:val="0"/>
          <w:marBottom w:val="101"/>
          <w:divBdr>
            <w:top w:val="none" w:sz="0" w:space="0" w:color="auto"/>
            <w:left w:val="none" w:sz="0" w:space="0" w:color="auto"/>
            <w:bottom w:val="none" w:sz="0" w:space="0" w:color="auto"/>
            <w:right w:val="none" w:sz="0" w:space="0" w:color="auto"/>
          </w:divBdr>
        </w:div>
        <w:div w:id="69541775">
          <w:marLeft w:val="720"/>
          <w:marRight w:val="0"/>
          <w:marTop w:val="0"/>
          <w:marBottom w:val="101"/>
          <w:divBdr>
            <w:top w:val="none" w:sz="0" w:space="0" w:color="auto"/>
            <w:left w:val="none" w:sz="0" w:space="0" w:color="auto"/>
            <w:bottom w:val="none" w:sz="0" w:space="0" w:color="auto"/>
            <w:right w:val="none" w:sz="0" w:space="0" w:color="auto"/>
          </w:divBdr>
        </w:div>
        <w:div w:id="1203439211">
          <w:marLeft w:val="720"/>
          <w:marRight w:val="0"/>
          <w:marTop w:val="0"/>
          <w:marBottom w:val="101"/>
          <w:divBdr>
            <w:top w:val="none" w:sz="0" w:space="0" w:color="auto"/>
            <w:left w:val="none" w:sz="0" w:space="0" w:color="auto"/>
            <w:bottom w:val="none" w:sz="0" w:space="0" w:color="auto"/>
            <w:right w:val="none" w:sz="0" w:space="0" w:color="auto"/>
          </w:divBdr>
        </w:div>
        <w:div w:id="770468754">
          <w:marLeft w:val="720"/>
          <w:marRight w:val="0"/>
          <w:marTop w:val="0"/>
          <w:marBottom w:val="101"/>
          <w:divBdr>
            <w:top w:val="none" w:sz="0" w:space="0" w:color="auto"/>
            <w:left w:val="none" w:sz="0" w:space="0" w:color="auto"/>
            <w:bottom w:val="none" w:sz="0" w:space="0" w:color="auto"/>
            <w:right w:val="none" w:sz="0" w:space="0" w:color="auto"/>
          </w:divBdr>
        </w:div>
        <w:div w:id="1592930524">
          <w:marLeft w:val="0"/>
          <w:marRight w:val="0"/>
          <w:marTop w:val="0"/>
          <w:marBottom w:val="101"/>
          <w:divBdr>
            <w:top w:val="none" w:sz="0" w:space="0" w:color="auto"/>
            <w:left w:val="none" w:sz="0" w:space="0" w:color="auto"/>
            <w:bottom w:val="none" w:sz="0" w:space="0" w:color="auto"/>
            <w:right w:val="none" w:sz="0" w:space="0" w:color="auto"/>
          </w:divBdr>
        </w:div>
        <w:div w:id="2008245980">
          <w:marLeft w:val="0"/>
          <w:marRight w:val="0"/>
          <w:marTop w:val="0"/>
          <w:marBottom w:val="101"/>
          <w:divBdr>
            <w:top w:val="none" w:sz="0" w:space="0" w:color="auto"/>
            <w:left w:val="none" w:sz="0" w:space="0" w:color="auto"/>
            <w:bottom w:val="none" w:sz="0" w:space="0" w:color="auto"/>
            <w:right w:val="none" w:sz="0" w:space="0" w:color="auto"/>
          </w:divBdr>
        </w:div>
        <w:div w:id="669454941">
          <w:marLeft w:val="0"/>
          <w:marRight w:val="0"/>
          <w:marTop w:val="0"/>
          <w:marBottom w:val="101"/>
          <w:divBdr>
            <w:top w:val="none" w:sz="0" w:space="0" w:color="auto"/>
            <w:left w:val="none" w:sz="0" w:space="0" w:color="auto"/>
            <w:bottom w:val="none" w:sz="0" w:space="0" w:color="auto"/>
            <w:right w:val="none" w:sz="0" w:space="0" w:color="auto"/>
          </w:divBdr>
        </w:div>
        <w:div w:id="2085028435">
          <w:marLeft w:val="0"/>
          <w:marRight w:val="0"/>
          <w:marTop w:val="0"/>
          <w:marBottom w:val="101"/>
          <w:divBdr>
            <w:top w:val="none" w:sz="0" w:space="0" w:color="auto"/>
            <w:left w:val="none" w:sz="0" w:space="0" w:color="auto"/>
            <w:bottom w:val="none" w:sz="0" w:space="0" w:color="auto"/>
            <w:right w:val="none" w:sz="0" w:space="0" w:color="auto"/>
          </w:divBdr>
        </w:div>
        <w:div w:id="1128360387">
          <w:marLeft w:val="0"/>
          <w:marRight w:val="0"/>
          <w:marTop w:val="0"/>
          <w:marBottom w:val="101"/>
          <w:divBdr>
            <w:top w:val="none" w:sz="0" w:space="0" w:color="auto"/>
            <w:left w:val="none" w:sz="0" w:space="0" w:color="auto"/>
            <w:bottom w:val="none" w:sz="0" w:space="0" w:color="auto"/>
            <w:right w:val="none" w:sz="0" w:space="0" w:color="auto"/>
          </w:divBdr>
        </w:div>
      </w:divsChild>
    </w:div>
    <w:div w:id="504512220">
      <w:bodyDiv w:val="1"/>
      <w:marLeft w:val="0"/>
      <w:marRight w:val="0"/>
      <w:marTop w:val="0"/>
      <w:marBottom w:val="0"/>
      <w:divBdr>
        <w:top w:val="none" w:sz="0" w:space="0" w:color="auto"/>
        <w:left w:val="none" w:sz="0" w:space="0" w:color="auto"/>
        <w:bottom w:val="none" w:sz="0" w:space="0" w:color="auto"/>
        <w:right w:val="none" w:sz="0" w:space="0" w:color="auto"/>
      </w:divBdr>
    </w:div>
    <w:div w:id="516820007">
      <w:bodyDiv w:val="1"/>
      <w:marLeft w:val="0"/>
      <w:marRight w:val="0"/>
      <w:marTop w:val="0"/>
      <w:marBottom w:val="0"/>
      <w:divBdr>
        <w:top w:val="none" w:sz="0" w:space="0" w:color="auto"/>
        <w:left w:val="none" w:sz="0" w:space="0" w:color="auto"/>
        <w:bottom w:val="none" w:sz="0" w:space="0" w:color="auto"/>
        <w:right w:val="none" w:sz="0" w:space="0" w:color="auto"/>
      </w:divBdr>
    </w:div>
    <w:div w:id="614142367">
      <w:bodyDiv w:val="1"/>
      <w:marLeft w:val="0"/>
      <w:marRight w:val="0"/>
      <w:marTop w:val="0"/>
      <w:marBottom w:val="0"/>
      <w:divBdr>
        <w:top w:val="none" w:sz="0" w:space="0" w:color="auto"/>
        <w:left w:val="none" w:sz="0" w:space="0" w:color="auto"/>
        <w:bottom w:val="none" w:sz="0" w:space="0" w:color="auto"/>
        <w:right w:val="none" w:sz="0" w:space="0" w:color="auto"/>
      </w:divBdr>
    </w:div>
    <w:div w:id="16878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ps.fcc.gov/oetcf/kdb/forms/FTSSearchResultPage.cfm?switch=P&amp;id=474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A1B0CA03-B07A-4797-848C-513E94E3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6277</Words>
  <Characters>35784</Characters>
  <Application>Microsoft Office Word</Application>
  <DocSecurity>0</DocSecurity>
  <Lines>298</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Villalobos Tlatempa</dc:creator>
  <cp:keywords/>
  <cp:lastModifiedBy>Nimbe Leonor Ewald Arostegui</cp:lastModifiedBy>
  <cp:revision>4</cp:revision>
  <cp:lastPrinted>2016-02-17T20:53:00Z</cp:lastPrinted>
  <dcterms:created xsi:type="dcterms:W3CDTF">2017-10-31T17:18:00Z</dcterms:created>
  <dcterms:modified xsi:type="dcterms:W3CDTF">2017-11-01T00:14:00Z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