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245"/>
        <w:gridCol w:w="3317"/>
        <w:gridCol w:w="2266"/>
      </w:tblGrid>
      <w:tr w:rsidR="00501ADF" w:rsidRPr="005D5F2E" w:rsidTr="0068307E">
        <w:trPr>
          <w:trHeight w:val="816"/>
        </w:trPr>
        <w:tc>
          <w:tcPr>
            <w:tcW w:w="3114" w:type="dxa"/>
            <w:shd w:val="clear" w:color="auto" w:fill="DBDBDB" w:themeFill="accent3" w:themeFillTint="66"/>
          </w:tcPr>
          <w:p w:rsidR="00501ADF" w:rsidRPr="005D5F2E" w:rsidRDefault="00501ADF" w:rsidP="00501ADF">
            <w:pPr>
              <w:jc w:val="both"/>
              <w:rPr>
                <w:rFonts w:ascii="ITC Avant Garde" w:hAnsi="ITC Avant Garde"/>
                <w:sz w:val="20"/>
                <w:szCs w:val="20"/>
              </w:rPr>
            </w:pPr>
            <w:r w:rsidRPr="005D5F2E">
              <w:rPr>
                <w:rFonts w:ascii="ITC Avant Garde" w:hAnsi="ITC Avant Garde"/>
                <w:sz w:val="20"/>
                <w:szCs w:val="20"/>
              </w:rPr>
              <w:t>Unidad administrativa:</w:t>
            </w:r>
          </w:p>
          <w:p w:rsidR="0068307E" w:rsidRPr="005D5F2E" w:rsidRDefault="0068307E" w:rsidP="00501ADF">
            <w:pPr>
              <w:jc w:val="both"/>
              <w:rPr>
                <w:rFonts w:ascii="ITC Avant Garde" w:hAnsi="ITC Avant Garde"/>
                <w:sz w:val="20"/>
                <w:szCs w:val="20"/>
              </w:rPr>
            </w:pPr>
          </w:p>
          <w:p w:rsidR="0068307E" w:rsidRPr="005D5F2E" w:rsidRDefault="00B820ED" w:rsidP="00501ADF">
            <w:pPr>
              <w:jc w:val="both"/>
              <w:rPr>
                <w:rFonts w:ascii="ITC Avant Garde" w:hAnsi="ITC Avant Garde"/>
                <w:sz w:val="20"/>
                <w:szCs w:val="20"/>
              </w:rPr>
            </w:pPr>
            <w:r w:rsidRPr="005D5F2E">
              <w:rPr>
                <w:rFonts w:ascii="ITC Avant Garde" w:hAnsi="ITC Avant Garde"/>
                <w:sz w:val="20"/>
                <w:szCs w:val="20"/>
              </w:rPr>
              <w:t xml:space="preserve">Unidad de Política Regulatoria </w:t>
            </w:r>
          </w:p>
        </w:tc>
        <w:tc>
          <w:tcPr>
            <w:tcW w:w="5714" w:type="dxa"/>
            <w:gridSpan w:val="2"/>
            <w:shd w:val="clear" w:color="auto" w:fill="DBDBDB" w:themeFill="accent3" w:themeFillTint="66"/>
          </w:tcPr>
          <w:p w:rsidR="00501ADF" w:rsidRPr="005D5F2E" w:rsidRDefault="00501ADF" w:rsidP="00501ADF">
            <w:pPr>
              <w:jc w:val="both"/>
              <w:rPr>
                <w:rFonts w:ascii="ITC Avant Garde" w:hAnsi="ITC Avant Garde"/>
                <w:sz w:val="20"/>
                <w:szCs w:val="20"/>
              </w:rPr>
            </w:pPr>
            <w:r w:rsidRPr="005D5F2E">
              <w:rPr>
                <w:rFonts w:ascii="ITC Avant Garde" w:hAnsi="ITC Avant Garde"/>
                <w:sz w:val="20"/>
                <w:szCs w:val="20"/>
              </w:rPr>
              <w:t>Título del anteproyecto de regulación:</w:t>
            </w:r>
          </w:p>
          <w:p w:rsidR="0068307E" w:rsidRPr="005D5F2E" w:rsidRDefault="0035502B" w:rsidP="00C96592">
            <w:pPr>
              <w:jc w:val="both"/>
              <w:rPr>
                <w:rFonts w:ascii="ITC Avant Garde" w:hAnsi="ITC Avant Garde"/>
                <w:b/>
                <w:sz w:val="20"/>
                <w:szCs w:val="20"/>
              </w:rPr>
            </w:pPr>
            <w:r w:rsidRPr="00717D36">
              <w:rPr>
                <w:rFonts w:ascii="ITC Avant Garde" w:hAnsi="ITC Avant Garde"/>
                <w:b/>
              </w:rPr>
              <w:t xml:space="preserve">DISPOSICIÓN TÉCNICA IFT-011-2017: </w:t>
            </w:r>
            <w:r w:rsidRPr="00717D36">
              <w:rPr>
                <w:rFonts w:ascii="ITC Avant Garde" w:hAnsi="ITC Avant Garde" w:cs="Tahoma"/>
                <w:b/>
                <w:bCs/>
                <w:color w:val="000000"/>
                <w:lang w:eastAsia="es-MX"/>
              </w:rPr>
              <w:t>ESPECIFICACIONES TÉCNICAS DE LOS EQUIPOS TERMINALES MÓVILES QUE PUEDAN HACER USO DEL ESPECTRO RADIOELÉCTRICO O SER CONECTADOS A REDES DE TELECOMUNICACIONES. PARTE 2. EQUIPOS TERMINALES MÓVILES QUE OPERAN EN LAS BANDAS DE 700 MHz, 800 MHz</w:t>
            </w:r>
            <w:r>
              <w:rPr>
                <w:rFonts w:ascii="ITC Avant Garde" w:hAnsi="ITC Avant Garde" w:cs="Tahoma"/>
                <w:b/>
                <w:bCs/>
                <w:color w:val="000000"/>
                <w:lang w:eastAsia="es-MX"/>
              </w:rPr>
              <w:t>,</w:t>
            </w:r>
            <w:r w:rsidR="00C96592">
              <w:rPr>
                <w:rFonts w:ascii="ITC Avant Garde" w:hAnsi="ITC Avant Garde" w:cs="Tahoma"/>
                <w:b/>
                <w:bCs/>
                <w:color w:val="000000"/>
                <w:lang w:eastAsia="es-MX"/>
              </w:rPr>
              <w:t xml:space="preserve"> </w:t>
            </w:r>
            <w:r w:rsidR="00C96592" w:rsidRPr="00717D36">
              <w:rPr>
                <w:rFonts w:ascii="ITC Avant Garde" w:hAnsi="ITC Avant Garde" w:cs="Tahoma"/>
                <w:b/>
                <w:bCs/>
                <w:color w:val="000000"/>
                <w:lang w:eastAsia="es-MX"/>
              </w:rPr>
              <w:t>8</w:t>
            </w:r>
            <w:r w:rsidR="00C96592">
              <w:rPr>
                <w:rFonts w:ascii="ITC Avant Garde" w:hAnsi="ITC Avant Garde" w:cs="Tahoma"/>
                <w:b/>
                <w:bCs/>
                <w:color w:val="000000"/>
                <w:lang w:eastAsia="es-MX"/>
              </w:rPr>
              <w:t>5</w:t>
            </w:r>
            <w:r w:rsidR="00C96592" w:rsidRPr="00717D36">
              <w:rPr>
                <w:rFonts w:ascii="ITC Avant Garde" w:hAnsi="ITC Avant Garde" w:cs="Tahoma"/>
                <w:b/>
                <w:bCs/>
                <w:color w:val="000000"/>
                <w:lang w:eastAsia="es-MX"/>
              </w:rPr>
              <w:t>0 MHz</w:t>
            </w:r>
            <w:r w:rsidR="00C96592">
              <w:rPr>
                <w:rFonts w:ascii="ITC Avant Garde" w:hAnsi="ITC Avant Garde" w:cs="Tahoma"/>
                <w:b/>
                <w:bCs/>
                <w:color w:val="000000"/>
                <w:lang w:eastAsia="es-MX"/>
              </w:rPr>
              <w:t>,</w:t>
            </w:r>
            <w:r w:rsidRPr="00717D36">
              <w:rPr>
                <w:rFonts w:ascii="ITC Avant Garde" w:hAnsi="ITC Avant Garde" w:cs="Tahoma"/>
                <w:b/>
                <w:bCs/>
                <w:color w:val="000000"/>
                <w:lang w:eastAsia="es-MX"/>
              </w:rPr>
              <w:t xml:space="preserve"> 1900 MHz</w:t>
            </w:r>
            <w:r>
              <w:rPr>
                <w:rFonts w:ascii="ITC Avant Garde" w:hAnsi="ITC Avant Garde" w:cs="Tahoma"/>
                <w:b/>
                <w:bCs/>
                <w:color w:val="000000"/>
                <w:lang w:eastAsia="es-MX"/>
              </w:rPr>
              <w:t xml:space="preserve">, </w:t>
            </w:r>
            <w:r w:rsidR="00836F39">
              <w:rPr>
                <w:rFonts w:ascii="ITC Avant Garde" w:hAnsi="ITC Avant Garde" w:cs="Tahoma"/>
                <w:b/>
                <w:bCs/>
                <w:color w:val="000000"/>
                <w:lang w:eastAsia="es-MX"/>
              </w:rPr>
              <w:t xml:space="preserve">1700 MHz / </w:t>
            </w:r>
            <w:r w:rsidRPr="00717D36">
              <w:rPr>
                <w:rFonts w:ascii="ITC Avant Garde" w:hAnsi="ITC Avant Garde" w:cs="Tahoma"/>
                <w:b/>
                <w:bCs/>
                <w:color w:val="000000"/>
                <w:lang w:eastAsia="es-MX"/>
              </w:rPr>
              <w:t>2100 MHz</w:t>
            </w:r>
            <w:r>
              <w:rPr>
                <w:rFonts w:ascii="ITC Avant Garde" w:hAnsi="ITC Avant Garde" w:cs="Tahoma"/>
                <w:b/>
                <w:bCs/>
                <w:color w:val="000000"/>
                <w:lang w:eastAsia="es-MX"/>
              </w:rPr>
              <w:t xml:space="preserve"> Y/O 2500 MHz</w:t>
            </w:r>
            <w:r w:rsidR="00481934" w:rsidRPr="005D5F2E">
              <w:rPr>
                <w:rFonts w:ascii="ITC Avant Garde" w:hAnsi="ITC Avant Garde"/>
                <w:b/>
                <w:sz w:val="20"/>
                <w:szCs w:val="20"/>
              </w:rPr>
              <w:t>.</w:t>
            </w:r>
          </w:p>
        </w:tc>
      </w:tr>
      <w:tr w:rsidR="0068307E" w:rsidRPr="005D5F2E" w:rsidTr="0068307E">
        <w:tc>
          <w:tcPr>
            <w:tcW w:w="3114" w:type="dxa"/>
            <w:vMerge w:val="restart"/>
            <w:shd w:val="clear" w:color="auto" w:fill="DBDBDB" w:themeFill="accent3" w:themeFillTint="66"/>
          </w:tcPr>
          <w:p w:rsidR="0068307E" w:rsidRPr="005D5F2E" w:rsidRDefault="0068307E" w:rsidP="00501ADF">
            <w:pPr>
              <w:jc w:val="both"/>
              <w:rPr>
                <w:b/>
                <w:sz w:val="20"/>
              </w:rPr>
            </w:pPr>
            <w:r w:rsidRPr="005D5F2E">
              <w:rPr>
                <w:b/>
                <w:sz w:val="20"/>
              </w:rPr>
              <w:t>Datos de contacto:</w:t>
            </w:r>
          </w:p>
          <w:p w:rsidR="0068307E" w:rsidRPr="005D5F2E" w:rsidRDefault="0068307E" w:rsidP="00501ADF">
            <w:pPr>
              <w:jc w:val="both"/>
              <w:rPr>
                <w:b/>
                <w:sz w:val="20"/>
              </w:rPr>
            </w:pPr>
          </w:p>
          <w:p w:rsidR="003A45E0" w:rsidRDefault="003A45E0" w:rsidP="003A45E0">
            <w:pPr>
              <w:jc w:val="both"/>
              <w:rPr>
                <w:rFonts w:ascii="ITC Avant Garde" w:hAnsi="ITC Avant Garde"/>
              </w:rPr>
            </w:pPr>
            <w:r w:rsidRPr="005D5F2E">
              <w:rPr>
                <w:rFonts w:ascii="ITC Avant Garde" w:hAnsi="ITC Avant Garde"/>
              </w:rPr>
              <w:t>Dra. Nimbe Leonor Ewald Arostegui</w:t>
            </w:r>
          </w:p>
          <w:p w:rsidR="0066033F" w:rsidRPr="005D5F2E" w:rsidRDefault="00116035" w:rsidP="003A45E0">
            <w:pPr>
              <w:jc w:val="both"/>
              <w:rPr>
                <w:rFonts w:ascii="ITC Avant Garde" w:hAnsi="ITC Avant Garde"/>
              </w:rPr>
            </w:pPr>
            <w:r>
              <w:rPr>
                <w:rFonts w:ascii="ITC Avant Garde" w:hAnsi="ITC Avant Garde"/>
              </w:rPr>
              <w:t>Ing. Horacio Villalobos Tlatempa</w:t>
            </w:r>
          </w:p>
          <w:p w:rsidR="003A45E0" w:rsidRPr="005D5F2E" w:rsidRDefault="003A45E0" w:rsidP="003A45E0">
            <w:pPr>
              <w:jc w:val="both"/>
              <w:rPr>
                <w:rFonts w:ascii="ITC Avant Garde" w:hAnsi="ITC Avant Garde"/>
              </w:rPr>
            </w:pPr>
            <w:r w:rsidRPr="005D5F2E">
              <w:rPr>
                <w:rFonts w:ascii="ITC Avant Garde" w:hAnsi="ITC Avant Garde"/>
              </w:rPr>
              <w:t>Correo electrónico:</w:t>
            </w:r>
          </w:p>
          <w:p w:rsidR="0068307E" w:rsidRDefault="00FB63CA" w:rsidP="00A22110">
            <w:pPr>
              <w:jc w:val="both"/>
              <w:rPr>
                <w:rStyle w:val="Hipervnculo"/>
                <w:rFonts w:ascii="ITC Avant Garde" w:hAnsi="ITC Avant Garde"/>
              </w:rPr>
            </w:pPr>
            <w:hyperlink r:id="rId8" w:history="1">
              <w:r w:rsidR="003A45E0" w:rsidRPr="005D5F2E">
                <w:rPr>
                  <w:rStyle w:val="Hipervnculo"/>
                  <w:rFonts w:ascii="ITC Avant Garde" w:hAnsi="ITC Avant Garde"/>
                </w:rPr>
                <w:t>nimbe.ewald@ift.org.mx</w:t>
              </w:r>
            </w:hyperlink>
          </w:p>
          <w:p w:rsidR="00452A3A" w:rsidRDefault="00FB63CA" w:rsidP="00A22110">
            <w:pPr>
              <w:jc w:val="both"/>
              <w:rPr>
                <w:rFonts w:ascii="ITC Avant Garde" w:hAnsi="ITC Avant Garde"/>
              </w:rPr>
            </w:pPr>
            <w:hyperlink r:id="rId9" w:history="1">
              <w:r w:rsidR="0066033F" w:rsidRPr="002B0024">
                <w:rPr>
                  <w:rStyle w:val="Hipervnculo"/>
                  <w:rFonts w:ascii="ITC Avant Garde" w:hAnsi="ITC Avant Garde"/>
                </w:rPr>
                <w:t>horacio.villalobos@ift.org.mx</w:t>
              </w:r>
            </w:hyperlink>
          </w:p>
          <w:p w:rsidR="0066033F" w:rsidRPr="00144DF4" w:rsidRDefault="0066033F" w:rsidP="00A22110">
            <w:pPr>
              <w:jc w:val="both"/>
              <w:rPr>
                <w:rFonts w:ascii="ITC Avant Garde" w:hAnsi="ITC Avant Garde"/>
              </w:rPr>
            </w:pPr>
          </w:p>
        </w:tc>
        <w:tc>
          <w:tcPr>
            <w:tcW w:w="3402" w:type="dxa"/>
            <w:shd w:val="clear" w:color="auto" w:fill="DBDBDB" w:themeFill="accent3" w:themeFillTint="66"/>
          </w:tcPr>
          <w:p w:rsidR="0068307E" w:rsidRPr="005D5F2E" w:rsidRDefault="0068307E" w:rsidP="008A48B0">
            <w:pPr>
              <w:jc w:val="both"/>
              <w:rPr>
                <w:b/>
                <w:sz w:val="20"/>
              </w:rPr>
            </w:pPr>
            <w:r w:rsidRPr="005D5F2E">
              <w:rPr>
                <w:b/>
                <w:sz w:val="20"/>
              </w:rPr>
              <w:t>Fecha de elaboración:</w:t>
            </w:r>
          </w:p>
          <w:p w:rsidR="0068307E" w:rsidRPr="005D5F2E" w:rsidRDefault="0068307E" w:rsidP="008A48B0">
            <w:pPr>
              <w:jc w:val="both"/>
              <w:rPr>
                <w:b/>
                <w:sz w:val="20"/>
              </w:rPr>
            </w:pPr>
          </w:p>
        </w:tc>
        <w:tc>
          <w:tcPr>
            <w:tcW w:w="2312" w:type="dxa"/>
            <w:shd w:val="clear" w:color="auto" w:fill="DBDBDB" w:themeFill="accent3" w:themeFillTint="66"/>
          </w:tcPr>
          <w:p w:rsidR="0068307E" w:rsidRPr="005D5F2E" w:rsidRDefault="004A77EE" w:rsidP="009941BA">
            <w:pPr>
              <w:jc w:val="center"/>
              <w:rPr>
                <w:sz w:val="20"/>
              </w:rPr>
            </w:pPr>
            <w:r>
              <w:rPr>
                <w:sz w:val="20"/>
              </w:rPr>
              <w:t>27</w:t>
            </w:r>
            <w:r w:rsidR="00286495" w:rsidRPr="005D5F2E">
              <w:rPr>
                <w:sz w:val="20"/>
              </w:rPr>
              <w:t>/</w:t>
            </w:r>
            <w:r>
              <w:rPr>
                <w:sz w:val="20"/>
              </w:rPr>
              <w:t>10</w:t>
            </w:r>
            <w:r w:rsidR="00B820ED" w:rsidRPr="005D5F2E">
              <w:rPr>
                <w:sz w:val="20"/>
              </w:rPr>
              <w:t>/201</w:t>
            </w:r>
            <w:r w:rsidR="00994388">
              <w:rPr>
                <w:sz w:val="20"/>
              </w:rPr>
              <w:t>7</w:t>
            </w:r>
          </w:p>
        </w:tc>
      </w:tr>
      <w:tr w:rsidR="0068307E" w:rsidRPr="005D5F2E" w:rsidTr="0068307E">
        <w:trPr>
          <w:trHeight w:val="390"/>
        </w:trPr>
        <w:tc>
          <w:tcPr>
            <w:tcW w:w="3114" w:type="dxa"/>
            <w:vMerge/>
            <w:shd w:val="clear" w:color="auto" w:fill="DBDBDB" w:themeFill="accent3" w:themeFillTint="66"/>
          </w:tcPr>
          <w:p w:rsidR="0068307E" w:rsidRPr="005D5F2E" w:rsidRDefault="0068307E" w:rsidP="00501ADF">
            <w:pPr>
              <w:jc w:val="both"/>
              <w:rPr>
                <w:sz w:val="20"/>
              </w:rPr>
            </w:pPr>
          </w:p>
        </w:tc>
        <w:tc>
          <w:tcPr>
            <w:tcW w:w="3402" w:type="dxa"/>
            <w:shd w:val="clear" w:color="auto" w:fill="DBDBDB" w:themeFill="accent3" w:themeFillTint="66"/>
          </w:tcPr>
          <w:p w:rsidR="0068307E" w:rsidRPr="005D5F2E" w:rsidRDefault="0068307E" w:rsidP="0068307E">
            <w:pPr>
              <w:jc w:val="both"/>
              <w:rPr>
                <w:b/>
                <w:sz w:val="20"/>
              </w:rPr>
            </w:pPr>
            <w:r w:rsidRPr="005D5F2E">
              <w:rPr>
                <w:b/>
                <w:sz w:val="20"/>
              </w:rPr>
              <w:t>Fecha de inicio de la consulta pública:</w:t>
            </w:r>
          </w:p>
        </w:tc>
        <w:tc>
          <w:tcPr>
            <w:tcW w:w="2312" w:type="dxa"/>
            <w:shd w:val="clear" w:color="auto" w:fill="DBDBDB" w:themeFill="accent3" w:themeFillTint="66"/>
          </w:tcPr>
          <w:p w:rsidR="0068307E" w:rsidRPr="005D5F2E" w:rsidRDefault="00286495" w:rsidP="00994388">
            <w:pPr>
              <w:rPr>
                <w:sz w:val="20"/>
              </w:rPr>
            </w:pPr>
            <w:r w:rsidRPr="005D5F2E">
              <w:rPr>
                <w:sz w:val="20"/>
              </w:rPr>
              <w:t xml:space="preserve">             </w:t>
            </w:r>
            <w:r w:rsidR="00994388">
              <w:rPr>
                <w:sz w:val="20"/>
              </w:rPr>
              <w:t>1</w:t>
            </w:r>
            <w:r w:rsidR="00565511">
              <w:rPr>
                <w:sz w:val="20"/>
              </w:rPr>
              <w:t>3</w:t>
            </w:r>
            <w:r w:rsidR="00CF7E6E" w:rsidRPr="005D5F2E">
              <w:rPr>
                <w:sz w:val="20"/>
              </w:rPr>
              <w:t>/</w:t>
            </w:r>
            <w:r w:rsidR="00CF39DB" w:rsidRPr="005D5F2E">
              <w:rPr>
                <w:sz w:val="20"/>
              </w:rPr>
              <w:t>07</w:t>
            </w:r>
            <w:r w:rsidR="00CF7E6E" w:rsidRPr="005D5F2E">
              <w:rPr>
                <w:sz w:val="20"/>
              </w:rPr>
              <w:t>/201</w:t>
            </w:r>
            <w:r w:rsidR="00565511">
              <w:rPr>
                <w:sz w:val="20"/>
              </w:rPr>
              <w:t>7</w:t>
            </w:r>
          </w:p>
        </w:tc>
      </w:tr>
      <w:tr w:rsidR="0068307E" w:rsidRPr="005D5F2E" w:rsidTr="0068307E">
        <w:tc>
          <w:tcPr>
            <w:tcW w:w="3114" w:type="dxa"/>
            <w:vMerge/>
            <w:shd w:val="clear" w:color="auto" w:fill="DBDBDB" w:themeFill="accent3" w:themeFillTint="66"/>
          </w:tcPr>
          <w:p w:rsidR="0068307E" w:rsidRPr="005D5F2E" w:rsidRDefault="0068307E" w:rsidP="00501ADF">
            <w:pPr>
              <w:jc w:val="both"/>
              <w:rPr>
                <w:sz w:val="20"/>
              </w:rPr>
            </w:pPr>
          </w:p>
        </w:tc>
        <w:tc>
          <w:tcPr>
            <w:tcW w:w="3402" w:type="dxa"/>
            <w:shd w:val="clear" w:color="auto" w:fill="DBDBDB" w:themeFill="accent3" w:themeFillTint="66"/>
          </w:tcPr>
          <w:p w:rsidR="0068307E" w:rsidRPr="005D5F2E" w:rsidRDefault="005A40FB" w:rsidP="0068307E">
            <w:pPr>
              <w:jc w:val="both"/>
              <w:rPr>
                <w:b/>
                <w:sz w:val="20"/>
              </w:rPr>
            </w:pPr>
            <w:r w:rsidRPr="005D5F2E">
              <w:rPr>
                <w:b/>
                <w:sz w:val="20"/>
              </w:rPr>
              <w:t xml:space="preserve">Fecha de </w:t>
            </w:r>
            <w:r w:rsidR="0068307E" w:rsidRPr="005D5F2E">
              <w:rPr>
                <w:b/>
                <w:sz w:val="20"/>
              </w:rPr>
              <w:t>conclusión de la consulta pública:</w:t>
            </w:r>
          </w:p>
        </w:tc>
        <w:tc>
          <w:tcPr>
            <w:tcW w:w="2312" w:type="dxa"/>
            <w:shd w:val="clear" w:color="auto" w:fill="DBDBDB" w:themeFill="accent3" w:themeFillTint="66"/>
          </w:tcPr>
          <w:p w:rsidR="0068307E" w:rsidRPr="005D5F2E" w:rsidRDefault="00994388" w:rsidP="00565511">
            <w:pPr>
              <w:jc w:val="center"/>
              <w:rPr>
                <w:sz w:val="20"/>
              </w:rPr>
            </w:pPr>
            <w:r>
              <w:rPr>
                <w:sz w:val="20"/>
              </w:rPr>
              <w:t>14</w:t>
            </w:r>
            <w:r w:rsidR="00CF7E6E" w:rsidRPr="005D5F2E">
              <w:rPr>
                <w:sz w:val="20"/>
              </w:rPr>
              <w:t>/0</w:t>
            </w:r>
            <w:r w:rsidR="00CF39DB" w:rsidRPr="005D5F2E">
              <w:rPr>
                <w:sz w:val="20"/>
              </w:rPr>
              <w:t>8</w:t>
            </w:r>
            <w:r w:rsidR="0068307E" w:rsidRPr="005D5F2E">
              <w:rPr>
                <w:sz w:val="20"/>
              </w:rPr>
              <w:t>/</w:t>
            </w:r>
            <w:r w:rsidR="00CF7E6E" w:rsidRPr="005D5F2E">
              <w:rPr>
                <w:sz w:val="20"/>
              </w:rPr>
              <w:t>201</w:t>
            </w:r>
            <w:r w:rsidR="00565511">
              <w:rPr>
                <w:sz w:val="20"/>
              </w:rPr>
              <w:t>7</w:t>
            </w:r>
          </w:p>
        </w:tc>
      </w:tr>
    </w:tbl>
    <w:p w:rsidR="00501ADF" w:rsidRPr="005D5F2E" w:rsidRDefault="00501ADF" w:rsidP="00501ADF">
      <w:pPr>
        <w:jc w:val="both"/>
      </w:pPr>
    </w:p>
    <w:p w:rsidR="001932FC" w:rsidRPr="005D5F2E" w:rsidRDefault="001932FC" w:rsidP="0068307E">
      <w:pPr>
        <w:shd w:val="clear" w:color="auto" w:fill="A8D08D" w:themeFill="accent6" w:themeFillTint="99"/>
        <w:jc w:val="both"/>
      </w:pPr>
      <w:r w:rsidRPr="005D5F2E">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D5F2E" w:rsidTr="008A48B0">
        <w:tc>
          <w:tcPr>
            <w:tcW w:w="8828" w:type="dxa"/>
            <w:shd w:val="clear" w:color="auto" w:fill="FFFFFF" w:themeFill="background1"/>
          </w:tcPr>
          <w:p w:rsidR="001932FC" w:rsidRDefault="001932FC" w:rsidP="008A48B0">
            <w:pPr>
              <w:shd w:val="clear" w:color="auto" w:fill="FFFFFF" w:themeFill="background1"/>
              <w:jc w:val="both"/>
              <w:rPr>
                <w:b/>
                <w:sz w:val="20"/>
                <w:szCs w:val="20"/>
              </w:rPr>
            </w:pPr>
            <w:r w:rsidRPr="005D5F2E">
              <w:rPr>
                <w:b/>
                <w:sz w:val="20"/>
                <w:szCs w:val="20"/>
              </w:rPr>
              <w:t>1.</w:t>
            </w:r>
            <w:r w:rsidR="00E6080B" w:rsidRPr="005D5F2E">
              <w:rPr>
                <w:b/>
                <w:sz w:val="20"/>
                <w:szCs w:val="20"/>
              </w:rPr>
              <w:t>-</w:t>
            </w:r>
            <w:r w:rsidRPr="005D5F2E">
              <w:rPr>
                <w:b/>
                <w:sz w:val="20"/>
                <w:szCs w:val="20"/>
              </w:rPr>
              <w:t xml:space="preserve"> Describa los objetivos generales del anteproyecto de regulación propuesto:</w:t>
            </w:r>
          </w:p>
          <w:p w:rsidR="001932FC" w:rsidRPr="005D5F2E" w:rsidRDefault="00625B6C" w:rsidP="00516874">
            <w:pPr>
              <w:jc w:val="both"/>
              <w:rPr>
                <w:rFonts w:asciiTheme="majorHAnsi" w:hAnsiTheme="majorHAnsi"/>
                <w:sz w:val="20"/>
                <w:szCs w:val="20"/>
              </w:rPr>
            </w:pPr>
            <w:r w:rsidRPr="005D5F2E">
              <w:rPr>
                <w:rFonts w:asciiTheme="majorHAnsi" w:hAnsiTheme="majorHAnsi"/>
                <w:sz w:val="20"/>
                <w:szCs w:val="20"/>
              </w:rPr>
              <w:t xml:space="preserve">El objetivo del </w:t>
            </w:r>
            <w:r w:rsidR="007E0CF3" w:rsidRPr="005D5F2E">
              <w:rPr>
                <w:rFonts w:asciiTheme="majorHAnsi" w:hAnsiTheme="majorHAnsi"/>
                <w:sz w:val="20"/>
                <w:szCs w:val="20"/>
              </w:rPr>
              <w:t xml:space="preserve">anteproyecto </w:t>
            </w:r>
            <w:r w:rsidR="00C72F32">
              <w:rPr>
                <w:rFonts w:asciiTheme="majorHAnsi" w:hAnsiTheme="majorHAnsi"/>
                <w:sz w:val="20"/>
                <w:szCs w:val="20"/>
              </w:rPr>
              <w:t xml:space="preserve">de </w:t>
            </w:r>
            <w:r w:rsidR="00C72F32" w:rsidRPr="005D5F2E">
              <w:rPr>
                <w:rFonts w:asciiTheme="majorHAnsi" w:hAnsiTheme="majorHAnsi"/>
                <w:sz w:val="20"/>
                <w:szCs w:val="20"/>
              </w:rPr>
              <w:t>“</w:t>
            </w:r>
            <w:r w:rsidR="00C72F32">
              <w:rPr>
                <w:rFonts w:asciiTheme="majorHAnsi" w:hAnsiTheme="majorHAnsi"/>
                <w:sz w:val="20"/>
                <w:szCs w:val="20"/>
              </w:rPr>
              <w:t>D</w:t>
            </w:r>
            <w:r w:rsidR="00C72F32" w:rsidRPr="00C72F32">
              <w:rPr>
                <w:rFonts w:asciiTheme="majorHAnsi" w:hAnsiTheme="majorHAnsi"/>
                <w:sz w:val="20"/>
                <w:szCs w:val="20"/>
              </w:rPr>
              <w:t xml:space="preserve">isposición </w:t>
            </w:r>
            <w:r w:rsidR="00C72F32">
              <w:rPr>
                <w:rFonts w:asciiTheme="majorHAnsi" w:hAnsiTheme="majorHAnsi"/>
                <w:sz w:val="20"/>
                <w:szCs w:val="20"/>
              </w:rPr>
              <w:t>T</w:t>
            </w:r>
            <w:r w:rsidR="00C72F32" w:rsidRPr="00C72F32">
              <w:rPr>
                <w:rFonts w:asciiTheme="majorHAnsi" w:hAnsiTheme="majorHAnsi"/>
                <w:sz w:val="20"/>
                <w:szCs w:val="20"/>
              </w:rPr>
              <w:t xml:space="preserve">écnica IFT-011-2017: </w:t>
            </w:r>
            <w:r w:rsidR="008525E2" w:rsidRPr="008525E2">
              <w:rPr>
                <w:rFonts w:asciiTheme="majorHAnsi" w:hAnsiTheme="majorHAnsi"/>
                <w:sz w:val="20"/>
                <w:szCs w:val="20"/>
              </w:rPr>
              <w:t xml:space="preserve">ESPECIFICACIONES TÉCNICAS DE LOS EQUIPOS TERMINALES MÓVILES QUE PUEDAN HACER USO DEL ESPECTRO RADIOELÉCTRICO O SER CONECTADOS A REDES DE TELECOMUNICACIONES. PARTE 2. EQUIPOS TERMINALES MÓVILES QUE OPERAN EN LAS BANDAS DE 700 MHz, 800 MHz, </w:t>
            </w:r>
            <w:r w:rsidR="00C96592" w:rsidRPr="008525E2">
              <w:rPr>
                <w:rFonts w:asciiTheme="majorHAnsi" w:hAnsiTheme="majorHAnsi"/>
                <w:sz w:val="20"/>
                <w:szCs w:val="20"/>
              </w:rPr>
              <w:t>8</w:t>
            </w:r>
            <w:r w:rsidR="00C96592">
              <w:rPr>
                <w:rFonts w:asciiTheme="majorHAnsi" w:hAnsiTheme="majorHAnsi"/>
                <w:sz w:val="20"/>
                <w:szCs w:val="20"/>
              </w:rPr>
              <w:t>5</w:t>
            </w:r>
            <w:r w:rsidR="00C96592" w:rsidRPr="008525E2">
              <w:rPr>
                <w:rFonts w:asciiTheme="majorHAnsi" w:hAnsiTheme="majorHAnsi"/>
                <w:sz w:val="20"/>
                <w:szCs w:val="20"/>
              </w:rPr>
              <w:t xml:space="preserve">0 MHz </w:t>
            </w:r>
            <w:r w:rsidR="008525E2" w:rsidRPr="008525E2">
              <w:rPr>
                <w:rFonts w:asciiTheme="majorHAnsi" w:hAnsiTheme="majorHAnsi"/>
                <w:sz w:val="20"/>
                <w:szCs w:val="20"/>
              </w:rPr>
              <w:t xml:space="preserve">1900 MHz, </w:t>
            </w:r>
            <w:r w:rsidR="00F53410">
              <w:rPr>
                <w:rFonts w:asciiTheme="majorHAnsi" w:hAnsiTheme="majorHAnsi"/>
                <w:sz w:val="20"/>
                <w:szCs w:val="20"/>
              </w:rPr>
              <w:t>1700 MHz/</w:t>
            </w:r>
            <w:r w:rsidR="008525E2" w:rsidRPr="008525E2">
              <w:rPr>
                <w:rFonts w:asciiTheme="majorHAnsi" w:hAnsiTheme="majorHAnsi"/>
                <w:sz w:val="20"/>
                <w:szCs w:val="20"/>
              </w:rPr>
              <w:t>2100 MHz Y/O 2500 MHz</w:t>
            </w:r>
            <w:r w:rsidR="00D57F6C" w:rsidRPr="005D5F2E">
              <w:rPr>
                <w:rFonts w:asciiTheme="majorHAnsi" w:hAnsiTheme="majorHAnsi"/>
                <w:sz w:val="20"/>
                <w:szCs w:val="20"/>
              </w:rPr>
              <w:t>”</w:t>
            </w:r>
            <w:r w:rsidR="00CF39DB" w:rsidRPr="005D5F2E">
              <w:rPr>
                <w:rFonts w:asciiTheme="majorHAnsi" w:hAnsiTheme="majorHAnsi"/>
                <w:sz w:val="20"/>
                <w:szCs w:val="20"/>
              </w:rPr>
              <w:t>,</w:t>
            </w:r>
            <w:r w:rsidR="00D57F6C" w:rsidRPr="005D5F2E">
              <w:rPr>
                <w:rFonts w:asciiTheme="majorHAnsi" w:hAnsiTheme="majorHAnsi"/>
                <w:sz w:val="20"/>
                <w:szCs w:val="20"/>
              </w:rPr>
              <w:t xml:space="preserve"> (en lo sucesivo, el “Anteproyecto”) </w:t>
            </w:r>
            <w:r w:rsidR="00017346" w:rsidRPr="005D5F2E">
              <w:rPr>
                <w:rFonts w:asciiTheme="majorHAnsi" w:hAnsiTheme="majorHAnsi"/>
                <w:sz w:val="20"/>
                <w:szCs w:val="20"/>
              </w:rPr>
              <w:t xml:space="preserve">es </w:t>
            </w:r>
            <w:r w:rsidR="00481934" w:rsidRPr="005D5F2E">
              <w:rPr>
                <w:rFonts w:asciiTheme="majorHAnsi" w:hAnsiTheme="majorHAnsi"/>
                <w:sz w:val="20"/>
                <w:szCs w:val="20"/>
              </w:rPr>
              <w:t>establecer las especificaciones</w:t>
            </w:r>
            <w:r w:rsidR="00C72F32">
              <w:rPr>
                <w:rFonts w:asciiTheme="majorHAnsi" w:hAnsiTheme="majorHAnsi"/>
                <w:sz w:val="20"/>
                <w:szCs w:val="20"/>
              </w:rPr>
              <w:t xml:space="preserve"> </w:t>
            </w:r>
            <w:r w:rsidR="00C72F32" w:rsidRPr="00C72F32">
              <w:rPr>
                <w:rFonts w:asciiTheme="majorHAnsi" w:hAnsiTheme="majorHAnsi"/>
                <w:sz w:val="20"/>
                <w:szCs w:val="20"/>
              </w:rPr>
              <w:t>técnicas de los Equipos Terminales Móviles que puedan hacer uso del espectro radioeléctrico o ser conectados a redes de telecomunicaciones; así como los métodos de prueba para comprobar el cumplimiento de dichas especificaciones</w:t>
            </w:r>
            <w:r w:rsidR="00481934" w:rsidRPr="005D5F2E">
              <w:rPr>
                <w:rFonts w:asciiTheme="majorHAnsi" w:hAnsiTheme="majorHAnsi"/>
                <w:sz w:val="20"/>
                <w:szCs w:val="20"/>
              </w:rPr>
              <w:t>.</w:t>
            </w:r>
          </w:p>
        </w:tc>
      </w:tr>
    </w:tbl>
    <w:p w:rsidR="001932FC" w:rsidRPr="005D5F2E" w:rsidRDefault="001932FC"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D5F2E" w:rsidTr="008A48B0">
        <w:tc>
          <w:tcPr>
            <w:tcW w:w="8828" w:type="dxa"/>
            <w:shd w:val="clear" w:color="auto" w:fill="FFFFFF" w:themeFill="background1"/>
          </w:tcPr>
          <w:p w:rsidR="001932FC" w:rsidRPr="00755930" w:rsidRDefault="001932FC" w:rsidP="00BA2236">
            <w:pPr>
              <w:shd w:val="clear" w:color="auto" w:fill="FFFFFF"/>
              <w:spacing w:after="101"/>
              <w:jc w:val="both"/>
              <w:rPr>
                <w:rFonts w:asciiTheme="majorHAnsi" w:hAnsiTheme="majorHAnsi"/>
                <w:b/>
                <w:sz w:val="20"/>
                <w:szCs w:val="20"/>
              </w:rPr>
            </w:pPr>
            <w:r w:rsidRPr="00755930">
              <w:rPr>
                <w:rFonts w:asciiTheme="majorHAnsi" w:hAnsiTheme="majorHAnsi"/>
                <w:b/>
                <w:sz w:val="20"/>
                <w:szCs w:val="20"/>
              </w:rPr>
              <w:t>2.</w:t>
            </w:r>
            <w:r w:rsidR="00E6080B" w:rsidRPr="00755930">
              <w:rPr>
                <w:rFonts w:asciiTheme="majorHAnsi" w:hAnsiTheme="majorHAnsi"/>
                <w:b/>
                <w:sz w:val="20"/>
                <w:szCs w:val="20"/>
              </w:rPr>
              <w:t>-</w:t>
            </w:r>
            <w:r w:rsidRPr="00755930">
              <w:rPr>
                <w:rFonts w:asciiTheme="majorHAnsi" w:hAnsiTheme="majorHAnsi"/>
                <w:b/>
                <w:sz w:val="20"/>
                <w:szCs w:val="20"/>
              </w:rPr>
              <w:t xml:space="preserve"> Describa la problemática o situación que da origen al anteproyecto de regulación:</w:t>
            </w:r>
          </w:p>
          <w:p w:rsidR="00AE3908" w:rsidRPr="00A03B37" w:rsidRDefault="00AE3908" w:rsidP="00AE3908">
            <w:pPr>
              <w:shd w:val="clear" w:color="auto" w:fill="FFFFFF"/>
              <w:spacing w:after="101"/>
              <w:jc w:val="both"/>
              <w:rPr>
                <w:rFonts w:asciiTheme="majorHAnsi" w:hAnsiTheme="majorHAnsi"/>
                <w:b/>
                <w:sz w:val="20"/>
                <w:szCs w:val="20"/>
              </w:rPr>
            </w:pPr>
            <w:r w:rsidRPr="00A03B37">
              <w:rPr>
                <w:rFonts w:asciiTheme="majorHAnsi" w:hAnsiTheme="majorHAnsi"/>
                <w:b/>
                <w:sz w:val="20"/>
                <w:szCs w:val="20"/>
              </w:rPr>
              <w:t>De la p</w:t>
            </w:r>
            <w:r>
              <w:rPr>
                <w:rFonts w:asciiTheme="majorHAnsi" w:hAnsiTheme="majorHAnsi"/>
                <w:b/>
                <w:sz w:val="20"/>
                <w:szCs w:val="20"/>
              </w:rPr>
              <w:t>er</w:t>
            </w:r>
            <w:r w:rsidRPr="00A03B37">
              <w:rPr>
                <w:rFonts w:asciiTheme="majorHAnsi" w:hAnsiTheme="majorHAnsi"/>
                <w:b/>
                <w:sz w:val="20"/>
                <w:szCs w:val="20"/>
              </w:rPr>
              <w:t>dida de vigencia de la NOM-081-SCT1-1993</w:t>
            </w:r>
            <w:r>
              <w:rPr>
                <w:rFonts w:asciiTheme="majorHAnsi" w:hAnsiTheme="majorHAnsi"/>
                <w:b/>
                <w:sz w:val="20"/>
                <w:szCs w:val="20"/>
              </w:rPr>
              <w:t>.</w:t>
            </w:r>
          </w:p>
          <w:p w:rsidR="00AE3908" w:rsidRDefault="00AE3908" w:rsidP="00AE3908">
            <w:pPr>
              <w:shd w:val="clear" w:color="auto" w:fill="FFFFFF"/>
              <w:spacing w:after="101"/>
              <w:jc w:val="both"/>
              <w:rPr>
                <w:rFonts w:asciiTheme="majorHAnsi" w:hAnsiTheme="majorHAnsi"/>
                <w:sz w:val="20"/>
                <w:szCs w:val="20"/>
              </w:rPr>
            </w:pPr>
            <w:r>
              <w:rPr>
                <w:rFonts w:asciiTheme="majorHAnsi" w:hAnsiTheme="majorHAnsi"/>
                <w:sz w:val="20"/>
                <w:szCs w:val="20"/>
              </w:rPr>
              <w:t>L</w:t>
            </w:r>
            <w:r w:rsidRPr="001C7ED9">
              <w:rPr>
                <w:rFonts w:asciiTheme="majorHAnsi" w:hAnsiTheme="majorHAnsi"/>
                <w:sz w:val="20"/>
                <w:szCs w:val="20"/>
              </w:rPr>
              <w:t>a Norma Oficial Mexicana NOM-081-SCT1-1993, “Sistemas de radiotelefonía con tecnología celular que operan en la banda de 800 MHz”, tiene por objeto establecer los requerimientos técnicos mínimos para estandarizar la compatibilidad de los sistemas de radiotelefonía móvil con tecnología celular en la banda de 800 MHz; norma que conforme a lo dispuesto por el artículo 51 de la Ley Federal sobre Metrología y Normalización (en lo sucesivo, LFMN), perd</w:t>
            </w:r>
            <w:r w:rsidR="00A32888">
              <w:rPr>
                <w:rFonts w:asciiTheme="majorHAnsi" w:hAnsiTheme="majorHAnsi"/>
                <w:sz w:val="20"/>
                <w:szCs w:val="20"/>
              </w:rPr>
              <w:t xml:space="preserve">ió </w:t>
            </w:r>
            <w:r w:rsidRPr="001C7ED9">
              <w:rPr>
                <w:rFonts w:asciiTheme="majorHAnsi" w:hAnsiTheme="majorHAnsi"/>
                <w:sz w:val="20"/>
                <w:szCs w:val="20"/>
              </w:rPr>
              <w:t>su vigencia el  29 de septiembre de 2017, al no ser jurídicamente procedente realizar la revisión de la misma en términos de la propia LFMN.</w:t>
            </w:r>
          </w:p>
          <w:p w:rsidR="00AE3908" w:rsidRDefault="00AE3908" w:rsidP="00AE3908">
            <w:pPr>
              <w:shd w:val="clear" w:color="auto" w:fill="FFFFFF"/>
              <w:spacing w:after="101"/>
              <w:jc w:val="both"/>
              <w:rPr>
                <w:rFonts w:asciiTheme="majorHAnsi" w:hAnsiTheme="majorHAnsi"/>
                <w:sz w:val="20"/>
                <w:szCs w:val="20"/>
              </w:rPr>
            </w:pPr>
            <w:r w:rsidRPr="001C2BA1">
              <w:rPr>
                <w:rFonts w:asciiTheme="majorHAnsi" w:hAnsiTheme="majorHAnsi"/>
                <w:sz w:val="20"/>
                <w:szCs w:val="20"/>
              </w:rPr>
              <w:t>Es importante mencionar que dicha N</w:t>
            </w:r>
            <w:r w:rsidR="000A0599">
              <w:rPr>
                <w:rFonts w:asciiTheme="majorHAnsi" w:hAnsiTheme="majorHAnsi"/>
                <w:sz w:val="20"/>
                <w:szCs w:val="20"/>
              </w:rPr>
              <w:t xml:space="preserve">OM únicamente </w:t>
            </w:r>
            <w:r w:rsidRPr="001C2BA1">
              <w:rPr>
                <w:rFonts w:asciiTheme="majorHAnsi" w:hAnsiTheme="majorHAnsi"/>
                <w:sz w:val="20"/>
                <w:szCs w:val="20"/>
              </w:rPr>
              <w:t>establec</w:t>
            </w:r>
            <w:r w:rsidR="00A32888">
              <w:rPr>
                <w:rFonts w:asciiTheme="majorHAnsi" w:hAnsiTheme="majorHAnsi"/>
                <w:sz w:val="20"/>
                <w:szCs w:val="20"/>
              </w:rPr>
              <w:t>ía</w:t>
            </w:r>
            <w:r w:rsidRPr="001C2BA1">
              <w:rPr>
                <w:rFonts w:asciiTheme="majorHAnsi" w:hAnsiTheme="majorHAnsi"/>
                <w:sz w:val="20"/>
                <w:szCs w:val="20"/>
              </w:rPr>
              <w:t xml:space="preserve"> los requerimientos técnicos mínimos para la banda de</w:t>
            </w:r>
            <w:r w:rsidR="00452A3A">
              <w:rPr>
                <w:rFonts w:asciiTheme="majorHAnsi" w:hAnsiTheme="majorHAnsi"/>
                <w:sz w:val="20"/>
                <w:szCs w:val="20"/>
              </w:rPr>
              <w:t xml:space="preserve"> frecuencia de</w:t>
            </w:r>
            <w:r w:rsidRPr="001C2BA1">
              <w:rPr>
                <w:rFonts w:asciiTheme="majorHAnsi" w:hAnsiTheme="majorHAnsi"/>
                <w:sz w:val="20"/>
                <w:szCs w:val="20"/>
              </w:rPr>
              <w:t xml:space="preserve"> </w:t>
            </w:r>
            <w:r w:rsidRPr="00710E30">
              <w:rPr>
                <w:rFonts w:asciiTheme="majorHAnsi" w:hAnsiTheme="majorHAnsi"/>
                <w:sz w:val="20"/>
                <w:szCs w:val="20"/>
                <w:u w:val="single"/>
              </w:rPr>
              <w:t>800 MHz</w:t>
            </w:r>
            <w:r w:rsidRPr="001C2BA1">
              <w:rPr>
                <w:rFonts w:asciiTheme="majorHAnsi" w:hAnsiTheme="majorHAnsi"/>
                <w:sz w:val="20"/>
                <w:szCs w:val="20"/>
              </w:rPr>
              <w:t>,</w:t>
            </w:r>
            <w:r>
              <w:rPr>
                <w:rFonts w:asciiTheme="majorHAnsi" w:hAnsiTheme="majorHAnsi"/>
                <w:sz w:val="20"/>
                <w:szCs w:val="20"/>
              </w:rPr>
              <w:t xml:space="preserve"> </w:t>
            </w:r>
            <w:r w:rsidR="000A0599">
              <w:rPr>
                <w:rFonts w:asciiTheme="majorHAnsi" w:hAnsiTheme="majorHAnsi"/>
                <w:sz w:val="20"/>
                <w:szCs w:val="20"/>
              </w:rPr>
              <w:t xml:space="preserve">y </w:t>
            </w:r>
            <w:r w:rsidR="000A0599" w:rsidRPr="00710E30">
              <w:rPr>
                <w:rFonts w:asciiTheme="majorHAnsi" w:hAnsiTheme="majorHAnsi"/>
                <w:sz w:val="20"/>
                <w:szCs w:val="20"/>
                <w:u w:val="single"/>
              </w:rPr>
              <w:t>no conten</w:t>
            </w:r>
            <w:r w:rsidR="00A32888">
              <w:rPr>
                <w:rFonts w:asciiTheme="majorHAnsi" w:hAnsiTheme="majorHAnsi"/>
                <w:sz w:val="20"/>
                <w:szCs w:val="20"/>
                <w:u w:val="single"/>
              </w:rPr>
              <w:t>ía</w:t>
            </w:r>
            <w:r w:rsidR="000A0599" w:rsidRPr="00710E30">
              <w:rPr>
                <w:rFonts w:asciiTheme="majorHAnsi" w:hAnsiTheme="majorHAnsi"/>
                <w:sz w:val="20"/>
                <w:szCs w:val="20"/>
                <w:u w:val="single"/>
              </w:rPr>
              <w:t xml:space="preserve"> </w:t>
            </w:r>
            <w:r w:rsidRPr="00710E30">
              <w:rPr>
                <w:rFonts w:asciiTheme="majorHAnsi" w:hAnsiTheme="majorHAnsi"/>
                <w:sz w:val="20"/>
                <w:szCs w:val="20"/>
                <w:u w:val="single"/>
              </w:rPr>
              <w:t>métodos de prueba</w:t>
            </w:r>
            <w:r w:rsidR="000A0599">
              <w:rPr>
                <w:rFonts w:asciiTheme="majorHAnsi" w:hAnsiTheme="majorHAnsi"/>
                <w:sz w:val="20"/>
                <w:szCs w:val="20"/>
              </w:rPr>
              <w:t xml:space="preserve">. </w:t>
            </w:r>
            <w:r w:rsidR="00452A3A">
              <w:rPr>
                <w:rFonts w:asciiTheme="majorHAnsi" w:hAnsiTheme="majorHAnsi"/>
                <w:sz w:val="20"/>
                <w:szCs w:val="20"/>
              </w:rPr>
              <w:t>Esto es</w:t>
            </w:r>
            <w:r w:rsidR="000A0599">
              <w:rPr>
                <w:rFonts w:asciiTheme="majorHAnsi" w:hAnsiTheme="majorHAnsi"/>
                <w:sz w:val="20"/>
                <w:szCs w:val="20"/>
              </w:rPr>
              <w:t>, dicha NOM no conten</w:t>
            </w:r>
            <w:r w:rsidR="00A32888">
              <w:rPr>
                <w:rFonts w:asciiTheme="majorHAnsi" w:hAnsiTheme="majorHAnsi"/>
                <w:sz w:val="20"/>
                <w:szCs w:val="20"/>
              </w:rPr>
              <w:t>ía</w:t>
            </w:r>
            <w:r w:rsidR="000A0599">
              <w:rPr>
                <w:rFonts w:asciiTheme="majorHAnsi" w:hAnsiTheme="majorHAnsi"/>
                <w:sz w:val="20"/>
                <w:szCs w:val="20"/>
              </w:rPr>
              <w:t xml:space="preserve"> </w:t>
            </w:r>
            <w:r w:rsidR="000A0599" w:rsidRPr="001C2BA1">
              <w:rPr>
                <w:rFonts w:asciiTheme="majorHAnsi" w:hAnsiTheme="majorHAnsi"/>
                <w:sz w:val="20"/>
                <w:szCs w:val="20"/>
              </w:rPr>
              <w:t xml:space="preserve">requerimientos técnicos </w:t>
            </w:r>
            <w:r w:rsidR="00516874">
              <w:rPr>
                <w:rFonts w:asciiTheme="majorHAnsi" w:hAnsiTheme="majorHAnsi"/>
                <w:sz w:val="20"/>
                <w:szCs w:val="20"/>
              </w:rPr>
              <w:t xml:space="preserve">para </w:t>
            </w:r>
            <w:r w:rsidRPr="001C2BA1">
              <w:rPr>
                <w:rFonts w:asciiTheme="majorHAnsi" w:hAnsiTheme="majorHAnsi"/>
                <w:sz w:val="20"/>
                <w:szCs w:val="20"/>
              </w:rPr>
              <w:t xml:space="preserve">otras bandas de </w:t>
            </w:r>
            <w:r>
              <w:rPr>
                <w:rFonts w:asciiTheme="majorHAnsi" w:hAnsiTheme="majorHAnsi"/>
                <w:sz w:val="20"/>
                <w:szCs w:val="20"/>
              </w:rPr>
              <w:t xml:space="preserve">frecuencia de </w:t>
            </w:r>
            <w:r w:rsidRPr="001C2BA1">
              <w:rPr>
                <w:rFonts w:asciiTheme="majorHAnsi" w:hAnsiTheme="majorHAnsi"/>
                <w:sz w:val="20"/>
                <w:szCs w:val="20"/>
              </w:rPr>
              <w:t xml:space="preserve">operación </w:t>
            </w:r>
            <w:r w:rsidR="00452A3A">
              <w:rPr>
                <w:rFonts w:asciiTheme="majorHAnsi" w:hAnsiTheme="majorHAnsi"/>
                <w:sz w:val="20"/>
                <w:szCs w:val="20"/>
              </w:rPr>
              <w:t xml:space="preserve">en el territorio nacional </w:t>
            </w:r>
            <w:r w:rsidR="000A0599">
              <w:rPr>
                <w:rFonts w:asciiTheme="majorHAnsi" w:hAnsiTheme="majorHAnsi"/>
                <w:sz w:val="20"/>
                <w:szCs w:val="20"/>
              </w:rPr>
              <w:t xml:space="preserve">por ejemplo: </w:t>
            </w:r>
            <w:r w:rsidRPr="001C2BA1">
              <w:rPr>
                <w:rFonts w:asciiTheme="majorHAnsi" w:hAnsiTheme="majorHAnsi"/>
                <w:sz w:val="20"/>
                <w:szCs w:val="20"/>
              </w:rPr>
              <w:t>1900 MHz</w:t>
            </w:r>
            <w:r w:rsidR="000A0599">
              <w:rPr>
                <w:rFonts w:asciiTheme="majorHAnsi" w:hAnsiTheme="majorHAnsi"/>
                <w:sz w:val="20"/>
                <w:szCs w:val="20"/>
              </w:rPr>
              <w:t xml:space="preserve">, </w:t>
            </w:r>
            <w:r>
              <w:rPr>
                <w:rFonts w:asciiTheme="majorHAnsi" w:hAnsiTheme="majorHAnsi"/>
                <w:sz w:val="20"/>
                <w:szCs w:val="20"/>
              </w:rPr>
              <w:t>1700 MHz/</w:t>
            </w:r>
            <w:r w:rsidRPr="001C2BA1">
              <w:rPr>
                <w:rFonts w:asciiTheme="majorHAnsi" w:hAnsiTheme="majorHAnsi"/>
                <w:sz w:val="20"/>
                <w:szCs w:val="20"/>
              </w:rPr>
              <w:t>2100 MHz</w:t>
            </w:r>
            <w:r w:rsidR="000A0599">
              <w:rPr>
                <w:rFonts w:asciiTheme="majorHAnsi" w:hAnsiTheme="majorHAnsi"/>
                <w:sz w:val="20"/>
                <w:szCs w:val="20"/>
              </w:rPr>
              <w:t>, etc.</w:t>
            </w:r>
          </w:p>
          <w:p w:rsidR="00AE3908" w:rsidRDefault="000A0599" w:rsidP="00AE3908">
            <w:pPr>
              <w:shd w:val="clear" w:color="auto" w:fill="FFFFFF"/>
              <w:spacing w:after="101"/>
              <w:jc w:val="both"/>
              <w:rPr>
                <w:rFonts w:asciiTheme="majorHAnsi" w:hAnsiTheme="majorHAnsi"/>
                <w:sz w:val="20"/>
                <w:szCs w:val="20"/>
              </w:rPr>
            </w:pPr>
            <w:r>
              <w:rPr>
                <w:rFonts w:asciiTheme="majorHAnsi" w:hAnsiTheme="majorHAnsi"/>
                <w:sz w:val="20"/>
                <w:szCs w:val="20"/>
              </w:rPr>
              <w:t xml:space="preserve">Por lo expuesto, es importante </w:t>
            </w:r>
            <w:r w:rsidR="00AE3908" w:rsidRPr="001C7ED9">
              <w:rPr>
                <w:rFonts w:asciiTheme="majorHAnsi" w:hAnsiTheme="majorHAnsi"/>
                <w:sz w:val="20"/>
                <w:szCs w:val="20"/>
              </w:rPr>
              <w:t xml:space="preserve">dar continuidad a los efectos regulatorios que derivan de la norma NOM-081-SCT1-1993; más aún, resulta </w:t>
            </w:r>
            <w:r>
              <w:rPr>
                <w:rFonts w:asciiTheme="majorHAnsi" w:hAnsiTheme="majorHAnsi"/>
                <w:sz w:val="20"/>
                <w:szCs w:val="20"/>
              </w:rPr>
              <w:t xml:space="preserve">necesario </w:t>
            </w:r>
            <w:r w:rsidR="00940084">
              <w:rPr>
                <w:rFonts w:asciiTheme="majorHAnsi" w:hAnsiTheme="majorHAnsi"/>
                <w:sz w:val="20"/>
                <w:szCs w:val="20"/>
              </w:rPr>
              <w:t>incluir</w:t>
            </w:r>
            <w:r w:rsidR="00940084" w:rsidRPr="001C7ED9">
              <w:rPr>
                <w:rFonts w:asciiTheme="majorHAnsi" w:hAnsiTheme="majorHAnsi"/>
                <w:sz w:val="20"/>
                <w:szCs w:val="20"/>
              </w:rPr>
              <w:t xml:space="preserve"> </w:t>
            </w:r>
            <w:r w:rsidR="00AE3908" w:rsidRPr="001C7ED9">
              <w:rPr>
                <w:rFonts w:asciiTheme="majorHAnsi" w:hAnsiTheme="majorHAnsi"/>
                <w:sz w:val="20"/>
                <w:szCs w:val="20"/>
              </w:rPr>
              <w:t xml:space="preserve">las especificaciones técnicas para las bandas de </w:t>
            </w:r>
            <w:r w:rsidR="00940084">
              <w:rPr>
                <w:rFonts w:asciiTheme="majorHAnsi" w:hAnsiTheme="majorHAnsi"/>
                <w:sz w:val="20"/>
                <w:szCs w:val="20"/>
              </w:rPr>
              <w:t xml:space="preserve">frecuencia </w:t>
            </w:r>
            <w:r w:rsidR="00AE3908" w:rsidRPr="001C7ED9">
              <w:rPr>
                <w:rFonts w:asciiTheme="majorHAnsi" w:hAnsiTheme="majorHAnsi"/>
                <w:sz w:val="20"/>
                <w:szCs w:val="20"/>
              </w:rPr>
              <w:t xml:space="preserve">700 MHz, </w:t>
            </w:r>
            <w:r w:rsidR="00AE3908">
              <w:rPr>
                <w:rFonts w:asciiTheme="majorHAnsi" w:hAnsiTheme="majorHAnsi"/>
                <w:sz w:val="20"/>
                <w:szCs w:val="20"/>
              </w:rPr>
              <w:t xml:space="preserve">800 MHz, </w:t>
            </w:r>
            <w:r w:rsidR="00AE3908" w:rsidRPr="001C7ED9">
              <w:rPr>
                <w:rFonts w:asciiTheme="majorHAnsi" w:hAnsiTheme="majorHAnsi"/>
                <w:sz w:val="20"/>
                <w:szCs w:val="20"/>
              </w:rPr>
              <w:t xml:space="preserve">1900 MHz, </w:t>
            </w:r>
            <w:r w:rsidR="00AE3908">
              <w:rPr>
                <w:rFonts w:asciiTheme="majorHAnsi" w:hAnsiTheme="majorHAnsi"/>
                <w:sz w:val="20"/>
                <w:szCs w:val="20"/>
              </w:rPr>
              <w:t>1700 MHz/</w:t>
            </w:r>
            <w:r w:rsidR="00AE3908" w:rsidRPr="001C7ED9">
              <w:rPr>
                <w:rFonts w:asciiTheme="majorHAnsi" w:hAnsiTheme="majorHAnsi"/>
                <w:sz w:val="20"/>
                <w:szCs w:val="20"/>
              </w:rPr>
              <w:t>2100 MHz</w:t>
            </w:r>
            <w:r w:rsidR="00AE3908">
              <w:rPr>
                <w:rFonts w:asciiTheme="majorHAnsi" w:hAnsiTheme="majorHAnsi"/>
                <w:sz w:val="20"/>
                <w:szCs w:val="20"/>
              </w:rPr>
              <w:t xml:space="preserve"> y/o</w:t>
            </w:r>
            <w:r w:rsidR="00AE3908" w:rsidRPr="001C7ED9">
              <w:rPr>
                <w:rFonts w:asciiTheme="majorHAnsi" w:hAnsiTheme="majorHAnsi"/>
                <w:sz w:val="20"/>
                <w:szCs w:val="20"/>
              </w:rPr>
              <w:t xml:space="preserve"> 2500 MHz., asignadas para la provisión del servicio móvil</w:t>
            </w:r>
            <w:r>
              <w:rPr>
                <w:rFonts w:asciiTheme="majorHAnsi" w:hAnsiTheme="majorHAnsi"/>
                <w:sz w:val="20"/>
                <w:szCs w:val="20"/>
              </w:rPr>
              <w:t xml:space="preserve"> en México</w:t>
            </w:r>
            <w:r w:rsidR="00AE3908" w:rsidRPr="001C7ED9">
              <w:rPr>
                <w:rFonts w:asciiTheme="majorHAnsi" w:hAnsiTheme="majorHAnsi"/>
                <w:sz w:val="20"/>
                <w:szCs w:val="20"/>
              </w:rPr>
              <w:t>.</w:t>
            </w:r>
            <w:r w:rsidR="00AE3908">
              <w:rPr>
                <w:rFonts w:asciiTheme="majorHAnsi" w:hAnsiTheme="majorHAnsi"/>
                <w:sz w:val="20"/>
                <w:szCs w:val="20"/>
              </w:rPr>
              <w:t xml:space="preserve"> </w:t>
            </w:r>
          </w:p>
          <w:p w:rsidR="002C2F4D" w:rsidRDefault="002C2F4D" w:rsidP="00AE3908">
            <w:pPr>
              <w:shd w:val="clear" w:color="auto" w:fill="FFFFFF"/>
              <w:spacing w:after="101"/>
              <w:jc w:val="both"/>
              <w:rPr>
                <w:rFonts w:asciiTheme="majorHAnsi" w:hAnsiTheme="majorHAnsi"/>
                <w:sz w:val="20"/>
                <w:szCs w:val="20"/>
              </w:rPr>
            </w:pPr>
          </w:p>
          <w:p w:rsidR="00095C10" w:rsidRDefault="002C2F4D" w:rsidP="00095C10">
            <w:pPr>
              <w:shd w:val="clear" w:color="auto" w:fill="FFFFFF"/>
              <w:spacing w:after="101"/>
              <w:jc w:val="both"/>
              <w:rPr>
                <w:rFonts w:asciiTheme="majorHAnsi" w:hAnsiTheme="majorHAnsi"/>
                <w:b/>
                <w:sz w:val="20"/>
                <w:szCs w:val="20"/>
              </w:rPr>
            </w:pPr>
            <w:r>
              <w:rPr>
                <w:rFonts w:asciiTheme="majorHAnsi" w:hAnsiTheme="majorHAnsi"/>
                <w:b/>
                <w:sz w:val="20"/>
                <w:szCs w:val="20"/>
              </w:rPr>
              <w:t xml:space="preserve">Del </w:t>
            </w:r>
            <w:r w:rsidRPr="002C2F4D">
              <w:rPr>
                <w:rFonts w:asciiTheme="majorHAnsi" w:hAnsiTheme="majorHAnsi"/>
                <w:b/>
                <w:sz w:val="20"/>
                <w:szCs w:val="20"/>
              </w:rPr>
              <w:t>acceso efectivo de la población a la comunicación de banda ancha y a los servicios de telecomunicaciones</w:t>
            </w:r>
            <w:r>
              <w:rPr>
                <w:rFonts w:asciiTheme="majorHAnsi" w:hAnsiTheme="majorHAnsi"/>
                <w:b/>
                <w:sz w:val="20"/>
                <w:szCs w:val="20"/>
              </w:rPr>
              <w:t xml:space="preserve"> y de la </w:t>
            </w:r>
            <w:r w:rsidRPr="002C2F4D">
              <w:rPr>
                <w:rFonts w:asciiTheme="majorHAnsi" w:hAnsiTheme="majorHAnsi"/>
                <w:b/>
                <w:sz w:val="20"/>
                <w:szCs w:val="20"/>
              </w:rPr>
              <w:t xml:space="preserve">regulación que favorezca la entrada de nuevos </w:t>
            </w:r>
            <w:r w:rsidRPr="00E00D21">
              <w:rPr>
                <w:rFonts w:asciiTheme="majorHAnsi" w:hAnsiTheme="majorHAnsi"/>
                <w:b/>
                <w:sz w:val="20"/>
                <w:szCs w:val="20"/>
                <w:u w:val="single"/>
              </w:rPr>
              <w:t>oferentes</w:t>
            </w:r>
            <w:r w:rsidRPr="00F8733B">
              <w:rPr>
                <w:rFonts w:asciiTheme="majorHAnsi" w:hAnsiTheme="majorHAnsi"/>
                <w:b/>
                <w:sz w:val="20"/>
                <w:szCs w:val="20"/>
              </w:rPr>
              <w:t xml:space="preserve"> de</w:t>
            </w:r>
            <w:r w:rsidRPr="002C2F4D">
              <w:rPr>
                <w:rFonts w:asciiTheme="majorHAnsi" w:hAnsiTheme="majorHAnsi"/>
                <w:b/>
                <w:sz w:val="20"/>
                <w:szCs w:val="20"/>
              </w:rPr>
              <w:t xml:space="preserve"> servicios de telecomunicaciones.</w:t>
            </w:r>
          </w:p>
          <w:p w:rsidR="005127C0" w:rsidRPr="002C2F4D" w:rsidRDefault="005127C0" w:rsidP="00095C10">
            <w:pPr>
              <w:shd w:val="clear" w:color="auto" w:fill="FFFFFF"/>
              <w:spacing w:after="101"/>
              <w:jc w:val="both"/>
            </w:pPr>
          </w:p>
          <w:p w:rsidR="00057C96" w:rsidRPr="00755930" w:rsidRDefault="00057C96" w:rsidP="00057C96">
            <w:pPr>
              <w:autoSpaceDE w:val="0"/>
              <w:autoSpaceDN w:val="0"/>
              <w:adjustRightInd w:val="0"/>
              <w:jc w:val="both"/>
              <w:rPr>
                <w:rFonts w:asciiTheme="majorHAnsi" w:hAnsiTheme="majorHAnsi"/>
                <w:sz w:val="20"/>
                <w:szCs w:val="20"/>
              </w:rPr>
            </w:pPr>
            <w:r w:rsidRPr="00755930">
              <w:rPr>
                <w:rFonts w:asciiTheme="majorHAnsi" w:hAnsiTheme="majorHAnsi"/>
                <w:sz w:val="20"/>
                <w:szCs w:val="20"/>
              </w:rPr>
              <w:t xml:space="preserve">El 11 de agosto de 2017, el Organismo Promotor </w:t>
            </w:r>
            <w:r w:rsidR="00DC2FFF" w:rsidRPr="00755930">
              <w:rPr>
                <w:rFonts w:asciiTheme="majorHAnsi" w:hAnsiTheme="majorHAnsi"/>
                <w:sz w:val="20"/>
                <w:szCs w:val="20"/>
              </w:rPr>
              <w:t>d</w:t>
            </w:r>
            <w:r w:rsidRPr="00755930">
              <w:rPr>
                <w:rFonts w:asciiTheme="majorHAnsi" w:hAnsiTheme="majorHAnsi"/>
                <w:sz w:val="20"/>
                <w:szCs w:val="20"/>
              </w:rPr>
              <w:t xml:space="preserve">e Inversiones </w:t>
            </w:r>
            <w:r w:rsidR="00DC2FFF" w:rsidRPr="00755930">
              <w:rPr>
                <w:rFonts w:asciiTheme="majorHAnsi" w:hAnsiTheme="majorHAnsi"/>
                <w:sz w:val="20"/>
                <w:szCs w:val="20"/>
              </w:rPr>
              <w:t>e</w:t>
            </w:r>
            <w:r w:rsidRPr="00755930">
              <w:rPr>
                <w:rFonts w:asciiTheme="majorHAnsi" w:hAnsiTheme="majorHAnsi"/>
                <w:sz w:val="20"/>
                <w:szCs w:val="20"/>
              </w:rPr>
              <w:t xml:space="preserve">n Telecomunicaciones </w:t>
            </w:r>
            <w:r w:rsidR="00DC2FFF" w:rsidRPr="00755930">
              <w:rPr>
                <w:rFonts w:asciiTheme="majorHAnsi" w:hAnsiTheme="majorHAnsi"/>
                <w:sz w:val="20"/>
                <w:szCs w:val="20"/>
              </w:rPr>
              <w:t>(</w:t>
            </w:r>
            <w:r w:rsidRPr="00755930">
              <w:rPr>
                <w:rFonts w:asciiTheme="majorHAnsi" w:hAnsiTheme="majorHAnsi"/>
                <w:sz w:val="20"/>
                <w:szCs w:val="20"/>
              </w:rPr>
              <w:t>PROMTEL</w:t>
            </w:r>
            <w:r w:rsidR="00DC2FFF" w:rsidRPr="00755930">
              <w:rPr>
                <w:rFonts w:asciiTheme="majorHAnsi" w:hAnsiTheme="majorHAnsi"/>
                <w:sz w:val="20"/>
                <w:szCs w:val="20"/>
              </w:rPr>
              <w:t>)</w:t>
            </w:r>
            <w:r w:rsidRPr="00755930">
              <w:rPr>
                <w:rFonts w:asciiTheme="majorHAnsi" w:hAnsiTheme="majorHAnsi"/>
                <w:sz w:val="20"/>
                <w:szCs w:val="20"/>
              </w:rPr>
              <w:t xml:space="preserve"> mediante su representante legal, hizo llegar a la Unidad de Política Regulatoria del Instituto un escrito en el cual manifiesta </w:t>
            </w:r>
            <w:r w:rsidR="00095C10" w:rsidRPr="00755930">
              <w:rPr>
                <w:rFonts w:asciiTheme="majorHAnsi" w:hAnsiTheme="majorHAnsi"/>
                <w:sz w:val="20"/>
                <w:szCs w:val="20"/>
              </w:rPr>
              <w:t>sus comentarios respecto al Anteproyecto</w:t>
            </w:r>
            <w:r w:rsidRPr="00755930">
              <w:rPr>
                <w:rFonts w:asciiTheme="majorHAnsi" w:hAnsiTheme="majorHAnsi"/>
                <w:sz w:val="20"/>
                <w:szCs w:val="20"/>
              </w:rPr>
              <w:t>:</w:t>
            </w:r>
          </w:p>
          <w:p w:rsidR="00057C96" w:rsidRPr="00755930" w:rsidRDefault="00057C96" w:rsidP="00057C96">
            <w:pPr>
              <w:shd w:val="clear" w:color="auto" w:fill="FFFFFF"/>
              <w:spacing w:after="101"/>
              <w:ind w:left="596"/>
              <w:jc w:val="both"/>
              <w:rPr>
                <w:rFonts w:asciiTheme="majorHAnsi" w:hAnsiTheme="majorHAnsi"/>
                <w:i/>
                <w:sz w:val="20"/>
                <w:szCs w:val="20"/>
              </w:rPr>
            </w:pPr>
          </w:p>
          <w:p w:rsidR="00BE4315" w:rsidRPr="00755930" w:rsidRDefault="00057C96" w:rsidP="00BE4315">
            <w:pPr>
              <w:shd w:val="clear" w:color="auto" w:fill="FFFFFF"/>
              <w:spacing w:after="101"/>
              <w:ind w:left="596"/>
              <w:jc w:val="both"/>
              <w:rPr>
                <w:rFonts w:asciiTheme="majorHAnsi" w:hAnsiTheme="majorHAnsi"/>
                <w:i/>
                <w:sz w:val="20"/>
                <w:szCs w:val="20"/>
              </w:rPr>
            </w:pPr>
            <w:r w:rsidRPr="00755930">
              <w:rPr>
                <w:rFonts w:asciiTheme="majorHAnsi" w:hAnsiTheme="majorHAnsi"/>
                <w:i/>
                <w:sz w:val="20"/>
                <w:szCs w:val="20"/>
              </w:rPr>
              <w:t>“</w:t>
            </w:r>
            <w:r w:rsidR="00BE4315" w:rsidRPr="00755930">
              <w:rPr>
                <w:rFonts w:asciiTheme="majorHAnsi" w:hAnsiTheme="majorHAnsi"/>
                <w:i/>
                <w:sz w:val="20"/>
                <w:szCs w:val="20"/>
              </w:rPr>
              <w:t xml:space="preserve">1. </w:t>
            </w:r>
            <w:r w:rsidR="00BE4315" w:rsidRPr="00755930">
              <w:rPr>
                <w:rFonts w:asciiTheme="majorHAnsi" w:hAnsiTheme="majorHAnsi"/>
                <w:b/>
                <w:i/>
                <w:sz w:val="20"/>
                <w:szCs w:val="20"/>
              </w:rPr>
              <w:t>Los términos del Anteproyecto favorecen la competencia efectiva en el sector de las telecomunicaciones e impulsan el acceso efectivo de la población a la comunicación de banda ancha y los servicios de telecomunicaciones</w:t>
            </w:r>
          </w:p>
          <w:p w:rsidR="00057C96" w:rsidRPr="00755930" w:rsidRDefault="00BE4315" w:rsidP="00BE4315">
            <w:pPr>
              <w:shd w:val="clear" w:color="auto" w:fill="FFFFFF"/>
              <w:spacing w:after="101"/>
              <w:ind w:left="596"/>
              <w:jc w:val="both"/>
              <w:rPr>
                <w:rFonts w:asciiTheme="majorHAnsi" w:hAnsiTheme="majorHAnsi"/>
                <w:i/>
                <w:sz w:val="20"/>
                <w:szCs w:val="20"/>
              </w:rPr>
            </w:pPr>
            <w:r w:rsidRPr="00755930">
              <w:rPr>
                <w:rFonts w:asciiTheme="majorHAnsi" w:hAnsiTheme="majorHAnsi"/>
                <w:i/>
                <w:sz w:val="20"/>
                <w:szCs w:val="20"/>
              </w:rPr>
              <w:t>Uno de los retos más ambiciosos de la Reforma en Telecomunicaciones es la instalación de la Red Compartida de Telecomunicaciones, cuyos esfuerzos comenzaron desde la firma del Convenio Marco de Colaboración Interinstitucional y el Convenio Específico de Colaboración celebrados por el IFT y la SCT, mismos que tuvieron como fin el atender de forma coordinada, entre otros, el mandato establecido en el artículo Décimo Sexto Transitorio del Decreto de Reforma en materia de Telecomunicaciones.</w:t>
            </w:r>
          </w:p>
          <w:p w:rsidR="00BE4315" w:rsidRPr="00755930" w:rsidRDefault="00BE4315" w:rsidP="00751C0E">
            <w:pPr>
              <w:shd w:val="clear" w:color="auto" w:fill="FFFFFF"/>
              <w:spacing w:after="101"/>
              <w:ind w:left="1021" w:right="645"/>
              <w:jc w:val="both"/>
              <w:rPr>
                <w:rFonts w:asciiTheme="majorHAnsi" w:hAnsiTheme="majorHAnsi"/>
                <w:i/>
                <w:sz w:val="20"/>
                <w:szCs w:val="20"/>
              </w:rPr>
            </w:pPr>
            <w:r w:rsidRPr="00755930">
              <w:rPr>
                <w:rFonts w:asciiTheme="majorHAnsi" w:hAnsiTheme="majorHAnsi"/>
                <w:i/>
                <w:sz w:val="20"/>
                <w:szCs w:val="20"/>
              </w:rPr>
              <w:t>“</w:t>
            </w:r>
            <w:r w:rsidRPr="00755930">
              <w:rPr>
                <w:rFonts w:asciiTheme="majorHAnsi" w:hAnsiTheme="majorHAnsi"/>
                <w:b/>
                <w:i/>
                <w:sz w:val="20"/>
                <w:szCs w:val="20"/>
              </w:rPr>
              <w:t>Décimo Sexto: El Estado, a través del Ejecutivo Federal</w:t>
            </w:r>
            <w:r w:rsidRPr="00755930">
              <w:rPr>
                <w:rFonts w:asciiTheme="majorHAnsi" w:hAnsiTheme="majorHAnsi"/>
                <w:i/>
                <w:sz w:val="20"/>
                <w:szCs w:val="20"/>
              </w:rPr>
              <w:t xml:space="preserve">, </w:t>
            </w:r>
            <w:r w:rsidRPr="00755930">
              <w:rPr>
                <w:rFonts w:asciiTheme="majorHAnsi" w:hAnsiTheme="majorHAnsi"/>
                <w:b/>
                <w:i/>
                <w:sz w:val="20"/>
                <w:szCs w:val="20"/>
              </w:rPr>
              <w:t xml:space="preserve">en coordinación con el </w:t>
            </w:r>
            <w:r w:rsidRPr="00755930">
              <w:rPr>
                <w:rFonts w:asciiTheme="majorHAnsi" w:hAnsiTheme="majorHAnsi"/>
                <w:b/>
                <w:i/>
                <w:sz w:val="20"/>
                <w:szCs w:val="20"/>
                <w:u w:val="single"/>
              </w:rPr>
              <w:t>Instituto Federal de Telecomunicaciones</w:t>
            </w:r>
            <w:r w:rsidRPr="00755930">
              <w:rPr>
                <w:rFonts w:asciiTheme="majorHAnsi" w:hAnsiTheme="majorHAnsi"/>
                <w:i/>
                <w:sz w:val="20"/>
                <w:szCs w:val="20"/>
                <w:u w:val="single"/>
              </w:rPr>
              <w:t xml:space="preserve">, </w:t>
            </w:r>
            <w:r w:rsidRPr="00755930">
              <w:rPr>
                <w:rFonts w:asciiTheme="majorHAnsi" w:hAnsiTheme="majorHAnsi"/>
                <w:b/>
                <w:i/>
                <w:sz w:val="20"/>
                <w:szCs w:val="20"/>
                <w:u w:val="single"/>
              </w:rPr>
              <w:t>garantizará</w:t>
            </w:r>
            <w:r w:rsidRPr="00755930">
              <w:rPr>
                <w:rFonts w:asciiTheme="majorHAnsi" w:hAnsiTheme="majorHAnsi"/>
                <w:i/>
                <w:sz w:val="20"/>
                <w:szCs w:val="20"/>
              </w:rPr>
              <w:t xml:space="preserve"> la instalación de una </w:t>
            </w:r>
            <w:r w:rsidRPr="00755930">
              <w:rPr>
                <w:rFonts w:asciiTheme="majorHAnsi" w:hAnsiTheme="majorHAnsi"/>
                <w:b/>
                <w:i/>
                <w:sz w:val="20"/>
                <w:szCs w:val="20"/>
              </w:rPr>
              <w:t>red pública compartida</w:t>
            </w:r>
            <w:r w:rsidRPr="00755930">
              <w:rPr>
                <w:rFonts w:asciiTheme="majorHAnsi" w:hAnsiTheme="majorHAnsi"/>
                <w:i/>
                <w:sz w:val="20"/>
                <w:szCs w:val="20"/>
              </w:rPr>
              <w:t xml:space="preserve"> de telecomunicaciones </w:t>
            </w:r>
            <w:r w:rsidRPr="00755930">
              <w:rPr>
                <w:rFonts w:asciiTheme="majorHAnsi" w:hAnsiTheme="majorHAnsi"/>
                <w:b/>
                <w:i/>
                <w:sz w:val="20"/>
                <w:szCs w:val="20"/>
              </w:rPr>
              <w:t xml:space="preserve">que impulse el </w:t>
            </w:r>
            <w:r w:rsidRPr="00755930">
              <w:rPr>
                <w:rFonts w:asciiTheme="majorHAnsi" w:hAnsiTheme="majorHAnsi"/>
                <w:b/>
                <w:i/>
                <w:sz w:val="20"/>
                <w:szCs w:val="20"/>
                <w:u w:val="single"/>
              </w:rPr>
              <w:t>acceso efectivo</w:t>
            </w:r>
            <w:r w:rsidRPr="00755930">
              <w:rPr>
                <w:rFonts w:asciiTheme="majorHAnsi" w:hAnsiTheme="majorHAnsi"/>
                <w:i/>
                <w:sz w:val="20"/>
                <w:szCs w:val="20"/>
              </w:rPr>
              <w:t xml:space="preserve"> </w:t>
            </w:r>
            <w:r w:rsidRPr="00755930">
              <w:rPr>
                <w:rFonts w:asciiTheme="majorHAnsi" w:hAnsiTheme="majorHAnsi"/>
                <w:b/>
                <w:i/>
                <w:sz w:val="20"/>
                <w:szCs w:val="20"/>
              </w:rPr>
              <w:t>de la población</w:t>
            </w:r>
            <w:r w:rsidRPr="00755930">
              <w:rPr>
                <w:rFonts w:asciiTheme="majorHAnsi" w:hAnsiTheme="majorHAnsi"/>
                <w:i/>
                <w:sz w:val="20"/>
                <w:szCs w:val="20"/>
              </w:rPr>
              <w:t xml:space="preserve"> a la comunicación de banda ancha y a los </w:t>
            </w:r>
            <w:r w:rsidRPr="00755930">
              <w:rPr>
                <w:rFonts w:asciiTheme="majorHAnsi" w:hAnsiTheme="majorHAnsi"/>
                <w:b/>
                <w:i/>
                <w:sz w:val="20"/>
                <w:szCs w:val="20"/>
              </w:rPr>
              <w:t>servicios de telecomunicaciones</w:t>
            </w:r>
            <w:r w:rsidRPr="00755930">
              <w:rPr>
                <w:rFonts w:asciiTheme="majorHAnsi" w:hAnsiTheme="majorHAnsi"/>
                <w:i/>
                <w:sz w:val="20"/>
                <w:szCs w:val="20"/>
              </w:rPr>
              <w:t>, de conformidad con los principios contenidos en el artículo 6o., Apartado B, fracción II del presente Decreto…”</w:t>
            </w:r>
          </w:p>
          <w:p w:rsidR="00BE4315" w:rsidRPr="00755930" w:rsidRDefault="00BE4315" w:rsidP="00BE4315">
            <w:pPr>
              <w:pStyle w:val="Default"/>
              <w:ind w:firstLine="738"/>
              <w:rPr>
                <w:rFonts w:asciiTheme="majorHAnsi" w:hAnsiTheme="majorHAnsi" w:cstheme="minorBidi"/>
                <w:b/>
                <w:i/>
                <w:color w:val="auto"/>
                <w:sz w:val="20"/>
                <w:szCs w:val="20"/>
                <w:lang w:val="es-ES_tradnl"/>
              </w:rPr>
            </w:pPr>
            <w:r w:rsidRPr="00755930">
              <w:rPr>
                <w:rFonts w:asciiTheme="majorHAnsi" w:hAnsiTheme="majorHAnsi" w:cstheme="minorBidi"/>
                <w:b/>
                <w:i/>
                <w:color w:val="auto"/>
                <w:sz w:val="20"/>
                <w:szCs w:val="20"/>
                <w:lang w:val="es-ES_tradnl"/>
              </w:rPr>
              <w:t>Artículo 6o.</w:t>
            </w:r>
          </w:p>
          <w:p w:rsidR="00BE4315" w:rsidRPr="00755930" w:rsidRDefault="00BE4315" w:rsidP="00BE4315">
            <w:pPr>
              <w:pStyle w:val="Default"/>
              <w:ind w:firstLine="738"/>
              <w:rPr>
                <w:sz w:val="20"/>
                <w:szCs w:val="20"/>
              </w:rPr>
            </w:pPr>
            <w:r w:rsidRPr="00755930">
              <w:rPr>
                <w:i/>
                <w:iCs/>
                <w:sz w:val="20"/>
                <w:szCs w:val="20"/>
              </w:rPr>
              <w:t>….</w:t>
            </w:r>
          </w:p>
          <w:p w:rsidR="00BE4315" w:rsidRPr="00755930" w:rsidRDefault="00BE4315" w:rsidP="00BE4315">
            <w:pPr>
              <w:pStyle w:val="Default"/>
              <w:ind w:firstLine="738"/>
              <w:rPr>
                <w:sz w:val="20"/>
                <w:szCs w:val="20"/>
              </w:rPr>
            </w:pPr>
            <w:r w:rsidRPr="00755930">
              <w:rPr>
                <w:i/>
                <w:iCs/>
                <w:sz w:val="20"/>
                <w:szCs w:val="20"/>
              </w:rPr>
              <w:t>B.</w:t>
            </w:r>
          </w:p>
          <w:p w:rsidR="00BE4315" w:rsidRPr="00755930" w:rsidRDefault="00BE4315" w:rsidP="00BE4315">
            <w:pPr>
              <w:pStyle w:val="Default"/>
              <w:ind w:firstLine="738"/>
              <w:rPr>
                <w:i/>
                <w:iCs/>
                <w:sz w:val="20"/>
                <w:szCs w:val="20"/>
              </w:rPr>
            </w:pPr>
            <w:r w:rsidRPr="00755930">
              <w:rPr>
                <w:i/>
                <w:iCs/>
                <w:sz w:val="20"/>
                <w:szCs w:val="20"/>
              </w:rPr>
              <w:t>…</w:t>
            </w:r>
          </w:p>
          <w:p w:rsidR="00BE4315" w:rsidRPr="00755930" w:rsidRDefault="00BE4315" w:rsidP="00BE4315">
            <w:pPr>
              <w:pStyle w:val="Default"/>
              <w:ind w:left="596"/>
              <w:jc w:val="both"/>
              <w:rPr>
                <w:i/>
                <w:sz w:val="20"/>
                <w:szCs w:val="20"/>
              </w:rPr>
            </w:pPr>
            <w:r w:rsidRPr="00755930">
              <w:rPr>
                <w:i/>
                <w:iCs/>
                <w:sz w:val="20"/>
                <w:szCs w:val="20"/>
              </w:rPr>
              <w:t xml:space="preserve">II. Las </w:t>
            </w:r>
            <w:r w:rsidRPr="00755930">
              <w:rPr>
                <w:b/>
                <w:bCs/>
                <w:i/>
                <w:iCs/>
                <w:sz w:val="20"/>
                <w:szCs w:val="20"/>
              </w:rPr>
              <w:t>telecomunicaciones son servicios públicos de interés general</w:t>
            </w:r>
            <w:r w:rsidRPr="00755930">
              <w:rPr>
                <w:i/>
                <w:iCs/>
                <w:sz w:val="20"/>
                <w:szCs w:val="20"/>
              </w:rPr>
              <w:t>, por lo que el Estado garantizará que sean prestados en condiciones de competencia, calidad, pluralidad, cobertura universal, interconexión, convergencia, continuidad, acceso libre y sin injerencias arbitrarias.”</w:t>
            </w:r>
          </w:p>
          <w:p w:rsidR="00BE4315" w:rsidRPr="00755930" w:rsidRDefault="00BE4315" w:rsidP="00BE4315">
            <w:pPr>
              <w:pStyle w:val="Default"/>
              <w:ind w:left="596"/>
              <w:jc w:val="both"/>
              <w:rPr>
                <w:i/>
                <w:sz w:val="20"/>
                <w:szCs w:val="20"/>
              </w:rPr>
            </w:pPr>
          </w:p>
          <w:p w:rsidR="00BE4315" w:rsidRPr="00755930" w:rsidRDefault="00BE4315" w:rsidP="00BE4315">
            <w:pPr>
              <w:pStyle w:val="Default"/>
              <w:ind w:left="596"/>
              <w:jc w:val="both"/>
              <w:rPr>
                <w:i/>
                <w:sz w:val="20"/>
                <w:szCs w:val="20"/>
              </w:rPr>
            </w:pPr>
            <w:r w:rsidRPr="00755930">
              <w:rPr>
                <w:i/>
                <w:sz w:val="20"/>
                <w:szCs w:val="20"/>
              </w:rPr>
              <w:t xml:space="preserve">Como resultado de estos esfuerzos, el Proyecto de Red Compartida mandatado por el Decreto de Reforma Constitucional fue adjudicado al participante declarado como solvente: </w:t>
            </w:r>
            <w:proofErr w:type="spellStart"/>
            <w:r w:rsidRPr="00755930">
              <w:rPr>
                <w:i/>
                <w:sz w:val="20"/>
                <w:szCs w:val="20"/>
              </w:rPr>
              <w:t>Altán</w:t>
            </w:r>
            <w:proofErr w:type="spellEnd"/>
            <w:r w:rsidRPr="00755930">
              <w:rPr>
                <w:i/>
                <w:sz w:val="20"/>
                <w:szCs w:val="20"/>
              </w:rPr>
              <w:t xml:space="preserve"> Redes S.A.P.I de C.V., quien se encuentra obligado a desplegar una red que tenga la capacidad de proveer servicios mayoristas de telecomunicaciones al 92.2% de la población mexicana.</w:t>
            </w:r>
          </w:p>
          <w:p w:rsidR="00BE4315" w:rsidRPr="00755930" w:rsidRDefault="00BE4315" w:rsidP="00BE4315">
            <w:pPr>
              <w:pStyle w:val="Default"/>
              <w:ind w:left="596"/>
              <w:jc w:val="both"/>
              <w:rPr>
                <w:i/>
                <w:sz w:val="20"/>
                <w:szCs w:val="20"/>
              </w:rPr>
            </w:pPr>
          </w:p>
          <w:p w:rsidR="00BE4315" w:rsidRPr="00755930" w:rsidRDefault="00BE4315" w:rsidP="00BE4315">
            <w:pPr>
              <w:pStyle w:val="Default"/>
              <w:ind w:left="596"/>
              <w:jc w:val="both"/>
              <w:rPr>
                <w:i/>
                <w:sz w:val="20"/>
                <w:szCs w:val="20"/>
              </w:rPr>
            </w:pPr>
            <w:r w:rsidRPr="00755930">
              <w:rPr>
                <w:i/>
                <w:sz w:val="20"/>
                <w:szCs w:val="20"/>
              </w:rPr>
              <w:t xml:space="preserve">No obstante lo anterior, el despliegue de la infraestructura de la Red Compartida a cargo de </w:t>
            </w:r>
            <w:proofErr w:type="spellStart"/>
            <w:r w:rsidRPr="00755930">
              <w:rPr>
                <w:i/>
                <w:sz w:val="20"/>
                <w:szCs w:val="20"/>
              </w:rPr>
              <w:t>Altán</w:t>
            </w:r>
            <w:proofErr w:type="spellEnd"/>
            <w:r w:rsidRPr="00755930">
              <w:rPr>
                <w:i/>
                <w:sz w:val="20"/>
                <w:szCs w:val="20"/>
              </w:rPr>
              <w:t xml:space="preserve"> Redes, es solo una cara de la labor que implica el cumplimiento a lo dispuesto por el artículo antes citado, pues, impulsar el acceso efectivo de la población a los servicios de telecomunicaciones no sólo depende del despliegue de infraestructura sino también de </w:t>
            </w:r>
            <w:r w:rsidRPr="00E327A5">
              <w:rPr>
                <w:i/>
                <w:sz w:val="20"/>
                <w:szCs w:val="20"/>
              </w:rPr>
              <w:t>una regulación que favorezca la entrada de nuevos oferentes de servicios de telecomunicaciones.</w:t>
            </w:r>
          </w:p>
          <w:p w:rsidR="00DC2FFF" w:rsidRPr="00755930" w:rsidRDefault="00DC2FFF" w:rsidP="00BE4315">
            <w:pPr>
              <w:pStyle w:val="Default"/>
              <w:ind w:left="596"/>
              <w:jc w:val="both"/>
              <w:rPr>
                <w:i/>
                <w:sz w:val="20"/>
                <w:szCs w:val="20"/>
              </w:rPr>
            </w:pPr>
          </w:p>
          <w:p w:rsidR="00BE4315" w:rsidRPr="00755930" w:rsidRDefault="00BE4315" w:rsidP="00DC2FFF">
            <w:pPr>
              <w:pStyle w:val="Default"/>
              <w:ind w:left="596"/>
              <w:jc w:val="both"/>
              <w:rPr>
                <w:i/>
                <w:sz w:val="20"/>
                <w:szCs w:val="20"/>
              </w:rPr>
            </w:pPr>
            <w:r w:rsidRPr="00755930">
              <w:rPr>
                <w:i/>
                <w:sz w:val="20"/>
                <w:szCs w:val="20"/>
              </w:rPr>
              <w:t>Los mercados del sector de telecomunicaciones mantienen diversas barreras a la entrada que, sin una regulación adecuada, serían casi imposibles de combatir. Tal es el caso que los Equipos Terminales Móviles (ETM), que en el caso del mercado mexicano presenta una alta dependencia de la demanda de los concesionarios de telecomunicaciones que presentan servicios móviles, quienes son los principales distribuidores de ETM en el país. De tal forma, por la manera en la que está distribuido la mayor parte del espectro radioeléctrico en el país -con el que hoy se prestan servicios móviles de telecomunicaciones-, se tiene la presencia de más de un concesionario en las bandas correspondientes, por lo que, en tales casos</w:t>
            </w:r>
            <w:r w:rsidR="00DC2FFF" w:rsidRPr="00755930">
              <w:rPr>
                <w:i/>
                <w:sz w:val="20"/>
                <w:szCs w:val="20"/>
              </w:rPr>
              <w:t xml:space="preserve"> </w:t>
            </w:r>
            <w:r w:rsidRPr="00755930">
              <w:rPr>
                <w:i/>
                <w:sz w:val="20"/>
                <w:szCs w:val="20"/>
              </w:rPr>
              <w:t>los mecanismos de mercado permiten que exista diversidad en los ETM a los que los usuarios pueden tener acceso.</w:t>
            </w:r>
          </w:p>
          <w:p w:rsidR="00DC2FFF" w:rsidRPr="00755930" w:rsidRDefault="00DC2FFF" w:rsidP="00DC2FFF">
            <w:pPr>
              <w:pStyle w:val="Default"/>
              <w:ind w:left="596"/>
              <w:jc w:val="both"/>
              <w:rPr>
                <w:i/>
                <w:sz w:val="20"/>
                <w:szCs w:val="20"/>
              </w:rPr>
            </w:pPr>
          </w:p>
          <w:p w:rsidR="00DC2FFF" w:rsidRPr="00755930" w:rsidRDefault="00BE4315" w:rsidP="00DC2FFF">
            <w:pPr>
              <w:pStyle w:val="Default"/>
              <w:ind w:left="596"/>
              <w:jc w:val="both"/>
              <w:rPr>
                <w:i/>
                <w:sz w:val="20"/>
                <w:szCs w:val="20"/>
              </w:rPr>
            </w:pPr>
            <w:r w:rsidRPr="00755930">
              <w:rPr>
                <w:i/>
                <w:sz w:val="20"/>
                <w:szCs w:val="20"/>
              </w:rPr>
              <w:t xml:space="preserve">Este elemento es de importancia a </w:t>
            </w:r>
            <w:r w:rsidRPr="00E327A5">
              <w:rPr>
                <w:i/>
                <w:sz w:val="20"/>
                <w:szCs w:val="20"/>
              </w:rPr>
              <w:t>efecto de que los usuarios puedan ejercer su derecho a la portabilidad y a elegir libremente a</w:t>
            </w:r>
            <w:r w:rsidR="00DC2FFF" w:rsidRPr="00E327A5">
              <w:rPr>
                <w:i/>
                <w:sz w:val="20"/>
                <w:szCs w:val="20"/>
              </w:rPr>
              <w:t xml:space="preserve"> </w:t>
            </w:r>
            <w:r w:rsidRPr="00E327A5">
              <w:rPr>
                <w:i/>
                <w:sz w:val="20"/>
                <w:szCs w:val="20"/>
              </w:rPr>
              <w:t>su proveedor de servicios,</w:t>
            </w:r>
            <w:r w:rsidRPr="00755930">
              <w:rPr>
                <w:i/>
                <w:sz w:val="20"/>
                <w:szCs w:val="20"/>
              </w:rPr>
              <w:t xml:space="preserve"> derechos establecidos por la LFTR a todos los usuarios de servicios de telecomunicaciones.</w:t>
            </w:r>
            <w:r w:rsidR="00DC2FFF" w:rsidRPr="00755930">
              <w:rPr>
                <w:i/>
                <w:sz w:val="20"/>
                <w:szCs w:val="20"/>
              </w:rPr>
              <w:t xml:space="preserve">” </w:t>
            </w:r>
          </w:p>
          <w:p w:rsidR="00DC2FFF" w:rsidRPr="00755930" w:rsidRDefault="00DC2FFF" w:rsidP="00DC2FFF">
            <w:pPr>
              <w:pStyle w:val="Default"/>
              <w:ind w:left="596"/>
              <w:jc w:val="both"/>
              <w:rPr>
                <w:i/>
                <w:sz w:val="20"/>
                <w:szCs w:val="20"/>
              </w:rPr>
            </w:pPr>
          </w:p>
          <w:p w:rsidR="00DC2FFF" w:rsidRPr="00755930" w:rsidRDefault="00DC2FFF" w:rsidP="00DC2FFF">
            <w:pPr>
              <w:pStyle w:val="Default"/>
              <w:ind w:left="596"/>
              <w:jc w:val="both"/>
              <w:rPr>
                <w:sz w:val="20"/>
                <w:szCs w:val="20"/>
              </w:rPr>
            </w:pPr>
            <w:r w:rsidRPr="00755930">
              <w:rPr>
                <w:b/>
                <w:bCs/>
                <w:i/>
                <w:iCs/>
                <w:sz w:val="20"/>
                <w:szCs w:val="20"/>
              </w:rPr>
              <w:t xml:space="preserve">“Artículo 191. </w:t>
            </w:r>
            <w:r w:rsidRPr="00755930">
              <w:rPr>
                <w:i/>
                <w:iCs/>
                <w:sz w:val="20"/>
                <w:szCs w:val="20"/>
              </w:rPr>
              <w:t xml:space="preserve">Los usuarios gozarán de los derechos previstos en esta Ley y en la Ley Federal de Protección al Consumidor, así como en las demás disposiciones aplicables. Son derechos de los usuarios: </w:t>
            </w:r>
          </w:p>
          <w:p w:rsidR="00DC2FFF" w:rsidRPr="00755930" w:rsidRDefault="00DC2FFF" w:rsidP="00DC2FFF">
            <w:pPr>
              <w:pStyle w:val="Default"/>
              <w:ind w:left="596"/>
              <w:jc w:val="both"/>
              <w:rPr>
                <w:sz w:val="20"/>
                <w:szCs w:val="20"/>
              </w:rPr>
            </w:pPr>
            <w:r w:rsidRPr="00755930">
              <w:rPr>
                <w:i/>
                <w:iCs/>
                <w:sz w:val="20"/>
                <w:szCs w:val="20"/>
              </w:rPr>
              <w:t>(…)</w:t>
            </w:r>
          </w:p>
          <w:p w:rsidR="00DC2FFF" w:rsidRPr="00755930" w:rsidRDefault="00DC2FFF" w:rsidP="00DC2FFF">
            <w:pPr>
              <w:pStyle w:val="Default"/>
              <w:ind w:left="1305" w:hanging="567"/>
              <w:jc w:val="both"/>
              <w:rPr>
                <w:sz w:val="20"/>
                <w:szCs w:val="20"/>
              </w:rPr>
            </w:pPr>
            <w:r w:rsidRPr="00755930">
              <w:rPr>
                <w:b/>
                <w:bCs/>
                <w:i/>
                <w:iCs/>
                <w:sz w:val="20"/>
                <w:szCs w:val="20"/>
              </w:rPr>
              <w:t xml:space="preserve">III.      </w:t>
            </w:r>
            <w:r w:rsidRPr="00755930">
              <w:rPr>
                <w:bCs/>
                <w:i/>
                <w:iCs/>
                <w:sz w:val="20"/>
                <w:szCs w:val="20"/>
              </w:rPr>
              <w:t>A la portabilidad del número telefónico dentro del plazo que determine el Instituto y la cual será gratuita;</w:t>
            </w:r>
          </w:p>
          <w:p w:rsidR="00DC2FFF" w:rsidRPr="00755930" w:rsidRDefault="00DC2FFF" w:rsidP="00DC2FFF">
            <w:pPr>
              <w:pStyle w:val="Default"/>
              <w:ind w:left="880" w:hanging="142"/>
              <w:jc w:val="both"/>
              <w:rPr>
                <w:i/>
                <w:sz w:val="20"/>
                <w:szCs w:val="20"/>
              </w:rPr>
            </w:pPr>
            <w:r w:rsidRPr="00755930">
              <w:rPr>
                <w:b/>
                <w:bCs/>
                <w:i/>
                <w:iCs/>
                <w:sz w:val="20"/>
                <w:szCs w:val="20"/>
              </w:rPr>
              <w:t xml:space="preserve">IV.     </w:t>
            </w:r>
            <w:r w:rsidRPr="00755930">
              <w:rPr>
                <w:i/>
                <w:iCs/>
                <w:sz w:val="20"/>
                <w:szCs w:val="20"/>
              </w:rPr>
              <w:t>A elegir libremente su proveedor de servicios; (…)”</w:t>
            </w:r>
          </w:p>
          <w:p w:rsidR="00F86EBE" w:rsidRDefault="00F86EBE" w:rsidP="00C11FFC">
            <w:pPr>
              <w:shd w:val="clear" w:color="auto" w:fill="FFFFFF"/>
              <w:spacing w:after="101"/>
              <w:jc w:val="both"/>
              <w:rPr>
                <w:rFonts w:asciiTheme="majorHAnsi" w:hAnsiTheme="majorHAnsi"/>
                <w:sz w:val="20"/>
                <w:szCs w:val="20"/>
              </w:rPr>
            </w:pPr>
          </w:p>
          <w:p w:rsidR="00D44213" w:rsidRDefault="00057C96" w:rsidP="00C11FFC">
            <w:pPr>
              <w:shd w:val="clear" w:color="auto" w:fill="FFFFFF"/>
              <w:spacing w:after="101"/>
              <w:jc w:val="both"/>
              <w:rPr>
                <w:rFonts w:asciiTheme="majorHAnsi" w:hAnsiTheme="majorHAnsi"/>
                <w:sz w:val="20"/>
                <w:szCs w:val="20"/>
              </w:rPr>
            </w:pPr>
            <w:r w:rsidRPr="005D5F2E">
              <w:rPr>
                <w:rFonts w:asciiTheme="majorHAnsi" w:hAnsiTheme="majorHAnsi"/>
                <w:sz w:val="20"/>
                <w:szCs w:val="20"/>
              </w:rPr>
              <w:t>El escrito de mérito resalta que en caso</w:t>
            </w:r>
            <w:r w:rsidR="00C11FFC">
              <w:rPr>
                <w:rFonts w:asciiTheme="majorHAnsi" w:hAnsiTheme="majorHAnsi"/>
                <w:sz w:val="20"/>
                <w:szCs w:val="20"/>
              </w:rPr>
              <w:t xml:space="preserve"> </w:t>
            </w:r>
            <w:r w:rsidRPr="005D5F2E">
              <w:rPr>
                <w:rFonts w:asciiTheme="majorHAnsi" w:hAnsiTheme="majorHAnsi"/>
                <w:sz w:val="20"/>
                <w:szCs w:val="20"/>
              </w:rPr>
              <w:t xml:space="preserve">de </w:t>
            </w:r>
            <w:r w:rsidR="00C11FFC">
              <w:rPr>
                <w:rFonts w:asciiTheme="majorHAnsi" w:hAnsiTheme="majorHAnsi"/>
                <w:sz w:val="20"/>
                <w:szCs w:val="20"/>
              </w:rPr>
              <w:t>no existir una</w:t>
            </w:r>
            <w:r>
              <w:rPr>
                <w:rFonts w:asciiTheme="majorHAnsi" w:hAnsiTheme="majorHAnsi"/>
                <w:sz w:val="20"/>
                <w:szCs w:val="20"/>
              </w:rPr>
              <w:t xml:space="preserve"> </w:t>
            </w:r>
            <w:r w:rsidR="00C11FFC">
              <w:rPr>
                <w:rFonts w:asciiTheme="majorHAnsi" w:hAnsiTheme="majorHAnsi"/>
                <w:sz w:val="20"/>
                <w:szCs w:val="20"/>
              </w:rPr>
              <w:t>regulación</w:t>
            </w:r>
            <w:r w:rsidR="00751C0E">
              <w:rPr>
                <w:rFonts w:asciiTheme="majorHAnsi" w:hAnsiTheme="majorHAnsi"/>
                <w:sz w:val="20"/>
                <w:szCs w:val="20"/>
              </w:rPr>
              <w:t xml:space="preserve"> al respecto</w:t>
            </w:r>
            <w:r w:rsidR="00C11FFC">
              <w:rPr>
                <w:rFonts w:asciiTheme="majorHAnsi" w:hAnsiTheme="majorHAnsi"/>
                <w:sz w:val="20"/>
                <w:szCs w:val="20"/>
              </w:rPr>
              <w:t>, los usuarios que deseen ejercer sus derecho de portabilidad o de elegir sin ninguna barrera adicional proveedores de servicios que  incorporen la capacidad que ofertará la Red Compartida en la banda de 700 MHz, tendrán limitaciones para el pleno ejercicio de los mismo</w:t>
            </w:r>
            <w:r w:rsidR="00755930">
              <w:rPr>
                <w:rFonts w:asciiTheme="majorHAnsi" w:hAnsiTheme="majorHAnsi"/>
                <w:sz w:val="20"/>
                <w:szCs w:val="20"/>
              </w:rPr>
              <w:t>s</w:t>
            </w:r>
            <w:r w:rsidR="00452A3A">
              <w:rPr>
                <w:rFonts w:asciiTheme="majorHAnsi" w:hAnsiTheme="majorHAnsi"/>
                <w:sz w:val="20"/>
                <w:szCs w:val="20"/>
              </w:rPr>
              <w:t>.</w:t>
            </w:r>
            <w:r w:rsidR="00755930">
              <w:rPr>
                <w:rFonts w:asciiTheme="majorHAnsi" w:hAnsiTheme="majorHAnsi"/>
                <w:sz w:val="20"/>
                <w:szCs w:val="20"/>
              </w:rPr>
              <w:t xml:space="preserve"> </w:t>
            </w:r>
            <w:r w:rsidR="00452A3A">
              <w:rPr>
                <w:rFonts w:asciiTheme="majorHAnsi" w:hAnsiTheme="majorHAnsi"/>
                <w:sz w:val="20"/>
                <w:szCs w:val="20"/>
              </w:rPr>
              <w:t>Se considera que lo establecido en el Anteproyecto de mérito</w:t>
            </w:r>
            <w:r w:rsidR="00C11FFC" w:rsidRPr="00C11FFC">
              <w:rPr>
                <w:rFonts w:asciiTheme="majorHAnsi" w:hAnsiTheme="majorHAnsi"/>
                <w:sz w:val="20"/>
                <w:szCs w:val="20"/>
              </w:rPr>
              <w:t xml:space="preserve"> </w:t>
            </w:r>
            <w:r w:rsidR="0012708C">
              <w:rPr>
                <w:rFonts w:asciiTheme="majorHAnsi" w:hAnsiTheme="majorHAnsi"/>
                <w:sz w:val="20"/>
                <w:szCs w:val="20"/>
              </w:rPr>
              <w:t>promueve dicho derecho de la portabilidad.</w:t>
            </w:r>
          </w:p>
          <w:p w:rsidR="00D44213" w:rsidRDefault="00D44213" w:rsidP="00C11FFC">
            <w:pPr>
              <w:shd w:val="clear" w:color="auto" w:fill="FFFFFF"/>
              <w:spacing w:after="101"/>
              <w:jc w:val="both"/>
              <w:rPr>
                <w:rFonts w:asciiTheme="majorHAnsi" w:hAnsiTheme="majorHAnsi"/>
                <w:sz w:val="20"/>
                <w:szCs w:val="20"/>
              </w:rPr>
            </w:pPr>
          </w:p>
          <w:p w:rsidR="00D44213" w:rsidRPr="00DE7817" w:rsidRDefault="00D44213" w:rsidP="00C11FFC">
            <w:pPr>
              <w:shd w:val="clear" w:color="auto" w:fill="FFFFFF"/>
              <w:spacing w:after="101"/>
              <w:jc w:val="both"/>
              <w:rPr>
                <w:rFonts w:asciiTheme="majorHAnsi" w:hAnsiTheme="majorHAnsi"/>
                <w:b/>
                <w:sz w:val="20"/>
                <w:szCs w:val="20"/>
              </w:rPr>
            </w:pPr>
            <w:r w:rsidRPr="00DE7817">
              <w:rPr>
                <w:rFonts w:asciiTheme="majorHAnsi" w:hAnsiTheme="majorHAnsi"/>
                <w:b/>
                <w:sz w:val="20"/>
                <w:szCs w:val="20"/>
              </w:rPr>
              <w:t>Portabilidad Numérica Móvil</w:t>
            </w:r>
          </w:p>
          <w:p w:rsidR="00D44213" w:rsidRPr="00D44213" w:rsidRDefault="00800A61" w:rsidP="00D44213">
            <w:pPr>
              <w:shd w:val="clear" w:color="auto" w:fill="FFFFFF"/>
              <w:spacing w:after="101"/>
              <w:jc w:val="both"/>
              <w:rPr>
                <w:rFonts w:asciiTheme="majorHAnsi" w:hAnsiTheme="majorHAnsi"/>
                <w:sz w:val="20"/>
                <w:szCs w:val="20"/>
              </w:rPr>
            </w:pPr>
            <w:r>
              <w:rPr>
                <w:rFonts w:asciiTheme="majorHAnsi" w:hAnsiTheme="majorHAnsi"/>
                <w:sz w:val="20"/>
                <w:szCs w:val="20"/>
              </w:rPr>
              <w:t xml:space="preserve">A efectos de que </w:t>
            </w:r>
            <w:r w:rsidR="00D44213" w:rsidRPr="00D44213">
              <w:rPr>
                <w:rFonts w:asciiTheme="majorHAnsi" w:hAnsiTheme="majorHAnsi"/>
                <w:sz w:val="20"/>
                <w:szCs w:val="20"/>
              </w:rPr>
              <w:t xml:space="preserve">un mercado pueda funcionar efectivamente, el usuario debe poder elegir libremente aquel proveedor que le otorgue mejores precios, calidad y diversidad en los servicios o bienes provistos. En el mercado de telecomunicaciones existen </w:t>
            </w:r>
            <w:r w:rsidR="00D44213" w:rsidRPr="00DE7817">
              <w:rPr>
                <w:rFonts w:asciiTheme="majorHAnsi" w:hAnsiTheme="majorHAnsi"/>
                <w:sz w:val="20"/>
                <w:szCs w:val="20"/>
                <w:u w:val="single"/>
              </w:rPr>
              <w:t>costos de transacción o de traspaso</w:t>
            </w:r>
            <w:r w:rsidR="00D44213" w:rsidRPr="00D44213">
              <w:rPr>
                <w:rFonts w:asciiTheme="majorHAnsi" w:hAnsiTheme="majorHAnsi"/>
                <w:sz w:val="20"/>
                <w:szCs w:val="20"/>
              </w:rPr>
              <w:t xml:space="preserve"> (CT) los cuales son aquellos costos económicos y psicológicos asociados al cambio de operador de servicios  por parte del usuario y que incluyen aspectos como: la pérdida del número de teléfono; el tiempo y esfuerzo de obtener información sobre otros proveedores; el precio de acceso a los servicios (costo del equipo), el asociado a penalidades por rescindir el contrato, entre otros. Los </w:t>
            </w:r>
            <w:r>
              <w:rPr>
                <w:rFonts w:asciiTheme="majorHAnsi" w:hAnsiTheme="majorHAnsi"/>
                <w:sz w:val="20"/>
                <w:szCs w:val="20"/>
              </w:rPr>
              <w:t>CT</w:t>
            </w:r>
            <w:r w:rsidR="00D44213" w:rsidRPr="00D44213">
              <w:rPr>
                <w:rFonts w:asciiTheme="majorHAnsi" w:hAnsiTheme="majorHAnsi"/>
                <w:sz w:val="20"/>
                <w:szCs w:val="20"/>
              </w:rPr>
              <w:t xml:space="preserve"> que enfrentan los consumidores de los servicios de telecomunicaciones cuando desean cambiar de proveedor de servicios móviles pueden tener un efecto negativo sobre los procesos de competencia. </w:t>
            </w:r>
          </w:p>
          <w:p w:rsidR="00D44213" w:rsidRPr="00D44213" w:rsidRDefault="00D44213" w:rsidP="00D44213">
            <w:pPr>
              <w:shd w:val="clear" w:color="auto" w:fill="FFFFFF"/>
              <w:spacing w:after="101"/>
              <w:jc w:val="both"/>
              <w:rPr>
                <w:rFonts w:asciiTheme="majorHAnsi" w:hAnsiTheme="majorHAnsi"/>
                <w:sz w:val="20"/>
                <w:szCs w:val="20"/>
              </w:rPr>
            </w:pPr>
            <w:r w:rsidRPr="00D44213">
              <w:rPr>
                <w:rFonts w:asciiTheme="majorHAnsi" w:hAnsiTheme="majorHAnsi"/>
                <w:sz w:val="20"/>
                <w:szCs w:val="20"/>
              </w:rPr>
              <w:t xml:space="preserve">Las inconveniencias asociadas al cambio de operador y a la pérdida de número son relevantes para los usuarios de telecomunicaciones y son particularmente importantes para los concesionarios y el desarrollo de los mercados, al grado que, un usuario con el fin de evitar esas molestias, pueden desistir del cambio a pesar de existir opciones más atractivas en el mercado. Se crea entonces una rigidez o “efecto encierro” en los clientes, a través de la cual estos quedan cautivos restringiendo el proceso de competencia en el mercado, y dando </w:t>
            </w:r>
            <w:r w:rsidR="00800A61">
              <w:rPr>
                <w:rFonts w:asciiTheme="majorHAnsi" w:hAnsiTheme="majorHAnsi"/>
                <w:sz w:val="20"/>
                <w:szCs w:val="20"/>
              </w:rPr>
              <w:t>poder a la empresa para aplicar</w:t>
            </w:r>
            <w:r w:rsidRPr="00D44213">
              <w:rPr>
                <w:rFonts w:asciiTheme="majorHAnsi" w:hAnsiTheme="majorHAnsi"/>
                <w:sz w:val="20"/>
                <w:szCs w:val="20"/>
              </w:rPr>
              <w:t xml:space="preserve"> precios más elevados, limitar las alterativas de consumo o restringir la calidad de los servicios. Así, los CT pueden tener un impacto negativo sobre la competencia.</w:t>
            </w:r>
          </w:p>
          <w:p w:rsidR="00D44213" w:rsidRPr="00D44213" w:rsidRDefault="00D44213" w:rsidP="00D44213">
            <w:pPr>
              <w:shd w:val="clear" w:color="auto" w:fill="FFFFFF"/>
              <w:spacing w:after="101"/>
              <w:jc w:val="both"/>
              <w:rPr>
                <w:rFonts w:asciiTheme="majorHAnsi" w:hAnsiTheme="majorHAnsi"/>
                <w:sz w:val="20"/>
                <w:szCs w:val="20"/>
              </w:rPr>
            </w:pPr>
            <w:r w:rsidRPr="00D44213">
              <w:rPr>
                <w:rFonts w:asciiTheme="majorHAnsi" w:hAnsiTheme="majorHAnsi"/>
                <w:sz w:val="20"/>
                <w:szCs w:val="20"/>
              </w:rPr>
              <w:t xml:space="preserve">En el caso de las telecomunicaciones, se suman al problema de los CT, la existencia de los efectos de red (ER), </w:t>
            </w:r>
            <w:r w:rsidR="00AF2FD1">
              <w:rPr>
                <w:rFonts w:asciiTheme="majorHAnsi" w:hAnsiTheme="majorHAnsi"/>
                <w:sz w:val="20"/>
                <w:szCs w:val="20"/>
              </w:rPr>
              <w:t xml:space="preserve">los cuales </w:t>
            </w:r>
            <w:r w:rsidRPr="00D44213">
              <w:rPr>
                <w:rFonts w:asciiTheme="majorHAnsi" w:hAnsiTheme="majorHAnsi"/>
                <w:sz w:val="20"/>
                <w:szCs w:val="20"/>
              </w:rPr>
              <w:t>se derivan del tamaño relativo de una red, y tienen por efecto que los usuarios prefieran contratar los servicios de la empresa con la red más extensa, poniendo en desventaja a las empresas más pequeñas y a las nuevas entrantes; estos ER contribuyen a limitar a que los usuarios deseen cambiarse de proveedor de servicios y por tanto pueden afectar la competencia</w:t>
            </w:r>
            <w:r w:rsidR="00800A61">
              <w:rPr>
                <w:rFonts w:asciiTheme="majorHAnsi" w:hAnsiTheme="majorHAnsi"/>
                <w:sz w:val="20"/>
                <w:szCs w:val="20"/>
              </w:rPr>
              <w:t>.</w:t>
            </w:r>
            <w:r w:rsidR="008E010C">
              <w:rPr>
                <w:rStyle w:val="Refdenotaalpie"/>
                <w:rFonts w:asciiTheme="majorHAnsi" w:hAnsiTheme="majorHAnsi"/>
                <w:sz w:val="20"/>
                <w:szCs w:val="20"/>
              </w:rPr>
              <w:footnoteReference w:id="1"/>
            </w:r>
          </w:p>
          <w:p w:rsidR="00D44213" w:rsidRPr="00D44213" w:rsidRDefault="00850020" w:rsidP="00850020">
            <w:pPr>
              <w:shd w:val="clear" w:color="auto" w:fill="FFFFFF"/>
              <w:spacing w:after="101"/>
              <w:jc w:val="both"/>
              <w:rPr>
                <w:rFonts w:asciiTheme="majorHAnsi" w:hAnsiTheme="majorHAnsi"/>
                <w:sz w:val="20"/>
                <w:szCs w:val="20"/>
              </w:rPr>
            </w:pPr>
            <w:r>
              <w:rPr>
                <w:rFonts w:asciiTheme="majorHAnsi" w:hAnsiTheme="majorHAnsi"/>
                <w:sz w:val="20"/>
                <w:szCs w:val="20"/>
              </w:rPr>
              <w:t>Los resultados del</w:t>
            </w:r>
            <w:r w:rsidR="00D44213" w:rsidRPr="00D44213">
              <w:rPr>
                <w:rFonts w:asciiTheme="majorHAnsi" w:hAnsiTheme="majorHAnsi"/>
                <w:sz w:val="20"/>
                <w:szCs w:val="20"/>
              </w:rPr>
              <w:t xml:space="preserve"> estudio</w:t>
            </w:r>
            <w:r>
              <w:rPr>
                <w:rFonts w:asciiTheme="majorHAnsi" w:hAnsiTheme="majorHAnsi"/>
                <w:sz w:val="20"/>
                <w:szCs w:val="20"/>
              </w:rPr>
              <w:t xml:space="preserve"> “</w:t>
            </w:r>
            <w:r w:rsidRPr="00DE7817">
              <w:rPr>
                <w:rFonts w:asciiTheme="majorHAnsi" w:hAnsiTheme="majorHAnsi"/>
                <w:i/>
                <w:sz w:val="20"/>
                <w:szCs w:val="20"/>
              </w:rPr>
              <w:t>Costos de Traspaso, Efectos de Red, Portabilidad Numérica y Competencia en México</w:t>
            </w:r>
            <w:r>
              <w:rPr>
                <w:rFonts w:asciiTheme="majorHAnsi" w:hAnsiTheme="majorHAnsi"/>
                <w:sz w:val="20"/>
                <w:szCs w:val="20"/>
              </w:rPr>
              <w:t>”</w:t>
            </w:r>
            <w:r>
              <w:rPr>
                <w:rStyle w:val="Refdenotaalpie"/>
                <w:rFonts w:asciiTheme="majorHAnsi" w:hAnsiTheme="majorHAnsi"/>
                <w:sz w:val="20"/>
                <w:szCs w:val="20"/>
              </w:rPr>
              <w:footnoteReference w:id="2"/>
            </w:r>
            <w:r w:rsidR="00D44213" w:rsidRPr="00D44213">
              <w:rPr>
                <w:rFonts w:asciiTheme="majorHAnsi" w:hAnsiTheme="majorHAnsi"/>
                <w:sz w:val="20"/>
                <w:szCs w:val="20"/>
              </w:rPr>
              <w:t>, realizado por el Centro de Estudios del Instituto</w:t>
            </w:r>
            <w:r>
              <w:rPr>
                <w:rFonts w:asciiTheme="majorHAnsi" w:hAnsiTheme="majorHAnsi"/>
                <w:sz w:val="20"/>
                <w:szCs w:val="20"/>
              </w:rPr>
              <w:t xml:space="preserve"> Federal de Telecomunicaciones</w:t>
            </w:r>
            <w:r w:rsidR="00D44213" w:rsidRPr="00D44213">
              <w:rPr>
                <w:rFonts w:asciiTheme="majorHAnsi" w:hAnsiTheme="majorHAnsi"/>
                <w:sz w:val="20"/>
                <w:szCs w:val="20"/>
              </w:rPr>
              <w:t>, aportan evidencia del beneficio d</w:t>
            </w:r>
            <w:r>
              <w:rPr>
                <w:rFonts w:asciiTheme="majorHAnsi" w:hAnsiTheme="majorHAnsi"/>
                <w:sz w:val="20"/>
                <w:szCs w:val="20"/>
              </w:rPr>
              <w:t>e reducir los CT mediante la portabilidad numérica en los servicios móviles</w:t>
            </w:r>
            <w:r w:rsidR="00D44213" w:rsidRPr="00D44213">
              <w:rPr>
                <w:rFonts w:asciiTheme="majorHAnsi" w:hAnsiTheme="majorHAnsi"/>
                <w:sz w:val="20"/>
                <w:szCs w:val="20"/>
              </w:rPr>
              <w:t xml:space="preserve">, ya que se incentiva el movimiento de los suscriptores entre oferentes móviles; así también los resultados sugieren que los efectos de una disminución en los CT tienen un impacto favorable sobre el índice de concentración del mercado. </w:t>
            </w:r>
          </w:p>
          <w:p w:rsidR="00C11FFC" w:rsidRDefault="00D44213" w:rsidP="00D44213">
            <w:pPr>
              <w:shd w:val="clear" w:color="auto" w:fill="FFFFFF"/>
              <w:spacing w:after="101"/>
              <w:jc w:val="both"/>
              <w:rPr>
                <w:rFonts w:asciiTheme="majorHAnsi" w:hAnsiTheme="majorHAnsi"/>
                <w:sz w:val="20"/>
                <w:szCs w:val="20"/>
              </w:rPr>
            </w:pPr>
            <w:r w:rsidRPr="00D44213">
              <w:rPr>
                <w:rFonts w:asciiTheme="majorHAnsi" w:hAnsiTheme="majorHAnsi"/>
                <w:sz w:val="20"/>
                <w:szCs w:val="20"/>
              </w:rPr>
              <w:t xml:space="preserve">Es por ello, que </w:t>
            </w:r>
            <w:r w:rsidR="007D24E5">
              <w:rPr>
                <w:rFonts w:asciiTheme="majorHAnsi" w:hAnsiTheme="majorHAnsi"/>
                <w:sz w:val="20"/>
                <w:szCs w:val="20"/>
              </w:rPr>
              <w:t xml:space="preserve">se considera </w:t>
            </w:r>
            <w:r w:rsidRPr="00D44213">
              <w:rPr>
                <w:rFonts w:asciiTheme="majorHAnsi" w:hAnsiTheme="majorHAnsi"/>
                <w:sz w:val="20"/>
                <w:szCs w:val="20"/>
              </w:rPr>
              <w:t xml:space="preserve">necesario disminuir los CT para aumentar la movilidad de los usuarios y con ello no limitar las alternativas de consumo por parte de los usuarios. El que un equipo terminal no pueda ser usado en todas la redes limita al usuario de poder </w:t>
            </w:r>
            <w:r w:rsidR="007D24E5">
              <w:rPr>
                <w:rFonts w:asciiTheme="majorHAnsi" w:hAnsiTheme="majorHAnsi"/>
                <w:sz w:val="20"/>
                <w:szCs w:val="20"/>
              </w:rPr>
              <w:t>portarse</w:t>
            </w:r>
            <w:r w:rsidRPr="00D44213">
              <w:rPr>
                <w:rFonts w:asciiTheme="majorHAnsi" w:hAnsiTheme="majorHAnsi"/>
                <w:sz w:val="20"/>
                <w:szCs w:val="20"/>
              </w:rPr>
              <w:t xml:space="preserve"> con otro proveedor de servicios, derivado de que tiene que </w:t>
            </w:r>
            <w:r w:rsidR="007D24E5">
              <w:rPr>
                <w:rFonts w:asciiTheme="majorHAnsi" w:hAnsiTheme="majorHAnsi"/>
                <w:sz w:val="20"/>
                <w:szCs w:val="20"/>
              </w:rPr>
              <w:t>adquirir</w:t>
            </w:r>
            <w:r w:rsidRPr="00D44213">
              <w:rPr>
                <w:rFonts w:asciiTheme="majorHAnsi" w:hAnsiTheme="majorHAnsi"/>
                <w:sz w:val="20"/>
                <w:szCs w:val="20"/>
              </w:rPr>
              <w:t xml:space="preserve"> otro equipo móvil para hacer uso de los servicios provisto por otro proveedor, por lo cual </w:t>
            </w:r>
            <w:r w:rsidR="007D24E5">
              <w:rPr>
                <w:rFonts w:asciiTheme="majorHAnsi" w:hAnsiTheme="majorHAnsi"/>
                <w:sz w:val="20"/>
                <w:szCs w:val="20"/>
              </w:rPr>
              <w:t>se considera</w:t>
            </w:r>
            <w:r w:rsidRPr="00D44213">
              <w:rPr>
                <w:rFonts w:asciiTheme="majorHAnsi" w:hAnsiTheme="majorHAnsi"/>
                <w:sz w:val="20"/>
                <w:szCs w:val="20"/>
              </w:rPr>
              <w:t xml:space="preserve"> necesario establecer una regulación que permita que dicho equipo cuente con la capacidad técnica de ser utilizado en las distintas bandas de frecuencias, con la que operan las redes públicas de telecomunicaciones </w:t>
            </w:r>
            <w:r w:rsidR="007D24E5">
              <w:rPr>
                <w:rFonts w:asciiTheme="majorHAnsi" w:hAnsiTheme="majorHAnsi"/>
                <w:sz w:val="20"/>
                <w:szCs w:val="20"/>
              </w:rPr>
              <w:t>de los distintos concesionarios del servicio móvil.</w:t>
            </w:r>
          </w:p>
          <w:p w:rsidR="00D44213" w:rsidRDefault="00D44213" w:rsidP="00095C10">
            <w:pPr>
              <w:shd w:val="clear" w:color="auto" w:fill="FFFFFF"/>
              <w:spacing w:after="101"/>
              <w:jc w:val="both"/>
              <w:rPr>
                <w:rFonts w:asciiTheme="majorHAnsi" w:hAnsiTheme="majorHAnsi"/>
                <w:b/>
                <w:sz w:val="20"/>
                <w:szCs w:val="20"/>
              </w:rPr>
            </w:pPr>
          </w:p>
          <w:p w:rsidR="00095C10" w:rsidRDefault="00095C10" w:rsidP="00095C10">
            <w:pPr>
              <w:shd w:val="clear" w:color="auto" w:fill="FFFFFF"/>
              <w:spacing w:after="101"/>
              <w:jc w:val="both"/>
              <w:rPr>
                <w:rFonts w:asciiTheme="majorHAnsi" w:hAnsiTheme="majorHAnsi"/>
                <w:b/>
                <w:sz w:val="20"/>
                <w:szCs w:val="20"/>
              </w:rPr>
            </w:pPr>
            <w:r>
              <w:rPr>
                <w:rFonts w:asciiTheme="majorHAnsi" w:hAnsiTheme="majorHAnsi"/>
                <w:b/>
                <w:sz w:val="20"/>
                <w:szCs w:val="20"/>
              </w:rPr>
              <w:t xml:space="preserve">Soporte </w:t>
            </w:r>
            <w:r w:rsidRPr="00D6175D">
              <w:rPr>
                <w:rFonts w:asciiTheme="majorHAnsi" w:hAnsiTheme="majorHAnsi"/>
                <w:b/>
                <w:sz w:val="20"/>
                <w:szCs w:val="20"/>
              </w:rPr>
              <w:t xml:space="preserve">de la </w:t>
            </w:r>
            <w:r w:rsidR="00D44213">
              <w:rPr>
                <w:rFonts w:asciiTheme="majorHAnsi" w:hAnsiTheme="majorHAnsi"/>
                <w:b/>
                <w:sz w:val="20"/>
                <w:szCs w:val="20"/>
              </w:rPr>
              <w:t>B</w:t>
            </w:r>
            <w:r w:rsidRPr="00D6175D">
              <w:rPr>
                <w:rFonts w:asciiTheme="majorHAnsi" w:hAnsiTheme="majorHAnsi"/>
                <w:b/>
                <w:sz w:val="20"/>
                <w:szCs w:val="20"/>
              </w:rPr>
              <w:t>anda</w:t>
            </w:r>
            <w:r w:rsidR="00E327A5">
              <w:rPr>
                <w:rFonts w:asciiTheme="majorHAnsi" w:hAnsiTheme="majorHAnsi"/>
                <w:b/>
                <w:sz w:val="20"/>
                <w:szCs w:val="20"/>
              </w:rPr>
              <w:t xml:space="preserve"> 28 </w:t>
            </w:r>
            <w:r w:rsidR="00D44213">
              <w:rPr>
                <w:rFonts w:asciiTheme="majorHAnsi" w:hAnsiTheme="majorHAnsi"/>
                <w:b/>
                <w:sz w:val="20"/>
                <w:szCs w:val="20"/>
              </w:rPr>
              <w:t>APT</w:t>
            </w:r>
            <w:r w:rsidR="00E327A5">
              <w:rPr>
                <w:rFonts w:asciiTheme="majorHAnsi" w:hAnsiTheme="majorHAnsi"/>
                <w:b/>
                <w:sz w:val="20"/>
                <w:szCs w:val="20"/>
              </w:rPr>
              <w:t xml:space="preserve">700 </w:t>
            </w:r>
            <w:r w:rsidR="00D44213">
              <w:rPr>
                <w:rFonts w:asciiTheme="majorHAnsi" w:hAnsiTheme="majorHAnsi"/>
                <w:b/>
                <w:sz w:val="20"/>
                <w:szCs w:val="20"/>
              </w:rPr>
              <w:t>FDD</w:t>
            </w:r>
            <w:r w:rsidRPr="00D6175D">
              <w:rPr>
                <w:rFonts w:asciiTheme="majorHAnsi" w:hAnsiTheme="majorHAnsi"/>
                <w:b/>
                <w:sz w:val="20"/>
                <w:szCs w:val="20"/>
              </w:rPr>
              <w:t>.</w:t>
            </w:r>
          </w:p>
          <w:p w:rsidR="00095C10" w:rsidRDefault="00095C10" w:rsidP="00095C10">
            <w:pPr>
              <w:autoSpaceDE w:val="0"/>
              <w:autoSpaceDN w:val="0"/>
              <w:adjustRightInd w:val="0"/>
              <w:jc w:val="both"/>
              <w:rPr>
                <w:rFonts w:asciiTheme="majorHAnsi" w:hAnsiTheme="majorHAnsi"/>
                <w:sz w:val="20"/>
                <w:szCs w:val="20"/>
              </w:rPr>
            </w:pPr>
            <w:r w:rsidRPr="00D6175D">
              <w:rPr>
                <w:rFonts w:asciiTheme="majorHAnsi" w:hAnsiTheme="majorHAnsi"/>
                <w:sz w:val="20"/>
                <w:szCs w:val="20"/>
              </w:rPr>
              <w:t>En los últimos años se ha observado un crecimiento acelerado en la</w:t>
            </w:r>
            <w:r>
              <w:rPr>
                <w:rFonts w:asciiTheme="majorHAnsi" w:hAnsiTheme="majorHAnsi"/>
                <w:sz w:val="20"/>
                <w:szCs w:val="20"/>
              </w:rPr>
              <w:t xml:space="preserve"> </w:t>
            </w:r>
            <w:r w:rsidRPr="00D6175D">
              <w:rPr>
                <w:rFonts w:asciiTheme="majorHAnsi" w:hAnsiTheme="majorHAnsi"/>
                <w:sz w:val="20"/>
                <w:szCs w:val="20"/>
              </w:rPr>
              <w:t>cantidad de usuarios de banda ancha móvil. Por una</w:t>
            </w:r>
            <w:r>
              <w:rPr>
                <w:rFonts w:asciiTheme="majorHAnsi" w:hAnsiTheme="majorHAnsi"/>
                <w:sz w:val="20"/>
                <w:szCs w:val="20"/>
              </w:rPr>
              <w:t xml:space="preserve"> </w:t>
            </w:r>
            <w:r w:rsidRPr="00D6175D">
              <w:rPr>
                <w:rFonts w:asciiTheme="majorHAnsi" w:hAnsiTheme="majorHAnsi"/>
                <w:sz w:val="20"/>
                <w:szCs w:val="20"/>
              </w:rPr>
              <w:t xml:space="preserve">parte, la evolución tecnológica permite </w:t>
            </w:r>
            <w:r w:rsidR="00014615">
              <w:rPr>
                <w:rFonts w:asciiTheme="majorHAnsi" w:hAnsiTheme="majorHAnsi"/>
                <w:sz w:val="20"/>
                <w:szCs w:val="20"/>
              </w:rPr>
              <w:t xml:space="preserve">a los usuarios </w:t>
            </w:r>
            <w:r w:rsidRPr="00D6175D">
              <w:rPr>
                <w:rFonts w:asciiTheme="majorHAnsi" w:hAnsiTheme="majorHAnsi"/>
                <w:sz w:val="20"/>
                <w:szCs w:val="20"/>
              </w:rPr>
              <w:t>el uso cada vez más eficiente del espectro</w:t>
            </w:r>
            <w:r w:rsidR="00014615">
              <w:rPr>
                <w:rFonts w:asciiTheme="majorHAnsi" w:hAnsiTheme="majorHAnsi"/>
                <w:sz w:val="20"/>
                <w:szCs w:val="20"/>
              </w:rPr>
              <w:t xml:space="preserve">, </w:t>
            </w:r>
            <w:r w:rsidRPr="00D6175D">
              <w:rPr>
                <w:rFonts w:asciiTheme="majorHAnsi" w:hAnsiTheme="majorHAnsi"/>
                <w:sz w:val="20"/>
                <w:szCs w:val="20"/>
              </w:rPr>
              <w:t>y por otra parte</w:t>
            </w:r>
            <w:r w:rsidR="00014615">
              <w:rPr>
                <w:rFonts w:asciiTheme="majorHAnsi" w:hAnsiTheme="majorHAnsi"/>
                <w:sz w:val="20"/>
                <w:szCs w:val="20"/>
              </w:rPr>
              <w:t>,</w:t>
            </w:r>
            <w:r w:rsidRPr="00D6175D">
              <w:rPr>
                <w:rFonts w:asciiTheme="majorHAnsi" w:hAnsiTheme="majorHAnsi"/>
                <w:sz w:val="20"/>
                <w:szCs w:val="20"/>
              </w:rPr>
              <w:t xml:space="preserve"> la </w:t>
            </w:r>
            <w:r w:rsidR="00014615">
              <w:rPr>
                <w:rFonts w:asciiTheme="majorHAnsi" w:hAnsiTheme="majorHAnsi"/>
                <w:sz w:val="20"/>
                <w:szCs w:val="20"/>
              </w:rPr>
              <w:t xml:space="preserve">proliferación </w:t>
            </w:r>
            <w:r w:rsidRPr="00D6175D">
              <w:rPr>
                <w:rFonts w:asciiTheme="majorHAnsi" w:hAnsiTheme="majorHAnsi"/>
                <w:sz w:val="20"/>
                <w:szCs w:val="20"/>
              </w:rPr>
              <w:t>de</w:t>
            </w:r>
            <w:r>
              <w:rPr>
                <w:rFonts w:asciiTheme="majorHAnsi" w:hAnsiTheme="majorHAnsi"/>
                <w:sz w:val="20"/>
                <w:szCs w:val="20"/>
              </w:rPr>
              <w:t xml:space="preserve"> </w:t>
            </w:r>
            <w:r w:rsidRPr="00744D5F">
              <w:rPr>
                <w:rFonts w:asciiTheme="majorHAnsi" w:hAnsiTheme="majorHAnsi"/>
                <w:i/>
                <w:sz w:val="20"/>
                <w:szCs w:val="20"/>
              </w:rPr>
              <w:t>“</w:t>
            </w:r>
            <w:proofErr w:type="spellStart"/>
            <w:r w:rsidRPr="00744D5F">
              <w:rPr>
                <w:rFonts w:asciiTheme="majorHAnsi" w:hAnsiTheme="majorHAnsi"/>
                <w:i/>
                <w:sz w:val="20"/>
                <w:szCs w:val="20"/>
              </w:rPr>
              <w:t>Smartphones</w:t>
            </w:r>
            <w:proofErr w:type="spellEnd"/>
            <w:r w:rsidRPr="00744D5F">
              <w:rPr>
                <w:rFonts w:asciiTheme="majorHAnsi" w:hAnsiTheme="majorHAnsi"/>
                <w:i/>
                <w:sz w:val="20"/>
                <w:szCs w:val="20"/>
              </w:rPr>
              <w:t>”</w:t>
            </w:r>
            <w:r>
              <w:rPr>
                <w:rFonts w:asciiTheme="majorHAnsi" w:hAnsiTheme="majorHAnsi"/>
                <w:sz w:val="20"/>
                <w:szCs w:val="20"/>
              </w:rPr>
              <w:t xml:space="preserve"> </w:t>
            </w:r>
            <w:r w:rsidRPr="00D6175D">
              <w:rPr>
                <w:rFonts w:asciiTheme="majorHAnsi" w:hAnsiTheme="majorHAnsi"/>
                <w:sz w:val="20"/>
                <w:szCs w:val="20"/>
              </w:rPr>
              <w:t xml:space="preserve">con mejores </w:t>
            </w:r>
            <w:r w:rsidR="007735CA">
              <w:rPr>
                <w:rFonts w:asciiTheme="majorHAnsi" w:hAnsiTheme="majorHAnsi"/>
                <w:sz w:val="20"/>
                <w:szCs w:val="20"/>
              </w:rPr>
              <w:t>funcionalidades</w:t>
            </w:r>
            <w:r w:rsidR="007735CA" w:rsidRPr="00D6175D">
              <w:rPr>
                <w:rFonts w:asciiTheme="majorHAnsi" w:hAnsiTheme="majorHAnsi"/>
                <w:sz w:val="20"/>
                <w:szCs w:val="20"/>
              </w:rPr>
              <w:t xml:space="preserve"> </w:t>
            </w:r>
            <w:r w:rsidRPr="00D6175D">
              <w:rPr>
                <w:rFonts w:asciiTheme="majorHAnsi" w:hAnsiTheme="majorHAnsi"/>
                <w:sz w:val="20"/>
                <w:szCs w:val="20"/>
              </w:rPr>
              <w:t xml:space="preserve">a precios cada vez más </w:t>
            </w:r>
            <w:r w:rsidR="007735CA">
              <w:rPr>
                <w:rFonts w:asciiTheme="majorHAnsi" w:hAnsiTheme="majorHAnsi"/>
                <w:sz w:val="20"/>
                <w:szCs w:val="20"/>
              </w:rPr>
              <w:t>asequibles</w:t>
            </w:r>
            <w:r w:rsidR="00014615">
              <w:rPr>
                <w:rFonts w:asciiTheme="majorHAnsi" w:hAnsiTheme="majorHAnsi"/>
                <w:sz w:val="20"/>
                <w:szCs w:val="20"/>
              </w:rPr>
              <w:t>,</w:t>
            </w:r>
            <w:r>
              <w:rPr>
                <w:rFonts w:asciiTheme="majorHAnsi" w:hAnsiTheme="majorHAnsi"/>
                <w:sz w:val="20"/>
                <w:szCs w:val="20"/>
              </w:rPr>
              <w:t xml:space="preserve"> </w:t>
            </w:r>
            <w:r w:rsidRPr="00D6175D">
              <w:rPr>
                <w:rFonts w:asciiTheme="majorHAnsi" w:hAnsiTheme="majorHAnsi"/>
                <w:sz w:val="20"/>
                <w:szCs w:val="20"/>
              </w:rPr>
              <w:t>adicionado al incremento en cantidad, cobertura y capacidad de redes capaces</w:t>
            </w:r>
            <w:r>
              <w:rPr>
                <w:rFonts w:asciiTheme="majorHAnsi" w:hAnsiTheme="majorHAnsi"/>
                <w:sz w:val="20"/>
                <w:szCs w:val="20"/>
              </w:rPr>
              <w:t xml:space="preserve"> </w:t>
            </w:r>
            <w:r w:rsidRPr="00D6175D">
              <w:rPr>
                <w:rFonts w:asciiTheme="majorHAnsi" w:hAnsiTheme="majorHAnsi"/>
                <w:sz w:val="20"/>
                <w:szCs w:val="20"/>
              </w:rPr>
              <w:t>de brindar servicios de banda ancha móvil</w:t>
            </w:r>
            <w:r w:rsidR="007735CA">
              <w:rPr>
                <w:rFonts w:asciiTheme="majorHAnsi" w:hAnsiTheme="majorHAnsi"/>
                <w:sz w:val="20"/>
                <w:szCs w:val="20"/>
              </w:rPr>
              <w:t>.</w:t>
            </w:r>
            <w:r w:rsidR="009F4A7F">
              <w:rPr>
                <w:rFonts w:asciiTheme="majorHAnsi" w:hAnsiTheme="majorHAnsi"/>
                <w:sz w:val="20"/>
                <w:szCs w:val="20"/>
              </w:rPr>
              <w:t xml:space="preserve"> </w:t>
            </w:r>
            <w:r w:rsidR="007735CA">
              <w:rPr>
                <w:rFonts w:asciiTheme="majorHAnsi" w:hAnsiTheme="majorHAnsi"/>
                <w:sz w:val="20"/>
                <w:szCs w:val="20"/>
              </w:rPr>
              <w:t>L</w:t>
            </w:r>
            <w:r w:rsidR="00014615">
              <w:rPr>
                <w:rFonts w:asciiTheme="majorHAnsi" w:hAnsiTheme="majorHAnsi"/>
                <w:sz w:val="20"/>
                <w:szCs w:val="20"/>
              </w:rPr>
              <w:t>o</w:t>
            </w:r>
            <w:r w:rsidR="007735CA">
              <w:rPr>
                <w:rFonts w:asciiTheme="majorHAnsi" w:hAnsiTheme="majorHAnsi"/>
                <w:sz w:val="20"/>
                <w:szCs w:val="20"/>
              </w:rPr>
              <w:t xml:space="preserve"> anterior</w:t>
            </w:r>
            <w:r w:rsidR="00014615">
              <w:rPr>
                <w:rFonts w:asciiTheme="majorHAnsi" w:hAnsiTheme="majorHAnsi"/>
                <w:sz w:val="20"/>
                <w:szCs w:val="20"/>
              </w:rPr>
              <w:t xml:space="preserve"> </w:t>
            </w:r>
            <w:r w:rsidR="007735CA">
              <w:rPr>
                <w:rFonts w:asciiTheme="majorHAnsi" w:hAnsiTheme="majorHAnsi"/>
                <w:sz w:val="20"/>
                <w:szCs w:val="20"/>
              </w:rPr>
              <w:t>resulta en</w:t>
            </w:r>
            <w:r w:rsidRPr="00D6175D">
              <w:rPr>
                <w:rFonts w:asciiTheme="majorHAnsi" w:hAnsiTheme="majorHAnsi"/>
                <w:sz w:val="20"/>
                <w:szCs w:val="20"/>
              </w:rPr>
              <w:t xml:space="preserve"> un</w:t>
            </w:r>
            <w:r w:rsidR="007735CA">
              <w:rPr>
                <w:rFonts w:asciiTheme="majorHAnsi" w:hAnsiTheme="majorHAnsi"/>
                <w:sz w:val="20"/>
                <w:szCs w:val="20"/>
              </w:rPr>
              <w:t xml:space="preserve"> incremento vertiginoso</w:t>
            </w:r>
            <w:r w:rsidR="009367B8">
              <w:rPr>
                <w:rFonts w:asciiTheme="majorHAnsi" w:hAnsiTheme="majorHAnsi"/>
                <w:sz w:val="20"/>
                <w:szCs w:val="20"/>
              </w:rPr>
              <w:t xml:space="preserve"> </w:t>
            </w:r>
            <w:r w:rsidRPr="00D6175D">
              <w:rPr>
                <w:rFonts w:asciiTheme="majorHAnsi" w:hAnsiTheme="majorHAnsi"/>
                <w:sz w:val="20"/>
                <w:szCs w:val="20"/>
              </w:rPr>
              <w:t>en</w:t>
            </w:r>
            <w:r>
              <w:rPr>
                <w:rFonts w:asciiTheme="majorHAnsi" w:hAnsiTheme="majorHAnsi"/>
                <w:sz w:val="20"/>
                <w:szCs w:val="20"/>
              </w:rPr>
              <w:t xml:space="preserve"> </w:t>
            </w:r>
            <w:r w:rsidRPr="00D6175D">
              <w:rPr>
                <w:rFonts w:asciiTheme="majorHAnsi" w:hAnsiTheme="majorHAnsi"/>
                <w:sz w:val="20"/>
                <w:szCs w:val="20"/>
              </w:rPr>
              <w:t>la cantidad de conexiones</w:t>
            </w:r>
            <w:r w:rsidR="007735CA">
              <w:rPr>
                <w:rFonts w:asciiTheme="majorHAnsi" w:hAnsiTheme="majorHAnsi"/>
                <w:sz w:val="20"/>
                <w:szCs w:val="20"/>
              </w:rPr>
              <w:t xml:space="preserve"> de banda ancha.</w:t>
            </w:r>
          </w:p>
          <w:p w:rsidR="00861BA3" w:rsidRDefault="00861BA3" w:rsidP="00095C10">
            <w:pPr>
              <w:autoSpaceDE w:val="0"/>
              <w:autoSpaceDN w:val="0"/>
              <w:adjustRightInd w:val="0"/>
              <w:jc w:val="both"/>
              <w:rPr>
                <w:rFonts w:asciiTheme="majorHAnsi" w:hAnsiTheme="majorHAnsi"/>
                <w:sz w:val="20"/>
                <w:szCs w:val="20"/>
              </w:rPr>
            </w:pPr>
          </w:p>
          <w:p w:rsidR="00861BA3" w:rsidRDefault="00861BA3" w:rsidP="00095C10">
            <w:pPr>
              <w:autoSpaceDE w:val="0"/>
              <w:autoSpaceDN w:val="0"/>
              <w:adjustRightInd w:val="0"/>
              <w:jc w:val="both"/>
              <w:rPr>
                <w:rFonts w:asciiTheme="majorHAnsi" w:hAnsiTheme="majorHAnsi"/>
                <w:sz w:val="20"/>
                <w:szCs w:val="20"/>
              </w:rPr>
            </w:pPr>
            <w:r w:rsidRPr="00861BA3">
              <w:rPr>
                <w:rFonts w:asciiTheme="majorHAnsi" w:hAnsiTheme="majorHAnsi"/>
                <w:sz w:val="20"/>
                <w:szCs w:val="20"/>
              </w:rPr>
              <w:t xml:space="preserve">La gran mayoría de </w:t>
            </w:r>
            <w:r w:rsidR="00BA5FD3">
              <w:rPr>
                <w:rFonts w:asciiTheme="majorHAnsi" w:hAnsiTheme="majorHAnsi"/>
                <w:sz w:val="20"/>
                <w:szCs w:val="20"/>
              </w:rPr>
              <w:t>dispositivos móviles</w:t>
            </w:r>
            <w:r w:rsidRPr="00861BA3">
              <w:rPr>
                <w:rFonts w:asciiTheme="majorHAnsi" w:hAnsiTheme="majorHAnsi"/>
                <w:sz w:val="20"/>
                <w:szCs w:val="20"/>
              </w:rPr>
              <w:t xml:space="preserve"> que se encuentran en operación en nuestro país corresponden a </w:t>
            </w:r>
            <w:r w:rsidR="00F60BC7">
              <w:rPr>
                <w:rFonts w:asciiTheme="majorHAnsi" w:hAnsiTheme="majorHAnsi"/>
                <w:sz w:val="20"/>
                <w:szCs w:val="20"/>
              </w:rPr>
              <w:t xml:space="preserve">tecnologías </w:t>
            </w:r>
            <w:r>
              <w:rPr>
                <w:rFonts w:asciiTheme="majorHAnsi" w:hAnsiTheme="majorHAnsi"/>
                <w:sz w:val="20"/>
                <w:szCs w:val="20"/>
              </w:rPr>
              <w:t xml:space="preserve">2G y </w:t>
            </w:r>
            <w:r w:rsidRPr="00861BA3">
              <w:rPr>
                <w:rFonts w:asciiTheme="majorHAnsi" w:hAnsiTheme="majorHAnsi"/>
                <w:sz w:val="20"/>
                <w:szCs w:val="20"/>
              </w:rPr>
              <w:t xml:space="preserve">3G. Lo cual se puede observar en la </w:t>
            </w:r>
            <w:r>
              <w:rPr>
                <w:rFonts w:asciiTheme="majorHAnsi" w:hAnsiTheme="majorHAnsi"/>
                <w:sz w:val="20"/>
                <w:szCs w:val="20"/>
              </w:rPr>
              <w:t>F</w:t>
            </w:r>
            <w:r w:rsidRPr="00861BA3">
              <w:rPr>
                <w:rFonts w:asciiTheme="majorHAnsi" w:hAnsiTheme="majorHAnsi"/>
                <w:sz w:val="20"/>
                <w:szCs w:val="20"/>
              </w:rPr>
              <w:t>igura</w:t>
            </w:r>
            <w:r>
              <w:rPr>
                <w:rFonts w:asciiTheme="majorHAnsi" w:hAnsiTheme="majorHAnsi"/>
                <w:sz w:val="20"/>
                <w:szCs w:val="20"/>
              </w:rPr>
              <w:t xml:space="preserve"> 1</w:t>
            </w:r>
            <w:r w:rsidRPr="00861BA3">
              <w:rPr>
                <w:rFonts w:asciiTheme="majorHAnsi" w:hAnsiTheme="majorHAnsi"/>
                <w:sz w:val="20"/>
                <w:szCs w:val="20"/>
              </w:rPr>
              <w:t xml:space="preserve">, </w:t>
            </w:r>
            <w:r w:rsidR="00F60BC7">
              <w:rPr>
                <w:rFonts w:asciiTheme="majorHAnsi" w:hAnsiTheme="majorHAnsi"/>
                <w:sz w:val="20"/>
                <w:szCs w:val="20"/>
              </w:rPr>
              <w:t xml:space="preserve">que </w:t>
            </w:r>
            <w:r w:rsidRPr="00861BA3">
              <w:rPr>
                <w:rFonts w:asciiTheme="majorHAnsi" w:hAnsiTheme="majorHAnsi"/>
                <w:sz w:val="20"/>
                <w:szCs w:val="20"/>
              </w:rPr>
              <w:t>muestra el número de conexiones móviles en el periodo comprendido del 1T del 2016 al 1T del 2017.</w:t>
            </w:r>
          </w:p>
          <w:p w:rsidR="00861BA3" w:rsidRDefault="00861BA3" w:rsidP="00095C10">
            <w:pPr>
              <w:autoSpaceDE w:val="0"/>
              <w:autoSpaceDN w:val="0"/>
              <w:adjustRightInd w:val="0"/>
              <w:jc w:val="both"/>
              <w:rPr>
                <w:rFonts w:asciiTheme="majorHAnsi" w:hAnsiTheme="majorHAnsi"/>
                <w:sz w:val="20"/>
                <w:szCs w:val="20"/>
              </w:rPr>
            </w:pPr>
          </w:p>
          <w:p w:rsidR="00861BA3" w:rsidRPr="00D6175D" w:rsidRDefault="00861BA3" w:rsidP="00861BA3">
            <w:pPr>
              <w:autoSpaceDE w:val="0"/>
              <w:autoSpaceDN w:val="0"/>
              <w:adjustRightInd w:val="0"/>
              <w:jc w:val="center"/>
              <w:rPr>
                <w:rFonts w:asciiTheme="majorHAnsi" w:hAnsiTheme="majorHAnsi"/>
                <w:sz w:val="20"/>
                <w:szCs w:val="20"/>
              </w:rPr>
            </w:pPr>
            <w:r>
              <w:rPr>
                <w:noProof/>
                <w:lang w:val="en-GB" w:eastAsia="en-GB"/>
              </w:rPr>
              <w:drawing>
                <wp:inline distT="0" distB="0" distL="0" distR="0" wp14:anchorId="169D47C1" wp14:editId="2AD67348">
                  <wp:extent cx="5032125" cy="2551430"/>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1369" cy="2571328"/>
                          </a:xfrm>
                          <a:prstGeom prst="rect">
                            <a:avLst/>
                          </a:prstGeom>
                        </pic:spPr>
                      </pic:pic>
                    </a:graphicData>
                  </a:graphic>
                </wp:inline>
              </w:drawing>
            </w:r>
          </w:p>
          <w:p w:rsidR="00861BA3" w:rsidRPr="000E259A" w:rsidRDefault="00861BA3" w:rsidP="00861BA3">
            <w:pPr>
              <w:jc w:val="center"/>
              <w:rPr>
                <w:b/>
                <w:i/>
                <w:sz w:val="20"/>
              </w:rPr>
            </w:pPr>
            <w:r w:rsidRPr="000E259A">
              <w:rPr>
                <w:b/>
                <w:i/>
                <w:sz w:val="20"/>
              </w:rPr>
              <w:t xml:space="preserve">Figura </w:t>
            </w:r>
            <w:r>
              <w:rPr>
                <w:b/>
                <w:i/>
                <w:sz w:val="20"/>
              </w:rPr>
              <w:t>1</w:t>
            </w:r>
            <w:r w:rsidRPr="000E259A">
              <w:rPr>
                <w:b/>
                <w:i/>
                <w:sz w:val="20"/>
              </w:rPr>
              <w:t xml:space="preserve">. Número </w:t>
            </w:r>
            <w:r>
              <w:rPr>
                <w:b/>
                <w:i/>
                <w:sz w:val="20"/>
              </w:rPr>
              <w:t xml:space="preserve">conexiones móviles </w:t>
            </w:r>
            <w:r w:rsidRPr="000E259A">
              <w:rPr>
                <w:b/>
                <w:i/>
                <w:sz w:val="20"/>
              </w:rPr>
              <w:t>del 1T del 2016 al 1T del 2017.</w:t>
            </w:r>
          </w:p>
          <w:p w:rsidR="00861BA3" w:rsidRDefault="00861BA3" w:rsidP="00095C10">
            <w:pPr>
              <w:autoSpaceDE w:val="0"/>
              <w:autoSpaceDN w:val="0"/>
              <w:adjustRightInd w:val="0"/>
              <w:jc w:val="both"/>
              <w:rPr>
                <w:rFonts w:asciiTheme="majorHAnsi" w:hAnsiTheme="majorHAnsi"/>
                <w:sz w:val="20"/>
                <w:szCs w:val="20"/>
              </w:rPr>
            </w:pPr>
          </w:p>
          <w:p w:rsidR="00095C10" w:rsidRDefault="00095C10" w:rsidP="00095C10">
            <w:pPr>
              <w:autoSpaceDE w:val="0"/>
              <w:autoSpaceDN w:val="0"/>
              <w:adjustRightInd w:val="0"/>
              <w:jc w:val="both"/>
              <w:rPr>
                <w:rFonts w:asciiTheme="majorHAnsi" w:hAnsiTheme="majorHAnsi"/>
                <w:sz w:val="20"/>
                <w:szCs w:val="20"/>
              </w:rPr>
            </w:pPr>
            <w:r w:rsidRPr="00D6175D">
              <w:rPr>
                <w:rFonts w:asciiTheme="majorHAnsi" w:hAnsiTheme="majorHAnsi"/>
                <w:sz w:val="20"/>
                <w:szCs w:val="20"/>
              </w:rPr>
              <w:t>Es así, que el insumo principal para posibilitar la operación de los servicios inalámbricos</w:t>
            </w:r>
            <w:r>
              <w:rPr>
                <w:rFonts w:asciiTheme="majorHAnsi" w:hAnsiTheme="majorHAnsi"/>
                <w:sz w:val="20"/>
                <w:szCs w:val="20"/>
              </w:rPr>
              <w:t xml:space="preserve"> </w:t>
            </w:r>
            <w:r w:rsidRPr="00D6175D">
              <w:rPr>
                <w:rFonts w:asciiTheme="majorHAnsi" w:hAnsiTheme="majorHAnsi"/>
                <w:sz w:val="20"/>
                <w:szCs w:val="20"/>
              </w:rPr>
              <w:t>es el espectro radioeléctrico. Éste es un recurso finito, por lo que para incrementar las</w:t>
            </w:r>
            <w:r>
              <w:rPr>
                <w:rFonts w:asciiTheme="majorHAnsi" w:hAnsiTheme="majorHAnsi"/>
                <w:sz w:val="20"/>
                <w:szCs w:val="20"/>
              </w:rPr>
              <w:t xml:space="preserve"> </w:t>
            </w:r>
            <w:r w:rsidRPr="00E00D21">
              <w:rPr>
                <w:rFonts w:asciiTheme="majorHAnsi" w:hAnsiTheme="majorHAnsi"/>
                <w:sz w:val="20"/>
                <w:szCs w:val="20"/>
              </w:rPr>
              <w:t>prestaciones</w:t>
            </w:r>
            <w:r w:rsidRPr="00F8733B">
              <w:rPr>
                <w:rFonts w:asciiTheme="majorHAnsi" w:hAnsiTheme="majorHAnsi"/>
                <w:sz w:val="20"/>
                <w:szCs w:val="20"/>
              </w:rPr>
              <w:t xml:space="preserve"> y</w:t>
            </w:r>
            <w:r w:rsidRPr="00D6175D">
              <w:rPr>
                <w:rFonts w:asciiTheme="majorHAnsi" w:hAnsiTheme="majorHAnsi"/>
                <w:sz w:val="20"/>
                <w:szCs w:val="20"/>
              </w:rPr>
              <w:t xml:space="preserve"> capacidades de las redes se cuenta por una parte con la </w:t>
            </w:r>
            <w:r w:rsidR="00014615">
              <w:rPr>
                <w:rFonts w:asciiTheme="majorHAnsi" w:hAnsiTheme="majorHAnsi"/>
                <w:sz w:val="20"/>
                <w:szCs w:val="20"/>
              </w:rPr>
              <w:t xml:space="preserve">constante evolución </w:t>
            </w:r>
            <w:r w:rsidRPr="00D6175D">
              <w:rPr>
                <w:rFonts w:asciiTheme="majorHAnsi" w:hAnsiTheme="majorHAnsi"/>
                <w:sz w:val="20"/>
                <w:szCs w:val="20"/>
              </w:rPr>
              <w:t>tecnol</w:t>
            </w:r>
            <w:r w:rsidR="007735CA">
              <w:rPr>
                <w:rFonts w:asciiTheme="majorHAnsi" w:hAnsiTheme="majorHAnsi"/>
                <w:sz w:val="20"/>
                <w:szCs w:val="20"/>
              </w:rPr>
              <w:t>ó</w:t>
            </w:r>
            <w:r w:rsidRPr="00D6175D">
              <w:rPr>
                <w:rFonts w:asciiTheme="majorHAnsi" w:hAnsiTheme="majorHAnsi"/>
                <w:sz w:val="20"/>
                <w:szCs w:val="20"/>
              </w:rPr>
              <w:t>g</w:t>
            </w:r>
            <w:r w:rsidR="007735CA">
              <w:rPr>
                <w:rFonts w:asciiTheme="majorHAnsi" w:hAnsiTheme="majorHAnsi"/>
                <w:sz w:val="20"/>
                <w:szCs w:val="20"/>
              </w:rPr>
              <w:t>ic</w:t>
            </w:r>
            <w:r w:rsidRPr="00D6175D">
              <w:rPr>
                <w:rFonts w:asciiTheme="majorHAnsi" w:hAnsiTheme="majorHAnsi"/>
                <w:sz w:val="20"/>
                <w:szCs w:val="20"/>
              </w:rPr>
              <w:t xml:space="preserve">a y </w:t>
            </w:r>
            <w:r w:rsidR="00014615">
              <w:rPr>
                <w:rFonts w:asciiTheme="majorHAnsi" w:hAnsiTheme="majorHAnsi"/>
                <w:sz w:val="20"/>
                <w:szCs w:val="20"/>
              </w:rPr>
              <w:t xml:space="preserve">con </w:t>
            </w:r>
            <w:r w:rsidRPr="00D6175D">
              <w:rPr>
                <w:rFonts w:asciiTheme="majorHAnsi" w:hAnsiTheme="majorHAnsi"/>
                <w:sz w:val="20"/>
                <w:szCs w:val="20"/>
              </w:rPr>
              <w:t>técnicas para aprovechar mejor el espectro</w:t>
            </w:r>
            <w:r w:rsidR="00014615">
              <w:rPr>
                <w:rFonts w:asciiTheme="majorHAnsi" w:hAnsiTheme="majorHAnsi"/>
                <w:sz w:val="20"/>
                <w:szCs w:val="20"/>
              </w:rPr>
              <w:t>,</w:t>
            </w:r>
            <w:r w:rsidRPr="00D6175D">
              <w:rPr>
                <w:rFonts w:asciiTheme="majorHAnsi" w:hAnsiTheme="majorHAnsi"/>
                <w:sz w:val="20"/>
                <w:szCs w:val="20"/>
              </w:rPr>
              <w:t xml:space="preserve"> y por otro lado con la posibilidad</w:t>
            </w:r>
            <w:r>
              <w:rPr>
                <w:rFonts w:asciiTheme="majorHAnsi" w:hAnsiTheme="majorHAnsi"/>
                <w:sz w:val="20"/>
                <w:szCs w:val="20"/>
              </w:rPr>
              <w:t xml:space="preserve"> </w:t>
            </w:r>
            <w:r w:rsidRPr="00D6175D">
              <w:rPr>
                <w:rFonts w:asciiTheme="majorHAnsi" w:hAnsiTheme="majorHAnsi"/>
                <w:sz w:val="20"/>
                <w:szCs w:val="20"/>
              </w:rPr>
              <w:t>de incrementar la cantidad de infraestructura para ampliar tanto la cobertura como la</w:t>
            </w:r>
            <w:r>
              <w:rPr>
                <w:rFonts w:asciiTheme="majorHAnsi" w:hAnsiTheme="majorHAnsi"/>
                <w:sz w:val="20"/>
                <w:szCs w:val="20"/>
              </w:rPr>
              <w:t xml:space="preserve"> </w:t>
            </w:r>
            <w:r w:rsidRPr="00D6175D">
              <w:rPr>
                <w:rFonts w:asciiTheme="majorHAnsi" w:hAnsiTheme="majorHAnsi"/>
                <w:sz w:val="20"/>
                <w:szCs w:val="20"/>
              </w:rPr>
              <w:t>capacidad de las redes</w:t>
            </w:r>
            <w:r w:rsidR="007735CA">
              <w:rPr>
                <w:rFonts w:asciiTheme="majorHAnsi" w:hAnsiTheme="majorHAnsi"/>
                <w:sz w:val="20"/>
                <w:szCs w:val="20"/>
              </w:rPr>
              <w:t>.</w:t>
            </w:r>
          </w:p>
          <w:p w:rsidR="00095C10" w:rsidRPr="00D6175D" w:rsidRDefault="00095C10" w:rsidP="00095C10">
            <w:pPr>
              <w:autoSpaceDE w:val="0"/>
              <w:autoSpaceDN w:val="0"/>
              <w:adjustRightInd w:val="0"/>
              <w:jc w:val="both"/>
              <w:rPr>
                <w:rFonts w:asciiTheme="majorHAnsi" w:hAnsiTheme="majorHAnsi"/>
                <w:sz w:val="20"/>
                <w:szCs w:val="20"/>
              </w:rPr>
            </w:pPr>
          </w:p>
          <w:p w:rsidR="00014615" w:rsidRDefault="00095C10" w:rsidP="00095C10">
            <w:pPr>
              <w:autoSpaceDE w:val="0"/>
              <w:autoSpaceDN w:val="0"/>
              <w:adjustRightInd w:val="0"/>
              <w:jc w:val="both"/>
              <w:rPr>
                <w:rFonts w:asciiTheme="majorHAnsi" w:hAnsiTheme="majorHAnsi"/>
                <w:sz w:val="20"/>
                <w:szCs w:val="20"/>
              </w:rPr>
            </w:pPr>
            <w:r w:rsidRPr="00D6175D">
              <w:rPr>
                <w:rFonts w:asciiTheme="majorHAnsi" w:hAnsiTheme="majorHAnsi"/>
                <w:sz w:val="20"/>
                <w:szCs w:val="20"/>
              </w:rPr>
              <w:t>Debido a las condiciones de propagación y de permeabilidad de señales, las bandas de</w:t>
            </w:r>
            <w:r>
              <w:rPr>
                <w:rFonts w:asciiTheme="majorHAnsi" w:hAnsiTheme="majorHAnsi"/>
                <w:sz w:val="20"/>
                <w:szCs w:val="20"/>
              </w:rPr>
              <w:t xml:space="preserve"> </w:t>
            </w:r>
            <w:r w:rsidRPr="00D6175D">
              <w:rPr>
                <w:rFonts w:asciiTheme="majorHAnsi" w:hAnsiTheme="majorHAnsi"/>
                <w:sz w:val="20"/>
                <w:szCs w:val="20"/>
              </w:rPr>
              <w:t>frecuencias que se encuentran por debajo de 1 GHz son las que ofrecen las mejores</w:t>
            </w:r>
            <w:r>
              <w:rPr>
                <w:rFonts w:asciiTheme="majorHAnsi" w:hAnsiTheme="majorHAnsi"/>
                <w:sz w:val="20"/>
                <w:szCs w:val="20"/>
              </w:rPr>
              <w:t xml:space="preserve"> </w:t>
            </w:r>
            <w:r w:rsidRPr="00D6175D">
              <w:rPr>
                <w:rFonts w:asciiTheme="majorHAnsi" w:hAnsiTheme="majorHAnsi"/>
                <w:sz w:val="20"/>
                <w:szCs w:val="20"/>
              </w:rPr>
              <w:t>condiciones técnicas para proporcionar servicios móviles.</w:t>
            </w:r>
          </w:p>
          <w:p w:rsidR="00014615" w:rsidRDefault="00014615" w:rsidP="00095C10">
            <w:pPr>
              <w:autoSpaceDE w:val="0"/>
              <w:autoSpaceDN w:val="0"/>
              <w:adjustRightInd w:val="0"/>
              <w:jc w:val="both"/>
              <w:rPr>
                <w:rFonts w:asciiTheme="majorHAnsi" w:hAnsiTheme="majorHAnsi"/>
                <w:sz w:val="20"/>
                <w:szCs w:val="20"/>
              </w:rPr>
            </w:pPr>
          </w:p>
          <w:p w:rsidR="00095C10" w:rsidRDefault="00095C10" w:rsidP="00095C10">
            <w:pPr>
              <w:autoSpaceDE w:val="0"/>
              <w:autoSpaceDN w:val="0"/>
              <w:adjustRightInd w:val="0"/>
              <w:jc w:val="both"/>
              <w:rPr>
                <w:rFonts w:asciiTheme="majorHAnsi" w:hAnsiTheme="majorHAnsi"/>
                <w:sz w:val="20"/>
                <w:szCs w:val="20"/>
              </w:rPr>
            </w:pPr>
            <w:r w:rsidRPr="00D6175D">
              <w:rPr>
                <w:rFonts w:asciiTheme="majorHAnsi" w:hAnsiTheme="majorHAnsi"/>
                <w:sz w:val="20"/>
                <w:szCs w:val="20"/>
              </w:rPr>
              <w:t>Por otra parte, para la</w:t>
            </w:r>
            <w:r>
              <w:rPr>
                <w:rFonts w:asciiTheme="majorHAnsi" w:hAnsiTheme="majorHAnsi"/>
                <w:sz w:val="20"/>
                <w:szCs w:val="20"/>
              </w:rPr>
              <w:t xml:space="preserve"> </w:t>
            </w:r>
            <w:r w:rsidRPr="00D6175D">
              <w:rPr>
                <w:rFonts w:asciiTheme="majorHAnsi" w:hAnsiTheme="majorHAnsi"/>
                <w:sz w:val="20"/>
                <w:szCs w:val="20"/>
              </w:rPr>
              <w:t>prestación de servicios móviles de banda ancha, es preferible contar con segmentos</w:t>
            </w:r>
            <w:r>
              <w:rPr>
                <w:rFonts w:asciiTheme="majorHAnsi" w:hAnsiTheme="majorHAnsi"/>
                <w:sz w:val="20"/>
                <w:szCs w:val="20"/>
              </w:rPr>
              <w:t xml:space="preserve"> </w:t>
            </w:r>
            <w:r w:rsidRPr="00D6175D">
              <w:rPr>
                <w:rFonts w:asciiTheme="majorHAnsi" w:hAnsiTheme="majorHAnsi"/>
                <w:sz w:val="20"/>
                <w:szCs w:val="20"/>
              </w:rPr>
              <w:t>amplios de espectro que permitan que tecnologías de banda ancha móvil ofrezcan las</w:t>
            </w:r>
            <w:r>
              <w:rPr>
                <w:rFonts w:asciiTheme="majorHAnsi" w:hAnsiTheme="majorHAnsi"/>
                <w:sz w:val="20"/>
                <w:szCs w:val="20"/>
              </w:rPr>
              <w:t xml:space="preserve"> </w:t>
            </w:r>
            <w:r w:rsidRPr="00D6175D">
              <w:rPr>
                <w:rFonts w:asciiTheme="majorHAnsi" w:hAnsiTheme="majorHAnsi"/>
                <w:sz w:val="20"/>
                <w:szCs w:val="20"/>
              </w:rPr>
              <w:t>mejores características en cuanto a tasas de transmisión de datos, latencia en las redes,</w:t>
            </w:r>
            <w:r>
              <w:rPr>
                <w:rFonts w:asciiTheme="majorHAnsi" w:hAnsiTheme="majorHAnsi"/>
                <w:sz w:val="20"/>
                <w:szCs w:val="20"/>
              </w:rPr>
              <w:t xml:space="preserve"> </w:t>
            </w:r>
            <w:r w:rsidRPr="00D6175D">
              <w:rPr>
                <w:rFonts w:asciiTheme="majorHAnsi" w:hAnsiTheme="majorHAnsi"/>
                <w:sz w:val="20"/>
                <w:szCs w:val="20"/>
              </w:rPr>
              <w:t>experiencia de usuario y eficiencia espectral, lo cual es apreciable cuando se utilizan</w:t>
            </w:r>
            <w:r>
              <w:rPr>
                <w:rFonts w:asciiTheme="majorHAnsi" w:hAnsiTheme="majorHAnsi"/>
                <w:sz w:val="20"/>
                <w:szCs w:val="20"/>
              </w:rPr>
              <w:t xml:space="preserve"> </w:t>
            </w:r>
            <w:r w:rsidRPr="00D6175D">
              <w:rPr>
                <w:rFonts w:asciiTheme="majorHAnsi" w:hAnsiTheme="majorHAnsi"/>
                <w:sz w:val="20"/>
                <w:szCs w:val="20"/>
              </w:rPr>
              <w:t xml:space="preserve">canales de 10 MHz de ancho o mayores. </w:t>
            </w:r>
          </w:p>
          <w:p w:rsidR="00095C10" w:rsidRDefault="00095C10" w:rsidP="00095C10">
            <w:pPr>
              <w:autoSpaceDE w:val="0"/>
              <w:autoSpaceDN w:val="0"/>
              <w:adjustRightInd w:val="0"/>
              <w:jc w:val="both"/>
              <w:rPr>
                <w:rFonts w:asciiTheme="majorHAnsi" w:hAnsiTheme="majorHAnsi"/>
                <w:sz w:val="20"/>
                <w:szCs w:val="20"/>
              </w:rPr>
            </w:pPr>
          </w:p>
          <w:p w:rsidR="00095C10" w:rsidRDefault="00095C10">
            <w:pPr>
              <w:autoSpaceDE w:val="0"/>
              <w:autoSpaceDN w:val="0"/>
              <w:adjustRightInd w:val="0"/>
              <w:jc w:val="both"/>
              <w:rPr>
                <w:rFonts w:asciiTheme="majorHAnsi" w:hAnsiTheme="majorHAnsi"/>
                <w:sz w:val="20"/>
                <w:szCs w:val="20"/>
              </w:rPr>
            </w:pPr>
            <w:r w:rsidRPr="00D6175D">
              <w:rPr>
                <w:rFonts w:asciiTheme="majorHAnsi" w:hAnsiTheme="majorHAnsi"/>
                <w:sz w:val="20"/>
                <w:szCs w:val="20"/>
              </w:rPr>
              <w:t>En</w:t>
            </w:r>
            <w:r w:rsidR="004969DC">
              <w:rPr>
                <w:rFonts w:asciiTheme="majorHAnsi" w:hAnsiTheme="majorHAnsi"/>
                <w:sz w:val="20"/>
                <w:szCs w:val="20"/>
              </w:rPr>
              <w:t xml:space="preserve"> </w:t>
            </w:r>
            <w:r w:rsidRPr="00D6175D">
              <w:rPr>
                <w:rFonts w:asciiTheme="majorHAnsi" w:hAnsiTheme="majorHAnsi"/>
                <w:sz w:val="20"/>
                <w:szCs w:val="20"/>
              </w:rPr>
              <w:t>virtud</w:t>
            </w:r>
            <w:r w:rsidR="004969DC">
              <w:rPr>
                <w:rFonts w:asciiTheme="majorHAnsi" w:hAnsiTheme="majorHAnsi"/>
                <w:sz w:val="20"/>
                <w:szCs w:val="20"/>
              </w:rPr>
              <w:t xml:space="preserve"> de lo anterior</w:t>
            </w:r>
            <w:r w:rsidRPr="00D6175D">
              <w:rPr>
                <w:rFonts w:asciiTheme="majorHAnsi" w:hAnsiTheme="majorHAnsi"/>
                <w:sz w:val="20"/>
                <w:szCs w:val="20"/>
              </w:rPr>
              <w:t>, se observa que</w:t>
            </w:r>
            <w:r w:rsidR="000A26FA">
              <w:rPr>
                <w:rFonts w:asciiTheme="majorHAnsi" w:hAnsiTheme="majorHAnsi"/>
                <w:sz w:val="20"/>
                <w:szCs w:val="20"/>
              </w:rPr>
              <w:t xml:space="preserve"> la B</w:t>
            </w:r>
            <w:r w:rsidR="000A26FA" w:rsidRPr="00D6175D">
              <w:rPr>
                <w:rFonts w:asciiTheme="majorHAnsi" w:hAnsiTheme="majorHAnsi"/>
                <w:sz w:val="20"/>
                <w:szCs w:val="20"/>
              </w:rPr>
              <w:t xml:space="preserve">anda </w:t>
            </w:r>
            <w:r w:rsidR="000A26FA">
              <w:rPr>
                <w:rFonts w:asciiTheme="majorHAnsi" w:hAnsiTheme="majorHAnsi"/>
                <w:sz w:val="20"/>
                <w:szCs w:val="20"/>
              </w:rPr>
              <w:t>28</w:t>
            </w:r>
            <w:r w:rsidR="000A26FA">
              <w:rPr>
                <w:rStyle w:val="Refdenotaalpie"/>
                <w:rFonts w:asciiTheme="majorHAnsi" w:hAnsiTheme="majorHAnsi"/>
                <w:sz w:val="20"/>
                <w:szCs w:val="20"/>
              </w:rPr>
              <w:footnoteReference w:id="3"/>
            </w:r>
            <w:r w:rsidR="000A26FA">
              <w:rPr>
                <w:rFonts w:asciiTheme="majorHAnsi" w:hAnsiTheme="majorHAnsi"/>
                <w:sz w:val="20"/>
                <w:szCs w:val="20"/>
              </w:rPr>
              <w:t xml:space="preserve"> </w:t>
            </w:r>
            <w:r w:rsidR="0066033F">
              <w:rPr>
                <w:rFonts w:asciiTheme="majorHAnsi" w:hAnsiTheme="majorHAnsi"/>
                <w:sz w:val="20"/>
                <w:szCs w:val="20"/>
              </w:rPr>
              <w:t>APT</w:t>
            </w:r>
            <w:r w:rsidR="000A26FA">
              <w:rPr>
                <w:rFonts w:asciiTheme="majorHAnsi" w:hAnsiTheme="majorHAnsi"/>
                <w:sz w:val="20"/>
                <w:szCs w:val="20"/>
              </w:rPr>
              <w:t>700</w:t>
            </w:r>
            <w:r w:rsidR="0066033F">
              <w:rPr>
                <w:rFonts w:asciiTheme="majorHAnsi" w:hAnsiTheme="majorHAnsi"/>
                <w:sz w:val="20"/>
                <w:szCs w:val="20"/>
              </w:rPr>
              <w:t xml:space="preserve"> FDD</w:t>
            </w:r>
            <w:r w:rsidR="000A26FA">
              <w:rPr>
                <w:rFonts w:asciiTheme="majorHAnsi" w:hAnsiTheme="majorHAnsi"/>
                <w:sz w:val="20"/>
                <w:szCs w:val="20"/>
              </w:rPr>
              <w:t xml:space="preserve"> (</w:t>
            </w:r>
            <w:r w:rsidR="000A26FA" w:rsidRPr="00D6175D">
              <w:rPr>
                <w:rFonts w:asciiTheme="majorHAnsi" w:hAnsiTheme="majorHAnsi"/>
                <w:sz w:val="20"/>
                <w:szCs w:val="20"/>
              </w:rPr>
              <w:t>698-806 MHz</w:t>
            </w:r>
            <w:r w:rsidR="000A26FA">
              <w:rPr>
                <w:rFonts w:asciiTheme="majorHAnsi" w:hAnsiTheme="majorHAnsi"/>
                <w:sz w:val="20"/>
                <w:szCs w:val="20"/>
              </w:rPr>
              <w:t xml:space="preserve">), se encuentra </w:t>
            </w:r>
            <w:r w:rsidRPr="00D6175D">
              <w:rPr>
                <w:rFonts w:asciiTheme="majorHAnsi" w:hAnsiTheme="majorHAnsi"/>
                <w:sz w:val="20"/>
                <w:szCs w:val="20"/>
              </w:rPr>
              <w:t>por debajo de 1 GHz</w:t>
            </w:r>
            <w:r w:rsidR="000A26FA">
              <w:rPr>
                <w:rFonts w:asciiTheme="majorHAnsi" w:hAnsiTheme="majorHAnsi"/>
                <w:sz w:val="20"/>
                <w:szCs w:val="20"/>
              </w:rPr>
              <w:t xml:space="preserve">, </w:t>
            </w:r>
            <w:r w:rsidRPr="00D6175D">
              <w:rPr>
                <w:rFonts w:asciiTheme="majorHAnsi" w:hAnsiTheme="majorHAnsi"/>
                <w:sz w:val="20"/>
                <w:szCs w:val="20"/>
              </w:rPr>
              <w:t>cumple con las</w:t>
            </w:r>
            <w:r>
              <w:rPr>
                <w:rFonts w:asciiTheme="majorHAnsi" w:hAnsiTheme="majorHAnsi"/>
                <w:sz w:val="20"/>
                <w:szCs w:val="20"/>
              </w:rPr>
              <w:t xml:space="preserve"> </w:t>
            </w:r>
            <w:r w:rsidRPr="00D6175D">
              <w:rPr>
                <w:rFonts w:asciiTheme="majorHAnsi" w:hAnsiTheme="majorHAnsi"/>
                <w:sz w:val="20"/>
                <w:szCs w:val="20"/>
              </w:rPr>
              <w:t>consideraciones anteriores</w:t>
            </w:r>
            <w:r w:rsidR="00D00AA1">
              <w:rPr>
                <w:rFonts w:asciiTheme="majorHAnsi" w:hAnsiTheme="majorHAnsi"/>
                <w:sz w:val="20"/>
                <w:szCs w:val="20"/>
              </w:rPr>
              <w:t xml:space="preserve">. Dicha banda, </w:t>
            </w:r>
            <w:r w:rsidRPr="00D6175D">
              <w:rPr>
                <w:rFonts w:asciiTheme="majorHAnsi" w:hAnsiTheme="majorHAnsi"/>
                <w:sz w:val="20"/>
                <w:szCs w:val="20"/>
              </w:rPr>
              <w:t>denominada comúnmente como “dividendo digital”</w:t>
            </w:r>
            <w:r w:rsidR="00D00AA1">
              <w:rPr>
                <w:rFonts w:asciiTheme="majorHAnsi" w:hAnsiTheme="majorHAnsi"/>
                <w:sz w:val="20"/>
                <w:szCs w:val="20"/>
              </w:rPr>
              <w:t>,</w:t>
            </w:r>
            <w:r w:rsidRPr="00D6175D">
              <w:rPr>
                <w:rFonts w:asciiTheme="majorHAnsi" w:hAnsiTheme="majorHAnsi"/>
                <w:sz w:val="20"/>
                <w:szCs w:val="20"/>
              </w:rPr>
              <w:t xml:space="preserve"> ha sido o está siendo</w:t>
            </w:r>
            <w:r>
              <w:rPr>
                <w:rFonts w:asciiTheme="majorHAnsi" w:hAnsiTheme="majorHAnsi"/>
                <w:sz w:val="20"/>
                <w:szCs w:val="20"/>
              </w:rPr>
              <w:t xml:space="preserve"> </w:t>
            </w:r>
            <w:r w:rsidRPr="00D6175D">
              <w:rPr>
                <w:rFonts w:asciiTheme="majorHAnsi" w:hAnsiTheme="majorHAnsi"/>
                <w:sz w:val="20"/>
                <w:szCs w:val="20"/>
              </w:rPr>
              <w:t>liberada en gran parte del mundo para su uso en servicios de banda ancha, y se está</w:t>
            </w:r>
            <w:r>
              <w:rPr>
                <w:rFonts w:asciiTheme="majorHAnsi" w:hAnsiTheme="majorHAnsi"/>
                <w:sz w:val="20"/>
                <w:szCs w:val="20"/>
              </w:rPr>
              <w:t xml:space="preserve"> </w:t>
            </w:r>
            <w:r w:rsidRPr="00D6175D">
              <w:rPr>
                <w:rFonts w:asciiTheme="majorHAnsi" w:hAnsiTheme="majorHAnsi"/>
                <w:sz w:val="20"/>
                <w:szCs w:val="20"/>
              </w:rPr>
              <w:t>haciendo de una manera altamente armonizada, de forma tal que se estima que las</w:t>
            </w:r>
            <w:r>
              <w:rPr>
                <w:rFonts w:asciiTheme="majorHAnsi" w:hAnsiTheme="majorHAnsi"/>
                <w:sz w:val="20"/>
                <w:szCs w:val="20"/>
              </w:rPr>
              <w:t xml:space="preserve"> </w:t>
            </w:r>
            <w:r w:rsidRPr="00D6175D">
              <w:rPr>
                <w:rFonts w:asciiTheme="majorHAnsi" w:hAnsiTheme="majorHAnsi"/>
                <w:sz w:val="20"/>
                <w:szCs w:val="20"/>
              </w:rPr>
              <w:t>economías de escala que se desarrollarán alrededor del uso de esta banda de</w:t>
            </w:r>
            <w:r>
              <w:rPr>
                <w:rFonts w:asciiTheme="majorHAnsi" w:hAnsiTheme="majorHAnsi"/>
                <w:sz w:val="20"/>
                <w:szCs w:val="20"/>
              </w:rPr>
              <w:t xml:space="preserve"> </w:t>
            </w:r>
            <w:r w:rsidRPr="00D6175D">
              <w:rPr>
                <w:rFonts w:asciiTheme="majorHAnsi" w:hAnsiTheme="majorHAnsi"/>
                <w:sz w:val="20"/>
                <w:szCs w:val="20"/>
              </w:rPr>
              <w:t>frecuencias serán lo suficientemente grandes como para que los sectores poblacionales</w:t>
            </w:r>
            <w:r>
              <w:rPr>
                <w:rFonts w:asciiTheme="majorHAnsi" w:hAnsiTheme="majorHAnsi"/>
                <w:sz w:val="20"/>
                <w:szCs w:val="20"/>
              </w:rPr>
              <w:t xml:space="preserve"> </w:t>
            </w:r>
            <w:r w:rsidRPr="00D6175D">
              <w:rPr>
                <w:rFonts w:asciiTheme="majorHAnsi" w:hAnsiTheme="majorHAnsi"/>
                <w:sz w:val="20"/>
                <w:szCs w:val="20"/>
              </w:rPr>
              <w:t>de menores ingresos puedan acceder a terminales inteligentes y servicios de banda</w:t>
            </w:r>
            <w:r>
              <w:rPr>
                <w:rFonts w:asciiTheme="majorHAnsi" w:hAnsiTheme="majorHAnsi"/>
                <w:sz w:val="20"/>
                <w:szCs w:val="20"/>
              </w:rPr>
              <w:t xml:space="preserve"> </w:t>
            </w:r>
            <w:r w:rsidRPr="00D6175D">
              <w:rPr>
                <w:rFonts w:asciiTheme="majorHAnsi" w:hAnsiTheme="majorHAnsi"/>
                <w:sz w:val="20"/>
                <w:szCs w:val="20"/>
              </w:rPr>
              <w:t xml:space="preserve">ancha móvil gracias a la disminución de los precios. </w:t>
            </w:r>
          </w:p>
          <w:p w:rsidR="00095C10" w:rsidRDefault="00095C10" w:rsidP="00095C10">
            <w:pPr>
              <w:autoSpaceDE w:val="0"/>
              <w:autoSpaceDN w:val="0"/>
              <w:adjustRightInd w:val="0"/>
              <w:jc w:val="both"/>
              <w:rPr>
                <w:rFonts w:asciiTheme="majorHAnsi" w:hAnsiTheme="majorHAnsi"/>
                <w:sz w:val="20"/>
                <w:szCs w:val="20"/>
              </w:rPr>
            </w:pPr>
          </w:p>
          <w:p w:rsidR="00AE3908" w:rsidRPr="00AE3908" w:rsidRDefault="000A26FA" w:rsidP="00AE3908">
            <w:pPr>
              <w:shd w:val="clear" w:color="auto" w:fill="FFFFFF"/>
              <w:spacing w:after="101"/>
              <w:jc w:val="both"/>
              <w:rPr>
                <w:rFonts w:asciiTheme="majorHAnsi" w:hAnsiTheme="majorHAnsi"/>
                <w:sz w:val="20"/>
                <w:szCs w:val="20"/>
              </w:rPr>
            </w:pPr>
            <w:r>
              <w:rPr>
                <w:rFonts w:asciiTheme="majorHAnsi" w:hAnsiTheme="majorHAnsi"/>
                <w:sz w:val="20"/>
                <w:szCs w:val="20"/>
              </w:rPr>
              <w:t>Es importante mencionar que l</w:t>
            </w:r>
            <w:r w:rsidR="00AE3908" w:rsidRPr="00AE3908">
              <w:rPr>
                <w:rFonts w:asciiTheme="majorHAnsi" w:hAnsiTheme="majorHAnsi"/>
                <w:sz w:val="20"/>
                <w:szCs w:val="20"/>
              </w:rPr>
              <w:t>a Banda 28</w:t>
            </w:r>
            <w:r w:rsidR="0066033F">
              <w:rPr>
                <w:rFonts w:asciiTheme="majorHAnsi" w:hAnsiTheme="majorHAnsi"/>
                <w:sz w:val="20"/>
                <w:szCs w:val="20"/>
              </w:rPr>
              <w:t xml:space="preserve"> APT700 FDD</w:t>
            </w:r>
            <w:r w:rsidR="00FF0249">
              <w:rPr>
                <w:rFonts w:asciiTheme="majorHAnsi" w:hAnsiTheme="majorHAnsi"/>
                <w:sz w:val="20"/>
                <w:szCs w:val="20"/>
              </w:rPr>
              <w:t xml:space="preserve"> </w:t>
            </w:r>
            <w:r w:rsidR="004969DC">
              <w:rPr>
                <w:rFonts w:asciiTheme="majorHAnsi" w:hAnsiTheme="majorHAnsi"/>
                <w:sz w:val="20"/>
                <w:szCs w:val="20"/>
              </w:rPr>
              <w:t xml:space="preserve">ha sido </w:t>
            </w:r>
            <w:r w:rsidR="00AE3908" w:rsidRPr="00AE3908">
              <w:rPr>
                <w:rFonts w:asciiTheme="majorHAnsi" w:hAnsiTheme="majorHAnsi"/>
                <w:sz w:val="20"/>
                <w:szCs w:val="20"/>
              </w:rPr>
              <w:t>adoptada internacionalmente y que está</w:t>
            </w:r>
            <w:r w:rsidR="005127C0">
              <w:rPr>
                <w:rFonts w:asciiTheme="majorHAnsi" w:hAnsiTheme="majorHAnsi"/>
                <w:sz w:val="20"/>
                <w:szCs w:val="20"/>
              </w:rPr>
              <w:t xml:space="preserve"> siendo </w:t>
            </w:r>
            <w:r w:rsidR="00AE3908" w:rsidRPr="00AE3908">
              <w:rPr>
                <w:rFonts w:asciiTheme="majorHAnsi" w:hAnsiTheme="majorHAnsi"/>
                <w:sz w:val="20"/>
                <w:szCs w:val="20"/>
              </w:rPr>
              <w:t>desplegada técnica y comercialmente en América Latina (</w:t>
            </w:r>
            <w:r w:rsidR="00D00AA1">
              <w:rPr>
                <w:rFonts w:asciiTheme="majorHAnsi" w:hAnsiTheme="majorHAnsi"/>
                <w:sz w:val="20"/>
                <w:szCs w:val="20"/>
              </w:rPr>
              <w:t xml:space="preserve">entre ellos, </w:t>
            </w:r>
            <w:r w:rsidR="00AE3908" w:rsidRPr="00AE3908">
              <w:rPr>
                <w:rFonts w:asciiTheme="majorHAnsi" w:hAnsiTheme="majorHAnsi"/>
                <w:sz w:val="20"/>
                <w:szCs w:val="20"/>
              </w:rPr>
              <w:t>México) y Asia</w:t>
            </w:r>
            <w:r w:rsidR="00A91848">
              <w:rPr>
                <w:rStyle w:val="Refdenotaalpie"/>
                <w:rFonts w:asciiTheme="majorHAnsi" w:hAnsiTheme="majorHAnsi"/>
                <w:sz w:val="20"/>
                <w:szCs w:val="20"/>
              </w:rPr>
              <w:footnoteReference w:id="4"/>
            </w:r>
            <w:r w:rsidR="00AE3908" w:rsidRPr="00AE3908">
              <w:rPr>
                <w:rFonts w:asciiTheme="majorHAnsi" w:hAnsiTheme="majorHAnsi"/>
                <w:sz w:val="20"/>
                <w:szCs w:val="20"/>
              </w:rPr>
              <w:t xml:space="preserve">, para la prestación de servicios móviles </w:t>
            </w:r>
            <w:r w:rsidR="0066033F">
              <w:rPr>
                <w:rFonts w:asciiTheme="majorHAnsi" w:hAnsiTheme="majorHAnsi"/>
                <w:sz w:val="20"/>
                <w:szCs w:val="20"/>
              </w:rPr>
              <w:t>conforme a</w:t>
            </w:r>
            <w:r w:rsidR="00AE3908" w:rsidRPr="00AE3908">
              <w:rPr>
                <w:rFonts w:asciiTheme="majorHAnsi" w:hAnsiTheme="majorHAnsi"/>
                <w:sz w:val="20"/>
                <w:szCs w:val="20"/>
              </w:rPr>
              <w:t xml:space="preserve">l </w:t>
            </w:r>
            <w:r w:rsidR="0066033F">
              <w:rPr>
                <w:rFonts w:asciiTheme="majorHAnsi" w:hAnsiTheme="majorHAnsi"/>
                <w:sz w:val="20"/>
                <w:szCs w:val="20"/>
              </w:rPr>
              <w:t>e</w:t>
            </w:r>
            <w:r w:rsidR="00AE3908" w:rsidRPr="00AE3908">
              <w:rPr>
                <w:rFonts w:asciiTheme="majorHAnsi" w:hAnsiTheme="majorHAnsi"/>
                <w:sz w:val="20"/>
                <w:szCs w:val="20"/>
              </w:rPr>
              <w:t xml:space="preserve">stándar Long </w:t>
            </w:r>
            <w:proofErr w:type="spellStart"/>
            <w:r w:rsidR="00AE3908" w:rsidRPr="00AE3908">
              <w:rPr>
                <w:rFonts w:asciiTheme="majorHAnsi" w:hAnsiTheme="majorHAnsi"/>
                <w:sz w:val="20"/>
                <w:szCs w:val="20"/>
              </w:rPr>
              <w:t>Term</w:t>
            </w:r>
            <w:proofErr w:type="spellEnd"/>
            <w:r w:rsidR="00AE3908" w:rsidRPr="00AE3908">
              <w:rPr>
                <w:rFonts w:asciiTheme="majorHAnsi" w:hAnsiTheme="majorHAnsi"/>
                <w:sz w:val="20"/>
                <w:szCs w:val="20"/>
              </w:rPr>
              <w:t xml:space="preserve"> </w:t>
            </w:r>
            <w:proofErr w:type="spellStart"/>
            <w:r w:rsidR="00AE3908" w:rsidRPr="00AE3908">
              <w:rPr>
                <w:rFonts w:asciiTheme="majorHAnsi" w:hAnsiTheme="majorHAnsi"/>
                <w:sz w:val="20"/>
                <w:szCs w:val="20"/>
              </w:rPr>
              <w:t>Evolution</w:t>
            </w:r>
            <w:proofErr w:type="spellEnd"/>
            <w:r w:rsidR="00AE3908" w:rsidRPr="00AE3908">
              <w:rPr>
                <w:rFonts w:asciiTheme="majorHAnsi" w:hAnsiTheme="majorHAnsi"/>
                <w:sz w:val="20"/>
                <w:szCs w:val="20"/>
              </w:rPr>
              <w:t xml:space="preserve"> (LTE)</w:t>
            </w:r>
            <w:r w:rsidR="005127C0">
              <w:rPr>
                <w:rFonts w:asciiTheme="majorHAnsi" w:hAnsiTheme="majorHAnsi"/>
                <w:sz w:val="20"/>
                <w:szCs w:val="20"/>
              </w:rPr>
              <w:t>, asimismo</w:t>
            </w:r>
            <w:r>
              <w:rPr>
                <w:rFonts w:asciiTheme="majorHAnsi" w:hAnsiTheme="majorHAnsi"/>
                <w:sz w:val="20"/>
                <w:szCs w:val="20"/>
              </w:rPr>
              <w:t xml:space="preserve"> se </w:t>
            </w:r>
            <w:r w:rsidR="00D00AA1">
              <w:rPr>
                <w:rFonts w:asciiTheme="majorHAnsi" w:hAnsiTheme="majorHAnsi"/>
                <w:sz w:val="20"/>
                <w:szCs w:val="20"/>
              </w:rPr>
              <w:t xml:space="preserve">estima que </w:t>
            </w:r>
            <w:r w:rsidR="0066033F">
              <w:rPr>
                <w:rFonts w:asciiTheme="majorHAnsi" w:hAnsiTheme="majorHAnsi"/>
                <w:sz w:val="20"/>
                <w:szCs w:val="20"/>
              </w:rPr>
              <w:t>existe</w:t>
            </w:r>
            <w:r w:rsidR="00AE3908" w:rsidRPr="00AE3908">
              <w:rPr>
                <w:rFonts w:asciiTheme="majorHAnsi" w:hAnsiTheme="majorHAnsi"/>
                <w:sz w:val="20"/>
                <w:szCs w:val="20"/>
              </w:rPr>
              <w:t xml:space="preserve"> un mercado global de 4 mil millones de personas</w:t>
            </w:r>
            <w:r w:rsidR="00401874">
              <w:rPr>
                <w:rStyle w:val="Refdenotaalpie"/>
                <w:rFonts w:asciiTheme="majorHAnsi" w:hAnsiTheme="majorHAnsi"/>
                <w:sz w:val="20"/>
                <w:szCs w:val="20"/>
              </w:rPr>
              <w:footnoteReference w:id="5"/>
            </w:r>
            <w:r w:rsidR="00AE3908" w:rsidRPr="00AE3908">
              <w:rPr>
                <w:rFonts w:asciiTheme="majorHAnsi" w:hAnsiTheme="majorHAnsi"/>
                <w:sz w:val="20"/>
                <w:szCs w:val="20"/>
              </w:rPr>
              <w:t xml:space="preserve">  y con más de 350 millones de </w:t>
            </w:r>
            <w:proofErr w:type="spellStart"/>
            <w:r w:rsidR="00AE3908" w:rsidRPr="00AE3908">
              <w:rPr>
                <w:rFonts w:asciiTheme="majorHAnsi" w:hAnsiTheme="majorHAnsi"/>
                <w:sz w:val="20"/>
                <w:szCs w:val="20"/>
              </w:rPr>
              <w:t>Smartphones</w:t>
            </w:r>
            <w:proofErr w:type="spellEnd"/>
            <w:r w:rsidR="00AE3908" w:rsidRPr="00AE3908">
              <w:rPr>
                <w:rFonts w:asciiTheme="majorHAnsi" w:hAnsiTheme="majorHAnsi"/>
                <w:sz w:val="20"/>
                <w:szCs w:val="20"/>
              </w:rPr>
              <w:t xml:space="preserve"> vendidos </w:t>
            </w:r>
            <w:r>
              <w:rPr>
                <w:rFonts w:asciiTheme="majorHAnsi" w:hAnsiTheme="majorHAnsi"/>
                <w:sz w:val="20"/>
                <w:szCs w:val="20"/>
              </w:rPr>
              <w:t xml:space="preserve">en 2016 </w:t>
            </w:r>
            <w:r w:rsidR="00AE3908" w:rsidRPr="00AE3908">
              <w:rPr>
                <w:rFonts w:asciiTheme="majorHAnsi" w:hAnsiTheme="majorHAnsi"/>
                <w:sz w:val="20"/>
                <w:szCs w:val="20"/>
              </w:rPr>
              <w:t xml:space="preserve">a nivel mundial compatibles con </w:t>
            </w:r>
            <w:r w:rsidR="0066033F">
              <w:rPr>
                <w:rFonts w:asciiTheme="majorHAnsi" w:hAnsiTheme="majorHAnsi"/>
                <w:sz w:val="20"/>
                <w:szCs w:val="20"/>
              </w:rPr>
              <w:t>dicha</w:t>
            </w:r>
            <w:r w:rsidR="00AE3908" w:rsidRPr="00AE3908">
              <w:rPr>
                <w:rFonts w:asciiTheme="majorHAnsi" w:hAnsiTheme="majorHAnsi"/>
                <w:sz w:val="20"/>
                <w:szCs w:val="20"/>
              </w:rPr>
              <w:t xml:space="preserve"> banda.</w:t>
            </w:r>
            <w:r w:rsidR="0066033F">
              <w:rPr>
                <w:rFonts w:asciiTheme="majorHAnsi" w:hAnsiTheme="majorHAnsi"/>
                <w:sz w:val="20"/>
                <w:szCs w:val="20"/>
              </w:rPr>
              <w:t xml:space="preserve"> </w:t>
            </w:r>
          </w:p>
          <w:p w:rsidR="005127C0" w:rsidRPr="00AE3908" w:rsidRDefault="005127C0" w:rsidP="00AE3908">
            <w:pPr>
              <w:shd w:val="clear" w:color="auto" w:fill="FFFFFF"/>
              <w:spacing w:after="101"/>
              <w:jc w:val="both"/>
              <w:rPr>
                <w:rFonts w:asciiTheme="majorHAnsi" w:hAnsiTheme="majorHAnsi"/>
                <w:sz w:val="20"/>
                <w:szCs w:val="20"/>
              </w:rPr>
            </w:pPr>
            <w:r>
              <w:rPr>
                <w:rFonts w:asciiTheme="majorHAnsi" w:hAnsiTheme="majorHAnsi"/>
                <w:sz w:val="20"/>
                <w:szCs w:val="20"/>
              </w:rPr>
              <w:t>L</w:t>
            </w:r>
            <w:r w:rsidR="00AE3908" w:rsidRPr="00AE3908">
              <w:rPr>
                <w:rFonts w:asciiTheme="majorHAnsi" w:hAnsiTheme="majorHAnsi"/>
                <w:sz w:val="20"/>
                <w:szCs w:val="20"/>
              </w:rPr>
              <w:t xml:space="preserve">a disponibilidad de ETM que soportan Banda 28 es amplia y se </w:t>
            </w:r>
            <w:r w:rsidR="000A26FA">
              <w:rPr>
                <w:rFonts w:asciiTheme="majorHAnsi" w:hAnsiTheme="majorHAnsi"/>
                <w:sz w:val="20"/>
                <w:szCs w:val="20"/>
              </w:rPr>
              <w:t xml:space="preserve">observa </w:t>
            </w:r>
            <w:r w:rsidR="00AE3908" w:rsidRPr="00AE3908">
              <w:rPr>
                <w:rFonts w:asciiTheme="majorHAnsi" w:hAnsiTheme="majorHAnsi"/>
                <w:sz w:val="20"/>
                <w:szCs w:val="20"/>
              </w:rPr>
              <w:t xml:space="preserve">un desarrollo creciente del ecosistema, fundamentalmente en los países que han </w:t>
            </w:r>
            <w:r w:rsidR="000A26FA">
              <w:rPr>
                <w:rFonts w:asciiTheme="majorHAnsi" w:hAnsiTheme="majorHAnsi"/>
                <w:sz w:val="20"/>
                <w:szCs w:val="20"/>
              </w:rPr>
              <w:t xml:space="preserve">iniciado </w:t>
            </w:r>
            <w:r w:rsidR="00AE3908" w:rsidRPr="00AE3908">
              <w:rPr>
                <w:rFonts w:asciiTheme="majorHAnsi" w:hAnsiTheme="majorHAnsi"/>
                <w:sz w:val="20"/>
                <w:szCs w:val="20"/>
              </w:rPr>
              <w:t xml:space="preserve">el despliegue de </w:t>
            </w:r>
            <w:r w:rsidR="000A26FA">
              <w:rPr>
                <w:rFonts w:asciiTheme="majorHAnsi" w:hAnsiTheme="majorHAnsi"/>
                <w:sz w:val="20"/>
                <w:szCs w:val="20"/>
              </w:rPr>
              <w:t xml:space="preserve">sus </w:t>
            </w:r>
            <w:r w:rsidR="00AE3908" w:rsidRPr="00AE3908">
              <w:rPr>
                <w:rFonts w:asciiTheme="majorHAnsi" w:hAnsiTheme="majorHAnsi"/>
                <w:sz w:val="20"/>
                <w:szCs w:val="20"/>
              </w:rPr>
              <w:t>red</w:t>
            </w:r>
            <w:r w:rsidR="000A26FA">
              <w:rPr>
                <w:rFonts w:asciiTheme="majorHAnsi" w:hAnsiTheme="majorHAnsi"/>
                <w:sz w:val="20"/>
                <w:szCs w:val="20"/>
              </w:rPr>
              <w:t>es</w:t>
            </w:r>
            <w:r w:rsidR="00F86EBE">
              <w:rPr>
                <w:rFonts w:asciiTheme="majorHAnsi" w:hAnsiTheme="majorHAnsi"/>
                <w:sz w:val="20"/>
                <w:szCs w:val="20"/>
              </w:rPr>
              <w:t>; p</w:t>
            </w:r>
            <w:r w:rsidR="00AE3908" w:rsidRPr="00AE3908">
              <w:rPr>
                <w:rFonts w:asciiTheme="majorHAnsi" w:hAnsiTheme="majorHAnsi"/>
                <w:sz w:val="20"/>
                <w:szCs w:val="20"/>
              </w:rPr>
              <w:t xml:space="preserve">rueba de lo anterior, </w:t>
            </w:r>
            <w:r>
              <w:rPr>
                <w:rFonts w:asciiTheme="majorHAnsi" w:hAnsiTheme="majorHAnsi"/>
                <w:sz w:val="20"/>
                <w:szCs w:val="20"/>
              </w:rPr>
              <w:t xml:space="preserve">se muestran ejemplos de </w:t>
            </w:r>
            <w:r w:rsidR="000A26FA">
              <w:rPr>
                <w:rFonts w:asciiTheme="majorHAnsi" w:hAnsiTheme="majorHAnsi"/>
                <w:sz w:val="20"/>
                <w:szCs w:val="20"/>
              </w:rPr>
              <w:t xml:space="preserve">los ETM </w:t>
            </w:r>
            <w:r w:rsidR="00AE3908" w:rsidRPr="00AE3908">
              <w:rPr>
                <w:rFonts w:asciiTheme="majorHAnsi" w:hAnsiTheme="majorHAnsi"/>
                <w:sz w:val="20"/>
                <w:szCs w:val="20"/>
              </w:rPr>
              <w:t xml:space="preserve"> compatibles con banda 28 en América Latina:</w:t>
            </w:r>
          </w:p>
          <w:p w:rsidR="00AE3908" w:rsidRPr="00AE3908" w:rsidRDefault="00AE3908" w:rsidP="00CB4A83">
            <w:pPr>
              <w:pStyle w:val="Prrafodelista"/>
              <w:numPr>
                <w:ilvl w:val="0"/>
                <w:numId w:val="31"/>
              </w:numPr>
              <w:shd w:val="clear" w:color="auto" w:fill="FFFFFF"/>
              <w:spacing w:after="101"/>
              <w:jc w:val="both"/>
              <w:rPr>
                <w:rFonts w:asciiTheme="majorHAnsi" w:hAnsiTheme="majorHAnsi"/>
                <w:sz w:val="20"/>
                <w:szCs w:val="20"/>
              </w:rPr>
            </w:pPr>
            <w:r w:rsidRPr="00AE3908">
              <w:rPr>
                <w:rFonts w:asciiTheme="majorHAnsi" w:hAnsiTheme="majorHAnsi"/>
                <w:sz w:val="20"/>
                <w:szCs w:val="20"/>
              </w:rPr>
              <w:t>Chile alcanzo el 80% del total de ETM</w:t>
            </w:r>
            <w:r w:rsidR="005127C0">
              <w:rPr>
                <w:rFonts w:asciiTheme="majorHAnsi" w:hAnsiTheme="majorHAnsi"/>
                <w:sz w:val="20"/>
                <w:szCs w:val="20"/>
              </w:rPr>
              <w:t xml:space="preserve"> </w:t>
            </w:r>
            <w:r w:rsidR="00091A2B">
              <w:rPr>
                <w:rFonts w:asciiTheme="majorHAnsi" w:hAnsiTheme="majorHAnsi"/>
                <w:sz w:val="20"/>
                <w:szCs w:val="20"/>
              </w:rPr>
              <w:t xml:space="preserve">a partir del segundo semestre del 2015 </w:t>
            </w:r>
            <w:r w:rsidR="005127C0">
              <w:rPr>
                <w:rFonts w:asciiTheme="majorHAnsi" w:hAnsiTheme="majorHAnsi"/>
                <w:sz w:val="20"/>
                <w:szCs w:val="20"/>
              </w:rPr>
              <w:t xml:space="preserve">y </w:t>
            </w:r>
            <w:r w:rsidR="000A26FA">
              <w:rPr>
                <w:rFonts w:asciiTheme="majorHAnsi" w:hAnsiTheme="majorHAnsi"/>
                <w:sz w:val="20"/>
                <w:szCs w:val="20"/>
              </w:rPr>
              <w:t xml:space="preserve">la </w:t>
            </w:r>
            <w:r w:rsidRPr="00AE3908">
              <w:rPr>
                <w:rFonts w:asciiTheme="majorHAnsi" w:hAnsiTheme="majorHAnsi"/>
                <w:sz w:val="20"/>
                <w:szCs w:val="20"/>
              </w:rPr>
              <w:t xml:space="preserve">red </w:t>
            </w:r>
            <w:r w:rsidR="000A26FA">
              <w:rPr>
                <w:rFonts w:asciiTheme="majorHAnsi" w:hAnsiTheme="majorHAnsi"/>
                <w:sz w:val="20"/>
                <w:szCs w:val="20"/>
              </w:rPr>
              <w:t xml:space="preserve">fue </w:t>
            </w:r>
            <w:r w:rsidRPr="00AE3908">
              <w:rPr>
                <w:rFonts w:asciiTheme="majorHAnsi" w:hAnsiTheme="majorHAnsi"/>
                <w:sz w:val="20"/>
                <w:szCs w:val="20"/>
              </w:rPr>
              <w:t>puesta en operación en mayo de 2016.</w:t>
            </w:r>
          </w:p>
          <w:p w:rsidR="00AE3908" w:rsidRDefault="00AE3908" w:rsidP="00CB4A83">
            <w:pPr>
              <w:pStyle w:val="Prrafodelista"/>
              <w:numPr>
                <w:ilvl w:val="0"/>
                <w:numId w:val="31"/>
              </w:numPr>
              <w:shd w:val="clear" w:color="auto" w:fill="FFFFFF"/>
              <w:spacing w:after="101"/>
              <w:jc w:val="both"/>
              <w:rPr>
                <w:rFonts w:asciiTheme="majorHAnsi" w:hAnsiTheme="majorHAnsi"/>
                <w:sz w:val="20"/>
                <w:szCs w:val="20"/>
              </w:rPr>
            </w:pPr>
            <w:r w:rsidRPr="00AE3908">
              <w:rPr>
                <w:rFonts w:asciiTheme="majorHAnsi" w:hAnsiTheme="majorHAnsi"/>
                <w:sz w:val="20"/>
                <w:szCs w:val="20"/>
              </w:rPr>
              <w:t>Brasil llego al 65% de ETM de ETM</w:t>
            </w:r>
            <w:r w:rsidR="005127C0">
              <w:rPr>
                <w:rFonts w:asciiTheme="majorHAnsi" w:hAnsiTheme="majorHAnsi"/>
                <w:sz w:val="20"/>
                <w:szCs w:val="20"/>
              </w:rPr>
              <w:t xml:space="preserve"> </w:t>
            </w:r>
            <w:r w:rsidR="00091A2B">
              <w:rPr>
                <w:rFonts w:asciiTheme="majorHAnsi" w:hAnsiTheme="majorHAnsi"/>
                <w:sz w:val="20"/>
                <w:szCs w:val="20"/>
              </w:rPr>
              <w:t xml:space="preserve">a partir del segundo semestre del 2015 </w:t>
            </w:r>
            <w:r w:rsidR="005127C0">
              <w:rPr>
                <w:rFonts w:asciiTheme="majorHAnsi" w:hAnsiTheme="majorHAnsi"/>
                <w:sz w:val="20"/>
                <w:szCs w:val="20"/>
              </w:rPr>
              <w:t>y la</w:t>
            </w:r>
            <w:r w:rsidR="000A26FA">
              <w:rPr>
                <w:rFonts w:asciiTheme="majorHAnsi" w:hAnsiTheme="majorHAnsi"/>
                <w:sz w:val="20"/>
                <w:szCs w:val="20"/>
              </w:rPr>
              <w:t xml:space="preserve"> </w:t>
            </w:r>
            <w:r w:rsidRPr="00AE3908">
              <w:rPr>
                <w:rFonts w:asciiTheme="majorHAnsi" w:hAnsiTheme="majorHAnsi"/>
                <w:sz w:val="20"/>
                <w:szCs w:val="20"/>
              </w:rPr>
              <w:t xml:space="preserve">red </w:t>
            </w:r>
            <w:r w:rsidR="000A26FA">
              <w:rPr>
                <w:rFonts w:asciiTheme="majorHAnsi" w:hAnsiTheme="majorHAnsi"/>
                <w:sz w:val="20"/>
                <w:szCs w:val="20"/>
              </w:rPr>
              <w:t xml:space="preserve">fue </w:t>
            </w:r>
            <w:r w:rsidRPr="00AE3908">
              <w:rPr>
                <w:rFonts w:asciiTheme="majorHAnsi" w:hAnsiTheme="majorHAnsi"/>
                <w:sz w:val="20"/>
                <w:szCs w:val="20"/>
              </w:rPr>
              <w:t xml:space="preserve">puesta en operación en junio de 2016. </w:t>
            </w:r>
          </w:p>
          <w:p w:rsidR="00B844E0" w:rsidRDefault="00B844E0" w:rsidP="00C710E5">
            <w:pPr>
              <w:shd w:val="clear" w:color="auto" w:fill="FFFFFF"/>
              <w:spacing w:after="101"/>
              <w:jc w:val="both"/>
              <w:rPr>
                <w:rFonts w:asciiTheme="majorHAnsi" w:hAnsiTheme="majorHAnsi"/>
                <w:sz w:val="20"/>
                <w:szCs w:val="20"/>
              </w:rPr>
            </w:pPr>
            <w:r>
              <w:rPr>
                <w:rFonts w:asciiTheme="majorHAnsi" w:hAnsiTheme="majorHAnsi"/>
                <w:sz w:val="20"/>
                <w:szCs w:val="20"/>
              </w:rPr>
              <w:t xml:space="preserve">En el mismo orden de ideas, el reporte </w:t>
            </w:r>
            <w:r w:rsidRPr="00B844E0">
              <w:rPr>
                <w:rFonts w:asciiTheme="majorHAnsi" w:hAnsiTheme="majorHAnsi"/>
                <w:sz w:val="20"/>
                <w:szCs w:val="20"/>
              </w:rPr>
              <w:t>TE0006-001382</w:t>
            </w:r>
            <w:r>
              <w:rPr>
                <w:rFonts w:asciiTheme="majorHAnsi" w:hAnsiTheme="majorHAnsi"/>
                <w:sz w:val="20"/>
                <w:szCs w:val="20"/>
              </w:rPr>
              <w:t xml:space="preserve"> </w:t>
            </w:r>
            <w:r w:rsidRPr="00B844E0">
              <w:rPr>
                <w:rFonts w:asciiTheme="majorHAnsi" w:hAnsiTheme="majorHAnsi"/>
                <w:sz w:val="20"/>
                <w:szCs w:val="20"/>
              </w:rPr>
              <w:t xml:space="preserve">de Ovum </w:t>
            </w:r>
            <w:r w:rsidRPr="00B844E0">
              <w:rPr>
                <w:rFonts w:asciiTheme="majorHAnsi" w:hAnsiTheme="majorHAnsi"/>
                <w:b/>
                <w:i/>
                <w:sz w:val="20"/>
                <w:szCs w:val="20"/>
              </w:rPr>
              <w:t xml:space="preserve">“LTE </w:t>
            </w:r>
            <w:proofErr w:type="spellStart"/>
            <w:r w:rsidRPr="00B844E0">
              <w:rPr>
                <w:rFonts w:asciiTheme="majorHAnsi" w:hAnsiTheme="majorHAnsi"/>
                <w:b/>
                <w:i/>
                <w:sz w:val="20"/>
                <w:szCs w:val="20"/>
              </w:rPr>
              <w:t>Forecasts</w:t>
            </w:r>
            <w:proofErr w:type="spellEnd"/>
            <w:r w:rsidRPr="00B844E0">
              <w:rPr>
                <w:rFonts w:asciiTheme="majorHAnsi" w:hAnsiTheme="majorHAnsi"/>
                <w:b/>
                <w:i/>
                <w:sz w:val="20"/>
                <w:szCs w:val="20"/>
              </w:rPr>
              <w:t xml:space="preserve"> </w:t>
            </w:r>
            <w:proofErr w:type="spellStart"/>
            <w:r w:rsidRPr="00B844E0">
              <w:rPr>
                <w:rFonts w:asciiTheme="majorHAnsi" w:hAnsiTheme="majorHAnsi"/>
                <w:b/>
                <w:i/>
                <w:sz w:val="20"/>
                <w:szCs w:val="20"/>
              </w:rPr>
              <w:t>by</w:t>
            </w:r>
            <w:proofErr w:type="spellEnd"/>
            <w:r w:rsidRPr="00B844E0">
              <w:rPr>
                <w:rFonts w:asciiTheme="majorHAnsi" w:hAnsiTheme="majorHAnsi"/>
                <w:b/>
                <w:i/>
                <w:sz w:val="20"/>
                <w:szCs w:val="20"/>
              </w:rPr>
              <w:t xml:space="preserve"> </w:t>
            </w:r>
            <w:proofErr w:type="spellStart"/>
            <w:r w:rsidRPr="00B844E0">
              <w:rPr>
                <w:rFonts w:asciiTheme="majorHAnsi" w:hAnsiTheme="majorHAnsi"/>
                <w:b/>
                <w:i/>
                <w:sz w:val="20"/>
                <w:szCs w:val="20"/>
              </w:rPr>
              <w:t>Spectrum</w:t>
            </w:r>
            <w:proofErr w:type="spellEnd"/>
            <w:r w:rsidRPr="00B844E0">
              <w:rPr>
                <w:rFonts w:asciiTheme="majorHAnsi" w:hAnsiTheme="majorHAnsi"/>
                <w:b/>
                <w:i/>
                <w:sz w:val="20"/>
                <w:szCs w:val="20"/>
              </w:rPr>
              <w:t>: 2016–21”</w:t>
            </w:r>
            <w:r w:rsidR="00B06503">
              <w:rPr>
                <w:rStyle w:val="Refdenotaalpie"/>
                <w:rFonts w:asciiTheme="majorHAnsi" w:hAnsiTheme="majorHAnsi"/>
                <w:sz w:val="20"/>
                <w:szCs w:val="20"/>
              </w:rPr>
              <w:footnoteReference w:id="6"/>
            </w:r>
            <w:r>
              <w:rPr>
                <w:rFonts w:asciiTheme="majorHAnsi" w:hAnsiTheme="majorHAnsi"/>
                <w:sz w:val="20"/>
                <w:szCs w:val="20"/>
              </w:rPr>
              <w:t>,</w:t>
            </w:r>
            <w:r w:rsidR="008B28D0">
              <w:rPr>
                <w:rFonts w:asciiTheme="majorHAnsi" w:hAnsiTheme="majorHAnsi"/>
                <w:sz w:val="20"/>
                <w:szCs w:val="20"/>
              </w:rPr>
              <w:t xml:space="preserve"> </w:t>
            </w:r>
            <w:r w:rsidRPr="00B844E0">
              <w:rPr>
                <w:rFonts w:asciiTheme="majorHAnsi" w:hAnsiTheme="majorHAnsi"/>
                <w:sz w:val="20"/>
                <w:szCs w:val="20"/>
              </w:rPr>
              <w:t>proporciona</w:t>
            </w:r>
            <w:r>
              <w:rPr>
                <w:rFonts w:asciiTheme="majorHAnsi" w:hAnsiTheme="majorHAnsi"/>
                <w:sz w:val="20"/>
                <w:szCs w:val="20"/>
              </w:rPr>
              <w:t xml:space="preserve"> </w:t>
            </w:r>
            <w:r w:rsidR="00A14C87">
              <w:rPr>
                <w:rFonts w:asciiTheme="majorHAnsi" w:hAnsiTheme="majorHAnsi"/>
                <w:sz w:val="20"/>
                <w:szCs w:val="20"/>
              </w:rPr>
              <w:t xml:space="preserve">en la Figura 1 los </w:t>
            </w:r>
            <w:r w:rsidRPr="00B844E0">
              <w:rPr>
                <w:rFonts w:asciiTheme="majorHAnsi" w:hAnsiTheme="majorHAnsi"/>
                <w:sz w:val="20"/>
                <w:szCs w:val="20"/>
              </w:rPr>
              <w:t>detalles de la adopción global de la</w:t>
            </w:r>
            <w:r>
              <w:rPr>
                <w:rFonts w:asciiTheme="majorHAnsi" w:hAnsiTheme="majorHAnsi"/>
                <w:sz w:val="20"/>
                <w:szCs w:val="20"/>
              </w:rPr>
              <w:t>s</w:t>
            </w:r>
            <w:r w:rsidRPr="00B844E0">
              <w:rPr>
                <w:rFonts w:asciiTheme="majorHAnsi" w:hAnsiTheme="majorHAnsi"/>
                <w:sz w:val="20"/>
                <w:szCs w:val="20"/>
              </w:rPr>
              <w:t xml:space="preserve"> banda</w:t>
            </w:r>
            <w:r>
              <w:rPr>
                <w:rFonts w:asciiTheme="majorHAnsi" w:hAnsiTheme="majorHAnsi"/>
                <w:sz w:val="20"/>
                <w:szCs w:val="20"/>
              </w:rPr>
              <w:t>s</w:t>
            </w:r>
            <w:r w:rsidRPr="00B844E0">
              <w:rPr>
                <w:rFonts w:asciiTheme="majorHAnsi" w:hAnsiTheme="majorHAnsi"/>
                <w:sz w:val="20"/>
                <w:szCs w:val="20"/>
              </w:rPr>
              <w:t xml:space="preserve"> de espectro </w:t>
            </w:r>
            <w:r>
              <w:rPr>
                <w:rFonts w:asciiTheme="majorHAnsi" w:hAnsiTheme="majorHAnsi"/>
                <w:sz w:val="20"/>
                <w:szCs w:val="20"/>
              </w:rPr>
              <w:t xml:space="preserve">que emplean el estándar tecnológico </w:t>
            </w:r>
            <w:r w:rsidRPr="00B844E0">
              <w:rPr>
                <w:rFonts w:asciiTheme="majorHAnsi" w:hAnsiTheme="majorHAnsi"/>
                <w:sz w:val="20"/>
                <w:szCs w:val="20"/>
              </w:rPr>
              <w:t>LTE</w:t>
            </w:r>
            <w:r w:rsidR="00D00AA1">
              <w:rPr>
                <w:rFonts w:asciiTheme="majorHAnsi" w:hAnsiTheme="majorHAnsi"/>
                <w:sz w:val="20"/>
                <w:szCs w:val="20"/>
              </w:rPr>
              <w:t>.</w:t>
            </w:r>
          </w:p>
          <w:p w:rsidR="00B844E0" w:rsidRDefault="00C710E5" w:rsidP="00C710E5">
            <w:pPr>
              <w:shd w:val="clear" w:color="auto" w:fill="FFFFFF"/>
              <w:spacing w:after="101"/>
              <w:jc w:val="center"/>
              <w:rPr>
                <w:rFonts w:asciiTheme="majorHAnsi" w:hAnsiTheme="majorHAnsi"/>
                <w:sz w:val="20"/>
                <w:szCs w:val="20"/>
              </w:rPr>
            </w:pPr>
            <w:r>
              <w:rPr>
                <w:noProof/>
                <w:lang w:val="en-GB" w:eastAsia="en-GB"/>
              </w:rPr>
              <w:drawing>
                <wp:inline distT="0" distB="0" distL="0" distR="0" wp14:anchorId="07EF9897" wp14:editId="0DBD85BE">
                  <wp:extent cx="3474720" cy="1783359"/>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8710" cy="1790539"/>
                          </a:xfrm>
                          <a:prstGeom prst="rect">
                            <a:avLst/>
                          </a:prstGeom>
                        </pic:spPr>
                      </pic:pic>
                    </a:graphicData>
                  </a:graphic>
                </wp:inline>
              </w:drawing>
            </w:r>
          </w:p>
          <w:p w:rsidR="00F86EBE" w:rsidRPr="00F86EBE" w:rsidRDefault="00F86EBE" w:rsidP="00F86EBE">
            <w:pPr>
              <w:shd w:val="clear" w:color="auto" w:fill="FFFFFF"/>
              <w:spacing w:after="101"/>
              <w:jc w:val="center"/>
              <w:rPr>
                <w:rFonts w:asciiTheme="majorHAnsi" w:hAnsiTheme="majorHAnsi"/>
                <w:b/>
                <w:sz w:val="20"/>
                <w:szCs w:val="20"/>
              </w:rPr>
            </w:pPr>
            <w:r w:rsidRPr="00F86EBE">
              <w:rPr>
                <w:rFonts w:asciiTheme="majorHAnsi" w:hAnsiTheme="majorHAnsi"/>
                <w:b/>
                <w:sz w:val="20"/>
                <w:szCs w:val="20"/>
              </w:rPr>
              <w:t xml:space="preserve">Figura </w:t>
            </w:r>
            <w:r w:rsidR="00861BA3">
              <w:rPr>
                <w:rFonts w:asciiTheme="majorHAnsi" w:hAnsiTheme="majorHAnsi"/>
                <w:b/>
                <w:sz w:val="20"/>
                <w:szCs w:val="20"/>
              </w:rPr>
              <w:t>2</w:t>
            </w:r>
            <w:r w:rsidRPr="00F86EBE">
              <w:rPr>
                <w:rFonts w:asciiTheme="majorHAnsi" w:hAnsiTheme="majorHAnsi"/>
                <w:b/>
                <w:sz w:val="20"/>
                <w:szCs w:val="20"/>
              </w:rPr>
              <w:t>. Número de suscripciones por Banda empleando LTE</w:t>
            </w:r>
          </w:p>
          <w:p w:rsidR="00B844E0" w:rsidRDefault="001E7DE3" w:rsidP="00B844E0">
            <w:pPr>
              <w:shd w:val="clear" w:color="auto" w:fill="FFFFFF"/>
              <w:spacing w:after="101"/>
              <w:jc w:val="both"/>
              <w:rPr>
                <w:rFonts w:asciiTheme="majorHAnsi" w:hAnsiTheme="majorHAnsi"/>
                <w:sz w:val="20"/>
                <w:szCs w:val="20"/>
              </w:rPr>
            </w:pPr>
            <w:r>
              <w:rPr>
                <w:rFonts w:asciiTheme="majorHAnsi" w:hAnsiTheme="majorHAnsi"/>
                <w:sz w:val="20"/>
                <w:szCs w:val="20"/>
              </w:rPr>
              <w:t xml:space="preserve">La </w:t>
            </w:r>
            <w:r w:rsidR="00D00AA1">
              <w:rPr>
                <w:rFonts w:asciiTheme="majorHAnsi" w:hAnsiTheme="majorHAnsi"/>
                <w:sz w:val="20"/>
                <w:szCs w:val="20"/>
              </w:rPr>
              <w:t>F</w:t>
            </w:r>
            <w:r>
              <w:rPr>
                <w:rFonts w:asciiTheme="majorHAnsi" w:hAnsiTheme="majorHAnsi"/>
                <w:sz w:val="20"/>
                <w:szCs w:val="20"/>
              </w:rPr>
              <w:t>igura</w:t>
            </w:r>
            <w:r w:rsidR="00D00AA1">
              <w:rPr>
                <w:rFonts w:asciiTheme="majorHAnsi" w:hAnsiTheme="majorHAnsi"/>
                <w:sz w:val="20"/>
                <w:szCs w:val="20"/>
              </w:rPr>
              <w:t xml:space="preserve"> 1</w:t>
            </w:r>
            <w:r>
              <w:rPr>
                <w:rFonts w:asciiTheme="majorHAnsi" w:hAnsiTheme="majorHAnsi"/>
                <w:sz w:val="20"/>
                <w:szCs w:val="20"/>
              </w:rPr>
              <w:t xml:space="preserve"> muestra que</w:t>
            </w:r>
            <w:r w:rsidR="005127C0">
              <w:rPr>
                <w:rFonts w:asciiTheme="majorHAnsi" w:hAnsiTheme="majorHAnsi"/>
                <w:sz w:val="20"/>
                <w:szCs w:val="20"/>
              </w:rPr>
              <w:t xml:space="preserve"> diversas </w:t>
            </w:r>
            <w:r>
              <w:rPr>
                <w:rFonts w:asciiTheme="majorHAnsi" w:hAnsiTheme="majorHAnsi"/>
                <w:sz w:val="20"/>
                <w:szCs w:val="20"/>
              </w:rPr>
              <w:t>B</w:t>
            </w:r>
            <w:r w:rsidR="00B844E0" w:rsidRPr="00B844E0">
              <w:rPr>
                <w:rFonts w:asciiTheme="majorHAnsi" w:hAnsiTheme="majorHAnsi"/>
                <w:sz w:val="20"/>
                <w:szCs w:val="20"/>
              </w:rPr>
              <w:t>anda</w:t>
            </w:r>
            <w:r w:rsidR="005127C0">
              <w:rPr>
                <w:rFonts w:asciiTheme="majorHAnsi" w:hAnsiTheme="majorHAnsi"/>
                <w:sz w:val="20"/>
                <w:szCs w:val="20"/>
              </w:rPr>
              <w:t>s</w:t>
            </w:r>
            <w:r w:rsidR="00B844E0" w:rsidRPr="00B844E0">
              <w:rPr>
                <w:rFonts w:asciiTheme="majorHAnsi" w:hAnsiTheme="majorHAnsi"/>
                <w:sz w:val="20"/>
                <w:szCs w:val="20"/>
              </w:rPr>
              <w:t xml:space="preserve"> ampliarán su cobertura a más de mil millones de suscriptores adicionales durante </w:t>
            </w:r>
            <w:r w:rsidR="005127C0">
              <w:rPr>
                <w:rFonts w:asciiTheme="majorHAnsi" w:hAnsiTheme="majorHAnsi"/>
                <w:sz w:val="20"/>
                <w:szCs w:val="20"/>
              </w:rPr>
              <w:t>los próximos añ</w:t>
            </w:r>
            <w:r w:rsidR="00B844E0" w:rsidRPr="00B844E0">
              <w:rPr>
                <w:rFonts w:asciiTheme="majorHAnsi" w:hAnsiTheme="majorHAnsi"/>
                <w:sz w:val="20"/>
                <w:szCs w:val="20"/>
              </w:rPr>
              <w:t>o</w:t>
            </w:r>
            <w:r w:rsidR="005127C0">
              <w:rPr>
                <w:rFonts w:asciiTheme="majorHAnsi" w:hAnsiTheme="majorHAnsi"/>
                <w:sz w:val="20"/>
                <w:szCs w:val="20"/>
              </w:rPr>
              <w:t>s</w:t>
            </w:r>
            <w:r w:rsidR="00B844E0" w:rsidRPr="00B844E0">
              <w:rPr>
                <w:rFonts w:asciiTheme="majorHAnsi" w:hAnsiTheme="majorHAnsi"/>
                <w:sz w:val="20"/>
                <w:szCs w:val="20"/>
              </w:rPr>
              <w:t>.</w:t>
            </w:r>
          </w:p>
          <w:p w:rsidR="00AE3908" w:rsidRDefault="00CB6217" w:rsidP="00AE3908">
            <w:pPr>
              <w:shd w:val="clear" w:color="auto" w:fill="FFFFFF"/>
              <w:spacing w:after="101"/>
              <w:jc w:val="both"/>
              <w:rPr>
                <w:rFonts w:asciiTheme="majorHAnsi" w:hAnsiTheme="majorHAnsi"/>
                <w:sz w:val="20"/>
                <w:szCs w:val="20"/>
              </w:rPr>
            </w:pPr>
            <w:r>
              <w:rPr>
                <w:rFonts w:asciiTheme="majorHAnsi" w:hAnsiTheme="majorHAnsi"/>
                <w:sz w:val="20"/>
                <w:szCs w:val="20"/>
              </w:rPr>
              <w:t xml:space="preserve">Por otro lado, y </w:t>
            </w:r>
            <w:r w:rsidR="00BD492F">
              <w:rPr>
                <w:rFonts w:asciiTheme="majorHAnsi" w:hAnsiTheme="majorHAnsi"/>
                <w:sz w:val="20"/>
                <w:szCs w:val="20"/>
              </w:rPr>
              <w:t xml:space="preserve">en relación con </w:t>
            </w:r>
            <w:r w:rsidR="005127C0">
              <w:rPr>
                <w:rFonts w:asciiTheme="majorHAnsi" w:hAnsiTheme="majorHAnsi"/>
                <w:sz w:val="20"/>
                <w:szCs w:val="20"/>
              </w:rPr>
              <w:t xml:space="preserve">los </w:t>
            </w:r>
            <w:proofErr w:type="spellStart"/>
            <w:r w:rsidR="001E7DE3">
              <w:rPr>
                <w:rFonts w:asciiTheme="majorHAnsi" w:hAnsiTheme="majorHAnsi"/>
                <w:sz w:val="20"/>
                <w:szCs w:val="20"/>
              </w:rPr>
              <w:t>Smartphones</w:t>
            </w:r>
            <w:proofErr w:type="spellEnd"/>
            <w:r w:rsidR="001E7DE3">
              <w:rPr>
                <w:rFonts w:asciiTheme="majorHAnsi" w:hAnsiTheme="majorHAnsi"/>
                <w:sz w:val="20"/>
                <w:szCs w:val="20"/>
              </w:rPr>
              <w:t>,</w:t>
            </w:r>
            <w:r>
              <w:rPr>
                <w:rFonts w:asciiTheme="majorHAnsi" w:hAnsiTheme="majorHAnsi"/>
                <w:sz w:val="20"/>
                <w:szCs w:val="20"/>
              </w:rPr>
              <w:t xml:space="preserve"> </w:t>
            </w:r>
            <w:r w:rsidR="00BD492F">
              <w:rPr>
                <w:rFonts w:asciiTheme="majorHAnsi" w:hAnsiTheme="majorHAnsi"/>
                <w:sz w:val="20"/>
                <w:szCs w:val="20"/>
              </w:rPr>
              <w:t xml:space="preserve">en </w:t>
            </w:r>
            <w:r w:rsidR="00AE3908" w:rsidRPr="00AE3908">
              <w:rPr>
                <w:rFonts w:asciiTheme="majorHAnsi" w:hAnsiTheme="majorHAnsi"/>
                <w:sz w:val="20"/>
                <w:szCs w:val="20"/>
              </w:rPr>
              <w:t xml:space="preserve">julio de 2017 </w:t>
            </w:r>
            <w:r w:rsidR="00F86EBE" w:rsidRPr="00AE3908">
              <w:rPr>
                <w:rFonts w:asciiTheme="majorHAnsi" w:hAnsiTheme="majorHAnsi"/>
                <w:sz w:val="20"/>
                <w:szCs w:val="20"/>
              </w:rPr>
              <w:t>exist</w:t>
            </w:r>
            <w:r w:rsidR="00F86EBE">
              <w:rPr>
                <w:rFonts w:asciiTheme="majorHAnsi" w:hAnsiTheme="majorHAnsi"/>
                <w:sz w:val="20"/>
                <w:szCs w:val="20"/>
              </w:rPr>
              <w:t xml:space="preserve">ían </w:t>
            </w:r>
            <w:r w:rsidR="00AE3908" w:rsidRPr="00AE3908">
              <w:rPr>
                <w:rFonts w:asciiTheme="majorHAnsi" w:hAnsiTheme="majorHAnsi"/>
                <w:sz w:val="20"/>
                <w:szCs w:val="20"/>
              </w:rPr>
              <w:t xml:space="preserve">casi 600 modelos con soporte de la Banda 28 disponibles a nivel mundial, cifra que ha aumentado de forma muy acelerada en los últimos </w:t>
            </w:r>
            <w:r w:rsidR="00BD492F">
              <w:rPr>
                <w:rFonts w:asciiTheme="majorHAnsi" w:hAnsiTheme="majorHAnsi"/>
                <w:sz w:val="20"/>
                <w:szCs w:val="20"/>
              </w:rPr>
              <w:t>años,</w:t>
            </w:r>
            <w:r w:rsidR="00AE3908" w:rsidRPr="00AE3908">
              <w:rPr>
                <w:rFonts w:asciiTheme="majorHAnsi" w:hAnsiTheme="majorHAnsi"/>
                <w:sz w:val="20"/>
                <w:szCs w:val="20"/>
              </w:rPr>
              <w:t xml:space="preserve"> como se </w:t>
            </w:r>
            <w:r w:rsidR="00BD492F">
              <w:rPr>
                <w:rFonts w:asciiTheme="majorHAnsi" w:hAnsiTheme="majorHAnsi"/>
                <w:sz w:val="20"/>
                <w:szCs w:val="20"/>
              </w:rPr>
              <w:t xml:space="preserve">muestra a </w:t>
            </w:r>
            <w:r w:rsidR="00AE3908" w:rsidRPr="00AE3908">
              <w:rPr>
                <w:rFonts w:asciiTheme="majorHAnsi" w:hAnsiTheme="majorHAnsi"/>
                <w:sz w:val="20"/>
                <w:szCs w:val="20"/>
              </w:rPr>
              <w:t>continuación:</w:t>
            </w:r>
          </w:p>
          <w:p w:rsidR="00AE3908" w:rsidRDefault="00AE3908" w:rsidP="00AE3908">
            <w:pPr>
              <w:shd w:val="clear" w:color="auto" w:fill="FFFFFF"/>
              <w:spacing w:after="101"/>
              <w:jc w:val="center"/>
              <w:rPr>
                <w:rFonts w:asciiTheme="majorHAnsi" w:hAnsiTheme="majorHAnsi"/>
                <w:sz w:val="20"/>
                <w:szCs w:val="20"/>
              </w:rPr>
            </w:pPr>
            <w:r>
              <w:rPr>
                <w:noProof/>
                <w:lang w:val="en-GB" w:eastAsia="en-GB"/>
              </w:rPr>
              <w:drawing>
                <wp:inline distT="0" distB="0" distL="0" distR="0" wp14:anchorId="3AC075EF" wp14:editId="0479163D">
                  <wp:extent cx="1778000" cy="176473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9360" cy="1766081"/>
                          </a:xfrm>
                          <a:prstGeom prst="rect">
                            <a:avLst/>
                          </a:prstGeom>
                        </pic:spPr>
                      </pic:pic>
                    </a:graphicData>
                  </a:graphic>
                </wp:inline>
              </w:drawing>
            </w:r>
          </w:p>
          <w:p w:rsidR="00AE3908" w:rsidRDefault="00AE3908" w:rsidP="001A4A40">
            <w:pPr>
              <w:shd w:val="clear" w:color="auto" w:fill="FFFFFF"/>
              <w:spacing w:after="101"/>
              <w:jc w:val="center"/>
              <w:rPr>
                <w:rFonts w:asciiTheme="majorHAnsi" w:hAnsiTheme="majorHAnsi"/>
                <w:b/>
                <w:sz w:val="20"/>
                <w:szCs w:val="20"/>
              </w:rPr>
            </w:pPr>
            <w:r w:rsidRPr="000102B1">
              <w:rPr>
                <w:rFonts w:asciiTheme="majorHAnsi" w:hAnsiTheme="majorHAnsi"/>
                <w:b/>
                <w:sz w:val="20"/>
                <w:szCs w:val="20"/>
              </w:rPr>
              <w:t xml:space="preserve">Figura </w:t>
            </w:r>
            <w:r w:rsidR="00861BA3">
              <w:rPr>
                <w:rFonts w:asciiTheme="majorHAnsi" w:hAnsiTheme="majorHAnsi"/>
                <w:b/>
                <w:sz w:val="20"/>
                <w:szCs w:val="20"/>
              </w:rPr>
              <w:t>3</w:t>
            </w:r>
            <w:r w:rsidR="00CB6217">
              <w:rPr>
                <w:rStyle w:val="Refdenotaalpie"/>
                <w:rFonts w:asciiTheme="majorHAnsi" w:hAnsiTheme="majorHAnsi"/>
                <w:b/>
                <w:sz w:val="20"/>
                <w:szCs w:val="20"/>
              </w:rPr>
              <w:footnoteReference w:id="7"/>
            </w:r>
            <w:r w:rsidRPr="000102B1">
              <w:rPr>
                <w:rFonts w:asciiTheme="majorHAnsi" w:hAnsiTheme="majorHAnsi"/>
                <w:b/>
                <w:sz w:val="20"/>
                <w:szCs w:val="20"/>
              </w:rPr>
              <w:t xml:space="preserve">. Evolución de la disponibilidad de </w:t>
            </w:r>
            <w:proofErr w:type="spellStart"/>
            <w:r w:rsidRPr="000102B1">
              <w:rPr>
                <w:rFonts w:asciiTheme="majorHAnsi" w:hAnsiTheme="majorHAnsi"/>
                <w:b/>
                <w:sz w:val="20"/>
                <w:szCs w:val="20"/>
              </w:rPr>
              <w:t>Smartphones</w:t>
            </w:r>
            <w:proofErr w:type="spellEnd"/>
            <w:r w:rsidR="001A4A40" w:rsidRPr="000102B1">
              <w:rPr>
                <w:rFonts w:asciiTheme="majorHAnsi" w:hAnsiTheme="majorHAnsi"/>
                <w:b/>
                <w:sz w:val="20"/>
                <w:szCs w:val="20"/>
              </w:rPr>
              <w:t xml:space="preserve"> </w:t>
            </w:r>
            <w:r w:rsidRPr="000102B1">
              <w:rPr>
                <w:rFonts w:asciiTheme="majorHAnsi" w:hAnsiTheme="majorHAnsi"/>
                <w:b/>
                <w:sz w:val="20"/>
                <w:szCs w:val="20"/>
              </w:rPr>
              <w:t>LTE con soporte Banda 28</w:t>
            </w:r>
          </w:p>
          <w:p w:rsidR="00BD492F" w:rsidRDefault="00BD492F" w:rsidP="001A4A40">
            <w:pPr>
              <w:shd w:val="clear" w:color="auto" w:fill="FFFFFF"/>
              <w:spacing w:after="101"/>
              <w:jc w:val="center"/>
              <w:rPr>
                <w:rFonts w:asciiTheme="majorHAnsi" w:hAnsiTheme="majorHAnsi"/>
                <w:b/>
                <w:sz w:val="20"/>
                <w:szCs w:val="20"/>
              </w:rPr>
            </w:pPr>
          </w:p>
          <w:p w:rsidR="00AE3908" w:rsidRPr="00AE3908" w:rsidRDefault="005A5B26" w:rsidP="00AE3908">
            <w:pPr>
              <w:shd w:val="clear" w:color="auto" w:fill="FFFFFF"/>
              <w:spacing w:after="101"/>
              <w:jc w:val="both"/>
              <w:rPr>
                <w:rFonts w:asciiTheme="majorHAnsi" w:hAnsiTheme="majorHAnsi"/>
                <w:sz w:val="20"/>
                <w:szCs w:val="20"/>
              </w:rPr>
            </w:pPr>
            <w:r>
              <w:rPr>
                <w:rFonts w:asciiTheme="majorHAnsi" w:hAnsiTheme="majorHAnsi"/>
                <w:sz w:val="20"/>
                <w:szCs w:val="20"/>
              </w:rPr>
              <w:t xml:space="preserve">Es relevante mencionar que </w:t>
            </w:r>
            <w:r w:rsidR="00AE3908" w:rsidRPr="00AE3908">
              <w:rPr>
                <w:rFonts w:asciiTheme="majorHAnsi" w:hAnsiTheme="majorHAnsi"/>
                <w:sz w:val="20"/>
                <w:szCs w:val="20"/>
              </w:rPr>
              <w:t xml:space="preserve">los principales fabricantes de ETM que soportan Banda 28 han incrementado </w:t>
            </w:r>
            <w:r>
              <w:rPr>
                <w:rFonts w:asciiTheme="majorHAnsi" w:hAnsiTheme="majorHAnsi"/>
                <w:sz w:val="20"/>
                <w:szCs w:val="20"/>
              </w:rPr>
              <w:t xml:space="preserve">a nivel mundial </w:t>
            </w:r>
            <w:r w:rsidR="00AE3908" w:rsidRPr="00AE3908">
              <w:rPr>
                <w:rFonts w:asciiTheme="majorHAnsi" w:hAnsiTheme="majorHAnsi"/>
                <w:sz w:val="20"/>
                <w:szCs w:val="20"/>
              </w:rPr>
              <w:t xml:space="preserve">la compatibilidad de </w:t>
            </w:r>
            <w:r>
              <w:rPr>
                <w:rFonts w:asciiTheme="majorHAnsi" w:hAnsiTheme="majorHAnsi"/>
                <w:sz w:val="20"/>
                <w:szCs w:val="20"/>
              </w:rPr>
              <w:t xml:space="preserve">los </w:t>
            </w:r>
            <w:r w:rsidR="00AE3908" w:rsidRPr="00AE3908">
              <w:rPr>
                <w:rFonts w:asciiTheme="majorHAnsi" w:hAnsiTheme="majorHAnsi"/>
                <w:sz w:val="20"/>
                <w:szCs w:val="20"/>
              </w:rPr>
              <w:t xml:space="preserve">ETM en casi 6.4 veces en el período del 1T </w:t>
            </w:r>
            <w:r w:rsidR="004969DC">
              <w:rPr>
                <w:rFonts w:asciiTheme="majorHAnsi" w:hAnsiTheme="majorHAnsi"/>
                <w:sz w:val="20"/>
                <w:szCs w:val="20"/>
              </w:rPr>
              <w:t xml:space="preserve">del </w:t>
            </w:r>
            <w:r w:rsidR="00AE3908" w:rsidRPr="00AE3908">
              <w:rPr>
                <w:rFonts w:asciiTheme="majorHAnsi" w:hAnsiTheme="majorHAnsi"/>
                <w:sz w:val="20"/>
                <w:szCs w:val="20"/>
              </w:rPr>
              <w:t xml:space="preserve">2015 al </w:t>
            </w:r>
            <w:r w:rsidR="004969DC">
              <w:rPr>
                <w:rFonts w:asciiTheme="majorHAnsi" w:hAnsiTheme="majorHAnsi"/>
                <w:sz w:val="20"/>
                <w:szCs w:val="20"/>
              </w:rPr>
              <w:t>1</w:t>
            </w:r>
            <w:r w:rsidR="00AE3908" w:rsidRPr="00AE3908">
              <w:rPr>
                <w:rFonts w:asciiTheme="majorHAnsi" w:hAnsiTheme="majorHAnsi"/>
                <w:sz w:val="20"/>
                <w:szCs w:val="20"/>
              </w:rPr>
              <w:t>T 2017</w:t>
            </w:r>
            <w:r>
              <w:rPr>
                <w:rFonts w:asciiTheme="majorHAnsi" w:hAnsiTheme="majorHAnsi"/>
                <w:sz w:val="20"/>
                <w:szCs w:val="20"/>
              </w:rPr>
              <w:t xml:space="preserve"> (sobre una base total acumulada) y ya se encuentran presentes en nuestro país</w:t>
            </w:r>
            <w:r w:rsidR="00AE3908" w:rsidRPr="00AE3908">
              <w:rPr>
                <w:rFonts w:asciiTheme="majorHAnsi" w:hAnsiTheme="majorHAnsi"/>
                <w:sz w:val="20"/>
                <w:szCs w:val="20"/>
              </w:rPr>
              <w:t xml:space="preserve">. </w:t>
            </w:r>
          </w:p>
          <w:p w:rsidR="001A4A40" w:rsidRDefault="001A4A40" w:rsidP="00F86EBE">
            <w:pPr>
              <w:shd w:val="clear" w:color="auto" w:fill="FFFFFF"/>
              <w:spacing w:after="101"/>
              <w:jc w:val="center"/>
              <w:rPr>
                <w:rFonts w:asciiTheme="majorHAnsi" w:hAnsiTheme="majorHAnsi"/>
                <w:sz w:val="20"/>
                <w:szCs w:val="20"/>
              </w:rPr>
            </w:pPr>
            <w:r>
              <w:rPr>
                <w:noProof/>
                <w:lang w:val="en-GB" w:eastAsia="en-GB"/>
              </w:rPr>
              <w:drawing>
                <wp:inline distT="0" distB="0" distL="0" distR="0" wp14:anchorId="3456CF6B" wp14:editId="01600AA0">
                  <wp:extent cx="3810626" cy="15431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9417" cy="1546695"/>
                          </a:xfrm>
                          <a:prstGeom prst="rect">
                            <a:avLst/>
                          </a:prstGeom>
                        </pic:spPr>
                      </pic:pic>
                    </a:graphicData>
                  </a:graphic>
                </wp:inline>
              </w:drawing>
            </w:r>
          </w:p>
          <w:p w:rsidR="00AE3908" w:rsidRDefault="00AE3908" w:rsidP="001A4A40">
            <w:pPr>
              <w:shd w:val="clear" w:color="auto" w:fill="FFFFFF"/>
              <w:spacing w:after="101"/>
              <w:jc w:val="center"/>
              <w:rPr>
                <w:rFonts w:asciiTheme="majorHAnsi" w:hAnsiTheme="majorHAnsi"/>
                <w:b/>
                <w:sz w:val="20"/>
                <w:szCs w:val="20"/>
              </w:rPr>
            </w:pPr>
            <w:r w:rsidRPr="000102B1">
              <w:rPr>
                <w:rFonts w:asciiTheme="majorHAnsi" w:hAnsiTheme="majorHAnsi"/>
                <w:b/>
                <w:sz w:val="20"/>
                <w:szCs w:val="20"/>
              </w:rPr>
              <w:t xml:space="preserve">Figura </w:t>
            </w:r>
            <w:r w:rsidR="00861BA3">
              <w:rPr>
                <w:rFonts w:asciiTheme="majorHAnsi" w:hAnsiTheme="majorHAnsi"/>
                <w:b/>
                <w:sz w:val="20"/>
                <w:szCs w:val="20"/>
              </w:rPr>
              <w:t>4</w:t>
            </w:r>
            <w:r w:rsidRPr="000102B1">
              <w:rPr>
                <w:rFonts w:asciiTheme="majorHAnsi" w:hAnsiTheme="majorHAnsi"/>
                <w:b/>
                <w:sz w:val="20"/>
                <w:szCs w:val="20"/>
              </w:rPr>
              <w:t>. Terminales compatibles con Banda 28 por fabricante.</w:t>
            </w:r>
          </w:p>
          <w:p w:rsidR="00BD492F" w:rsidRPr="000102B1" w:rsidRDefault="00BD492F" w:rsidP="001A4A40">
            <w:pPr>
              <w:shd w:val="clear" w:color="auto" w:fill="FFFFFF"/>
              <w:spacing w:after="101"/>
              <w:jc w:val="center"/>
              <w:rPr>
                <w:rFonts w:asciiTheme="majorHAnsi" w:hAnsiTheme="majorHAnsi"/>
                <w:b/>
                <w:sz w:val="20"/>
                <w:szCs w:val="20"/>
              </w:rPr>
            </w:pPr>
          </w:p>
          <w:p w:rsidR="0036415A" w:rsidRDefault="005A5B26" w:rsidP="00AE3908">
            <w:pPr>
              <w:shd w:val="clear" w:color="auto" w:fill="FFFFFF"/>
              <w:spacing w:after="101"/>
              <w:jc w:val="both"/>
              <w:rPr>
                <w:rFonts w:asciiTheme="majorHAnsi" w:hAnsiTheme="majorHAnsi"/>
                <w:sz w:val="20"/>
                <w:szCs w:val="20"/>
              </w:rPr>
            </w:pPr>
            <w:r>
              <w:rPr>
                <w:rFonts w:asciiTheme="majorHAnsi" w:hAnsiTheme="majorHAnsi"/>
                <w:sz w:val="20"/>
                <w:szCs w:val="20"/>
              </w:rPr>
              <w:t xml:space="preserve">No obstante lo anterior, </w:t>
            </w:r>
            <w:r w:rsidR="00F82AB1">
              <w:rPr>
                <w:rFonts w:asciiTheme="majorHAnsi" w:hAnsiTheme="majorHAnsi"/>
                <w:sz w:val="20"/>
                <w:szCs w:val="20"/>
              </w:rPr>
              <w:t xml:space="preserve">la </w:t>
            </w:r>
            <w:r w:rsidR="00F8733B">
              <w:rPr>
                <w:rFonts w:asciiTheme="majorHAnsi" w:hAnsiTheme="majorHAnsi"/>
                <w:sz w:val="20"/>
                <w:szCs w:val="20"/>
              </w:rPr>
              <w:t>disponibilidad</w:t>
            </w:r>
            <w:r w:rsidR="00AE3908" w:rsidRPr="00AE3908">
              <w:rPr>
                <w:rFonts w:asciiTheme="majorHAnsi" w:hAnsiTheme="majorHAnsi"/>
                <w:sz w:val="20"/>
                <w:szCs w:val="20"/>
              </w:rPr>
              <w:t xml:space="preserve"> de ETM </w:t>
            </w:r>
            <w:r w:rsidR="00F516FE">
              <w:rPr>
                <w:rFonts w:asciiTheme="majorHAnsi" w:hAnsiTheme="majorHAnsi"/>
                <w:sz w:val="20"/>
                <w:szCs w:val="20"/>
              </w:rPr>
              <w:t xml:space="preserve">que se utilizan particularmente cerca del oído </w:t>
            </w:r>
            <w:r w:rsidR="00AE3908" w:rsidRPr="00AE3908">
              <w:rPr>
                <w:rFonts w:asciiTheme="majorHAnsi" w:hAnsiTheme="majorHAnsi"/>
                <w:sz w:val="20"/>
                <w:szCs w:val="20"/>
              </w:rPr>
              <w:t xml:space="preserve">con Banda 28 en México es aún restringido, </w:t>
            </w:r>
            <w:r w:rsidR="00280D64">
              <w:rPr>
                <w:rFonts w:asciiTheme="majorHAnsi" w:hAnsiTheme="majorHAnsi"/>
                <w:sz w:val="20"/>
                <w:szCs w:val="20"/>
              </w:rPr>
              <w:t xml:space="preserve">y aun cuando </w:t>
            </w:r>
            <w:r w:rsidR="00AE3908" w:rsidRPr="00AE3908">
              <w:rPr>
                <w:rFonts w:asciiTheme="majorHAnsi" w:hAnsiTheme="majorHAnsi"/>
                <w:sz w:val="20"/>
                <w:szCs w:val="20"/>
              </w:rPr>
              <w:t>las ventas en los últimos trimestres presentan un incremento sostenido, se estima que</w:t>
            </w:r>
            <w:r>
              <w:rPr>
                <w:rFonts w:asciiTheme="majorHAnsi" w:hAnsiTheme="majorHAnsi"/>
                <w:sz w:val="20"/>
                <w:szCs w:val="20"/>
              </w:rPr>
              <w:t xml:space="preserve"> dichos </w:t>
            </w:r>
            <w:r w:rsidR="00AE3908" w:rsidRPr="00AE3908">
              <w:rPr>
                <w:rFonts w:asciiTheme="majorHAnsi" w:hAnsiTheme="majorHAnsi"/>
                <w:sz w:val="20"/>
                <w:szCs w:val="20"/>
              </w:rPr>
              <w:t xml:space="preserve">ETM se sitúa en el intervalo de </w:t>
            </w:r>
            <w:r>
              <w:rPr>
                <w:rFonts w:asciiTheme="majorHAnsi" w:hAnsiTheme="majorHAnsi"/>
                <w:sz w:val="20"/>
                <w:szCs w:val="20"/>
              </w:rPr>
              <w:t xml:space="preserve">ventas de </w:t>
            </w:r>
            <w:r w:rsidR="00AE3908" w:rsidRPr="00AE3908">
              <w:rPr>
                <w:rFonts w:asciiTheme="majorHAnsi" w:hAnsiTheme="majorHAnsi"/>
                <w:sz w:val="20"/>
                <w:szCs w:val="20"/>
              </w:rPr>
              <w:t>13.1 – 14.7 millones</w:t>
            </w:r>
            <w:r>
              <w:rPr>
                <w:rFonts w:asciiTheme="majorHAnsi" w:hAnsiTheme="majorHAnsi"/>
                <w:sz w:val="20"/>
                <w:szCs w:val="20"/>
              </w:rPr>
              <w:t xml:space="preserve"> de unidades</w:t>
            </w:r>
            <w:r w:rsidR="00AE3908" w:rsidRPr="00AE3908">
              <w:rPr>
                <w:rFonts w:asciiTheme="majorHAnsi" w:hAnsiTheme="majorHAnsi"/>
                <w:sz w:val="20"/>
                <w:szCs w:val="20"/>
              </w:rPr>
              <w:t>.</w:t>
            </w:r>
          </w:p>
          <w:p w:rsidR="00AE3908" w:rsidRDefault="004F03A4" w:rsidP="00AE3908">
            <w:pPr>
              <w:shd w:val="clear" w:color="auto" w:fill="FFFFFF"/>
              <w:spacing w:after="101"/>
              <w:jc w:val="both"/>
              <w:rPr>
                <w:rFonts w:asciiTheme="majorHAnsi" w:hAnsiTheme="majorHAnsi"/>
                <w:sz w:val="20"/>
                <w:szCs w:val="20"/>
              </w:rPr>
            </w:pPr>
            <w:r>
              <w:rPr>
                <w:rFonts w:asciiTheme="majorHAnsi" w:hAnsiTheme="majorHAnsi"/>
                <w:sz w:val="20"/>
                <w:szCs w:val="20"/>
              </w:rPr>
              <w:t>E</w:t>
            </w:r>
            <w:r w:rsidR="00280D64">
              <w:rPr>
                <w:rFonts w:asciiTheme="majorHAnsi" w:hAnsiTheme="majorHAnsi"/>
                <w:sz w:val="20"/>
                <w:szCs w:val="20"/>
              </w:rPr>
              <w:t xml:space="preserve">n la siguiente tabla </w:t>
            </w:r>
            <w:r>
              <w:rPr>
                <w:rFonts w:asciiTheme="majorHAnsi" w:hAnsiTheme="majorHAnsi"/>
                <w:sz w:val="20"/>
                <w:szCs w:val="20"/>
              </w:rPr>
              <w:t xml:space="preserve">se puede observar </w:t>
            </w:r>
            <w:r w:rsidR="00280D64">
              <w:rPr>
                <w:rFonts w:asciiTheme="majorHAnsi" w:hAnsiTheme="majorHAnsi"/>
                <w:sz w:val="20"/>
                <w:szCs w:val="20"/>
              </w:rPr>
              <w:t xml:space="preserve">que </w:t>
            </w:r>
            <w:r w:rsidR="00AE3908" w:rsidRPr="00AE3908">
              <w:rPr>
                <w:rFonts w:asciiTheme="majorHAnsi" w:hAnsiTheme="majorHAnsi"/>
                <w:sz w:val="20"/>
                <w:szCs w:val="20"/>
              </w:rPr>
              <w:t>los</w:t>
            </w:r>
            <w:r w:rsidR="00280D64">
              <w:rPr>
                <w:rFonts w:asciiTheme="majorHAnsi" w:hAnsiTheme="majorHAnsi"/>
                <w:sz w:val="20"/>
                <w:szCs w:val="20"/>
              </w:rPr>
              <w:t xml:space="preserve"> principales distribuidores de </w:t>
            </w:r>
            <w:r w:rsidR="00AE3908" w:rsidRPr="00AE3908">
              <w:rPr>
                <w:rFonts w:asciiTheme="majorHAnsi" w:hAnsiTheme="majorHAnsi"/>
                <w:sz w:val="20"/>
                <w:szCs w:val="20"/>
              </w:rPr>
              <w:t xml:space="preserve">ETM </w:t>
            </w:r>
            <w:r w:rsidR="00280D64">
              <w:rPr>
                <w:rFonts w:asciiTheme="majorHAnsi" w:hAnsiTheme="majorHAnsi"/>
                <w:sz w:val="20"/>
                <w:szCs w:val="20"/>
              </w:rPr>
              <w:t xml:space="preserve">en México </w:t>
            </w:r>
            <w:r>
              <w:rPr>
                <w:rFonts w:asciiTheme="majorHAnsi" w:hAnsiTheme="majorHAnsi"/>
                <w:sz w:val="20"/>
                <w:szCs w:val="20"/>
              </w:rPr>
              <w:t xml:space="preserve">ya </w:t>
            </w:r>
            <w:r w:rsidR="00AE3908" w:rsidRPr="00AE3908">
              <w:rPr>
                <w:rFonts w:asciiTheme="majorHAnsi" w:hAnsiTheme="majorHAnsi"/>
                <w:sz w:val="20"/>
                <w:szCs w:val="20"/>
              </w:rPr>
              <w:t>disponen d</w:t>
            </w:r>
            <w:r>
              <w:rPr>
                <w:rFonts w:asciiTheme="majorHAnsi" w:hAnsiTheme="majorHAnsi"/>
                <w:sz w:val="20"/>
                <w:szCs w:val="20"/>
              </w:rPr>
              <w:t>e</w:t>
            </w:r>
            <w:r w:rsidR="00AE3908" w:rsidRPr="00AE3908">
              <w:rPr>
                <w:rFonts w:asciiTheme="majorHAnsi" w:hAnsiTheme="majorHAnsi"/>
                <w:sz w:val="20"/>
                <w:szCs w:val="20"/>
              </w:rPr>
              <w:t xml:space="preserve"> </w:t>
            </w:r>
            <w:proofErr w:type="spellStart"/>
            <w:r w:rsidR="0036415A">
              <w:rPr>
                <w:rFonts w:asciiTheme="majorHAnsi" w:hAnsiTheme="majorHAnsi"/>
                <w:sz w:val="20"/>
                <w:szCs w:val="20"/>
              </w:rPr>
              <w:t>Smartphones</w:t>
            </w:r>
            <w:proofErr w:type="spellEnd"/>
            <w:r w:rsidR="0036415A">
              <w:rPr>
                <w:rFonts w:asciiTheme="majorHAnsi" w:hAnsiTheme="majorHAnsi"/>
                <w:sz w:val="20"/>
                <w:szCs w:val="20"/>
              </w:rPr>
              <w:t xml:space="preserve"> </w:t>
            </w:r>
            <w:r w:rsidR="00AE3908" w:rsidRPr="00AE3908">
              <w:rPr>
                <w:rFonts w:asciiTheme="majorHAnsi" w:hAnsiTheme="majorHAnsi"/>
                <w:sz w:val="20"/>
                <w:szCs w:val="20"/>
              </w:rPr>
              <w:t xml:space="preserve">compatibles en Banda 28, </w:t>
            </w:r>
            <w:r w:rsidR="00280D64">
              <w:rPr>
                <w:rFonts w:asciiTheme="majorHAnsi" w:hAnsiTheme="majorHAnsi"/>
                <w:sz w:val="20"/>
                <w:szCs w:val="20"/>
              </w:rPr>
              <w:t xml:space="preserve">incluyendo los de </w:t>
            </w:r>
            <w:r w:rsidR="00AE3908" w:rsidRPr="00AE3908">
              <w:rPr>
                <w:rFonts w:asciiTheme="majorHAnsi" w:hAnsiTheme="majorHAnsi"/>
                <w:sz w:val="20"/>
                <w:szCs w:val="20"/>
              </w:rPr>
              <w:t>gama baja:</w:t>
            </w:r>
          </w:p>
          <w:p w:rsidR="000102B1" w:rsidRPr="00AE3908" w:rsidRDefault="000102B1" w:rsidP="000102B1">
            <w:pPr>
              <w:shd w:val="clear" w:color="auto" w:fill="FFFFFF"/>
              <w:spacing w:after="101"/>
              <w:jc w:val="center"/>
              <w:rPr>
                <w:rFonts w:asciiTheme="majorHAnsi" w:hAnsiTheme="majorHAnsi"/>
                <w:sz w:val="20"/>
                <w:szCs w:val="20"/>
              </w:rPr>
            </w:pPr>
            <w:r>
              <w:rPr>
                <w:noProof/>
                <w:lang w:val="en-GB" w:eastAsia="en-GB"/>
              </w:rPr>
              <w:drawing>
                <wp:inline distT="0" distB="0" distL="0" distR="0" wp14:anchorId="5C844BEE" wp14:editId="5A61BEF4">
                  <wp:extent cx="2579462" cy="257508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6762" cy="2582371"/>
                          </a:xfrm>
                          <a:prstGeom prst="rect">
                            <a:avLst/>
                          </a:prstGeom>
                        </pic:spPr>
                      </pic:pic>
                    </a:graphicData>
                  </a:graphic>
                </wp:inline>
              </w:drawing>
            </w:r>
          </w:p>
          <w:p w:rsidR="00AE3908" w:rsidRPr="000102B1" w:rsidRDefault="00AE3908" w:rsidP="0036569F">
            <w:pPr>
              <w:shd w:val="clear" w:color="auto" w:fill="FFFFFF"/>
              <w:spacing w:after="101"/>
              <w:jc w:val="center"/>
              <w:rPr>
                <w:rFonts w:asciiTheme="majorHAnsi" w:hAnsiTheme="majorHAnsi"/>
                <w:b/>
                <w:sz w:val="20"/>
                <w:szCs w:val="20"/>
              </w:rPr>
            </w:pPr>
            <w:r w:rsidRPr="000102B1">
              <w:rPr>
                <w:rFonts w:asciiTheme="majorHAnsi" w:hAnsiTheme="majorHAnsi"/>
                <w:b/>
                <w:sz w:val="20"/>
                <w:szCs w:val="20"/>
              </w:rPr>
              <w:t xml:space="preserve">Tabla 1. Principales fabricantes de </w:t>
            </w:r>
            <w:proofErr w:type="spellStart"/>
            <w:r w:rsidRPr="000102B1">
              <w:rPr>
                <w:rFonts w:asciiTheme="majorHAnsi" w:hAnsiTheme="majorHAnsi"/>
                <w:b/>
                <w:sz w:val="20"/>
                <w:szCs w:val="20"/>
              </w:rPr>
              <w:t>Smartphones</w:t>
            </w:r>
            <w:proofErr w:type="spellEnd"/>
            <w:r w:rsidRPr="000102B1">
              <w:rPr>
                <w:rFonts w:asciiTheme="majorHAnsi" w:hAnsiTheme="majorHAnsi"/>
                <w:b/>
                <w:sz w:val="20"/>
                <w:szCs w:val="20"/>
              </w:rPr>
              <w:t xml:space="preserve"> en México y oferta de ETM en Banda 28</w:t>
            </w:r>
            <w:r w:rsidR="00F442F3">
              <w:rPr>
                <w:rStyle w:val="Refdenotaalpie"/>
                <w:rFonts w:asciiTheme="majorHAnsi" w:hAnsiTheme="majorHAnsi"/>
                <w:b/>
                <w:sz w:val="20"/>
                <w:szCs w:val="20"/>
              </w:rPr>
              <w:footnoteReference w:id="8"/>
            </w:r>
          </w:p>
          <w:p w:rsidR="008D01C8" w:rsidRDefault="008D01C8" w:rsidP="004969DC">
            <w:pPr>
              <w:shd w:val="clear" w:color="auto" w:fill="FFFFFF"/>
              <w:spacing w:after="101"/>
              <w:jc w:val="both"/>
              <w:rPr>
                <w:rFonts w:asciiTheme="majorHAnsi" w:hAnsiTheme="majorHAnsi"/>
                <w:sz w:val="20"/>
                <w:szCs w:val="20"/>
              </w:rPr>
            </w:pPr>
          </w:p>
          <w:p w:rsidR="004F03A4" w:rsidRDefault="00AE3908" w:rsidP="00BA5FD3">
            <w:pPr>
              <w:shd w:val="clear" w:color="auto" w:fill="FFFFFF"/>
              <w:spacing w:after="101"/>
              <w:jc w:val="both"/>
              <w:rPr>
                <w:rFonts w:asciiTheme="majorHAnsi" w:hAnsiTheme="majorHAnsi"/>
                <w:sz w:val="20"/>
                <w:szCs w:val="20"/>
              </w:rPr>
            </w:pPr>
            <w:r w:rsidRPr="00AE3908">
              <w:rPr>
                <w:rFonts w:asciiTheme="majorHAnsi" w:hAnsiTheme="majorHAnsi"/>
                <w:sz w:val="20"/>
                <w:szCs w:val="20"/>
              </w:rPr>
              <w:t xml:space="preserve">Sin embargo, para el caso de </w:t>
            </w:r>
            <w:r w:rsidR="00F82AB1">
              <w:rPr>
                <w:rFonts w:asciiTheme="majorHAnsi" w:hAnsiTheme="majorHAnsi"/>
                <w:sz w:val="20"/>
                <w:szCs w:val="20"/>
              </w:rPr>
              <w:t xml:space="preserve">ETM en gama baja </w:t>
            </w:r>
            <w:r w:rsidR="008D01C8">
              <w:rPr>
                <w:rFonts w:asciiTheme="majorHAnsi" w:hAnsiTheme="majorHAnsi"/>
                <w:sz w:val="20"/>
                <w:szCs w:val="20"/>
              </w:rPr>
              <w:t xml:space="preserve">marcas </w:t>
            </w:r>
            <w:r w:rsidR="000102B1">
              <w:rPr>
                <w:rFonts w:asciiTheme="majorHAnsi" w:hAnsiTheme="majorHAnsi"/>
                <w:sz w:val="20"/>
                <w:szCs w:val="20"/>
              </w:rPr>
              <w:t>como</w:t>
            </w:r>
            <w:r w:rsidR="00280D64">
              <w:rPr>
                <w:rFonts w:asciiTheme="majorHAnsi" w:hAnsiTheme="majorHAnsi"/>
                <w:sz w:val="20"/>
                <w:szCs w:val="20"/>
              </w:rPr>
              <w:t>:</w:t>
            </w:r>
            <w:r w:rsidR="000102B1">
              <w:rPr>
                <w:rFonts w:asciiTheme="majorHAnsi" w:hAnsiTheme="majorHAnsi"/>
                <w:sz w:val="20"/>
                <w:szCs w:val="20"/>
              </w:rPr>
              <w:t xml:space="preserve"> </w:t>
            </w:r>
            <w:proofErr w:type="spellStart"/>
            <w:r w:rsidRPr="00AE3908">
              <w:rPr>
                <w:rFonts w:asciiTheme="majorHAnsi" w:hAnsiTheme="majorHAnsi"/>
                <w:sz w:val="20"/>
                <w:szCs w:val="20"/>
              </w:rPr>
              <w:t>Lanix</w:t>
            </w:r>
            <w:proofErr w:type="spellEnd"/>
            <w:r w:rsidRPr="00AE3908">
              <w:rPr>
                <w:rFonts w:asciiTheme="majorHAnsi" w:hAnsiTheme="majorHAnsi"/>
                <w:sz w:val="20"/>
                <w:szCs w:val="20"/>
              </w:rPr>
              <w:t xml:space="preserve">, </w:t>
            </w:r>
            <w:proofErr w:type="spellStart"/>
            <w:r w:rsidRPr="00AE3908">
              <w:rPr>
                <w:rFonts w:asciiTheme="majorHAnsi" w:hAnsiTheme="majorHAnsi"/>
                <w:sz w:val="20"/>
                <w:szCs w:val="20"/>
              </w:rPr>
              <w:t>Nyx</w:t>
            </w:r>
            <w:proofErr w:type="spellEnd"/>
            <w:r w:rsidRPr="00AE3908">
              <w:rPr>
                <w:rFonts w:asciiTheme="majorHAnsi" w:hAnsiTheme="majorHAnsi"/>
                <w:sz w:val="20"/>
                <w:szCs w:val="20"/>
              </w:rPr>
              <w:t xml:space="preserve"> y M4Tel</w:t>
            </w:r>
            <w:r w:rsidR="00280D64">
              <w:rPr>
                <w:rFonts w:asciiTheme="majorHAnsi" w:hAnsiTheme="majorHAnsi"/>
                <w:sz w:val="20"/>
                <w:szCs w:val="20"/>
              </w:rPr>
              <w:t xml:space="preserve">, </w:t>
            </w:r>
            <w:proofErr w:type="spellStart"/>
            <w:r w:rsidRPr="00AE3908">
              <w:rPr>
                <w:rFonts w:asciiTheme="majorHAnsi" w:hAnsiTheme="majorHAnsi"/>
                <w:sz w:val="20"/>
                <w:szCs w:val="20"/>
              </w:rPr>
              <w:t>Blu</w:t>
            </w:r>
            <w:proofErr w:type="spellEnd"/>
            <w:r w:rsidR="00280D64">
              <w:rPr>
                <w:rFonts w:asciiTheme="majorHAnsi" w:hAnsiTheme="majorHAnsi"/>
                <w:sz w:val="20"/>
                <w:szCs w:val="20"/>
              </w:rPr>
              <w:t xml:space="preserve"> y</w:t>
            </w:r>
            <w:r w:rsidRPr="00AE3908">
              <w:rPr>
                <w:rFonts w:asciiTheme="majorHAnsi" w:hAnsiTheme="majorHAnsi"/>
                <w:sz w:val="20"/>
                <w:szCs w:val="20"/>
              </w:rPr>
              <w:t xml:space="preserve"> </w:t>
            </w:r>
            <w:proofErr w:type="spellStart"/>
            <w:r w:rsidRPr="00AE3908">
              <w:rPr>
                <w:rFonts w:asciiTheme="majorHAnsi" w:hAnsiTheme="majorHAnsi"/>
                <w:sz w:val="20"/>
                <w:szCs w:val="20"/>
              </w:rPr>
              <w:t>Hisense</w:t>
            </w:r>
            <w:proofErr w:type="spellEnd"/>
            <w:r w:rsidRPr="00AE3908">
              <w:rPr>
                <w:rFonts w:asciiTheme="majorHAnsi" w:hAnsiTheme="majorHAnsi"/>
                <w:sz w:val="20"/>
                <w:szCs w:val="20"/>
              </w:rPr>
              <w:t xml:space="preserve">, no </w:t>
            </w:r>
            <w:r w:rsidR="00280D64">
              <w:rPr>
                <w:rFonts w:asciiTheme="majorHAnsi" w:hAnsiTheme="majorHAnsi"/>
                <w:sz w:val="20"/>
                <w:szCs w:val="20"/>
              </w:rPr>
              <w:t xml:space="preserve">comercializan </w:t>
            </w:r>
            <w:r w:rsidRPr="00AE3908">
              <w:rPr>
                <w:rFonts w:asciiTheme="majorHAnsi" w:hAnsiTheme="majorHAnsi"/>
                <w:sz w:val="20"/>
                <w:szCs w:val="20"/>
              </w:rPr>
              <w:t xml:space="preserve">ningún </w:t>
            </w:r>
            <w:r w:rsidR="00280D64">
              <w:rPr>
                <w:rFonts w:asciiTheme="majorHAnsi" w:hAnsiTheme="majorHAnsi"/>
                <w:sz w:val="20"/>
                <w:szCs w:val="20"/>
              </w:rPr>
              <w:t xml:space="preserve">equipo </w:t>
            </w:r>
            <w:r w:rsidRPr="00AE3908">
              <w:rPr>
                <w:rFonts w:asciiTheme="majorHAnsi" w:hAnsiTheme="majorHAnsi"/>
                <w:sz w:val="20"/>
                <w:szCs w:val="20"/>
              </w:rPr>
              <w:t>que soporte la Banda 28</w:t>
            </w:r>
            <w:r w:rsidR="00F82AB1">
              <w:rPr>
                <w:rFonts w:asciiTheme="majorHAnsi" w:hAnsiTheme="majorHAnsi"/>
                <w:sz w:val="20"/>
                <w:szCs w:val="20"/>
              </w:rPr>
              <w:t>.</w:t>
            </w:r>
            <w:r w:rsidR="00280D64" w:rsidRPr="00AE3908">
              <w:rPr>
                <w:rFonts w:asciiTheme="majorHAnsi" w:hAnsiTheme="majorHAnsi"/>
                <w:sz w:val="20"/>
                <w:szCs w:val="20"/>
              </w:rPr>
              <w:t xml:space="preserve"> </w:t>
            </w:r>
            <w:r w:rsidR="007542BF">
              <w:rPr>
                <w:rFonts w:asciiTheme="majorHAnsi" w:hAnsiTheme="majorHAnsi"/>
                <w:sz w:val="20"/>
                <w:szCs w:val="20"/>
              </w:rPr>
              <w:t xml:space="preserve"> </w:t>
            </w:r>
          </w:p>
          <w:p w:rsidR="004F03A4" w:rsidRPr="00AE3908" w:rsidRDefault="002D6101" w:rsidP="004969DC">
            <w:pPr>
              <w:shd w:val="clear" w:color="auto" w:fill="FFFFFF"/>
              <w:spacing w:after="101"/>
              <w:jc w:val="both"/>
              <w:rPr>
                <w:rFonts w:asciiTheme="majorHAnsi" w:hAnsiTheme="majorHAnsi"/>
                <w:sz w:val="20"/>
                <w:szCs w:val="20"/>
              </w:rPr>
            </w:pPr>
            <w:r>
              <w:rPr>
                <w:rFonts w:asciiTheme="majorHAnsi" w:hAnsiTheme="majorHAnsi"/>
                <w:sz w:val="20"/>
                <w:szCs w:val="20"/>
              </w:rPr>
              <w:t xml:space="preserve">En algunos casos,  dispositivos de </w:t>
            </w:r>
            <w:r w:rsidR="004F03A4">
              <w:rPr>
                <w:rFonts w:asciiTheme="majorHAnsi" w:hAnsiTheme="majorHAnsi"/>
                <w:sz w:val="20"/>
                <w:szCs w:val="20"/>
              </w:rPr>
              <w:t xml:space="preserve">marcas como </w:t>
            </w:r>
            <w:proofErr w:type="spellStart"/>
            <w:r w:rsidR="004F03A4" w:rsidRPr="004F03A4">
              <w:rPr>
                <w:rFonts w:asciiTheme="majorHAnsi" w:hAnsiTheme="majorHAnsi"/>
                <w:sz w:val="20"/>
                <w:szCs w:val="20"/>
              </w:rPr>
              <w:t>Huawei</w:t>
            </w:r>
            <w:proofErr w:type="spellEnd"/>
            <w:r w:rsidR="004F03A4" w:rsidRPr="004F03A4">
              <w:rPr>
                <w:rFonts w:asciiTheme="majorHAnsi" w:hAnsiTheme="majorHAnsi"/>
                <w:sz w:val="20"/>
                <w:szCs w:val="20"/>
              </w:rPr>
              <w:t xml:space="preserve"> </w:t>
            </w:r>
            <w:r w:rsidR="00021C9C">
              <w:rPr>
                <w:rFonts w:asciiTheme="majorHAnsi" w:hAnsiTheme="majorHAnsi"/>
                <w:sz w:val="20"/>
                <w:szCs w:val="20"/>
              </w:rPr>
              <w:t xml:space="preserve">son comercializadas en México sin soportar la </w:t>
            </w:r>
            <w:r w:rsidR="004F03A4" w:rsidRPr="004F03A4">
              <w:rPr>
                <w:rFonts w:asciiTheme="majorHAnsi" w:hAnsiTheme="majorHAnsi"/>
                <w:sz w:val="20"/>
                <w:szCs w:val="20"/>
              </w:rPr>
              <w:t xml:space="preserve">Banda 28, mientras que en Colombia </w:t>
            </w:r>
            <w:r w:rsidR="00021C9C">
              <w:rPr>
                <w:rFonts w:asciiTheme="majorHAnsi" w:hAnsiTheme="majorHAnsi"/>
                <w:sz w:val="20"/>
                <w:szCs w:val="20"/>
              </w:rPr>
              <w:t>los mismos equipos son comercializados soportan</w:t>
            </w:r>
            <w:r>
              <w:rPr>
                <w:rFonts w:asciiTheme="majorHAnsi" w:hAnsiTheme="majorHAnsi"/>
                <w:sz w:val="20"/>
                <w:szCs w:val="20"/>
              </w:rPr>
              <w:t>do</w:t>
            </w:r>
            <w:r w:rsidR="00021C9C">
              <w:rPr>
                <w:rFonts w:asciiTheme="majorHAnsi" w:hAnsiTheme="majorHAnsi"/>
                <w:sz w:val="20"/>
                <w:szCs w:val="20"/>
              </w:rPr>
              <w:t xml:space="preserve"> </w:t>
            </w:r>
            <w:r>
              <w:rPr>
                <w:rFonts w:asciiTheme="majorHAnsi" w:hAnsiTheme="majorHAnsi"/>
                <w:sz w:val="20"/>
                <w:szCs w:val="20"/>
              </w:rPr>
              <w:t>la misma</w:t>
            </w:r>
            <w:r w:rsidR="004F03A4" w:rsidRPr="004F03A4">
              <w:rPr>
                <w:rFonts w:asciiTheme="majorHAnsi" w:hAnsiTheme="majorHAnsi"/>
                <w:sz w:val="20"/>
                <w:szCs w:val="20"/>
              </w:rPr>
              <w:t>.</w:t>
            </w:r>
          </w:p>
          <w:p w:rsidR="00940084" w:rsidRDefault="005A5B26" w:rsidP="00940084">
            <w:pPr>
              <w:shd w:val="clear" w:color="auto" w:fill="FFFFFF"/>
              <w:spacing w:after="101"/>
              <w:jc w:val="both"/>
              <w:rPr>
                <w:rFonts w:asciiTheme="majorHAnsi" w:hAnsiTheme="majorHAnsi"/>
                <w:sz w:val="20"/>
                <w:szCs w:val="20"/>
              </w:rPr>
            </w:pPr>
            <w:r>
              <w:rPr>
                <w:rFonts w:asciiTheme="majorHAnsi" w:hAnsiTheme="majorHAnsi"/>
                <w:sz w:val="20"/>
                <w:szCs w:val="20"/>
              </w:rPr>
              <w:t xml:space="preserve">Es </w:t>
            </w:r>
            <w:r w:rsidR="004F03A4">
              <w:rPr>
                <w:rFonts w:asciiTheme="majorHAnsi" w:hAnsiTheme="majorHAnsi"/>
                <w:sz w:val="20"/>
                <w:szCs w:val="20"/>
              </w:rPr>
              <w:t>relevante</w:t>
            </w:r>
            <w:r>
              <w:rPr>
                <w:rFonts w:asciiTheme="majorHAnsi" w:hAnsiTheme="majorHAnsi"/>
                <w:sz w:val="20"/>
                <w:szCs w:val="20"/>
              </w:rPr>
              <w:t xml:space="preserve"> mencionar </w:t>
            </w:r>
            <w:r w:rsidR="00AE3908" w:rsidRPr="00AE3908">
              <w:rPr>
                <w:rFonts w:asciiTheme="majorHAnsi" w:hAnsiTheme="majorHAnsi"/>
                <w:sz w:val="20"/>
                <w:szCs w:val="20"/>
              </w:rPr>
              <w:t xml:space="preserve">que </w:t>
            </w:r>
            <w:r w:rsidR="002D6101">
              <w:rPr>
                <w:rFonts w:asciiTheme="majorHAnsi" w:hAnsiTheme="majorHAnsi"/>
                <w:sz w:val="20"/>
                <w:szCs w:val="20"/>
              </w:rPr>
              <w:t xml:space="preserve">en </w:t>
            </w:r>
            <w:r w:rsidR="00AE3908" w:rsidRPr="00AE3908">
              <w:rPr>
                <w:rFonts w:asciiTheme="majorHAnsi" w:hAnsiTheme="majorHAnsi"/>
                <w:sz w:val="20"/>
                <w:szCs w:val="20"/>
              </w:rPr>
              <w:t xml:space="preserve">el mercado mexicano de ETM </w:t>
            </w:r>
            <w:r w:rsidR="002D6101">
              <w:rPr>
                <w:rFonts w:asciiTheme="majorHAnsi" w:hAnsiTheme="majorHAnsi"/>
                <w:sz w:val="20"/>
                <w:szCs w:val="20"/>
              </w:rPr>
              <w:t>existe</w:t>
            </w:r>
            <w:r w:rsidR="00AE3908" w:rsidRPr="00AE3908">
              <w:rPr>
                <w:rFonts w:asciiTheme="majorHAnsi" w:hAnsiTheme="majorHAnsi"/>
                <w:sz w:val="20"/>
                <w:szCs w:val="20"/>
              </w:rPr>
              <w:t xml:space="preserve"> </w:t>
            </w:r>
            <w:r w:rsidR="002D6101">
              <w:rPr>
                <w:rFonts w:asciiTheme="majorHAnsi" w:hAnsiTheme="majorHAnsi"/>
                <w:sz w:val="20"/>
                <w:szCs w:val="20"/>
              </w:rPr>
              <w:t>una elevada</w:t>
            </w:r>
            <w:r w:rsidR="00AE3908" w:rsidRPr="00AE3908">
              <w:rPr>
                <w:rFonts w:asciiTheme="majorHAnsi" w:hAnsiTheme="majorHAnsi"/>
                <w:sz w:val="20"/>
                <w:szCs w:val="20"/>
              </w:rPr>
              <w:t xml:space="preserve"> capacidad de influencia </w:t>
            </w:r>
            <w:r w:rsidR="002D6101">
              <w:rPr>
                <w:rFonts w:asciiTheme="majorHAnsi" w:hAnsiTheme="majorHAnsi"/>
                <w:sz w:val="20"/>
                <w:szCs w:val="20"/>
              </w:rPr>
              <w:t>de</w:t>
            </w:r>
            <w:r w:rsidR="00AE3908" w:rsidRPr="00AE3908">
              <w:rPr>
                <w:rFonts w:asciiTheme="majorHAnsi" w:hAnsiTheme="majorHAnsi"/>
                <w:sz w:val="20"/>
                <w:szCs w:val="20"/>
              </w:rPr>
              <w:t xml:space="preserve"> los concesionarios de servicios móviles</w:t>
            </w:r>
            <w:r w:rsidR="004F03A4">
              <w:rPr>
                <w:rFonts w:asciiTheme="majorHAnsi" w:hAnsiTheme="majorHAnsi"/>
                <w:sz w:val="20"/>
                <w:szCs w:val="20"/>
              </w:rPr>
              <w:t xml:space="preserve"> en la comercialización de</w:t>
            </w:r>
            <w:r w:rsidR="00A15FF2">
              <w:rPr>
                <w:rFonts w:asciiTheme="majorHAnsi" w:hAnsiTheme="majorHAnsi"/>
                <w:sz w:val="20"/>
                <w:szCs w:val="20"/>
              </w:rPr>
              <w:t xml:space="preserve"> </w:t>
            </w:r>
            <w:proofErr w:type="spellStart"/>
            <w:r w:rsidR="00AE3908" w:rsidRPr="00AE3908">
              <w:rPr>
                <w:rFonts w:asciiTheme="majorHAnsi" w:hAnsiTheme="majorHAnsi"/>
                <w:sz w:val="20"/>
                <w:szCs w:val="20"/>
              </w:rPr>
              <w:t>Smartphone</w:t>
            </w:r>
            <w:r w:rsidR="004F03A4">
              <w:rPr>
                <w:rFonts w:asciiTheme="majorHAnsi" w:hAnsiTheme="majorHAnsi"/>
                <w:sz w:val="20"/>
                <w:szCs w:val="20"/>
              </w:rPr>
              <w:t>s</w:t>
            </w:r>
            <w:proofErr w:type="spellEnd"/>
            <w:r w:rsidR="00AE3908" w:rsidRPr="00AE3908">
              <w:rPr>
                <w:rFonts w:asciiTheme="majorHAnsi" w:hAnsiTheme="majorHAnsi"/>
                <w:sz w:val="20"/>
                <w:szCs w:val="20"/>
              </w:rPr>
              <w:t xml:space="preserve">. Los </w:t>
            </w:r>
            <w:r w:rsidR="004F03A4">
              <w:rPr>
                <w:rFonts w:asciiTheme="majorHAnsi" w:hAnsiTheme="majorHAnsi"/>
                <w:sz w:val="20"/>
                <w:szCs w:val="20"/>
              </w:rPr>
              <w:t xml:space="preserve">concesionarios </w:t>
            </w:r>
            <w:r w:rsidR="00AE3908" w:rsidRPr="00AE3908">
              <w:rPr>
                <w:rFonts w:asciiTheme="majorHAnsi" w:hAnsiTheme="majorHAnsi"/>
                <w:sz w:val="20"/>
                <w:szCs w:val="20"/>
              </w:rPr>
              <w:t>controlan una p</w:t>
            </w:r>
            <w:r w:rsidR="00A15FF2">
              <w:rPr>
                <w:rFonts w:asciiTheme="majorHAnsi" w:hAnsiTheme="majorHAnsi"/>
                <w:sz w:val="20"/>
                <w:szCs w:val="20"/>
              </w:rPr>
              <w:t>r</w:t>
            </w:r>
            <w:r w:rsidR="00AE3908" w:rsidRPr="00AE3908">
              <w:rPr>
                <w:rFonts w:asciiTheme="majorHAnsi" w:hAnsiTheme="majorHAnsi"/>
                <w:sz w:val="20"/>
                <w:szCs w:val="20"/>
              </w:rPr>
              <w:t>o</w:t>
            </w:r>
            <w:r w:rsidR="00A15FF2">
              <w:rPr>
                <w:rFonts w:asciiTheme="majorHAnsi" w:hAnsiTheme="majorHAnsi"/>
                <w:sz w:val="20"/>
                <w:szCs w:val="20"/>
              </w:rPr>
              <w:t>por</w:t>
            </w:r>
            <w:r w:rsidR="00AE3908" w:rsidRPr="00AE3908">
              <w:rPr>
                <w:rFonts w:asciiTheme="majorHAnsi" w:hAnsiTheme="majorHAnsi"/>
                <w:sz w:val="20"/>
                <w:szCs w:val="20"/>
              </w:rPr>
              <w:t xml:space="preserve">ción sustancial de la cadena de suministro ya que de forma conjunta </w:t>
            </w:r>
            <w:r w:rsidR="002D6101">
              <w:rPr>
                <w:rFonts w:asciiTheme="majorHAnsi" w:hAnsiTheme="majorHAnsi"/>
                <w:sz w:val="20"/>
                <w:szCs w:val="20"/>
              </w:rPr>
              <w:t xml:space="preserve">suministran </w:t>
            </w:r>
            <w:r w:rsidR="00412C50">
              <w:rPr>
                <w:rFonts w:asciiTheme="majorHAnsi" w:hAnsiTheme="majorHAnsi"/>
                <w:sz w:val="20"/>
                <w:szCs w:val="20"/>
              </w:rPr>
              <w:t>cerca d</w:t>
            </w:r>
            <w:r w:rsidR="00AE3908" w:rsidRPr="00AE3908">
              <w:rPr>
                <w:rFonts w:asciiTheme="majorHAnsi" w:hAnsiTheme="majorHAnsi"/>
                <w:sz w:val="20"/>
                <w:szCs w:val="20"/>
              </w:rPr>
              <w:t>el 80% de las compras de ETM (en unidades).</w:t>
            </w:r>
            <w:r w:rsidR="002D6101">
              <w:rPr>
                <w:rFonts w:asciiTheme="majorHAnsi" w:hAnsiTheme="majorHAnsi"/>
                <w:sz w:val="20"/>
                <w:szCs w:val="20"/>
              </w:rPr>
              <w:t xml:space="preserve"> Lo anterior contrasta con otros mercados en Latinoamérica, como el de Brasil, donde los concesionarios de servicios móviles controlan aproximadamente el 15% del mercado de </w:t>
            </w:r>
            <w:proofErr w:type="spellStart"/>
            <w:r w:rsidR="002D6101">
              <w:rPr>
                <w:rFonts w:asciiTheme="majorHAnsi" w:hAnsiTheme="majorHAnsi"/>
                <w:sz w:val="20"/>
                <w:szCs w:val="20"/>
              </w:rPr>
              <w:t>Smartphones</w:t>
            </w:r>
            <w:proofErr w:type="spellEnd"/>
            <w:r w:rsidR="002D6101">
              <w:rPr>
                <w:rFonts w:asciiTheme="majorHAnsi" w:hAnsiTheme="majorHAnsi"/>
                <w:sz w:val="20"/>
                <w:szCs w:val="20"/>
              </w:rPr>
              <w:t>.</w:t>
            </w:r>
            <w:r w:rsidR="004F03A4">
              <w:rPr>
                <w:rFonts w:asciiTheme="majorHAnsi" w:hAnsiTheme="majorHAnsi"/>
                <w:sz w:val="20"/>
                <w:szCs w:val="20"/>
              </w:rPr>
              <w:t xml:space="preserve"> Por lo </w:t>
            </w:r>
            <w:r w:rsidR="002D6101">
              <w:rPr>
                <w:rFonts w:asciiTheme="majorHAnsi" w:hAnsiTheme="majorHAnsi"/>
                <w:sz w:val="20"/>
                <w:szCs w:val="20"/>
              </w:rPr>
              <w:t xml:space="preserve">expuesto, se puede inferir </w:t>
            </w:r>
            <w:r w:rsidR="00940084">
              <w:rPr>
                <w:rFonts w:asciiTheme="majorHAnsi" w:hAnsiTheme="majorHAnsi"/>
                <w:sz w:val="20"/>
                <w:szCs w:val="20"/>
              </w:rPr>
              <w:t>que</w:t>
            </w:r>
            <w:r w:rsidR="004F03A4">
              <w:rPr>
                <w:rFonts w:asciiTheme="majorHAnsi" w:hAnsiTheme="majorHAnsi"/>
                <w:sz w:val="20"/>
                <w:szCs w:val="20"/>
              </w:rPr>
              <w:t xml:space="preserve"> dichos </w:t>
            </w:r>
            <w:r w:rsidR="00047ADF">
              <w:rPr>
                <w:rFonts w:asciiTheme="majorHAnsi" w:hAnsiTheme="majorHAnsi"/>
                <w:sz w:val="20"/>
                <w:szCs w:val="20"/>
              </w:rPr>
              <w:t xml:space="preserve">concesionarios </w:t>
            </w:r>
            <w:r w:rsidR="00AE3908" w:rsidRPr="00AE3908">
              <w:rPr>
                <w:rFonts w:asciiTheme="majorHAnsi" w:hAnsiTheme="majorHAnsi"/>
                <w:sz w:val="20"/>
                <w:szCs w:val="20"/>
              </w:rPr>
              <w:t xml:space="preserve">móviles </w:t>
            </w:r>
            <w:r w:rsidR="002D6101">
              <w:rPr>
                <w:rFonts w:asciiTheme="majorHAnsi" w:hAnsiTheme="majorHAnsi"/>
                <w:sz w:val="20"/>
                <w:szCs w:val="20"/>
              </w:rPr>
              <w:t xml:space="preserve">en México </w:t>
            </w:r>
            <w:r w:rsidR="00AE3908" w:rsidRPr="00AE3908">
              <w:rPr>
                <w:rFonts w:asciiTheme="majorHAnsi" w:hAnsiTheme="majorHAnsi"/>
                <w:sz w:val="20"/>
                <w:szCs w:val="20"/>
              </w:rPr>
              <w:t>podrían incidir decisivamente sobre el desarrollo del ecosistema de Banda 28</w:t>
            </w:r>
            <w:r w:rsidR="004F03A4">
              <w:rPr>
                <w:rFonts w:asciiTheme="majorHAnsi" w:hAnsiTheme="majorHAnsi"/>
                <w:sz w:val="20"/>
                <w:szCs w:val="20"/>
              </w:rPr>
              <w:t>.</w:t>
            </w:r>
          </w:p>
          <w:p w:rsidR="002D6101" w:rsidRDefault="002D6101" w:rsidP="00940084">
            <w:pPr>
              <w:shd w:val="clear" w:color="auto" w:fill="FFFFFF"/>
              <w:spacing w:after="101"/>
              <w:jc w:val="both"/>
              <w:rPr>
                <w:rFonts w:asciiTheme="majorHAnsi" w:hAnsiTheme="majorHAnsi"/>
                <w:sz w:val="20"/>
                <w:szCs w:val="20"/>
              </w:rPr>
            </w:pPr>
          </w:p>
          <w:p w:rsidR="008B28D0" w:rsidRDefault="00FC5F7B" w:rsidP="00940084">
            <w:pPr>
              <w:shd w:val="clear" w:color="auto" w:fill="FFFFFF"/>
              <w:spacing w:after="101"/>
              <w:jc w:val="both"/>
              <w:rPr>
                <w:rFonts w:asciiTheme="majorHAnsi" w:hAnsiTheme="majorHAnsi"/>
                <w:sz w:val="20"/>
                <w:szCs w:val="20"/>
              </w:rPr>
            </w:pPr>
            <w:r>
              <w:rPr>
                <w:rFonts w:asciiTheme="majorHAnsi" w:hAnsiTheme="majorHAnsi"/>
                <w:sz w:val="20"/>
                <w:szCs w:val="20"/>
              </w:rPr>
              <w:t>El que un</w:t>
            </w:r>
            <w:r w:rsidR="002046EA">
              <w:rPr>
                <w:rFonts w:asciiTheme="majorHAnsi" w:hAnsiTheme="majorHAnsi"/>
                <w:sz w:val="20"/>
                <w:szCs w:val="20"/>
              </w:rPr>
              <w:t>o</w:t>
            </w:r>
            <w:r>
              <w:rPr>
                <w:rFonts w:asciiTheme="majorHAnsi" w:hAnsiTheme="majorHAnsi"/>
                <w:sz w:val="20"/>
                <w:szCs w:val="20"/>
              </w:rPr>
              <w:t xml:space="preserve"> </w:t>
            </w:r>
            <w:r w:rsidR="002046EA">
              <w:rPr>
                <w:rFonts w:asciiTheme="majorHAnsi" w:hAnsiTheme="majorHAnsi"/>
                <w:sz w:val="20"/>
                <w:szCs w:val="20"/>
              </w:rPr>
              <w:t xml:space="preserve">o un grupo de </w:t>
            </w:r>
            <w:r>
              <w:rPr>
                <w:rFonts w:asciiTheme="majorHAnsi" w:hAnsiTheme="majorHAnsi"/>
                <w:sz w:val="20"/>
                <w:szCs w:val="20"/>
              </w:rPr>
              <w:t>concesionario</w:t>
            </w:r>
            <w:r w:rsidR="002046EA">
              <w:rPr>
                <w:rFonts w:asciiTheme="majorHAnsi" w:hAnsiTheme="majorHAnsi"/>
                <w:sz w:val="20"/>
                <w:szCs w:val="20"/>
              </w:rPr>
              <w:t>s</w:t>
            </w:r>
            <w:r>
              <w:rPr>
                <w:rFonts w:asciiTheme="majorHAnsi" w:hAnsiTheme="majorHAnsi"/>
                <w:sz w:val="20"/>
                <w:szCs w:val="20"/>
              </w:rPr>
              <w:t xml:space="preserve"> pueda controlar una proporción sustancial de la cadena de suministro en la compra de ETM, </w:t>
            </w:r>
            <w:r w:rsidR="002046EA">
              <w:rPr>
                <w:rFonts w:asciiTheme="majorHAnsi" w:hAnsiTheme="majorHAnsi"/>
                <w:sz w:val="20"/>
                <w:szCs w:val="20"/>
              </w:rPr>
              <w:t>representa</w:t>
            </w:r>
            <w:r>
              <w:rPr>
                <w:rFonts w:asciiTheme="majorHAnsi" w:hAnsiTheme="majorHAnsi"/>
                <w:sz w:val="20"/>
                <w:szCs w:val="20"/>
              </w:rPr>
              <w:t xml:space="preserve"> </w:t>
            </w:r>
            <w:r w:rsidR="008B28D0">
              <w:rPr>
                <w:rFonts w:asciiTheme="majorHAnsi" w:hAnsiTheme="majorHAnsi"/>
                <w:sz w:val="20"/>
                <w:szCs w:val="20"/>
              </w:rPr>
              <w:t xml:space="preserve">el </w:t>
            </w:r>
            <w:r w:rsidR="008B28D0" w:rsidRPr="008B28D0">
              <w:rPr>
                <w:rFonts w:asciiTheme="majorHAnsi" w:hAnsiTheme="majorHAnsi"/>
                <w:sz w:val="20"/>
                <w:szCs w:val="20"/>
              </w:rPr>
              <w:t xml:space="preserve">riesgo </w:t>
            </w:r>
            <w:r w:rsidR="008B28D0">
              <w:rPr>
                <w:rFonts w:asciiTheme="majorHAnsi" w:hAnsiTheme="majorHAnsi"/>
                <w:sz w:val="20"/>
                <w:szCs w:val="20"/>
              </w:rPr>
              <w:t xml:space="preserve">de </w:t>
            </w:r>
            <w:r w:rsidR="008B28D0" w:rsidRPr="008B28D0">
              <w:rPr>
                <w:rFonts w:asciiTheme="majorHAnsi" w:hAnsiTheme="majorHAnsi"/>
                <w:sz w:val="20"/>
                <w:szCs w:val="20"/>
              </w:rPr>
              <w:t xml:space="preserve">que </w:t>
            </w:r>
            <w:r w:rsidR="002046EA">
              <w:rPr>
                <w:rFonts w:asciiTheme="majorHAnsi" w:hAnsiTheme="majorHAnsi"/>
                <w:sz w:val="20"/>
                <w:szCs w:val="20"/>
              </w:rPr>
              <w:t>pudieran acometer una serie de prácticas para</w:t>
            </w:r>
            <w:r w:rsidR="008B28D0">
              <w:rPr>
                <w:rFonts w:asciiTheme="majorHAnsi" w:hAnsiTheme="majorHAnsi"/>
                <w:sz w:val="20"/>
                <w:szCs w:val="20"/>
              </w:rPr>
              <w:t xml:space="preserve"> </w:t>
            </w:r>
            <w:r w:rsidR="002046EA">
              <w:rPr>
                <w:rFonts w:asciiTheme="majorHAnsi" w:hAnsiTheme="majorHAnsi"/>
                <w:sz w:val="20"/>
                <w:szCs w:val="20"/>
              </w:rPr>
              <w:t>“</w:t>
            </w:r>
            <w:r w:rsidR="008B28D0" w:rsidRPr="008B28D0">
              <w:rPr>
                <w:rFonts w:asciiTheme="majorHAnsi" w:hAnsiTheme="majorHAnsi"/>
                <w:sz w:val="20"/>
                <w:szCs w:val="20"/>
              </w:rPr>
              <w:t>aislar</w:t>
            </w:r>
            <w:r w:rsidR="002046EA">
              <w:rPr>
                <w:rFonts w:asciiTheme="majorHAnsi" w:hAnsiTheme="majorHAnsi"/>
                <w:sz w:val="20"/>
                <w:szCs w:val="20"/>
              </w:rPr>
              <w:t>”</w:t>
            </w:r>
            <w:r w:rsidR="008B28D0" w:rsidRPr="008B28D0">
              <w:rPr>
                <w:rFonts w:asciiTheme="majorHAnsi" w:hAnsiTheme="majorHAnsi"/>
                <w:sz w:val="20"/>
                <w:szCs w:val="20"/>
              </w:rPr>
              <w:t xml:space="preserve"> el acceso a la banda </w:t>
            </w:r>
            <w:r w:rsidR="00784FBD">
              <w:rPr>
                <w:rFonts w:asciiTheme="majorHAnsi" w:hAnsiTheme="majorHAnsi"/>
                <w:sz w:val="20"/>
                <w:szCs w:val="20"/>
              </w:rPr>
              <w:t xml:space="preserve">28 </w:t>
            </w:r>
            <w:r w:rsidR="002046EA">
              <w:rPr>
                <w:rFonts w:asciiTheme="majorHAnsi" w:hAnsiTheme="majorHAnsi"/>
                <w:sz w:val="20"/>
                <w:szCs w:val="20"/>
              </w:rPr>
              <w:t>APT</w:t>
            </w:r>
            <w:r w:rsidR="008B28D0" w:rsidRPr="008B28D0">
              <w:rPr>
                <w:rFonts w:asciiTheme="majorHAnsi" w:hAnsiTheme="majorHAnsi"/>
                <w:sz w:val="20"/>
                <w:szCs w:val="20"/>
              </w:rPr>
              <w:t>700  (en la que no tienen inversión)</w:t>
            </w:r>
            <w:r w:rsidR="0096646B">
              <w:rPr>
                <w:rFonts w:asciiTheme="majorHAnsi" w:hAnsiTheme="majorHAnsi"/>
                <w:sz w:val="20"/>
                <w:szCs w:val="20"/>
              </w:rPr>
              <w:t xml:space="preserve"> </w:t>
            </w:r>
            <w:r w:rsidR="002046EA">
              <w:rPr>
                <w:rFonts w:asciiTheme="majorHAnsi" w:hAnsiTheme="majorHAnsi"/>
                <w:sz w:val="20"/>
                <w:szCs w:val="20"/>
              </w:rPr>
              <w:t>mediante</w:t>
            </w:r>
            <w:r w:rsidR="0096646B">
              <w:rPr>
                <w:rFonts w:asciiTheme="majorHAnsi" w:hAnsiTheme="majorHAnsi"/>
                <w:sz w:val="20"/>
                <w:szCs w:val="20"/>
              </w:rPr>
              <w:t xml:space="preserve"> </w:t>
            </w:r>
            <w:r w:rsidR="002046EA">
              <w:rPr>
                <w:rFonts w:asciiTheme="majorHAnsi" w:hAnsiTheme="majorHAnsi"/>
                <w:sz w:val="20"/>
                <w:szCs w:val="20"/>
              </w:rPr>
              <w:t>los</w:t>
            </w:r>
            <w:r w:rsidR="0096646B">
              <w:rPr>
                <w:rFonts w:asciiTheme="majorHAnsi" w:hAnsiTheme="majorHAnsi"/>
                <w:sz w:val="20"/>
                <w:szCs w:val="20"/>
              </w:rPr>
              <w:t xml:space="preserve"> ETM,</w:t>
            </w:r>
            <w:r w:rsidR="008B28D0" w:rsidRPr="008B28D0">
              <w:rPr>
                <w:rFonts w:asciiTheme="majorHAnsi" w:hAnsiTheme="majorHAnsi"/>
                <w:sz w:val="20"/>
                <w:szCs w:val="20"/>
              </w:rPr>
              <w:t xml:space="preserve"> creando barreras de salida para los clientes de </w:t>
            </w:r>
            <w:r>
              <w:rPr>
                <w:rFonts w:asciiTheme="majorHAnsi" w:hAnsiTheme="majorHAnsi"/>
                <w:sz w:val="20"/>
                <w:szCs w:val="20"/>
              </w:rPr>
              <w:t xml:space="preserve">dicho concesionario </w:t>
            </w:r>
            <w:r w:rsidR="008B28D0" w:rsidRPr="008B28D0">
              <w:rPr>
                <w:rFonts w:asciiTheme="majorHAnsi" w:hAnsiTheme="majorHAnsi"/>
                <w:sz w:val="20"/>
                <w:szCs w:val="20"/>
              </w:rPr>
              <w:t xml:space="preserve">hacia </w:t>
            </w:r>
            <w:r w:rsidR="002046EA">
              <w:rPr>
                <w:rFonts w:asciiTheme="majorHAnsi" w:hAnsiTheme="majorHAnsi"/>
                <w:sz w:val="20"/>
                <w:szCs w:val="20"/>
              </w:rPr>
              <w:t>los</w:t>
            </w:r>
            <w:r>
              <w:rPr>
                <w:rFonts w:asciiTheme="majorHAnsi" w:hAnsiTheme="majorHAnsi"/>
                <w:sz w:val="20"/>
                <w:szCs w:val="20"/>
              </w:rPr>
              <w:t xml:space="preserve"> </w:t>
            </w:r>
            <w:r w:rsidR="008B28D0" w:rsidRPr="008B28D0">
              <w:rPr>
                <w:rFonts w:asciiTheme="majorHAnsi" w:hAnsiTheme="majorHAnsi"/>
                <w:sz w:val="20"/>
                <w:szCs w:val="20"/>
              </w:rPr>
              <w:t xml:space="preserve">operadores </w:t>
            </w:r>
            <w:r w:rsidR="002046EA">
              <w:rPr>
                <w:rFonts w:asciiTheme="majorHAnsi" w:hAnsiTheme="majorHAnsi"/>
                <w:sz w:val="20"/>
                <w:szCs w:val="20"/>
              </w:rPr>
              <w:t xml:space="preserve">móviles virtuales </w:t>
            </w:r>
            <w:r w:rsidR="008B28D0" w:rsidRPr="008B28D0">
              <w:rPr>
                <w:rFonts w:asciiTheme="majorHAnsi" w:hAnsiTheme="majorHAnsi"/>
                <w:sz w:val="20"/>
                <w:szCs w:val="20"/>
              </w:rPr>
              <w:t xml:space="preserve">que </w:t>
            </w:r>
            <w:r w:rsidR="002046EA">
              <w:rPr>
                <w:rFonts w:asciiTheme="majorHAnsi" w:hAnsiTheme="majorHAnsi"/>
                <w:sz w:val="20"/>
                <w:szCs w:val="20"/>
              </w:rPr>
              <w:t>operaran</w:t>
            </w:r>
            <w:r w:rsidR="008B28D0" w:rsidRPr="008B28D0">
              <w:rPr>
                <w:rFonts w:asciiTheme="majorHAnsi" w:hAnsiTheme="majorHAnsi"/>
                <w:sz w:val="20"/>
                <w:szCs w:val="20"/>
              </w:rPr>
              <w:t xml:space="preserve"> sobre la banda de 700 MHz.</w:t>
            </w:r>
          </w:p>
          <w:p w:rsidR="008B28D0" w:rsidRDefault="008B28D0" w:rsidP="00940084">
            <w:pPr>
              <w:shd w:val="clear" w:color="auto" w:fill="FFFFFF"/>
              <w:spacing w:after="101"/>
              <w:jc w:val="both"/>
              <w:rPr>
                <w:rFonts w:asciiTheme="majorHAnsi" w:hAnsiTheme="majorHAnsi"/>
                <w:sz w:val="20"/>
                <w:szCs w:val="20"/>
              </w:rPr>
            </w:pPr>
          </w:p>
          <w:p w:rsidR="00D16D45" w:rsidRDefault="008B28D0" w:rsidP="00DE7817">
            <w:pPr>
              <w:shd w:val="clear" w:color="auto" w:fill="FFFFFF"/>
              <w:spacing w:after="101"/>
              <w:jc w:val="both"/>
              <w:rPr>
                <w:rFonts w:asciiTheme="majorHAnsi" w:hAnsiTheme="majorHAnsi"/>
                <w:sz w:val="20"/>
                <w:szCs w:val="20"/>
              </w:rPr>
            </w:pPr>
            <w:r w:rsidRPr="008B28D0">
              <w:rPr>
                <w:rFonts w:asciiTheme="majorHAnsi" w:hAnsiTheme="majorHAnsi"/>
                <w:sz w:val="20"/>
                <w:szCs w:val="20"/>
              </w:rPr>
              <w:t xml:space="preserve">En este sentido, dada su capacidad de influencia en el mercado de </w:t>
            </w:r>
            <w:r w:rsidR="00CA5335">
              <w:rPr>
                <w:rFonts w:asciiTheme="majorHAnsi" w:hAnsiTheme="majorHAnsi"/>
                <w:sz w:val="20"/>
                <w:szCs w:val="20"/>
              </w:rPr>
              <w:t xml:space="preserve">compra y </w:t>
            </w:r>
            <w:r w:rsidRPr="008B28D0">
              <w:rPr>
                <w:rFonts w:asciiTheme="majorHAnsi" w:hAnsiTheme="majorHAnsi"/>
                <w:sz w:val="20"/>
                <w:szCs w:val="20"/>
              </w:rPr>
              <w:t xml:space="preserve">venta de terminales, los </w:t>
            </w:r>
            <w:r w:rsidR="00A538D8">
              <w:rPr>
                <w:rFonts w:asciiTheme="majorHAnsi" w:hAnsiTheme="majorHAnsi"/>
                <w:sz w:val="20"/>
                <w:szCs w:val="20"/>
              </w:rPr>
              <w:t>concesionarios</w:t>
            </w:r>
            <w:r w:rsidRPr="008B28D0">
              <w:rPr>
                <w:rFonts w:asciiTheme="majorHAnsi" w:hAnsiTheme="majorHAnsi"/>
                <w:sz w:val="20"/>
                <w:szCs w:val="20"/>
              </w:rPr>
              <w:t xml:space="preserve"> p</w:t>
            </w:r>
            <w:r w:rsidR="002046EA">
              <w:rPr>
                <w:rFonts w:asciiTheme="majorHAnsi" w:hAnsiTheme="majorHAnsi"/>
                <w:sz w:val="20"/>
                <w:szCs w:val="20"/>
              </w:rPr>
              <w:t>odrían</w:t>
            </w:r>
            <w:r w:rsidRPr="008B28D0">
              <w:rPr>
                <w:rFonts w:asciiTheme="majorHAnsi" w:hAnsiTheme="majorHAnsi"/>
                <w:sz w:val="20"/>
                <w:szCs w:val="20"/>
              </w:rPr>
              <w:t xml:space="preserve"> optar por no hacer requerimientos </w:t>
            </w:r>
            <w:r w:rsidR="00CA5335">
              <w:rPr>
                <w:rFonts w:asciiTheme="majorHAnsi" w:hAnsiTheme="majorHAnsi"/>
                <w:sz w:val="20"/>
                <w:szCs w:val="20"/>
              </w:rPr>
              <w:t xml:space="preserve">a los fabricantes </w:t>
            </w:r>
            <w:r w:rsidRPr="008B28D0">
              <w:rPr>
                <w:rFonts w:asciiTheme="majorHAnsi" w:hAnsiTheme="majorHAnsi"/>
                <w:sz w:val="20"/>
                <w:szCs w:val="20"/>
              </w:rPr>
              <w:t xml:space="preserve">de </w:t>
            </w:r>
            <w:r w:rsidR="00784FBD">
              <w:rPr>
                <w:rFonts w:asciiTheme="majorHAnsi" w:hAnsiTheme="majorHAnsi"/>
                <w:sz w:val="20"/>
                <w:szCs w:val="20"/>
              </w:rPr>
              <w:t xml:space="preserve">los ETM </w:t>
            </w:r>
            <w:r w:rsidRPr="008B28D0">
              <w:rPr>
                <w:rFonts w:asciiTheme="majorHAnsi" w:hAnsiTheme="majorHAnsi"/>
                <w:sz w:val="20"/>
                <w:szCs w:val="20"/>
              </w:rPr>
              <w:t>que incorporen a la banda 28</w:t>
            </w:r>
            <w:r w:rsidR="00784FBD">
              <w:rPr>
                <w:rFonts w:asciiTheme="majorHAnsi" w:hAnsiTheme="majorHAnsi"/>
                <w:sz w:val="20"/>
                <w:szCs w:val="20"/>
              </w:rPr>
              <w:t>(700 MHz)</w:t>
            </w:r>
            <w:r w:rsidRPr="008B28D0">
              <w:rPr>
                <w:rFonts w:asciiTheme="majorHAnsi" w:hAnsiTheme="majorHAnsi"/>
                <w:sz w:val="20"/>
                <w:szCs w:val="20"/>
              </w:rPr>
              <w:t xml:space="preserve">. Por tal razón, una disposición </w:t>
            </w:r>
            <w:r w:rsidR="0084424F">
              <w:rPr>
                <w:rFonts w:asciiTheme="majorHAnsi" w:hAnsiTheme="majorHAnsi"/>
                <w:sz w:val="20"/>
                <w:szCs w:val="20"/>
              </w:rPr>
              <w:t xml:space="preserve">en donde </w:t>
            </w:r>
            <w:r w:rsidRPr="008B28D0">
              <w:rPr>
                <w:rFonts w:asciiTheme="majorHAnsi" w:hAnsiTheme="majorHAnsi"/>
                <w:sz w:val="20"/>
                <w:szCs w:val="20"/>
              </w:rPr>
              <w:t xml:space="preserve">sólo indique que </w:t>
            </w:r>
            <w:r w:rsidR="0084424F">
              <w:rPr>
                <w:rFonts w:asciiTheme="majorHAnsi" w:hAnsiTheme="majorHAnsi"/>
                <w:sz w:val="20"/>
                <w:szCs w:val="20"/>
              </w:rPr>
              <w:t xml:space="preserve">los ETM </w:t>
            </w:r>
            <w:r w:rsidR="0084424F" w:rsidRPr="0084424F">
              <w:rPr>
                <w:rFonts w:asciiTheme="majorHAnsi" w:hAnsiTheme="majorHAnsi"/>
                <w:sz w:val="20"/>
                <w:szCs w:val="20"/>
              </w:rPr>
              <w:t>que soporten alguna(s) de las bandas de frecuencias de las establecidas en la Tabla 2</w:t>
            </w:r>
            <w:r w:rsidR="0084424F">
              <w:rPr>
                <w:rFonts w:asciiTheme="majorHAnsi" w:hAnsiTheme="majorHAnsi"/>
                <w:sz w:val="20"/>
                <w:szCs w:val="20"/>
              </w:rPr>
              <w:t xml:space="preserve"> de dicho ordenamiento</w:t>
            </w:r>
            <w:r w:rsidR="0084424F" w:rsidRPr="0084424F">
              <w:rPr>
                <w:rFonts w:asciiTheme="majorHAnsi" w:hAnsiTheme="majorHAnsi"/>
                <w:sz w:val="20"/>
                <w:szCs w:val="20"/>
              </w:rPr>
              <w:t>, deben estar habilitados de tal forma que no exista ningún tipo de bloqueo o restricción para su operación en dichas bandas dentro del territorio nacional</w:t>
            </w:r>
            <w:r w:rsidRPr="008B28D0">
              <w:rPr>
                <w:rFonts w:asciiTheme="majorHAnsi" w:hAnsiTheme="majorHAnsi"/>
                <w:sz w:val="20"/>
                <w:szCs w:val="20"/>
              </w:rPr>
              <w:t xml:space="preserve">, no tendría </w:t>
            </w:r>
            <w:r w:rsidR="002046EA">
              <w:rPr>
                <w:rFonts w:asciiTheme="majorHAnsi" w:hAnsiTheme="majorHAnsi"/>
                <w:sz w:val="20"/>
                <w:szCs w:val="20"/>
              </w:rPr>
              <w:t>el</w:t>
            </w:r>
            <w:r w:rsidRPr="008B28D0">
              <w:rPr>
                <w:rFonts w:asciiTheme="majorHAnsi" w:hAnsiTheme="majorHAnsi"/>
                <w:sz w:val="20"/>
                <w:szCs w:val="20"/>
              </w:rPr>
              <w:t xml:space="preserve"> efecto</w:t>
            </w:r>
            <w:r w:rsidR="002046EA">
              <w:rPr>
                <w:rFonts w:asciiTheme="majorHAnsi" w:hAnsiTheme="majorHAnsi"/>
                <w:sz w:val="20"/>
                <w:szCs w:val="20"/>
              </w:rPr>
              <w:t xml:space="preserve"> esperado</w:t>
            </w:r>
            <w:r w:rsidR="004C351D">
              <w:rPr>
                <w:rFonts w:asciiTheme="majorHAnsi" w:hAnsiTheme="majorHAnsi"/>
                <w:sz w:val="20"/>
                <w:szCs w:val="20"/>
              </w:rPr>
              <w:t>,</w:t>
            </w:r>
            <w:r w:rsidRPr="008B28D0">
              <w:rPr>
                <w:rFonts w:asciiTheme="majorHAnsi" w:hAnsiTheme="majorHAnsi"/>
                <w:sz w:val="20"/>
                <w:szCs w:val="20"/>
              </w:rPr>
              <w:t xml:space="preserve"> si </w:t>
            </w:r>
            <w:r w:rsidR="004C351D">
              <w:rPr>
                <w:rFonts w:asciiTheme="majorHAnsi" w:hAnsiTheme="majorHAnsi"/>
                <w:sz w:val="20"/>
                <w:szCs w:val="20"/>
              </w:rPr>
              <w:t>éste</w:t>
            </w:r>
            <w:r w:rsidRPr="008B28D0">
              <w:rPr>
                <w:rFonts w:asciiTheme="majorHAnsi" w:hAnsiTheme="majorHAnsi"/>
                <w:sz w:val="20"/>
                <w:szCs w:val="20"/>
              </w:rPr>
              <w:t xml:space="preserve"> no especificó que se incluy</w:t>
            </w:r>
            <w:r w:rsidR="002046EA">
              <w:rPr>
                <w:rFonts w:asciiTheme="majorHAnsi" w:hAnsiTheme="majorHAnsi"/>
                <w:sz w:val="20"/>
                <w:szCs w:val="20"/>
              </w:rPr>
              <w:t>era</w:t>
            </w:r>
            <w:r w:rsidRPr="008B28D0">
              <w:rPr>
                <w:rFonts w:asciiTheme="majorHAnsi" w:hAnsiTheme="majorHAnsi"/>
                <w:sz w:val="20"/>
                <w:szCs w:val="20"/>
              </w:rPr>
              <w:t xml:space="preserve"> a la banda de interés</w:t>
            </w:r>
            <w:r w:rsidR="00A538D8">
              <w:rPr>
                <w:rFonts w:asciiTheme="majorHAnsi" w:hAnsiTheme="majorHAnsi"/>
                <w:sz w:val="20"/>
                <w:szCs w:val="20"/>
              </w:rPr>
              <w:t>;</w:t>
            </w:r>
            <w:r w:rsidRPr="008B28D0">
              <w:rPr>
                <w:rFonts w:asciiTheme="majorHAnsi" w:hAnsiTheme="majorHAnsi"/>
                <w:sz w:val="20"/>
                <w:szCs w:val="20"/>
              </w:rPr>
              <w:t xml:space="preserve"> es decir, </w:t>
            </w:r>
            <w:r w:rsidR="004C351D">
              <w:rPr>
                <w:rFonts w:asciiTheme="majorHAnsi" w:hAnsiTheme="majorHAnsi"/>
                <w:sz w:val="20"/>
                <w:szCs w:val="20"/>
              </w:rPr>
              <w:t xml:space="preserve">el ETM </w:t>
            </w:r>
            <w:r w:rsidRPr="008B28D0">
              <w:rPr>
                <w:rFonts w:asciiTheme="majorHAnsi" w:hAnsiTheme="majorHAnsi"/>
                <w:sz w:val="20"/>
                <w:szCs w:val="20"/>
              </w:rPr>
              <w:t xml:space="preserve">se </w:t>
            </w:r>
            <w:r w:rsidR="0014785F">
              <w:rPr>
                <w:rFonts w:asciiTheme="majorHAnsi" w:hAnsiTheme="majorHAnsi"/>
                <w:sz w:val="20"/>
                <w:szCs w:val="20"/>
              </w:rPr>
              <w:t>suministr</w:t>
            </w:r>
            <w:r w:rsidRPr="008B28D0">
              <w:rPr>
                <w:rFonts w:asciiTheme="majorHAnsi" w:hAnsiTheme="majorHAnsi"/>
                <w:sz w:val="20"/>
                <w:szCs w:val="20"/>
              </w:rPr>
              <w:t xml:space="preserve">ó conforme a lo especificado por el </w:t>
            </w:r>
            <w:r w:rsidR="004C351D">
              <w:rPr>
                <w:rFonts w:asciiTheme="majorHAnsi" w:hAnsiTheme="majorHAnsi"/>
                <w:sz w:val="20"/>
                <w:szCs w:val="20"/>
              </w:rPr>
              <w:t>concesionario</w:t>
            </w:r>
            <w:r w:rsidRPr="008B28D0">
              <w:rPr>
                <w:rFonts w:asciiTheme="majorHAnsi" w:hAnsiTheme="majorHAnsi"/>
                <w:sz w:val="20"/>
                <w:szCs w:val="20"/>
              </w:rPr>
              <w:t>.</w:t>
            </w:r>
            <w:r w:rsidR="00D16D45">
              <w:rPr>
                <w:rFonts w:asciiTheme="majorHAnsi" w:hAnsiTheme="majorHAnsi"/>
                <w:sz w:val="20"/>
                <w:szCs w:val="20"/>
              </w:rPr>
              <w:t xml:space="preserve"> Como ejemplo de lo anterior, se indica que el porcentaje de ETM (en la gama baja y media) que soportan LTE y la banda 28 es de aproximadamente 45% sobre el total de modelos LTE ofertados por el operador preponderante. </w:t>
            </w:r>
            <w:r w:rsidR="00AA4BFC">
              <w:rPr>
                <w:rStyle w:val="Refdenotaalpie"/>
                <w:rFonts w:asciiTheme="majorHAnsi" w:hAnsiTheme="majorHAnsi"/>
                <w:sz w:val="20"/>
                <w:szCs w:val="20"/>
              </w:rPr>
              <w:footnoteReference w:id="9"/>
            </w:r>
          </w:p>
          <w:p w:rsidR="00845830" w:rsidRDefault="00845830" w:rsidP="00DE7817">
            <w:pPr>
              <w:shd w:val="clear" w:color="auto" w:fill="FFFFFF"/>
              <w:spacing w:after="101"/>
              <w:jc w:val="both"/>
              <w:rPr>
                <w:rFonts w:asciiTheme="majorHAnsi" w:hAnsiTheme="majorHAnsi"/>
                <w:sz w:val="20"/>
                <w:szCs w:val="20"/>
              </w:rPr>
            </w:pPr>
          </w:p>
          <w:p w:rsidR="00845830" w:rsidRDefault="00845830" w:rsidP="00DE7817">
            <w:pPr>
              <w:shd w:val="clear" w:color="auto" w:fill="FFFFFF"/>
              <w:spacing w:after="101"/>
              <w:jc w:val="both"/>
              <w:rPr>
                <w:rFonts w:asciiTheme="majorHAnsi" w:hAnsiTheme="majorHAnsi"/>
                <w:sz w:val="20"/>
                <w:szCs w:val="20"/>
              </w:rPr>
            </w:pPr>
            <w:r>
              <w:rPr>
                <w:rFonts w:asciiTheme="majorHAnsi" w:hAnsiTheme="majorHAnsi"/>
                <w:sz w:val="20"/>
                <w:szCs w:val="20"/>
              </w:rPr>
              <w:t xml:space="preserve">Adicionalmente, de una búsqueda realizada por el área </w:t>
            </w:r>
            <w:r w:rsidR="00054F2A">
              <w:rPr>
                <w:rFonts w:asciiTheme="majorHAnsi" w:hAnsiTheme="majorHAnsi"/>
                <w:sz w:val="20"/>
                <w:szCs w:val="20"/>
              </w:rPr>
              <w:t xml:space="preserve">en la portal de Internet de Telcel, </w:t>
            </w:r>
            <w:r>
              <w:rPr>
                <w:rFonts w:asciiTheme="majorHAnsi" w:hAnsiTheme="majorHAnsi"/>
                <w:sz w:val="20"/>
                <w:szCs w:val="20"/>
              </w:rPr>
              <w:t>se obtiene la siguiente información:</w:t>
            </w:r>
          </w:p>
          <w:p w:rsidR="00845830" w:rsidRPr="005006EF" w:rsidRDefault="00845830">
            <w:pPr>
              <w:jc w:val="both"/>
              <w:rPr>
                <w:rFonts w:asciiTheme="majorHAnsi" w:hAnsiTheme="majorHAnsi"/>
                <w:sz w:val="20"/>
                <w:szCs w:val="20"/>
              </w:rPr>
            </w:pPr>
            <w:r w:rsidRPr="005006EF">
              <w:rPr>
                <w:rFonts w:asciiTheme="majorHAnsi" w:hAnsiTheme="majorHAnsi"/>
                <w:sz w:val="20"/>
                <w:szCs w:val="20"/>
              </w:rPr>
              <w:t xml:space="preserve">De los 10 </w:t>
            </w:r>
            <w:proofErr w:type="spellStart"/>
            <w:r w:rsidR="005006EF" w:rsidRPr="005006EF">
              <w:rPr>
                <w:rFonts w:asciiTheme="majorHAnsi" w:hAnsiTheme="majorHAnsi"/>
                <w:sz w:val="20"/>
                <w:szCs w:val="20"/>
              </w:rPr>
              <w:t>Smartphones</w:t>
            </w:r>
            <w:proofErr w:type="spellEnd"/>
            <w:r w:rsidRPr="005006EF">
              <w:rPr>
                <w:rFonts w:asciiTheme="majorHAnsi" w:hAnsiTheme="majorHAnsi"/>
                <w:sz w:val="20"/>
                <w:szCs w:val="20"/>
              </w:rPr>
              <w:t xml:space="preserve"> </w:t>
            </w:r>
            <w:r w:rsidR="00054F2A">
              <w:rPr>
                <w:rFonts w:asciiTheme="majorHAnsi" w:hAnsiTheme="majorHAnsi"/>
                <w:sz w:val="20"/>
                <w:szCs w:val="20"/>
              </w:rPr>
              <w:t>de más bajo costo</w:t>
            </w:r>
            <w:r w:rsidRPr="005006EF">
              <w:rPr>
                <w:rFonts w:asciiTheme="majorHAnsi" w:hAnsiTheme="majorHAnsi"/>
                <w:sz w:val="20"/>
                <w:szCs w:val="20"/>
              </w:rPr>
              <w:t xml:space="preserve"> que pueden hacer uso de redes LTE:</w:t>
            </w:r>
          </w:p>
          <w:p w:rsidR="00845830" w:rsidRPr="005006EF" w:rsidRDefault="00054F2A" w:rsidP="005006EF">
            <w:pPr>
              <w:pStyle w:val="Prrafodelista"/>
              <w:numPr>
                <w:ilvl w:val="0"/>
                <w:numId w:val="55"/>
              </w:numPr>
              <w:jc w:val="both"/>
              <w:rPr>
                <w:rFonts w:asciiTheme="majorHAnsi" w:hAnsiTheme="majorHAnsi"/>
                <w:sz w:val="20"/>
                <w:szCs w:val="20"/>
              </w:rPr>
            </w:pPr>
            <w:r>
              <w:rPr>
                <w:rFonts w:asciiTheme="majorHAnsi" w:hAnsiTheme="majorHAnsi"/>
                <w:sz w:val="20"/>
                <w:szCs w:val="20"/>
              </w:rPr>
              <w:t xml:space="preserve">El rango de </w:t>
            </w:r>
            <w:r w:rsidR="00845830" w:rsidRPr="005006EF">
              <w:rPr>
                <w:rFonts w:asciiTheme="majorHAnsi" w:hAnsiTheme="majorHAnsi"/>
                <w:sz w:val="20"/>
                <w:szCs w:val="20"/>
              </w:rPr>
              <w:t xml:space="preserve">precios </w:t>
            </w:r>
            <w:r>
              <w:rPr>
                <w:rFonts w:asciiTheme="majorHAnsi" w:hAnsiTheme="majorHAnsi"/>
                <w:sz w:val="20"/>
                <w:szCs w:val="20"/>
              </w:rPr>
              <w:t xml:space="preserve">es de $1,838.99 - </w:t>
            </w:r>
            <w:r w:rsidR="00845830" w:rsidRPr="005006EF">
              <w:rPr>
                <w:rFonts w:asciiTheme="majorHAnsi" w:hAnsiTheme="majorHAnsi"/>
                <w:sz w:val="20"/>
                <w:szCs w:val="20"/>
              </w:rPr>
              <w:t>$2,399.99 pesos.</w:t>
            </w:r>
          </w:p>
          <w:p w:rsidR="00845830" w:rsidRPr="005006EF" w:rsidRDefault="00845830" w:rsidP="005006EF">
            <w:pPr>
              <w:pStyle w:val="Prrafodelista"/>
              <w:numPr>
                <w:ilvl w:val="0"/>
                <w:numId w:val="55"/>
              </w:numPr>
              <w:jc w:val="both"/>
              <w:rPr>
                <w:rFonts w:asciiTheme="majorHAnsi" w:hAnsiTheme="majorHAnsi"/>
                <w:sz w:val="20"/>
                <w:szCs w:val="20"/>
              </w:rPr>
            </w:pPr>
            <w:r w:rsidRPr="005006EF">
              <w:rPr>
                <w:rFonts w:asciiTheme="majorHAnsi" w:hAnsiTheme="majorHAnsi"/>
                <w:sz w:val="20"/>
                <w:szCs w:val="20"/>
              </w:rPr>
              <w:t>Sólo uno de esos terminales puede funcionar en la banda de 700 MHz (banda 28 de LTE) y este es de los más caros del conjunto ($2,268.99 pesos).</w:t>
            </w:r>
          </w:p>
          <w:p w:rsidR="00845830" w:rsidRPr="005006EF" w:rsidRDefault="00845830" w:rsidP="005006EF">
            <w:pPr>
              <w:pStyle w:val="Prrafodelista"/>
              <w:numPr>
                <w:ilvl w:val="0"/>
                <w:numId w:val="55"/>
              </w:numPr>
              <w:jc w:val="both"/>
              <w:rPr>
                <w:rFonts w:asciiTheme="majorHAnsi" w:hAnsiTheme="majorHAnsi"/>
                <w:sz w:val="20"/>
                <w:szCs w:val="20"/>
              </w:rPr>
            </w:pPr>
            <w:r w:rsidRPr="005006EF">
              <w:rPr>
                <w:rFonts w:asciiTheme="majorHAnsi" w:hAnsiTheme="majorHAnsi"/>
                <w:sz w:val="20"/>
                <w:szCs w:val="20"/>
              </w:rPr>
              <w:t xml:space="preserve">7 de esos terminales pueden operar en la red LTE de Movistar. </w:t>
            </w:r>
          </w:p>
          <w:p w:rsidR="00845830" w:rsidRPr="005006EF" w:rsidRDefault="00845830" w:rsidP="005006EF">
            <w:pPr>
              <w:pStyle w:val="Prrafodelista"/>
              <w:numPr>
                <w:ilvl w:val="0"/>
                <w:numId w:val="55"/>
              </w:numPr>
              <w:jc w:val="both"/>
              <w:rPr>
                <w:rFonts w:asciiTheme="majorHAnsi" w:hAnsiTheme="majorHAnsi"/>
                <w:sz w:val="20"/>
                <w:szCs w:val="20"/>
              </w:rPr>
            </w:pPr>
            <w:r w:rsidRPr="005006EF">
              <w:rPr>
                <w:rFonts w:asciiTheme="majorHAnsi" w:hAnsiTheme="majorHAnsi"/>
                <w:sz w:val="20"/>
                <w:szCs w:val="20"/>
              </w:rPr>
              <w:t>Los 10 pueden operar en la red LTE de AT&amp;T, ya que tanto Telcel como AT&amp;T tienen desarrollada su red LTE en la banda AWS (banda 4 de LTE).</w:t>
            </w:r>
          </w:p>
          <w:p w:rsidR="00845830" w:rsidRPr="005006EF" w:rsidRDefault="00845830" w:rsidP="005006EF">
            <w:pPr>
              <w:pStyle w:val="Prrafodelista"/>
              <w:numPr>
                <w:ilvl w:val="0"/>
                <w:numId w:val="55"/>
              </w:numPr>
              <w:jc w:val="both"/>
              <w:rPr>
                <w:rFonts w:asciiTheme="majorHAnsi" w:hAnsiTheme="majorHAnsi"/>
                <w:sz w:val="20"/>
                <w:szCs w:val="20"/>
              </w:rPr>
            </w:pPr>
            <w:r w:rsidRPr="005006EF">
              <w:rPr>
                <w:rFonts w:asciiTheme="majorHAnsi" w:hAnsiTheme="majorHAnsi"/>
                <w:sz w:val="20"/>
                <w:szCs w:val="20"/>
              </w:rPr>
              <w:t>Los 10 dispositivos pueden operar en el segmento de la banda de 2.5 GHz en el cual Telcel tiene espectro (banda 7 de LTE) a través de DIGICRD (antes MVS).</w:t>
            </w:r>
          </w:p>
          <w:p w:rsidR="00845830" w:rsidRPr="005006EF" w:rsidRDefault="00845830" w:rsidP="005006EF">
            <w:pPr>
              <w:jc w:val="both"/>
              <w:rPr>
                <w:rFonts w:asciiTheme="majorHAnsi" w:hAnsiTheme="majorHAnsi"/>
                <w:sz w:val="20"/>
                <w:szCs w:val="20"/>
              </w:rPr>
            </w:pPr>
            <w:r w:rsidRPr="005006EF">
              <w:rPr>
                <w:rFonts w:asciiTheme="majorHAnsi" w:hAnsiTheme="majorHAnsi"/>
                <w:sz w:val="20"/>
                <w:szCs w:val="20"/>
              </w:rPr>
              <w:t xml:space="preserve">Si el conjunto se aumenta a los 30 </w:t>
            </w:r>
            <w:proofErr w:type="spellStart"/>
            <w:r w:rsidR="005006EF" w:rsidRPr="005006EF">
              <w:rPr>
                <w:rFonts w:asciiTheme="majorHAnsi" w:hAnsiTheme="majorHAnsi"/>
                <w:sz w:val="20"/>
                <w:szCs w:val="20"/>
              </w:rPr>
              <w:t>Smartphones</w:t>
            </w:r>
            <w:proofErr w:type="spellEnd"/>
            <w:r w:rsidRPr="005006EF">
              <w:rPr>
                <w:rFonts w:asciiTheme="majorHAnsi" w:hAnsiTheme="majorHAnsi"/>
                <w:sz w:val="20"/>
                <w:szCs w:val="20"/>
              </w:rPr>
              <w:t xml:space="preserve"> más baratos que pueden hacer uso de redes LTE de Telcel (precios van de $1,838.99 hasta $3,899.99 pesos), únicamente 5 terminales de ese conjunto (20%) pueden funcionar en la banda de 700 MHz.</w:t>
            </w:r>
          </w:p>
          <w:p w:rsidR="00922DE9" w:rsidRDefault="00845830" w:rsidP="005006EF">
            <w:pPr>
              <w:jc w:val="both"/>
              <w:rPr>
                <w:rFonts w:asciiTheme="majorHAnsi" w:hAnsiTheme="majorHAnsi"/>
                <w:sz w:val="20"/>
                <w:szCs w:val="20"/>
              </w:rPr>
            </w:pPr>
            <w:r w:rsidRPr="005006EF">
              <w:rPr>
                <w:rFonts w:asciiTheme="majorHAnsi" w:hAnsiTheme="majorHAnsi"/>
                <w:sz w:val="20"/>
                <w:szCs w:val="20"/>
              </w:rPr>
              <w:t xml:space="preserve">No obstante al analizar los 10 </w:t>
            </w:r>
            <w:proofErr w:type="spellStart"/>
            <w:r w:rsidR="005006EF" w:rsidRPr="005006EF">
              <w:rPr>
                <w:rFonts w:asciiTheme="majorHAnsi" w:hAnsiTheme="majorHAnsi"/>
                <w:sz w:val="20"/>
                <w:szCs w:val="20"/>
              </w:rPr>
              <w:t>Smartphones</w:t>
            </w:r>
            <w:proofErr w:type="spellEnd"/>
            <w:r w:rsidRPr="005006EF">
              <w:rPr>
                <w:rFonts w:asciiTheme="majorHAnsi" w:hAnsiTheme="majorHAnsi"/>
                <w:sz w:val="20"/>
                <w:szCs w:val="20"/>
              </w:rPr>
              <w:t xml:space="preserve"> más baratos que pueden hacer uso de redes LTE de la compañía Claro en Chile, </w:t>
            </w:r>
            <w:r w:rsidR="00054F2A">
              <w:rPr>
                <w:rFonts w:asciiTheme="majorHAnsi" w:hAnsiTheme="majorHAnsi"/>
                <w:sz w:val="20"/>
                <w:szCs w:val="20"/>
              </w:rPr>
              <w:t>se encontró</w:t>
            </w:r>
            <w:r w:rsidRPr="005006EF">
              <w:rPr>
                <w:rFonts w:asciiTheme="majorHAnsi" w:hAnsiTheme="majorHAnsi"/>
                <w:sz w:val="20"/>
                <w:szCs w:val="20"/>
              </w:rPr>
              <w:t xml:space="preserve"> que los 10 terminales pueden hacer uso de la banda de 700 MHz, de la banda AWS (1.7/2.1 GHz) y de la banda PCS (1900 MHz), y 9 con la banda de 2.5 GHz con precios muy similares</w:t>
            </w:r>
            <w:r w:rsidR="00922DE9">
              <w:rPr>
                <w:rFonts w:asciiTheme="majorHAnsi" w:hAnsiTheme="majorHAnsi"/>
                <w:sz w:val="20"/>
                <w:szCs w:val="20"/>
              </w:rPr>
              <w:t>, en el rango de $1,717.72 -</w:t>
            </w:r>
            <w:r w:rsidRPr="005006EF">
              <w:rPr>
                <w:rFonts w:asciiTheme="majorHAnsi" w:hAnsiTheme="majorHAnsi"/>
                <w:sz w:val="20"/>
                <w:szCs w:val="20"/>
              </w:rPr>
              <w:t xml:space="preserve"> $3,722.99 pesos.</w:t>
            </w:r>
          </w:p>
          <w:p w:rsidR="00922DE9" w:rsidRDefault="00922DE9" w:rsidP="005006EF">
            <w:pPr>
              <w:jc w:val="both"/>
              <w:rPr>
                <w:rFonts w:asciiTheme="majorHAnsi" w:hAnsiTheme="majorHAnsi"/>
                <w:sz w:val="20"/>
                <w:szCs w:val="20"/>
              </w:rPr>
            </w:pPr>
          </w:p>
          <w:p w:rsidR="00845830" w:rsidRPr="005006EF" w:rsidRDefault="00922DE9" w:rsidP="005006EF">
            <w:pPr>
              <w:jc w:val="both"/>
              <w:rPr>
                <w:rFonts w:asciiTheme="majorHAnsi" w:hAnsiTheme="majorHAnsi"/>
                <w:sz w:val="20"/>
                <w:szCs w:val="20"/>
              </w:rPr>
            </w:pPr>
            <w:r>
              <w:rPr>
                <w:rFonts w:asciiTheme="majorHAnsi" w:hAnsiTheme="majorHAnsi"/>
                <w:sz w:val="20"/>
                <w:szCs w:val="20"/>
              </w:rPr>
              <w:t xml:space="preserve">Por lo anterior se infiere que la inclusión (habilitación) de la banda 28 en los ETM no representaría un costo </w:t>
            </w:r>
            <w:r w:rsidR="00845830" w:rsidRPr="005006EF">
              <w:rPr>
                <w:rFonts w:asciiTheme="majorHAnsi" w:hAnsiTheme="majorHAnsi"/>
                <w:sz w:val="20"/>
                <w:szCs w:val="20"/>
              </w:rPr>
              <w:t xml:space="preserve"> </w:t>
            </w:r>
            <w:r>
              <w:rPr>
                <w:rFonts w:asciiTheme="majorHAnsi" w:hAnsiTheme="majorHAnsi"/>
                <w:sz w:val="20"/>
                <w:szCs w:val="20"/>
              </w:rPr>
              <w:t>significativo.</w:t>
            </w:r>
          </w:p>
          <w:p w:rsidR="00845830" w:rsidRPr="00755930" w:rsidRDefault="00845830" w:rsidP="00DE7817">
            <w:pPr>
              <w:shd w:val="clear" w:color="auto" w:fill="FFFFFF"/>
              <w:spacing w:after="101"/>
              <w:jc w:val="both"/>
              <w:rPr>
                <w:rFonts w:asciiTheme="majorHAnsi" w:hAnsiTheme="majorHAnsi"/>
                <w:sz w:val="20"/>
                <w:szCs w:val="20"/>
              </w:rPr>
            </w:pPr>
          </w:p>
        </w:tc>
      </w:tr>
    </w:tbl>
    <w:p w:rsidR="001932FC" w:rsidRDefault="001932FC" w:rsidP="001932FC">
      <w:pPr>
        <w:jc w:val="both"/>
      </w:pPr>
    </w:p>
    <w:p w:rsidR="00CA42C1" w:rsidRPr="005D5F2E" w:rsidRDefault="00CA42C1" w:rsidP="001932FC">
      <w:pPr>
        <w:jc w:val="both"/>
      </w:pPr>
    </w:p>
    <w:tbl>
      <w:tblPr>
        <w:tblStyle w:val="Tablaconcuadrcula"/>
        <w:tblW w:w="0" w:type="auto"/>
        <w:tblLook w:val="04A0" w:firstRow="1" w:lastRow="0" w:firstColumn="1" w:lastColumn="0" w:noHBand="0" w:noVBand="1"/>
      </w:tblPr>
      <w:tblGrid>
        <w:gridCol w:w="8828"/>
      </w:tblGrid>
      <w:tr w:rsidR="001932FC" w:rsidRPr="005D5F2E" w:rsidTr="001932FC">
        <w:tc>
          <w:tcPr>
            <w:tcW w:w="8828" w:type="dxa"/>
          </w:tcPr>
          <w:p w:rsidR="001932FC" w:rsidRPr="005D5F2E" w:rsidRDefault="001932FC" w:rsidP="008A48B0">
            <w:pPr>
              <w:jc w:val="both"/>
              <w:rPr>
                <w:b/>
                <w:sz w:val="20"/>
                <w:szCs w:val="20"/>
              </w:rPr>
            </w:pPr>
            <w:r w:rsidRPr="005D5F2E">
              <w:rPr>
                <w:b/>
                <w:sz w:val="20"/>
                <w:szCs w:val="20"/>
              </w:rPr>
              <w:t>3.</w:t>
            </w:r>
            <w:r w:rsidR="00E6080B" w:rsidRPr="005D5F2E">
              <w:rPr>
                <w:b/>
                <w:sz w:val="20"/>
                <w:szCs w:val="20"/>
              </w:rPr>
              <w:t>-</w:t>
            </w:r>
            <w:r w:rsidRPr="005D5F2E">
              <w:rPr>
                <w:b/>
                <w:sz w:val="20"/>
                <w:szCs w:val="20"/>
              </w:rPr>
              <w:t xml:space="preserve"> Indique el </w:t>
            </w:r>
            <w:r w:rsidR="008A48B0" w:rsidRPr="005D5F2E">
              <w:rPr>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5B0BFE" w:rsidRPr="005D5F2E" w:rsidRDefault="005B0BFE" w:rsidP="005B0BFE">
            <w:pPr>
              <w:jc w:val="both"/>
              <w:rPr>
                <w:rFonts w:asciiTheme="majorHAnsi" w:hAnsiTheme="majorHAnsi"/>
                <w:sz w:val="20"/>
                <w:szCs w:val="20"/>
              </w:rPr>
            </w:pPr>
          </w:p>
          <w:p w:rsidR="00456E3A" w:rsidRDefault="005B0BFE" w:rsidP="002127AF">
            <w:pPr>
              <w:jc w:val="both"/>
              <w:rPr>
                <w:rFonts w:asciiTheme="majorHAnsi" w:hAnsiTheme="majorHAnsi"/>
                <w:sz w:val="20"/>
                <w:szCs w:val="20"/>
              </w:rPr>
            </w:pPr>
            <w:r w:rsidRPr="005D5F2E">
              <w:rPr>
                <w:rFonts w:asciiTheme="majorHAnsi" w:hAnsiTheme="majorHAnsi"/>
                <w:sz w:val="20"/>
                <w:szCs w:val="20"/>
              </w:rPr>
              <w:t xml:space="preserve">El ordenamiento jurídico propuesto </w:t>
            </w:r>
            <w:r w:rsidR="00897930">
              <w:rPr>
                <w:rFonts w:asciiTheme="majorHAnsi" w:hAnsiTheme="majorHAnsi"/>
                <w:sz w:val="20"/>
                <w:szCs w:val="20"/>
              </w:rPr>
              <w:t>es</w:t>
            </w:r>
            <w:r w:rsidRPr="005D5F2E">
              <w:rPr>
                <w:rFonts w:asciiTheme="majorHAnsi" w:hAnsiTheme="majorHAnsi"/>
                <w:sz w:val="20"/>
                <w:szCs w:val="20"/>
              </w:rPr>
              <w:t xml:space="preserve"> una disposición administrativa de carácter general, </w:t>
            </w:r>
            <w:r w:rsidR="00A76FD8" w:rsidRPr="005D5F2E">
              <w:rPr>
                <w:rFonts w:asciiTheme="majorHAnsi" w:hAnsiTheme="majorHAnsi"/>
                <w:sz w:val="20"/>
                <w:szCs w:val="20"/>
              </w:rPr>
              <w:t xml:space="preserve">la </w:t>
            </w:r>
            <w:r w:rsidRPr="005D5F2E">
              <w:rPr>
                <w:rFonts w:asciiTheme="majorHAnsi" w:hAnsiTheme="majorHAnsi"/>
                <w:sz w:val="20"/>
                <w:szCs w:val="20"/>
              </w:rPr>
              <w:t xml:space="preserve">cual </w:t>
            </w:r>
            <w:r w:rsidR="00456E3A" w:rsidRPr="00456E3A">
              <w:rPr>
                <w:rFonts w:asciiTheme="majorHAnsi" w:hAnsiTheme="majorHAnsi"/>
                <w:sz w:val="20"/>
                <w:szCs w:val="20"/>
              </w:rPr>
              <w:t xml:space="preserve">establece las especificaciones técnicas </w:t>
            </w:r>
            <w:r w:rsidR="00940084" w:rsidRPr="00940084">
              <w:rPr>
                <w:rFonts w:asciiTheme="majorHAnsi" w:hAnsiTheme="majorHAnsi"/>
                <w:sz w:val="20"/>
                <w:szCs w:val="20"/>
              </w:rPr>
              <w:t xml:space="preserve">así como los métodos de prueba correspondientes </w:t>
            </w:r>
            <w:r w:rsidR="00456E3A" w:rsidRPr="00456E3A">
              <w:rPr>
                <w:rFonts w:asciiTheme="majorHAnsi" w:hAnsiTheme="majorHAnsi"/>
                <w:sz w:val="20"/>
                <w:szCs w:val="20"/>
              </w:rPr>
              <w:t xml:space="preserve">de los Equipos Terminales Móviles que puedan hacer uso del espectro radioeléctrico </w:t>
            </w:r>
            <w:r w:rsidR="00456E3A">
              <w:rPr>
                <w:rFonts w:asciiTheme="majorHAnsi" w:hAnsiTheme="majorHAnsi"/>
                <w:sz w:val="20"/>
                <w:szCs w:val="20"/>
              </w:rPr>
              <w:t>(</w:t>
            </w:r>
            <w:r w:rsidR="00456E3A" w:rsidRPr="00110169">
              <w:rPr>
                <w:rFonts w:asciiTheme="majorHAnsi" w:hAnsiTheme="majorHAnsi"/>
                <w:sz w:val="20"/>
                <w:szCs w:val="20"/>
              </w:rPr>
              <w:t>en las bandas de frecuencias de 700 MHz, 800 MHz, 850 MHz, 1900 MHz, 1700 MHz/2100 MHz y/o 2500 MHz</w:t>
            </w:r>
            <w:r w:rsidR="00456E3A">
              <w:rPr>
                <w:rFonts w:asciiTheme="majorHAnsi" w:hAnsiTheme="majorHAnsi"/>
                <w:sz w:val="20"/>
                <w:szCs w:val="20"/>
              </w:rPr>
              <w:t>)</w:t>
            </w:r>
            <w:r w:rsidR="00456E3A" w:rsidRPr="00456E3A">
              <w:rPr>
                <w:rFonts w:asciiTheme="majorHAnsi" w:hAnsiTheme="majorHAnsi"/>
                <w:sz w:val="20"/>
                <w:szCs w:val="20"/>
              </w:rPr>
              <w:t xml:space="preserve"> o ser conectados a redes de telecomunicaciones</w:t>
            </w:r>
            <w:r w:rsidR="00456E3A">
              <w:rPr>
                <w:rFonts w:asciiTheme="majorHAnsi" w:hAnsiTheme="majorHAnsi"/>
                <w:sz w:val="20"/>
                <w:szCs w:val="20"/>
              </w:rPr>
              <w:t xml:space="preserve"> previendo que </w:t>
            </w:r>
            <w:r w:rsidR="00456E3A" w:rsidRPr="00110169">
              <w:rPr>
                <w:rFonts w:asciiTheme="majorHAnsi" w:hAnsiTheme="majorHAnsi"/>
                <w:sz w:val="20"/>
                <w:szCs w:val="20"/>
              </w:rPr>
              <w:t>cuando operen no causen interferencias perjudiciales a otros equipos de operación autorizada, ni a las redes y servicios de telecomunicaciones autorizados por el Instituto Federal de Telecomunicaciones.</w:t>
            </w:r>
            <w:r w:rsidR="00456E3A">
              <w:rPr>
                <w:rFonts w:asciiTheme="majorHAnsi" w:hAnsiTheme="majorHAnsi"/>
                <w:sz w:val="20"/>
                <w:szCs w:val="20"/>
              </w:rPr>
              <w:t xml:space="preserve"> </w:t>
            </w:r>
          </w:p>
          <w:p w:rsidR="00456E3A" w:rsidRDefault="00456E3A" w:rsidP="002127AF">
            <w:pPr>
              <w:jc w:val="both"/>
              <w:rPr>
                <w:rFonts w:asciiTheme="majorHAnsi" w:hAnsiTheme="majorHAnsi"/>
                <w:sz w:val="20"/>
                <w:szCs w:val="20"/>
              </w:rPr>
            </w:pPr>
          </w:p>
          <w:p w:rsidR="002127AF" w:rsidRPr="005D5F2E" w:rsidRDefault="002127AF" w:rsidP="002127AF">
            <w:pPr>
              <w:jc w:val="both"/>
              <w:rPr>
                <w:rFonts w:asciiTheme="majorHAnsi" w:hAnsiTheme="majorHAnsi"/>
                <w:sz w:val="20"/>
                <w:szCs w:val="20"/>
              </w:rPr>
            </w:pPr>
            <w:r w:rsidRPr="005D5F2E">
              <w:rPr>
                <w:rFonts w:asciiTheme="majorHAnsi" w:hAnsiTheme="majorHAnsi"/>
                <w:sz w:val="20"/>
                <w:szCs w:val="20"/>
              </w:rPr>
              <w:t>Existe la siguiente disposici</w:t>
            </w:r>
            <w:r w:rsidR="00A32888">
              <w:rPr>
                <w:rFonts w:asciiTheme="majorHAnsi" w:hAnsiTheme="majorHAnsi"/>
                <w:sz w:val="20"/>
                <w:szCs w:val="20"/>
              </w:rPr>
              <w:t>ó</w:t>
            </w:r>
            <w:r w:rsidRPr="005D5F2E">
              <w:rPr>
                <w:rFonts w:asciiTheme="majorHAnsi" w:hAnsiTheme="majorHAnsi"/>
                <w:sz w:val="20"/>
                <w:szCs w:val="20"/>
              </w:rPr>
              <w:t xml:space="preserve">n jurídica relativa a los </w:t>
            </w:r>
            <w:r w:rsidR="00613A5A" w:rsidRPr="005D5F2E">
              <w:rPr>
                <w:rFonts w:asciiTheme="majorHAnsi" w:hAnsiTheme="majorHAnsi"/>
                <w:sz w:val="20"/>
                <w:szCs w:val="20"/>
              </w:rPr>
              <w:t>E</w:t>
            </w:r>
            <w:r w:rsidRPr="005D5F2E">
              <w:rPr>
                <w:rFonts w:asciiTheme="majorHAnsi" w:hAnsiTheme="majorHAnsi"/>
                <w:sz w:val="20"/>
                <w:szCs w:val="20"/>
              </w:rPr>
              <w:t xml:space="preserve">quipos </w:t>
            </w:r>
            <w:r w:rsidR="00613A5A" w:rsidRPr="005D5F2E">
              <w:rPr>
                <w:rFonts w:asciiTheme="majorHAnsi" w:hAnsiTheme="majorHAnsi"/>
                <w:sz w:val="20"/>
                <w:szCs w:val="20"/>
              </w:rPr>
              <w:t>Terminales M</w:t>
            </w:r>
            <w:r w:rsidR="00AD7A0A" w:rsidRPr="005D5F2E">
              <w:rPr>
                <w:rFonts w:asciiTheme="majorHAnsi" w:hAnsiTheme="majorHAnsi"/>
                <w:sz w:val="20"/>
                <w:szCs w:val="20"/>
              </w:rPr>
              <w:t>óviles</w:t>
            </w:r>
            <w:r w:rsidRPr="005D5F2E">
              <w:rPr>
                <w:rFonts w:asciiTheme="majorHAnsi" w:hAnsiTheme="majorHAnsi"/>
                <w:sz w:val="20"/>
                <w:szCs w:val="20"/>
              </w:rPr>
              <w:t>:</w:t>
            </w:r>
          </w:p>
          <w:p w:rsidR="00FA1E50" w:rsidRPr="005D5F2E" w:rsidRDefault="00FA1E50" w:rsidP="008A48B0">
            <w:pPr>
              <w:jc w:val="both"/>
              <w:rPr>
                <w:rFonts w:asciiTheme="majorHAnsi" w:hAnsiTheme="majorHAnsi"/>
                <w:sz w:val="20"/>
                <w:szCs w:val="20"/>
              </w:rPr>
            </w:pPr>
          </w:p>
          <w:p w:rsidR="009F4A7F" w:rsidRPr="009F4A7F" w:rsidRDefault="009F4A7F" w:rsidP="009F4A7F">
            <w:pPr>
              <w:pStyle w:val="Prrafodelista"/>
              <w:numPr>
                <w:ilvl w:val="0"/>
                <w:numId w:val="5"/>
              </w:numPr>
              <w:jc w:val="both"/>
              <w:rPr>
                <w:rFonts w:asciiTheme="majorHAnsi" w:hAnsiTheme="majorHAnsi"/>
                <w:sz w:val="20"/>
                <w:szCs w:val="20"/>
              </w:rPr>
            </w:pPr>
            <w:r w:rsidRPr="009F4A7F">
              <w:rPr>
                <w:rFonts w:asciiTheme="majorHAnsi" w:hAnsiTheme="majorHAnsi"/>
                <w:sz w:val="20"/>
                <w:szCs w:val="20"/>
              </w:rPr>
              <w:t>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rsidR="009F4A7F" w:rsidRDefault="009F4A7F" w:rsidP="009F4A7F">
            <w:pPr>
              <w:pStyle w:val="Prrafodelista"/>
              <w:jc w:val="both"/>
              <w:rPr>
                <w:rFonts w:asciiTheme="majorHAnsi" w:hAnsiTheme="majorHAnsi"/>
                <w:sz w:val="20"/>
                <w:szCs w:val="20"/>
              </w:rPr>
            </w:pPr>
          </w:p>
          <w:p w:rsidR="009F4A7F" w:rsidRDefault="009F4A7F" w:rsidP="009F4A7F">
            <w:pPr>
              <w:pStyle w:val="Prrafodelista"/>
              <w:jc w:val="both"/>
              <w:rPr>
                <w:rFonts w:asciiTheme="majorHAnsi" w:hAnsiTheme="majorHAnsi"/>
                <w:sz w:val="20"/>
                <w:szCs w:val="20"/>
              </w:rPr>
            </w:pPr>
            <w:r w:rsidRPr="009F4A7F">
              <w:rPr>
                <w:rFonts w:asciiTheme="majorHAnsi" w:hAnsiTheme="majorHAnsi"/>
                <w:sz w:val="20"/>
                <w:szCs w:val="20"/>
              </w:rPr>
              <w:t>La referida disposición resulta insuficiente debido a que:</w:t>
            </w:r>
          </w:p>
          <w:p w:rsidR="009F4A7F" w:rsidRDefault="009F4A7F" w:rsidP="009F4A7F">
            <w:pPr>
              <w:pStyle w:val="Prrafodelista"/>
              <w:jc w:val="both"/>
              <w:rPr>
                <w:rFonts w:asciiTheme="majorHAnsi" w:hAnsiTheme="majorHAnsi"/>
                <w:sz w:val="20"/>
                <w:szCs w:val="20"/>
              </w:rPr>
            </w:pPr>
          </w:p>
          <w:p w:rsidR="00D97078" w:rsidRPr="007C72C7" w:rsidRDefault="00D97078" w:rsidP="00CB4A83">
            <w:pPr>
              <w:pStyle w:val="Prrafodelista"/>
              <w:numPr>
                <w:ilvl w:val="0"/>
                <w:numId w:val="34"/>
              </w:numPr>
              <w:ind w:left="1305"/>
              <w:jc w:val="both"/>
              <w:rPr>
                <w:rFonts w:asciiTheme="majorHAnsi" w:hAnsiTheme="majorHAnsi"/>
                <w:sz w:val="20"/>
                <w:szCs w:val="20"/>
              </w:rPr>
            </w:pPr>
            <w:r w:rsidRPr="007C72C7">
              <w:rPr>
                <w:rFonts w:asciiTheme="majorHAnsi" w:hAnsiTheme="majorHAnsi"/>
                <w:sz w:val="20"/>
                <w:szCs w:val="20"/>
              </w:rPr>
              <w:t>Solamente establece las especificaciones relativas al Código de identidad de fabricación del equipo (IMEI), así como el requerimiento de no bloqueo de la funcionalidad de receptor de radiodifusión sonora en Frecuencia Modulada (FM) de los Equipos Terminales Móviles que puedan hacer uso del espectro radioeléctrico o ser conectados a redes de telecomunicaciones; así como los métodos de prueba para comprobar el cumplimiento de dichas especificaciones y requerimientos.</w:t>
            </w:r>
          </w:p>
        </w:tc>
      </w:tr>
    </w:tbl>
    <w:p w:rsidR="001932FC" w:rsidRPr="005D5F2E" w:rsidRDefault="001932FC" w:rsidP="001932FC">
      <w:pPr>
        <w:jc w:val="both"/>
      </w:pPr>
    </w:p>
    <w:p w:rsidR="001932FC" w:rsidRPr="005D5F2E" w:rsidRDefault="001932FC" w:rsidP="00A1622C">
      <w:pPr>
        <w:shd w:val="clear" w:color="auto" w:fill="A8D08D" w:themeFill="accent6" w:themeFillTint="99"/>
        <w:jc w:val="both"/>
      </w:pPr>
      <w:r w:rsidRPr="005D5F2E">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5D5F2E" w:rsidTr="00E6080B">
        <w:tc>
          <w:tcPr>
            <w:tcW w:w="8828" w:type="dxa"/>
          </w:tcPr>
          <w:p w:rsidR="00801FED" w:rsidRPr="005D5F2E" w:rsidRDefault="00E6080B" w:rsidP="002E5B53">
            <w:pPr>
              <w:jc w:val="both"/>
              <w:rPr>
                <w:b/>
                <w:sz w:val="20"/>
                <w:szCs w:val="20"/>
              </w:rPr>
            </w:pPr>
            <w:r w:rsidRPr="005D5F2E">
              <w:rPr>
                <w:b/>
                <w:sz w:val="20"/>
                <w:szCs w:val="20"/>
              </w:rPr>
              <w:t xml:space="preserve">4.- Señale y compare las alternativas con que se podría resolver la problemática </w:t>
            </w:r>
            <w:r w:rsidR="005A40FB" w:rsidRPr="005D5F2E">
              <w:rPr>
                <w:b/>
                <w:sz w:val="20"/>
                <w:szCs w:val="20"/>
              </w:rPr>
              <w:t xml:space="preserve">detectada </w:t>
            </w:r>
            <w:r w:rsidR="00A1622C" w:rsidRPr="005D5F2E">
              <w:rPr>
                <w:b/>
                <w:sz w:val="20"/>
                <w:szCs w:val="20"/>
              </w:rPr>
              <w:t xml:space="preserve">que fueron evaluadas, incluyendo la opción de no emitir el anteproyecto de regulación. Asimismo, indique para cada </w:t>
            </w:r>
            <w:r w:rsidR="00801FED" w:rsidRPr="005D5F2E">
              <w:rPr>
                <w:b/>
                <w:sz w:val="20"/>
                <w:szCs w:val="20"/>
              </w:rPr>
              <w:t xml:space="preserve">una de las alternativas </w:t>
            </w:r>
            <w:r w:rsidR="005A40FB" w:rsidRPr="005D5F2E">
              <w:rPr>
                <w:b/>
                <w:sz w:val="20"/>
                <w:szCs w:val="20"/>
              </w:rPr>
              <w:t>que fueron consideradas</w:t>
            </w:r>
            <w:r w:rsidR="00801FED" w:rsidRPr="005D5F2E">
              <w:rPr>
                <w:b/>
                <w:sz w:val="20"/>
                <w:szCs w:val="20"/>
              </w:rPr>
              <w:t xml:space="preserve"> una </w:t>
            </w:r>
            <w:r w:rsidR="00801FED" w:rsidRPr="00E55431">
              <w:rPr>
                <w:b/>
                <w:sz w:val="20"/>
                <w:szCs w:val="20"/>
              </w:rPr>
              <w:t>estimación de los costos y beneficios</w:t>
            </w:r>
            <w:r w:rsidR="00801FED" w:rsidRPr="005D5F2E">
              <w:rPr>
                <w:b/>
                <w:sz w:val="20"/>
                <w:szCs w:val="20"/>
              </w:rPr>
              <w:t xml:space="preserve"> que implicaría su instrumentación:</w:t>
            </w:r>
          </w:p>
          <w:p w:rsidR="00F05BFC" w:rsidRPr="005D5F2E" w:rsidRDefault="00F05BFC" w:rsidP="00F05BFC">
            <w:pPr>
              <w:autoSpaceDE w:val="0"/>
              <w:autoSpaceDN w:val="0"/>
              <w:adjustRightInd w:val="0"/>
              <w:rPr>
                <w:rFonts w:asciiTheme="majorHAnsi" w:hAnsiTheme="majorHAnsi"/>
                <w:sz w:val="20"/>
                <w:szCs w:val="20"/>
              </w:rPr>
            </w:pPr>
          </w:p>
          <w:p w:rsidR="00CB6217" w:rsidRDefault="00CB6217" w:rsidP="00F05BFC">
            <w:pPr>
              <w:widowControl w:val="0"/>
              <w:tabs>
                <w:tab w:val="left" w:pos="2698"/>
              </w:tabs>
              <w:autoSpaceDE w:val="0"/>
              <w:autoSpaceDN w:val="0"/>
              <w:adjustRightInd w:val="0"/>
              <w:ind w:right="-1384"/>
              <w:rPr>
                <w:rFonts w:asciiTheme="majorHAnsi" w:hAnsiTheme="majorHAnsi"/>
                <w:b/>
                <w:i/>
                <w:sz w:val="20"/>
                <w:szCs w:val="20"/>
                <w:u w:val="single"/>
              </w:rPr>
            </w:pPr>
          </w:p>
          <w:p w:rsidR="00F05BFC" w:rsidRPr="005D5F2E" w:rsidRDefault="00F05BFC" w:rsidP="00F05BFC">
            <w:pPr>
              <w:widowControl w:val="0"/>
              <w:tabs>
                <w:tab w:val="left" w:pos="2698"/>
              </w:tabs>
              <w:autoSpaceDE w:val="0"/>
              <w:autoSpaceDN w:val="0"/>
              <w:adjustRightInd w:val="0"/>
              <w:ind w:right="-1384"/>
              <w:rPr>
                <w:rFonts w:asciiTheme="majorHAnsi" w:hAnsiTheme="majorHAnsi"/>
                <w:b/>
                <w:i/>
                <w:sz w:val="20"/>
                <w:szCs w:val="20"/>
                <w:u w:val="single"/>
              </w:rPr>
            </w:pPr>
            <w:r w:rsidRPr="005D5F2E">
              <w:rPr>
                <w:rFonts w:asciiTheme="majorHAnsi" w:hAnsiTheme="majorHAnsi"/>
                <w:b/>
                <w:i/>
                <w:sz w:val="20"/>
                <w:szCs w:val="20"/>
                <w:u w:val="single"/>
              </w:rPr>
              <w:t>No emitir regulación</w:t>
            </w:r>
            <w:r w:rsidR="003129BE" w:rsidRPr="005D5F2E">
              <w:rPr>
                <w:rFonts w:asciiTheme="majorHAnsi" w:hAnsiTheme="majorHAnsi"/>
                <w:b/>
                <w:i/>
                <w:sz w:val="20"/>
                <w:szCs w:val="20"/>
                <w:u w:val="single"/>
              </w:rPr>
              <w:t>.</w:t>
            </w:r>
          </w:p>
          <w:p w:rsidR="00556431" w:rsidRDefault="00F05BFC" w:rsidP="00556431">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En caso de no emitir </w:t>
            </w:r>
            <w:r w:rsidR="0047093B" w:rsidRPr="005D5F2E">
              <w:rPr>
                <w:rFonts w:asciiTheme="majorHAnsi" w:hAnsiTheme="majorHAnsi"/>
                <w:sz w:val="20"/>
                <w:szCs w:val="20"/>
              </w:rPr>
              <w:t xml:space="preserve">un </w:t>
            </w:r>
            <w:r w:rsidRPr="005D5F2E">
              <w:rPr>
                <w:rFonts w:asciiTheme="majorHAnsi" w:hAnsiTheme="majorHAnsi"/>
                <w:sz w:val="20"/>
                <w:szCs w:val="20"/>
              </w:rPr>
              <w:t>Anteproyecto</w:t>
            </w:r>
            <w:r w:rsidR="0047093B" w:rsidRPr="005D5F2E">
              <w:rPr>
                <w:rFonts w:asciiTheme="majorHAnsi" w:hAnsiTheme="majorHAnsi"/>
                <w:sz w:val="20"/>
                <w:szCs w:val="20"/>
              </w:rPr>
              <w:t xml:space="preserve"> al respecto</w:t>
            </w:r>
            <w:r w:rsidRPr="005D5F2E">
              <w:rPr>
                <w:rFonts w:asciiTheme="majorHAnsi" w:hAnsiTheme="majorHAnsi"/>
                <w:sz w:val="20"/>
                <w:szCs w:val="20"/>
              </w:rPr>
              <w:t xml:space="preserve">, no </w:t>
            </w:r>
            <w:r w:rsidR="00556431">
              <w:rPr>
                <w:rFonts w:asciiTheme="majorHAnsi" w:hAnsiTheme="majorHAnsi"/>
                <w:sz w:val="20"/>
                <w:szCs w:val="20"/>
              </w:rPr>
              <w:t xml:space="preserve">se contaría con </w:t>
            </w:r>
            <w:r w:rsidRPr="005D5F2E">
              <w:rPr>
                <w:rFonts w:asciiTheme="majorHAnsi" w:hAnsiTheme="majorHAnsi"/>
                <w:sz w:val="20"/>
                <w:szCs w:val="20"/>
              </w:rPr>
              <w:t xml:space="preserve">un instrumento </w:t>
            </w:r>
            <w:r w:rsidR="00556431">
              <w:rPr>
                <w:rFonts w:asciiTheme="majorHAnsi" w:hAnsiTheme="majorHAnsi"/>
                <w:sz w:val="20"/>
                <w:szCs w:val="20"/>
              </w:rPr>
              <w:t xml:space="preserve">normativo que </w:t>
            </w:r>
            <w:r w:rsidR="001708DA" w:rsidRPr="001708DA">
              <w:rPr>
                <w:rFonts w:asciiTheme="majorHAnsi" w:hAnsiTheme="majorHAnsi"/>
                <w:sz w:val="20"/>
                <w:szCs w:val="20"/>
              </w:rPr>
              <w:t>estable</w:t>
            </w:r>
            <w:r w:rsidR="00556431">
              <w:rPr>
                <w:rFonts w:asciiTheme="majorHAnsi" w:hAnsiTheme="majorHAnsi"/>
                <w:sz w:val="20"/>
                <w:szCs w:val="20"/>
              </w:rPr>
              <w:t>zca</w:t>
            </w:r>
            <w:r w:rsidR="001708DA" w:rsidRPr="001708DA">
              <w:rPr>
                <w:rFonts w:asciiTheme="majorHAnsi" w:hAnsiTheme="majorHAnsi"/>
                <w:sz w:val="20"/>
                <w:szCs w:val="20"/>
              </w:rPr>
              <w:t xml:space="preserve"> las especificaciones técnicas de los Equipos Terminales Móviles que puedan hacer uso del espectro radioeléctrico o ser conectados a redes de telecomunicaciones</w:t>
            </w:r>
            <w:r w:rsidR="00556431">
              <w:rPr>
                <w:rFonts w:asciiTheme="majorHAnsi" w:hAnsiTheme="majorHAnsi"/>
                <w:sz w:val="20"/>
                <w:szCs w:val="20"/>
              </w:rPr>
              <w:t>, ya que la NOM</w:t>
            </w:r>
            <w:r w:rsidR="00A32888">
              <w:rPr>
                <w:rFonts w:asciiTheme="majorHAnsi" w:hAnsiTheme="majorHAnsi"/>
                <w:sz w:val="20"/>
                <w:szCs w:val="20"/>
              </w:rPr>
              <w:t xml:space="preserve">-081 </w:t>
            </w:r>
            <w:r w:rsidR="00556431" w:rsidRPr="001C7ED9">
              <w:rPr>
                <w:rFonts w:asciiTheme="majorHAnsi" w:hAnsiTheme="majorHAnsi"/>
                <w:sz w:val="20"/>
                <w:szCs w:val="20"/>
              </w:rPr>
              <w:t>perd</w:t>
            </w:r>
            <w:r w:rsidR="00A32888">
              <w:rPr>
                <w:rFonts w:asciiTheme="majorHAnsi" w:hAnsiTheme="majorHAnsi"/>
                <w:sz w:val="20"/>
                <w:szCs w:val="20"/>
              </w:rPr>
              <w:t xml:space="preserve">ió </w:t>
            </w:r>
            <w:r w:rsidR="00556431" w:rsidRPr="001C7ED9">
              <w:rPr>
                <w:rFonts w:asciiTheme="majorHAnsi" w:hAnsiTheme="majorHAnsi"/>
                <w:sz w:val="20"/>
                <w:szCs w:val="20"/>
              </w:rPr>
              <w:t xml:space="preserve"> su vigencia el 29 de septiembre de 2017, al no ser jurídicamente procedente realizar la revisión de la misma en términos de la propia LFMN.</w:t>
            </w:r>
          </w:p>
          <w:p w:rsidR="00556431" w:rsidRDefault="00556431" w:rsidP="00556431">
            <w:pPr>
              <w:shd w:val="clear" w:color="auto" w:fill="FFFFFF"/>
              <w:spacing w:after="101"/>
              <w:jc w:val="both"/>
              <w:rPr>
                <w:rFonts w:asciiTheme="majorHAnsi" w:hAnsiTheme="majorHAnsi"/>
                <w:sz w:val="20"/>
                <w:szCs w:val="20"/>
              </w:rPr>
            </w:pPr>
            <w:r>
              <w:rPr>
                <w:rFonts w:asciiTheme="majorHAnsi" w:hAnsiTheme="majorHAnsi"/>
                <w:sz w:val="20"/>
                <w:szCs w:val="20"/>
              </w:rPr>
              <w:t xml:space="preserve">No se contaría con un </w:t>
            </w:r>
            <w:r w:rsidRPr="005D5F2E">
              <w:rPr>
                <w:rFonts w:asciiTheme="majorHAnsi" w:hAnsiTheme="majorHAnsi"/>
                <w:sz w:val="20"/>
                <w:szCs w:val="20"/>
              </w:rPr>
              <w:t xml:space="preserve">instrumento </w:t>
            </w:r>
            <w:r>
              <w:rPr>
                <w:rFonts w:asciiTheme="majorHAnsi" w:hAnsiTheme="majorHAnsi"/>
                <w:sz w:val="20"/>
                <w:szCs w:val="20"/>
              </w:rPr>
              <w:t xml:space="preserve">normativo que considere </w:t>
            </w:r>
            <w:r w:rsidRPr="001C7ED9">
              <w:rPr>
                <w:rFonts w:asciiTheme="majorHAnsi" w:hAnsiTheme="majorHAnsi"/>
                <w:sz w:val="20"/>
                <w:szCs w:val="20"/>
              </w:rPr>
              <w:t xml:space="preserve">las especificaciones técnicas </w:t>
            </w:r>
            <w:r w:rsidRPr="00556431">
              <w:rPr>
                <w:rFonts w:asciiTheme="majorHAnsi" w:hAnsiTheme="majorHAnsi"/>
                <w:sz w:val="20"/>
                <w:szCs w:val="20"/>
              </w:rPr>
              <w:t xml:space="preserve">de los Equipos Terminales Móviles que puedan hacer uso del espectro radioeléctrico </w:t>
            </w:r>
            <w:r>
              <w:rPr>
                <w:rFonts w:asciiTheme="majorHAnsi" w:hAnsiTheme="majorHAnsi"/>
                <w:sz w:val="20"/>
                <w:szCs w:val="20"/>
              </w:rPr>
              <w:t xml:space="preserve">en las </w:t>
            </w:r>
            <w:r w:rsidRPr="001C7ED9">
              <w:rPr>
                <w:rFonts w:asciiTheme="majorHAnsi" w:hAnsiTheme="majorHAnsi"/>
                <w:sz w:val="20"/>
                <w:szCs w:val="20"/>
              </w:rPr>
              <w:t xml:space="preserve">bandas de </w:t>
            </w:r>
            <w:r>
              <w:rPr>
                <w:rFonts w:asciiTheme="majorHAnsi" w:hAnsiTheme="majorHAnsi"/>
                <w:sz w:val="20"/>
                <w:szCs w:val="20"/>
              </w:rPr>
              <w:t xml:space="preserve">frecuencia de </w:t>
            </w:r>
            <w:r w:rsidRPr="001C7ED9">
              <w:rPr>
                <w:rFonts w:asciiTheme="majorHAnsi" w:hAnsiTheme="majorHAnsi"/>
                <w:sz w:val="20"/>
                <w:szCs w:val="20"/>
              </w:rPr>
              <w:t xml:space="preserve">700 MHz, </w:t>
            </w:r>
            <w:r>
              <w:rPr>
                <w:rFonts w:asciiTheme="majorHAnsi" w:hAnsiTheme="majorHAnsi"/>
                <w:sz w:val="20"/>
                <w:szCs w:val="20"/>
              </w:rPr>
              <w:t xml:space="preserve">800 MHz, </w:t>
            </w:r>
            <w:r w:rsidR="00A32888">
              <w:rPr>
                <w:rFonts w:asciiTheme="majorHAnsi" w:hAnsiTheme="majorHAnsi"/>
                <w:sz w:val="20"/>
                <w:szCs w:val="20"/>
              </w:rPr>
              <w:t xml:space="preserve">850 MHZ, </w:t>
            </w:r>
            <w:r w:rsidRPr="001C7ED9">
              <w:rPr>
                <w:rFonts w:asciiTheme="majorHAnsi" w:hAnsiTheme="majorHAnsi"/>
                <w:sz w:val="20"/>
                <w:szCs w:val="20"/>
              </w:rPr>
              <w:t xml:space="preserve">1900 MHz, </w:t>
            </w:r>
            <w:r>
              <w:rPr>
                <w:rFonts w:asciiTheme="majorHAnsi" w:hAnsiTheme="majorHAnsi"/>
                <w:sz w:val="20"/>
                <w:szCs w:val="20"/>
              </w:rPr>
              <w:t>1700 MHz/</w:t>
            </w:r>
            <w:r w:rsidRPr="001C7ED9">
              <w:rPr>
                <w:rFonts w:asciiTheme="majorHAnsi" w:hAnsiTheme="majorHAnsi"/>
                <w:sz w:val="20"/>
                <w:szCs w:val="20"/>
              </w:rPr>
              <w:t>2100 MHz</w:t>
            </w:r>
            <w:r>
              <w:rPr>
                <w:rFonts w:asciiTheme="majorHAnsi" w:hAnsiTheme="majorHAnsi"/>
                <w:sz w:val="20"/>
                <w:szCs w:val="20"/>
              </w:rPr>
              <w:t xml:space="preserve"> y/o</w:t>
            </w:r>
            <w:r w:rsidRPr="001C7ED9">
              <w:rPr>
                <w:rFonts w:asciiTheme="majorHAnsi" w:hAnsiTheme="majorHAnsi"/>
                <w:sz w:val="20"/>
                <w:szCs w:val="20"/>
              </w:rPr>
              <w:t xml:space="preserve"> 2500 MHz., asignadas para la provisión del servicio móvil</w:t>
            </w:r>
            <w:r>
              <w:rPr>
                <w:rFonts w:asciiTheme="majorHAnsi" w:hAnsiTheme="majorHAnsi"/>
                <w:sz w:val="20"/>
                <w:szCs w:val="20"/>
              </w:rPr>
              <w:t xml:space="preserve"> en México, o ser</w:t>
            </w:r>
            <w:r w:rsidR="00DE51FA">
              <w:rPr>
                <w:rFonts w:asciiTheme="majorHAnsi" w:hAnsiTheme="majorHAnsi"/>
                <w:sz w:val="20"/>
                <w:szCs w:val="20"/>
              </w:rPr>
              <w:t xml:space="preserve"> </w:t>
            </w:r>
            <w:r w:rsidRPr="00556431">
              <w:rPr>
                <w:rFonts w:asciiTheme="majorHAnsi" w:hAnsiTheme="majorHAnsi"/>
                <w:sz w:val="20"/>
                <w:szCs w:val="20"/>
              </w:rPr>
              <w:t>conectados a redes de telecomunicaciones; así como los métodos de prueba para comprobar el cumplimiento de dichas especificaciones</w:t>
            </w:r>
            <w:r w:rsidR="00145704">
              <w:rPr>
                <w:rFonts w:asciiTheme="majorHAnsi" w:hAnsiTheme="majorHAnsi"/>
                <w:sz w:val="20"/>
                <w:szCs w:val="20"/>
              </w:rPr>
              <w:t xml:space="preserve">, </w:t>
            </w:r>
            <w:r w:rsidR="00145704">
              <w:t xml:space="preserve"> </w:t>
            </w:r>
            <w:r w:rsidR="00145704" w:rsidRPr="00145704">
              <w:rPr>
                <w:rFonts w:asciiTheme="majorHAnsi" w:hAnsiTheme="majorHAnsi"/>
                <w:sz w:val="20"/>
                <w:szCs w:val="20"/>
              </w:rPr>
              <w:t xml:space="preserve">previendo que cuando operen no causen interferencias perjudiciales a otros equipos de operación autorizada, ni a las redes y servicios de telecomunicaciones autorizados por el Instituto Federal de Telecomunicaciones. </w:t>
            </w:r>
          </w:p>
          <w:p w:rsidR="00FB73CB" w:rsidRPr="005D5F2E" w:rsidRDefault="00DE51FA" w:rsidP="00556431">
            <w:pPr>
              <w:shd w:val="clear" w:color="auto" w:fill="FFFFFF"/>
              <w:spacing w:after="101"/>
              <w:jc w:val="both"/>
              <w:rPr>
                <w:rFonts w:asciiTheme="majorHAnsi" w:hAnsiTheme="majorHAnsi"/>
                <w:sz w:val="20"/>
                <w:szCs w:val="20"/>
              </w:rPr>
            </w:pPr>
            <w:r>
              <w:rPr>
                <w:rFonts w:asciiTheme="majorHAnsi" w:hAnsiTheme="majorHAnsi"/>
                <w:sz w:val="20"/>
                <w:szCs w:val="20"/>
              </w:rPr>
              <w:t>Aunado a lo anterior, no</w:t>
            </w:r>
            <w:r w:rsidR="00145704">
              <w:rPr>
                <w:rFonts w:asciiTheme="majorHAnsi" w:hAnsiTheme="majorHAnsi"/>
                <w:sz w:val="20"/>
                <w:szCs w:val="20"/>
              </w:rPr>
              <w:t xml:space="preserve"> se fomentaría el derecho a la portabilidad de los usuarios.</w:t>
            </w:r>
          </w:p>
          <w:p w:rsidR="00196C48" w:rsidRPr="005D5F2E" w:rsidRDefault="00196C48" w:rsidP="00F05BFC">
            <w:pPr>
              <w:autoSpaceDE w:val="0"/>
              <w:autoSpaceDN w:val="0"/>
              <w:adjustRightInd w:val="0"/>
              <w:rPr>
                <w:rFonts w:asciiTheme="majorHAnsi" w:hAnsiTheme="majorHAnsi"/>
                <w:sz w:val="20"/>
                <w:szCs w:val="20"/>
              </w:rPr>
            </w:pPr>
          </w:p>
          <w:p w:rsidR="00F05BFC" w:rsidRPr="005D5F2E" w:rsidRDefault="00F05BFC" w:rsidP="00F05BFC">
            <w:pPr>
              <w:autoSpaceDE w:val="0"/>
              <w:autoSpaceDN w:val="0"/>
              <w:adjustRightInd w:val="0"/>
              <w:rPr>
                <w:rFonts w:asciiTheme="majorHAnsi" w:hAnsiTheme="majorHAnsi"/>
                <w:b/>
                <w:i/>
                <w:sz w:val="20"/>
                <w:szCs w:val="20"/>
                <w:u w:val="single"/>
              </w:rPr>
            </w:pPr>
            <w:r w:rsidRPr="005D5F2E">
              <w:rPr>
                <w:rFonts w:asciiTheme="majorHAnsi" w:hAnsiTheme="majorHAnsi"/>
                <w:b/>
                <w:i/>
                <w:sz w:val="20"/>
                <w:szCs w:val="20"/>
                <w:u w:val="single"/>
              </w:rPr>
              <w:t>Autorregulación</w:t>
            </w:r>
            <w:r w:rsidR="003129BE" w:rsidRPr="005D5F2E">
              <w:rPr>
                <w:rFonts w:asciiTheme="majorHAnsi" w:hAnsiTheme="majorHAnsi"/>
                <w:b/>
                <w:i/>
                <w:sz w:val="20"/>
                <w:szCs w:val="20"/>
                <w:u w:val="single"/>
              </w:rPr>
              <w:t>.</w:t>
            </w:r>
          </w:p>
          <w:p w:rsidR="00F05BFC" w:rsidRPr="005D5F2E" w:rsidRDefault="00145704" w:rsidP="004633A6">
            <w:pPr>
              <w:autoSpaceDE w:val="0"/>
              <w:autoSpaceDN w:val="0"/>
              <w:adjustRightInd w:val="0"/>
              <w:jc w:val="both"/>
              <w:rPr>
                <w:rFonts w:asciiTheme="majorHAnsi" w:hAnsiTheme="majorHAnsi"/>
                <w:sz w:val="20"/>
                <w:szCs w:val="20"/>
              </w:rPr>
            </w:pPr>
            <w:r>
              <w:rPr>
                <w:rFonts w:asciiTheme="majorHAnsi" w:hAnsiTheme="majorHAnsi"/>
                <w:sz w:val="20"/>
                <w:szCs w:val="20"/>
              </w:rPr>
              <w:t>Se considera que</w:t>
            </w:r>
            <w:r w:rsidR="00A61D00" w:rsidRPr="005D5F2E">
              <w:rPr>
                <w:rFonts w:asciiTheme="majorHAnsi" w:hAnsiTheme="majorHAnsi"/>
                <w:sz w:val="20"/>
                <w:szCs w:val="20"/>
              </w:rPr>
              <w:t xml:space="preserve"> e</w:t>
            </w:r>
            <w:r w:rsidR="005941AD" w:rsidRPr="005D5F2E">
              <w:rPr>
                <w:rFonts w:asciiTheme="majorHAnsi" w:hAnsiTheme="majorHAnsi"/>
                <w:sz w:val="20"/>
                <w:szCs w:val="20"/>
              </w:rPr>
              <w:t xml:space="preserve">s necesario contar con un procedimiento de evaluación de la conformidad donde </w:t>
            </w:r>
            <w:r w:rsidR="00783E7D">
              <w:rPr>
                <w:rFonts w:asciiTheme="majorHAnsi" w:hAnsiTheme="majorHAnsi"/>
                <w:sz w:val="20"/>
                <w:szCs w:val="20"/>
              </w:rPr>
              <w:t xml:space="preserve">organismos de evaluación de la conformidad de tercera parte, debidamente acreditados y autorizados por el Instituto, </w:t>
            </w:r>
            <w:r w:rsidR="005941AD" w:rsidRPr="005D5F2E">
              <w:rPr>
                <w:rFonts w:asciiTheme="majorHAnsi" w:hAnsiTheme="majorHAnsi"/>
                <w:sz w:val="20"/>
                <w:szCs w:val="20"/>
              </w:rPr>
              <w:t xml:space="preserve">constaten que las especificaciones técnicas establecidas en </w:t>
            </w:r>
            <w:r w:rsidR="00A61D00" w:rsidRPr="005D5F2E">
              <w:rPr>
                <w:rFonts w:asciiTheme="majorHAnsi" w:hAnsiTheme="majorHAnsi"/>
                <w:sz w:val="20"/>
                <w:szCs w:val="20"/>
              </w:rPr>
              <w:t>un</w:t>
            </w:r>
            <w:r w:rsidR="00C7449E">
              <w:rPr>
                <w:rFonts w:asciiTheme="majorHAnsi" w:hAnsiTheme="majorHAnsi"/>
                <w:sz w:val="20"/>
                <w:szCs w:val="20"/>
              </w:rPr>
              <w:t>a</w:t>
            </w:r>
            <w:r w:rsidR="00A61D00" w:rsidRPr="005D5F2E">
              <w:rPr>
                <w:rFonts w:asciiTheme="majorHAnsi" w:hAnsiTheme="majorHAnsi"/>
                <w:sz w:val="20"/>
                <w:szCs w:val="20"/>
              </w:rPr>
              <w:t xml:space="preserve"> </w:t>
            </w:r>
            <w:r w:rsidR="005941AD" w:rsidRPr="005D5F2E">
              <w:rPr>
                <w:rFonts w:asciiTheme="majorHAnsi" w:hAnsiTheme="majorHAnsi"/>
                <w:sz w:val="20"/>
                <w:szCs w:val="20"/>
              </w:rPr>
              <w:t>Disposición Técnica se cumplan</w:t>
            </w:r>
            <w:r w:rsidR="00A61D00" w:rsidRPr="005D5F2E">
              <w:rPr>
                <w:rFonts w:asciiTheme="majorHAnsi" w:hAnsiTheme="majorHAnsi"/>
                <w:sz w:val="20"/>
                <w:szCs w:val="20"/>
              </w:rPr>
              <w:t>;</w:t>
            </w:r>
            <w:r w:rsidR="00B40191" w:rsidRPr="005D5F2E">
              <w:rPr>
                <w:rFonts w:asciiTheme="majorHAnsi" w:hAnsiTheme="majorHAnsi"/>
                <w:sz w:val="20"/>
                <w:szCs w:val="20"/>
              </w:rPr>
              <w:t xml:space="preserve"> por lo que un esquema de autorregulación resulta</w:t>
            </w:r>
            <w:r>
              <w:rPr>
                <w:rFonts w:asciiTheme="majorHAnsi" w:hAnsiTheme="majorHAnsi"/>
                <w:sz w:val="20"/>
                <w:szCs w:val="20"/>
              </w:rPr>
              <w:t>ría</w:t>
            </w:r>
            <w:r w:rsidR="00B40191" w:rsidRPr="005D5F2E">
              <w:rPr>
                <w:rFonts w:asciiTheme="majorHAnsi" w:hAnsiTheme="majorHAnsi"/>
                <w:sz w:val="20"/>
                <w:szCs w:val="20"/>
              </w:rPr>
              <w:t xml:space="preserve"> insuficiente.</w:t>
            </w:r>
          </w:p>
          <w:p w:rsidR="002E5B53" w:rsidRPr="005D5F2E" w:rsidRDefault="002E5B53" w:rsidP="004633A6">
            <w:pPr>
              <w:autoSpaceDE w:val="0"/>
              <w:autoSpaceDN w:val="0"/>
              <w:adjustRightInd w:val="0"/>
              <w:rPr>
                <w:rFonts w:asciiTheme="majorHAnsi" w:hAnsiTheme="majorHAnsi"/>
                <w:b/>
                <w:i/>
                <w:sz w:val="20"/>
                <w:szCs w:val="20"/>
                <w:u w:val="single"/>
              </w:rPr>
            </w:pPr>
          </w:p>
          <w:p w:rsidR="00F05BFC" w:rsidRPr="005D5F2E" w:rsidRDefault="00F05BFC" w:rsidP="004633A6">
            <w:pPr>
              <w:autoSpaceDE w:val="0"/>
              <w:autoSpaceDN w:val="0"/>
              <w:adjustRightInd w:val="0"/>
              <w:rPr>
                <w:rFonts w:asciiTheme="majorHAnsi" w:hAnsiTheme="majorHAnsi"/>
                <w:b/>
                <w:i/>
                <w:sz w:val="20"/>
                <w:szCs w:val="20"/>
                <w:u w:val="single"/>
              </w:rPr>
            </w:pPr>
            <w:r w:rsidRPr="005D5F2E">
              <w:rPr>
                <w:rFonts w:asciiTheme="majorHAnsi" w:hAnsiTheme="majorHAnsi"/>
                <w:b/>
                <w:i/>
                <w:sz w:val="20"/>
                <w:szCs w:val="20"/>
                <w:u w:val="single"/>
              </w:rPr>
              <w:t>Norma Mexicana</w:t>
            </w:r>
            <w:r w:rsidR="003129BE" w:rsidRPr="005D5F2E">
              <w:rPr>
                <w:rFonts w:asciiTheme="majorHAnsi" w:hAnsiTheme="majorHAnsi"/>
                <w:b/>
                <w:i/>
                <w:sz w:val="20"/>
                <w:szCs w:val="20"/>
                <w:u w:val="single"/>
              </w:rPr>
              <w:t>.</w:t>
            </w:r>
          </w:p>
          <w:p w:rsidR="00F05BFC" w:rsidRPr="005D5F2E" w:rsidRDefault="00F05BFC" w:rsidP="00CE1A32">
            <w:pPr>
              <w:autoSpaceDE w:val="0"/>
              <w:autoSpaceDN w:val="0"/>
              <w:adjustRightInd w:val="0"/>
              <w:jc w:val="both"/>
              <w:rPr>
                <w:rFonts w:asciiTheme="majorHAnsi" w:hAnsiTheme="majorHAnsi"/>
                <w:sz w:val="20"/>
                <w:szCs w:val="20"/>
              </w:rPr>
            </w:pPr>
            <w:r w:rsidRPr="005D5F2E">
              <w:rPr>
                <w:rFonts w:asciiTheme="majorHAnsi" w:hAnsiTheme="majorHAnsi"/>
                <w:sz w:val="20"/>
                <w:szCs w:val="20"/>
              </w:rPr>
              <w:t xml:space="preserve">La adopción de una Norma Mexicana </w:t>
            </w:r>
            <w:r w:rsidR="00783E7D">
              <w:rPr>
                <w:rFonts w:asciiTheme="majorHAnsi" w:hAnsiTheme="majorHAnsi"/>
                <w:sz w:val="20"/>
                <w:szCs w:val="20"/>
              </w:rPr>
              <w:t xml:space="preserve">al ser de carácter voluntario, </w:t>
            </w:r>
            <w:r w:rsidRPr="005D5F2E">
              <w:rPr>
                <w:rFonts w:asciiTheme="majorHAnsi" w:hAnsiTheme="majorHAnsi"/>
                <w:sz w:val="20"/>
                <w:szCs w:val="20"/>
              </w:rPr>
              <w:t xml:space="preserve">no generaría la observancia obligatoria y el cumplimiento de la misma, </w:t>
            </w:r>
            <w:r w:rsidR="00606D03" w:rsidRPr="005D5F2E">
              <w:rPr>
                <w:rFonts w:asciiTheme="majorHAnsi" w:hAnsiTheme="majorHAnsi"/>
                <w:sz w:val="20"/>
                <w:szCs w:val="20"/>
              </w:rPr>
              <w:t>que se requiere</w:t>
            </w:r>
            <w:r w:rsidR="004105E7" w:rsidRPr="005D5F2E">
              <w:rPr>
                <w:rFonts w:asciiTheme="majorHAnsi" w:hAnsiTheme="majorHAnsi"/>
                <w:sz w:val="20"/>
                <w:szCs w:val="20"/>
              </w:rPr>
              <w:t xml:space="preserve">. </w:t>
            </w:r>
            <w:r w:rsidRPr="005D5F2E">
              <w:rPr>
                <w:rFonts w:asciiTheme="majorHAnsi" w:hAnsiTheme="majorHAnsi"/>
                <w:sz w:val="20"/>
                <w:szCs w:val="20"/>
              </w:rPr>
              <w:t xml:space="preserve"> </w:t>
            </w:r>
          </w:p>
          <w:p w:rsidR="00752B7B" w:rsidRPr="005D5F2E" w:rsidRDefault="00752B7B" w:rsidP="00F05BFC">
            <w:pPr>
              <w:autoSpaceDE w:val="0"/>
              <w:autoSpaceDN w:val="0"/>
              <w:adjustRightInd w:val="0"/>
              <w:rPr>
                <w:rFonts w:asciiTheme="majorHAnsi" w:hAnsiTheme="majorHAnsi"/>
                <w:sz w:val="20"/>
                <w:szCs w:val="20"/>
              </w:rPr>
            </w:pPr>
          </w:p>
          <w:p w:rsidR="00F05BFC" w:rsidRPr="005D5F2E" w:rsidRDefault="00F05BFC" w:rsidP="00F05BFC">
            <w:pPr>
              <w:widowControl w:val="0"/>
              <w:autoSpaceDE w:val="0"/>
              <w:autoSpaceDN w:val="0"/>
              <w:adjustRightInd w:val="0"/>
              <w:ind w:right="-1384"/>
              <w:rPr>
                <w:rFonts w:asciiTheme="majorHAnsi" w:hAnsiTheme="majorHAnsi"/>
                <w:b/>
                <w:i/>
                <w:sz w:val="20"/>
                <w:szCs w:val="20"/>
                <w:u w:val="single"/>
              </w:rPr>
            </w:pPr>
            <w:r w:rsidRPr="005D5F2E">
              <w:rPr>
                <w:rFonts w:asciiTheme="majorHAnsi" w:hAnsiTheme="majorHAnsi"/>
                <w:b/>
                <w:i/>
                <w:sz w:val="20"/>
                <w:szCs w:val="20"/>
                <w:u w:val="single"/>
              </w:rPr>
              <w:t>Programa para mejorar el cumplimiento de regulaciones existentes</w:t>
            </w:r>
            <w:r w:rsidR="003129BE" w:rsidRPr="005D5F2E">
              <w:rPr>
                <w:rFonts w:asciiTheme="majorHAnsi" w:hAnsiTheme="majorHAnsi"/>
                <w:b/>
                <w:i/>
                <w:sz w:val="20"/>
                <w:szCs w:val="20"/>
                <w:u w:val="single"/>
              </w:rPr>
              <w:t>.</w:t>
            </w:r>
          </w:p>
          <w:p w:rsidR="006A735E" w:rsidRPr="005D5F2E" w:rsidRDefault="007C2744" w:rsidP="00A32888">
            <w:pPr>
              <w:autoSpaceDE w:val="0"/>
              <w:autoSpaceDN w:val="0"/>
              <w:adjustRightInd w:val="0"/>
              <w:jc w:val="both"/>
              <w:rPr>
                <w:rFonts w:asciiTheme="majorHAnsi" w:hAnsiTheme="majorHAnsi"/>
                <w:sz w:val="20"/>
                <w:szCs w:val="20"/>
              </w:rPr>
            </w:pPr>
            <w:r>
              <w:rPr>
                <w:rFonts w:asciiTheme="majorHAnsi" w:hAnsiTheme="majorHAnsi"/>
                <w:sz w:val="20"/>
                <w:szCs w:val="20"/>
              </w:rPr>
              <w:t xml:space="preserve">Actualmente </w:t>
            </w:r>
            <w:r w:rsidR="00A32888">
              <w:rPr>
                <w:rFonts w:asciiTheme="majorHAnsi" w:hAnsiTheme="majorHAnsi"/>
                <w:sz w:val="20"/>
                <w:szCs w:val="20"/>
              </w:rPr>
              <w:t xml:space="preserve">no </w:t>
            </w:r>
            <w:r>
              <w:rPr>
                <w:rFonts w:asciiTheme="majorHAnsi" w:hAnsiTheme="majorHAnsi"/>
                <w:sz w:val="20"/>
                <w:szCs w:val="20"/>
              </w:rPr>
              <w:t xml:space="preserve">se cuenta con un </w:t>
            </w:r>
            <w:r w:rsidRPr="005D5F2E">
              <w:rPr>
                <w:rFonts w:asciiTheme="majorHAnsi" w:hAnsiTheme="majorHAnsi"/>
                <w:sz w:val="20"/>
                <w:szCs w:val="20"/>
              </w:rPr>
              <w:t xml:space="preserve">instrumento </w:t>
            </w:r>
            <w:r>
              <w:rPr>
                <w:rFonts w:asciiTheme="majorHAnsi" w:hAnsiTheme="majorHAnsi"/>
                <w:sz w:val="20"/>
                <w:szCs w:val="20"/>
              </w:rPr>
              <w:t xml:space="preserve">normativo </w:t>
            </w:r>
            <w:r w:rsidR="00A32888">
              <w:rPr>
                <w:rFonts w:asciiTheme="majorHAnsi" w:hAnsiTheme="majorHAnsi"/>
                <w:sz w:val="20"/>
                <w:szCs w:val="20"/>
              </w:rPr>
              <w:t xml:space="preserve">que considere </w:t>
            </w:r>
            <w:r w:rsidR="00A32888" w:rsidRPr="001C7ED9">
              <w:rPr>
                <w:rFonts w:asciiTheme="majorHAnsi" w:hAnsiTheme="majorHAnsi"/>
                <w:sz w:val="20"/>
                <w:szCs w:val="20"/>
              </w:rPr>
              <w:t xml:space="preserve">las especificaciones técnicas </w:t>
            </w:r>
            <w:r w:rsidR="00A32888" w:rsidRPr="00556431">
              <w:rPr>
                <w:rFonts w:asciiTheme="majorHAnsi" w:hAnsiTheme="majorHAnsi"/>
                <w:sz w:val="20"/>
                <w:szCs w:val="20"/>
              </w:rPr>
              <w:t xml:space="preserve">de los Equipos Terminales Móviles que puedan hacer uso del espectro radioeléctrico </w:t>
            </w:r>
            <w:r w:rsidR="00A32888">
              <w:rPr>
                <w:rFonts w:asciiTheme="majorHAnsi" w:hAnsiTheme="majorHAnsi"/>
                <w:sz w:val="20"/>
                <w:szCs w:val="20"/>
              </w:rPr>
              <w:t xml:space="preserve">en las </w:t>
            </w:r>
            <w:r w:rsidR="00A32888" w:rsidRPr="001C7ED9">
              <w:rPr>
                <w:rFonts w:asciiTheme="majorHAnsi" w:hAnsiTheme="majorHAnsi"/>
                <w:sz w:val="20"/>
                <w:szCs w:val="20"/>
              </w:rPr>
              <w:t xml:space="preserve">bandas de </w:t>
            </w:r>
            <w:r w:rsidR="00A32888">
              <w:rPr>
                <w:rFonts w:asciiTheme="majorHAnsi" w:hAnsiTheme="majorHAnsi"/>
                <w:sz w:val="20"/>
                <w:szCs w:val="20"/>
              </w:rPr>
              <w:t xml:space="preserve">frecuencia de </w:t>
            </w:r>
            <w:r w:rsidR="00A32888" w:rsidRPr="001C7ED9">
              <w:rPr>
                <w:rFonts w:asciiTheme="majorHAnsi" w:hAnsiTheme="majorHAnsi"/>
                <w:sz w:val="20"/>
                <w:szCs w:val="20"/>
              </w:rPr>
              <w:t xml:space="preserve">700 MHz, </w:t>
            </w:r>
            <w:r w:rsidR="00A32888">
              <w:rPr>
                <w:rFonts w:asciiTheme="majorHAnsi" w:hAnsiTheme="majorHAnsi"/>
                <w:sz w:val="20"/>
                <w:szCs w:val="20"/>
              </w:rPr>
              <w:t xml:space="preserve">800 MHz, 850 MHz, </w:t>
            </w:r>
            <w:r w:rsidR="00A32888" w:rsidRPr="001C7ED9">
              <w:rPr>
                <w:rFonts w:asciiTheme="majorHAnsi" w:hAnsiTheme="majorHAnsi"/>
                <w:sz w:val="20"/>
                <w:szCs w:val="20"/>
              </w:rPr>
              <w:t xml:space="preserve">1900 MHz, </w:t>
            </w:r>
            <w:r w:rsidR="00A32888">
              <w:rPr>
                <w:rFonts w:asciiTheme="majorHAnsi" w:hAnsiTheme="majorHAnsi"/>
                <w:sz w:val="20"/>
                <w:szCs w:val="20"/>
              </w:rPr>
              <w:t>1700 MHz/</w:t>
            </w:r>
            <w:r w:rsidR="00A32888" w:rsidRPr="001C7ED9">
              <w:rPr>
                <w:rFonts w:asciiTheme="majorHAnsi" w:hAnsiTheme="majorHAnsi"/>
                <w:sz w:val="20"/>
                <w:szCs w:val="20"/>
              </w:rPr>
              <w:t>2100 MHz</w:t>
            </w:r>
            <w:r w:rsidR="00A32888">
              <w:rPr>
                <w:rFonts w:asciiTheme="majorHAnsi" w:hAnsiTheme="majorHAnsi"/>
                <w:sz w:val="20"/>
                <w:szCs w:val="20"/>
              </w:rPr>
              <w:t xml:space="preserve"> y/o</w:t>
            </w:r>
            <w:r w:rsidR="00A32888" w:rsidRPr="001C7ED9">
              <w:rPr>
                <w:rFonts w:asciiTheme="majorHAnsi" w:hAnsiTheme="majorHAnsi"/>
                <w:sz w:val="20"/>
                <w:szCs w:val="20"/>
              </w:rPr>
              <w:t xml:space="preserve"> 2500 MHz., asignadas para la provisión del servicio móvil</w:t>
            </w:r>
            <w:r w:rsidR="00A32888">
              <w:rPr>
                <w:rFonts w:asciiTheme="majorHAnsi" w:hAnsiTheme="majorHAnsi"/>
                <w:sz w:val="20"/>
                <w:szCs w:val="20"/>
              </w:rPr>
              <w:t xml:space="preserve"> en México, o ser </w:t>
            </w:r>
            <w:r w:rsidR="00A32888" w:rsidRPr="00556431">
              <w:rPr>
                <w:rFonts w:asciiTheme="majorHAnsi" w:hAnsiTheme="majorHAnsi"/>
                <w:sz w:val="20"/>
                <w:szCs w:val="20"/>
              </w:rPr>
              <w:t>conectados a redes de telecomunicaciones; así como los métodos de prueba para comprobar el cumplimiento de dichas especificaciones</w:t>
            </w:r>
            <w:r w:rsidR="00A32888">
              <w:rPr>
                <w:rFonts w:asciiTheme="majorHAnsi" w:hAnsiTheme="majorHAnsi"/>
                <w:sz w:val="20"/>
                <w:szCs w:val="20"/>
              </w:rPr>
              <w:t xml:space="preserve">. </w:t>
            </w:r>
            <w:r>
              <w:rPr>
                <w:rFonts w:asciiTheme="majorHAnsi" w:hAnsiTheme="majorHAnsi"/>
                <w:sz w:val="20"/>
                <w:szCs w:val="20"/>
              </w:rPr>
              <w:t xml:space="preserve">Por lo tanto, considerar </w:t>
            </w:r>
            <w:r w:rsidR="0092460E" w:rsidRPr="005D5F2E">
              <w:rPr>
                <w:rFonts w:asciiTheme="majorHAnsi" w:hAnsiTheme="majorHAnsi"/>
                <w:sz w:val="20"/>
                <w:szCs w:val="20"/>
              </w:rPr>
              <w:t xml:space="preserve">un programa para mejorar el cumplimiento de las regulaciones existentes resulta insuficiente en virtud de que </w:t>
            </w:r>
            <w:r w:rsidR="00B40191" w:rsidRPr="005D5F2E">
              <w:rPr>
                <w:rFonts w:asciiTheme="majorHAnsi" w:hAnsiTheme="majorHAnsi"/>
                <w:sz w:val="20"/>
                <w:szCs w:val="20"/>
              </w:rPr>
              <w:t xml:space="preserve">como se ha mencionado </w:t>
            </w:r>
            <w:r>
              <w:rPr>
                <w:rFonts w:asciiTheme="majorHAnsi" w:hAnsiTheme="majorHAnsi"/>
                <w:sz w:val="20"/>
                <w:szCs w:val="20"/>
              </w:rPr>
              <w:t xml:space="preserve">la NOM en comento </w:t>
            </w:r>
            <w:r w:rsidR="00A32888">
              <w:rPr>
                <w:rFonts w:asciiTheme="majorHAnsi" w:hAnsiTheme="majorHAnsi"/>
                <w:sz w:val="20"/>
                <w:szCs w:val="20"/>
              </w:rPr>
              <w:t xml:space="preserve">perdió su vigencia además de que </w:t>
            </w:r>
            <w:r>
              <w:rPr>
                <w:rFonts w:asciiTheme="majorHAnsi" w:hAnsiTheme="majorHAnsi"/>
                <w:sz w:val="20"/>
                <w:szCs w:val="20"/>
              </w:rPr>
              <w:t>no considera</w:t>
            </w:r>
            <w:r w:rsidR="00A32888">
              <w:rPr>
                <w:rFonts w:asciiTheme="majorHAnsi" w:hAnsiTheme="majorHAnsi"/>
                <w:sz w:val="20"/>
                <w:szCs w:val="20"/>
              </w:rPr>
              <w:t>ba</w:t>
            </w:r>
            <w:r>
              <w:rPr>
                <w:rFonts w:asciiTheme="majorHAnsi" w:hAnsiTheme="majorHAnsi"/>
                <w:sz w:val="20"/>
                <w:szCs w:val="20"/>
              </w:rPr>
              <w:t xml:space="preserve"> </w:t>
            </w:r>
            <w:r w:rsidR="00524DE0" w:rsidRPr="00456E3A">
              <w:rPr>
                <w:rFonts w:asciiTheme="majorHAnsi" w:hAnsiTheme="majorHAnsi"/>
                <w:sz w:val="20"/>
                <w:szCs w:val="20"/>
              </w:rPr>
              <w:t xml:space="preserve">las especificaciones técnicas de los Equipos Terminales Móviles que puedan hacer uso del espectro radioeléctrico </w:t>
            </w:r>
            <w:r w:rsidR="00524DE0" w:rsidRPr="00110169">
              <w:rPr>
                <w:rFonts w:asciiTheme="majorHAnsi" w:hAnsiTheme="majorHAnsi"/>
                <w:sz w:val="20"/>
                <w:szCs w:val="20"/>
              </w:rPr>
              <w:t>en las bandas de frecuencias de 700 MHz, 800 MHz,  1900 MHz, 1700 Hz/2100 MHz y/o 2500 MHz</w:t>
            </w:r>
            <w:r w:rsidR="00524DE0" w:rsidRPr="00456E3A">
              <w:rPr>
                <w:rFonts w:asciiTheme="majorHAnsi" w:hAnsiTheme="majorHAnsi"/>
                <w:sz w:val="20"/>
                <w:szCs w:val="20"/>
              </w:rPr>
              <w:t xml:space="preserve"> o ser conectados a redes de telecomunicaciones</w:t>
            </w:r>
            <w:r w:rsidR="00783E7D">
              <w:rPr>
                <w:rFonts w:asciiTheme="majorHAnsi" w:hAnsiTheme="majorHAnsi"/>
                <w:sz w:val="20"/>
                <w:szCs w:val="20"/>
              </w:rPr>
              <w:t xml:space="preserve">, </w:t>
            </w:r>
            <w:r w:rsidR="00524DE0">
              <w:rPr>
                <w:rFonts w:asciiTheme="majorHAnsi" w:hAnsiTheme="majorHAnsi"/>
                <w:sz w:val="20"/>
                <w:szCs w:val="20"/>
              </w:rPr>
              <w:t xml:space="preserve">previendo que </w:t>
            </w:r>
            <w:r w:rsidR="00524DE0" w:rsidRPr="00110169">
              <w:rPr>
                <w:rFonts w:asciiTheme="majorHAnsi" w:hAnsiTheme="majorHAnsi"/>
                <w:sz w:val="20"/>
                <w:szCs w:val="20"/>
              </w:rPr>
              <w:t>cuando operen no causen interferencias perjudiciales a otros equipos de operación autorizada, ni a las redes y servicios de telecomunicaciones autorizados por el Instituto Federal de Telecomunicaciones.</w:t>
            </w:r>
          </w:p>
        </w:tc>
      </w:tr>
    </w:tbl>
    <w:p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801FED" w:rsidRPr="005D5F2E" w:rsidTr="00801FED">
        <w:tc>
          <w:tcPr>
            <w:tcW w:w="8828" w:type="dxa"/>
          </w:tcPr>
          <w:p w:rsidR="00801FED" w:rsidRPr="005D5F2E" w:rsidRDefault="00801FED" w:rsidP="001932FC">
            <w:pPr>
              <w:jc w:val="both"/>
              <w:rPr>
                <w:b/>
                <w:sz w:val="20"/>
              </w:rPr>
            </w:pPr>
            <w:r w:rsidRPr="00B053E2">
              <w:rPr>
                <w:b/>
                <w:sz w:val="20"/>
              </w:rPr>
              <w:t xml:space="preserve">5.- Justifique las razones por las que </w:t>
            </w:r>
            <w:r w:rsidR="005A40FB" w:rsidRPr="00B053E2">
              <w:rPr>
                <w:b/>
                <w:sz w:val="20"/>
              </w:rPr>
              <w:t>el anteproyecto de regulación propuesto es considerado</w:t>
            </w:r>
            <w:r w:rsidRPr="00B053E2">
              <w:rPr>
                <w:b/>
                <w:sz w:val="20"/>
              </w:rPr>
              <w:t xml:space="preserve"> la mejor opción para atender la problemática detectada:</w:t>
            </w:r>
          </w:p>
          <w:p w:rsidR="008648A3" w:rsidRPr="005D5F2E" w:rsidRDefault="008648A3" w:rsidP="001932FC">
            <w:pPr>
              <w:jc w:val="both"/>
              <w:rPr>
                <w:b/>
                <w:sz w:val="20"/>
              </w:rPr>
            </w:pPr>
          </w:p>
          <w:p w:rsidR="00342DF4" w:rsidRPr="005D5F2E" w:rsidRDefault="004301F7" w:rsidP="00342DF4">
            <w:pPr>
              <w:pStyle w:val="Texto"/>
              <w:tabs>
                <w:tab w:val="left" w:pos="0"/>
              </w:tabs>
              <w:spacing w:after="160" w:line="240" w:lineRule="auto"/>
              <w:ind w:firstLine="0"/>
              <w:rPr>
                <w:rFonts w:asciiTheme="majorHAnsi" w:eastAsiaTheme="minorHAnsi" w:hAnsiTheme="majorHAnsi" w:cstheme="minorBidi"/>
                <w:sz w:val="20"/>
                <w:lang w:eastAsia="en-US"/>
              </w:rPr>
            </w:pPr>
            <w:r w:rsidRPr="005D5F2E">
              <w:rPr>
                <w:rFonts w:asciiTheme="majorHAnsi" w:eastAsiaTheme="minorHAnsi" w:hAnsiTheme="majorHAnsi" w:cstheme="minorBidi"/>
                <w:sz w:val="20"/>
                <w:lang w:eastAsia="en-US"/>
              </w:rPr>
              <w:t>Se considera que el presente Anteproyecto es la mejor opción regulatoria para atender la problemática planteada en el numeral 2, ya que</w:t>
            </w:r>
            <w:r w:rsidR="00342DF4" w:rsidRPr="005D5F2E">
              <w:rPr>
                <w:rFonts w:asciiTheme="majorHAnsi" w:eastAsiaTheme="minorHAnsi" w:hAnsiTheme="majorHAnsi" w:cstheme="minorBidi"/>
                <w:sz w:val="20"/>
                <w:lang w:eastAsia="en-US"/>
              </w:rPr>
              <w:t>:</w:t>
            </w:r>
          </w:p>
          <w:p w:rsidR="00482364" w:rsidRDefault="008A7937" w:rsidP="00482364">
            <w:pPr>
              <w:pStyle w:val="Texto"/>
              <w:numPr>
                <w:ilvl w:val="0"/>
                <w:numId w:val="1"/>
              </w:numPr>
              <w:tabs>
                <w:tab w:val="left" w:pos="0"/>
              </w:tabs>
              <w:spacing w:after="160" w:line="240" w:lineRule="auto"/>
              <w:rPr>
                <w:rFonts w:asciiTheme="majorHAnsi" w:hAnsiTheme="majorHAnsi"/>
                <w:sz w:val="20"/>
              </w:rPr>
            </w:pPr>
            <w:r>
              <w:rPr>
                <w:rFonts w:asciiTheme="majorHAnsi" w:hAnsiTheme="majorHAnsi"/>
                <w:sz w:val="20"/>
              </w:rPr>
              <w:t>Con l</w:t>
            </w:r>
            <w:r w:rsidR="00342DF4" w:rsidRPr="005D5F2E">
              <w:rPr>
                <w:rFonts w:asciiTheme="majorHAnsi" w:hAnsiTheme="majorHAnsi"/>
                <w:sz w:val="20"/>
              </w:rPr>
              <w:t xml:space="preserve">a emisión de </w:t>
            </w:r>
            <w:r w:rsidR="00B40191" w:rsidRPr="005D5F2E">
              <w:rPr>
                <w:rFonts w:asciiTheme="majorHAnsi" w:hAnsiTheme="majorHAnsi"/>
                <w:sz w:val="20"/>
              </w:rPr>
              <w:t xml:space="preserve">la </w:t>
            </w:r>
            <w:r w:rsidR="00342DF4" w:rsidRPr="005D5F2E">
              <w:rPr>
                <w:rFonts w:asciiTheme="majorHAnsi" w:hAnsiTheme="majorHAnsi"/>
                <w:sz w:val="20"/>
              </w:rPr>
              <w:t>disposición administrativa de carácter general</w:t>
            </w:r>
            <w:r>
              <w:rPr>
                <w:rFonts w:asciiTheme="majorHAnsi" w:hAnsiTheme="majorHAnsi"/>
                <w:sz w:val="20"/>
              </w:rPr>
              <w:t xml:space="preserve"> se </w:t>
            </w:r>
            <w:r w:rsidR="003B7B38" w:rsidRPr="005D5F2E">
              <w:rPr>
                <w:rFonts w:asciiTheme="majorHAnsi" w:hAnsiTheme="majorHAnsi"/>
                <w:sz w:val="20"/>
              </w:rPr>
              <w:t>dará certidumbre jurídica</w:t>
            </w:r>
            <w:r>
              <w:rPr>
                <w:rFonts w:asciiTheme="majorHAnsi" w:hAnsiTheme="majorHAnsi"/>
                <w:sz w:val="20"/>
              </w:rPr>
              <w:t xml:space="preserve">, al reemplazar </w:t>
            </w:r>
            <w:r w:rsidR="00E55431">
              <w:rPr>
                <w:rFonts w:asciiTheme="majorHAnsi" w:hAnsiTheme="majorHAnsi"/>
                <w:sz w:val="20"/>
              </w:rPr>
              <w:t xml:space="preserve">y complementar </w:t>
            </w:r>
            <w:r>
              <w:rPr>
                <w:rFonts w:asciiTheme="majorHAnsi" w:hAnsiTheme="majorHAnsi"/>
                <w:sz w:val="20"/>
              </w:rPr>
              <w:t>a l</w:t>
            </w:r>
            <w:r w:rsidRPr="00E023F5">
              <w:rPr>
                <w:rFonts w:asciiTheme="majorHAnsi" w:hAnsiTheme="majorHAnsi"/>
                <w:sz w:val="20"/>
              </w:rPr>
              <w:t xml:space="preserve">a Norma Oficial Mexicana NOM-081-SCT1-1993, “Sistemas de radiotelefonía con tecnología celular que operan en la banda de 800 MHz”, </w:t>
            </w:r>
            <w:r>
              <w:rPr>
                <w:rFonts w:asciiTheme="majorHAnsi" w:hAnsiTheme="majorHAnsi"/>
                <w:sz w:val="20"/>
              </w:rPr>
              <w:t xml:space="preserve">la cual </w:t>
            </w:r>
            <w:r w:rsidR="00A32888" w:rsidRPr="00E023F5">
              <w:rPr>
                <w:rFonts w:asciiTheme="majorHAnsi" w:hAnsiTheme="majorHAnsi"/>
                <w:sz w:val="20"/>
              </w:rPr>
              <w:t>perd</w:t>
            </w:r>
            <w:r w:rsidR="00A32888">
              <w:rPr>
                <w:rFonts w:asciiTheme="majorHAnsi" w:hAnsiTheme="majorHAnsi"/>
                <w:sz w:val="20"/>
              </w:rPr>
              <w:t>ió</w:t>
            </w:r>
            <w:r w:rsidR="00A32888" w:rsidRPr="00E023F5">
              <w:rPr>
                <w:rFonts w:asciiTheme="majorHAnsi" w:hAnsiTheme="majorHAnsi"/>
                <w:sz w:val="20"/>
              </w:rPr>
              <w:t xml:space="preserve"> </w:t>
            </w:r>
            <w:r w:rsidRPr="00E023F5">
              <w:rPr>
                <w:rFonts w:asciiTheme="majorHAnsi" w:hAnsiTheme="majorHAnsi"/>
                <w:sz w:val="20"/>
              </w:rPr>
              <w:t>su vigencia el  29 de septiembre de 2017;</w:t>
            </w:r>
            <w:r>
              <w:rPr>
                <w:rFonts w:asciiTheme="majorHAnsi" w:hAnsiTheme="majorHAnsi"/>
                <w:sz w:val="20"/>
              </w:rPr>
              <w:t xml:space="preserve"> </w:t>
            </w:r>
            <w:r w:rsidR="00E55431">
              <w:rPr>
                <w:rFonts w:asciiTheme="majorHAnsi" w:hAnsiTheme="majorHAnsi"/>
                <w:sz w:val="20"/>
              </w:rPr>
              <w:t xml:space="preserve">es decir, </w:t>
            </w:r>
            <w:r>
              <w:rPr>
                <w:rFonts w:asciiTheme="majorHAnsi" w:hAnsiTheme="majorHAnsi"/>
                <w:sz w:val="20"/>
              </w:rPr>
              <w:t>se i</w:t>
            </w:r>
            <w:r w:rsidRPr="00E023F5">
              <w:rPr>
                <w:rFonts w:asciiTheme="majorHAnsi" w:hAnsiTheme="majorHAnsi"/>
                <w:sz w:val="20"/>
              </w:rPr>
              <w:t>ncorpora</w:t>
            </w:r>
            <w:r>
              <w:rPr>
                <w:rFonts w:asciiTheme="majorHAnsi" w:hAnsiTheme="majorHAnsi"/>
                <w:sz w:val="20"/>
              </w:rPr>
              <w:t>n</w:t>
            </w:r>
            <w:r w:rsidRPr="00E023F5">
              <w:rPr>
                <w:rFonts w:asciiTheme="majorHAnsi" w:hAnsiTheme="majorHAnsi"/>
                <w:sz w:val="20"/>
              </w:rPr>
              <w:t xml:space="preserve"> especificaciones técnicas</w:t>
            </w:r>
            <w:r w:rsidR="003B7B38" w:rsidRPr="005D5F2E">
              <w:rPr>
                <w:rFonts w:asciiTheme="majorHAnsi" w:hAnsiTheme="majorHAnsi"/>
                <w:sz w:val="20"/>
              </w:rPr>
              <w:t xml:space="preserve"> </w:t>
            </w:r>
            <w:r w:rsidR="00482364" w:rsidRPr="005D5F2E">
              <w:rPr>
                <w:rFonts w:asciiTheme="majorHAnsi" w:hAnsiTheme="majorHAnsi"/>
                <w:sz w:val="20"/>
              </w:rPr>
              <w:t xml:space="preserve">relativas </w:t>
            </w:r>
            <w:r w:rsidR="002C4669">
              <w:rPr>
                <w:rFonts w:asciiTheme="majorHAnsi" w:hAnsiTheme="majorHAnsi"/>
                <w:sz w:val="20"/>
              </w:rPr>
              <w:t xml:space="preserve">a </w:t>
            </w:r>
            <w:r w:rsidR="00482364" w:rsidRPr="00456E3A">
              <w:rPr>
                <w:rFonts w:asciiTheme="majorHAnsi" w:hAnsiTheme="majorHAnsi"/>
                <w:sz w:val="20"/>
              </w:rPr>
              <w:t xml:space="preserve">los Equipos Terminales Móviles que puedan hacer uso del espectro radioeléctrico </w:t>
            </w:r>
            <w:r w:rsidR="00482364">
              <w:rPr>
                <w:rFonts w:asciiTheme="majorHAnsi" w:hAnsiTheme="majorHAnsi"/>
                <w:sz w:val="20"/>
              </w:rPr>
              <w:t>(</w:t>
            </w:r>
            <w:r w:rsidR="00482364" w:rsidRPr="00110169">
              <w:rPr>
                <w:rFonts w:asciiTheme="majorHAnsi" w:hAnsiTheme="majorHAnsi"/>
                <w:sz w:val="20"/>
              </w:rPr>
              <w:t>en las bandas de frecuencias de 700 MHz, 800 MHz, 850 MHz, 1900 MHz, 1700 MHz/2100 MHz y/o 2500 MHz</w:t>
            </w:r>
            <w:r w:rsidR="00482364">
              <w:rPr>
                <w:rFonts w:asciiTheme="majorHAnsi" w:hAnsiTheme="majorHAnsi"/>
                <w:sz w:val="20"/>
              </w:rPr>
              <w:t>)</w:t>
            </w:r>
            <w:r w:rsidR="00482364" w:rsidRPr="00456E3A">
              <w:rPr>
                <w:rFonts w:asciiTheme="majorHAnsi" w:hAnsiTheme="majorHAnsi"/>
                <w:sz w:val="20"/>
              </w:rPr>
              <w:t xml:space="preserve"> o ser conectados a redes de telecomunicaciones</w:t>
            </w:r>
            <w:r w:rsidR="00482364">
              <w:rPr>
                <w:rFonts w:asciiTheme="majorHAnsi" w:hAnsiTheme="majorHAnsi"/>
                <w:sz w:val="20"/>
              </w:rPr>
              <w:t xml:space="preserve"> previendo que </w:t>
            </w:r>
            <w:r w:rsidR="00482364" w:rsidRPr="00110169">
              <w:rPr>
                <w:rFonts w:asciiTheme="majorHAnsi" w:hAnsiTheme="majorHAnsi"/>
                <w:sz w:val="20"/>
              </w:rPr>
              <w:t>cuando operen no causen interferencias perjudiciales a otros equipos de operación autorizada, ni a las redes y servicios de telecomunicaciones autorizados por el Instituto Federal de Telecomunicaciones.</w:t>
            </w:r>
            <w:r w:rsidR="00482364">
              <w:rPr>
                <w:rFonts w:asciiTheme="majorHAnsi" w:hAnsiTheme="majorHAnsi"/>
                <w:sz w:val="20"/>
              </w:rPr>
              <w:t xml:space="preserve"> </w:t>
            </w:r>
            <w:r w:rsidR="001872D9">
              <w:rPr>
                <w:rFonts w:asciiTheme="majorHAnsi" w:hAnsiTheme="majorHAnsi"/>
                <w:sz w:val="20"/>
              </w:rPr>
              <w:t>As</w:t>
            </w:r>
            <w:r w:rsidR="00E55431">
              <w:rPr>
                <w:rFonts w:asciiTheme="majorHAnsi" w:hAnsiTheme="majorHAnsi"/>
                <w:sz w:val="20"/>
              </w:rPr>
              <w:t>imismo</w:t>
            </w:r>
            <w:r w:rsidR="001872D9">
              <w:rPr>
                <w:rFonts w:asciiTheme="majorHAnsi" w:hAnsiTheme="majorHAnsi"/>
                <w:sz w:val="20"/>
              </w:rPr>
              <w:t xml:space="preserve">, </w:t>
            </w:r>
            <w:r w:rsidR="00E55431">
              <w:rPr>
                <w:rFonts w:asciiTheme="majorHAnsi" w:hAnsiTheme="majorHAnsi"/>
                <w:sz w:val="20"/>
              </w:rPr>
              <w:t xml:space="preserve">se establecen </w:t>
            </w:r>
            <w:r w:rsidR="001872D9">
              <w:rPr>
                <w:rFonts w:asciiTheme="majorHAnsi" w:hAnsiTheme="majorHAnsi"/>
                <w:sz w:val="20"/>
              </w:rPr>
              <w:t>los métodos de prueba para la comprobación de dichas especificaciones técnicas.</w:t>
            </w:r>
          </w:p>
          <w:p w:rsidR="00E023F5" w:rsidRDefault="002C4669" w:rsidP="00B053E2">
            <w:pPr>
              <w:pStyle w:val="Texto"/>
              <w:numPr>
                <w:ilvl w:val="0"/>
                <w:numId w:val="1"/>
              </w:numPr>
              <w:tabs>
                <w:tab w:val="left" w:pos="0"/>
              </w:tabs>
              <w:spacing w:after="160" w:line="240" w:lineRule="auto"/>
              <w:rPr>
                <w:rFonts w:asciiTheme="majorHAnsi" w:hAnsiTheme="majorHAnsi"/>
                <w:sz w:val="20"/>
              </w:rPr>
            </w:pPr>
            <w:r w:rsidRPr="00E023F5">
              <w:rPr>
                <w:rFonts w:asciiTheme="majorHAnsi" w:hAnsiTheme="majorHAnsi"/>
                <w:sz w:val="20"/>
              </w:rPr>
              <w:t xml:space="preserve">Los usuarios </w:t>
            </w:r>
            <w:r w:rsidR="00B053E2">
              <w:rPr>
                <w:rFonts w:asciiTheme="majorHAnsi" w:hAnsiTheme="majorHAnsi"/>
                <w:sz w:val="20"/>
              </w:rPr>
              <w:t xml:space="preserve">contarán con un instrumento normativo </w:t>
            </w:r>
            <w:r w:rsidR="00A11703">
              <w:rPr>
                <w:rFonts w:asciiTheme="majorHAnsi" w:hAnsiTheme="majorHAnsi"/>
                <w:sz w:val="20"/>
              </w:rPr>
              <w:t>que fomenta</w:t>
            </w:r>
            <w:r w:rsidR="00B053E2">
              <w:rPr>
                <w:rFonts w:asciiTheme="majorHAnsi" w:hAnsiTheme="majorHAnsi"/>
                <w:sz w:val="20"/>
              </w:rPr>
              <w:t xml:space="preserve"> </w:t>
            </w:r>
            <w:r w:rsidR="00B053E2" w:rsidRPr="00B053E2">
              <w:rPr>
                <w:rFonts w:asciiTheme="majorHAnsi" w:hAnsiTheme="majorHAnsi"/>
                <w:sz w:val="20"/>
              </w:rPr>
              <w:t>su derecho a la portabilidad</w:t>
            </w:r>
            <w:r w:rsidR="00A11703">
              <w:rPr>
                <w:rFonts w:asciiTheme="majorHAnsi" w:hAnsiTheme="majorHAnsi"/>
                <w:sz w:val="20"/>
              </w:rPr>
              <w:t xml:space="preserve">, al estar en posibilidades </w:t>
            </w:r>
            <w:r w:rsidR="00B053E2" w:rsidRPr="00B053E2">
              <w:rPr>
                <w:rFonts w:asciiTheme="majorHAnsi" w:hAnsiTheme="majorHAnsi"/>
                <w:sz w:val="20"/>
              </w:rPr>
              <w:t xml:space="preserve">de elegir sin ninguna barrera adicional al concesionario de servicios </w:t>
            </w:r>
            <w:r w:rsidR="004A77EE">
              <w:rPr>
                <w:rFonts w:asciiTheme="majorHAnsi" w:hAnsiTheme="majorHAnsi"/>
                <w:sz w:val="20"/>
              </w:rPr>
              <w:t xml:space="preserve">LTE </w:t>
            </w:r>
            <w:r w:rsidR="00B053E2" w:rsidRPr="00B053E2">
              <w:rPr>
                <w:rFonts w:asciiTheme="majorHAnsi" w:hAnsiTheme="majorHAnsi"/>
                <w:sz w:val="20"/>
              </w:rPr>
              <w:t xml:space="preserve">sin </w:t>
            </w:r>
            <w:r w:rsidR="00A11703">
              <w:rPr>
                <w:rFonts w:asciiTheme="majorHAnsi" w:hAnsiTheme="majorHAnsi"/>
                <w:sz w:val="20"/>
              </w:rPr>
              <w:t xml:space="preserve">la necesidad de </w:t>
            </w:r>
            <w:r w:rsidR="00B053E2">
              <w:rPr>
                <w:rFonts w:asciiTheme="majorHAnsi" w:hAnsiTheme="majorHAnsi"/>
                <w:sz w:val="20"/>
              </w:rPr>
              <w:t xml:space="preserve">adquirir </w:t>
            </w:r>
            <w:r w:rsidR="00B053E2" w:rsidRPr="00B053E2">
              <w:rPr>
                <w:rFonts w:asciiTheme="majorHAnsi" w:hAnsiTheme="majorHAnsi"/>
                <w:sz w:val="20"/>
              </w:rPr>
              <w:t>un nuevo ETM</w:t>
            </w:r>
            <w:r w:rsidR="00A11703">
              <w:rPr>
                <w:rFonts w:asciiTheme="majorHAnsi" w:hAnsiTheme="majorHAnsi"/>
                <w:sz w:val="20"/>
              </w:rPr>
              <w:t>;</w:t>
            </w:r>
            <w:r w:rsidR="00B053E2">
              <w:rPr>
                <w:rFonts w:asciiTheme="majorHAnsi" w:hAnsiTheme="majorHAnsi"/>
                <w:sz w:val="20"/>
              </w:rPr>
              <w:t xml:space="preserve"> </w:t>
            </w:r>
            <w:r w:rsidR="00A11703">
              <w:rPr>
                <w:rFonts w:asciiTheme="majorHAnsi" w:hAnsiTheme="majorHAnsi"/>
                <w:sz w:val="20"/>
              </w:rPr>
              <w:t>g</w:t>
            </w:r>
            <w:r w:rsidRPr="00B053E2">
              <w:rPr>
                <w:rFonts w:asciiTheme="majorHAnsi" w:hAnsiTheme="majorHAnsi"/>
                <w:sz w:val="20"/>
              </w:rPr>
              <w:t xml:space="preserve">enerando un acceso efectivo de la población a la comunicación de banda ancha y a los servicios de </w:t>
            </w:r>
            <w:r w:rsidR="00E023F5" w:rsidRPr="00B053E2">
              <w:rPr>
                <w:rFonts w:asciiTheme="majorHAnsi" w:hAnsiTheme="majorHAnsi"/>
                <w:sz w:val="20"/>
              </w:rPr>
              <w:t>telecomunicaciones.</w:t>
            </w:r>
          </w:p>
          <w:p w:rsidR="00B10B50" w:rsidRPr="00B053E2" w:rsidRDefault="00B10B50" w:rsidP="00B10B50">
            <w:pPr>
              <w:pStyle w:val="Texto"/>
              <w:numPr>
                <w:ilvl w:val="0"/>
                <w:numId w:val="1"/>
              </w:numPr>
              <w:tabs>
                <w:tab w:val="left" w:pos="0"/>
              </w:tabs>
              <w:spacing w:after="160" w:line="240" w:lineRule="auto"/>
              <w:rPr>
                <w:rFonts w:asciiTheme="majorHAnsi" w:hAnsiTheme="majorHAnsi"/>
                <w:sz w:val="20"/>
              </w:rPr>
            </w:pPr>
            <w:r>
              <w:rPr>
                <w:rFonts w:asciiTheme="majorHAnsi" w:hAnsiTheme="majorHAnsi"/>
                <w:sz w:val="20"/>
              </w:rPr>
              <w:t>D</w:t>
            </w:r>
            <w:r w:rsidRPr="00B10B50">
              <w:rPr>
                <w:rFonts w:asciiTheme="majorHAnsi" w:hAnsiTheme="majorHAnsi"/>
                <w:sz w:val="20"/>
              </w:rPr>
              <w:t>esde un punto de vista de utilización del espectro, el gobierno</w:t>
            </w:r>
            <w:r w:rsidR="00A66670">
              <w:rPr>
                <w:rFonts w:asciiTheme="majorHAnsi" w:hAnsiTheme="majorHAnsi"/>
                <w:sz w:val="20"/>
              </w:rPr>
              <w:t xml:space="preserve"> a efectos de coadyuvar la inclusión digital universal</w:t>
            </w:r>
            <w:r w:rsidRPr="00B10B50">
              <w:rPr>
                <w:rFonts w:asciiTheme="majorHAnsi" w:hAnsiTheme="majorHAnsi"/>
                <w:sz w:val="20"/>
              </w:rPr>
              <w:t xml:space="preserve"> ha fija</w:t>
            </w:r>
            <w:r w:rsidR="00A66670">
              <w:rPr>
                <w:rFonts w:asciiTheme="majorHAnsi" w:hAnsiTheme="majorHAnsi"/>
                <w:sz w:val="20"/>
              </w:rPr>
              <w:t>do</w:t>
            </w:r>
            <w:r w:rsidRPr="00B10B50">
              <w:rPr>
                <w:rFonts w:asciiTheme="majorHAnsi" w:hAnsiTheme="majorHAnsi"/>
                <w:sz w:val="20"/>
              </w:rPr>
              <w:t xml:space="preserve"> tasas de utilización del espectro de 700 MHz a un nivel del 10% en términos de costo por MHz</w:t>
            </w:r>
            <w:r w:rsidR="00A538D8">
              <w:rPr>
                <w:rFonts w:asciiTheme="majorHAnsi" w:hAnsiTheme="majorHAnsi"/>
                <w:sz w:val="20"/>
              </w:rPr>
              <w:t>,</w:t>
            </w:r>
            <w:r w:rsidRPr="00B10B50">
              <w:rPr>
                <w:rFonts w:asciiTheme="majorHAnsi" w:hAnsiTheme="majorHAnsi"/>
                <w:sz w:val="20"/>
              </w:rPr>
              <w:t xml:space="preserve"> por habitante respecto a otras bandas como la de 1900 </w:t>
            </w:r>
            <w:r>
              <w:rPr>
                <w:rFonts w:asciiTheme="majorHAnsi" w:hAnsiTheme="majorHAnsi"/>
                <w:sz w:val="20"/>
              </w:rPr>
              <w:t xml:space="preserve">MHz </w:t>
            </w:r>
            <w:r w:rsidRPr="00B10B50">
              <w:rPr>
                <w:rFonts w:asciiTheme="majorHAnsi" w:hAnsiTheme="majorHAnsi"/>
                <w:sz w:val="20"/>
              </w:rPr>
              <w:t xml:space="preserve">o </w:t>
            </w:r>
            <w:r>
              <w:rPr>
                <w:rFonts w:asciiTheme="majorHAnsi" w:hAnsiTheme="majorHAnsi"/>
                <w:sz w:val="20"/>
              </w:rPr>
              <w:t>1700 MHz/2100 MHz (</w:t>
            </w:r>
            <w:r w:rsidRPr="00B10B50">
              <w:rPr>
                <w:rFonts w:asciiTheme="majorHAnsi" w:hAnsiTheme="majorHAnsi"/>
                <w:sz w:val="20"/>
              </w:rPr>
              <w:t>AWS</w:t>
            </w:r>
            <w:r>
              <w:rPr>
                <w:rFonts w:asciiTheme="majorHAnsi" w:hAnsiTheme="majorHAnsi"/>
                <w:sz w:val="20"/>
              </w:rPr>
              <w:t>)</w:t>
            </w:r>
            <w:r w:rsidRPr="00B10B50">
              <w:rPr>
                <w:rFonts w:asciiTheme="majorHAnsi" w:hAnsiTheme="majorHAnsi"/>
                <w:sz w:val="20"/>
              </w:rPr>
              <w:t xml:space="preserve">. Este esfuerzo que supone unos 200 </w:t>
            </w:r>
            <w:r w:rsidR="002446F0">
              <w:rPr>
                <w:rFonts w:asciiTheme="majorHAnsi" w:hAnsiTheme="majorHAnsi"/>
                <w:sz w:val="20"/>
              </w:rPr>
              <w:t>m</w:t>
            </w:r>
            <w:r w:rsidRPr="00B10B50">
              <w:rPr>
                <w:rFonts w:asciiTheme="majorHAnsi" w:hAnsiTheme="majorHAnsi"/>
                <w:sz w:val="20"/>
              </w:rPr>
              <w:t xml:space="preserve">illones USD al año se justifica en la medida que el acceso efectivo de la población a esta banda </w:t>
            </w:r>
            <w:r w:rsidR="00D236DA">
              <w:rPr>
                <w:rFonts w:asciiTheme="majorHAnsi" w:hAnsiTheme="majorHAnsi"/>
                <w:sz w:val="20"/>
              </w:rPr>
              <w:t>no se vea restringido</w:t>
            </w:r>
            <w:r w:rsidRPr="00B10B50">
              <w:rPr>
                <w:rFonts w:asciiTheme="majorHAnsi" w:hAnsiTheme="majorHAnsi"/>
                <w:sz w:val="20"/>
              </w:rPr>
              <w:t xml:space="preserve">.  Si </w:t>
            </w:r>
            <w:r w:rsidR="00D236DA">
              <w:rPr>
                <w:rFonts w:asciiTheme="majorHAnsi" w:hAnsiTheme="majorHAnsi"/>
                <w:sz w:val="20"/>
              </w:rPr>
              <w:t>un</w:t>
            </w:r>
            <w:r w:rsidR="00A538D8">
              <w:rPr>
                <w:rFonts w:asciiTheme="majorHAnsi" w:hAnsiTheme="majorHAnsi"/>
                <w:sz w:val="20"/>
              </w:rPr>
              <w:t xml:space="preserve"> </w:t>
            </w:r>
            <w:r w:rsidR="00D236DA">
              <w:rPr>
                <w:rFonts w:asciiTheme="majorHAnsi" w:hAnsiTheme="majorHAnsi"/>
                <w:sz w:val="20"/>
              </w:rPr>
              <w:t xml:space="preserve">operador o grupo de operadores </w:t>
            </w:r>
            <w:r w:rsidRPr="00B10B50">
              <w:rPr>
                <w:rFonts w:asciiTheme="majorHAnsi" w:hAnsiTheme="majorHAnsi"/>
                <w:sz w:val="20"/>
              </w:rPr>
              <w:t xml:space="preserve"> </w:t>
            </w:r>
            <w:r w:rsidR="00D236DA">
              <w:rPr>
                <w:rFonts w:asciiTheme="majorHAnsi" w:hAnsiTheme="majorHAnsi"/>
                <w:sz w:val="20"/>
              </w:rPr>
              <w:t>realizara acciones para</w:t>
            </w:r>
            <w:r w:rsidRPr="00B10B50">
              <w:rPr>
                <w:rFonts w:asciiTheme="majorHAnsi" w:hAnsiTheme="majorHAnsi"/>
                <w:sz w:val="20"/>
              </w:rPr>
              <w:t xml:space="preserve"> bloquear el acceso de la mayoría de la población a ese espectro, al no incluir en sus especificaciones </w:t>
            </w:r>
            <w:r w:rsidR="00D236DA">
              <w:rPr>
                <w:rFonts w:asciiTheme="majorHAnsi" w:hAnsiTheme="majorHAnsi"/>
                <w:sz w:val="20"/>
              </w:rPr>
              <w:t>de ETM</w:t>
            </w:r>
            <w:r w:rsidR="00F516FE">
              <w:rPr>
                <w:rFonts w:asciiTheme="majorHAnsi" w:hAnsiTheme="majorHAnsi"/>
                <w:sz w:val="20"/>
              </w:rPr>
              <w:t>,</w:t>
            </w:r>
            <w:r w:rsidR="00D236DA">
              <w:rPr>
                <w:rFonts w:asciiTheme="majorHAnsi" w:hAnsiTheme="majorHAnsi"/>
                <w:sz w:val="20"/>
              </w:rPr>
              <w:t xml:space="preserve"> </w:t>
            </w:r>
            <w:r w:rsidR="00F516FE">
              <w:rPr>
                <w:rFonts w:asciiTheme="majorHAnsi" w:hAnsiTheme="majorHAnsi"/>
                <w:sz w:val="20"/>
              </w:rPr>
              <w:t xml:space="preserve">que se utilicen particularmente cerca del oído, </w:t>
            </w:r>
            <w:r w:rsidR="00D236DA">
              <w:rPr>
                <w:rFonts w:asciiTheme="majorHAnsi" w:hAnsiTheme="majorHAnsi"/>
                <w:sz w:val="20"/>
              </w:rPr>
              <w:t>el soporte de la</w:t>
            </w:r>
            <w:r w:rsidRPr="00B10B50">
              <w:rPr>
                <w:rFonts w:asciiTheme="majorHAnsi" w:hAnsiTheme="majorHAnsi"/>
                <w:sz w:val="20"/>
              </w:rPr>
              <w:t xml:space="preserve"> banda </w:t>
            </w:r>
            <w:r w:rsidR="00D236DA">
              <w:rPr>
                <w:rFonts w:asciiTheme="majorHAnsi" w:hAnsiTheme="majorHAnsi"/>
                <w:sz w:val="20"/>
              </w:rPr>
              <w:t xml:space="preserve">APT </w:t>
            </w:r>
            <w:r w:rsidRPr="00B10B50">
              <w:rPr>
                <w:rFonts w:asciiTheme="majorHAnsi" w:hAnsiTheme="majorHAnsi"/>
                <w:sz w:val="20"/>
              </w:rPr>
              <w:t xml:space="preserve">28, </w:t>
            </w:r>
            <w:r w:rsidR="002446F0">
              <w:rPr>
                <w:rFonts w:asciiTheme="majorHAnsi" w:hAnsiTheme="majorHAnsi"/>
                <w:sz w:val="20"/>
              </w:rPr>
              <w:t xml:space="preserve">se </w:t>
            </w:r>
            <w:r w:rsidRPr="00B10B50">
              <w:rPr>
                <w:rFonts w:asciiTheme="majorHAnsi" w:hAnsiTheme="majorHAnsi"/>
                <w:sz w:val="20"/>
              </w:rPr>
              <w:t xml:space="preserve">crearía una barrera de salida o una barrera de acceso, con lo que </w:t>
            </w:r>
            <w:r w:rsidR="00D236DA">
              <w:rPr>
                <w:rFonts w:asciiTheme="majorHAnsi" w:hAnsiTheme="majorHAnsi"/>
                <w:sz w:val="20"/>
              </w:rPr>
              <w:t>no se estaría aprovechando esta oportunidad.</w:t>
            </w:r>
            <w:r w:rsidRPr="00B10B50">
              <w:rPr>
                <w:rFonts w:asciiTheme="majorHAnsi" w:hAnsiTheme="majorHAnsi"/>
                <w:sz w:val="20"/>
              </w:rPr>
              <w:t xml:space="preserve"> </w:t>
            </w:r>
          </w:p>
          <w:p w:rsidR="00AF79BF" w:rsidRPr="00E56B78" w:rsidRDefault="00AF79BF" w:rsidP="00B10B50">
            <w:pPr>
              <w:pStyle w:val="Texto"/>
              <w:tabs>
                <w:tab w:val="left" w:pos="0"/>
              </w:tabs>
              <w:spacing w:after="160" w:line="240" w:lineRule="auto"/>
              <w:ind w:firstLine="0"/>
              <w:rPr>
                <w:rFonts w:asciiTheme="majorHAnsi" w:hAnsiTheme="majorHAnsi"/>
                <w:sz w:val="20"/>
              </w:rPr>
            </w:pPr>
          </w:p>
        </w:tc>
      </w:tr>
    </w:tbl>
    <w:p w:rsidR="00801FED" w:rsidRPr="005D5F2E" w:rsidRDefault="00801FED" w:rsidP="001932FC">
      <w:pPr>
        <w:jc w:val="both"/>
      </w:pPr>
    </w:p>
    <w:tbl>
      <w:tblPr>
        <w:tblStyle w:val="Tablaconcuadrcula"/>
        <w:tblW w:w="0" w:type="auto"/>
        <w:tblLook w:val="04A0" w:firstRow="1" w:lastRow="0" w:firstColumn="1" w:lastColumn="0" w:noHBand="0" w:noVBand="1"/>
      </w:tblPr>
      <w:tblGrid>
        <w:gridCol w:w="8828"/>
      </w:tblGrid>
      <w:tr w:rsidR="006D7A08" w:rsidRPr="005D5F2E" w:rsidTr="006D7A08">
        <w:tc>
          <w:tcPr>
            <w:tcW w:w="8828" w:type="dxa"/>
          </w:tcPr>
          <w:p w:rsidR="006D7A08" w:rsidRPr="005D5F2E" w:rsidRDefault="006D7A08" w:rsidP="001932FC">
            <w:pPr>
              <w:jc w:val="both"/>
              <w:rPr>
                <w:sz w:val="20"/>
              </w:rPr>
            </w:pPr>
            <w:r w:rsidRPr="005D5F2E">
              <w:rPr>
                <w:b/>
                <w:sz w:val="20"/>
              </w:rPr>
              <w:t>6.- Describa la forma en que la problemática se encuentra regulada en otros países y/o las buenas prácticas internacionales en esa materia</w:t>
            </w:r>
            <w:r w:rsidRPr="005D5F2E">
              <w:rPr>
                <w:sz w:val="20"/>
              </w:rPr>
              <w:t>:</w:t>
            </w:r>
          </w:p>
          <w:p w:rsidR="009B28CA" w:rsidRPr="005D5F2E" w:rsidRDefault="009B28CA" w:rsidP="0007300B">
            <w:pPr>
              <w:jc w:val="both"/>
              <w:rPr>
                <w:rFonts w:asciiTheme="majorHAnsi" w:eastAsia="Times New Roman" w:hAnsiTheme="majorHAnsi" w:cs="Arial"/>
                <w:sz w:val="20"/>
                <w:szCs w:val="20"/>
                <w:lang w:eastAsia="es-ES"/>
              </w:rPr>
            </w:pPr>
          </w:p>
          <w:p w:rsidR="0007300B" w:rsidRPr="005D5F2E" w:rsidRDefault="009B28CA" w:rsidP="0007300B">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A fin de identificar mejores prácticas </w:t>
            </w:r>
            <w:r w:rsidR="00A20DD4" w:rsidRPr="005D5F2E">
              <w:rPr>
                <w:rFonts w:asciiTheme="majorHAnsi" w:eastAsia="Times New Roman" w:hAnsiTheme="majorHAnsi" w:cs="Arial"/>
                <w:sz w:val="20"/>
                <w:szCs w:val="20"/>
                <w:lang w:eastAsia="es-ES"/>
              </w:rPr>
              <w:t xml:space="preserve">en la regulación sobre </w:t>
            </w:r>
            <w:r w:rsidR="00434B51">
              <w:rPr>
                <w:rFonts w:asciiTheme="majorHAnsi" w:eastAsia="Times New Roman" w:hAnsiTheme="majorHAnsi" w:cs="Arial"/>
                <w:sz w:val="20"/>
                <w:szCs w:val="20"/>
                <w:lang w:eastAsia="es-ES"/>
              </w:rPr>
              <w:t xml:space="preserve">los </w:t>
            </w:r>
            <w:r w:rsidR="00434B51" w:rsidRPr="00456E3A">
              <w:rPr>
                <w:rFonts w:asciiTheme="majorHAnsi" w:hAnsiTheme="majorHAnsi"/>
                <w:sz w:val="20"/>
                <w:szCs w:val="20"/>
              </w:rPr>
              <w:t>Equipos Terminales Móviles</w:t>
            </w:r>
            <w:r w:rsidR="00434B51">
              <w:rPr>
                <w:rFonts w:asciiTheme="majorHAnsi" w:hAnsiTheme="majorHAnsi"/>
                <w:sz w:val="20"/>
                <w:szCs w:val="20"/>
              </w:rPr>
              <w:t>,</w:t>
            </w:r>
            <w:r w:rsidR="00434B51" w:rsidRPr="00456E3A">
              <w:rPr>
                <w:rFonts w:asciiTheme="majorHAnsi" w:hAnsiTheme="majorHAnsi"/>
                <w:sz w:val="20"/>
                <w:szCs w:val="20"/>
              </w:rPr>
              <w:t xml:space="preserve"> que puedan hacer uso del espectro radioeléctrico </w:t>
            </w:r>
            <w:r w:rsidR="00434B51">
              <w:rPr>
                <w:rFonts w:asciiTheme="majorHAnsi" w:hAnsiTheme="majorHAnsi"/>
                <w:sz w:val="20"/>
                <w:szCs w:val="20"/>
              </w:rPr>
              <w:t xml:space="preserve">en </w:t>
            </w:r>
            <w:r w:rsidR="00434B51" w:rsidRPr="00110169">
              <w:rPr>
                <w:rFonts w:asciiTheme="majorHAnsi" w:hAnsiTheme="majorHAnsi"/>
                <w:sz w:val="20"/>
                <w:szCs w:val="20"/>
              </w:rPr>
              <w:t>las bandas de frecuencias de 700 MHz, 800 MHz, 850 MHz, 1900 MHz, 1700 MHz/2100 MHz y/o 2500 MHz</w:t>
            </w:r>
            <w:r w:rsidR="00434B51">
              <w:rPr>
                <w:rFonts w:asciiTheme="majorHAnsi" w:hAnsiTheme="majorHAnsi"/>
                <w:sz w:val="20"/>
                <w:szCs w:val="20"/>
              </w:rPr>
              <w:t xml:space="preserve"> o ser conectados a redes de telecomunicaciones</w:t>
            </w:r>
            <w:r w:rsidRPr="005D5F2E">
              <w:rPr>
                <w:rFonts w:asciiTheme="majorHAnsi" w:eastAsia="Times New Roman" w:hAnsiTheme="majorHAnsi" w:cs="Arial"/>
                <w:sz w:val="20"/>
                <w:szCs w:val="20"/>
                <w:lang w:eastAsia="es-ES"/>
              </w:rPr>
              <w:t>, se analiz</w:t>
            </w:r>
            <w:r w:rsidR="00434B51">
              <w:rPr>
                <w:rFonts w:asciiTheme="majorHAnsi" w:eastAsia="Times New Roman" w:hAnsiTheme="majorHAnsi" w:cs="Arial"/>
                <w:sz w:val="20"/>
                <w:szCs w:val="20"/>
                <w:lang w:eastAsia="es-ES"/>
              </w:rPr>
              <w:t>aron diversos marcos normativos</w:t>
            </w:r>
            <w:r w:rsidR="00B053E2">
              <w:rPr>
                <w:rFonts w:asciiTheme="majorHAnsi" w:eastAsia="Times New Roman" w:hAnsiTheme="majorHAnsi" w:cs="Arial"/>
                <w:sz w:val="20"/>
                <w:szCs w:val="20"/>
                <w:lang w:eastAsia="es-ES"/>
              </w:rPr>
              <w:t>, y a</w:t>
            </w:r>
            <w:r w:rsidRPr="005D5F2E">
              <w:rPr>
                <w:rFonts w:asciiTheme="majorHAnsi" w:eastAsia="Times New Roman" w:hAnsiTheme="majorHAnsi" w:cs="Arial"/>
                <w:sz w:val="20"/>
                <w:szCs w:val="20"/>
                <w:lang w:eastAsia="es-ES"/>
              </w:rPr>
              <w:t xml:space="preserve"> continuación se presentan diferentes iniciativas empleadas p</w:t>
            </w:r>
            <w:r w:rsidR="00434B51">
              <w:rPr>
                <w:rFonts w:asciiTheme="majorHAnsi" w:eastAsia="Times New Roman" w:hAnsiTheme="majorHAnsi" w:cs="Arial"/>
                <w:sz w:val="20"/>
                <w:szCs w:val="20"/>
                <w:lang w:eastAsia="es-ES"/>
              </w:rPr>
              <w:t>ar</w:t>
            </w:r>
            <w:r w:rsidRPr="005D5F2E">
              <w:rPr>
                <w:rFonts w:asciiTheme="majorHAnsi" w:eastAsia="Times New Roman" w:hAnsiTheme="majorHAnsi" w:cs="Arial"/>
                <w:sz w:val="20"/>
                <w:szCs w:val="20"/>
                <w:lang w:eastAsia="es-ES"/>
              </w:rPr>
              <w:t>a</w:t>
            </w:r>
            <w:r w:rsidR="00434B51">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l</w:t>
            </w:r>
            <w:r w:rsidR="00434B51">
              <w:rPr>
                <w:rFonts w:asciiTheme="majorHAnsi" w:eastAsia="Times New Roman" w:hAnsiTheme="majorHAnsi" w:cs="Arial"/>
                <w:sz w:val="20"/>
                <w:szCs w:val="20"/>
                <w:lang w:eastAsia="es-ES"/>
              </w:rPr>
              <w:t>a</w:t>
            </w:r>
            <w:r w:rsidRPr="005D5F2E">
              <w:rPr>
                <w:rFonts w:asciiTheme="majorHAnsi" w:eastAsia="Times New Roman" w:hAnsiTheme="majorHAnsi" w:cs="Arial"/>
                <w:sz w:val="20"/>
                <w:szCs w:val="20"/>
                <w:lang w:eastAsia="es-ES"/>
              </w:rPr>
              <w:t xml:space="preserve"> </w:t>
            </w:r>
            <w:r w:rsidR="00434B51">
              <w:rPr>
                <w:rFonts w:asciiTheme="majorHAnsi" w:eastAsia="Times New Roman" w:hAnsiTheme="majorHAnsi" w:cs="Arial"/>
                <w:sz w:val="20"/>
                <w:szCs w:val="20"/>
                <w:lang w:eastAsia="es-ES"/>
              </w:rPr>
              <w:t xml:space="preserve">regulación </w:t>
            </w:r>
            <w:r w:rsidRPr="005D5F2E">
              <w:rPr>
                <w:rFonts w:asciiTheme="majorHAnsi" w:eastAsia="Times New Roman" w:hAnsiTheme="majorHAnsi" w:cs="Arial"/>
                <w:sz w:val="20"/>
                <w:szCs w:val="20"/>
                <w:lang w:eastAsia="es-ES"/>
              </w:rPr>
              <w:t>de Equipos Terminales Móviles:</w:t>
            </w:r>
          </w:p>
          <w:p w:rsidR="001271CC" w:rsidRPr="005D5F2E" w:rsidRDefault="001271CC" w:rsidP="0007300B">
            <w:pPr>
              <w:jc w:val="both"/>
              <w:rPr>
                <w:rFonts w:asciiTheme="majorHAnsi" w:eastAsia="Times New Roman" w:hAnsiTheme="majorHAnsi" w:cs="Arial"/>
                <w:sz w:val="20"/>
                <w:szCs w:val="20"/>
                <w:lang w:eastAsia="es-ES"/>
              </w:rPr>
            </w:pPr>
          </w:p>
          <w:p w:rsidR="00553D0E" w:rsidRDefault="00553D0E" w:rsidP="00553D0E">
            <w:pPr>
              <w:autoSpaceDE w:val="0"/>
              <w:autoSpaceDN w:val="0"/>
              <w:adjustRightInd w:val="0"/>
              <w:jc w:val="both"/>
              <w:rPr>
                <w:rFonts w:asciiTheme="majorHAnsi" w:eastAsia="Times New Roman" w:hAnsiTheme="majorHAnsi" w:cs="Arial"/>
                <w:b/>
                <w:i/>
                <w:sz w:val="20"/>
                <w:szCs w:val="20"/>
                <w:u w:val="single"/>
                <w:lang w:eastAsia="es-ES"/>
              </w:rPr>
            </w:pPr>
            <w:proofErr w:type="spellStart"/>
            <w:r>
              <w:rPr>
                <w:rFonts w:asciiTheme="majorHAnsi" w:eastAsia="Times New Roman" w:hAnsiTheme="majorHAnsi" w:cs="Arial"/>
                <w:b/>
                <w:i/>
                <w:sz w:val="20"/>
                <w:szCs w:val="20"/>
                <w:u w:val="single"/>
                <w:lang w:eastAsia="es-ES"/>
              </w:rPr>
              <w:t>Taiwan</w:t>
            </w:r>
            <w:proofErr w:type="spellEnd"/>
            <w:r>
              <w:rPr>
                <w:rFonts w:asciiTheme="majorHAnsi" w:eastAsia="Times New Roman" w:hAnsiTheme="majorHAnsi" w:cs="Arial"/>
                <w:b/>
                <w:i/>
                <w:sz w:val="20"/>
                <w:szCs w:val="20"/>
                <w:u w:val="single"/>
                <w:lang w:eastAsia="es-ES"/>
              </w:rPr>
              <w:t xml:space="preserve">. </w:t>
            </w:r>
          </w:p>
          <w:p w:rsidR="00553D0E" w:rsidRDefault="00553D0E" w:rsidP="00553D0E">
            <w:pPr>
              <w:jc w:val="both"/>
              <w:rPr>
                <w:rFonts w:asciiTheme="majorHAnsi" w:eastAsia="Times New Roman" w:hAnsiTheme="majorHAnsi" w:cs="Arial"/>
                <w:sz w:val="20"/>
                <w:szCs w:val="20"/>
                <w:lang w:eastAsia="es-ES"/>
              </w:rPr>
            </w:pPr>
          </w:p>
          <w:p w:rsidR="00553D0E" w:rsidRDefault="00553D0E" w:rsidP="00553D0E">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La Comisión Nacional de Comunicaciones (por sus siglas en inglés </w:t>
            </w:r>
            <w:proofErr w:type="spellStart"/>
            <w:r w:rsidRPr="00084250">
              <w:rPr>
                <w:rFonts w:asciiTheme="majorHAnsi" w:eastAsia="Times New Roman" w:hAnsiTheme="majorHAnsi" w:cs="Arial"/>
                <w:sz w:val="20"/>
                <w:szCs w:val="20"/>
                <w:lang w:eastAsia="es-ES"/>
              </w:rPr>
              <w:t>National</w:t>
            </w:r>
            <w:proofErr w:type="spellEnd"/>
            <w:r w:rsidRPr="00084250">
              <w:rPr>
                <w:rFonts w:asciiTheme="majorHAnsi" w:eastAsia="Times New Roman" w:hAnsiTheme="majorHAnsi" w:cs="Arial"/>
                <w:sz w:val="20"/>
                <w:szCs w:val="20"/>
                <w:lang w:eastAsia="es-ES"/>
              </w:rPr>
              <w:t xml:space="preserve"> </w:t>
            </w:r>
            <w:proofErr w:type="spellStart"/>
            <w:r w:rsidRPr="00084250">
              <w:rPr>
                <w:rFonts w:asciiTheme="majorHAnsi" w:eastAsia="Times New Roman" w:hAnsiTheme="majorHAnsi" w:cs="Arial"/>
                <w:sz w:val="20"/>
                <w:szCs w:val="20"/>
                <w:lang w:eastAsia="es-ES"/>
              </w:rPr>
              <w:t>Communications</w:t>
            </w:r>
            <w:proofErr w:type="spellEnd"/>
            <w:r w:rsidRPr="00084250">
              <w:rPr>
                <w:rFonts w:asciiTheme="majorHAnsi" w:eastAsia="Times New Roman" w:hAnsiTheme="majorHAnsi" w:cs="Arial"/>
                <w:sz w:val="20"/>
                <w:szCs w:val="20"/>
                <w:lang w:eastAsia="es-ES"/>
              </w:rPr>
              <w:t xml:space="preserve"> </w:t>
            </w:r>
            <w:proofErr w:type="spellStart"/>
            <w:r w:rsidRPr="00084250">
              <w:rPr>
                <w:rFonts w:asciiTheme="majorHAnsi" w:eastAsia="Times New Roman" w:hAnsiTheme="majorHAnsi" w:cs="Arial"/>
                <w:sz w:val="20"/>
                <w:szCs w:val="20"/>
                <w:lang w:eastAsia="es-ES"/>
              </w:rPr>
              <w:t>Commission</w:t>
            </w:r>
            <w:proofErr w:type="spellEnd"/>
            <w:r>
              <w:rPr>
                <w:rFonts w:asciiTheme="majorHAnsi" w:eastAsia="Times New Roman" w:hAnsiTheme="majorHAnsi" w:cs="Arial"/>
                <w:sz w:val="20"/>
                <w:szCs w:val="20"/>
                <w:lang w:eastAsia="es-ES"/>
              </w:rPr>
              <w:t xml:space="preserve">, </w:t>
            </w:r>
            <w:r w:rsidRPr="00084250">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NCC</w:t>
            </w:r>
            <w:r w:rsidRPr="00084250">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emitió el </w:t>
            </w:r>
            <w:r w:rsidRPr="00084250">
              <w:rPr>
                <w:rFonts w:asciiTheme="majorHAnsi" w:eastAsia="Times New Roman" w:hAnsiTheme="majorHAnsi" w:cs="Arial"/>
                <w:sz w:val="20"/>
                <w:szCs w:val="20"/>
                <w:lang w:eastAsia="es-ES"/>
              </w:rPr>
              <w:t>25</w:t>
            </w:r>
            <w:r>
              <w:rPr>
                <w:rFonts w:asciiTheme="majorHAnsi" w:eastAsia="Times New Roman" w:hAnsiTheme="majorHAnsi" w:cs="Arial"/>
                <w:sz w:val="20"/>
                <w:szCs w:val="20"/>
                <w:lang w:eastAsia="es-ES"/>
              </w:rPr>
              <w:t xml:space="preserve"> de di</w:t>
            </w:r>
            <w:r w:rsidRPr="00084250">
              <w:rPr>
                <w:rFonts w:asciiTheme="majorHAnsi" w:eastAsia="Times New Roman" w:hAnsiTheme="majorHAnsi" w:cs="Arial"/>
                <w:sz w:val="20"/>
                <w:szCs w:val="20"/>
                <w:lang w:eastAsia="es-ES"/>
              </w:rPr>
              <w:t>c</w:t>
            </w:r>
            <w:r>
              <w:rPr>
                <w:rFonts w:asciiTheme="majorHAnsi" w:eastAsia="Times New Roman" w:hAnsiTheme="majorHAnsi" w:cs="Arial"/>
                <w:sz w:val="20"/>
                <w:szCs w:val="20"/>
                <w:lang w:eastAsia="es-ES"/>
              </w:rPr>
              <w:t>i</w:t>
            </w:r>
            <w:r w:rsidRPr="00084250">
              <w:rPr>
                <w:rFonts w:asciiTheme="majorHAnsi" w:eastAsia="Times New Roman" w:hAnsiTheme="majorHAnsi" w:cs="Arial"/>
                <w:sz w:val="20"/>
                <w:szCs w:val="20"/>
                <w:lang w:eastAsia="es-ES"/>
              </w:rPr>
              <w:t>embr</w:t>
            </w:r>
            <w:r>
              <w:rPr>
                <w:rFonts w:asciiTheme="majorHAnsi" w:eastAsia="Times New Roman" w:hAnsiTheme="majorHAnsi" w:cs="Arial"/>
                <w:sz w:val="20"/>
                <w:szCs w:val="20"/>
                <w:lang w:eastAsia="es-ES"/>
              </w:rPr>
              <w:t>e</w:t>
            </w:r>
            <w:r w:rsidRPr="00084250">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de </w:t>
            </w:r>
            <w:r w:rsidRPr="00084250">
              <w:rPr>
                <w:rFonts w:asciiTheme="majorHAnsi" w:eastAsia="Times New Roman" w:hAnsiTheme="majorHAnsi" w:cs="Arial"/>
                <w:sz w:val="20"/>
                <w:szCs w:val="20"/>
                <w:lang w:eastAsia="es-ES"/>
              </w:rPr>
              <w:t>2015</w:t>
            </w:r>
            <w:r>
              <w:rPr>
                <w:rFonts w:asciiTheme="majorHAnsi" w:eastAsia="Times New Roman" w:hAnsiTheme="majorHAnsi" w:cs="Arial"/>
                <w:sz w:val="20"/>
                <w:szCs w:val="20"/>
                <w:lang w:eastAsia="es-ES"/>
              </w:rPr>
              <w:t xml:space="preserve"> el documento </w:t>
            </w:r>
            <w:r w:rsidR="00EB6BCE">
              <w:rPr>
                <w:rFonts w:asciiTheme="majorHAnsi" w:eastAsia="Times New Roman" w:hAnsiTheme="majorHAnsi" w:cs="Arial"/>
                <w:sz w:val="20"/>
                <w:szCs w:val="20"/>
                <w:lang w:eastAsia="es-ES"/>
              </w:rPr>
              <w:t xml:space="preserve">de </w:t>
            </w:r>
            <w:r>
              <w:rPr>
                <w:rFonts w:asciiTheme="majorHAnsi" w:eastAsia="Times New Roman" w:hAnsiTheme="majorHAnsi" w:cs="Arial"/>
                <w:sz w:val="20"/>
                <w:szCs w:val="20"/>
                <w:lang w:eastAsia="es-ES"/>
              </w:rPr>
              <w:t>e</w:t>
            </w:r>
            <w:r w:rsidRPr="001638DF">
              <w:rPr>
                <w:rFonts w:asciiTheme="majorHAnsi" w:eastAsia="Times New Roman" w:hAnsiTheme="majorHAnsi" w:cs="Arial"/>
                <w:sz w:val="20"/>
                <w:szCs w:val="20"/>
                <w:lang w:eastAsia="es-ES"/>
              </w:rPr>
              <w:t xml:space="preserve">specificaciones </w:t>
            </w:r>
            <w:r>
              <w:rPr>
                <w:rFonts w:asciiTheme="majorHAnsi" w:eastAsia="Times New Roman" w:hAnsiTheme="majorHAnsi" w:cs="Arial"/>
                <w:sz w:val="20"/>
                <w:szCs w:val="20"/>
                <w:lang w:eastAsia="es-ES"/>
              </w:rPr>
              <w:t>t</w:t>
            </w:r>
            <w:r w:rsidRPr="001638DF">
              <w:rPr>
                <w:rFonts w:asciiTheme="majorHAnsi" w:eastAsia="Times New Roman" w:hAnsiTheme="majorHAnsi" w:cs="Arial"/>
                <w:sz w:val="20"/>
                <w:szCs w:val="20"/>
                <w:lang w:eastAsia="es-ES"/>
              </w:rPr>
              <w:t xml:space="preserve">écnicas de </w:t>
            </w:r>
            <w:r>
              <w:rPr>
                <w:rFonts w:asciiTheme="majorHAnsi" w:eastAsia="Times New Roman" w:hAnsiTheme="majorHAnsi" w:cs="Arial"/>
                <w:sz w:val="20"/>
                <w:szCs w:val="20"/>
                <w:lang w:eastAsia="es-ES"/>
              </w:rPr>
              <w:t>t</w:t>
            </w:r>
            <w:r w:rsidRPr="001638DF">
              <w:rPr>
                <w:rFonts w:asciiTheme="majorHAnsi" w:eastAsia="Times New Roman" w:hAnsiTheme="majorHAnsi" w:cs="Arial"/>
                <w:sz w:val="20"/>
                <w:szCs w:val="20"/>
                <w:lang w:eastAsia="es-ES"/>
              </w:rPr>
              <w:t>elecomunicaciones</w:t>
            </w:r>
            <w:r>
              <w:rPr>
                <w:rFonts w:asciiTheme="majorHAnsi" w:eastAsia="Times New Roman" w:hAnsiTheme="majorHAnsi" w:cs="Arial"/>
                <w:sz w:val="20"/>
                <w:szCs w:val="20"/>
                <w:lang w:eastAsia="es-ES"/>
              </w:rPr>
              <w:t xml:space="preserve"> denominado </w:t>
            </w:r>
            <w:r w:rsidRPr="00084250">
              <w:rPr>
                <w:rFonts w:asciiTheme="majorHAnsi" w:eastAsia="Times New Roman" w:hAnsiTheme="majorHAnsi" w:cs="Arial"/>
                <w:b/>
                <w:i/>
                <w:sz w:val="20"/>
                <w:szCs w:val="20"/>
                <w:lang w:eastAsia="es-ES"/>
              </w:rPr>
              <w:t>“</w:t>
            </w:r>
            <w:proofErr w:type="spellStart"/>
            <w:r w:rsidRPr="00084250">
              <w:rPr>
                <w:rFonts w:asciiTheme="majorHAnsi" w:eastAsia="Times New Roman" w:hAnsiTheme="majorHAnsi" w:cs="Arial"/>
                <w:b/>
                <w:i/>
                <w:sz w:val="20"/>
                <w:szCs w:val="20"/>
                <w:lang w:eastAsia="es-ES"/>
              </w:rPr>
              <w:t>Technical</w:t>
            </w:r>
            <w:proofErr w:type="spellEnd"/>
            <w:r w:rsidRPr="00084250">
              <w:rPr>
                <w:rFonts w:asciiTheme="majorHAnsi" w:eastAsia="Times New Roman" w:hAnsiTheme="majorHAnsi" w:cs="Arial"/>
                <w:b/>
                <w:i/>
                <w:sz w:val="20"/>
                <w:szCs w:val="20"/>
                <w:lang w:eastAsia="es-ES"/>
              </w:rPr>
              <w:t xml:space="preserve"> </w:t>
            </w:r>
            <w:proofErr w:type="spellStart"/>
            <w:r w:rsidRPr="00084250">
              <w:rPr>
                <w:rFonts w:asciiTheme="majorHAnsi" w:eastAsia="Times New Roman" w:hAnsiTheme="majorHAnsi" w:cs="Arial"/>
                <w:b/>
                <w:i/>
                <w:sz w:val="20"/>
                <w:szCs w:val="20"/>
                <w:lang w:eastAsia="es-ES"/>
              </w:rPr>
              <w:t>Specifications</w:t>
            </w:r>
            <w:proofErr w:type="spellEnd"/>
            <w:r w:rsidRPr="00084250">
              <w:rPr>
                <w:rFonts w:asciiTheme="majorHAnsi" w:eastAsia="Times New Roman" w:hAnsiTheme="majorHAnsi" w:cs="Arial"/>
                <w:b/>
                <w:i/>
                <w:sz w:val="20"/>
                <w:szCs w:val="20"/>
                <w:lang w:eastAsia="es-ES"/>
              </w:rPr>
              <w:t xml:space="preserve"> </w:t>
            </w:r>
            <w:proofErr w:type="spellStart"/>
            <w:r w:rsidRPr="00084250">
              <w:rPr>
                <w:rFonts w:asciiTheme="majorHAnsi" w:eastAsia="Times New Roman" w:hAnsiTheme="majorHAnsi" w:cs="Arial"/>
                <w:b/>
                <w:i/>
                <w:sz w:val="20"/>
                <w:szCs w:val="20"/>
                <w:lang w:eastAsia="es-ES"/>
              </w:rPr>
              <w:t>for</w:t>
            </w:r>
            <w:proofErr w:type="spellEnd"/>
            <w:r w:rsidRPr="00084250">
              <w:rPr>
                <w:rFonts w:asciiTheme="majorHAnsi" w:eastAsia="Times New Roman" w:hAnsiTheme="majorHAnsi" w:cs="Arial"/>
                <w:b/>
                <w:i/>
                <w:sz w:val="20"/>
                <w:szCs w:val="20"/>
                <w:lang w:eastAsia="es-ES"/>
              </w:rPr>
              <w:t xml:space="preserve"> Mobile </w:t>
            </w:r>
            <w:proofErr w:type="spellStart"/>
            <w:r w:rsidRPr="00084250">
              <w:rPr>
                <w:rFonts w:asciiTheme="majorHAnsi" w:eastAsia="Times New Roman" w:hAnsiTheme="majorHAnsi" w:cs="Arial"/>
                <w:b/>
                <w:i/>
                <w:sz w:val="20"/>
                <w:szCs w:val="20"/>
                <w:lang w:eastAsia="es-ES"/>
              </w:rPr>
              <w:t>Broadband</w:t>
            </w:r>
            <w:proofErr w:type="spellEnd"/>
            <w:r w:rsidRPr="00084250">
              <w:rPr>
                <w:rFonts w:asciiTheme="majorHAnsi" w:eastAsia="Times New Roman" w:hAnsiTheme="majorHAnsi" w:cs="Arial"/>
                <w:b/>
                <w:i/>
                <w:sz w:val="20"/>
                <w:szCs w:val="20"/>
                <w:lang w:eastAsia="es-ES"/>
              </w:rPr>
              <w:t xml:space="preserve"> Business Terminal </w:t>
            </w:r>
            <w:proofErr w:type="spellStart"/>
            <w:r w:rsidRPr="00084250">
              <w:rPr>
                <w:rFonts w:asciiTheme="majorHAnsi" w:eastAsia="Times New Roman" w:hAnsiTheme="majorHAnsi" w:cs="Arial"/>
                <w:b/>
                <w:i/>
                <w:sz w:val="20"/>
                <w:szCs w:val="20"/>
                <w:lang w:eastAsia="es-ES"/>
              </w:rPr>
              <w:t>Equipment</w:t>
            </w:r>
            <w:proofErr w:type="spellEnd"/>
            <w:r w:rsidRPr="00084250">
              <w:rPr>
                <w:rFonts w:asciiTheme="majorHAnsi" w:eastAsia="Times New Roman" w:hAnsiTheme="majorHAnsi" w:cs="Arial"/>
                <w:b/>
                <w:i/>
                <w:sz w:val="20"/>
                <w:szCs w:val="20"/>
                <w:lang w:eastAsia="es-ES"/>
              </w:rPr>
              <w:t>”</w:t>
            </w:r>
            <w:r>
              <w:rPr>
                <w:rStyle w:val="Refdenotaalpie"/>
                <w:rFonts w:asciiTheme="majorHAnsi" w:eastAsia="Times New Roman" w:hAnsiTheme="majorHAnsi" w:cs="Arial"/>
                <w:b/>
                <w:i/>
                <w:sz w:val="20"/>
                <w:szCs w:val="20"/>
                <w:lang w:eastAsia="es-ES"/>
              </w:rPr>
              <w:footnoteReference w:id="10"/>
            </w:r>
            <w:r w:rsidRPr="001638DF">
              <w:rPr>
                <w:rFonts w:asciiTheme="majorHAnsi" w:eastAsia="Times New Roman" w:hAnsiTheme="majorHAnsi" w:cs="Arial"/>
                <w:i/>
                <w:sz w:val="20"/>
                <w:szCs w:val="20"/>
                <w:lang w:eastAsia="es-ES"/>
              </w:rPr>
              <w:t xml:space="preserve">, </w:t>
            </w:r>
            <w:r w:rsidRPr="001638DF">
              <w:rPr>
                <w:rFonts w:asciiTheme="majorHAnsi" w:eastAsia="Times New Roman" w:hAnsiTheme="majorHAnsi" w:cs="Arial"/>
                <w:sz w:val="20"/>
                <w:szCs w:val="20"/>
                <w:lang w:eastAsia="es-ES"/>
              </w:rPr>
              <w:t>el cual</w:t>
            </w:r>
            <w:r>
              <w:rPr>
                <w:rFonts w:asciiTheme="majorHAnsi" w:eastAsia="Times New Roman" w:hAnsiTheme="majorHAnsi" w:cs="Arial"/>
                <w:b/>
                <w:sz w:val="20"/>
                <w:szCs w:val="20"/>
                <w:lang w:eastAsia="es-ES"/>
              </w:rPr>
              <w:t xml:space="preserve"> </w:t>
            </w:r>
            <w:r>
              <w:rPr>
                <w:rFonts w:asciiTheme="majorHAnsi" w:eastAsia="Times New Roman" w:hAnsiTheme="majorHAnsi" w:cs="Arial"/>
                <w:sz w:val="20"/>
                <w:szCs w:val="20"/>
                <w:lang w:eastAsia="es-ES"/>
              </w:rPr>
              <w:t>establece l</w:t>
            </w:r>
            <w:r w:rsidRPr="00084250">
              <w:rPr>
                <w:rFonts w:asciiTheme="majorHAnsi" w:eastAsia="Times New Roman" w:hAnsiTheme="majorHAnsi" w:cs="Arial"/>
                <w:sz w:val="20"/>
                <w:szCs w:val="20"/>
                <w:lang w:eastAsia="es-ES"/>
              </w:rPr>
              <w:t xml:space="preserve">as especificaciones aplicables a </w:t>
            </w:r>
            <w:r>
              <w:rPr>
                <w:rFonts w:asciiTheme="majorHAnsi" w:eastAsia="Times New Roman" w:hAnsiTheme="majorHAnsi" w:cs="Arial"/>
                <w:sz w:val="20"/>
                <w:szCs w:val="20"/>
                <w:lang w:eastAsia="es-ES"/>
              </w:rPr>
              <w:t xml:space="preserve">los </w:t>
            </w:r>
            <w:r w:rsidRPr="00084250">
              <w:rPr>
                <w:rFonts w:asciiTheme="majorHAnsi" w:eastAsia="Times New Roman" w:hAnsiTheme="majorHAnsi" w:cs="Arial"/>
                <w:sz w:val="20"/>
                <w:szCs w:val="20"/>
                <w:lang w:eastAsia="es-ES"/>
              </w:rPr>
              <w:t>dispositivos portátiles y portátiles homologados</w:t>
            </w:r>
            <w:r>
              <w:rPr>
                <w:rFonts w:asciiTheme="majorHAnsi" w:eastAsia="Times New Roman" w:hAnsiTheme="majorHAnsi" w:cs="Arial"/>
                <w:sz w:val="20"/>
                <w:szCs w:val="20"/>
                <w:lang w:eastAsia="es-ES"/>
              </w:rPr>
              <w:t>.</w:t>
            </w:r>
          </w:p>
          <w:p w:rsidR="00553D0E" w:rsidRDefault="00553D0E" w:rsidP="00553D0E">
            <w:pPr>
              <w:jc w:val="both"/>
              <w:rPr>
                <w:rFonts w:asciiTheme="majorHAnsi" w:eastAsia="Times New Roman" w:hAnsiTheme="majorHAnsi" w:cs="Arial"/>
                <w:sz w:val="20"/>
                <w:szCs w:val="20"/>
                <w:lang w:eastAsia="es-ES"/>
              </w:rPr>
            </w:pPr>
          </w:p>
          <w:p w:rsidR="00D05AE2" w:rsidRPr="00D05AE2" w:rsidRDefault="00D05AE2" w:rsidP="00D05AE2">
            <w:pPr>
              <w:jc w:val="both"/>
              <w:rPr>
                <w:rFonts w:asciiTheme="majorHAnsi" w:eastAsia="Times New Roman" w:hAnsiTheme="majorHAnsi" w:cs="Arial"/>
                <w:b/>
                <w:i/>
                <w:sz w:val="20"/>
                <w:szCs w:val="20"/>
                <w:u w:val="single"/>
                <w:lang w:eastAsia="es-ES"/>
              </w:rPr>
            </w:pPr>
            <w:r w:rsidRPr="00D05AE2">
              <w:rPr>
                <w:rFonts w:asciiTheme="majorHAnsi" w:eastAsia="Times New Roman" w:hAnsiTheme="majorHAnsi" w:cs="Arial"/>
                <w:b/>
                <w:i/>
                <w:sz w:val="20"/>
                <w:szCs w:val="20"/>
                <w:u w:val="single"/>
                <w:lang w:eastAsia="es-ES"/>
              </w:rPr>
              <w:t>Costa Rica.</w:t>
            </w:r>
          </w:p>
          <w:p w:rsidR="00D05AE2" w:rsidRPr="00D05AE2" w:rsidRDefault="00D05AE2" w:rsidP="00D05AE2">
            <w:pPr>
              <w:jc w:val="both"/>
              <w:rPr>
                <w:rFonts w:asciiTheme="majorHAnsi" w:eastAsia="Times New Roman" w:hAnsiTheme="majorHAnsi" w:cs="Arial"/>
                <w:b/>
                <w:i/>
                <w:sz w:val="20"/>
                <w:szCs w:val="20"/>
                <w:u w:val="single"/>
                <w:lang w:eastAsia="es-ES"/>
              </w:rPr>
            </w:pPr>
          </w:p>
          <w:p w:rsidR="00BF6099" w:rsidRDefault="00D05AE2" w:rsidP="00BF6099">
            <w:pPr>
              <w:jc w:val="both"/>
              <w:rPr>
                <w:rFonts w:asciiTheme="majorHAnsi" w:eastAsia="Times New Roman" w:hAnsiTheme="majorHAnsi" w:cs="Arial"/>
                <w:sz w:val="20"/>
                <w:szCs w:val="20"/>
                <w:lang w:eastAsia="es-ES"/>
              </w:rPr>
            </w:pPr>
            <w:r w:rsidRPr="00D05AE2">
              <w:rPr>
                <w:rFonts w:asciiTheme="majorHAnsi" w:eastAsia="Times New Roman" w:hAnsiTheme="majorHAnsi" w:cs="Arial"/>
                <w:sz w:val="20"/>
                <w:szCs w:val="20"/>
                <w:lang w:eastAsia="es-ES"/>
              </w:rPr>
              <w:t>La Superintendencia de Telecomunicaciones en la resolución: RCS-332-2013, emitió el “PROCEDIMIENTO PARA LA HOMOLOGACIÓN DE TERMINALES MÓVILES Y REQUISITOS PARA LA  ACREDITACIÓN DE PERITOS PARA MEDIR EL DESEMPEÑO Y FUNCIONAMIENTO DE LOS EQUIPOS TERMINALES DE TELECOMUNICACIONES”</w:t>
            </w:r>
            <w:r w:rsidR="003D74E7">
              <w:rPr>
                <w:rStyle w:val="Refdenotaalpie"/>
                <w:rFonts w:asciiTheme="majorHAnsi" w:eastAsia="Times New Roman" w:hAnsiTheme="majorHAnsi" w:cs="Arial"/>
                <w:sz w:val="20"/>
                <w:szCs w:val="20"/>
                <w:lang w:eastAsia="es-ES"/>
              </w:rPr>
              <w:footnoteReference w:id="11"/>
            </w:r>
            <w:r w:rsidRPr="00D05AE2">
              <w:rPr>
                <w:rFonts w:asciiTheme="majorHAnsi" w:eastAsia="Times New Roman" w:hAnsiTheme="majorHAnsi" w:cs="Arial"/>
                <w:sz w:val="20"/>
                <w:szCs w:val="20"/>
                <w:lang w:eastAsia="es-ES"/>
              </w:rPr>
              <w:t xml:space="preserve">, publicada el 23 de diciembre de 2013, </w:t>
            </w:r>
            <w:r w:rsidR="004000BB">
              <w:rPr>
                <w:rFonts w:asciiTheme="majorHAnsi" w:eastAsia="Times New Roman" w:hAnsiTheme="majorHAnsi" w:cs="Arial"/>
                <w:sz w:val="20"/>
                <w:szCs w:val="20"/>
                <w:lang w:eastAsia="es-ES"/>
              </w:rPr>
              <w:t xml:space="preserve"> en </w:t>
            </w:r>
            <w:r w:rsidR="00BF6099">
              <w:rPr>
                <w:rFonts w:asciiTheme="majorHAnsi" w:eastAsia="Times New Roman" w:hAnsiTheme="majorHAnsi" w:cs="Arial"/>
                <w:sz w:val="20"/>
                <w:szCs w:val="20"/>
                <w:lang w:eastAsia="es-ES"/>
              </w:rPr>
              <w:t xml:space="preserve">el cual a través del </w:t>
            </w:r>
            <w:r w:rsidR="00BF6099" w:rsidRPr="00BF6099">
              <w:rPr>
                <w:rFonts w:asciiTheme="majorHAnsi" w:eastAsia="Times New Roman" w:hAnsiTheme="majorHAnsi" w:cs="Arial"/>
                <w:sz w:val="20"/>
                <w:szCs w:val="20"/>
                <w:lang w:eastAsia="es-ES"/>
              </w:rPr>
              <w:t>procedimiento de homologación</w:t>
            </w:r>
            <w:r w:rsidR="00BF6099">
              <w:rPr>
                <w:rFonts w:asciiTheme="majorHAnsi" w:eastAsia="Times New Roman" w:hAnsiTheme="majorHAnsi" w:cs="Arial"/>
                <w:sz w:val="20"/>
                <w:szCs w:val="20"/>
                <w:lang w:eastAsia="es-ES"/>
              </w:rPr>
              <w:t xml:space="preserve"> </w:t>
            </w:r>
            <w:r w:rsidR="00BF6099" w:rsidRPr="00BF6099">
              <w:rPr>
                <w:rFonts w:asciiTheme="majorHAnsi" w:eastAsia="Times New Roman" w:hAnsiTheme="majorHAnsi" w:cs="Arial"/>
                <w:sz w:val="20"/>
                <w:szCs w:val="20"/>
                <w:lang w:eastAsia="es-ES"/>
              </w:rPr>
              <w:t xml:space="preserve">de terminales </w:t>
            </w:r>
            <w:r w:rsidR="004000BB">
              <w:rPr>
                <w:rFonts w:asciiTheme="majorHAnsi" w:eastAsia="Times New Roman" w:hAnsiTheme="majorHAnsi" w:cs="Arial"/>
                <w:sz w:val="20"/>
                <w:szCs w:val="20"/>
                <w:lang w:eastAsia="es-ES"/>
              </w:rPr>
              <w:t xml:space="preserve">se definen </w:t>
            </w:r>
            <w:r w:rsidR="00BF6099" w:rsidRPr="00BF6099">
              <w:rPr>
                <w:rFonts w:asciiTheme="majorHAnsi" w:eastAsia="Times New Roman" w:hAnsiTheme="majorHAnsi" w:cs="Arial"/>
                <w:sz w:val="20"/>
                <w:szCs w:val="20"/>
                <w:lang w:eastAsia="es-ES"/>
              </w:rPr>
              <w:t>las nuevas necesidades del mercado</w:t>
            </w:r>
            <w:r w:rsidR="00BF6099">
              <w:rPr>
                <w:rFonts w:asciiTheme="majorHAnsi" w:eastAsia="Times New Roman" w:hAnsiTheme="majorHAnsi" w:cs="Arial"/>
                <w:sz w:val="20"/>
                <w:szCs w:val="20"/>
                <w:lang w:eastAsia="es-ES"/>
              </w:rPr>
              <w:t xml:space="preserve"> </w:t>
            </w:r>
            <w:r w:rsidR="00BF6099" w:rsidRPr="00BF6099">
              <w:rPr>
                <w:rFonts w:asciiTheme="majorHAnsi" w:eastAsia="Times New Roman" w:hAnsiTheme="majorHAnsi" w:cs="Arial"/>
                <w:sz w:val="20"/>
                <w:szCs w:val="20"/>
                <w:lang w:eastAsia="es-ES"/>
              </w:rPr>
              <w:t>de las telecomunicaciones que le permitan a los usuarios garantizar</w:t>
            </w:r>
            <w:r w:rsidR="00BF6099">
              <w:rPr>
                <w:rFonts w:asciiTheme="majorHAnsi" w:eastAsia="Times New Roman" w:hAnsiTheme="majorHAnsi" w:cs="Arial"/>
                <w:sz w:val="20"/>
                <w:szCs w:val="20"/>
                <w:lang w:eastAsia="es-ES"/>
              </w:rPr>
              <w:t xml:space="preserve"> </w:t>
            </w:r>
            <w:r w:rsidR="00BF6099" w:rsidRPr="00BF6099">
              <w:rPr>
                <w:rFonts w:asciiTheme="majorHAnsi" w:eastAsia="Times New Roman" w:hAnsiTheme="majorHAnsi" w:cs="Arial"/>
                <w:sz w:val="20"/>
                <w:szCs w:val="20"/>
                <w:lang w:eastAsia="es-ES"/>
              </w:rPr>
              <w:t>que los equipos que se conecten a las redes de los operadores y</w:t>
            </w:r>
            <w:r w:rsidR="00BF6099">
              <w:rPr>
                <w:rFonts w:asciiTheme="majorHAnsi" w:eastAsia="Times New Roman" w:hAnsiTheme="majorHAnsi" w:cs="Arial"/>
                <w:sz w:val="20"/>
                <w:szCs w:val="20"/>
                <w:lang w:eastAsia="es-ES"/>
              </w:rPr>
              <w:t xml:space="preserve"> </w:t>
            </w:r>
            <w:r w:rsidR="00BF6099" w:rsidRPr="00BF6099">
              <w:rPr>
                <w:rFonts w:asciiTheme="majorHAnsi" w:eastAsia="Times New Roman" w:hAnsiTheme="majorHAnsi" w:cs="Arial"/>
                <w:sz w:val="20"/>
                <w:szCs w:val="20"/>
                <w:lang w:eastAsia="es-ES"/>
              </w:rPr>
              <w:t>proveedores de servicios de telecomunicaciones móviles cumplan</w:t>
            </w:r>
            <w:r w:rsidR="00BF6099">
              <w:rPr>
                <w:rFonts w:asciiTheme="majorHAnsi" w:eastAsia="Times New Roman" w:hAnsiTheme="majorHAnsi" w:cs="Arial"/>
                <w:sz w:val="20"/>
                <w:szCs w:val="20"/>
                <w:lang w:eastAsia="es-ES"/>
              </w:rPr>
              <w:t xml:space="preserve"> </w:t>
            </w:r>
            <w:r w:rsidR="00BF6099" w:rsidRPr="00BF6099">
              <w:rPr>
                <w:rFonts w:asciiTheme="majorHAnsi" w:eastAsia="Times New Roman" w:hAnsiTheme="majorHAnsi" w:cs="Arial"/>
                <w:sz w:val="20"/>
                <w:szCs w:val="20"/>
                <w:lang w:eastAsia="es-ES"/>
              </w:rPr>
              <w:t>con estándares mínimos que garanticen la salud, seguridad y los</w:t>
            </w:r>
            <w:r w:rsidR="00BF6099">
              <w:rPr>
                <w:rFonts w:asciiTheme="majorHAnsi" w:eastAsia="Times New Roman" w:hAnsiTheme="majorHAnsi" w:cs="Arial"/>
                <w:sz w:val="20"/>
                <w:szCs w:val="20"/>
                <w:lang w:eastAsia="es-ES"/>
              </w:rPr>
              <w:t xml:space="preserve"> </w:t>
            </w:r>
            <w:r w:rsidR="00BF6099" w:rsidRPr="00BF6099">
              <w:rPr>
                <w:rFonts w:asciiTheme="majorHAnsi" w:eastAsia="Times New Roman" w:hAnsiTheme="majorHAnsi" w:cs="Arial"/>
                <w:sz w:val="20"/>
                <w:szCs w:val="20"/>
                <w:lang w:eastAsia="es-ES"/>
              </w:rPr>
              <w:t>intereses económicos de los usuarios finales, al verificar el correcto</w:t>
            </w:r>
            <w:r w:rsidR="00BF6099">
              <w:rPr>
                <w:rFonts w:asciiTheme="majorHAnsi" w:eastAsia="Times New Roman" w:hAnsiTheme="majorHAnsi" w:cs="Arial"/>
                <w:sz w:val="20"/>
                <w:szCs w:val="20"/>
                <w:lang w:eastAsia="es-ES"/>
              </w:rPr>
              <w:t xml:space="preserve"> </w:t>
            </w:r>
            <w:r w:rsidR="00BF6099" w:rsidRPr="00BF6099">
              <w:rPr>
                <w:rFonts w:asciiTheme="majorHAnsi" w:eastAsia="Times New Roman" w:hAnsiTheme="majorHAnsi" w:cs="Arial"/>
                <w:sz w:val="20"/>
                <w:szCs w:val="20"/>
                <w:lang w:eastAsia="es-ES"/>
              </w:rPr>
              <w:t>y seguro funcionamiento de los dispositivos o equipos terminales.</w:t>
            </w:r>
          </w:p>
          <w:p w:rsidR="00F8733B" w:rsidRDefault="00F8733B" w:rsidP="00BF6099">
            <w:pPr>
              <w:jc w:val="both"/>
              <w:rPr>
                <w:rFonts w:asciiTheme="majorHAnsi" w:eastAsia="Times New Roman" w:hAnsiTheme="majorHAnsi" w:cs="Arial"/>
                <w:sz w:val="20"/>
                <w:szCs w:val="20"/>
                <w:lang w:eastAsia="es-ES"/>
              </w:rPr>
            </w:pPr>
          </w:p>
          <w:p w:rsidR="00F8733B" w:rsidRDefault="00F8733B" w:rsidP="00BF6099">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La resolución de mérito también establece lo siguiente:</w:t>
            </w:r>
          </w:p>
          <w:p w:rsidR="00F8733B" w:rsidRDefault="00F8733B" w:rsidP="00BF6099">
            <w:pPr>
              <w:jc w:val="both"/>
              <w:rPr>
                <w:rFonts w:asciiTheme="majorHAnsi" w:eastAsia="Times New Roman" w:hAnsiTheme="majorHAnsi" w:cs="Arial"/>
                <w:sz w:val="20"/>
                <w:szCs w:val="20"/>
                <w:lang w:eastAsia="es-ES"/>
              </w:rPr>
            </w:pPr>
          </w:p>
          <w:p w:rsidR="00F8733B" w:rsidRPr="004F169C" w:rsidRDefault="00F8733B" w:rsidP="00BF6099">
            <w:pPr>
              <w:jc w:val="both"/>
              <w:rPr>
                <w:rFonts w:asciiTheme="majorHAnsi" w:eastAsia="Times New Roman" w:hAnsiTheme="majorHAnsi" w:cs="Arial"/>
                <w:i/>
                <w:sz w:val="20"/>
                <w:szCs w:val="20"/>
                <w:lang w:eastAsia="es-ES"/>
              </w:rPr>
            </w:pPr>
            <w:r w:rsidRPr="004F169C">
              <w:rPr>
                <w:rFonts w:asciiTheme="majorHAnsi" w:eastAsia="Times New Roman" w:hAnsiTheme="majorHAnsi" w:cs="Arial"/>
                <w:i/>
                <w:sz w:val="20"/>
                <w:szCs w:val="20"/>
                <w:lang w:eastAsia="es-ES"/>
              </w:rPr>
              <w:t xml:space="preserve">“10. Que de igual forma, la portabilidad numérica se ha visto beneficiada con el uso de terminales homologados, ya que este proceso garantiza </w:t>
            </w:r>
            <w:r w:rsidRPr="004A77EE">
              <w:rPr>
                <w:rFonts w:asciiTheme="majorHAnsi" w:eastAsia="Times New Roman" w:hAnsiTheme="majorHAnsi" w:cs="Arial"/>
                <w:sz w:val="20"/>
                <w:szCs w:val="20"/>
                <w:lang w:eastAsia="es-ES"/>
              </w:rPr>
              <w:t>la funcionalidad de los terminales en todas las redes de los operadores y proveedores de servicios</w:t>
            </w:r>
            <w:r w:rsidRPr="004F169C">
              <w:rPr>
                <w:rFonts w:asciiTheme="majorHAnsi" w:eastAsia="Times New Roman" w:hAnsiTheme="majorHAnsi" w:cs="Arial"/>
                <w:i/>
                <w:sz w:val="20"/>
                <w:szCs w:val="20"/>
                <w:lang w:eastAsia="es-ES"/>
              </w:rPr>
              <w:t xml:space="preserve"> e impide que éstos puedan comercializar terminales sin ninguna restricción (tales como el </w:t>
            </w:r>
            <w:proofErr w:type="spellStart"/>
            <w:r w:rsidRPr="004F169C">
              <w:rPr>
                <w:rFonts w:asciiTheme="majorHAnsi" w:eastAsia="Times New Roman" w:hAnsiTheme="majorHAnsi" w:cs="Arial"/>
                <w:i/>
                <w:sz w:val="20"/>
                <w:szCs w:val="20"/>
                <w:lang w:eastAsia="es-ES"/>
              </w:rPr>
              <w:t>SIMLock</w:t>
            </w:r>
            <w:proofErr w:type="spellEnd"/>
            <w:r w:rsidRPr="004F169C">
              <w:rPr>
                <w:rFonts w:asciiTheme="majorHAnsi" w:eastAsia="Times New Roman" w:hAnsiTheme="majorHAnsi" w:cs="Arial"/>
                <w:i/>
                <w:sz w:val="20"/>
                <w:szCs w:val="20"/>
                <w:lang w:eastAsia="es-ES"/>
              </w:rPr>
              <w:t xml:space="preserve"> o bloqueo de bandas), limitando el derecho de los usuarios a disfrutar los servicios de otros operadores, lo cual resulta concordante con el derecho de los usuarios de "Elegir y cambiar libremente al proveedor de servicio" establecido en el artículo 45 inciso 2) de la Ley N° 8642 y con el objetivo de "promover la competencia efectiva en el mercado de las telecomunicaciones" dispuesto en el artículo 2 inciso e) de la Ley 8642. “</w:t>
            </w:r>
            <w:r w:rsidR="00E33378">
              <w:rPr>
                <w:rFonts w:asciiTheme="majorHAnsi" w:eastAsia="Times New Roman" w:hAnsiTheme="majorHAnsi" w:cs="Arial"/>
                <w:i/>
                <w:sz w:val="20"/>
                <w:szCs w:val="20"/>
                <w:lang w:eastAsia="es-ES"/>
              </w:rPr>
              <w:t>[</w:t>
            </w:r>
            <w:r w:rsidR="004F169C">
              <w:rPr>
                <w:rFonts w:asciiTheme="majorHAnsi" w:eastAsia="Times New Roman" w:hAnsiTheme="majorHAnsi" w:cs="Arial"/>
                <w:i/>
                <w:sz w:val="20"/>
                <w:szCs w:val="20"/>
                <w:lang w:eastAsia="es-ES"/>
              </w:rPr>
              <w:t>Énfasis</w:t>
            </w:r>
            <w:r w:rsidR="00E33378">
              <w:rPr>
                <w:rFonts w:asciiTheme="majorHAnsi" w:eastAsia="Times New Roman" w:hAnsiTheme="majorHAnsi" w:cs="Arial"/>
                <w:i/>
                <w:sz w:val="20"/>
                <w:szCs w:val="20"/>
                <w:lang w:eastAsia="es-ES"/>
              </w:rPr>
              <w:t xml:space="preserve"> añadido]</w:t>
            </w:r>
            <w:r w:rsidR="004F169C">
              <w:rPr>
                <w:rFonts w:asciiTheme="majorHAnsi" w:eastAsia="Times New Roman" w:hAnsiTheme="majorHAnsi" w:cs="Arial"/>
                <w:i/>
                <w:sz w:val="20"/>
                <w:szCs w:val="20"/>
                <w:lang w:eastAsia="es-ES"/>
              </w:rPr>
              <w:t>.</w:t>
            </w:r>
          </w:p>
          <w:p w:rsidR="00BF6099" w:rsidRDefault="00BF6099" w:rsidP="00D05AE2">
            <w:pPr>
              <w:jc w:val="both"/>
              <w:rPr>
                <w:rFonts w:asciiTheme="majorHAnsi" w:eastAsia="Times New Roman" w:hAnsiTheme="majorHAnsi" w:cs="Arial"/>
                <w:sz w:val="20"/>
                <w:szCs w:val="20"/>
                <w:lang w:eastAsia="es-ES"/>
              </w:rPr>
            </w:pPr>
          </w:p>
          <w:p w:rsidR="0066330D" w:rsidRPr="005D5F2E" w:rsidRDefault="00434B51" w:rsidP="008467EA">
            <w:pPr>
              <w:autoSpaceDE w:val="0"/>
              <w:autoSpaceDN w:val="0"/>
              <w:adjustRightInd w:val="0"/>
              <w:jc w:val="both"/>
              <w:rPr>
                <w:rFonts w:asciiTheme="majorHAnsi" w:eastAsia="Times New Roman" w:hAnsiTheme="majorHAnsi" w:cs="Arial"/>
                <w:b/>
                <w:i/>
                <w:sz w:val="20"/>
                <w:szCs w:val="20"/>
                <w:u w:val="single"/>
                <w:lang w:eastAsia="es-ES"/>
              </w:rPr>
            </w:pPr>
            <w:r>
              <w:rPr>
                <w:rFonts w:asciiTheme="majorHAnsi" w:eastAsia="Times New Roman" w:hAnsiTheme="majorHAnsi" w:cs="Arial"/>
                <w:b/>
                <w:i/>
                <w:sz w:val="20"/>
                <w:szCs w:val="20"/>
                <w:u w:val="single"/>
                <w:lang w:eastAsia="es-ES"/>
              </w:rPr>
              <w:t>Argentina.</w:t>
            </w:r>
            <w:r w:rsidR="0066330D" w:rsidRPr="005D5F2E">
              <w:rPr>
                <w:rFonts w:asciiTheme="majorHAnsi" w:eastAsia="Times New Roman" w:hAnsiTheme="majorHAnsi" w:cs="Arial"/>
                <w:b/>
                <w:i/>
                <w:sz w:val="20"/>
                <w:szCs w:val="20"/>
                <w:u w:val="single"/>
                <w:lang w:eastAsia="es-ES"/>
              </w:rPr>
              <w:t xml:space="preserve"> </w:t>
            </w:r>
          </w:p>
          <w:p w:rsidR="0066330D" w:rsidRPr="00685E71" w:rsidRDefault="0066330D" w:rsidP="008467EA">
            <w:pPr>
              <w:autoSpaceDE w:val="0"/>
              <w:autoSpaceDN w:val="0"/>
              <w:adjustRightInd w:val="0"/>
              <w:jc w:val="both"/>
              <w:rPr>
                <w:rFonts w:asciiTheme="majorHAnsi" w:eastAsia="Times New Roman" w:hAnsiTheme="majorHAnsi" w:cs="Arial"/>
                <w:sz w:val="20"/>
                <w:szCs w:val="20"/>
                <w:lang w:eastAsia="es-ES"/>
              </w:rPr>
            </w:pPr>
          </w:p>
          <w:p w:rsidR="009D787A" w:rsidRDefault="00685E71" w:rsidP="009D787A">
            <w:pPr>
              <w:autoSpaceDE w:val="0"/>
              <w:autoSpaceDN w:val="0"/>
              <w:adjustRightInd w:val="0"/>
              <w:jc w:val="both"/>
              <w:rPr>
                <w:rFonts w:asciiTheme="majorHAnsi" w:eastAsia="Times New Roman" w:hAnsiTheme="majorHAnsi" w:cs="Arial"/>
                <w:sz w:val="20"/>
                <w:szCs w:val="20"/>
                <w:lang w:eastAsia="es-ES"/>
              </w:rPr>
            </w:pPr>
            <w:r w:rsidRPr="00685E71">
              <w:rPr>
                <w:rFonts w:asciiTheme="majorHAnsi" w:eastAsia="Times New Roman" w:hAnsiTheme="majorHAnsi" w:cs="Arial"/>
                <w:sz w:val="20"/>
                <w:szCs w:val="20"/>
                <w:lang w:eastAsia="es-ES"/>
              </w:rPr>
              <w:t xml:space="preserve">El Ente Nacional de Comunicaciones emitió la </w:t>
            </w:r>
            <w:r w:rsidRPr="00685E71">
              <w:rPr>
                <w:rFonts w:asciiTheme="majorHAnsi" w:eastAsia="Times New Roman" w:hAnsiTheme="majorHAnsi" w:cs="Arial"/>
                <w:b/>
                <w:sz w:val="20"/>
                <w:szCs w:val="20"/>
                <w:lang w:eastAsia="es-ES"/>
              </w:rPr>
              <w:t>Norma Técnica ENACOM-Q2-61.03 V17.1, Terminales de Usuario de los Servicios de Comunicaciones</w:t>
            </w:r>
            <w:r>
              <w:rPr>
                <w:rFonts w:asciiTheme="majorHAnsi" w:eastAsia="Times New Roman" w:hAnsiTheme="majorHAnsi" w:cs="Arial"/>
                <w:b/>
                <w:sz w:val="20"/>
                <w:szCs w:val="20"/>
                <w:lang w:eastAsia="es-ES"/>
              </w:rPr>
              <w:t xml:space="preserve"> Móviles, </w:t>
            </w:r>
            <w:r>
              <w:rPr>
                <w:rFonts w:asciiTheme="majorHAnsi" w:eastAsia="Times New Roman" w:hAnsiTheme="majorHAnsi" w:cs="Arial"/>
                <w:sz w:val="20"/>
                <w:szCs w:val="20"/>
                <w:lang w:eastAsia="es-ES"/>
              </w:rPr>
              <w:t>cuyo objeto es especificar las condiciones mínimas necesarias, que deben cumplir los equipos terminales de usuario que se utilizan para los Servicios de Comunicaciones Móviles, que favorecen el uso eficaz y eficiente del espectro radioeléctrico.</w:t>
            </w:r>
            <w:r w:rsidR="005B0609">
              <w:rPr>
                <w:rFonts w:asciiTheme="majorHAnsi" w:eastAsia="Times New Roman" w:hAnsiTheme="majorHAnsi" w:cs="Arial"/>
                <w:sz w:val="20"/>
                <w:szCs w:val="20"/>
                <w:lang w:eastAsia="es-ES"/>
              </w:rPr>
              <w:t xml:space="preserve"> Donde se e</w:t>
            </w:r>
            <w:r>
              <w:rPr>
                <w:rFonts w:asciiTheme="majorHAnsi" w:eastAsia="Times New Roman" w:hAnsiTheme="majorHAnsi" w:cs="Arial"/>
                <w:sz w:val="20"/>
                <w:szCs w:val="20"/>
                <w:lang w:eastAsia="es-ES"/>
              </w:rPr>
              <w:t>stablece</w:t>
            </w:r>
            <w:r w:rsidR="005B0609">
              <w:rPr>
                <w:rFonts w:asciiTheme="majorHAnsi" w:eastAsia="Times New Roman" w:hAnsiTheme="majorHAnsi" w:cs="Arial"/>
                <w:sz w:val="20"/>
                <w:szCs w:val="20"/>
                <w:lang w:eastAsia="es-ES"/>
              </w:rPr>
              <w:t>n además</w:t>
            </w:r>
            <w:r>
              <w:rPr>
                <w:rFonts w:asciiTheme="majorHAnsi" w:eastAsia="Times New Roman" w:hAnsiTheme="majorHAnsi" w:cs="Arial"/>
                <w:sz w:val="20"/>
                <w:szCs w:val="20"/>
                <w:lang w:eastAsia="es-ES"/>
              </w:rPr>
              <w:t xml:space="preserve"> los métodos de ensayos para ser utilizados por los laboratorios en la comprobación de las especificaciones.</w:t>
            </w:r>
          </w:p>
          <w:p w:rsidR="009D787A" w:rsidRDefault="009D787A" w:rsidP="009D787A">
            <w:pPr>
              <w:autoSpaceDE w:val="0"/>
              <w:autoSpaceDN w:val="0"/>
              <w:adjustRightInd w:val="0"/>
              <w:jc w:val="both"/>
              <w:rPr>
                <w:rFonts w:asciiTheme="majorHAnsi" w:eastAsia="Times New Roman" w:hAnsiTheme="majorHAnsi" w:cs="Arial"/>
                <w:sz w:val="20"/>
                <w:szCs w:val="20"/>
                <w:lang w:eastAsia="es-ES"/>
              </w:rPr>
            </w:pPr>
          </w:p>
          <w:p w:rsidR="00D05AE2" w:rsidRDefault="00D05AE2" w:rsidP="009D787A">
            <w:pPr>
              <w:autoSpaceDE w:val="0"/>
              <w:autoSpaceDN w:val="0"/>
              <w:adjustRightInd w:val="0"/>
              <w:jc w:val="both"/>
              <w:rPr>
                <w:rFonts w:asciiTheme="majorHAnsi" w:eastAsia="Times New Roman" w:hAnsiTheme="majorHAnsi" w:cs="Arial"/>
                <w:b/>
                <w:i/>
                <w:sz w:val="20"/>
                <w:szCs w:val="20"/>
                <w:u w:val="single"/>
                <w:lang w:eastAsia="es-ES"/>
              </w:rPr>
            </w:pPr>
            <w:r w:rsidRPr="005D5F2E">
              <w:rPr>
                <w:rFonts w:asciiTheme="majorHAnsi" w:eastAsia="Times New Roman" w:hAnsiTheme="majorHAnsi" w:cs="Arial"/>
                <w:b/>
                <w:i/>
                <w:sz w:val="20"/>
                <w:szCs w:val="20"/>
                <w:u w:val="single"/>
                <w:lang w:eastAsia="es-ES"/>
              </w:rPr>
              <w:t>C</w:t>
            </w:r>
            <w:r>
              <w:rPr>
                <w:rFonts w:asciiTheme="majorHAnsi" w:eastAsia="Times New Roman" w:hAnsiTheme="majorHAnsi" w:cs="Arial"/>
                <w:b/>
                <w:i/>
                <w:sz w:val="20"/>
                <w:szCs w:val="20"/>
                <w:u w:val="single"/>
                <w:lang w:eastAsia="es-ES"/>
              </w:rPr>
              <w:t>hile</w:t>
            </w:r>
            <w:r w:rsidRPr="005D5F2E">
              <w:rPr>
                <w:rFonts w:asciiTheme="majorHAnsi" w:eastAsia="Times New Roman" w:hAnsiTheme="majorHAnsi" w:cs="Arial"/>
                <w:b/>
                <w:i/>
                <w:sz w:val="20"/>
                <w:szCs w:val="20"/>
                <w:u w:val="single"/>
                <w:lang w:eastAsia="es-ES"/>
              </w:rPr>
              <w:t>.</w:t>
            </w:r>
          </w:p>
          <w:p w:rsidR="00732AA7" w:rsidRPr="005D5F2E" w:rsidRDefault="00732AA7" w:rsidP="00D05AE2">
            <w:pPr>
              <w:jc w:val="both"/>
              <w:rPr>
                <w:rFonts w:asciiTheme="majorHAnsi" w:eastAsia="Times New Roman" w:hAnsiTheme="majorHAnsi" w:cs="Arial"/>
                <w:b/>
                <w:i/>
                <w:sz w:val="20"/>
                <w:szCs w:val="20"/>
                <w:u w:val="single"/>
                <w:lang w:eastAsia="es-ES"/>
              </w:rPr>
            </w:pPr>
          </w:p>
          <w:p w:rsidR="00423EAC" w:rsidRDefault="00B71862" w:rsidP="005B0609">
            <w:pPr>
              <w:autoSpaceDE w:val="0"/>
              <w:autoSpaceDN w:val="0"/>
              <w:adjustRightInd w:val="0"/>
              <w:jc w:val="both"/>
              <w:rPr>
                <w:rFonts w:asciiTheme="majorHAnsi" w:eastAsia="Times New Roman" w:hAnsiTheme="majorHAnsi" w:cs="Arial"/>
                <w:sz w:val="20"/>
                <w:szCs w:val="20"/>
                <w:lang w:eastAsia="es-ES"/>
              </w:rPr>
            </w:pPr>
            <w:r w:rsidRPr="00B71862">
              <w:rPr>
                <w:rFonts w:asciiTheme="majorHAnsi" w:eastAsia="Times New Roman" w:hAnsiTheme="majorHAnsi" w:cs="Arial"/>
                <w:sz w:val="20"/>
                <w:szCs w:val="20"/>
                <w:lang w:eastAsia="es-ES"/>
              </w:rPr>
              <w:t xml:space="preserve">La Subsecretaría de Telecomunicaciones </w:t>
            </w:r>
            <w:r>
              <w:rPr>
                <w:rFonts w:asciiTheme="majorHAnsi" w:eastAsia="Times New Roman" w:hAnsiTheme="majorHAnsi" w:cs="Arial"/>
                <w:sz w:val="20"/>
                <w:szCs w:val="20"/>
                <w:lang w:eastAsia="es-ES"/>
              </w:rPr>
              <w:t xml:space="preserve">emitió la </w:t>
            </w:r>
            <w:r w:rsidRPr="00B71862">
              <w:rPr>
                <w:rFonts w:asciiTheme="majorHAnsi" w:eastAsia="Times New Roman" w:hAnsiTheme="majorHAnsi" w:cs="Arial"/>
                <w:b/>
                <w:sz w:val="20"/>
                <w:szCs w:val="20"/>
                <w:lang w:eastAsia="es-ES"/>
              </w:rPr>
              <w:t>NORMA TÉCNICA QUE REGULA LAS ESPECIFICACIONES TÉCNICAS MÍNIMAS QUE DEBERÁN CUMPLIR LOS EQUIPOS TERMINALES UTILIZADOS EN LAS REDES MÓVILES</w:t>
            </w:r>
            <w:r>
              <w:rPr>
                <w:rStyle w:val="Refdenotaalpie"/>
                <w:rFonts w:asciiTheme="majorHAnsi" w:eastAsia="Times New Roman" w:hAnsiTheme="majorHAnsi" w:cs="Arial"/>
                <w:b/>
                <w:sz w:val="20"/>
                <w:szCs w:val="20"/>
                <w:lang w:eastAsia="es-ES"/>
              </w:rPr>
              <w:footnoteReference w:id="12"/>
            </w:r>
            <w:r w:rsidR="00732AA7" w:rsidRPr="00732AA7">
              <w:rPr>
                <w:rFonts w:asciiTheme="majorHAnsi" w:eastAsia="Times New Roman" w:hAnsiTheme="majorHAnsi" w:cs="Arial"/>
                <w:sz w:val="20"/>
                <w:szCs w:val="20"/>
                <w:lang w:eastAsia="es-ES"/>
              </w:rPr>
              <w:t>,</w:t>
            </w:r>
            <w:r w:rsidRPr="00B71862">
              <w:rPr>
                <w:rFonts w:asciiTheme="majorHAnsi" w:eastAsia="Times New Roman" w:hAnsiTheme="majorHAnsi" w:cs="Arial"/>
                <w:sz w:val="20"/>
                <w:szCs w:val="20"/>
                <w:lang w:eastAsia="es-ES"/>
              </w:rPr>
              <w:t xml:space="preserve"> </w:t>
            </w:r>
            <w:r w:rsidR="005B0609">
              <w:rPr>
                <w:rFonts w:asciiTheme="majorHAnsi" w:eastAsia="Times New Roman" w:hAnsiTheme="majorHAnsi" w:cs="Arial"/>
                <w:sz w:val="20"/>
                <w:szCs w:val="20"/>
                <w:lang w:eastAsia="es-ES"/>
              </w:rPr>
              <w:t>donde se</w:t>
            </w:r>
            <w:r>
              <w:rPr>
                <w:rFonts w:asciiTheme="majorHAnsi" w:eastAsia="Times New Roman" w:hAnsiTheme="majorHAnsi" w:cs="Arial"/>
                <w:sz w:val="20"/>
                <w:szCs w:val="20"/>
                <w:lang w:eastAsia="es-ES"/>
              </w:rPr>
              <w:t xml:space="preserve"> establece que l</w:t>
            </w:r>
            <w:r w:rsidRPr="00B71862">
              <w:rPr>
                <w:rFonts w:asciiTheme="majorHAnsi" w:eastAsia="Times New Roman" w:hAnsiTheme="majorHAnsi" w:cs="Arial"/>
                <w:sz w:val="20"/>
                <w:szCs w:val="20"/>
                <w:lang w:eastAsia="es-ES"/>
              </w:rPr>
              <w:t xml:space="preserve">os equipos terminales distribuidos comercialmente en el país para servicio público telefónico móvil y de transmisión de datos móviles, sea por las respectivas concesionarias o por fabricantes o importadores, </w:t>
            </w:r>
            <w:r w:rsidRPr="004A77EE">
              <w:rPr>
                <w:rFonts w:asciiTheme="majorHAnsi" w:eastAsia="Times New Roman" w:hAnsiTheme="majorHAnsi" w:cs="Arial"/>
                <w:sz w:val="20"/>
                <w:szCs w:val="20"/>
                <w:lang w:eastAsia="es-ES"/>
              </w:rPr>
              <w:t>deberán soportar todas las bandas de frecuencia comercialmente en uso dentro del territorio nacional</w:t>
            </w:r>
            <w:r w:rsidRPr="0018698A">
              <w:rPr>
                <w:rFonts w:asciiTheme="majorHAnsi" w:eastAsia="Times New Roman" w:hAnsiTheme="majorHAnsi" w:cs="Arial"/>
                <w:sz w:val="20"/>
                <w:szCs w:val="20"/>
                <w:u w:val="single"/>
                <w:lang w:eastAsia="es-ES"/>
              </w:rPr>
              <w:t xml:space="preserve"> </w:t>
            </w:r>
            <w:r w:rsidRPr="00B71862">
              <w:rPr>
                <w:rFonts w:asciiTheme="majorHAnsi" w:eastAsia="Times New Roman" w:hAnsiTheme="majorHAnsi" w:cs="Arial"/>
                <w:sz w:val="20"/>
                <w:szCs w:val="20"/>
                <w:lang w:eastAsia="es-ES"/>
              </w:rPr>
              <w:t xml:space="preserve">para, a lo menos, una de las distintas tecnologías desplegadas a la fecha de dicha comercialización. Adicionalmente, para ser publicitados y comercializados como equipos compatibles con cada una de las distintas tecnologías desplegadas en el país, tales equipos deberán soportar todas las bandas de frecuencia comercialmente en uso dentro del territorio nacional por cada una de dicha o dichas tecnologías. Para lo anterior, se entenderá que las bandas utilizadas según tecnología, corresponderán a aquellas individualizadas en el Anexo I de </w:t>
            </w:r>
            <w:r w:rsidR="005B0609">
              <w:rPr>
                <w:rFonts w:asciiTheme="majorHAnsi" w:eastAsia="Times New Roman" w:hAnsiTheme="majorHAnsi" w:cs="Arial"/>
                <w:sz w:val="20"/>
                <w:szCs w:val="20"/>
                <w:lang w:eastAsia="es-ES"/>
              </w:rPr>
              <w:t xml:space="preserve">dicha </w:t>
            </w:r>
            <w:r w:rsidRPr="00B71862">
              <w:rPr>
                <w:rFonts w:asciiTheme="majorHAnsi" w:eastAsia="Times New Roman" w:hAnsiTheme="majorHAnsi" w:cs="Arial"/>
                <w:sz w:val="20"/>
                <w:szCs w:val="20"/>
                <w:lang w:eastAsia="es-ES"/>
              </w:rPr>
              <w:t>norma, parte integrante de la misma, y el cual deberá ser modificado por resolución de esta Subsecretaría cada vez que se incorporen nuevas bandas de uso comercial en el país.</w:t>
            </w:r>
          </w:p>
          <w:p w:rsidR="00D2295D" w:rsidRDefault="00D2295D" w:rsidP="005B0609">
            <w:pPr>
              <w:autoSpaceDE w:val="0"/>
              <w:autoSpaceDN w:val="0"/>
              <w:adjustRightInd w:val="0"/>
              <w:jc w:val="both"/>
              <w:rPr>
                <w:rFonts w:asciiTheme="majorHAnsi" w:eastAsia="Times New Roman" w:hAnsiTheme="majorHAnsi" w:cs="Arial"/>
                <w:sz w:val="20"/>
                <w:szCs w:val="20"/>
                <w:lang w:eastAsia="es-ES"/>
              </w:rPr>
            </w:pPr>
          </w:p>
          <w:p w:rsidR="00D2295D" w:rsidRDefault="00D2295D" w:rsidP="005B0609">
            <w:pPr>
              <w:autoSpaceDE w:val="0"/>
              <w:autoSpaceDN w:val="0"/>
              <w:adjustRightInd w:val="0"/>
              <w:jc w:val="both"/>
              <w:rPr>
                <w:rFonts w:asciiTheme="majorHAnsi" w:eastAsia="Times New Roman" w:hAnsiTheme="majorHAnsi" w:cs="Arial"/>
                <w:b/>
                <w:i/>
                <w:sz w:val="20"/>
                <w:szCs w:val="20"/>
                <w:u w:val="single"/>
                <w:lang w:eastAsia="es-ES"/>
              </w:rPr>
            </w:pPr>
            <w:r w:rsidRPr="00D2295D">
              <w:rPr>
                <w:rFonts w:asciiTheme="majorHAnsi" w:eastAsia="Times New Roman" w:hAnsiTheme="majorHAnsi" w:cs="Arial"/>
                <w:b/>
                <w:i/>
                <w:sz w:val="20"/>
                <w:szCs w:val="20"/>
                <w:u w:val="single"/>
                <w:lang w:eastAsia="es-ES"/>
              </w:rPr>
              <w:t>Canadá</w:t>
            </w:r>
            <w:r>
              <w:rPr>
                <w:rFonts w:asciiTheme="majorHAnsi" w:eastAsia="Times New Roman" w:hAnsiTheme="majorHAnsi" w:cs="Arial"/>
                <w:b/>
                <w:i/>
                <w:sz w:val="20"/>
                <w:szCs w:val="20"/>
                <w:u w:val="single"/>
                <w:lang w:eastAsia="es-ES"/>
              </w:rPr>
              <w:t>.</w:t>
            </w:r>
          </w:p>
          <w:p w:rsidR="00D2295D" w:rsidRDefault="00D2295D" w:rsidP="005B0609">
            <w:pPr>
              <w:autoSpaceDE w:val="0"/>
              <w:autoSpaceDN w:val="0"/>
              <w:adjustRightInd w:val="0"/>
              <w:jc w:val="both"/>
              <w:rPr>
                <w:rFonts w:asciiTheme="majorHAnsi" w:eastAsia="Times New Roman" w:hAnsiTheme="majorHAnsi" w:cs="Arial"/>
                <w:b/>
                <w:i/>
                <w:sz w:val="20"/>
                <w:szCs w:val="20"/>
                <w:u w:val="single"/>
                <w:lang w:eastAsia="es-ES"/>
              </w:rPr>
            </w:pPr>
          </w:p>
          <w:p w:rsidR="008A1751" w:rsidRDefault="008A1751" w:rsidP="005B0609">
            <w:pPr>
              <w:autoSpaceDE w:val="0"/>
              <w:autoSpaceDN w:val="0"/>
              <w:adjustRightInd w:val="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El Gobierno de Canadá a través de la oficina de la </w:t>
            </w:r>
            <w:r w:rsidR="00D2295D" w:rsidRPr="008A1751">
              <w:rPr>
                <w:rFonts w:asciiTheme="majorHAnsi" w:eastAsia="Times New Roman" w:hAnsiTheme="majorHAnsi" w:cs="Arial"/>
                <w:sz w:val="20"/>
                <w:szCs w:val="20"/>
                <w:lang w:eastAsia="es-ES"/>
              </w:rPr>
              <w:t>Innovación, Ciencia y Desarrollo Económico</w:t>
            </w:r>
            <w:r>
              <w:rPr>
                <w:rFonts w:asciiTheme="majorHAnsi" w:eastAsia="Times New Roman" w:hAnsiTheme="majorHAnsi" w:cs="Arial"/>
                <w:sz w:val="20"/>
                <w:szCs w:val="20"/>
                <w:lang w:eastAsia="es-ES"/>
              </w:rPr>
              <w:t>,</w:t>
            </w:r>
            <w:r w:rsidR="00D2295D" w:rsidRPr="008A1751">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p</w:t>
            </w:r>
            <w:r w:rsidR="009367B8">
              <w:rPr>
                <w:rFonts w:asciiTheme="majorHAnsi" w:eastAsia="Times New Roman" w:hAnsiTheme="majorHAnsi" w:cs="Arial"/>
                <w:sz w:val="20"/>
                <w:szCs w:val="20"/>
                <w:lang w:eastAsia="es-ES"/>
              </w:rPr>
              <w:t>u</w:t>
            </w:r>
            <w:r>
              <w:rPr>
                <w:rFonts w:asciiTheme="majorHAnsi" w:eastAsia="Times New Roman" w:hAnsiTheme="majorHAnsi" w:cs="Arial"/>
                <w:sz w:val="20"/>
                <w:szCs w:val="20"/>
                <w:lang w:eastAsia="es-ES"/>
              </w:rPr>
              <w:t>blic</w:t>
            </w:r>
            <w:r w:rsidR="009367B8">
              <w:rPr>
                <w:rFonts w:asciiTheme="majorHAnsi" w:eastAsia="Times New Roman" w:hAnsiTheme="majorHAnsi" w:cs="Arial"/>
                <w:sz w:val="20"/>
                <w:szCs w:val="20"/>
                <w:lang w:eastAsia="es-ES"/>
              </w:rPr>
              <w:t>ó</w:t>
            </w:r>
            <w:r>
              <w:rPr>
                <w:rFonts w:asciiTheme="majorHAnsi" w:eastAsia="Times New Roman" w:hAnsiTheme="majorHAnsi" w:cs="Arial"/>
                <w:sz w:val="20"/>
                <w:szCs w:val="20"/>
                <w:lang w:eastAsia="es-ES"/>
              </w:rPr>
              <w:t xml:space="preserve"> los siguientes estándares </w:t>
            </w:r>
            <w:r w:rsidR="002E0377">
              <w:rPr>
                <w:rFonts w:asciiTheme="majorHAnsi" w:eastAsia="Times New Roman" w:hAnsiTheme="majorHAnsi" w:cs="Arial"/>
                <w:sz w:val="20"/>
                <w:szCs w:val="20"/>
                <w:lang w:eastAsia="es-ES"/>
              </w:rPr>
              <w:t xml:space="preserve">para </w:t>
            </w:r>
            <w:r>
              <w:rPr>
                <w:rFonts w:asciiTheme="majorHAnsi" w:eastAsia="Times New Roman" w:hAnsiTheme="majorHAnsi" w:cs="Arial"/>
                <w:sz w:val="20"/>
                <w:szCs w:val="20"/>
                <w:lang w:eastAsia="es-ES"/>
              </w:rPr>
              <w:t xml:space="preserve">equipos de radio: </w:t>
            </w:r>
          </w:p>
          <w:p w:rsidR="008A1751" w:rsidRDefault="008A1751" w:rsidP="005B0609">
            <w:pPr>
              <w:autoSpaceDE w:val="0"/>
              <w:autoSpaceDN w:val="0"/>
              <w:adjustRightInd w:val="0"/>
              <w:jc w:val="both"/>
              <w:rPr>
                <w:rFonts w:asciiTheme="majorHAnsi" w:eastAsia="Times New Roman" w:hAnsiTheme="majorHAnsi" w:cs="Arial"/>
                <w:sz w:val="20"/>
                <w:szCs w:val="20"/>
                <w:lang w:eastAsia="es-ES"/>
              </w:rPr>
            </w:pPr>
          </w:p>
          <w:p w:rsidR="008A1751" w:rsidRDefault="00B76DAE" w:rsidP="00CB4A83">
            <w:pPr>
              <w:pStyle w:val="Prrafodelista"/>
              <w:numPr>
                <w:ilvl w:val="0"/>
                <w:numId w:val="32"/>
              </w:numPr>
              <w:autoSpaceDE w:val="0"/>
              <w:autoSpaceDN w:val="0"/>
              <w:adjustRightInd w:val="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RSS 132. </w:t>
            </w:r>
            <w:r w:rsidR="008A1751" w:rsidRPr="008A1751">
              <w:rPr>
                <w:rFonts w:asciiTheme="majorHAnsi" w:eastAsia="Times New Roman" w:hAnsiTheme="majorHAnsi" w:cs="Arial"/>
                <w:sz w:val="20"/>
                <w:szCs w:val="20"/>
                <w:lang w:eastAsia="es-ES"/>
              </w:rPr>
              <w:t>Requisitos técnicos para los sistemas radiotelefónicos celulares que funcionan en las bandas 824-849 MHz y 869-894 MHz.</w:t>
            </w:r>
          </w:p>
          <w:p w:rsidR="008A1751" w:rsidRDefault="00B76DAE" w:rsidP="00CB4A83">
            <w:pPr>
              <w:pStyle w:val="Prrafodelista"/>
              <w:numPr>
                <w:ilvl w:val="0"/>
                <w:numId w:val="32"/>
              </w:numPr>
              <w:autoSpaceDE w:val="0"/>
              <w:autoSpaceDN w:val="0"/>
              <w:adjustRightInd w:val="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RSS 1333. </w:t>
            </w:r>
            <w:r w:rsidR="008A1751" w:rsidRPr="008A1751">
              <w:rPr>
                <w:rFonts w:asciiTheme="majorHAnsi" w:eastAsia="Times New Roman" w:hAnsiTheme="majorHAnsi" w:cs="Arial"/>
                <w:sz w:val="20"/>
                <w:szCs w:val="20"/>
                <w:lang w:eastAsia="es-ES"/>
              </w:rPr>
              <w:t>Requisitos técnicos para los servicios de comunicaciones personales (PCS) en las bandas 1850-1915 MHz y 1930-1995 MHz.</w:t>
            </w:r>
          </w:p>
          <w:p w:rsidR="008A1751" w:rsidRDefault="008A1751" w:rsidP="008A1751">
            <w:pPr>
              <w:pStyle w:val="Prrafodelista"/>
              <w:autoSpaceDE w:val="0"/>
              <w:autoSpaceDN w:val="0"/>
              <w:adjustRightInd w:val="0"/>
              <w:jc w:val="both"/>
              <w:rPr>
                <w:rFonts w:asciiTheme="majorHAnsi" w:eastAsia="Times New Roman" w:hAnsiTheme="majorHAnsi" w:cs="Arial"/>
                <w:sz w:val="20"/>
                <w:szCs w:val="20"/>
                <w:lang w:eastAsia="es-ES"/>
              </w:rPr>
            </w:pPr>
          </w:p>
          <w:p w:rsidR="002E0377" w:rsidRDefault="00B76DAE" w:rsidP="00CB4A83">
            <w:pPr>
              <w:pStyle w:val="Prrafodelista"/>
              <w:numPr>
                <w:ilvl w:val="0"/>
                <w:numId w:val="32"/>
              </w:numPr>
              <w:autoSpaceDE w:val="0"/>
              <w:autoSpaceDN w:val="0"/>
              <w:adjustRightInd w:val="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RSS 139. </w:t>
            </w:r>
            <w:r w:rsidR="008A1751" w:rsidRPr="008A1751">
              <w:rPr>
                <w:rFonts w:asciiTheme="majorHAnsi" w:eastAsia="Times New Roman" w:hAnsiTheme="majorHAnsi" w:cs="Arial"/>
                <w:sz w:val="20"/>
                <w:szCs w:val="20"/>
                <w:lang w:eastAsia="es-ES"/>
              </w:rPr>
              <w:t>Requisitos técnicos para servicios inalámbricos avanzados (AWS) en las bandas 1710-1780 MHz y 2110-2180 MHz.</w:t>
            </w:r>
          </w:p>
          <w:p w:rsidR="002E0377" w:rsidRPr="002E0377" w:rsidRDefault="002E0377" w:rsidP="002E0377">
            <w:pPr>
              <w:pStyle w:val="Prrafodelista"/>
              <w:rPr>
                <w:rFonts w:asciiTheme="majorHAnsi" w:eastAsia="Times New Roman" w:hAnsiTheme="majorHAnsi" w:cs="Arial"/>
                <w:sz w:val="20"/>
                <w:szCs w:val="20"/>
                <w:lang w:eastAsia="es-ES"/>
              </w:rPr>
            </w:pPr>
          </w:p>
          <w:p w:rsidR="002E0377" w:rsidRPr="002E0377" w:rsidRDefault="00B76DAE" w:rsidP="002E0377">
            <w:pPr>
              <w:pStyle w:val="Prrafodelista"/>
              <w:autoSpaceDE w:val="0"/>
              <w:autoSpaceDN w:val="0"/>
              <w:adjustRightInd w:val="0"/>
              <w:ind w:left="29"/>
              <w:jc w:val="both"/>
              <w:rPr>
                <w:rFonts w:asciiTheme="majorHAnsi" w:eastAsia="Times New Roman" w:hAnsiTheme="majorHAnsi" w:cs="Arial"/>
                <w:sz w:val="20"/>
                <w:szCs w:val="20"/>
                <w:lang w:eastAsia="es-ES"/>
              </w:rPr>
            </w:pPr>
            <w:r w:rsidRPr="002E0377">
              <w:rPr>
                <w:rFonts w:asciiTheme="majorHAnsi" w:eastAsia="Times New Roman" w:hAnsiTheme="majorHAnsi" w:cs="Arial"/>
                <w:sz w:val="20"/>
                <w:szCs w:val="20"/>
                <w:lang w:eastAsia="es-ES"/>
              </w:rPr>
              <w:t xml:space="preserve">Los cuales establecen </w:t>
            </w:r>
            <w:r w:rsidR="002E0377" w:rsidRPr="002E0377">
              <w:rPr>
                <w:rFonts w:asciiTheme="majorHAnsi" w:eastAsia="Times New Roman" w:hAnsiTheme="majorHAnsi" w:cs="Arial"/>
                <w:sz w:val="20"/>
                <w:szCs w:val="20"/>
                <w:lang w:eastAsia="es-ES"/>
              </w:rPr>
              <w:t>los requisitos para la certificación de transmisores y receptores para las siguientes bandas de frecuencia de operación</w:t>
            </w:r>
            <w:r w:rsidR="002E0377">
              <w:rPr>
                <w:rFonts w:asciiTheme="majorHAnsi" w:eastAsia="Times New Roman" w:hAnsiTheme="majorHAnsi" w:cs="Arial"/>
                <w:sz w:val="20"/>
                <w:szCs w:val="20"/>
                <w:lang w:eastAsia="es-ES"/>
              </w:rPr>
              <w:t>:</w:t>
            </w:r>
            <w:r w:rsidR="002E0377" w:rsidRPr="002E0377">
              <w:rPr>
                <w:rFonts w:asciiTheme="majorHAnsi" w:eastAsia="Times New Roman" w:hAnsiTheme="majorHAnsi" w:cs="Arial"/>
                <w:sz w:val="20"/>
                <w:szCs w:val="20"/>
                <w:lang w:eastAsia="es-ES"/>
              </w:rPr>
              <w:t xml:space="preserve"> 824-849 MHz </w:t>
            </w:r>
            <w:r w:rsidR="00CF540E">
              <w:rPr>
                <w:rFonts w:asciiTheme="majorHAnsi" w:eastAsia="Times New Roman" w:hAnsiTheme="majorHAnsi" w:cs="Arial"/>
                <w:sz w:val="20"/>
                <w:szCs w:val="20"/>
                <w:lang w:eastAsia="es-ES"/>
              </w:rPr>
              <w:t>&amp;</w:t>
            </w:r>
            <w:r w:rsidR="002E0377" w:rsidRPr="002E0377">
              <w:rPr>
                <w:rFonts w:asciiTheme="majorHAnsi" w:eastAsia="Times New Roman" w:hAnsiTheme="majorHAnsi" w:cs="Arial"/>
                <w:sz w:val="20"/>
                <w:szCs w:val="20"/>
                <w:lang w:eastAsia="es-ES"/>
              </w:rPr>
              <w:t xml:space="preserve"> 869-894 MHz, 1850-1915 MHz </w:t>
            </w:r>
            <w:r w:rsidR="00CF540E">
              <w:rPr>
                <w:rFonts w:asciiTheme="majorHAnsi" w:eastAsia="Times New Roman" w:hAnsiTheme="majorHAnsi" w:cs="Arial"/>
                <w:sz w:val="20"/>
                <w:szCs w:val="20"/>
                <w:lang w:eastAsia="es-ES"/>
              </w:rPr>
              <w:t>&amp;</w:t>
            </w:r>
            <w:r w:rsidR="002E0377" w:rsidRPr="002E0377">
              <w:rPr>
                <w:rFonts w:asciiTheme="majorHAnsi" w:eastAsia="Times New Roman" w:hAnsiTheme="majorHAnsi" w:cs="Arial"/>
                <w:sz w:val="20"/>
                <w:szCs w:val="20"/>
                <w:lang w:eastAsia="es-ES"/>
              </w:rPr>
              <w:t xml:space="preserve">1930-1995 MHz y 1710-1780 MHz </w:t>
            </w:r>
            <w:r w:rsidR="00CF540E">
              <w:rPr>
                <w:rFonts w:asciiTheme="majorHAnsi" w:eastAsia="Times New Roman" w:hAnsiTheme="majorHAnsi" w:cs="Arial"/>
                <w:sz w:val="20"/>
                <w:szCs w:val="20"/>
                <w:lang w:eastAsia="es-ES"/>
              </w:rPr>
              <w:t xml:space="preserve">&amp; </w:t>
            </w:r>
            <w:r w:rsidR="002E0377" w:rsidRPr="002E0377">
              <w:rPr>
                <w:rFonts w:asciiTheme="majorHAnsi" w:eastAsia="Times New Roman" w:hAnsiTheme="majorHAnsi" w:cs="Arial"/>
                <w:sz w:val="20"/>
                <w:szCs w:val="20"/>
                <w:lang w:eastAsia="es-ES"/>
              </w:rPr>
              <w:t>2110-2180 MHz.</w:t>
            </w:r>
          </w:p>
          <w:p w:rsidR="000204F4" w:rsidRDefault="000204F4" w:rsidP="002E0377">
            <w:pPr>
              <w:autoSpaceDE w:val="0"/>
              <w:autoSpaceDN w:val="0"/>
              <w:adjustRightInd w:val="0"/>
              <w:jc w:val="both"/>
              <w:rPr>
                <w:rFonts w:asciiTheme="majorHAnsi" w:eastAsia="Times New Roman" w:hAnsiTheme="majorHAnsi" w:cs="Arial"/>
                <w:sz w:val="20"/>
                <w:szCs w:val="20"/>
                <w:lang w:eastAsia="es-ES"/>
              </w:rPr>
            </w:pPr>
          </w:p>
          <w:p w:rsidR="00573D57" w:rsidRDefault="00573D57" w:rsidP="002E0377">
            <w:pPr>
              <w:autoSpaceDE w:val="0"/>
              <w:autoSpaceDN w:val="0"/>
              <w:adjustRightInd w:val="0"/>
              <w:jc w:val="both"/>
              <w:rPr>
                <w:rFonts w:asciiTheme="majorHAnsi" w:eastAsia="Times New Roman" w:hAnsiTheme="majorHAnsi" w:cs="Arial"/>
                <w:sz w:val="20"/>
                <w:szCs w:val="20"/>
                <w:lang w:eastAsia="es-ES"/>
              </w:rPr>
            </w:pPr>
          </w:p>
          <w:p w:rsidR="00573D57" w:rsidRPr="003F260B" w:rsidRDefault="00573D57" w:rsidP="002E0377">
            <w:pPr>
              <w:autoSpaceDE w:val="0"/>
              <w:autoSpaceDN w:val="0"/>
              <w:adjustRightInd w:val="0"/>
              <w:jc w:val="both"/>
              <w:rPr>
                <w:rFonts w:asciiTheme="majorHAnsi" w:eastAsia="Times New Roman" w:hAnsiTheme="majorHAnsi" w:cs="Arial"/>
                <w:b/>
                <w:i/>
                <w:sz w:val="20"/>
                <w:szCs w:val="20"/>
                <w:u w:val="single"/>
                <w:lang w:eastAsia="es-ES"/>
              </w:rPr>
            </w:pPr>
            <w:r w:rsidRPr="003F260B">
              <w:rPr>
                <w:rFonts w:asciiTheme="majorHAnsi" w:eastAsia="Times New Roman" w:hAnsiTheme="majorHAnsi" w:cs="Arial"/>
                <w:b/>
                <w:i/>
                <w:sz w:val="20"/>
                <w:szCs w:val="20"/>
                <w:u w:val="single"/>
                <w:lang w:eastAsia="es-ES"/>
              </w:rPr>
              <w:t>Estados Unidos de América.</w:t>
            </w:r>
          </w:p>
          <w:p w:rsidR="00573D57" w:rsidRDefault="00573D57" w:rsidP="002E0377">
            <w:pPr>
              <w:autoSpaceDE w:val="0"/>
              <w:autoSpaceDN w:val="0"/>
              <w:adjustRightInd w:val="0"/>
              <w:jc w:val="both"/>
              <w:rPr>
                <w:rFonts w:asciiTheme="majorHAnsi" w:eastAsia="Times New Roman" w:hAnsiTheme="majorHAnsi" w:cs="Arial"/>
                <w:sz w:val="20"/>
                <w:szCs w:val="20"/>
                <w:lang w:eastAsia="es-ES"/>
              </w:rPr>
            </w:pPr>
          </w:p>
          <w:p w:rsidR="00573D57" w:rsidRDefault="00573D57" w:rsidP="00573D57">
            <w:pPr>
              <w:autoSpaceDE w:val="0"/>
              <w:autoSpaceDN w:val="0"/>
              <w:adjustRightInd w:val="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El Gobierno de los Estados Unidos de América, a través de l</w:t>
            </w:r>
            <w:r w:rsidRPr="00573D57">
              <w:rPr>
                <w:rFonts w:asciiTheme="majorHAnsi" w:eastAsia="Times New Roman" w:hAnsiTheme="majorHAnsi" w:cs="Arial"/>
                <w:sz w:val="20"/>
                <w:szCs w:val="20"/>
                <w:lang w:eastAsia="es-ES"/>
              </w:rPr>
              <w:t>a Comisión Federal de Comunicaciones</w:t>
            </w:r>
            <w:r>
              <w:rPr>
                <w:rFonts w:asciiTheme="majorHAnsi" w:eastAsia="Times New Roman" w:hAnsiTheme="majorHAnsi" w:cs="Arial"/>
                <w:sz w:val="20"/>
                <w:szCs w:val="20"/>
                <w:lang w:eastAsia="es-ES"/>
              </w:rPr>
              <w:t xml:space="preserve"> </w:t>
            </w:r>
            <w:r w:rsidRPr="00573D57">
              <w:rPr>
                <w:rFonts w:asciiTheme="majorHAnsi" w:eastAsia="Times New Roman" w:hAnsiTheme="majorHAnsi" w:cs="Arial"/>
                <w:sz w:val="20"/>
                <w:szCs w:val="20"/>
                <w:lang w:eastAsia="es-ES"/>
              </w:rPr>
              <w:t xml:space="preserve"> (Federal </w:t>
            </w:r>
            <w:proofErr w:type="spellStart"/>
            <w:r w:rsidRPr="00573D57">
              <w:rPr>
                <w:rFonts w:asciiTheme="majorHAnsi" w:eastAsia="Times New Roman" w:hAnsiTheme="majorHAnsi" w:cs="Arial"/>
                <w:sz w:val="20"/>
                <w:szCs w:val="20"/>
                <w:lang w:eastAsia="es-ES"/>
              </w:rPr>
              <w:t>Communications</w:t>
            </w:r>
            <w:proofErr w:type="spellEnd"/>
            <w:r w:rsidRPr="00573D57">
              <w:rPr>
                <w:rFonts w:asciiTheme="majorHAnsi" w:eastAsia="Times New Roman" w:hAnsiTheme="majorHAnsi" w:cs="Arial"/>
                <w:sz w:val="20"/>
                <w:szCs w:val="20"/>
                <w:lang w:eastAsia="es-ES"/>
              </w:rPr>
              <w:t xml:space="preserve"> </w:t>
            </w:r>
            <w:proofErr w:type="spellStart"/>
            <w:r w:rsidRPr="00573D57">
              <w:rPr>
                <w:rFonts w:asciiTheme="majorHAnsi" w:eastAsia="Times New Roman" w:hAnsiTheme="majorHAnsi" w:cs="Arial"/>
                <w:sz w:val="20"/>
                <w:szCs w:val="20"/>
                <w:lang w:eastAsia="es-ES"/>
              </w:rPr>
              <w:t>Commission</w:t>
            </w:r>
            <w:proofErr w:type="spellEnd"/>
            <w:r w:rsidRPr="00573D57">
              <w:rPr>
                <w:rFonts w:asciiTheme="majorHAnsi" w:eastAsia="Times New Roman" w:hAnsiTheme="majorHAnsi" w:cs="Arial"/>
                <w:sz w:val="20"/>
                <w:szCs w:val="20"/>
                <w:lang w:eastAsia="es-ES"/>
              </w:rPr>
              <w:t xml:space="preserve">, FCC) </w:t>
            </w:r>
            <w:r>
              <w:rPr>
                <w:rFonts w:asciiTheme="majorHAnsi" w:eastAsia="Times New Roman" w:hAnsiTheme="majorHAnsi" w:cs="Arial"/>
                <w:sz w:val="20"/>
                <w:szCs w:val="20"/>
                <w:lang w:eastAsia="es-ES"/>
              </w:rPr>
              <w:t xml:space="preserve">emitió </w:t>
            </w:r>
            <w:r w:rsidR="009367B8">
              <w:rPr>
                <w:rFonts w:asciiTheme="majorHAnsi" w:eastAsia="Times New Roman" w:hAnsiTheme="majorHAnsi" w:cs="Arial"/>
                <w:sz w:val="20"/>
                <w:szCs w:val="20"/>
                <w:lang w:eastAsia="es-ES"/>
              </w:rPr>
              <w:t xml:space="preserve">entre otros, </w:t>
            </w:r>
            <w:r>
              <w:rPr>
                <w:rFonts w:asciiTheme="majorHAnsi" w:eastAsia="Times New Roman" w:hAnsiTheme="majorHAnsi" w:cs="Arial"/>
                <w:sz w:val="20"/>
                <w:szCs w:val="20"/>
                <w:lang w:eastAsia="es-ES"/>
              </w:rPr>
              <w:t xml:space="preserve">los siguientes </w:t>
            </w:r>
            <w:r w:rsidRPr="00573D57">
              <w:rPr>
                <w:rFonts w:asciiTheme="majorHAnsi" w:eastAsia="Times New Roman" w:hAnsiTheme="majorHAnsi" w:cs="Arial"/>
                <w:sz w:val="20"/>
                <w:szCs w:val="20"/>
                <w:lang w:eastAsia="es-ES"/>
              </w:rPr>
              <w:t>Código Electrónico</w:t>
            </w:r>
            <w:r>
              <w:rPr>
                <w:rFonts w:asciiTheme="majorHAnsi" w:eastAsia="Times New Roman" w:hAnsiTheme="majorHAnsi" w:cs="Arial"/>
                <w:sz w:val="20"/>
                <w:szCs w:val="20"/>
                <w:lang w:eastAsia="es-ES"/>
              </w:rPr>
              <w:t>s</w:t>
            </w:r>
            <w:r w:rsidRPr="00573D57">
              <w:rPr>
                <w:rFonts w:asciiTheme="majorHAnsi" w:eastAsia="Times New Roman" w:hAnsiTheme="majorHAnsi" w:cs="Arial"/>
                <w:sz w:val="20"/>
                <w:szCs w:val="20"/>
                <w:lang w:eastAsia="es-ES"/>
              </w:rPr>
              <w:t xml:space="preserve"> de Regulaciones Federales</w:t>
            </w:r>
            <w:r>
              <w:rPr>
                <w:rFonts w:asciiTheme="majorHAnsi" w:eastAsia="Times New Roman" w:hAnsiTheme="majorHAnsi" w:cs="Arial"/>
                <w:sz w:val="20"/>
                <w:szCs w:val="20"/>
                <w:lang w:eastAsia="es-ES"/>
              </w:rPr>
              <w:t>:</w:t>
            </w:r>
          </w:p>
          <w:p w:rsidR="00573D57" w:rsidRDefault="00573D57" w:rsidP="00573D57">
            <w:pPr>
              <w:autoSpaceDE w:val="0"/>
              <w:autoSpaceDN w:val="0"/>
              <w:adjustRightInd w:val="0"/>
              <w:jc w:val="both"/>
              <w:rPr>
                <w:rFonts w:asciiTheme="majorHAnsi" w:eastAsia="Times New Roman" w:hAnsiTheme="majorHAnsi" w:cs="Arial"/>
                <w:sz w:val="20"/>
                <w:szCs w:val="20"/>
                <w:lang w:eastAsia="es-ES"/>
              </w:rPr>
            </w:pPr>
          </w:p>
          <w:p w:rsidR="00573D57" w:rsidRPr="00573D57" w:rsidRDefault="00573D57" w:rsidP="00CB4A83">
            <w:pPr>
              <w:pStyle w:val="Prrafodelista"/>
              <w:numPr>
                <w:ilvl w:val="0"/>
                <w:numId w:val="33"/>
              </w:numPr>
              <w:autoSpaceDE w:val="0"/>
              <w:autoSpaceDN w:val="0"/>
              <w:adjustRightInd w:val="0"/>
              <w:jc w:val="both"/>
              <w:rPr>
                <w:rFonts w:asciiTheme="majorHAnsi" w:eastAsia="Times New Roman" w:hAnsiTheme="majorHAnsi" w:cs="Arial"/>
                <w:sz w:val="20"/>
                <w:szCs w:val="20"/>
                <w:lang w:eastAsia="es-ES"/>
              </w:rPr>
            </w:pPr>
            <w:r w:rsidRPr="00573D57">
              <w:rPr>
                <w:rFonts w:asciiTheme="majorHAnsi" w:eastAsia="Times New Roman" w:hAnsiTheme="majorHAnsi" w:cs="Arial"/>
                <w:sz w:val="20"/>
                <w:szCs w:val="20"/>
                <w:lang w:eastAsia="es-ES"/>
              </w:rPr>
              <w:t xml:space="preserve">Código Electrónico de Regulaciones Federales, Título 47, Capítulo 1, Subcapítulo B, Parte 22: Servicios Móviles Públicos, </w:t>
            </w:r>
            <w:proofErr w:type="spellStart"/>
            <w:r w:rsidRPr="00573D57">
              <w:rPr>
                <w:rFonts w:asciiTheme="majorHAnsi" w:eastAsia="Times New Roman" w:hAnsiTheme="majorHAnsi" w:cs="Arial"/>
                <w:sz w:val="20"/>
                <w:szCs w:val="20"/>
                <w:lang w:eastAsia="es-ES"/>
              </w:rPr>
              <w:t>Subparte</w:t>
            </w:r>
            <w:proofErr w:type="spellEnd"/>
            <w:r w:rsidRPr="00573D57">
              <w:rPr>
                <w:rFonts w:asciiTheme="majorHAnsi" w:eastAsia="Times New Roman" w:hAnsiTheme="majorHAnsi" w:cs="Arial"/>
                <w:sz w:val="20"/>
                <w:szCs w:val="20"/>
                <w:lang w:eastAsia="es-ES"/>
              </w:rPr>
              <w:t xml:space="preserve"> H.</w:t>
            </w:r>
          </w:p>
          <w:p w:rsidR="00573D57" w:rsidRPr="00573D57" w:rsidRDefault="00573D57" w:rsidP="00CB4A83">
            <w:pPr>
              <w:pStyle w:val="Prrafodelista"/>
              <w:numPr>
                <w:ilvl w:val="0"/>
                <w:numId w:val="33"/>
              </w:numPr>
              <w:autoSpaceDE w:val="0"/>
              <w:autoSpaceDN w:val="0"/>
              <w:adjustRightInd w:val="0"/>
              <w:jc w:val="both"/>
              <w:rPr>
                <w:rFonts w:asciiTheme="majorHAnsi" w:eastAsia="Times New Roman" w:hAnsiTheme="majorHAnsi" w:cs="Arial"/>
                <w:sz w:val="20"/>
                <w:szCs w:val="20"/>
                <w:lang w:eastAsia="es-ES"/>
              </w:rPr>
            </w:pPr>
            <w:r w:rsidRPr="00573D57">
              <w:rPr>
                <w:rFonts w:asciiTheme="majorHAnsi" w:eastAsia="Times New Roman" w:hAnsiTheme="majorHAnsi" w:cs="Arial"/>
                <w:sz w:val="20"/>
                <w:szCs w:val="20"/>
                <w:lang w:eastAsia="es-ES"/>
              </w:rPr>
              <w:t xml:space="preserve">Código Electrónico de Regulaciones Federales, Título 47, Capítulo 1, Subcapítulo B, Parte 24: Servicios de Comunicación Personal, </w:t>
            </w:r>
            <w:proofErr w:type="spellStart"/>
            <w:r w:rsidRPr="00573D57">
              <w:rPr>
                <w:rFonts w:asciiTheme="majorHAnsi" w:eastAsia="Times New Roman" w:hAnsiTheme="majorHAnsi" w:cs="Arial"/>
                <w:sz w:val="20"/>
                <w:szCs w:val="20"/>
                <w:lang w:eastAsia="es-ES"/>
              </w:rPr>
              <w:t>Subparte</w:t>
            </w:r>
            <w:proofErr w:type="spellEnd"/>
            <w:r w:rsidRPr="00573D57">
              <w:rPr>
                <w:rFonts w:asciiTheme="majorHAnsi" w:eastAsia="Times New Roman" w:hAnsiTheme="majorHAnsi" w:cs="Arial"/>
                <w:sz w:val="20"/>
                <w:szCs w:val="20"/>
                <w:lang w:eastAsia="es-ES"/>
              </w:rPr>
              <w:t xml:space="preserve"> E.</w:t>
            </w:r>
          </w:p>
          <w:p w:rsidR="00573D57" w:rsidRDefault="00573D57" w:rsidP="00CB4A83">
            <w:pPr>
              <w:pStyle w:val="Prrafodelista"/>
              <w:numPr>
                <w:ilvl w:val="0"/>
                <w:numId w:val="33"/>
              </w:numPr>
              <w:autoSpaceDE w:val="0"/>
              <w:autoSpaceDN w:val="0"/>
              <w:adjustRightInd w:val="0"/>
              <w:jc w:val="both"/>
              <w:rPr>
                <w:rFonts w:asciiTheme="majorHAnsi" w:eastAsia="Times New Roman" w:hAnsiTheme="majorHAnsi" w:cs="Arial"/>
                <w:sz w:val="20"/>
                <w:szCs w:val="20"/>
                <w:lang w:eastAsia="es-ES"/>
              </w:rPr>
            </w:pPr>
            <w:r w:rsidRPr="00573D57">
              <w:rPr>
                <w:rFonts w:asciiTheme="majorHAnsi" w:eastAsia="Times New Roman" w:hAnsiTheme="majorHAnsi" w:cs="Arial"/>
                <w:sz w:val="20"/>
                <w:szCs w:val="20"/>
                <w:lang w:eastAsia="es-ES"/>
              </w:rPr>
              <w:t xml:space="preserve">FCC. Código electrónico de regulaciones federales Título 47, Capítulo 1, Subcapítulo B, Parte 27: Servicios inalámbricos diversos. </w:t>
            </w:r>
            <w:proofErr w:type="spellStart"/>
            <w:r w:rsidRPr="00573D57">
              <w:rPr>
                <w:rFonts w:asciiTheme="majorHAnsi" w:eastAsia="Times New Roman" w:hAnsiTheme="majorHAnsi" w:cs="Arial"/>
                <w:sz w:val="20"/>
                <w:szCs w:val="20"/>
                <w:lang w:eastAsia="es-ES"/>
              </w:rPr>
              <w:t>Subparte</w:t>
            </w:r>
            <w:proofErr w:type="spellEnd"/>
            <w:r w:rsidRPr="00573D57">
              <w:rPr>
                <w:rFonts w:asciiTheme="majorHAnsi" w:eastAsia="Times New Roman" w:hAnsiTheme="majorHAnsi" w:cs="Arial"/>
                <w:sz w:val="20"/>
                <w:szCs w:val="20"/>
                <w:lang w:eastAsia="es-ES"/>
              </w:rPr>
              <w:t xml:space="preserve"> C</w:t>
            </w:r>
            <w:r w:rsidR="00F7611E">
              <w:rPr>
                <w:rFonts w:asciiTheme="majorHAnsi" w:eastAsia="Times New Roman" w:hAnsiTheme="majorHAnsi" w:cs="Arial"/>
                <w:sz w:val="20"/>
                <w:szCs w:val="20"/>
                <w:lang w:eastAsia="es-ES"/>
              </w:rPr>
              <w:t>.</w:t>
            </w:r>
          </w:p>
          <w:p w:rsidR="00573D57" w:rsidRDefault="00573D57" w:rsidP="00573D57">
            <w:pPr>
              <w:autoSpaceDE w:val="0"/>
              <w:autoSpaceDN w:val="0"/>
              <w:adjustRightInd w:val="0"/>
              <w:jc w:val="both"/>
              <w:rPr>
                <w:rFonts w:asciiTheme="majorHAnsi" w:eastAsia="Times New Roman" w:hAnsiTheme="majorHAnsi" w:cs="Arial"/>
                <w:sz w:val="20"/>
                <w:szCs w:val="20"/>
                <w:lang w:eastAsia="es-ES"/>
              </w:rPr>
            </w:pPr>
          </w:p>
          <w:p w:rsidR="00573D57" w:rsidRPr="005D5F2E" w:rsidRDefault="00573D57" w:rsidP="002E0377">
            <w:pPr>
              <w:autoSpaceDE w:val="0"/>
              <w:autoSpaceDN w:val="0"/>
              <w:adjustRightInd w:val="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Donde se establecen </w:t>
            </w:r>
            <w:r w:rsidRPr="002E0377">
              <w:rPr>
                <w:rFonts w:asciiTheme="majorHAnsi" w:eastAsia="Times New Roman" w:hAnsiTheme="majorHAnsi" w:cs="Arial"/>
                <w:sz w:val="20"/>
                <w:szCs w:val="20"/>
                <w:lang w:eastAsia="es-ES"/>
              </w:rPr>
              <w:t xml:space="preserve">los requisitos </w:t>
            </w:r>
            <w:r w:rsidR="00E00D21">
              <w:rPr>
                <w:rFonts w:asciiTheme="majorHAnsi" w:eastAsia="Times New Roman" w:hAnsiTheme="majorHAnsi" w:cs="Arial"/>
                <w:sz w:val="20"/>
                <w:szCs w:val="20"/>
                <w:lang w:eastAsia="es-ES"/>
              </w:rPr>
              <w:t xml:space="preserve">técnicos </w:t>
            </w:r>
            <w:r w:rsidRPr="002E0377">
              <w:rPr>
                <w:rFonts w:asciiTheme="majorHAnsi" w:eastAsia="Times New Roman" w:hAnsiTheme="majorHAnsi" w:cs="Arial"/>
                <w:sz w:val="20"/>
                <w:szCs w:val="20"/>
                <w:lang w:eastAsia="es-ES"/>
              </w:rPr>
              <w:t>para l</w:t>
            </w:r>
            <w:r>
              <w:rPr>
                <w:rFonts w:asciiTheme="majorHAnsi" w:eastAsia="Times New Roman" w:hAnsiTheme="majorHAnsi" w:cs="Arial"/>
                <w:sz w:val="20"/>
                <w:szCs w:val="20"/>
                <w:lang w:eastAsia="es-ES"/>
              </w:rPr>
              <w:t>os t</w:t>
            </w:r>
            <w:r w:rsidRPr="002E0377">
              <w:rPr>
                <w:rFonts w:asciiTheme="majorHAnsi" w:eastAsia="Times New Roman" w:hAnsiTheme="majorHAnsi" w:cs="Arial"/>
                <w:sz w:val="20"/>
                <w:szCs w:val="20"/>
                <w:lang w:eastAsia="es-ES"/>
              </w:rPr>
              <w:t>ransmisores y receptores para las siguientes bandas de frecuencia de operación</w:t>
            </w:r>
            <w:r>
              <w:rPr>
                <w:rFonts w:asciiTheme="majorHAnsi" w:eastAsia="Times New Roman" w:hAnsiTheme="majorHAnsi" w:cs="Arial"/>
                <w:sz w:val="20"/>
                <w:szCs w:val="20"/>
                <w:lang w:eastAsia="es-ES"/>
              </w:rPr>
              <w:t xml:space="preserve"> incluidas en la referida DT.</w:t>
            </w:r>
          </w:p>
        </w:tc>
      </w:tr>
    </w:tbl>
    <w:p w:rsidR="00895C49" w:rsidRPr="005D5F2E" w:rsidRDefault="00895C49" w:rsidP="001932FC">
      <w:pPr>
        <w:jc w:val="both"/>
      </w:pPr>
    </w:p>
    <w:p w:rsidR="001932FC" w:rsidRPr="005D5F2E" w:rsidRDefault="001932FC" w:rsidP="003F05E7">
      <w:pPr>
        <w:shd w:val="clear" w:color="auto" w:fill="A8D08D" w:themeFill="accent6" w:themeFillTint="99"/>
        <w:tabs>
          <w:tab w:val="center" w:pos="4419"/>
        </w:tabs>
        <w:jc w:val="both"/>
      </w:pPr>
      <w:r w:rsidRPr="005D5F2E">
        <w:t>III. IMPACTO DE LA REGULACIÓN.</w:t>
      </w:r>
      <w:r w:rsidR="003F05E7" w:rsidRPr="005D5F2E">
        <w:tab/>
      </w:r>
    </w:p>
    <w:tbl>
      <w:tblPr>
        <w:tblStyle w:val="Tablaconcuadrcula"/>
        <w:tblW w:w="0" w:type="auto"/>
        <w:tblLook w:val="04A0" w:firstRow="1" w:lastRow="0" w:firstColumn="1" w:lastColumn="0" w:noHBand="0" w:noVBand="1"/>
      </w:tblPr>
      <w:tblGrid>
        <w:gridCol w:w="8828"/>
      </w:tblGrid>
      <w:tr w:rsidR="003039BF" w:rsidRPr="005D5F2E" w:rsidTr="003039BF">
        <w:tc>
          <w:tcPr>
            <w:tcW w:w="8828" w:type="dxa"/>
          </w:tcPr>
          <w:p w:rsidR="003039BF" w:rsidRPr="005D5F2E" w:rsidRDefault="003039BF" w:rsidP="001932FC">
            <w:pPr>
              <w:jc w:val="both"/>
              <w:rPr>
                <w:b/>
                <w:sz w:val="20"/>
              </w:rPr>
            </w:pPr>
            <w:r w:rsidRPr="005D5F2E">
              <w:rPr>
                <w:b/>
                <w:sz w:val="20"/>
              </w:rPr>
              <w:t>7.- ¿El anteproyecto de regulación propuesto contiene disposiciones en materia de salud humana, animal o vegetal, seguridad, trabajo, medio ambiente o protección a los consumidores?:</w:t>
            </w:r>
          </w:p>
          <w:p w:rsidR="003039BF" w:rsidRPr="005D5F2E" w:rsidRDefault="000233C0" w:rsidP="00710957">
            <w:pPr>
              <w:jc w:val="both"/>
            </w:pPr>
            <w:r w:rsidRPr="005D5F2E">
              <w:rPr>
                <w:rFonts w:asciiTheme="majorHAnsi" w:eastAsia="Times New Roman" w:hAnsiTheme="majorHAnsi" w:cs="Arial"/>
                <w:sz w:val="20"/>
                <w:szCs w:val="20"/>
                <w:lang w:eastAsia="es-ES"/>
              </w:rPr>
              <w:t>N</w:t>
            </w:r>
            <w:r w:rsidR="00DA1F90" w:rsidRPr="005D5F2E">
              <w:rPr>
                <w:rFonts w:asciiTheme="majorHAnsi" w:eastAsia="Times New Roman" w:hAnsiTheme="majorHAnsi" w:cs="Arial"/>
                <w:sz w:val="20"/>
                <w:szCs w:val="20"/>
                <w:lang w:eastAsia="es-ES"/>
              </w:rPr>
              <w:t>ingun</w:t>
            </w:r>
            <w:r w:rsidRPr="005D5F2E">
              <w:rPr>
                <w:rFonts w:asciiTheme="majorHAnsi" w:eastAsia="Times New Roman" w:hAnsiTheme="majorHAnsi" w:cs="Arial"/>
                <w:sz w:val="20"/>
                <w:szCs w:val="20"/>
                <w:lang w:eastAsia="es-ES"/>
              </w:rPr>
              <w:t>o.</w:t>
            </w:r>
          </w:p>
        </w:tc>
      </w:tr>
    </w:tbl>
    <w:p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3039BF" w:rsidRPr="005D5F2E" w:rsidTr="003039BF">
        <w:tc>
          <w:tcPr>
            <w:tcW w:w="8828" w:type="dxa"/>
          </w:tcPr>
          <w:p w:rsidR="003039BF" w:rsidRPr="005D5F2E" w:rsidRDefault="003039BF" w:rsidP="001932FC">
            <w:pPr>
              <w:jc w:val="both"/>
              <w:rPr>
                <w:b/>
                <w:sz w:val="20"/>
              </w:rPr>
            </w:pPr>
            <w:r w:rsidRPr="005D5F2E">
              <w:rPr>
                <w:b/>
                <w:sz w:val="20"/>
              </w:rPr>
              <w:t>8.- ¿El anteproyecto de regulación propuesto creará, modificará o eliminará trámites a su entrada en vigor?:</w:t>
            </w:r>
          </w:p>
          <w:p w:rsidR="008B3432" w:rsidRPr="005D5F2E" w:rsidRDefault="00604B06" w:rsidP="00362C7D">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El presente Anteproyecto a su entrada en vigor creará los siguientes trámites:</w:t>
            </w:r>
          </w:p>
          <w:p w:rsidR="00795F31" w:rsidRDefault="00795F31" w:rsidP="00144DF4">
            <w:pPr>
              <w:rPr>
                <w:lang w:eastAsia="es-ES"/>
              </w:rPr>
            </w:pPr>
          </w:p>
          <w:p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1C0846">
              <w:rPr>
                <w:rFonts w:asciiTheme="majorHAnsi" w:eastAsia="Times New Roman" w:hAnsiTheme="majorHAnsi" w:cs="Arial"/>
                <w:b/>
                <w:sz w:val="20"/>
                <w:szCs w:val="20"/>
                <w:lang w:eastAsia="es-ES"/>
              </w:rPr>
              <w:t>1</w:t>
            </w:r>
            <w:r>
              <w:rPr>
                <w:rFonts w:asciiTheme="majorHAnsi" w:eastAsia="Times New Roman" w:hAnsiTheme="majorHAnsi" w:cs="Arial"/>
                <w:b/>
                <w:sz w:val="20"/>
                <w:szCs w:val="20"/>
                <w:lang w:eastAsia="es-ES"/>
              </w:rPr>
              <w:t>.</w:t>
            </w:r>
          </w:p>
          <w:p w:rsidR="00D21032" w:rsidRPr="005D5F2E" w:rsidRDefault="00D21032" w:rsidP="00D21032">
            <w:pPr>
              <w:ind w:right="616"/>
              <w:jc w:val="both"/>
              <w:rPr>
                <w:rFonts w:asciiTheme="majorHAnsi" w:eastAsia="Times New Roman" w:hAnsiTheme="majorHAnsi" w:cs="Arial"/>
                <w:b/>
                <w:sz w:val="20"/>
                <w:szCs w:val="20"/>
                <w:lang w:eastAsia="es-ES"/>
              </w:rPr>
            </w:pPr>
          </w:p>
          <w:p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Solicitud del Certificado de Homologación (Numeral 8</w:t>
            </w:r>
            <w:r w:rsidR="00C74B45">
              <w:rPr>
                <w:rFonts w:asciiTheme="majorHAnsi" w:eastAsia="Times New Roman" w:hAnsiTheme="majorHAnsi" w:cs="Arial"/>
                <w:sz w:val="20"/>
                <w:szCs w:val="20"/>
                <w:lang w:eastAsia="es-ES"/>
              </w:rPr>
              <w:t xml:space="preserve"> </w:t>
            </w:r>
            <w:r w:rsidR="00AA0382">
              <w:rPr>
                <w:rFonts w:asciiTheme="majorHAnsi" w:eastAsia="Times New Roman" w:hAnsiTheme="majorHAnsi" w:cs="Arial"/>
                <w:sz w:val="20"/>
                <w:szCs w:val="20"/>
                <w:lang w:eastAsia="es-ES"/>
              </w:rPr>
              <w:t>Evaluación de la Conformidad d</w:t>
            </w:r>
            <w:r>
              <w:rPr>
                <w:rFonts w:asciiTheme="majorHAnsi" w:eastAsia="Times New Roman" w:hAnsiTheme="majorHAnsi" w:cs="Arial"/>
                <w:sz w:val="20"/>
                <w:szCs w:val="20"/>
                <w:lang w:eastAsia="es-ES"/>
              </w:rPr>
              <w:t xml:space="preserve">el </w:t>
            </w:r>
            <w:r w:rsidR="00AA0382">
              <w:rPr>
                <w:rFonts w:asciiTheme="majorHAnsi" w:eastAsia="Times New Roman" w:hAnsiTheme="majorHAnsi" w:cs="Arial"/>
                <w:sz w:val="20"/>
                <w:szCs w:val="20"/>
                <w:lang w:eastAsia="es-ES"/>
              </w:rPr>
              <w:t>A</w:t>
            </w:r>
            <w:r>
              <w:rPr>
                <w:rFonts w:asciiTheme="majorHAnsi" w:eastAsia="Times New Roman" w:hAnsiTheme="majorHAnsi" w:cs="Arial"/>
                <w:sz w:val="20"/>
                <w:szCs w:val="20"/>
                <w:lang w:eastAsia="es-ES"/>
              </w:rPr>
              <w:t>nteproyecto).</w:t>
            </w:r>
          </w:p>
          <w:p w:rsidR="00D21032" w:rsidRDefault="00D21032" w:rsidP="00D21032">
            <w:pPr>
              <w:ind w:right="78"/>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Artículos 3, fracción XXIV, 289, 290 de la Ley Federal de</w:t>
            </w:r>
            <w:r>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Telecomunicaciones y Radiodifusión, publicada en el DOF el 14 de julio de 2014, y Artículo 4 de los "Procedimientos de evaluación de la conformidad de productos sujetos al cumplimiento de normas oficiales mexicanas de la competencia de la Secretaria de Comunicaciones y Transportes a través de la Comisión Federal de Telecomunicaciones", publicados en el DOF el 11 de agosto de 2005</w:t>
            </w:r>
            <w:r>
              <w:rPr>
                <w:rFonts w:asciiTheme="majorHAnsi" w:eastAsia="Times New Roman" w:hAnsiTheme="majorHAnsi" w:cs="Arial"/>
                <w:sz w:val="20"/>
                <w:szCs w:val="20"/>
                <w:lang w:eastAsia="es-ES"/>
              </w:rPr>
              <w:t>.</w:t>
            </w:r>
          </w:p>
          <w:p w:rsidR="00D21032" w:rsidRPr="005D5F2E" w:rsidRDefault="00D21032" w:rsidP="00D21032">
            <w:pPr>
              <w:ind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Obligación.</w:t>
            </w:r>
          </w:p>
          <w:p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sidR="00054D9D">
              <w:rPr>
                <w:rFonts w:asciiTheme="majorHAnsi" w:eastAsia="Times New Roman" w:hAnsiTheme="majorHAnsi" w:cs="Arial"/>
                <w:sz w:val="20"/>
                <w:szCs w:val="20"/>
                <w:lang w:eastAsia="es-ES"/>
              </w:rPr>
              <w:t>Conforme al tipo de Certificado de Homologación solicitado</w:t>
            </w:r>
            <w:r w:rsidR="001D7F5A">
              <w:rPr>
                <w:rFonts w:asciiTheme="majorHAnsi" w:eastAsia="Times New Roman" w:hAnsiTheme="majorHAnsi" w:cs="Arial"/>
                <w:sz w:val="20"/>
                <w:szCs w:val="20"/>
                <w:lang w:eastAsia="es-ES"/>
              </w:rPr>
              <w:t>.</w:t>
            </w:r>
            <w:r w:rsidR="001D7F5A" w:rsidDel="001D7F5A">
              <w:rPr>
                <w:rFonts w:asciiTheme="majorHAnsi" w:eastAsia="Times New Roman" w:hAnsiTheme="majorHAnsi" w:cs="Arial"/>
                <w:sz w:val="20"/>
                <w:szCs w:val="20"/>
                <w:lang w:eastAsia="es-ES"/>
              </w:rPr>
              <w:t xml:space="preserve"> </w:t>
            </w:r>
          </w:p>
          <w:p w:rsidR="00D21032" w:rsidRPr="005D5F2E" w:rsidRDefault="00D21032" w:rsidP="00D21032">
            <w:pPr>
              <w:jc w:val="both"/>
              <w:rPr>
                <w:rFonts w:asciiTheme="majorHAnsi" w:eastAsia="Times New Roman" w:hAnsiTheme="majorHAnsi" w:cs="Arial"/>
                <w:sz w:val="20"/>
                <w:szCs w:val="20"/>
                <w:lang w:eastAsia="es-ES"/>
              </w:rPr>
            </w:pPr>
            <w:r w:rsidRPr="000642AC">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p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rsidR="00D21032" w:rsidRPr="00794F6D" w:rsidRDefault="00D21032" w:rsidP="000D75EC">
            <w:pPr>
              <w:pStyle w:val="Prrafodelista"/>
              <w:numPr>
                <w:ilvl w:val="0"/>
                <w:numId w:val="11"/>
              </w:numPr>
              <w:ind w:left="313" w:right="616"/>
              <w:jc w:val="both"/>
              <w:rPr>
                <w:rFonts w:asciiTheme="majorHAnsi" w:eastAsia="Times New Roman" w:hAnsiTheme="majorHAnsi" w:cs="Arial"/>
                <w:b/>
                <w:sz w:val="20"/>
                <w:szCs w:val="20"/>
                <w:lang w:eastAsia="es-ES"/>
              </w:rPr>
            </w:pPr>
            <w:r w:rsidRPr="00794F6D">
              <w:rPr>
                <w:rFonts w:asciiTheme="majorHAnsi" w:eastAsia="Times New Roman" w:hAnsiTheme="majorHAnsi" w:cs="Arial"/>
                <w:b/>
                <w:sz w:val="20"/>
                <w:szCs w:val="20"/>
                <w:lang w:eastAsia="es-ES"/>
              </w:rPr>
              <w:t>Datos de</w:t>
            </w:r>
            <w:r w:rsidR="00971BC6">
              <w:rPr>
                <w:rFonts w:asciiTheme="majorHAnsi" w:eastAsia="Times New Roman" w:hAnsiTheme="majorHAnsi" w:cs="Arial"/>
                <w:b/>
                <w:sz w:val="20"/>
                <w:szCs w:val="20"/>
                <w:lang w:eastAsia="es-ES"/>
              </w:rPr>
              <w:t xml:space="preserve">l </w:t>
            </w:r>
            <w:r w:rsidR="00D51809">
              <w:rPr>
                <w:rFonts w:asciiTheme="majorHAnsi" w:eastAsia="Times New Roman" w:hAnsiTheme="majorHAnsi" w:cs="Arial"/>
                <w:b/>
                <w:sz w:val="20"/>
                <w:szCs w:val="20"/>
                <w:lang w:eastAsia="es-ES"/>
              </w:rPr>
              <w:t>solicitante</w:t>
            </w:r>
            <w:r w:rsidR="00241F5D">
              <w:rPr>
                <w:rFonts w:asciiTheme="majorHAnsi" w:eastAsia="Times New Roman" w:hAnsiTheme="majorHAnsi" w:cs="Arial"/>
                <w:b/>
                <w:sz w:val="20"/>
                <w:szCs w:val="20"/>
                <w:lang w:eastAsia="es-ES"/>
              </w:rPr>
              <w:t xml:space="preserve"> conforme al PEC vigente</w:t>
            </w:r>
          </w:p>
          <w:p w:rsidR="00D21032" w:rsidRPr="00DC5F4B" w:rsidRDefault="00D21032" w:rsidP="000D75EC">
            <w:pPr>
              <w:pStyle w:val="Prrafodelista"/>
              <w:numPr>
                <w:ilvl w:val="0"/>
                <w:numId w:val="9"/>
              </w:numPr>
              <w:ind w:left="880" w:right="616"/>
              <w:jc w:val="both"/>
              <w:rPr>
                <w:rFonts w:asciiTheme="majorHAnsi" w:eastAsia="Times New Roman" w:hAnsiTheme="majorHAnsi" w:cs="Arial"/>
                <w:sz w:val="20"/>
                <w:szCs w:val="20"/>
                <w:lang w:eastAsia="es-ES"/>
              </w:rPr>
            </w:pPr>
            <w:r w:rsidRPr="00DC5F4B">
              <w:rPr>
                <w:rFonts w:asciiTheme="majorHAnsi" w:eastAsia="Times New Roman" w:hAnsiTheme="majorHAnsi" w:cs="Arial"/>
                <w:sz w:val="20"/>
                <w:szCs w:val="20"/>
                <w:lang w:eastAsia="es-ES"/>
              </w:rPr>
              <w:t>Nombre o Razón Social.</w:t>
            </w:r>
          </w:p>
          <w:p w:rsidR="00971BC6" w:rsidRDefault="00D21032" w:rsidP="000D75EC">
            <w:pPr>
              <w:pStyle w:val="Prrafodelista"/>
              <w:numPr>
                <w:ilvl w:val="0"/>
                <w:numId w:val="9"/>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rsidR="00D21032" w:rsidRPr="005D5F2E" w:rsidRDefault="00D21032" w:rsidP="000D75EC">
            <w:pPr>
              <w:pStyle w:val="Prrafodelista"/>
              <w:numPr>
                <w:ilvl w:val="0"/>
                <w:numId w:val="9"/>
              </w:numPr>
              <w:ind w:left="880" w:right="-64"/>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w:t>
            </w:r>
            <w:r w:rsidR="00D40DD6">
              <w:rPr>
                <w:rFonts w:asciiTheme="majorHAnsi" w:eastAsia="Times New Roman" w:hAnsiTheme="majorHAnsi" w:cs="Arial"/>
                <w:sz w:val="20"/>
                <w:szCs w:val="20"/>
                <w:lang w:eastAsia="es-ES"/>
              </w:rPr>
              <w:t xml:space="preserve"> fiscal</w:t>
            </w:r>
            <w:r w:rsidRPr="005D5F2E">
              <w:rPr>
                <w:rFonts w:asciiTheme="majorHAnsi" w:eastAsia="Times New Roman" w:hAnsiTheme="majorHAnsi" w:cs="Arial"/>
                <w:sz w:val="20"/>
                <w:szCs w:val="20"/>
                <w:lang w:eastAsia="es-ES"/>
              </w:rPr>
              <w:t xml:space="preserve"> </w:t>
            </w:r>
            <w:r w:rsidR="009E5464">
              <w:rPr>
                <w:rFonts w:asciiTheme="majorHAnsi" w:eastAsia="Times New Roman" w:hAnsiTheme="majorHAnsi" w:cs="Arial"/>
                <w:sz w:val="20"/>
                <w:szCs w:val="20"/>
                <w:lang w:eastAsia="es-ES"/>
              </w:rPr>
              <w:t>(Calle, número exterior, número interior, colonia, municipio o delegación política código postal y entidad federativa)</w:t>
            </w:r>
            <w:r w:rsidR="009E5464" w:rsidRPr="005D5F2E">
              <w:rPr>
                <w:rFonts w:asciiTheme="majorHAnsi" w:eastAsia="Times New Roman" w:hAnsiTheme="majorHAnsi" w:cs="Arial"/>
                <w:sz w:val="20"/>
                <w:szCs w:val="20"/>
                <w:lang w:eastAsia="es-ES"/>
              </w:rPr>
              <w:t>.</w:t>
            </w:r>
          </w:p>
          <w:p w:rsidR="0014101F" w:rsidRDefault="00D21032" w:rsidP="000D75EC">
            <w:pPr>
              <w:pStyle w:val="Prrafodelista"/>
              <w:numPr>
                <w:ilvl w:val="0"/>
                <w:numId w:val="9"/>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Teléfono(s)</w:t>
            </w:r>
            <w:r w:rsidR="009E5464">
              <w:rPr>
                <w:rFonts w:asciiTheme="majorHAnsi" w:eastAsia="Times New Roman" w:hAnsiTheme="majorHAnsi" w:cs="Arial"/>
                <w:sz w:val="20"/>
                <w:szCs w:val="20"/>
                <w:lang w:eastAsia="es-ES"/>
              </w:rPr>
              <w:t>.</w:t>
            </w:r>
          </w:p>
          <w:p w:rsidR="00D21032" w:rsidRPr="005D5F2E" w:rsidRDefault="0014101F" w:rsidP="000D75EC">
            <w:pPr>
              <w:pStyle w:val="Prrafodelista"/>
              <w:numPr>
                <w:ilvl w:val="0"/>
                <w:numId w:val="9"/>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00D21032" w:rsidRPr="005D5F2E">
              <w:rPr>
                <w:rFonts w:asciiTheme="majorHAnsi" w:eastAsia="Times New Roman" w:hAnsiTheme="majorHAnsi" w:cs="Arial"/>
                <w:sz w:val="20"/>
                <w:szCs w:val="20"/>
                <w:lang w:eastAsia="es-ES"/>
              </w:rPr>
              <w:t>orreo electrónico.</w:t>
            </w:r>
          </w:p>
          <w:p w:rsidR="00D21032" w:rsidRPr="005D5F2E" w:rsidRDefault="00D21032" w:rsidP="000D75EC">
            <w:pPr>
              <w:pStyle w:val="Prrafodelista"/>
              <w:numPr>
                <w:ilvl w:val="0"/>
                <w:numId w:val="9"/>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Giro de la empresa.</w:t>
            </w:r>
          </w:p>
          <w:p w:rsidR="00D21032" w:rsidRPr="005D5F2E" w:rsidRDefault="00D21032" w:rsidP="000D75EC">
            <w:pPr>
              <w:pStyle w:val="Prrafodelista"/>
              <w:numPr>
                <w:ilvl w:val="0"/>
                <w:numId w:val="9"/>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Nombre de la persona que realiza el trámite.</w:t>
            </w:r>
          </w:p>
          <w:p w:rsidR="00D21032" w:rsidRPr="00173923" w:rsidRDefault="00D21032" w:rsidP="000D75EC">
            <w:pPr>
              <w:pStyle w:val="Prrafodelista"/>
              <w:numPr>
                <w:ilvl w:val="0"/>
                <w:numId w:val="11"/>
              </w:numPr>
              <w:ind w:left="313" w:right="616"/>
              <w:jc w:val="both"/>
              <w:rPr>
                <w:rFonts w:asciiTheme="majorHAnsi" w:eastAsia="Times New Roman" w:hAnsiTheme="majorHAnsi" w:cs="Arial"/>
                <w:b/>
                <w:sz w:val="20"/>
                <w:szCs w:val="20"/>
                <w:lang w:eastAsia="es-ES"/>
              </w:rPr>
            </w:pPr>
            <w:r w:rsidRPr="00173923">
              <w:rPr>
                <w:rFonts w:asciiTheme="majorHAnsi" w:eastAsia="Times New Roman" w:hAnsiTheme="majorHAnsi" w:cs="Arial"/>
                <w:b/>
                <w:sz w:val="20"/>
                <w:szCs w:val="20"/>
                <w:lang w:eastAsia="es-ES"/>
              </w:rPr>
              <w:t>Datos del representante legal (en su caso)</w:t>
            </w:r>
            <w:r w:rsidR="00241F5D">
              <w:rPr>
                <w:rFonts w:asciiTheme="majorHAnsi" w:eastAsia="Times New Roman" w:hAnsiTheme="majorHAnsi" w:cs="Arial"/>
                <w:b/>
                <w:sz w:val="20"/>
                <w:szCs w:val="20"/>
                <w:lang w:eastAsia="es-ES"/>
              </w:rPr>
              <w:t xml:space="preserve"> conforme al PEC vigente</w:t>
            </w:r>
            <w:r w:rsidRPr="00173923">
              <w:rPr>
                <w:rFonts w:asciiTheme="majorHAnsi" w:eastAsia="Times New Roman" w:hAnsiTheme="majorHAnsi" w:cs="Arial"/>
                <w:b/>
                <w:sz w:val="20"/>
                <w:szCs w:val="20"/>
                <w:lang w:eastAsia="es-ES"/>
              </w:rPr>
              <w:t>.</w:t>
            </w:r>
          </w:p>
          <w:p w:rsidR="009748FC" w:rsidRDefault="009748FC" w:rsidP="000D75EC">
            <w:pPr>
              <w:pStyle w:val="Prrafodelista"/>
              <w:numPr>
                <w:ilvl w:val="0"/>
                <w:numId w:val="21"/>
              </w:numPr>
              <w:ind w:left="880" w:right="616"/>
              <w:jc w:val="both"/>
              <w:rPr>
                <w:rFonts w:asciiTheme="majorHAnsi" w:eastAsia="Times New Roman" w:hAnsiTheme="majorHAnsi" w:cs="Arial"/>
                <w:sz w:val="20"/>
                <w:szCs w:val="20"/>
                <w:lang w:eastAsia="es-ES"/>
              </w:rPr>
            </w:pPr>
            <w:r w:rsidRPr="00173923">
              <w:rPr>
                <w:rFonts w:asciiTheme="majorHAnsi" w:eastAsia="Times New Roman" w:hAnsiTheme="majorHAnsi" w:cs="Arial"/>
                <w:sz w:val="20"/>
                <w:szCs w:val="20"/>
                <w:lang w:eastAsia="es-ES"/>
              </w:rPr>
              <w:t>Nombre, Apellido Paterno, Apellido Materno.</w:t>
            </w:r>
          </w:p>
          <w:p w:rsidR="009748FC" w:rsidRDefault="009748FC" w:rsidP="000D75EC">
            <w:pPr>
              <w:pStyle w:val="Prrafodelista"/>
              <w:numPr>
                <w:ilvl w:val="0"/>
                <w:numId w:val="2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Registro Federal de Contribuyentes (RFC).</w:t>
            </w:r>
          </w:p>
          <w:p w:rsidR="009748FC" w:rsidRDefault="009748FC" w:rsidP="000D75EC">
            <w:pPr>
              <w:pStyle w:val="Prrafodelista"/>
              <w:numPr>
                <w:ilvl w:val="0"/>
                <w:numId w:val="2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Clave Única de Registro de Población (CURP).</w:t>
            </w:r>
          </w:p>
          <w:p w:rsidR="009748FC" w:rsidRDefault="009748FC" w:rsidP="000D75EC">
            <w:pPr>
              <w:pStyle w:val="Prrafodelista"/>
              <w:numPr>
                <w:ilvl w:val="0"/>
                <w:numId w:val="2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r w:rsidR="00E77050">
              <w:rPr>
                <w:rFonts w:asciiTheme="majorHAnsi" w:eastAsia="Times New Roman" w:hAnsiTheme="majorHAnsi" w:cs="Arial"/>
                <w:sz w:val="20"/>
                <w:szCs w:val="20"/>
                <w:lang w:eastAsia="es-ES"/>
              </w:rPr>
              <w:t>.</w:t>
            </w:r>
          </w:p>
          <w:p w:rsidR="009748FC" w:rsidRDefault="009748FC" w:rsidP="000D75EC">
            <w:pPr>
              <w:pStyle w:val="Prrafodelista"/>
              <w:numPr>
                <w:ilvl w:val="0"/>
                <w:numId w:val="21"/>
              </w:numPr>
              <w:ind w:left="880" w:right="-64"/>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w:t>
            </w:r>
            <w:r>
              <w:rPr>
                <w:rFonts w:asciiTheme="majorHAnsi" w:eastAsia="Times New Roman" w:hAnsiTheme="majorHAnsi" w:cs="Arial"/>
                <w:sz w:val="20"/>
                <w:szCs w:val="20"/>
                <w:lang w:eastAsia="es-ES"/>
              </w:rPr>
              <w:t xml:space="preserve"> fiscal</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rsidR="0014101F" w:rsidRDefault="0014101F" w:rsidP="000D75EC">
            <w:pPr>
              <w:pStyle w:val="Prrafodelista"/>
              <w:numPr>
                <w:ilvl w:val="0"/>
                <w:numId w:val="2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w:t>
            </w:r>
          </w:p>
          <w:p w:rsidR="0014101F" w:rsidRPr="00173923" w:rsidRDefault="0014101F" w:rsidP="000D75EC">
            <w:pPr>
              <w:pStyle w:val="Prrafodelista"/>
              <w:numPr>
                <w:ilvl w:val="0"/>
                <w:numId w:val="21"/>
              </w:numPr>
              <w:ind w:left="880" w:right="616" w:hanging="284"/>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r w:rsidR="00E77050">
              <w:rPr>
                <w:rFonts w:asciiTheme="majorHAnsi" w:eastAsia="Times New Roman" w:hAnsiTheme="majorHAnsi" w:cs="Arial"/>
                <w:sz w:val="20"/>
                <w:szCs w:val="20"/>
                <w:lang w:eastAsia="es-ES"/>
              </w:rPr>
              <w:t>.</w:t>
            </w:r>
          </w:p>
          <w:p w:rsidR="00D21032" w:rsidRPr="005D5F2E" w:rsidRDefault="00D21032" w:rsidP="000D75EC">
            <w:pPr>
              <w:pStyle w:val="Prrafodelista"/>
              <w:numPr>
                <w:ilvl w:val="0"/>
                <w:numId w:val="9"/>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Firma autógrafa del solicitante o su representante legal en el Anexo </w:t>
            </w:r>
            <w:r>
              <w:rPr>
                <w:rFonts w:asciiTheme="majorHAnsi" w:eastAsia="Times New Roman" w:hAnsiTheme="majorHAnsi" w:cs="Arial"/>
                <w:sz w:val="20"/>
                <w:szCs w:val="20"/>
                <w:lang w:eastAsia="es-ES"/>
              </w:rPr>
              <w:t>8</w:t>
            </w:r>
            <w:r w:rsidR="00241F5D">
              <w:rPr>
                <w:rFonts w:asciiTheme="majorHAnsi" w:eastAsia="Times New Roman" w:hAnsiTheme="majorHAnsi" w:cs="Arial"/>
                <w:sz w:val="20"/>
                <w:szCs w:val="20"/>
                <w:lang w:eastAsia="es-ES"/>
              </w:rPr>
              <w:t xml:space="preserve"> del PEC</w:t>
            </w:r>
            <w:r w:rsidRPr="005D5F2E">
              <w:rPr>
                <w:rFonts w:asciiTheme="majorHAnsi" w:eastAsia="Times New Roman" w:hAnsiTheme="majorHAnsi" w:cs="Arial"/>
                <w:sz w:val="20"/>
                <w:szCs w:val="20"/>
                <w:lang w:eastAsia="es-ES"/>
              </w:rPr>
              <w:t xml:space="preserve"> </w:t>
            </w:r>
          </w:p>
          <w:p w:rsidR="00D21032" w:rsidRPr="005D5F2E" w:rsidRDefault="00173923"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D21032" w:rsidRPr="005D5F2E">
              <w:rPr>
                <w:rFonts w:asciiTheme="majorHAnsi" w:eastAsia="Times New Roman" w:hAnsiTheme="majorHAnsi" w:cs="Arial"/>
                <w:b/>
                <w:sz w:val="20"/>
                <w:szCs w:val="20"/>
                <w:lang w:eastAsia="es-ES"/>
              </w:rPr>
              <w:t>. Documentos requeridos.</w:t>
            </w:r>
          </w:p>
          <w:p w:rsidR="00D21032" w:rsidRDefault="00D21032" w:rsidP="000D75EC">
            <w:pPr>
              <w:pStyle w:val="Prrafodelista"/>
              <w:numPr>
                <w:ilvl w:val="0"/>
                <w:numId w:val="10"/>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Certificado de C</w:t>
            </w:r>
            <w:r w:rsidR="00AA0382">
              <w:rPr>
                <w:rFonts w:asciiTheme="majorHAnsi" w:eastAsia="Times New Roman" w:hAnsiTheme="majorHAnsi" w:cs="Arial"/>
                <w:sz w:val="20"/>
                <w:szCs w:val="20"/>
                <w:lang w:eastAsia="es-ES"/>
              </w:rPr>
              <w:t>onformidad</w:t>
            </w:r>
            <w:r>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otorgado por un Organismo de Certificación autorizado en original</w:t>
            </w:r>
            <w:r w:rsidR="008D3E04">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w:t>
            </w:r>
          </w:p>
          <w:p w:rsidR="00D21032" w:rsidRDefault="00D21032" w:rsidP="000D75EC">
            <w:pPr>
              <w:pStyle w:val="Prrafodelista"/>
              <w:numPr>
                <w:ilvl w:val="0"/>
                <w:numId w:val="10"/>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rsidR="00D21032" w:rsidRPr="005D5F2E" w:rsidRDefault="00D21032" w:rsidP="000D75EC">
            <w:pPr>
              <w:pStyle w:val="Prrafodelista"/>
              <w:numPr>
                <w:ilvl w:val="0"/>
                <w:numId w:val="10"/>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rsidR="00D21032" w:rsidRDefault="00D21032" w:rsidP="000D75EC">
            <w:pPr>
              <w:pStyle w:val="Prrafodelista"/>
              <w:numPr>
                <w:ilvl w:val="0"/>
                <w:numId w:val="10"/>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Ficta: negativa.</w:t>
            </w:r>
          </w:p>
          <w:p w:rsidR="00D21032" w:rsidRPr="0016097D" w:rsidRDefault="00D21032" w:rsidP="000D75EC">
            <w:pPr>
              <w:pStyle w:val="Prrafodelista"/>
              <w:numPr>
                <w:ilvl w:val="0"/>
                <w:numId w:val="10"/>
              </w:numPr>
              <w:tabs>
                <w:tab w:val="left" w:pos="7990"/>
              </w:tabs>
              <w:ind w:right="78"/>
              <w:jc w:val="both"/>
              <w:rPr>
                <w:rFonts w:asciiTheme="majorHAnsi" w:eastAsia="Times New Roman" w:hAnsiTheme="majorHAnsi" w:cs="Arial"/>
                <w:sz w:val="20"/>
                <w:szCs w:val="20"/>
                <w:lang w:eastAsia="es-ES"/>
              </w:rPr>
            </w:pPr>
            <w:r w:rsidRPr="0016097D">
              <w:rPr>
                <w:rFonts w:asciiTheme="majorHAnsi" w:eastAsia="Times New Roman" w:hAnsiTheme="majorHAnsi" w:cs="Arial"/>
                <w:sz w:val="20"/>
                <w:szCs w:val="20"/>
                <w:lang w:eastAsia="es-ES"/>
              </w:rPr>
              <w:t>Plazo máximo de entrega</w:t>
            </w:r>
            <w:r w:rsidRPr="0016097D">
              <w:rPr>
                <w:rFonts w:asciiTheme="majorHAnsi" w:eastAsia="Times New Roman" w:hAnsiTheme="majorHAnsi" w:cs="Arial"/>
                <w:b/>
                <w:sz w:val="20"/>
                <w:szCs w:val="20"/>
                <w:lang w:eastAsia="es-ES"/>
              </w:rPr>
              <w:t>:</w:t>
            </w:r>
            <w:r w:rsidR="001D7F5A">
              <w:rPr>
                <w:rFonts w:asciiTheme="majorHAnsi" w:eastAsia="Times New Roman" w:hAnsiTheme="majorHAnsi" w:cs="Arial"/>
                <w:b/>
                <w:sz w:val="20"/>
                <w:szCs w:val="20"/>
                <w:lang w:eastAsia="es-ES"/>
              </w:rPr>
              <w:t xml:space="preserve"> </w:t>
            </w:r>
            <w:r w:rsidR="001D7F5A" w:rsidRPr="0016097D">
              <w:rPr>
                <w:rFonts w:asciiTheme="majorHAnsi" w:eastAsia="Times New Roman" w:hAnsiTheme="majorHAnsi" w:cs="Arial"/>
                <w:sz w:val="20"/>
                <w:szCs w:val="20"/>
                <w:lang w:eastAsia="es-ES"/>
              </w:rPr>
              <w:t>En un plazo no mayor a veint</w:t>
            </w:r>
            <w:r w:rsidR="00164AF1">
              <w:rPr>
                <w:rFonts w:asciiTheme="majorHAnsi" w:eastAsia="Times New Roman" w:hAnsiTheme="majorHAnsi" w:cs="Arial"/>
                <w:sz w:val="20"/>
                <w:szCs w:val="20"/>
                <w:lang w:eastAsia="es-ES"/>
              </w:rPr>
              <w:t>e</w:t>
            </w:r>
            <w:r w:rsidR="0087115E">
              <w:rPr>
                <w:rFonts w:asciiTheme="majorHAnsi" w:eastAsia="Times New Roman" w:hAnsiTheme="majorHAnsi" w:cs="Arial"/>
                <w:sz w:val="20"/>
                <w:szCs w:val="20"/>
                <w:lang w:eastAsia="es-ES"/>
              </w:rPr>
              <w:t xml:space="preserve"> </w:t>
            </w:r>
            <w:r w:rsidR="001D7F5A" w:rsidRPr="0016097D">
              <w:rPr>
                <w:rFonts w:asciiTheme="majorHAnsi" w:eastAsia="Times New Roman" w:hAnsiTheme="majorHAnsi" w:cs="Arial"/>
                <w:sz w:val="20"/>
                <w:szCs w:val="20"/>
                <w:lang w:eastAsia="es-ES"/>
              </w:rPr>
              <w:t>días hábiles contados a partir de la fecha de recepción de la solicitud</w:t>
            </w:r>
            <w:r w:rsidR="007C6462">
              <w:rPr>
                <w:rFonts w:asciiTheme="majorHAnsi" w:eastAsia="Times New Roman" w:hAnsiTheme="majorHAnsi" w:cs="Arial"/>
                <w:sz w:val="20"/>
                <w:szCs w:val="20"/>
                <w:lang w:eastAsia="es-ES"/>
              </w:rPr>
              <w:t>.</w:t>
            </w:r>
            <w:r w:rsidR="004678EF" w:rsidRPr="0016097D">
              <w:rPr>
                <w:rFonts w:asciiTheme="majorHAnsi" w:eastAsia="Times New Roman" w:hAnsiTheme="majorHAnsi" w:cs="Arial"/>
                <w:sz w:val="20"/>
                <w:szCs w:val="20"/>
                <w:lang w:eastAsia="es-ES"/>
              </w:rPr>
              <w:t xml:space="preserve"> </w:t>
            </w:r>
          </w:p>
          <w:p w:rsidR="00D21032" w:rsidRDefault="00D21032" w:rsidP="000D75EC">
            <w:pPr>
              <w:pStyle w:val="Prrafodelista"/>
              <w:numPr>
                <w:ilvl w:val="0"/>
                <w:numId w:val="10"/>
              </w:numPr>
              <w:tabs>
                <w:tab w:val="left" w:pos="7990"/>
              </w:tabs>
              <w:ind w:right="78"/>
              <w:jc w:val="both"/>
              <w:rPr>
                <w:rFonts w:asciiTheme="majorHAnsi" w:eastAsia="Times New Roman" w:hAnsiTheme="majorHAnsi" w:cs="Arial"/>
                <w:sz w:val="20"/>
                <w:szCs w:val="20"/>
                <w:lang w:eastAsia="es-ES"/>
              </w:rPr>
            </w:pPr>
            <w:r w:rsidRPr="006216B9">
              <w:rPr>
                <w:rFonts w:asciiTheme="majorHAnsi" w:eastAsia="Times New Roman" w:hAnsiTheme="majorHAnsi" w:cs="Arial"/>
                <w:sz w:val="20"/>
                <w:szCs w:val="20"/>
                <w:lang w:eastAsia="es-ES"/>
              </w:rPr>
              <w:t>Población</w:t>
            </w:r>
            <w:r w:rsidR="00E33AC4">
              <w:rPr>
                <w:rFonts w:asciiTheme="majorHAnsi" w:eastAsia="Times New Roman" w:hAnsiTheme="majorHAnsi" w:cs="Arial"/>
                <w:sz w:val="20"/>
                <w:szCs w:val="20"/>
                <w:lang w:eastAsia="es-ES"/>
              </w:rPr>
              <w:t xml:space="preserve"> </w:t>
            </w:r>
            <w:r w:rsidRPr="006216B9">
              <w:rPr>
                <w:rFonts w:asciiTheme="majorHAnsi" w:eastAsia="Times New Roman" w:hAnsiTheme="majorHAnsi" w:cs="Arial"/>
                <w:sz w:val="20"/>
                <w:szCs w:val="20"/>
                <w:lang w:eastAsia="es-ES"/>
              </w:rPr>
              <w:t>afectada:</w:t>
            </w:r>
            <w:r w:rsidR="00E33AC4">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F</w:t>
            </w:r>
            <w:r w:rsidRPr="006216B9">
              <w:rPr>
                <w:rFonts w:asciiTheme="majorHAnsi" w:eastAsia="Times New Roman" w:hAnsiTheme="majorHAnsi" w:cs="Arial"/>
                <w:sz w:val="20"/>
                <w:szCs w:val="20"/>
                <w:lang w:eastAsia="es-ES"/>
              </w:rPr>
              <w:t>abricantes</w:t>
            </w:r>
            <w:r w:rsidR="00E33AC4">
              <w:rPr>
                <w:rFonts w:asciiTheme="majorHAnsi" w:eastAsia="Times New Roman" w:hAnsiTheme="majorHAnsi" w:cs="Arial"/>
                <w:sz w:val="20"/>
                <w:szCs w:val="20"/>
                <w:lang w:eastAsia="es-ES"/>
              </w:rPr>
              <w:t xml:space="preserve"> y</w:t>
            </w:r>
            <w:r w:rsidRPr="006216B9">
              <w:rPr>
                <w:rFonts w:asciiTheme="majorHAnsi" w:eastAsia="Times New Roman" w:hAnsiTheme="majorHAnsi" w:cs="Arial"/>
                <w:sz w:val="20"/>
                <w:szCs w:val="20"/>
                <w:lang w:eastAsia="es-ES"/>
              </w:rPr>
              <w:t xml:space="preserve"> comercializadores</w:t>
            </w:r>
            <w:r w:rsidR="00E33AC4">
              <w:rPr>
                <w:rFonts w:asciiTheme="majorHAnsi" w:eastAsia="Times New Roman" w:hAnsiTheme="majorHAnsi" w:cs="Arial"/>
                <w:sz w:val="20"/>
                <w:szCs w:val="20"/>
                <w:lang w:eastAsia="es-ES"/>
              </w:rPr>
              <w:t xml:space="preserve"> </w:t>
            </w:r>
            <w:r w:rsidRPr="006216B9">
              <w:rPr>
                <w:rFonts w:asciiTheme="majorHAnsi" w:eastAsia="Times New Roman" w:hAnsiTheme="majorHAnsi" w:cs="Arial"/>
                <w:sz w:val="20"/>
                <w:szCs w:val="20"/>
                <w:lang w:eastAsia="es-ES"/>
              </w:rPr>
              <w:t>de equipos de telecomunicaciones o radiodifusión.</w:t>
            </w:r>
          </w:p>
          <w:p w:rsidR="000862BD" w:rsidRDefault="000862BD" w:rsidP="00D21032">
            <w:pPr>
              <w:ind w:right="616"/>
              <w:jc w:val="both"/>
              <w:rPr>
                <w:rFonts w:asciiTheme="majorHAnsi" w:eastAsia="Times New Roman" w:hAnsiTheme="majorHAnsi" w:cs="Arial"/>
                <w:b/>
                <w:sz w:val="20"/>
                <w:szCs w:val="20"/>
                <w:lang w:eastAsia="es-ES"/>
              </w:rPr>
            </w:pPr>
          </w:p>
          <w:p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A167DF">
              <w:rPr>
                <w:rFonts w:asciiTheme="majorHAnsi" w:eastAsia="Times New Roman" w:hAnsiTheme="majorHAnsi" w:cs="Arial"/>
                <w:b/>
                <w:sz w:val="20"/>
                <w:szCs w:val="20"/>
                <w:lang w:eastAsia="es-ES"/>
              </w:rPr>
              <w:t>2</w:t>
            </w:r>
            <w:r w:rsidR="0016097D">
              <w:rPr>
                <w:rFonts w:asciiTheme="majorHAnsi" w:eastAsia="Times New Roman" w:hAnsiTheme="majorHAnsi" w:cs="Arial"/>
                <w:b/>
                <w:sz w:val="20"/>
                <w:szCs w:val="20"/>
                <w:lang w:eastAsia="es-ES"/>
              </w:rPr>
              <w:t>.</w:t>
            </w:r>
          </w:p>
          <w:p w:rsidR="00D21032" w:rsidRPr="005D5F2E" w:rsidRDefault="00D21032" w:rsidP="00D21032">
            <w:pPr>
              <w:ind w:right="616"/>
              <w:jc w:val="both"/>
              <w:rPr>
                <w:rFonts w:asciiTheme="majorHAnsi" w:eastAsia="Times New Roman" w:hAnsiTheme="majorHAnsi" w:cs="Arial"/>
                <w:b/>
                <w:sz w:val="20"/>
                <w:szCs w:val="20"/>
                <w:lang w:eastAsia="es-ES"/>
              </w:rPr>
            </w:pPr>
          </w:p>
          <w:p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Pr>
                <w:rFonts w:asciiTheme="majorHAnsi" w:eastAsia="Times New Roman" w:hAnsiTheme="majorHAnsi" w:cs="Arial"/>
                <w:sz w:val="20"/>
                <w:szCs w:val="20"/>
                <w:lang w:eastAsia="es-ES"/>
              </w:rPr>
              <w:t xml:space="preserve"> Aviso de incumplimiento y retiro de la vigencia del Certificado de C</w:t>
            </w:r>
            <w:r w:rsidR="00A167DF">
              <w:rPr>
                <w:rFonts w:asciiTheme="majorHAnsi" w:eastAsia="Times New Roman" w:hAnsiTheme="majorHAnsi" w:cs="Arial"/>
                <w:sz w:val="20"/>
                <w:szCs w:val="20"/>
                <w:lang w:eastAsia="es-ES"/>
              </w:rPr>
              <w:t xml:space="preserve">onformidad </w:t>
            </w:r>
            <w:r w:rsidR="00054D9D">
              <w:rPr>
                <w:rFonts w:asciiTheme="majorHAnsi" w:eastAsia="Times New Roman" w:hAnsiTheme="majorHAnsi" w:cs="Arial"/>
                <w:sz w:val="20"/>
                <w:szCs w:val="20"/>
                <w:lang w:eastAsia="es-ES"/>
              </w:rPr>
              <w:t>d</w:t>
            </w:r>
            <w:r>
              <w:rPr>
                <w:rFonts w:asciiTheme="majorHAnsi" w:eastAsia="Times New Roman" w:hAnsiTheme="majorHAnsi" w:cs="Arial"/>
                <w:sz w:val="20"/>
                <w:szCs w:val="20"/>
                <w:lang w:eastAsia="es-ES"/>
              </w:rPr>
              <w:t>el Organismo de Certificación</w:t>
            </w:r>
            <w:r w:rsidR="00054D9D">
              <w:rPr>
                <w:rFonts w:asciiTheme="majorHAnsi" w:eastAsia="Times New Roman" w:hAnsiTheme="majorHAnsi" w:cs="Arial"/>
                <w:sz w:val="20"/>
                <w:szCs w:val="20"/>
                <w:lang w:eastAsia="es-ES"/>
              </w:rPr>
              <w:t xml:space="preserve"> al Instituto</w:t>
            </w:r>
            <w:r w:rsidR="00943A2D">
              <w:rPr>
                <w:rFonts w:asciiTheme="majorHAnsi" w:eastAsia="Times New Roman" w:hAnsiTheme="majorHAnsi" w:cs="Arial"/>
                <w:sz w:val="20"/>
                <w:szCs w:val="20"/>
                <w:lang w:eastAsia="es-ES"/>
              </w:rPr>
              <w:t xml:space="preserve"> Federal de Telecomunicaciones</w:t>
            </w:r>
            <w:r>
              <w:rPr>
                <w:rFonts w:asciiTheme="majorHAnsi" w:eastAsia="Times New Roman" w:hAnsiTheme="majorHAnsi" w:cs="Arial"/>
                <w:sz w:val="20"/>
                <w:szCs w:val="20"/>
                <w:lang w:eastAsia="es-ES"/>
              </w:rPr>
              <w:t>. (Numeral 8</w:t>
            </w:r>
            <w:r w:rsidR="00A167DF">
              <w:rPr>
                <w:rFonts w:asciiTheme="majorHAnsi" w:eastAsia="Times New Roman" w:hAnsiTheme="majorHAnsi" w:cs="Arial"/>
                <w:sz w:val="20"/>
                <w:szCs w:val="20"/>
                <w:lang w:eastAsia="es-ES"/>
              </w:rPr>
              <w:t>.1</w:t>
            </w:r>
            <w:r>
              <w:rPr>
                <w:rFonts w:asciiTheme="majorHAnsi" w:eastAsia="Times New Roman" w:hAnsiTheme="majorHAnsi" w:cs="Arial"/>
                <w:sz w:val="20"/>
                <w:szCs w:val="20"/>
                <w:lang w:eastAsia="es-ES"/>
              </w:rPr>
              <w:t xml:space="preserve"> </w:t>
            </w:r>
            <w:r w:rsidRPr="00B16718">
              <w:rPr>
                <w:rFonts w:asciiTheme="majorHAnsi" w:eastAsia="Times New Roman" w:hAnsiTheme="majorHAnsi" w:cs="Arial"/>
                <w:sz w:val="20"/>
                <w:szCs w:val="20"/>
                <w:lang w:eastAsia="es-ES"/>
              </w:rPr>
              <w:t>Vigilancia de</w:t>
            </w:r>
            <w:r w:rsidR="009718E1">
              <w:rPr>
                <w:rFonts w:asciiTheme="majorHAnsi" w:eastAsia="Times New Roman" w:hAnsiTheme="majorHAnsi" w:cs="Arial"/>
                <w:sz w:val="20"/>
                <w:szCs w:val="20"/>
                <w:lang w:eastAsia="es-ES"/>
              </w:rPr>
              <w:t>l</w:t>
            </w:r>
            <w:r w:rsidRPr="00B16718">
              <w:rPr>
                <w:rFonts w:asciiTheme="majorHAnsi" w:eastAsia="Times New Roman" w:hAnsiTheme="majorHAnsi" w:cs="Arial"/>
                <w:sz w:val="20"/>
                <w:szCs w:val="20"/>
                <w:lang w:eastAsia="es-ES"/>
              </w:rPr>
              <w:t xml:space="preserve"> </w:t>
            </w:r>
            <w:r w:rsidR="009718E1">
              <w:rPr>
                <w:rFonts w:asciiTheme="majorHAnsi" w:eastAsia="Times New Roman" w:hAnsiTheme="majorHAnsi" w:cs="Arial"/>
                <w:sz w:val="20"/>
                <w:szCs w:val="20"/>
                <w:lang w:eastAsia="es-ES"/>
              </w:rPr>
              <w:t xml:space="preserve">cumplimiento </w:t>
            </w:r>
            <w:r w:rsidRPr="00B16718">
              <w:rPr>
                <w:rFonts w:asciiTheme="majorHAnsi" w:eastAsia="Times New Roman" w:hAnsiTheme="majorHAnsi" w:cs="Arial"/>
                <w:sz w:val="20"/>
                <w:szCs w:val="20"/>
                <w:lang w:eastAsia="es-ES"/>
              </w:rPr>
              <w:t>la Certificación</w:t>
            </w:r>
            <w:r>
              <w:rPr>
                <w:rFonts w:asciiTheme="majorHAnsi" w:eastAsia="Times New Roman" w:hAnsiTheme="majorHAnsi" w:cs="Arial"/>
                <w:sz w:val="20"/>
                <w:szCs w:val="20"/>
                <w:lang w:eastAsia="es-ES"/>
              </w:rPr>
              <w:t xml:space="preserve"> del anteproyecto)</w:t>
            </w:r>
            <w:r w:rsidR="0016097D">
              <w:rPr>
                <w:rFonts w:asciiTheme="majorHAnsi" w:eastAsia="Times New Roman" w:hAnsiTheme="majorHAnsi" w:cs="Arial"/>
                <w:sz w:val="20"/>
                <w:szCs w:val="20"/>
                <w:lang w:eastAsia="es-ES"/>
              </w:rPr>
              <w:t>.</w:t>
            </w:r>
          </w:p>
          <w:p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rsidR="00D21032" w:rsidRPr="005D5F2E" w:rsidRDefault="00D21032" w:rsidP="00D21032">
            <w:pPr>
              <w:jc w:val="both"/>
              <w:rPr>
                <w:rFonts w:asciiTheme="majorHAnsi" w:eastAsia="Times New Roman" w:hAnsiTheme="majorHAnsi" w:cs="Arial"/>
                <w:sz w:val="20"/>
                <w:szCs w:val="20"/>
                <w:lang w:eastAsia="es-ES"/>
              </w:rPr>
            </w:pPr>
            <w:r w:rsidRPr="00C74B45">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Electrónica a través del portal del Instituto</w:t>
            </w:r>
            <w:r w:rsidR="00C74B45">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w:t>
            </w:r>
          </w:p>
          <w:p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rsidR="00D21032" w:rsidRPr="00CA28EC" w:rsidRDefault="00D21032" w:rsidP="000D75EC">
            <w:pPr>
              <w:pStyle w:val="Prrafodelista"/>
              <w:numPr>
                <w:ilvl w:val="0"/>
                <w:numId w:val="15"/>
              </w:numPr>
              <w:ind w:right="616"/>
              <w:jc w:val="both"/>
              <w:rPr>
                <w:rFonts w:asciiTheme="majorHAnsi" w:eastAsia="Times New Roman" w:hAnsiTheme="majorHAnsi" w:cs="Arial"/>
                <w:b/>
                <w:sz w:val="20"/>
                <w:szCs w:val="20"/>
                <w:lang w:eastAsia="es-ES"/>
              </w:rPr>
            </w:pPr>
            <w:r w:rsidRPr="00CA28EC">
              <w:rPr>
                <w:rFonts w:asciiTheme="majorHAnsi" w:eastAsia="Times New Roman" w:hAnsiTheme="majorHAnsi" w:cs="Arial"/>
                <w:b/>
                <w:sz w:val="20"/>
                <w:szCs w:val="20"/>
                <w:lang w:eastAsia="es-ES"/>
              </w:rPr>
              <w:t>Datos de información.</w:t>
            </w:r>
          </w:p>
          <w:p w:rsidR="00D21032" w:rsidRPr="00794F6D" w:rsidRDefault="00D21032" w:rsidP="000D75EC">
            <w:pPr>
              <w:pStyle w:val="Prrafodelista"/>
              <w:numPr>
                <w:ilvl w:val="0"/>
                <w:numId w:val="16"/>
              </w:numPr>
              <w:ind w:left="880" w:right="616" w:hanging="42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rsidR="00D21032" w:rsidRDefault="00D21032" w:rsidP="000D75EC">
            <w:pPr>
              <w:pStyle w:val="Prrafodelista"/>
              <w:numPr>
                <w:ilvl w:val="0"/>
                <w:numId w:val="16"/>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rsidR="00D21032" w:rsidRPr="005D5F2E" w:rsidRDefault="00D21032" w:rsidP="000D75EC">
            <w:pPr>
              <w:pStyle w:val="Prrafodelista"/>
              <w:numPr>
                <w:ilvl w:val="0"/>
                <w:numId w:val="16"/>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 fiscal</w:t>
            </w:r>
            <w:r w:rsidR="006E1D5D">
              <w:rPr>
                <w:rFonts w:asciiTheme="majorHAnsi" w:eastAsia="Times New Roman" w:hAnsiTheme="majorHAnsi" w:cs="Arial"/>
                <w:sz w:val="20"/>
                <w:szCs w:val="20"/>
                <w:lang w:eastAsia="es-ES"/>
              </w:rPr>
              <w:t xml:space="preserve"> (Calle,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rsidR="006E1D5D" w:rsidRDefault="00D21032" w:rsidP="000D75EC">
            <w:pPr>
              <w:pStyle w:val="Prrafodelista"/>
              <w:numPr>
                <w:ilvl w:val="0"/>
                <w:numId w:val="16"/>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Teléfono(s)</w:t>
            </w:r>
            <w:r w:rsidR="00D62D7F">
              <w:rPr>
                <w:rFonts w:asciiTheme="majorHAnsi" w:eastAsia="Times New Roman" w:hAnsiTheme="majorHAnsi" w:cs="Arial"/>
                <w:sz w:val="20"/>
                <w:szCs w:val="20"/>
                <w:lang w:eastAsia="es-ES"/>
              </w:rPr>
              <w:t xml:space="preserve"> y extensión</w:t>
            </w:r>
            <w:r w:rsidR="008A1FC1">
              <w:rPr>
                <w:rFonts w:asciiTheme="majorHAnsi" w:eastAsia="Times New Roman" w:hAnsiTheme="majorHAnsi" w:cs="Arial"/>
                <w:sz w:val="20"/>
                <w:szCs w:val="20"/>
                <w:lang w:eastAsia="es-ES"/>
              </w:rPr>
              <w:t>.</w:t>
            </w:r>
          </w:p>
          <w:p w:rsidR="00D21032" w:rsidRPr="005D5F2E" w:rsidRDefault="006E1D5D" w:rsidP="000D75EC">
            <w:pPr>
              <w:pStyle w:val="Prrafodelista"/>
              <w:numPr>
                <w:ilvl w:val="0"/>
                <w:numId w:val="16"/>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00D21032" w:rsidRPr="005D5F2E">
              <w:rPr>
                <w:rFonts w:asciiTheme="majorHAnsi" w:eastAsia="Times New Roman" w:hAnsiTheme="majorHAnsi" w:cs="Arial"/>
                <w:sz w:val="20"/>
                <w:szCs w:val="20"/>
                <w:lang w:eastAsia="es-ES"/>
              </w:rPr>
              <w:t>orreo electrónico.</w:t>
            </w:r>
          </w:p>
          <w:p w:rsidR="00D21032" w:rsidRPr="008A1FC1" w:rsidRDefault="00D21032" w:rsidP="000D75EC">
            <w:pPr>
              <w:pStyle w:val="Prrafodelista"/>
              <w:numPr>
                <w:ilvl w:val="0"/>
                <w:numId w:val="15"/>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rsidR="006E1D5D" w:rsidRDefault="006E1D5D" w:rsidP="000D75EC">
            <w:pPr>
              <w:pStyle w:val="Prrafodelista"/>
              <w:numPr>
                <w:ilvl w:val="0"/>
                <w:numId w:val="22"/>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rsidR="006E1D5D" w:rsidRDefault="006E1D5D" w:rsidP="000D75EC">
            <w:pPr>
              <w:pStyle w:val="Prrafodelista"/>
              <w:numPr>
                <w:ilvl w:val="0"/>
                <w:numId w:val="22"/>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rsidR="006E1D5D" w:rsidRDefault="006E1D5D" w:rsidP="000D75EC">
            <w:pPr>
              <w:pStyle w:val="Prrafodelista"/>
              <w:numPr>
                <w:ilvl w:val="0"/>
                <w:numId w:val="22"/>
              </w:numPr>
              <w:ind w:left="88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rsidR="006E1D5D" w:rsidRDefault="006E1D5D" w:rsidP="000D75EC">
            <w:pPr>
              <w:pStyle w:val="Prrafodelista"/>
              <w:numPr>
                <w:ilvl w:val="0"/>
                <w:numId w:val="22"/>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 y extensión.</w:t>
            </w:r>
          </w:p>
          <w:p w:rsidR="006E1D5D" w:rsidRPr="008A1FC1" w:rsidRDefault="006E1D5D" w:rsidP="000D75EC">
            <w:pPr>
              <w:pStyle w:val="Prrafodelista"/>
              <w:numPr>
                <w:ilvl w:val="0"/>
                <w:numId w:val="22"/>
              </w:numPr>
              <w:ind w:left="880" w:right="616"/>
              <w:jc w:val="both"/>
              <w:rPr>
                <w:rFonts w:asciiTheme="majorHAnsi" w:eastAsia="Times New Roman" w:hAnsiTheme="majorHAnsi" w:cs="Arial"/>
                <w:b/>
                <w:sz w:val="20"/>
                <w:szCs w:val="20"/>
                <w:lang w:eastAsia="es-ES"/>
              </w:rPr>
            </w:pPr>
            <w:r w:rsidRPr="006E1D5D">
              <w:rPr>
                <w:rFonts w:asciiTheme="majorHAnsi" w:eastAsia="Times New Roman" w:hAnsiTheme="majorHAnsi" w:cs="Arial"/>
                <w:sz w:val="20"/>
                <w:szCs w:val="20"/>
                <w:lang w:eastAsia="es-ES"/>
              </w:rPr>
              <w:t>Correo electrónico.</w:t>
            </w:r>
          </w:p>
          <w:p w:rsidR="00D21032" w:rsidRPr="005D5F2E" w:rsidRDefault="006E1D5D"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D21032" w:rsidRPr="005D5F2E">
              <w:rPr>
                <w:rFonts w:asciiTheme="majorHAnsi" w:eastAsia="Times New Roman" w:hAnsiTheme="majorHAnsi" w:cs="Arial"/>
                <w:b/>
                <w:sz w:val="20"/>
                <w:szCs w:val="20"/>
                <w:lang w:eastAsia="es-ES"/>
              </w:rPr>
              <w:t>. Documentos requeridos.</w:t>
            </w:r>
          </w:p>
          <w:p w:rsidR="00D21032" w:rsidRDefault="00D21032" w:rsidP="000D75EC">
            <w:pPr>
              <w:pStyle w:val="Prrafodelista"/>
              <w:numPr>
                <w:ilvl w:val="0"/>
                <w:numId w:val="17"/>
              </w:numPr>
              <w:ind w:right="78"/>
              <w:jc w:val="both"/>
              <w:rPr>
                <w:rFonts w:asciiTheme="majorHAnsi" w:eastAsia="Times New Roman" w:hAnsiTheme="majorHAnsi" w:cs="Arial"/>
                <w:sz w:val="20"/>
                <w:szCs w:val="20"/>
                <w:lang w:eastAsia="es-ES"/>
              </w:rPr>
            </w:pPr>
            <w:r w:rsidRPr="00C514FA">
              <w:rPr>
                <w:rFonts w:asciiTheme="majorHAnsi" w:eastAsia="Times New Roman" w:hAnsiTheme="majorHAnsi" w:cs="Arial"/>
                <w:sz w:val="20"/>
                <w:szCs w:val="20"/>
                <w:lang w:eastAsia="es-ES"/>
              </w:rPr>
              <w:t>Certificado de C</w:t>
            </w:r>
            <w:r w:rsidR="009941BA">
              <w:rPr>
                <w:rFonts w:asciiTheme="majorHAnsi" w:eastAsia="Times New Roman" w:hAnsiTheme="majorHAnsi" w:cs="Arial"/>
                <w:sz w:val="20"/>
                <w:szCs w:val="20"/>
                <w:lang w:eastAsia="es-ES"/>
              </w:rPr>
              <w:t xml:space="preserve">onformidad </w:t>
            </w:r>
            <w:r w:rsidRPr="00C514FA">
              <w:rPr>
                <w:rFonts w:asciiTheme="majorHAnsi" w:eastAsia="Times New Roman" w:hAnsiTheme="majorHAnsi" w:cs="Arial"/>
                <w:sz w:val="20"/>
                <w:szCs w:val="20"/>
                <w:lang w:eastAsia="es-ES"/>
              </w:rPr>
              <w:t>cancelado.</w:t>
            </w:r>
          </w:p>
          <w:p w:rsidR="00D21032" w:rsidRPr="005D5F2E" w:rsidRDefault="00D21032" w:rsidP="000D75EC">
            <w:pPr>
              <w:pStyle w:val="Prrafodelista"/>
              <w:numPr>
                <w:ilvl w:val="0"/>
                <w:numId w:val="17"/>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Certificado de Homologación.</w:t>
            </w:r>
          </w:p>
          <w:p w:rsidR="00D50AAC" w:rsidRDefault="00270E92" w:rsidP="000D75EC">
            <w:pPr>
              <w:pStyle w:val="Prrafodelista"/>
              <w:numPr>
                <w:ilvl w:val="0"/>
                <w:numId w:val="17"/>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rsidR="00D21032" w:rsidRPr="005D5F2E" w:rsidRDefault="00D21032" w:rsidP="000D75EC">
            <w:pPr>
              <w:pStyle w:val="Prrafodelista"/>
              <w:numPr>
                <w:ilvl w:val="0"/>
                <w:numId w:val="17"/>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rsidR="00D21032" w:rsidRDefault="00D21032" w:rsidP="000D75EC">
            <w:pPr>
              <w:pStyle w:val="Prrafodelista"/>
              <w:numPr>
                <w:ilvl w:val="0"/>
                <w:numId w:val="17"/>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Ficta: </w:t>
            </w:r>
            <w:r w:rsidR="00270E92">
              <w:rPr>
                <w:rFonts w:asciiTheme="majorHAnsi" w:eastAsia="Times New Roman" w:hAnsiTheme="majorHAnsi" w:cs="Arial"/>
                <w:sz w:val="20"/>
                <w:szCs w:val="20"/>
                <w:lang w:eastAsia="es-ES"/>
              </w:rPr>
              <w:t>N</w:t>
            </w:r>
            <w:r w:rsidR="00270E92" w:rsidRPr="005D5F2E">
              <w:rPr>
                <w:rFonts w:asciiTheme="majorHAnsi" w:eastAsia="Times New Roman" w:hAnsiTheme="majorHAnsi" w:cs="Arial"/>
                <w:sz w:val="20"/>
                <w:szCs w:val="20"/>
                <w:lang w:eastAsia="es-ES"/>
              </w:rPr>
              <w:t>egativa</w:t>
            </w:r>
            <w:r w:rsidRPr="005D5F2E">
              <w:rPr>
                <w:rFonts w:asciiTheme="majorHAnsi" w:eastAsia="Times New Roman" w:hAnsiTheme="majorHAnsi" w:cs="Arial"/>
                <w:sz w:val="20"/>
                <w:szCs w:val="20"/>
                <w:lang w:eastAsia="es-ES"/>
              </w:rPr>
              <w:t>.</w:t>
            </w:r>
          </w:p>
          <w:p w:rsidR="0090037A" w:rsidRDefault="0090037A" w:rsidP="000D75EC">
            <w:pPr>
              <w:pStyle w:val="Prrafodelista"/>
              <w:numPr>
                <w:ilvl w:val="0"/>
                <w:numId w:val="17"/>
              </w:numPr>
              <w:tabs>
                <w:tab w:val="left" w:pos="8527"/>
              </w:tabs>
              <w:ind w:right="78"/>
              <w:jc w:val="both"/>
              <w:rPr>
                <w:rFonts w:asciiTheme="majorHAnsi" w:eastAsia="Times New Roman" w:hAnsiTheme="majorHAnsi" w:cs="Arial"/>
                <w:sz w:val="20"/>
                <w:szCs w:val="20"/>
                <w:lang w:eastAsia="es-ES"/>
              </w:rPr>
            </w:pPr>
            <w:r w:rsidRPr="00D21032">
              <w:rPr>
                <w:rFonts w:asciiTheme="majorHAnsi" w:eastAsia="Times New Roman" w:hAnsiTheme="majorHAnsi" w:cs="Arial"/>
                <w:sz w:val="20"/>
                <w:szCs w:val="20"/>
                <w:lang w:eastAsia="es-ES"/>
              </w:rPr>
              <w:t>Plazo máximo de entrega</w:t>
            </w:r>
            <w:r w:rsidRPr="00B9369C">
              <w:rPr>
                <w:rFonts w:asciiTheme="majorHAnsi" w:eastAsia="Times New Roman" w:hAnsiTheme="majorHAnsi" w:cs="Arial"/>
                <w:sz w:val="20"/>
                <w:szCs w:val="20"/>
                <w:lang w:eastAsia="es-ES"/>
              </w:rPr>
              <w:t xml:space="preserve">: </w:t>
            </w:r>
            <w:r w:rsidRPr="0016097D">
              <w:rPr>
                <w:rFonts w:asciiTheme="majorHAnsi" w:eastAsia="Times New Roman" w:hAnsiTheme="majorHAnsi" w:cs="Arial"/>
                <w:sz w:val="20"/>
                <w:szCs w:val="20"/>
                <w:lang w:eastAsia="es-ES"/>
              </w:rPr>
              <w:t xml:space="preserve">En un plazo no mayor a </w:t>
            </w:r>
            <w:r w:rsidR="00A34DF3">
              <w:rPr>
                <w:rFonts w:asciiTheme="majorHAnsi" w:eastAsia="Times New Roman" w:hAnsiTheme="majorHAnsi" w:cs="Arial"/>
                <w:sz w:val="20"/>
                <w:szCs w:val="20"/>
                <w:lang w:eastAsia="es-ES"/>
              </w:rPr>
              <w:t>dos</w:t>
            </w:r>
            <w:r w:rsidR="00D750EB">
              <w:rPr>
                <w:rFonts w:asciiTheme="majorHAnsi" w:eastAsia="Times New Roman" w:hAnsiTheme="majorHAnsi" w:cs="Arial"/>
                <w:sz w:val="20"/>
                <w:szCs w:val="20"/>
                <w:lang w:eastAsia="es-ES"/>
              </w:rPr>
              <w:t xml:space="preserve"> </w:t>
            </w:r>
            <w:r w:rsidRPr="0016097D">
              <w:rPr>
                <w:rFonts w:asciiTheme="majorHAnsi" w:eastAsia="Times New Roman" w:hAnsiTheme="majorHAnsi" w:cs="Arial"/>
                <w:sz w:val="20"/>
                <w:szCs w:val="20"/>
                <w:lang w:eastAsia="es-ES"/>
              </w:rPr>
              <w:t xml:space="preserve">días hábiles contados a partir de </w:t>
            </w:r>
            <w:r>
              <w:rPr>
                <w:rFonts w:asciiTheme="majorHAnsi" w:eastAsia="Times New Roman" w:hAnsiTheme="majorHAnsi" w:cs="Arial"/>
                <w:sz w:val="20"/>
                <w:szCs w:val="20"/>
                <w:lang w:eastAsia="es-ES"/>
              </w:rPr>
              <w:t xml:space="preserve">la </w:t>
            </w:r>
            <w:r w:rsidRPr="0016097D">
              <w:rPr>
                <w:rFonts w:asciiTheme="majorHAnsi" w:eastAsia="Times New Roman" w:hAnsiTheme="majorHAnsi" w:cs="Arial"/>
                <w:sz w:val="20"/>
                <w:szCs w:val="20"/>
                <w:lang w:eastAsia="es-ES"/>
              </w:rPr>
              <w:t xml:space="preserve"> recepción </w:t>
            </w:r>
            <w:r>
              <w:rPr>
                <w:rFonts w:asciiTheme="majorHAnsi" w:eastAsia="Times New Roman" w:hAnsiTheme="majorHAnsi" w:cs="Arial"/>
                <w:sz w:val="20"/>
                <w:szCs w:val="20"/>
                <w:lang w:eastAsia="es-ES"/>
              </w:rPr>
              <w:t>del aviso de incumplimiento.</w:t>
            </w:r>
          </w:p>
          <w:p w:rsidR="0094438C" w:rsidRDefault="0094438C" w:rsidP="000D75EC">
            <w:pPr>
              <w:pStyle w:val="Prrafodelista"/>
              <w:numPr>
                <w:ilvl w:val="0"/>
                <w:numId w:val="17"/>
              </w:numPr>
              <w:tabs>
                <w:tab w:val="left" w:pos="7990"/>
              </w:tabs>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Población afectada: Fabricantes </w:t>
            </w:r>
            <w:r w:rsidR="0090037A">
              <w:rPr>
                <w:rFonts w:asciiTheme="majorHAnsi" w:eastAsia="Times New Roman" w:hAnsiTheme="majorHAnsi" w:cs="Arial"/>
                <w:sz w:val="20"/>
                <w:szCs w:val="20"/>
                <w:lang w:eastAsia="es-ES"/>
              </w:rPr>
              <w:t xml:space="preserve">y </w:t>
            </w:r>
            <w:r>
              <w:rPr>
                <w:rFonts w:asciiTheme="majorHAnsi" w:eastAsia="Times New Roman" w:hAnsiTheme="majorHAnsi" w:cs="Arial"/>
                <w:sz w:val="20"/>
                <w:szCs w:val="20"/>
                <w:lang w:eastAsia="es-ES"/>
              </w:rPr>
              <w:t xml:space="preserve">comercializadores </w:t>
            </w:r>
            <w:r w:rsidR="00D56B2D">
              <w:rPr>
                <w:rFonts w:asciiTheme="majorHAnsi" w:eastAsia="Times New Roman" w:hAnsiTheme="majorHAnsi" w:cs="Arial"/>
                <w:sz w:val="20"/>
                <w:szCs w:val="20"/>
                <w:lang w:eastAsia="es-ES"/>
              </w:rPr>
              <w:t>de Equipos Terminales Móviles.</w:t>
            </w:r>
          </w:p>
          <w:p w:rsidR="00D21032" w:rsidRDefault="00D21032" w:rsidP="00D21032">
            <w:pPr>
              <w:tabs>
                <w:tab w:val="left" w:pos="7990"/>
              </w:tabs>
              <w:ind w:right="78"/>
              <w:jc w:val="both"/>
              <w:rPr>
                <w:rFonts w:asciiTheme="majorHAnsi" w:eastAsia="Times New Roman" w:hAnsiTheme="majorHAnsi" w:cs="Arial"/>
                <w:sz w:val="20"/>
                <w:szCs w:val="20"/>
                <w:lang w:eastAsia="es-ES"/>
              </w:rPr>
            </w:pPr>
          </w:p>
          <w:p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0B75A0">
              <w:rPr>
                <w:rFonts w:asciiTheme="majorHAnsi" w:eastAsia="Times New Roman" w:hAnsiTheme="majorHAnsi" w:cs="Arial"/>
                <w:b/>
                <w:sz w:val="20"/>
                <w:szCs w:val="20"/>
                <w:lang w:eastAsia="es-ES"/>
              </w:rPr>
              <w:t>3.</w:t>
            </w:r>
          </w:p>
          <w:p w:rsidR="00D21032" w:rsidRPr="005D5F2E" w:rsidRDefault="00D21032" w:rsidP="00D21032">
            <w:pPr>
              <w:ind w:right="616"/>
              <w:jc w:val="both"/>
              <w:rPr>
                <w:rFonts w:asciiTheme="majorHAnsi" w:eastAsia="Times New Roman" w:hAnsiTheme="majorHAnsi" w:cs="Arial"/>
                <w:b/>
                <w:sz w:val="20"/>
                <w:szCs w:val="20"/>
                <w:lang w:eastAsia="es-ES"/>
              </w:rPr>
            </w:pPr>
          </w:p>
          <w:p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sidR="00DE1F48">
              <w:rPr>
                <w:rFonts w:asciiTheme="majorHAnsi" w:eastAsia="Times New Roman" w:hAnsiTheme="majorHAnsi" w:cs="Arial"/>
                <w:sz w:val="20"/>
                <w:szCs w:val="20"/>
                <w:lang w:eastAsia="es-ES"/>
              </w:rPr>
              <w:t xml:space="preserve">Autorización de </w:t>
            </w:r>
            <w:r w:rsidR="00B16718">
              <w:rPr>
                <w:rFonts w:asciiTheme="majorHAnsi" w:eastAsia="Times New Roman" w:hAnsiTheme="majorHAnsi" w:cs="Arial"/>
                <w:sz w:val="20"/>
                <w:szCs w:val="20"/>
                <w:lang w:eastAsia="es-ES"/>
              </w:rPr>
              <w:t>a</w:t>
            </w:r>
            <w:r>
              <w:rPr>
                <w:rFonts w:asciiTheme="majorHAnsi" w:eastAsia="Times New Roman" w:hAnsiTheme="majorHAnsi" w:cs="Arial"/>
                <w:sz w:val="20"/>
                <w:szCs w:val="20"/>
                <w:lang w:eastAsia="es-ES"/>
              </w:rPr>
              <w:t xml:space="preserve">ctividades de </w:t>
            </w:r>
            <w:r w:rsidR="00270E92">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9718E1">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 propuestas por el Organismo de Certificación y autorizadas por el Instituto Federal de Telecomunicaciones.</w:t>
            </w:r>
            <w:r w:rsidR="00CF009D">
              <w:rPr>
                <w:rFonts w:asciiTheme="majorHAnsi" w:eastAsia="Times New Roman" w:hAnsiTheme="majorHAnsi" w:cs="Arial"/>
                <w:sz w:val="20"/>
                <w:szCs w:val="20"/>
                <w:lang w:eastAsia="es-ES"/>
              </w:rPr>
              <w:t xml:space="preserve"> (Numeral 8</w:t>
            </w:r>
            <w:r w:rsidR="00E7029A">
              <w:rPr>
                <w:rFonts w:asciiTheme="majorHAnsi" w:eastAsia="Times New Roman" w:hAnsiTheme="majorHAnsi" w:cs="Arial"/>
                <w:sz w:val="20"/>
                <w:szCs w:val="20"/>
                <w:lang w:eastAsia="es-ES"/>
              </w:rPr>
              <w:t>.1</w:t>
            </w:r>
            <w:r w:rsidR="00CF009D">
              <w:rPr>
                <w:rFonts w:asciiTheme="majorHAnsi" w:eastAsia="Times New Roman" w:hAnsiTheme="majorHAnsi" w:cs="Arial"/>
                <w:sz w:val="20"/>
                <w:szCs w:val="20"/>
                <w:lang w:eastAsia="es-ES"/>
              </w:rPr>
              <w:t xml:space="preserve"> </w:t>
            </w:r>
            <w:r w:rsidR="00CF009D" w:rsidRPr="00B16718">
              <w:rPr>
                <w:rFonts w:asciiTheme="majorHAnsi" w:eastAsia="Times New Roman" w:hAnsiTheme="majorHAnsi" w:cs="Arial"/>
                <w:sz w:val="20"/>
                <w:szCs w:val="20"/>
                <w:lang w:eastAsia="es-ES"/>
              </w:rPr>
              <w:t>Vigilancia de</w:t>
            </w:r>
            <w:r w:rsidR="00CF009D">
              <w:rPr>
                <w:rFonts w:asciiTheme="majorHAnsi" w:eastAsia="Times New Roman" w:hAnsiTheme="majorHAnsi" w:cs="Arial"/>
                <w:sz w:val="20"/>
                <w:szCs w:val="20"/>
                <w:lang w:eastAsia="es-ES"/>
              </w:rPr>
              <w:t>l</w:t>
            </w:r>
            <w:r w:rsidR="00CF009D" w:rsidRPr="00B16718">
              <w:rPr>
                <w:rFonts w:asciiTheme="majorHAnsi" w:eastAsia="Times New Roman" w:hAnsiTheme="majorHAnsi" w:cs="Arial"/>
                <w:sz w:val="20"/>
                <w:szCs w:val="20"/>
                <w:lang w:eastAsia="es-ES"/>
              </w:rPr>
              <w:t xml:space="preserve"> </w:t>
            </w:r>
            <w:r w:rsidR="00CF009D">
              <w:rPr>
                <w:rFonts w:asciiTheme="majorHAnsi" w:eastAsia="Times New Roman" w:hAnsiTheme="majorHAnsi" w:cs="Arial"/>
                <w:sz w:val="20"/>
                <w:szCs w:val="20"/>
                <w:lang w:eastAsia="es-ES"/>
              </w:rPr>
              <w:t xml:space="preserve">cumplimiento </w:t>
            </w:r>
            <w:r w:rsidR="00CF009D" w:rsidRPr="00B16718">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del anteproyecto).</w:t>
            </w:r>
          </w:p>
          <w:p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rsidR="00D21032" w:rsidRPr="005D5F2E" w:rsidRDefault="00D21032" w:rsidP="00D21032">
            <w:pPr>
              <w:jc w:val="both"/>
              <w:rPr>
                <w:rFonts w:asciiTheme="majorHAnsi" w:eastAsia="Times New Roman" w:hAnsiTheme="majorHAnsi" w:cs="Arial"/>
                <w:sz w:val="20"/>
                <w:szCs w:val="20"/>
                <w:lang w:eastAsia="es-ES"/>
              </w:rPr>
            </w:pPr>
            <w:r w:rsidRPr="0016097D">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Electrónica a través del portal del Instituto</w:t>
            </w:r>
            <w:r w:rsidR="00B9369C">
              <w:rPr>
                <w:rFonts w:asciiTheme="majorHAnsi" w:eastAsia="Times New Roman" w:hAnsiTheme="majorHAnsi" w:cs="Arial"/>
                <w:sz w:val="20"/>
                <w:szCs w:val="20"/>
                <w:lang w:eastAsia="es-ES"/>
              </w:rPr>
              <w:t>.</w:t>
            </w:r>
          </w:p>
          <w:p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rsidR="00D21032" w:rsidRPr="001558DB" w:rsidRDefault="00D21032" w:rsidP="000D75EC">
            <w:pPr>
              <w:pStyle w:val="Prrafodelista"/>
              <w:numPr>
                <w:ilvl w:val="0"/>
                <w:numId w:val="19"/>
              </w:numPr>
              <w:ind w:right="616"/>
              <w:jc w:val="both"/>
              <w:rPr>
                <w:rFonts w:asciiTheme="majorHAnsi" w:eastAsia="Times New Roman" w:hAnsiTheme="majorHAnsi" w:cs="Arial"/>
                <w:b/>
                <w:sz w:val="20"/>
                <w:szCs w:val="20"/>
                <w:lang w:eastAsia="es-ES"/>
              </w:rPr>
            </w:pPr>
            <w:r w:rsidRPr="001558DB">
              <w:rPr>
                <w:rFonts w:asciiTheme="majorHAnsi" w:eastAsia="Times New Roman" w:hAnsiTheme="majorHAnsi" w:cs="Arial"/>
                <w:b/>
                <w:sz w:val="20"/>
                <w:szCs w:val="20"/>
                <w:lang w:eastAsia="es-ES"/>
              </w:rPr>
              <w:t>Datos de información.</w:t>
            </w:r>
          </w:p>
          <w:p w:rsidR="00D21032" w:rsidRPr="00794F6D" w:rsidRDefault="00D21032" w:rsidP="000D75EC">
            <w:pPr>
              <w:pStyle w:val="Prrafodelista"/>
              <w:numPr>
                <w:ilvl w:val="0"/>
                <w:numId w:val="18"/>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rsidR="00D21032" w:rsidRDefault="00D21032" w:rsidP="000D75EC">
            <w:pPr>
              <w:pStyle w:val="Prrafodelista"/>
              <w:numPr>
                <w:ilvl w:val="0"/>
                <w:numId w:val="18"/>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rsidR="00D21032" w:rsidRPr="005D5F2E" w:rsidRDefault="00D21032" w:rsidP="000D75EC">
            <w:pPr>
              <w:pStyle w:val="Prrafodelista"/>
              <w:numPr>
                <w:ilvl w:val="0"/>
                <w:numId w:val="18"/>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sidR="006E1D5D">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rsidR="00D62D7F" w:rsidRDefault="00D21032" w:rsidP="000D75EC">
            <w:pPr>
              <w:pStyle w:val="Prrafodelista"/>
              <w:numPr>
                <w:ilvl w:val="0"/>
                <w:numId w:val="18"/>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sidR="00D62D7F">
              <w:rPr>
                <w:rFonts w:asciiTheme="majorHAnsi" w:eastAsia="Times New Roman" w:hAnsiTheme="majorHAnsi" w:cs="Arial"/>
                <w:sz w:val="20"/>
                <w:szCs w:val="20"/>
                <w:lang w:eastAsia="es-ES"/>
              </w:rPr>
              <w:t>extensión.</w:t>
            </w:r>
          </w:p>
          <w:p w:rsidR="00D62D7F" w:rsidRPr="005D5F2E" w:rsidRDefault="00D62D7F" w:rsidP="000D75EC">
            <w:pPr>
              <w:pStyle w:val="Prrafodelista"/>
              <w:numPr>
                <w:ilvl w:val="0"/>
                <w:numId w:val="18"/>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correo electrónico.</w:t>
            </w:r>
          </w:p>
          <w:p w:rsidR="00D21032" w:rsidRDefault="00D21032" w:rsidP="000D75EC">
            <w:pPr>
              <w:pStyle w:val="Prrafodelista"/>
              <w:numPr>
                <w:ilvl w:val="0"/>
                <w:numId w:val="19"/>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rsidR="006E1D5D" w:rsidRPr="008A1FC1" w:rsidRDefault="006E1D5D" w:rsidP="000D75EC">
            <w:pPr>
              <w:pStyle w:val="Prrafodelista"/>
              <w:numPr>
                <w:ilvl w:val="0"/>
                <w:numId w:val="23"/>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Nombre o razón social.</w:t>
            </w:r>
          </w:p>
          <w:p w:rsidR="006E1D5D" w:rsidRPr="008A1FC1" w:rsidRDefault="006E1D5D" w:rsidP="000D75EC">
            <w:pPr>
              <w:pStyle w:val="Prrafodelista"/>
              <w:numPr>
                <w:ilvl w:val="0"/>
                <w:numId w:val="23"/>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Cargo que ocupa en la empresa.</w:t>
            </w:r>
          </w:p>
          <w:p w:rsidR="006E1D5D" w:rsidRPr="008A1FC1" w:rsidRDefault="006E1D5D" w:rsidP="000D75EC">
            <w:pPr>
              <w:pStyle w:val="Prrafodelista"/>
              <w:numPr>
                <w:ilvl w:val="0"/>
                <w:numId w:val="23"/>
              </w:numPr>
              <w:ind w:left="880"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rsidR="006E1D5D" w:rsidRPr="008A1FC1" w:rsidRDefault="006E1D5D" w:rsidP="000D75EC">
            <w:pPr>
              <w:pStyle w:val="Prrafodelista"/>
              <w:numPr>
                <w:ilvl w:val="0"/>
                <w:numId w:val="23"/>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Teléfonos(s) y extensión.</w:t>
            </w:r>
          </w:p>
          <w:p w:rsidR="006E1D5D" w:rsidRPr="008A1FC1" w:rsidRDefault="006E1D5D" w:rsidP="000D75EC">
            <w:pPr>
              <w:pStyle w:val="Prrafodelista"/>
              <w:numPr>
                <w:ilvl w:val="0"/>
                <w:numId w:val="23"/>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Correo electrónico.</w:t>
            </w:r>
          </w:p>
          <w:p w:rsidR="00D21032" w:rsidRPr="005D5F2E" w:rsidRDefault="00BA4316"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D21032" w:rsidRPr="005D5F2E">
              <w:rPr>
                <w:rFonts w:asciiTheme="majorHAnsi" w:eastAsia="Times New Roman" w:hAnsiTheme="majorHAnsi" w:cs="Arial"/>
                <w:b/>
                <w:sz w:val="20"/>
                <w:szCs w:val="20"/>
                <w:lang w:eastAsia="es-ES"/>
              </w:rPr>
              <w:t>. Documentos requeridos.</w:t>
            </w:r>
          </w:p>
          <w:p w:rsidR="00D21032" w:rsidRDefault="00D21032" w:rsidP="000D75EC">
            <w:pPr>
              <w:pStyle w:val="Prrafodelista"/>
              <w:numPr>
                <w:ilvl w:val="0"/>
                <w:numId w:val="20"/>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Relación de Certificados de C</w:t>
            </w:r>
            <w:r w:rsidR="00E7029A">
              <w:rPr>
                <w:rFonts w:asciiTheme="majorHAnsi" w:eastAsia="Times New Roman" w:hAnsiTheme="majorHAnsi" w:cs="Arial"/>
                <w:sz w:val="20"/>
                <w:szCs w:val="20"/>
                <w:lang w:eastAsia="es-ES"/>
              </w:rPr>
              <w:t xml:space="preserve">onformidad </w:t>
            </w:r>
            <w:r>
              <w:rPr>
                <w:rFonts w:asciiTheme="majorHAnsi" w:eastAsia="Times New Roman" w:hAnsiTheme="majorHAnsi" w:cs="Arial"/>
                <w:sz w:val="20"/>
                <w:szCs w:val="20"/>
                <w:lang w:eastAsia="es-ES"/>
              </w:rPr>
              <w:t xml:space="preserve">a </w:t>
            </w:r>
            <w:r w:rsidR="008749FD">
              <w:rPr>
                <w:rFonts w:asciiTheme="majorHAnsi" w:eastAsia="Times New Roman" w:hAnsiTheme="majorHAnsi" w:cs="Arial"/>
                <w:sz w:val="20"/>
                <w:szCs w:val="20"/>
                <w:lang w:eastAsia="es-ES"/>
              </w:rPr>
              <w:t>ser sometidos a actividades de Vigilancia del cumplimiento de la certificación</w:t>
            </w:r>
            <w:r>
              <w:rPr>
                <w:rFonts w:asciiTheme="majorHAnsi" w:eastAsia="Times New Roman" w:hAnsiTheme="majorHAnsi" w:cs="Arial"/>
                <w:sz w:val="20"/>
                <w:szCs w:val="20"/>
                <w:lang w:eastAsia="es-ES"/>
              </w:rPr>
              <w:t>.</w:t>
            </w:r>
          </w:p>
          <w:p w:rsidR="00D21032" w:rsidRDefault="00D21032" w:rsidP="000D75EC">
            <w:pPr>
              <w:pStyle w:val="Prrafodelista"/>
              <w:numPr>
                <w:ilvl w:val="0"/>
                <w:numId w:val="20"/>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Calendario de visitas.</w:t>
            </w:r>
          </w:p>
          <w:p w:rsidR="00FE4403" w:rsidRDefault="00C7020D" w:rsidP="000D75EC">
            <w:pPr>
              <w:pStyle w:val="Prrafodelista"/>
              <w:numPr>
                <w:ilvl w:val="0"/>
                <w:numId w:val="20"/>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rsidR="00D21032" w:rsidRPr="005D5F2E" w:rsidRDefault="00D21032" w:rsidP="000D75EC">
            <w:pPr>
              <w:pStyle w:val="Prrafodelista"/>
              <w:numPr>
                <w:ilvl w:val="0"/>
                <w:numId w:val="20"/>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rsidR="00D21032" w:rsidRDefault="00D21032" w:rsidP="000D75EC">
            <w:pPr>
              <w:pStyle w:val="Prrafodelista"/>
              <w:numPr>
                <w:ilvl w:val="0"/>
                <w:numId w:val="20"/>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Ficta: </w:t>
            </w:r>
            <w:r w:rsidR="00C7020D">
              <w:rPr>
                <w:rFonts w:asciiTheme="majorHAnsi" w:eastAsia="Times New Roman" w:hAnsiTheme="majorHAnsi" w:cs="Arial"/>
                <w:sz w:val="20"/>
                <w:szCs w:val="20"/>
                <w:lang w:eastAsia="es-ES"/>
              </w:rPr>
              <w:t>N</w:t>
            </w:r>
            <w:r w:rsidRPr="005D5F2E">
              <w:rPr>
                <w:rFonts w:asciiTheme="majorHAnsi" w:eastAsia="Times New Roman" w:hAnsiTheme="majorHAnsi" w:cs="Arial"/>
                <w:sz w:val="20"/>
                <w:szCs w:val="20"/>
                <w:lang w:eastAsia="es-ES"/>
              </w:rPr>
              <w:t>egativa.</w:t>
            </w:r>
          </w:p>
          <w:p w:rsidR="00D21032" w:rsidRPr="00985E59" w:rsidRDefault="00D21032" w:rsidP="000D75EC">
            <w:pPr>
              <w:pStyle w:val="Prrafodelista"/>
              <w:numPr>
                <w:ilvl w:val="0"/>
                <w:numId w:val="20"/>
              </w:numPr>
              <w:tabs>
                <w:tab w:val="left" w:pos="7990"/>
              </w:tabs>
              <w:ind w:right="78"/>
              <w:jc w:val="both"/>
              <w:rPr>
                <w:rFonts w:asciiTheme="majorHAnsi" w:eastAsia="Times New Roman" w:hAnsiTheme="majorHAnsi" w:cs="Arial"/>
                <w:sz w:val="20"/>
                <w:szCs w:val="20"/>
                <w:lang w:eastAsia="es-ES"/>
              </w:rPr>
            </w:pPr>
            <w:r w:rsidRPr="00985E59">
              <w:rPr>
                <w:rFonts w:asciiTheme="majorHAnsi" w:eastAsia="Times New Roman" w:hAnsiTheme="majorHAnsi" w:cs="Arial"/>
                <w:sz w:val="20"/>
                <w:szCs w:val="20"/>
                <w:lang w:eastAsia="es-ES"/>
              </w:rPr>
              <w:t>Plazo máximo de entrega:</w:t>
            </w:r>
            <w:r w:rsidR="007C6462">
              <w:rPr>
                <w:rFonts w:asciiTheme="majorHAnsi" w:eastAsia="Times New Roman" w:hAnsiTheme="majorHAnsi" w:cs="Arial"/>
                <w:sz w:val="20"/>
                <w:szCs w:val="20"/>
                <w:lang w:eastAsia="es-ES"/>
              </w:rPr>
              <w:t xml:space="preserve"> Diez días hábiles posteriores a su presentación.</w:t>
            </w:r>
          </w:p>
          <w:p w:rsidR="00D21032" w:rsidRDefault="00D21032" w:rsidP="00D21032">
            <w:pPr>
              <w:tabs>
                <w:tab w:val="left" w:pos="7990"/>
              </w:tabs>
              <w:ind w:right="78"/>
              <w:jc w:val="both"/>
              <w:rPr>
                <w:rFonts w:asciiTheme="majorHAnsi" w:eastAsia="Times New Roman" w:hAnsiTheme="majorHAnsi" w:cs="Arial"/>
                <w:sz w:val="20"/>
                <w:szCs w:val="20"/>
                <w:lang w:eastAsia="es-ES"/>
              </w:rPr>
            </w:pPr>
          </w:p>
          <w:p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845622">
              <w:rPr>
                <w:rFonts w:asciiTheme="majorHAnsi" w:eastAsia="Times New Roman" w:hAnsiTheme="majorHAnsi" w:cs="Arial"/>
                <w:b/>
                <w:sz w:val="20"/>
                <w:szCs w:val="20"/>
                <w:lang w:eastAsia="es-ES"/>
              </w:rPr>
              <w:t>4</w:t>
            </w:r>
            <w:r w:rsidR="0016097D">
              <w:rPr>
                <w:rFonts w:asciiTheme="majorHAnsi" w:eastAsia="Times New Roman" w:hAnsiTheme="majorHAnsi" w:cs="Arial"/>
                <w:b/>
                <w:sz w:val="20"/>
                <w:szCs w:val="20"/>
                <w:lang w:eastAsia="es-ES"/>
              </w:rPr>
              <w:t>.</w:t>
            </w:r>
          </w:p>
          <w:p w:rsidR="0036569F" w:rsidRPr="005D5F2E" w:rsidRDefault="0036569F" w:rsidP="00D21032">
            <w:pPr>
              <w:ind w:right="616"/>
              <w:jc w:val="both"/>
              <w:rPr>
                <w:rFonts w:asciiTheme="majorHAnsi" w:eastAsia="Times New Roman" w:hAnsiTheme="majorHAnsi" w:cs="Arial"/>
                <w:b/>
                <w:sz w:val="20"/>
                <w:szCs w:val="20"/>
                <w:lang w:eastAsia="es-ES"/>
              </w:rPr>
            </w:pPr>
          </w:p>
          <w:p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Informe general de la </w:t>
            </w:r>
            <w:r w:rsidR="001D3AF1">
              <w:rPr>
                <w:rFonts w:asciiTheme="majorHAnsi" w:eastAsia="Times New Roman" w:hAnsiTheme="majorHAnsi" w:cs="Arial"/>
                <w:sz w:val="20"/>
                <w:szCs w:val="20"/>
                <w:lang w:eastAsia="es-ES"/>
              </w:rPr>
              <w:t>Autorización</w:t>
            </w:r>
            <w:r w:rsidR="001D3AF1" w:rsidDel="001D3AF1">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de las actividades de </w:t>
            </w:r>
            <w:r w:rsidR="00C7020D">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C7020D">
              <w:rPr>
                <w:rFonts w:asciiTheme="majorHAnsi" w:eastAsia="Times New Roman" w:hAnsiTheme="majorHAnsi" w:cs="Arial"/>
                <w:sz w:val="20"/>
                <w:szCs w:val="20"/>
                <w:lang w:eastAsia="es-ES"/>
              </w:rPr>
              <w:t xml:space="preserve">cumplimiento </w:t>
            </w:r>
            <w:r w:rsidR="008B0842">
              <w:rPr>
                <w:rFonts w:asciiTheme="majorHAnsi" w:eastAsia="Times New Roman" w:hAnsiTheme="majorHAnsi" w:cs="Arial"/>
                <w:sz w:val="20"/>
                <w:szCs w:val="20"/>
                <w:lang w:eastAsia="es-ES"/>
              </w:rPr>
              <w:t xml:space="preserve">de </w:t>
            </w:r>
            <w:r>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(Numeral 8</w:t>
            </w:r>
            <w:r w:rsidR="005D1AFD">
              <w:rPr>
                <w:rFonts w:asciiTheme="majorHAnsi" w:eastAsia="Times New Roman" w:hAnsiTheme="majorHAnsi" w:cs="Arial"/>
                <w:sz w:val="20"/>
                <w:szCs w:val="20"/>
                <w:lang w:eastAsia="es-ES"/>
              </w:rPr>
              <w:t>.1</w:t>
            </w:r>
            <w:r w:rsidR="00CF009D">
              <w:rPr>
                <w:rFonts w:asciiTheme="majorHAnsi" w:eastAsia="Times New Roman" w:hAnsiTheme="majorHAnsi" w:cs="Arial"/>
                <w:sz w:val="20"/>
                <w:szCs w:val="20"/>
                <w:lang w:eastAsia="es-ES"/>
              </w:rPr>
              <w:t xml:space="preserve"> </w:t>
            </w:r>
            <w:r w:rsidR="00CF009D" w:rsidRPr="00B16718">
              <w:rPr>
                <w:rFonts w:asciiTheme="majorHAnsi" w:eastAsia="Times New Roman" w:hAnsiTheme="majorHAnsi" w:cs="Arial"/>
                <w:sz w:val="20"/>
                <w:szCs w:val="20"/>
                <w:lang w:eastAsia="es-ES"/>
              </w:rPr>
              <w:t>Vigilancia de</w:t>
            </w:r>
            <w:r w:rsidR="00CF009D">
              <w:rPr>
                <w:rFonts w:asciiTheme="majorHAnsi" w:eastAsia="Times New Roman" w:hAnsiTheme="majorHAnsi" w:cs="Arial"/>
                <w:sz w:val="20"/>
                <w:szCs w:val="20"/>
                <w:lang w:eastAsia="es-ES"/>
              </w:rPr>
              <w:t>l</w:t>
            </w:r>
            <w:r w:rsidR="00CF009D" w:rsidRPr="00B16718">
              <w:rPr>
                <w:rFonts w:asciiTheme="majorHAnsi" w:eastAsia="Times New Roman" w:hAnsiTheme="majorHAnsi" w:cs="Arial"/>
                <w:sz w:val="20"/>
                <w:szCs w:val="20"/>
                <w:lang w:eastAsia="es-ES"/>
              </w:rPr>
              <w:t xml:space="preserve"> </w:t>
            </w:r>
            <w:r w:rsidR="00CF009D">
              <w:rPr>
                <w:rFonts w:asciiTheme="majorHAnsi" w:eastAsia="Times New Roman" w:hAnsiTheme="majorHAnsi" w:cs="Arial"/>
                <w:sz w:val="20"/>
                <w:szCs w:val="20"/>
                <w:lang w:eastAsia="es-ES"/>
              </w:rPr>
              <w:t xml:space="preserve">cumplimiento </w:t>
            </w:r>
            <w:r w:rsidR="00CF009D" w:rsidRPr="00B16718">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del anteproyecto).</w:t>
            </w:r>
          </w:p>
          <w:p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rsidR="00D21032" w:rsidRPr="005D5F2E" w:rsidRDefault="00D21032" w:rsidP="00D21032">
            <w:pPr>
              <w:jc w:val="both"/>
              <w:rPr>
                <w:rFonts w:asciiTheme="majorHAnsi" w:eastAsia="Times New Roman" w:hAnsiTheme="majorHAnsi" w:cs="Arial"/>
                <w:sz w:val="20"/>
                <w:szCs w:val="20"/>
                <w:lang w:eastAsia="es-ES"/>
              </w:rPr>
            </w:pPr>
            <w:r w:rsidRPr="001D3AF1">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sidR="001D3AF1">
              <w:rPr>
                <w:rFonts w:asciiTheme="majorHAnsi" w:eastAsia="Times New Roman" w:hAnsiTheme="majorHAnsi" w:cs="Arial"/>
                <w:sz w:val="20"/>
                <w:szCs w:val="20"/>
                <w:lang w:eastAsia="es-ES"/>
              </w:rPr>
              <w:t xml:space="preserve">Físico o </w:t>
            </w:r>
            <w:r>
              <w:rPr>
                <w:rFonts w:asciiTheme="majorHAnsi" w:eastAsia="Times New Roman" w:hAnsiTheme="majorHAnsi" w:cs="Arial"/>
                <w:sz w:val="20"/>
                <w:szCs w:val="20"/>
                <w:lang w:eastAsia="es-ES"/>
              </w:rPr>
              <w:t>Electrónic</w:t>
            </w:r>
            <w:r w:rsidR="001D3AF1">
              <w:rPr>
                <w:rFonts w:asciiTheme="majorHAnsi" w:eastAsia="Times New Roman" w:hAnsiTheme="majorHAnsi" w:cs="Arial"/>
                <w:sz w:val="20"/>
                <w:szCs w:val="20"/>
                <w:lang w:eastAsia="es-ES"/>
              </w:rPr>
              <w:t>o</w:t>
            </w:r>
            <w:r>
              <w:rPr>
                <w:rFonts w:asciiTheme="majorHAnsi" w:eastAsia="Times New Roman" w:hAnsiTheme="majorHAnsi" w:cs="Arial"/>
                <w:sz w:val="20"/>
                <w:szCs w:val="20"/>
                <w:lang w:eastAsia="es-ES"/>
              </w:rPr>
              <w:t xml:space="preserve"> a </w:t>
            </w:r>
            <w:r w:rsidR="001D3AF1">
              <w:rPr>
                <w:rFonts w:asciiTheme="majorHAnsi" w:eastAsia="Times New Roman" w:hAnsiTheme="majorHAnsi" w:cs="Arial"/>
                <w:sz w:val="20"/>
                <w:szCs w:val="20"/>
                <w:lang w:eastAsia="es-ES"/>
              </w:rPr>
              <w:t>través del portal del Instituto.</w:t>
            </w:r>
          </w:p>
          <w:p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rsidR="00D21032" w:rsidRPr="00CA28EC" w:rsidRDefault="00D21032" w:rsidP="000D75EC">
            <w:pPr>
              <w:pStyle w:val="Prrafodelista"/>
              <w:numPr>
                <w:ilvl w:val="0"/>
                <w:numId w:val="13"/>
              </w:numPr>
              <w:ind w:right="616"/>
              <w:jc w:val="both"/>
              <w:rPr>
                <w:rFonts w:asciiTheme="majorHAnsi" w:eastAsia="Times New Roman" w:hAnsiTheme="majorHAnsi" w:cs="Arial"/>
                <w:b/>
                <w:sz w:val="20"/>
                <w:szCs w:val="20"/>
                <w:lang w:eastAsia="es-ES"/>
              </w:rPr>
            </w:pPr>
            <w:r w:rsidRPr="00CA28EC">
              <w:rPr>
                <w:rFonts w:asciiTheme="majorHAnsi" w:eastAsia="Times New Roman" w:hAnsiTheme="majorHAnsi" w:cs="Arial"/>
                <w:b/>
                <w:sz w:val="20"/>
                <w:szCs w:val="20"/>
                <w:lang w:eastAsia="es-ES"/>
              </w:rPr>
              <w:t>Datos de información.</w:t>
            </w:r>
          </w:p>
          <w:p w:rsidR="00D21032" w:rsidRPr="00794F6D" w:rsidRDefault="00D21032" w:rsidP="000D75EC">
            <w:pPr>
              <w:pStyle w:val="Prrafodelista"/>
              <w:numPr>
                <w:ilvl w:val="0"/>
                <w:numId w:val="12"/>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rsidR="00D21032" w:rsidRDefault="00D21032" w:rsidP="000D75EC">
            <w:pPr>
              <w:pStyle w:val="Prrafodelista"/>
              <w:numPr>
                <w:ilvl w:val="0"/>
                <w:numId w:val="12"/>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rsidR="00D21032" w:rsidRDefault="00D21032" w:rsidP="000D75EC">
            <w:pPr>
              <w:pStyle w:val="Prrafodelista"/>
              <w:numPr>
                <w:ilvl w:val="0"/>
                <w:numId w:val="12"/>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sidR="00FE4403">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rsidR="00D21032" w:rsidRDefault="00D21032" w:rsidP="000D75EC">
            <w:pPr>
              <w:pStyle w:val="Prrafodelista"/>
              <w:numPr>
                <w:ilvl w:val="0"/>
                <w:numId w:val="12"/>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sidR="000E483B">
              <w:rPr>
                <w:rFonts w:asciiTheme="majorHAnsi" w:eastAsia="Times New Roman" w:hAnsiTheme="majorHAnsi" w:cs="Arial"/>
                <w:sz w:val="20"/>
                <w:szCs w:val="20"/>
                <w:lang w:eastAsia="es-ES"/>
              </w:rPr>
              <w:t>extensión</w:t>
            </w:r>
            <w:r w:rsidRPr="005D5F2E">
              <w:rPr>
                <w:rFonts w:asciiTheme="majorHAnsi" w:eastAsia="Times New Roman" w:hAnsiTheme="majorHAnsi" w:cs="Arial"/>
                <w:sz w:val="20"/>
                <w:szCs w:val="20"/>
                <w:lang w:eastAsia="es-ES"/>
              </w:rPr>
              <w:t>.</w:t>
            </w:r>
          </w:p>
          <w:p w:rsidR="00D21032" w:rsidRPr="00895C49" w:rsidRDefault="000E483B" w:rsidP="000D75EC">
            <w:pPr>
              <w:pStyle w:val="Prrafodelista"/>
              <w:numPr>
                <w:ilvl w:val="0"/>
                <w:numId w:val="12"/>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Pr="005D5F2E">
              <w:rPr>
                <w:rFonts w:asciiTheme="majorHAnsi" w:eastAsia="Times New Roman" w:hAnsiTheme="majorHAnsi" w:cs="Arial"/>
                <w:sz w:val="20"/>
                <w:szCs w:val="20"/>
                <w:lang w:eastAsia="es-ES"/>
              </w:rPr>
              <w:t>orreo electrónico</w:t>
            </w:r>
            <w:r w:rsidR="008A1FC1">
              <w:rPr>
                <w:rFonts w:asciiTheme="majorHAnsi" w:eastAsia="Times New Roman" w:hAnsiTheme="majorHAnsi" w:cs="Arial"/>
                <w:sz w:val="20"/>
                <w:szCs w:val="20"/>
                <w:lang w:eastAsia="es-ES"/>
              </w:rPr>
              <w:t>.</w:t>
            </w:r>
          </w:p>
          <w:p w:rsidR="00D21032" w:rsidRPr="008A1FC1" w:rsidRDefault="00D21032" w:rsidP="000D75EC">
            <w:pPr>
              <w:pStyle w:val="Prrafodelista"/>
              <w:numPr>
                <w:ilvl w:val="0"/>
                <w:numId w:val="13"/>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rsidR="000E483B" w:rsidRPr="00D33846" w:rsidRDefault="000E483B" w:rsidP="000D75EC">
            <w:pPr>
              <w:pStyle w:val="Prrafodelista"/>
              <w:numPr>
                <w:ilvl w:val="0"/>
                <w:numId w:val="24"/>
              </w:numPr>
              <w:ind w:left="880" w:right="616" w:hanging="567"/>
              <w:jc w:val="both"/>
              <w:rPr>
                <w:rFonts w:asciiTheme="majorHAnsi" w:eastAsia="Times New Roman" w:hAnsiTheme="majorHAnsi" w:cs="Arial"/>
                <w:sz w:val="20"/>
                <w:szCs w:val="20"/>
                <w:lang w:eastAsia="es-ES"/>
              </w:rPr>
            </w:pPr>
            <w:r w:rsidRPr="00D33846">
              <w:rPr>
                <w:rFonts w:asciiTheme="majorHAnsi" w:eastAsia="Times New Roman" w:hAnsiTheme="majorHAnsi" w:cs="Arial"/>
                <w:sz w:val="20"/>
                <w:szCs w:val="20"/>
                <w:lang w:eastAsia="es-ES"/>
              </w:rPr>
              <w:t>Nombre o razón social.</w:t>
            </w:r>
          </w:p>
          <w:p w:rsidR="000E483B" w:rsidRDefault="000E483B" w:rsidP="000D75EC">
            <w:pPr>
              <w:pStyle w:val="Prrafodelista"/>
              <w:numPr>
                <w:ilvl w:val="0"/>
                <w:numId w:val="24"/>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rsidR="000E483B" w:rsidRDefault="000E483B" w:rsidP="000D75EC">
            <w:pPr>
              <w:pStyle w:val="Prrafodelista"/>
              <w:numPr>
                <w:ilvl w:val="0"/>
                <w:numId w:val="24"/>
              </w:numPr>
              <w:ind w:left="880"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rsidR="000E483B" w:rsidRDefault="000E483B" w:rsidP="000D75EC">
            <w:pPr>
              <w:pStyle w:val="Prrafodelista"/>
              <w:numPr>
                <w:ilvl w:val="0"/>
                <w:numId w:val="24"/>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 y extensión.</w:t>
            </w:r>
          </w:p>
          <w:p w:rsidR="00D33846" w:rsidRDefault="00D33846" w:rsidP="000D75EC">
            <w:pPr>
              <w:pStyle w:val="Prrafodelista"/>
              <w:numPr>
                <w:ilvl w:val="0"/>
                <w:numId w:val="24"/>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Consentimiento para ser notificado vía correo electrónico.</w:t>
            </w:r>
          </w:p>
          <w:p w:rsidR="000E483B" w:rsidRPr="005D5F2E" w:rsidRDefault="000E483B" w:rsidP="000D75EC">
            <w:pPr>
              <w:pStyle w:val="Prrafodelista"/>
              <w:numPr>
                <w:ilvl w:val="0"/>
                <w:numId w:val="24"/>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rsidR="00D21032" w:rsidRPr="005D5F2E" w:rsidRDefault="00D21032" w:rsidP="00D21032">
            <w:pPr>
              <w:ind w:right="616"/>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B. Documentos requeridos.</w:t>
            </w:r>
          </w:p>
          <w:p w:rsidR="00D21032" w:rsidRDefault="00D21032" w:rsidP="000D75EC">
            <w:pPr>
              <w:pStyle w:val="Prrafodelista"/>
              <w:numPr>
                <w:ilvl w:val="0"/>
                <w:numId w:val="1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Informe generalizado de resultados de las visitas de </w:t>
            </w:r>
            <w:r w:rsidR="009718E1">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9718E1">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w:t>
            </w:r>
            <w:r w:rsidR="001D3AF1">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w:t>
            </w:r>
          </w:p>
          <w:p w:rsidR="00D21032" w:rsidRDefault="00D21032" w:rsidP="000D75EC">
            <w:pPr>
              <w:pStyle w:val="Prrafodelista"/>
              <w:numPr>
                <w:ilvl w:val="0"/>
                <w:numId w:val="1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Actas de </w:t>
            </w:r>
            <w:r w:rsidR="005D1AFD">
              <w:rPr>
                <w:rFonts w:asciiTheme="majorHAnsi" w:eastAsia="Times New Roman" w:hAnsiTheme="majorHAnsi" w:cs="Arial"/>
                <w:sz w:val="20"/>
                <w:szCs w:val="20"/>
                <w:lang w:eastAsia="es-ES"/>
              </w:rPr>
              <w:t xml:space="preserve">la </w:t>
            </w:r>
            <w:r>
              <w:rPr>
                <w:rFonts w:asciiTheme="majorHAnsi" w:eastAsia="Times New Roman" w:hAnsiTheme="majorHAnsi" w:cs="Arial"/>
                <w:sz w:val="20"/>
                <w:szCs w:val="20"/>
                <w:lang w:eastAsia="es-ES"/>
              </w:rPr>
              <w:t xml:space="preserve">visita de </w:t>
            </w:r>
            <w:r w:rsidR="000E483B">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0E483B">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w:t>
            </w:r>
            <w:r w:rsidR="00BE67AB">
              <w:rPr>
                <w:rFonts w:asciiTheme="majorHAnsi" w:eastAsia="Times New Roman" w:hAnsiTheme="majorHAnsi" w:cs="Arial"/>
                <w:sz w:val="20"/>
                <w:szCs w:val="20"/>
                <w:lang w:eastAsia="es-ES"/>
              </w:rPr>
              <w:t>.</w:t>
            </w:r>
          </w:p>
          <w:p w:rsidR="00D21032" w:rsidRDefault="00D21032" w:rsidP="000D75EC">
            <w:pPr>
              <w:pStyle w:val="Prrafodelista"/>
              <w:numPr>
                <w:ilvl w:val="0"/>
                <w:numId w:val="1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Relación de Certificados de C</w:t>
            </w:r>
            <w:r w:rsidR="005D1AFD">
              <w:rPr>
                <w:rFonts w:asciiTheme="majorHAnsi" w:eastAsia="Times New Roman" w:hAnsiTheme="majorHAnsi" w:cs="Arial"/>
                <w:sz w:val="20"/>
                <w:szCs w:val="20"/>
                <w:lang w:eastAsia="es-ES"/>
              </w:rPr>
              <w:t xml:space="preserve">onformidad </w:t>
            </w:r>
            <w:r>
              <w:rPr>
                <w:rFonts w:asciiTheme="majorHAnsi" w:eastAsia="Times New Roman" w:hAnsiTheme="majorHAnsi" w:cs="Arial"/>
                <w:sz w:val="20"/>
                <w:szCs w:val="20"/>
                <w:lang w:eastAsia="es-ES"/>
              </w:rPr>
              <w:t xml:space="preserve">y Homologación </w:t>
            </w:r>
            <w:proofErr w:type="gramStart"/>
            <w:r w:rsidR="00630E51">
              <w:rPr>
                <w:rFonts w:asciiTheme="majorHAnsi" w:eastAsia="Times New Roman" w:hAnsiTheme="majorHAnsi" w:cs="Arial"/>
                <w:sz w:val="20"/>
                <w:szCs w:val="20"/>
                <w:lang w:eastAsia="es-ES"/>
              </w:rPr>
              <w:t>verificados</w:t>
            </w:r>
            <w:proofErr w:type="gramEnd"/>
            <w:r w:rsidR="00BE67AB">
              <w:rPr>
                <w:rFonts w:asciiTheme="majorHAnsi" w:eastAsia="Times New Roman" w:hAnsiTheme="majorHAnsi" w:cs="Arial"/>
                <w:sz w:val="20"/>
                <w:szCs w:val="20"/>
                <w:lang w:eastAsia="es-ES"/>
              </w:rPr>
              <w:t>.</w:t>
            </w:r>
          </w:p>
          <w:p w:rsidR="00D21032" w:rsidRDefault="00D21032" w:rsidP="000D75EC">
            <w:pPr>
              <w:pStyle w:val="Prrafodelista"/>
              <w:numPr>
                <w:ilvl w:val="0"/>
                <w:numId w:val="14"/>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Ficta: negativa.</w:t>
            </w:r>
          </w:p>
          <w:p w:rsidR="00B844E0" w:rsidRPr="00F86EBE" w:rsidRDefault="0023659C" w:rsidP="00F86EBE">
            <w:pPr>
              <w:pStyle w:val="Prrafodelista"/>
              <w:tabs>
                <w:tab w:val="left" w:pos="7990"/>
              </w:tabs>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Plazo máximo de entrega: En el mes de enero del año posterior al desarrollo de las actividades de </w:t>
            </w:r>
            <w:r w:rsidR="00C7020D">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C7020D">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w:t>
            </w:r>
          </w:p>
          <w:p w:rsidR="00B844E0" w:rsidRDefault="00B844E0" w:rsidP="009B0C5A">
            <w:pPr>
              <w:ind w:right="616"/>
              <w:jc w:val="both"/>
              <w:rPr>
                <w:rFonts w:asciiTheme="majorHAnsi" w:eastAsia="Times New Roman" w:hAnsiTheme="majorHAnsi" w:cs="Arial"/>
                <w:b/>
                <w:sz w:val="20"/>
                <w:szCs w:val="20"/>
                <w:lang w:eastAsia="es-ES"/>
              </w:rPr>
            </w:pPr>
          </w:p>
          <w:p w:rsidR="009B0C5A" w:rsidRDefault="009B0C5A" w:rsidP="009B0C5A">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BF30C6">
              <w:rPr>
                <w:rFonts w:asciiTheme="majorHAnsi" w:eastAsia="Times New Roman" w:hAnsiTheme="majorHAnsi" w:cs="Arial"/>
                <w:b/>
                <w:sz w:val="20"/>
                <w:szCs w:val="20"/>
                <w:lang w:eastAsia="es-ES"/>
              </w:rPr>
              <w:t>5</w:t>
            </w:r>
            <w:r>
              <w:rPr>
                <w:rFonts w:asciiTheme="majorHAnsi" w:eastAsia="Times New Roman" w:hAnsiTheme="majorHAnsi" w:cs="Arial"/>
                <w:b/>
                <w:sz w:val="20"/>
                <w:szCs w:val="20"/>
                <w:lang w:eastAsia="es-ES"/>
              </w:rPr>
              <w:t>.</w:t>
            </w:r>
          </w:p>
          <w:p w:rsidR="00095E06" w:rsidRDefault="00095E06" w:rsidP="009B0C5A">
            <w:pPr>
              <w:ind w:right="616"/>
              <w:jc w:val="both"/>
              <w:rPr>
                <w:rFonts w:asciiTheme="majorHAnsi" w:eastAsia="Times New Roman" w:hAnsiTheme="majorHAnsi" w:cs="Arial"/>
                <w:b/>
                <w:sz w:val="20"/>
                <w:szCs w:val="20"/>
                <w:lang w:eastAsia="es-ES"/>
              </w:rPr>
            </w:pPr>
          </w:p>
          <w:p w:rsidR="009B0C5A" w:rsidRDefault="009B0C5A" w:rsidP="009B0C5A">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Informe de resultados de la visita de Vigilancia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cumplimiento de la certificación.</w:t>
            </w:r>
            <w:r w:rsidR="00CF009D">
              <w:rPr>
                <w:rFonts w:asciiTheme="majorHAnsi" w:eastAsia="Times New Roman" w:hAnsiTheme="majorHAnsi" w:cs="Arial"/>
                <w:sz w:val="20"/>
                <w:szCs w:val="20"/>
                <w:lang w:eastAsia="es-ES"/>
              </w:rPr>
              <w:t xml:space="preserve"> (Numeral 8</w:t>
            </w:r>
            <w:r w:rsidR="00BF30C6">
              <w:rPr>
                <w:rFonts w:asciiTheme="majorHAnsi" w:eastAsia="Times New Roman" w:hAnsiTheme="majorHAnsi" w:cs="Arial"/>
                <w:sz w:val="20"/>
                <w:szCs w:val="20"/>
                <w:lang w:eastAsia="es-ES"/>
              </w:rPr>
              <w:t>.1</w:t>
            </w:r>
            <w:r w:rsidR="00CF009D">
              <w:rPr>
                <w:rFonts w:asciiTheme="majorHAnsi" w:eastAsia="Times New Roman" w:hAnsiTheme="majorHAnsi" w:cs="Arial"/>
                <w:sz w:val="20"/>
                <w:szCs w:val="20"/>
                <w:lang w:eastAsia="es-ES"/>
              </w:rPr>
              <w:t xml:space="preserve"> </w:t>
            </w:r>
            <w:r w:rsidR="00CF009D" w:rsidRPr="00B16718">
              <w:rPr>
                <w:rFonts w:asciiTheme="majorHAnsi" w:eastAsia="Times New Roman" w:hAnsiTheme="majorHAnsi" w:cs="Arial"/>
                <w:sz w:val="20"/>
                <w:szCs w:val="20"/>
                <w:lang w:eastAsia="es-ES"/>
              </w:rPr>
              <w:t>Vigilancia de</w:t>
            </w:r>
            <w:r w:rsidR="00CF009D">
              <w:rPr>
                <w:rFonts w:asciiTheme="majorHAnsi" w:eastAsia="Times New Roman" w:hAnsiTheme="majorHAnsi" w:cs="Arial"/>
                <w:sz w:val="20"/>
                <w:szCs w:val="20"/>
                <w:lang w:eastAsia="es-ES"/>
              </w:rPr>
              <w:t>l</w:t>
            </w:r>
            <w:r w:rsidR="00CF009D" w:rsidRPr="00B16718">
              <w:rPr>
                <w:rFonts w:asciiTheme="majorHAnsi" w:eastAsia="Times New Roman" w:hAnsiTheme="majorHAnsi" w:cs="Arial"/>
                <w:sz w:val="20"/>
                <w:szCs w:val="20"/>
                <w:lang w:eastAsia="es-ES"/>
              </w:rPr>
              <w:t xml:space="preserve"> </w:t>
            </w:r>
            <w:r w:rsidR="00CF009D">
              <w:rPr>
                <w:rFonts w:asciiTheme="majorHAnsi" w:eastAsia="Times New Roman" w:hAnsiTheme="majorHAnsi" w:cs="Arial"/>
                <w:sz w:val="20"/>
                <w:szCs w:val="20"/>
                <w:lang w:eastAsia="es-ES"/>
              </w:rPr>
              <w:t xml:space="preserve">cumplimiento </w:t>
            </w:r>
            <w:r w:rsidR="00CF009D" w:rsidRPr="00B16718">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del anteproyecto).</w:t>
            </w:r>
          </w:p>
          <w:p w:rsidR="009B0C5A" w:rsidRPr="005D5F2E" w:rsidRDefault="009B0C5A" w:rsidP="009B0C5A">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rsidR="009B0C5A" w:rsidRPr="005D5F2E" w:rsidRDefault="009B0C5A" w:rsidP="009B0C5A">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rsidR="009B0C5A" w:rsidRPr="005D5F2E" w:rsidRDefault="009B0C5A" w:rsidP="009B0C5A">
            <w:pPr>
              <w:jc w:val="both"/>
              <w:rPr>
                <w:rFonts w:asciiTheme="majorHAnsi" w:eastAsia="Times New Roman" w:hAnsiTheme="majorHAnsi" w:cs="Arial"/>
                <w:sz w:val="20"/>
                <w:szCs w:val="20"/>
                <w:lang w:eastAsia="es-ES"/>
              </w:rPr>
            </w:pPr>
            <w:r w:rsidRPr="001D3AF1">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Físico o Electrónico a través del portal del Instituto.</w:t>
            </w:r>
          </w:p>
          <w:p w:rsidR="009B0C5A" w:rsidRPr="005D5F2E" w:rsidRDefault="009B0C5A" w:rsidP="009B0C5A">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rsidR="009B0C5A" w:rsidRPr="00CA28EC" w:rsidRDefault="009B0C5A" w:rsidP="000D75EC">
            <w:pPr>
              <w:pStyle w:val="Prrafodelista"/>
              <w:numPr>
                <w:ilvl w:val="0"/>
                <w:numId w:val="26"/>
              </w:numPr>
              <w:ind w:right="616"/>
              <w:jc w:val="both"/>
              <w:rPr>
                <w:rFonts w:asciiTheme="majorHAnsi" w:eastAsia="Times New Roman" w:hAnsiTheme="majorHAnsi" w:cs="Arial"/>
                <w:b/>
                <w:sz w:val="20"/>
                <w:szCs w:val="20"/>
                <w:lang w:eastAsia="es-ES"/>
              </w:rPr>
            </w:pPr>
            <w:r w:rsidRPr="00CA28EC">
              <w:rPr>
                <w:rFonts w:asciiTheme="majorHAnsi" w:eastAsia="Times New Roman" w:hAnsiTheme="majorHAnsi" w:cs="Arial"/>
                <w:b/>
                <w:sz w:val="20"/>
                <w:szCs w:val="20"/>
                <w:lang w:eastAsia="es-ES"/>
              </w:rPr>
              <w:t>Datos de información.</w:t>
            </w:r>
          </w:p>
          <w:p w:rsidR="009B0C5A" w:rsidRPr="00794F6D" w:rsidRDefault="009B0C5A" w:rsidP="000D75EC">
            <w:pPr>
              <w:pStyle w:val="Prrafodelista"/>
              <w:numPr>
                <w:ilvl w:val="0"/>
                <w:numId w:val="25"/>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rsidR="009B0C5A" w:rsidRPr="00675DC5" w:rsidRDefault="009B0C5A" w:rsidP="000D75EC">
            <w:pPr>
              <w:pStyle w:val="Prrafodelista"/>
              <w:numPr>
                <w:ilvl w:val="0"/>
                <w:numId w:val="25"/>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rsidR="009B0C5A" w:rsidRDefault="009B0C5A" w:rsidP="000D75EC">
            <w:pPr>
              <w:pStyle w:val="Prrafodelista"/>
              <w:numPr>
                <w:ilvl w:val="0"/>
                <w:numId w:val="25"/>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rsidR="009B0C5A" w:rsidRDefault="009B0C5A" w:rsidP="000D75EC">
            <w:pPr>
              <w:pStyle w:val="Prrafodelista"/>
              <w:numPr>
                <w:ilvl w:val="0"/>
                <w:numId w:val="25"/>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Pr>
                <w:rFonts w:asciiTheme="majorHAnsi" w:eastAsia="Times New Roman" w:hAnsiTheme="majorHAnsi" w:cs="Arial"/>
                <w:sz w:val="20"/>
                <w:szCs w:val="20"/>
                <w:lang w:eastAsia="es-ES"/>
              </w:rPr>
              <w:t>extensión</w:t>
            </w:r>
            <w:r w:rsidRPr="005D5F2E">
              <w:rPr>
                <w:rFonts w:asciiTheme="majorHAnsi" w:eastAsia="Times New Roman" w:hAnsiTheme="majorHAnsi" w:cs="Arial"/>
                <w:sz w:val="20"/>
                <w:szCs w:val="20"/>
                <w:lang w:eastAsia="es-ES"/>
              </w:rPr>
              <w:t>.</w:t>
            </w:r>
          </w:p>
          <w:p w:rsidR="009B0C5A" w:rsidRPr="005D5F2E" w:rsidRDefault="009B0C5A" w:rsidP="000D75EC">
            <w:pPr>
              <w:pStyle w:val="Prrafodelista"/>
              <w:numPr>
                <w:ilvl w:val="0"/>
                <w:numId w:val="25"/>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Pr="005D5F2E">
              <w:rPr>
                <w:rFonts w:asciiTheme="majorHAnsi" w:eastAsia="Times New Roman" w:hAnsiTheme="majorHAnsi" w:cs="Arial"/>
                <w:sz w:val="20"/>
                <w:szCs w:val="20"/>
                <w:lang w:eastAsia="es-ES"/>
              </w:rPr>
              <w:t>orreo electrónico</w:t>
            </w:r>
            <w:r>
              <w:rPr>
                <w:rFonts w:asciiTheme="majorHAnsi" w:eastAsia="Times New Roman" w:hAnsiTheme="majorHAnsi" w:cs="Arial"/>
                <w:sz w:val="20"/>
                <w:szCs w:val="20"/>
                <w:lang w:eastAsia="es-ES"/>
              </w:rPr>
              <w:t>.</w:t>
            </w:r>
          </w:p>
          <w:p w:rsidR="009B0C5A" w:rsidRPr="008A1FC1" w:rsidRDefault="009B0C5A" w:rsidP="000D75EC">
            <w:pPr>
              <w:pStyle w:val="Prrafodelista"/>
              <w:numPr>
                <w:ilvl w:val="0"/>
                <w:numId w:val="26"/>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rsidR="009B0C5A" w:rsidRDefault="009B0C5A" w:rsidP="000D75EC">
            <w:pPr>
              <w:pStyle w:val="Prrafodelista"/>
              <w:numPr>
                <w:ilvl w:val="0"/>
                <w:numId w:val="27"/>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Nombre o razón social.</w:t>
            </w:r>
          </w:p>
          <w:p w:rsidR="009B0C5A" w:rsidRDefault="009B0C5A" w:rsidP="000D75EC">
            <w:pPr>
              <w:pStyle w:val="Prrafodelista"/>
              <w:numPr>
                <w:ilvl w:val="0"/>
                <w:numId w:val="27"/>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rsidR="009B0C5A" w:rsidRDefault="009B0C5A" w:rsidP="000D75EC">
            <w:pPr>
              <w:pStyle w:val="Prrafodelista"/>
              <w:numPr>
                <w:ilvl w:val="0"/>
                <w:numId w:val="27"/>
              </w:numPr>
              <w:ind w:left="880"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rsidR="009B0C5A" w:rsidRDefault="009B0C5A" w:rsidP="000D75EC">
            <w:pPr>
              <w:pStyle w:val="Prrafodelista"/>
              <w:numPr>
                <w:ilvl w:val="0"/>
                <w:numId w:val="27"/>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 y extensión.</w:t>
            </w:r>
          </w:p>
          <w:p w:rsidR="009B0C5A" w:rsidRPr="005D5F2E" w:rsidRDefault="009B0C5A" w:rsidP="000D75EC">
            <w:pPr>
              <w:pStyle w:val="Prrafodelista"/>
              <w:numPr>
                <w:ilvl w:val="0"/>
                <w:numId w:val="27"/>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rsidR="009B0C5A" w:rsidRPr="005D5F2E" w:rsidRDefault="001D2521" w:rsidP="009B0C5A">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EA4FD4">
              <w:rPr>
                <w:rFonts w:asciiTheme="majorHAnsi" w:eastAsia="Times New Roman" w:hAnsiTheme="majorHAnsi" w:cs="Arial"/>
                <w:b/>
                <w:sz w:val="20"/>
                <w:szCs w:val="20"/>
                <w:lang w:eastAsia="es-ES"/>
              </w:rPr>
              <w:t xml:space="preserve"> </w:t>
            </w:r>
            <w:r w:rsidR="009B0C5A" w:rsidRPr="005D5F2E">
              <w:rPr>
                <w:rFonts w:asciiTheme="majorHAnsi" w:eastAsia="Times New Roman" w:hAnsiTheme="majorHAnsi" w:cs="Arial"/>
                <w:b/>
                <w:sz w:val="20"/>
                <w:szCs w:val="20"/>
                <w:lang w:eastAsia="es-ES"/>
              </w:rPr>
              <w:t xml:space="preserve"> Documentos requeridos.</w:t>
            </w:r>
          </w:p>
          <w:p w:rsidR="00567625" w:rsidRDefault="00567625" w:rsidP="000D75EC">
            <w:pPr>
              <w:pStyle w:val="Prrafodelista"/>
              <w:numPr>
                <w:ilvl w:val="0"/>
                <w:numId w:val="28"/>
              </w:numPr>
              <w:ind w:left="88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w:t>
            </w:r>
            <w:r w:rsidRPr="00567625">
              <w:rPr>
                <w:rFonts w:asciiTheme="majorHAnsi" w:eastAsia="Times New Roman" w:hAnsiTheme="majorHAnsi" w:cs="Arial"/>
                <w:sz w:val="20"/>
                <w:szCs w:val="20"/>
                <w:lang w:eastAsia="es-ES"/>
              </w:rPr>
              <w:t xml:space="preserve">ocumento </w:t>
            </w:r>
            <w:r w:rsidR="00A97527" w:rsidRPr="00A97527">
              <w:rPr>
                <w:rFonts w:asciiTheme="majorHAnsi" w:eastAsia="Times New Roman" w:hAnsiTheme="majorHAnsi" w:cs="Arial"/>
                <w:sz w:val="20"/>
                <w:szCs w:val="20"/>
                <w:lang w:eastAsia="es-ES"/>
              </w:rPr>
              <w:t xml:space="preserve">mediante el cual se comunica la </w:t>
            </w:r>
            <w:r w:rsidRPr="00567625">
              <w:rPr>
                <w:rFonts w:asciiTheme="majorHAnsi" w:eastAsia="Times New Roman" w:hAnsiTheme="majorHAnsi" w:cs="Arial"/>
                <w:sz w:val="20"/>
                <w:szCs w:val="20"/>
                <w:lang w:eastAsia="es-ES"/>
              </w:rPr>
              <w:t>visita de Vigilancia del cumplimiento de la certificación</w:t>
            </w:r>
            <w:r w:rsidR="00264BC2">
              <w:rPr>
                <w:rFonts w:asciiTheme="majorHAnsi" w:eastAsia="Times New Roman" w:hAnsiTheme="majorHAnsi" w:cs="Arial"/>
                <w:sz w:val="20"/>
                <w:szCs w:val="20"/>
                <w:lang w:eastAsia="es-ES"/>
              </w:rPr>
              <w:t>,</w:t>
            </w:r>
            <w:r w:rsidRPr="00567625">
              <w:rPr>
                <w:rFonts w:asciiTheme="majorHAnsi" w:eastAsia="Times New Roman" w:hAnsiTheme="majorHAnsi" w:cs="Arial"/>
                <w:sz w:val="20"/>
                <w:szCs w:val="20"/>
                <w:lang w:eastAsia="es-ES"/>
              </w:rPr>
              <w:t xml:space="preserve"> </w:t>
            </w:r>
            <w:r w:rsidR="00264BC2">
              <w:rPr>
                <w:rFonts w:asciiTheme="majorHAnsi" w:eastAsia="Times New Roman" w:hAnsiTheme="majorHAnsi" w:cs="Arial"/>
                <w:sz w:val="20"/>
                <w:szCs w:val="20"/>
                <w:lang w:eastAsia="es-ES"/>
              </w:rPr>
              <w:t xml:space="preserve">el cual debe </w:t>
            </w:r>
            <w:r w:rsidR="00264BC2" w:rsidRPr="00264BC2">
              <w:rPr>
                <w:rFonts w:asciiTheme="majorHAnsi" w:eastAsia="Times New Roman" w:hAnsiTheme="majorHAnsi" w:cs="Arial"/>
                <w:sz w:val="20"/>
                <w:szCs w:val="20"/>
                <w:lang w:eastAsia="es-ES"/>
              </w:rPr>
              <w:t>conten</w:t>
            </w:r>
            <w:r w:rsidR="00264BC2">
              <w:rPr>
                <w:rFonts w:asciiTheme="majorHAnsi" w:eastAsia="Times New Roman" w:hAnsiTheme="majorHAnsi" w:cs="Arial"/>
                <w:sz w:val="20"/>
                <w:szCs w:val="20"/>
                <w:lang w:eastAsia="es-ES"/>
              </w:rPr>
              <w:t xml:space="preserve">er </w:t>
            </w:r>
            <w:r w:rsidR="00264BC2" w:rsidRPr="00264BC2">
              <w:rPr>
                <w:rFonts w:asciiTheme="majorHAnsi" w:eastAsia="Times New Roman" w:hAnsiTheme="majorHAnsi" w:cs="Arial"/>
                <w:sz w:val="20"/>
                <w:szCs w:val="20"/>
                <w:lang w:eastAsia="es-ES"/>
              </w:rPr>
              <w:t>el correspondiente número de folio del Certificado de C</w:t>
            </w:r>
            <w:r w:rsidR="00893658">
              <w:rPr>
                <w:rFonts w:asciiTheme="majorHAnsi" w:eastAsia="Times New Roman" w:hAnsiTheme="majorHAnsi" w:cs="Arial"/>
                <w:sz w:val="20"/>
                <w:szCs w:val="20"/>
                <w:lang w:eastAsia="es-ES"/>
              </w:rPr>
              <w:t>onformidad,</w:t>
            </w:r>
            <w:r w:rsidR="00264BC2" w:rsidRPr="00264BC2">
              <w:rPr>
                <w:rFonts w:asciiTheme="majorHAnsi" w:eastAsia="Times New Roman" w:hAnsiTheme="majorHAnsi" w:cs="Arial"/>
                <w:sz w:val="20"/>
                <w:szCs w:val="20"/>
                <w:lang w:eastAsia="es-ES"/>
              </w:rPr>
              <w:t xml:space="preserve"> así como la fecha de la visita, </w:t>
            </w:r>
            <w:r w:rsidR="00240F7F" w:rsidRPr="00264BC2">
              <w:rPr>
                <w:rFonts w:asciiTheme="majorHAnsi" w:eastAsia="Times New Roman" w:hAnsiTheme="majorHAnsi" w:cs="Arial"/>
                <w:sz w:val="20"/>
                <w:szCs w:val="20"/>
                <w:lang w:eastAsia="es-ES"/>
              </w:rPr>
              <w:t>lugar</w:t>
            </w:r>
            <w:r w:rsidR="00240F7F">
              <w:rPr>
                <w:rFonts w:asciiTheme="majorHAnsi" w:eastAsia="Times New Roman" w:hAnsiTheme="majorHAnsi" w:cs="Arial"/>
                <w:sz w:val="20"/>
                <w:szCs w:val="20"/>
                <w:lang w:eastAsia="es-ES"/>
              </w:rPr>
              <w:t>,</w:t>
            </w:r>
            <w:r w:rsidR="00240F7F" w:rsidRPr="00264BC2">
              <w:rPr>
                <w:rFonts w:asciiTheme="majorHAnsi" w:eastAsia="Times New Roman" w:hAnsiTheme="majorHAnsi" w:cs="Arial"/>
                <w:sz w:val="20"/>
                <w:szCs w:val="20"/>
                <w:lang w:eastAsia="es-ES"/>
              </w:rPr>
              <w:t xml:space="preserve"> hora</w:t>
            </w:r>
            <w:r w:rsidR="00240F7F">
              <w:rPr>
                <w:rFonts w:asciiTheme="majorHAnsi" w:eastAsia="Times New Roman" w:hAnsiTheme="majorHAnsi" w:cs="Arial"/>
                <w:sz w:val="20"/>
                <w:szCs w:val="20"/>
                <w:lang w:eastAsia="es-ES"/>
              </w:rPr>
              <w:t xml:space="preserve"> y objeto</w:t>
            </w:r>
            <w:r w:rsidR="00264BC2" w:rsidRPr="00264BC2">
              <w:rPr>
                <w:rFonts w:asciiTheme="majorHAnsi" w:eastAsia="Times New Roman" w:hAnsiTheme="majorHAnsi" w:cs="Arial"/>
                <w:sz w:val="20"/>
                <w:szCs w:val="20"/>
                <w:lang w:eastAsia="es-ES"/>
              </w:rPr>
              <w:t>.</w:t>
            </w:r>
          </w:p>
          <w:p w:rsidR="009B0C5A" w:rsidRDefault="009B0C5A" w:rsidP="000D75EC">
            <w:pPr>
              <w:pStyle w:val="Prrafodelista"/>
              <w:numPr>
                <w:ilvl w:val="0"/>
                <w:numId w:val="28"/>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Actas de </w:t>
            </w:r>
            <w:r w:rsidR="00893658">
              <w:rPr>
                <w:rFonts w:asciiTheme="majorHAnsi" w:eastAsia="Times New Roman" w:hAnsiTheme="majorHAnsi" w:cs="Arial"/>
                <w:sz w:val="20"/>
                <w:szCs w:val="20"/>
                <w:lang w:eastAsia="es-ES"/>
              </w:rPr>
              <w:t xml:space="preserve">las </w:t>
            </w:r>
            <w:r>
              <w:rPr>
                <w:rFonts w:asciiTheme="majorHAnsi" w:eastAsia="Times New Roman" w:hAnsiTheme="majorHAnsi" w:cs="Arial"/>
                <w:sz w:val="20"/>
                <w:szCs w:val="20"/>
                <w:lang w:eastAsia="es-ES"/>
              </w:rPr>
              <w:t>visita</w:t>
            </w:r>
            <w:r w:rsidR="00893658">
              <w:rPr>
                <w:rFonts w:asciiTheme="majorHAnsi" w:eastAsia="Times New Roman" w:hAnsiTheme="majorHAnsi" w:cs="Arial"/>
                <w:sz w:val="20"/>
                <w:szCs w:val="20"/>
                <w:lang w:eastAsia="es-ES"/>
              </w:rPr>
              <w:t>s</w:t>
            </w:r>
            <w:r>
              <w:rPr>
                <w:rFonts w:asciiTheme="majorHAnsi" w:eastAsia="Times New Roman" w:hAnsiTheme="majorHAnsi" w:cs="Arial"/>
                <w:sz w:val="20"/>
                <w:szCs w:val="20"/>
                <w:lang w:eastAsia="es-ES"/>
              </w:rPr>
              <w:t xml:space="preserve"> de Vigilancia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cumplimiento de la certificación.</w:t>
            </w:r>
          </w:p>
          <w:p w:rsidR="009B0C5A" w:rsidRDefault="00567625" w:rsidP="000D75EC">
            <w:pPr>
              <w:pStyle w:val="Prrafodelista"/>
              <w:numPr>
                <w:ilvl w:val="0"/>
                <w:numId w:val="28"/>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Número de los </w:t>
            </w:r>
            <w:r w:rsidR="00893658">
              <w:rPr>
                <w:rFonts w:asciiTheme="majorHAnsi" w:eastAsia="Times New Roman" w:hAnsiTheme="majorHAnsi" w:cs="Arial"/>
                <w:sz w:val="20"/>
                <w:szCs w:val="20"/>
                <w:lang w:eastAsia="es-ES"/>
              </w:rPr>
              <w:t xml:space="preserve">correspondientes </w:t>
            </w:r>
            <w:r w:rsidR="009B0C5A">
              <w:rPr>
                <w:rFonts w:asciiTheme="majorHAnsi" w:eastAsia="Times New Roman" w:hAnsiTheme="majorHAnsi" w:cs="Arial"/>
                <w:sz w:val="20"/>
                <w:szCs w:val="20"/>
                <w:lang w:eastAsia="es-ES"/>
              </w:rPr>
              <w:t>Certificados de C</w:t>
            </w:r>
            <w:r w:rsidR="00893658">
              <w:rPr>
                <w:rFonts w:asciiTheme="majorHAnsi" w:eastAsia="Times New Roman" w:hAnsiTheme="majorHAnsi" w:cs="Arial"/>
                <w:sz w:val="20"/>
                <w:szCs w:val="20"/>
                <w:lang w:eastAsia="es-ES"/>
              </w:rPr>
              <w:t xml:space="preserve">onformidad </w:t>
            </w:r>
            <w:r w:rsidR="009B0C5A">
              <w:rPr>
                <w:rFonts w:asciiTheme="majorHAnsi" w:eastAsia="Times New Roman" w:hAnsiTheme="majorHAnsi" w:cs="Arial"/>
                <w:sz w:val="20"/>
                <w:szCs w:val="20"/>
                <w:lang w:eastAsia="es-ES"/>
              </w:rPr>
              <w:t>y Homologación.</w:t>
            </w:r>
          </w:p>
          <w:p w:rsidR="009B0C5A" w:rsidRDefault="00230A3A" w:rsidP="000D75EC">
            <w:pPr>
              <w:pStyle w:val="Prrafodelista"/>
              <w:numPr>
                <w:ilvl w:val="0"/>
                <w:numId w:val="28"/>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Ficta: N</w:t>
            </w:r>
            <w:r w:rsidR="009B0C5A" w:rsidRPr="005D5F2E">
              <w:rPr>
                <w:rFonts w:asciiTheme="majorHAnsi" w:eastAsia="Times New Roman" w:hAnsiTheme="majorHAnsi" w:cs="Arial"/>
                <w:sz w:val="20"/>
                <w:szCs w:val="20"/>
                <w:lang w:eastAsia="es-ES"/>
              </w:rPr>
              <w:t>egativa.</w:t>
            </w:r>
          </w:p>
          <w:p w:rsidR="009B0C5A" w:rsidRPr="00772166" w:rsidRDefault="009B0C5A" w:rsidP="000D75EC">
            <w:pPr>
              <w:pStyle w:val="Prrafodelista"/>
              <w:numPr>
                <w:ilvl w:val="0"/>
                <w:numId w:val="28"/>
              </w:numPr>
              <w:ind w:left="880"/>
              <w:jc w:val="both"/>
              <w:rPr>
                <w:rFonts w:asciiTheme="majorHAnsi" w:eastAsia="Times New Roman" w:hAnsiTheme="majorHAnsi" w:cs="Arial"/>
                <w:sz w:val="20"/>
                <w:szCs w:val="20"/>
                <w:lang w:eastAsia="es-ES"/>
              </w:rPr>
            </w:pPr>
            <w:r w:rsidRPr="00772166">
              <w:rPr>
                <w:rFonts w:asciiTheme="majorHAnsi" w:eastAsia="Times New Roman" w:hAnsiTheme="majorHAnsi" w:cs="Arial"/>
                <w:sz w:val="20"/>
                <w:szCs w:val="20"/>
                <w:lang w:eastAsia="es-ES"/>
              </w:rPr>
              <w:t>Plazo máximo de entrega: En un plazo no mayor a diez días hábiles contados a partir del término de la visita de Vigilancia del cumplimiento de la certificación.</w:t>
            </w:r>
          </w:p>
          <w:p w:rsidR="003C4DFB" w:rsidRDefault="003C4DFB" w:rsidP="003C4DFB">
            <w:pPr>
              <w:jc w:val="both"/>
              <w:rPr>
                <w:rFonts w:asciiTheme="majorHAnsi" w:eastAsia="Times New Roman" w:hAnsiTheme="majorHAnsi" w:cs="Arial"/>
                <w:b/>
                <w:sz w:val="20"/>
                <w:szCs w:val="20"/>
                <w:lang w:eastAsia="es-ES"/>
              </w:rPr>
            </w:pPr>
          </w:p>
          <w:p w:rsidR="003C4DFB" w:rsidRDefault="003C4DFB" w:rsidP="003C4DFB">
            <w:pPr>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Trámite 6.</w:t>
            </w:r>
          </w:p>
          <w:p w:rsidR="00EE1C56" w:rsidRDefault="00EE1C56" w:rsidP="003C4DFB">
            <w:pPr>
              <w:jc w:val="both"/>
              <w:rPr>
                <w:rFonts w:asciiTheme="majorHAnsi" w:eastAsia="Times New Roman" w:hAnsiTheme="majorHAnsi" w:cs="Arial"/>
                <w:b/>
                <w:sz w:val="20"/>
                <w:szCs w:val="20"/>
                <w:lang w:eastAsia="es-ES"/>
              </w:rPr>
            </w:pPr>
          </w:p>
          <w:p w:rsidR="003C4DFB" w:rsidRDefault="003C4DFB" w:rsidP="003C4DFB">
            <w:pPr>
              <w:jc w:val="both"/>
              <w:rPr>
                <w:rFonts w:asciiTheme="majorHAnsi" w:eastAsia="Times New Roman" w:hAnsiTheme="majorHAnsi" w:cs="Arial"/>
                <w:sz w:val="20"/>
                <w:szCs w:val="20"/>
                <w:lang w:eastAsia="es-ES"/>
              </w:rPr>
            </w:pPr>
            <w:r>
              <w:rPr>
                <w:rFonts w:asciiTheme="majorHAnsi" w:eastAsia="Times New Roman" w:hAnsiTheme="majorHAnsi" w:cs="Arial"/>
                <w:b/>
                <w:sz w:val="20"/>
                <w:szCs w:val="20"/>
                <w:lang w:eastAsia="es-ES"/>
              </w:rPr>
              <w:t>Nombre del trámite:</w:t>
            </w:r>
            <w:r>
              <w:rPr>
                <w:rFonts w:asciiTheme="majorHAnsi" w:eastAsia="Times New Roman" w:hAnsiTheme="majorHAnsi" w:cs="Arial"/>
                <w:sz w:val="20"/>
                <w:szCs w:val="20"/>
                <w:lang w:eastAsia="es-ES"/>
              </w:rPr>
              <w:t xml:space="preserve"> Actualización del Certificado de Homologación </w:t>
            </w:r>
            <w:r w:rsidR="0098250D">
              <w:rPr>
                <w:rFonts w:asciiTheme="majorHAnsi" w:eastAsia="Times New Roman" w:hAnsiTheme="majorHAnsi" w:cs="Arial"/>
                <w:sz w:val="20"/>
                <w:szCs w:val="20"/>
                <w:lang w:eastAsia="es-ES"/>
              </w:rPr>
              <w:t xml:space="preserve">en el caso de ETM </w:t>
            </w:r>
            <w:r w:rsidR="00C7449E">
              <w:rPr>
                <w:rFonts w:asciiTheme="majorHAnsi" w:eastAsia="Times New Roman" w:hAnsiTheme="majorHAnsi" w:cs="Arial"/>
                <w:sz w:val="20"/>
                <w:szCs w:val="20"/>
                <w:lang w:eastAsia="es-ES"/>
              </w:rPr>
              <w:t xml:space="preserve">que </w:t>
            </w:r>
            <w:r w:rsidR="0098250D">
              <w:rPr>
                <w:rFonts w:asciiTheme="majorHAnsi" w:eastAsia="Times New Roman" w:hAnsiTheme="majorHAnsi" w:cs="Arial"/>
                <w:sz w:val="20"/>
                <w:szCs w:val="20"/>
                <w:lang w:eastAsia="es-ES"/>
              </w:rPr>
              <w:t>soporte</w:t>
            </w:r>
            <w:r w:rsidR="00C7449E">
              <w:rPr>
                <w:rFonts w:asciiTheme="majorHAnsi" w:eastAsia="Times New Roman" w:hAnsiTheme="majorHAnsi" w:cs="Arial"/>
                <w:sz w:val="20"/>
                <w:szCs w:val="20"/>
                <w:lang w:eastAsia="es-ES"/>
              </w:rPr>
              <w:t>n</w:t>
            </w:r>
            <w:r w:rsidR="0098250D">
              <w:rPr>
                <w:rFonts w:asciiTheme="majorHAnsi" w:eastAsia="Times New Roman" w:hAnsiTheme="majorHAnsi" w:cs="Arial"/>
                <w:sz w:val="20"/>
                <w:szCs w:val="20"/>
                <w:lang w:eastAsia="es-ES"/>
              </w:rPr>
              <w:t xml:space="preserve"> las bandas de frecuencia de operación en México</w:t>
            </w:r>
            <w:r w:rsidR="00C7449E">
              <w:rPr>
                <w:rFonts w:asciiTheme="majorHAnsi" w:eastAsia="Times New Roman" w:hAnsiTheme="majorHAnsi" w:cs="Arial"/>
                <w:sz w:val="20"/>
                <w:szCs w:val="20"/>
                <w:lang w:eastAsia="es-ES"/>
              </w:rPr>
              <w:t>,</w:t>
            </w:r>
            <w:r w:rsidR="0098250D">
              <w:rPr>
                <w:rFonts w:asciiTheme="majorHAnsi" w:eastAsia="Times New Roman" w:hAnsiTheme="majorHAnsi" w:cs="Arial"/>
                <w:sz w:val="20"/>
                <w:szCs w:val="20"/>
                <w:lang w:eastAsia="es-ES"/>
              </w:rPr>
              <w:t xml:space="preserve"> pero </w:t>
            </w:r>
            <w:r w:rsidR="00C7449E">
              <w:rPr>
                <w:rFonts w:asciiTheme="majorHAnsi" w:eastAsia="Times New Roman" w:hAnsiTheme="majorHAnsi" w:cs="Arial"/>
                <w:sz w:val="20"/>
                <w:szCs w:val="20"/>
                <w:lang w:eastAsia="es-ES"/>
              </w:rPr>
              <w:t>que é</w:t>
            </w:r>
            <w:r w:rsidR="0098250D">
              <w:rPr>
                <w:rFonts w:asciiTheme="majorHAnsi" w:eastAsia="Times New Roman" w:hAnsiTheme="majorHAnsi" w:cs="Arial"/>
                <w:sz w:val="20"/>
                <w:szCs w:val="20"/>
                <w:lang w:eastAsia="es-ES"/>
              </w:rPr>
              <w:t xml:space="preserve">stas no se encuentren habilitadas a </w:t>
            </w:r>
            <w:r w:rsidR="0098250D" w:rsidRPr="0098250D">
              <w:rPr>
                <w:rFonts w:asciiTheme="majorHAnsi" w:eastAsia="Times New Roman" w:hAnsiTheme="majorHAnsi" w:cs="Arial"/>
                <w:sz w:val="20"/>
                <w:szCs w:val="20"/>
                <w:lang w:eastAsia="es-ES"/>
              </w:rPr>
              <w:t xml:space="preserve">la entrada </w:t>
            </w:r>
            <w:r w:rsidR="0098250D">
              <w:rPr>
                <w:rFonts w:asciiTheme="majorHAnsi" w:eastAsia="Times New Roman" w:hAnsiTheme="majorHAnsi" w:cs="Arial"/>
                <w:sz w:val="20"/>
                <w:szCs w:val="20"/>
                <w:lang w:eastAsia="es-ES"/>
              </w:rPr>
              <w:t xml:space="preserve">vigor de la referida disposición </w:t>
            </w:r>
            <w:r>
              <w:rPr>
                <w:rFonts w:asciiTheme="majorHAnsi" w:eastAsia="Times New Roman" w:hAnsiTheme="majorHAnsi" w:cs="Arial"/>
                <w:sz w:val="20"/>
                <w:szCs w:val="20"/>
                <w:lang w:eastAsia="es-ES"/>
              </w:rPr>
              <w:t>(Transitorio Segundo del anteproyecto).</w:t>
            </w:r>
          </w:p>
          <w:p w:rsidR="007A0442" w:rsidRPr="007A0442" w:rsidRDefault="003C4DFB" w:rsidP="007A0442">
            <w:pPr>
              <w:jc w:val="both"/>
              <w:rPr>
                <w:rFonts w:asciiTheme="majorHAnsi" w:eastAsia="Times New Roman" w:hAnsiTheme="majorHAnsi" w:cs="Arial"/>
                <w:sz w:val="20"/>
                <w:szCs w:val="20"/>
                <w:lang w:eastAsia="es-ES"/>
              </w:rPr>
            </w:pPr>
            <w:r>
              <w:rPr>
                <w:rFonts w:asciiTheme="majorHAnsi" w:eastAsia="Times New Roman" w:hAnsiTheme="majorHAnsi" w:cs="Arial"/>
                <w:b/>
                <w:sz w:val="20"/>
                <w:szCs w:val="20"/>
                <w:lang w:eastAsia="es-ES"/>
              </w:rPr>
              <w:t>Artículo o apartado que da origen al trámite</w:t>
            </w:r>
            <w:r>
              <w:rPr>
                <w:rFonts w:asciiTheme="majorHAnsi" w:eastAsia="Times New Roman" w:hAnsiTheme="majorHAnsi" w:cs="Arial"/>
                <w:sz w:val="20"/>
                <w:szCs w:val="20"/>
                <w:lang w:eastAsia="es-ES"/>
              </w:rPr>
              <w:t xml:space="preserve">: </w:t>
            </w:r>
            <w:r w:rsidR="007A0442" w:rsidRPr="007A0442">
              <w:rPr>
                <w:rFonts w:asciiTheme="majorHAnsi" w:eastAsia="Times New Roman" w:hAnsiTheme="majorHAnsi" w:cs="Arial"/>
                <w:sz w:val="20"/>
                <w:szCs w:val="20"/>
                <w:lang w:eastAsia="es-ES"/>
              </w:rPr>
              <w:t>Artículos 3, fracción XXIV, 289 y 290, de la Ley Federal de Telecomunicaciones y Radiodifusión, publicada en el Diario Oficial de la Federación el 14 de julio de 2014. </w:t>
            </w:r>
          </w:p>
          <w:p w:rsidR="003C4DFB" w:rsidRPr="00615DCD" w:rsidRDefault="007A0442" w:rsidP="00615DCD">
            <w:pPr>
              <w:pStyle w:val="NormalWeb"/>
              <w:shd w:val="clear" w:color="auto" w:fill="FFFFFF"/>
              <w:spacing w:before="0" w:beforeAutospacing="0" w:after="0" w:afterAutospacing="0" w:line="300" w:lineRule="atLeast"/>
              <w:jc w:val="both"/>
              <w:rPr>
                <w:rFonts w:asciiTheme="majorHAnsi" w:hAnsiTheme="majorHAnsi" w:cs="Arial"/>
                <w:sz w:val="20"/>
                <w:szCs w:val="20"/>
                <w:lang w:val="es-ES_tradnl" w:eastAsia="es-ES"/>
              </w:rPr>
            </w:pPr>
            <w:r w:rsidRPr="007A0442">
              <w:rPr>
                <w:rFonts w:asciiTheme="majorHAnsi" w:hAnsiTheme="majorHAnsi" w:cs="Arial"/>
                <w:sz w:val="20"/>
                <w:szCs w:val="20"/>
                <w:lang w:val="es-ES_tradnl" w:eastAsia="es-ES"/>
              </w:rPr>
              <w:t>Artículo 146, fracción I, del Reglamento de Telecomunicaciones, publicado en el Diario Oficial de la Federación el 29 de octubre de 1990. </w:t>
            </w:r>
          </w:p>
          <w:p w:rsidR="00EE1C56" w:rsidRDefault="00EE1C56" w:rsidP="003C4DFB">
            <w:pPr>
              <w:jc w:val="both"/>
              <w:rPr>
                <w:rFonts w:asciiTheme="majorHAnsi" w:eastAsia="Times New Roman" w:hAnsiTheme="majorHAnsi" w:cs="Arial"/>
                <w:sz w:val="20"/>
                <w:szCs w:val="20"/>
                <w:lang w:eastAsia="es-ES"/>
              </w:rPr>
            </w:pPr>
            <w:r w:rsidRPr="00213B0A">
              <w:rPr>
                <w:rFonts w:asciiTheme="majorHAnsi" w:eastAsia="Times New Roman" w:hAnsiTheme="majorHAnsi" w:cs="Arial"/>
                <w:b/>
                <w:sz w:val="20"/>
                <w:szCs w:val="20"/>
                <w:lang w:eastAsia="es-ES"/>
              </w:rPr>
              <w:t>Tipo:</w:t>
            </w:r>
            <w:r>
              <w:rPr>
                <w:rFonts w:asciiTheme="majorHAnsi" w:eastAsia="Times New Roman" w:hAnsiTheme="majorHAnsi" w:cs="Arial"/>
                <w:sz w:val="20"/>
                <w:szCs w:val="20"/>
                <w:lang w:eastAsia="es-ES"/>
              </w:rPr>
              <w:t xml:space="preserve"> Obligación.</w:t>
            </w:r>
          </w:p>
          <w:p w:rsidR="00AC671D" w:rsidRDefault="003C4DFB" w:rsidP="003C4DFB">
            <w:pPr>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Vigencia:</w:t>
            </w:r>
            <w:r>
              <w:rPr>
                <w:rFonts w:asciiTheme="majorHAnsi" w:eastAsia="Times New Roman" w:hAnsiTheme="majorHAnsi" w:cs="Arial"/>
                <w:sz w:val="20"/>
                <w:szCs w:val="20"/>
                <w:lang w:eastAsia="es-ES"/>
              </w:rPr>
              <w:t xml:space="preserve"> </w:t>
            </w:r>
            <w:r w:rsidR="00AC671D">
              <w:rPr>
                <w:rFonts w:asciiTheme="majorHAnsi" w:eastAsia="Times New Roman" w:hAnsiTheme="majorHAnsi" w:cs="Arial"/>
                <w:sz w:val="20"/>
                <w:szCs w:val="20"/>
                <w:lang w:eastAsia="es-ES"/>
              </w:rPr>
              <w:t>Conforme al tipo de Certificado de Homologación solicitado</w:t>
            </w:r>
            <w:r w:rsidR="00EE1C56">
              <w:rPr>
                <w:rFonts w:asciiTheme="majorHAnsi" w:eastAsia="Times New Roman" w:hAnsiTheme="majorHAnsi" w:cs="Arial"/>
                <w:b/>
                <w:sz w:val="20"/>
                <w:szCs w:val="20"/>
                <w:lang w:eastAsia="es-ES"/>
              </w:rPr>
              <w:t>.</w:t>
            </w:r>
          </w:p>
          <w:p w:rsidR="00AC671D" w:rsidRDefault="003C4DFB" w:rsidP="003C4DFB">
            <w:pPr>
              <w:jc w:val="both"/>
              <w:rPr>
                <w:rFonts w:asciiTheme="majorHAnsi" w:eastAsia="Times New Roman" w:hAnsiTheme="majorHAnsi" w:cs="Arial"/>
                <w:sz w:val="20"/>
                <w:szCs w:val="20"/>
                <w:lang w:eastAsia="es-ES"/>
              </w:rPr>
            </w:pPr>
            <w:r>
              <w:rPr>
                <w:rFonts w:asciiTheme="majorHAnsi" w:eastAsia="Times New Roman" w:hAnsiTheme="majorHAnsi" w:cs="Arial"/>
                <w:b/>
                <w:sz w:val="20"/>
                <w:szCs w:val="20"/>
                <w:lang w:eastAsia="es-ES"/>
              </w:rPr>
              <w:t>Medio de presentación</w:t>
            </w:r>
            <w:r>
              <w:rPr>
                <w:rFonts w:asciiTheme="majorHAnsi" w:eastAsia="Times New Roman" w:hAnsiTheme="majorHAnsi" w:cs="Arial"/>
                <w:sz w:val="20"/>
                <w:szCs w:val="20"/>
                <w:lang w:eastAsia="es-ES"/>
              </w:rPr>
              <w:t xml:space="preserve">: </w:t>
            </w:r>
            <w:r w:rsidR="00AC671D" w:rsidRPr="00081FC3">
              <w:rPr>
                <w:rFonts w:asciiTheme="majorHAnsi" w:eastAsia="Times New Roman" w:hAnsiTheme="majorHAnsi" w:cs="Arial"/>
                <w:sz w:val="20"/>
                <w:szCs w:val="20"/>
                <w:lang w:eastAsia="es-ES"/>
              </w:rPr>
              <w:t>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r w:rsidR="00AC671D">
              <w:rPr>
                <w:rFonts w:asciiTheme="majorHAnsi" w:eastAsia="Times New Roman" w:hAnsiTheme="majorHAnsi" w:cs="Arial"/>
                <w:sz w:val="20"/>
                <w:szCs w:val="20"/>
                <w:lang w:eastAsia="es-ES"/>
              </w:rPr>
              <w:t xml:space="preserve"> </w:t>
            </w:r>
          </w:p>
          <w:p w:rsidR="003C4DFB" w:rsidRDefault="003C4DFB" w:rsidP="003C4DFB">
            <w:pPr>
              <w:ind w:right="-64"/>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Requisitos:</w:t>
            </w:r>
          </w:p>
          <w:p w:rsidR="003C4DFB" w:rsidRDefault="003C4DFB" w:rsidP="00CB4A83">
            <w:pPr>
              <w:pStyle w:val="Prrafodelista"/>
              <w:numPr>
                <w:ilvl w:val="0"/>
                <w:numId w:val="35"/>
              </w:numPr>
              <w:spacing w:line="256" w:lineRule="auto"/>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Datos de solicitante </w:t>
            </w:r>
            <w:r w:rsidR="00AC671D">
              <w:rPr>
                <w:rFonts w:asciiTheme="majorHAnsi" w:eastAsia="Times New Roman" w:hAnsiTheme="majorHAnsi" w:cs="Arial"/>
                <w:b/>
                <w:sz w:val="20"/>
                <w:szCs w:val="20"/>
                <w:lang w:eastAsia="es-ES"/>
              </w:rPr>
              <w:t>c</w:t>
            </w:r>
            <w:r>
              <w:rPr>
                <w:rFonts w:asciiTheme="majorHAnsi" w:eastAsia="Times New Roman" w:hAnsiTheme="majorHAnsi" w:cs="Arial"/>
                <w:b/>
                <w:sz w:val="20"/>
                <w:szCs w:val="20"/>
                <w:lang w:eastAsia="es-ES"/>
              </w:rPr>
              <w:t>o</w:t>
            </w:r>
            <w:r w:rsidR="00AC671D">
              <w:rPr>
                <w:rFonts w:asciiTheme="majorHAnsi" w:eastAsia="Times New Roman" w:hAnsiTheme="majorHAnsi" w:cs="Arial"/>
                <w:b/>
                <w:sz w:val="20"/>
                <w:szCs w:val="20"/>
                <w:lang w:eastAsia="es-ES"/>
              </w:rPr>
              <w:t>nforme al PEC vigente</w:t>
            </w:r>
            <w:r>
              <w:rPr>
                <w:rFonts w:asciiTheme="majorHAnsi" w:eastAsia="Times New Roman" w:hAnsiTheme="majorHAnsi" w:cs="Arial"/>
                <w:b/>
                <w:sz w:val="20"/>
                <w:szCs w:val="20"/>
                <w:lang w:eastAsia="es-ES"/>
              </w:rPr>
              <w:t>.</w:t>
            </w:r>
          </w:p>
          <w:p w:rsidR="003C4DFB" w:rsidRDefault="003C4DFB" w:rsidP="00CB4A83">
            <w:pPr>
              <w:pStyle w:val="Prrafodelista"/>
              <w:numPr>
                <w:ilvl w:val="0"/>
                <w:numId w:val="36"/>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Nombre o Razón Social.</w:t>
            </w:r>
          </w:p>
          <w:p w:rsidR="003C4DFB" w:rsidRDefault="003C4DFB" w:rsidP="00CB4A83">
            <w:pPr>
              <w:pStyle w:val="Prrafodelista"/>
              <w:numPr>
                <w:ilvl w:val="0"/>
                <w:numId w:val="36"/>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Registro Federal de Contribuyentes (R.F.C.).</w:t>
            </w:r>
          </w:p>
          <w:p w:rsidR="003C4DFB" w:rsidRDefault="003C4DFB" w:rsidP="00CB4A83">
            <w:pPr>
              <w:pStyle w:val="Prrafodelista"/>
              <w:numPr>
                <w:ilvl w:val="0"/>
                <w:numId w:val="36"/>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Domicilio </w:t>
            </w:r>
            <w:r w:rsidR="00AC671D">
              <w:rPr>
                <w:rFonts w:asciiTheme="majorHAnsi" w:eastAsia="Times New Roman" w:hAnsiTheme="majorHAnsi" w:cs="Arial"/>
                <w:sz w:val="20"/>
                <w:szCs w:val="20"/>
                <w:lang w:eastAsia="es-ES"/>
              </w:rPr>
              <w:t xml:space="preserve">fiscal </w:t>
            </w:r>
            <w:r>
              <w:rPr>
                <w:rFonts w:asciiTheme="majorHAnsi" w:eastAsia="Times New Roman" w:hAnsiTheme="majorHAnsi" w:cs="Arial"/>
                <w:sz w:val="20"/>
                <w:szCs w:val="20"/>
                <w:lang w:eastAsia="es-ES"/>
              </w:rPr>
              <w:t xml:space="preserve">(Calle, número exterior, número interior, colonia, municipio o delegación </w:t>
            </w:r>
            <w:r w:rsidR="00AC671D">
              <w:rPr>
                <w:rFonts w:asciiTheme="majorHAnsi" w:eastAsia="Times New Roman" w:hAnsiTheme="majorHAnsi" w:cs="Arial"/>
                <w:sz w:val="20"/>
                <w:szCs w:val="20"/>
                <w:lang w:eastAsia="es-ES"/>
              </w:rPr>
              <w:t>p</w:t>
            </w:r>
            <w:r>
              <w:rPr>
                <w:rFonts w:asciiTheme="majorHAnsi" w:eastAsia="Times New Roman" w:hAnsiTheme="majorHAnsi" w:cs="Arial"/>
                <w:sz w:val="20"/>
                <w:szCs w:val="20"/>
                <w:lang w:eastAsia="es-ES"/>
              </w:rPr>
              <w:t>olítica código postal y entidad federativa).</w:t>
            </w:r>
          </w:p>
          <w:p w:rsidR="003C4DFB" w:rsidRDefault="003C4DFB" w:rsidP="00CB4A83">
            <w:pPr>
              <w:pStyle w:val="Prrafodelista"/>
              <w:numPr>
                <w:ilvl w:val="0"/>
                <w:numId w:val="36"/>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w:t>
            </w:r>
            <w:r w:rsidR="00AC671D">
              <w:rPr>
                <w:rFonts w:asciiTheme="majorHAnsi" w:eastAsia="Times New Roman" w:hAnsiTheme="majorHAnsi" w:cs="Arial"/>
                <w:sz w:val="20"/>
                <w:szCs w:val="20"/>
                <w:lang w:eastAsia="es-ES"/>
              </w:rPr>
              <w:t>(s)</w:t>
            </w:r>
            <w:r>
              <w:rPr>
                <w:rFonts w:asciiTheme="majorHAnsi" w:eastAsia="Times New Roman" w:hAnsiTheme="majorHAnsi" w:cs="Arial"/>
                <w:sz w:val="20"/>
                <w:szCs w:val="20"/>
                <w:lang w:eastAsia="es-ES"/>
              </w:rPr>
              <w:t>.</w:t>
            </w:r>
          </w:p>
          <w:p w:rsidR="00AC671D" w:rsidRDefault="00AC671D" w:rsidP="00CB4A83">
            <w:pPr>
              <w:pStyle w:val="Prrafodelista"/>
              <w:numPr>
                <w:ilvl w:val="0"/>
                <w:numId w:val="36"/>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rsidR="003C4DFB" w:rsidRDefault="00AC671D" w:rsidP="00CB4A83">
            <w:pPr>
              <w:pStyle w:val="Prrafodelista"/>
              <w:numPr>
                <w:ilvl w:val="0"/>
                <w:numId w:val="36"/>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Giro de la empresa</w:t>
            </w:r>
            <w:r w:rsidR="003C4DFB">
              <w:rPr>
                <w:rFonts w:asciiTheme="majorHAnsi" w:eastAsia="Times New Roman" w:hAnsiTheme="majorHAnsi" w:cs="Arial"/>
                <w:sz w:val="20"/>
                <w:szCs w:val="20"/>
                <w:lang w:eastAsia="es-ES"/>
              </w:rPr>
              <w:t>.</w:t>
            </w:r>
          </w:p>
          <w:p w:rsidR="00AC671D" w:rsidRDefault="00AC671D" w:rsidP="00CB4A83">
            <w:pPr>
              <w:pStyle w:val="Prrafodelista"/>
              <w:numPr>
                <w:ilvl w:val="0"/>
                <w:numId w:val="36"/>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Nombre de la persona que realiza el trámite.</w:t>
            </w:r>
          </w:p>
          <w:p w:rsidR="003C4DFB" w:rsidRDefault="003C4DFB" w:rsidP="00CB4A83">
            <w:pPr>
              <w:pStyle w:val="Prrafodelista"/>
              <w:numPr>
                <w:ilvl w:val="0"/>
                <w:numId w:val="35"/>
              </w:numPr>
              <w:spacing w:line="256" w:lineRule="auto"/>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Datos del representante legal (en su caso)</w:t>
            </w:r>
            <w:r w:rsidR="00AC671D">
              <w:rPr>
                <w:rFonts w:asciiTheme="majorHAnsi" w:eastAsia="Times New Roman" w:hAnsiTheme="majorHAnsi" w:cs="Arial"/>
                <w:b/>
                <w:sz w:val="20"/>
                <w:szCs w:val="20"/>
                <w:lang w:eastAsia="es-ES"/>
              </w:rPr>
              <w:t xml:space="preserve"> conforme al PEC vigente</w:t>
            </w:r>
            <w:r>
              <w:rPr>
                <w:rFonts w:asciiTheme="majorHAnsi" w:eastAsia="Times New Roman" w:hAnsiTheme="majorHAnsi" w:cs="Arial"/>
                <w:b/>
                <w:sz w:val="20"/>
                <w:szCs w:val="20"/>
                <w:lang w:eastAsia="es-ES"/>
              </w:rPr>
              <w:t>.</w:t>
            </w:r>
          </w:p>
          <w:p w:rsidR="003C4DFB" w:rsidRDefault="00AC671D"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sidRPr="00173923">
              <w:rPr>
                <w:rFonts w:asciiTheme="majorHAnsi" w:eastAsia="Times New Roman" w:hAnsiTheme="majorHAnsi" w:cs="Arial"/>
                <w:sz w:val="20"/>
                <w:szCs w:val="20"/>
                <w:lang w:eastAsia="es-ES"/>
              </w:rPr>
              <w:t>Nombre, Apellido Paterno, Apellido Materno</w:t>
            </w:r>
            <w:r w:rsidR="003C4DFB">
              <w:rPr>
                <w:rFonts w:asciiTheme="majorHAnsi" w:eastAsia="Times New Roman" w:hAnsiTheme="majorHAnsi" w:cs="Arial"/>
                <w:sz w:val="20"/>
                <w:szCs w:val="20"/>
                <w:lang w:eastAsia="es-ES"/>
              </w:rPr>
              <w:t>.</w:t>
            </w:r>
          </w:p>
          <w:p w:rsidR="003C4DFB" w:rsidRDefault="00AC671D"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Registro Federal de Contribuyentes (RFC)</w:t>
            </w:r>
            <w:r w:rsidR="003C4DFB">
              <w:rPr>
                <w:rFonts w:asciiTheme="majorHAnsi" w:eastAsia="Times New Roman" w:hAnsiTheme="majorHAnsi" w:cs="Arial"/>
                <w:sz w:val="20"/>
                <w:szCs w:val="20"/>
                <w:lang w:eastAsia="es-ES"/>
              </w:rPr>
              <w:t>.</w:t>
            </w:r>
          </w:p>
          <w:p w:rsidR="00AC671D" w:rsidRDefault="00AC671D"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Clave única de Registro de Población (CURP).</w:t>
            </w:r>
          </w:p>
          <w:p w:rsidR="00AC671D" w:rsidRDefault="00AC671D"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rsidR="003C4DFB" w:rsidRDefault="003C4DFB"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Domicilio </w:t>
            </w:r>
            <w:r w:rsidR="00AC671D">
              <w:rPr>
                <w:rFonts w:asciiTheme="majorHAnsi" w:eastAsia="Times New Roman" w:hAnsiTheme="majorHAnsi" w:cs="Arial"/>
                <w:sz w:val="20"/>
                <w:szCs w:val="20"/>
                <w:lang w:eastAsia="es-ES"/>
              </w:rPr>
              <w:t xml:space="preserve">fiscal </w:t>
            </w:r>
            <w:r>
              <w:rPr>
                <w:rFonts w:asciiTheme="majorHAnsi" w:eastAsia="Times New Roman" w:hAnsiTheme="majorHAnsi" w:cs="Arial"/>
                <w:sz w:val="20"/>
                <w:szCs w:val="20"/>
                <w:lang w:eastAsia="es-ES"/>
              </w:rPr>
              <w:t>(</w:t>
            </w:r>
            <w:r w:rsidR="00AC671D">
              <w:rPr>
                <w:rFonts w:asciiTheme="majorHAnsi" w:eastAsia="Times New Roman" w:hAnsiTheme="majorHAnsi" w:cs="Arial"/>
                <w:sz w:val="20"/>
                <w:szCs w:val="20"/>
                <w:lang w:eastAsia="es-ES"/>
              </w:rPr>
              <w:t>C</w:t>
            </w:r>
            <w:r>
              <w:rPr>
                <w:rFonts w:asciiTheme="majorHAnsi" w:eastAsia="Times New Roman" w:hAnsiTheme="majorHAnsi" w:cs="Arial"/>
                <w:sz w:val="20"/>
                <w:szCs w:val="20"/>
                <w:lang w:eastAsia="es-ES"/>
              </w:rPr>
              <w:t>alle, número exterior, número interior, colonia municipio o delegación política, código postal y entidad federativa).</w:t>
            </w:r>
          </w:p>
          <w:p w:rsidR="003C4DFB" w:rsidRDefault="003C4DFB"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w:t>
            </w:r>
            <w:r w:rsidR="00AC671D">
              <w:rPr>
                <w:rFonts w:asciiTheme="majorHAnsi" w:eastAsia="Times New Roman" w:hAnsiTheme="majorHAnsi" w:cs="Arial"/>
                <w:sz w:val="20"/>
                <w:szCs w:val="20"/>
                <w:lang w:eastAsia="es-ES"/>
              </w:rPr>
              <w:t>(s)</w:t>
            </w:r>
            <w:r>
              <w:rPr>
                <w:rFonts w:asciiTheme="majorHAnsi" w:eastAsia="Times New Roman" w:hAnsiTheme="majorHAnsi" w:cs="Arial"/>
                <w:sz w:val="20"/>
                <w:szCs w:val="20"/>
                <w:lang w:eastAsia="es-ES"/>
              </w:rPr>
              <w:t>.</w:t>
            </w:r>
          </w:p>
          <w:p w:rsidR="003C4DFB" w:rsidRDefault="003C4DFB"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rsidR="00AC671D" w:rsidRDefault="00AC671D" w:rsidP="00CB4A83">
            <w:pPr>
              <w:pStyle w:val="Prrafodelista"/>
              <w:numPr>
                <w:ilvl w:val="0"/>
                <w:numId w:val="37"/>
              </w:numPr>
              <w:spacing w:line="256" w:lineRule="auto"/>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Firma autógrafa del solicitante o su representante legal en el Anexo 8 del PEC.</w:t>
            </w:r>
          </w:p>
          <w:p w:rsidR="003C4DFB" w:rsidRDefault="003C4DFB" w:rsidP="00CB4A83">
            <w:pPr>
              <w:pStyle w:val="Prrafodelista"/>
              <w:numPr>
                <w:ilvl w:val="0"/>
                <w:numId w:val="35"/>
              </w:numPr>
              <w:spacing w:line="256" w:lineRule="auto"/>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Documentos requeridos.</w:t>
            </w:r>
          </w:p>
          <w:p w:rsidR="003C4DFB" w:rsidRDefault="003C4DFB" w:rsidP="00CB4A83">
            <w:pPr>
              <w:pStyle w:val="Prrafodelista"/>
              <w:numPr>
                <w:ilvl w:val="0"/>
                <w:numId w:val="38"/>
              </w:numPr>
              <w:spacing w:line="256" w:lineRule="auto"/>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Certificado de C</w:t>
            </w:r>
            <w:r w:rsidR="0098250D">
              <w:rPr>
                <w:rFonts w:asciiTheme="majorHAnsi" w:eastAsia="Times New Roman" w:hAnsiTheme="majorHAnsi" w:cs="Arial"/>
                <w:sz w:val="20"/>
                <w:szCs w:val="20"/>
                <w:lang w:eastAsia="es-ES"/>
              </w:rPr>
              <w:t>onformidad</w:t>
            </w:r>
            <w:r>
              <w:rPr>
                <w:rFonts w:asciiTheme="majorHAnsi" w:eastAsia="Times New Roman" w:hAnsiTheme="majorHAnsi" w:cs="Arial"/>
                <w:sz w:val="20"/>
                <w:szCs w:val="20"/>
                <w:lang w:eastAsia="es-ES"/>
              </w:rPr>
              <w:t xml:space="preserve"> actualizado</w:t>
            </w:r>
            <w:r w:rsidR="009866E6">
              <w:rPr>
                <w:rFonts w:asciiTheme="majorHAnsi" w:eastAsia="Times New Roman" w:hAnsiTheme="majorHAnsi" w:cs="Arial"/>
                <w:sz w:val="20"/>
                <w:szCs w:val="20"/>
                <w:lang w:eastAsia="es-ES"/>
              </w:rPr>
              <w:t xml:space="preserve"> </w:t>
            </w:r>
            <w:r w:rsidR="009866E6" w:rsidRPr="005D5F2E">
              <w:rPr>
                <w:rFonts w:asciiTheme="majorHAnsi" w:eastAsia="Times New Roman" w:hAnsiTheme="majorHAnsi" w:cs="Arial"/>
                <w:sz w:val="20"/>
                <w:szCs w:val="20"/>
                <w:lang w:eastAsia="es-ES"/>
              </w:rPr>
              <w:t>otorgado por un Organismo de Certificación a</w:t>
            </w:r>
            <w:r w:rsidR="00C7449E">
              <w:rPr>
                <w:rFonts w:asciiTheme="majorHAnsi" w:eastAsia="Times New Roman" w:hAnsiTheme="majorHAnsi" w:cs="Arial"/>
                <w:sz w:val="20"/>
                <w:szCs w:val="20"/>
                <w:lang w:eastAsia="es-ES"/>
              </w:rPr>
              <w:t>creditado</w:t>
            </w:r>
            <w:r w:rsidR="009866E6" w:rsidRPr="005D5F2E">
              <w:rPr>
                <w:rFonts w:asciiTheme="majorHAnsi" w:eastAsia="Times New Roman" w:hAnsiTheme="majorHAnsi" w:cs="Arial"/>
                <w:sz w:val="20"/>
                <w:szCs w:val="20"/>
                <w:lang w:eastAsia="es-ES"/>
              </w:rPr>
              <w:t xml:space="preserve"> en original</w:t>
            </w:r>
            <w:r w:rsidR="009866E6">
              <w:rPr>
                <w:rFonts w:asciiTheme="majorHAnsi" w:eastAsia="Times New Roman" w:hAnsiTheme="majorHAnsi" w:cs="Arial"/>
                <w:sz w:val="20"/>
                <w:szCs w:val="20"/>
                <w:lang w:eastAsia="es-ES"/>
              </w:rPr>
              <w:t>.</w:t>
            </w:r>
          </w:p>
          <w:p w:rsidR="003C4DFB" w:rsidRDefault="003C4DFB" w:rsidP="00CB4A83">
            <w:pPr>
              <w:pStyle w:val="Prrafodelista"/>
              <w:numPr>
                <w:ilvl w:val="0"/>
                <w:numId w:val="38"/>
              </w:numPr>
              <w:spacing w:line="256" w:lineRule="auto"/>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Certificado de Homologación</w:t>
            </w:r>
            <w:r w:rsidR="009866E6">
              <w:rPr>
                <w:rFonts w:asciiTheme="majorHAnsi" w:eastAsia="Times New Roman" w:hAnsiTheme="majorHAnsi" w:cs="Arial"/>
                <w:sz w:val="20"/>
                <w:szCs w:val="20"/>
                <w:lang w:eastAsia="es-ES"/>
              </w:rPr>
              <w:t xml:space="preserve"> original</w:t>
            </w:r>
            <w:r>
              <w:rPr>
                <w:rFonts w:asciiTheme="majorHAnsi" w:eastAsia="Times New Roman" w:hAnsiTheme="majorHAnsi" w:cs="Arial"/>
                <w:sz w:val="20"/>
                <w:szCs w:val="20"/>
                <w:lang w:eastAsia="es-ES"/>
              </w:rPr>
              <w:t>.</w:t>
            </w:r>
          </w:p>
          <w:p w:rsidR="003C4DFB" w:rsidRDefault="003C4DFB" w:rsidP="00CB4A83">
            <w:pPr>
              <w:pStyle w:val="Prrafodelista"/>
              <w:numPr>
                <w:ilvl w:val="0"/>
                <w:numId w:val="38"/>
              </w:numPr>
              <w:spacing w:line="256" w:lineRule="auto"/>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rsidR="003C4DFB" w:rsidRDefault="003C4DFB" w:rsidP="00CB4A83">
            <w:pPr>
              <w:pStyle w:val="Prrafodelista"/>
              <w:numPr>
                <w:ilvl w:val="0"/>
                <w:numId w:val="38"/>
              </w:numPr>
              <w:spacing w:line="256" w:lineRule="auto"/>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Identificación oficial con fotografía del representante legal.</w:t>
            </w:r>
          </w:p>
          <w:p w:rsidR="003C4DFB" w:rsidRDefault="003C4DFB" w:rsidP="00CB4A83">
            <w:pPr>
              <w:pStyle w:val="Prrafodelista"/>
              <w:numPr>
                <w:ilvl w:val="0"/>
                <w:numId w:val="38"/>
              </w:numPr>
              <w:tabs>
                <w:tab w:val="left" w:pos="7990"/>
              </w:tabs>
              <w:spacing w:line="256" w:lineRule="auto"/>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Ficta: negativa.</w:t>
            </w:r>
          </w:p>
          <w:p w:rsidR="003C4DFB" w:rsidRDefault="003C4DFB" w:rsidP="00CB4A83">
            <w:pPr>
              <w:pStyle w:val="Prrafodelista"/>
              <w:numPr>
                <w:ilvl w:val="0"/>
                <w:numId w:val="38"/>
              </w:numPr>
              <w:tabs>
                <w:tab w:val="left" w:pos="7990"/>
              </w:tabs>
              <w:spacing w:line="256" w:lineRule="auto"/>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Plazo máximo de entrega: A más </w:t>
            </w:r>
            <w:r w:rsidR="0098250D">
              <w:rPr>
                <w:rFonts w:asciiTheme="majorHAnsi" w:eastAsia="Times New Roman" w:hAnsiTheme="majorHAnsi" w:cs="Arial"/>
                <w:sz w:val="20"/>
                <w:szCs w:val="20"/>
                <w:lang w:eastAsia="es-ES"/>
              </w:rPr>
              <w:t xml:space="preserve">veinte </w:t>
            </w:r>
            <w:r>
              <w:rPr>
                <w:rFonts w:asciiTheme="majorHAnsi" w:eastAsia="Times New Roman" w:hAnsiTheme="majorHAnsi" w:cs="Arial"/>
                <w:sz w:val="20"/>
                <w:szCs w:val="20"/>
                <w:lang w:eastAsia="es-ES"/>
              </w:rPr>
              <w:t xml:space="preserve">días hábiles </w:t>
            </w:r>
            <w:r w:rsidR="009866E6">
              <w:rPr>
                <w:rFonts w:asciiTheme="majorHAnsi" w:eastAsia="Times New Roman" w:hAnsiTheme="majorHAnsi" w:cs="Arial"/>
                <w:sz w:val="20"/>
                <w:szCs w:val="20"/>
                <w:lang w:eastAsia="es-ES"/>
              </w:rPr>
              <w:t xml:space="preserve">contados a partir de </w:t>
            </w:r>
            <w:r>
              <w:rPr>
                <w:rFonts w:asciiTheme="majorHAnsi" w:eastAsia="Times New Roman" w:hAnsiTheme="majorHAnsi" w:cs="Arial"/>
                <w:sz w:val="20"/>
                <w:szCs w:val="20"/>
                <w:lang w:eastAsia="es-ES"/>
              </w:rPr>
              <w:t xml:space="preserve">la </w:t>
            </w:r>
            <w:r w:rsidR="009866E6">
              <w:rPr>
                <w:rFonts w:asciiTheme="majorHAnsi" w:eastAsia="Times New Roman" w:hAnsiTheme="majorHAnsi" w:cs="Arial"/>
                <w:sz w:val="20"/>
                <w:szCs w:val="20"/>
                <w:lang w:eastAsia="es-ES"/>
              </w:rPr>
              <w:t xml:space="preserve">fecha de </w:t>
            </w:r>
            <w:r>
              <w:rPr>
                <w:rFonts w:asciiTheme="majorHAnsi" w:eastAsia="Times New Roman" w:hAnsiTheme="majorHAnsi" w:cs="Arial"/>
                <w:sz w:val="20"/>
                <w:szCs w:val="20"/>
                <w:lang w:eastAsia="es-ES"/>
              </w:rPr>
              <w:t xml:space="preserve">recepción de </w:t>
            </w:r>
            <w:r w:rsidR="009866E6">
              <w:rPr>
                <w:rFonts w:asciiTheme="majorHAnsi" w:eastAsia="Times New Roman" w:hAnsiTheme="majorHAnsi" w:cs="Arial"/>
                <w:sz w:val="20"/>
                <w:szCs w:val="20"/>
                <w:lang w:eastAsia="es-ES"/>
              </w:rPr>
              <w:t>la solicitud</w:t>
            </w:r>
            <w:r>
              <w:rPr>
                <w:rFonts w:asciiTheme="majorHAnsi" w:eastAsia="Times New Roman" w:hAnsiTheme="majorHAnsi" w:cs="Arial"/>
                <w:sz w:val="20"/>
                <w:szCs w:val="20"/>
                <w:lang w:eastAsia="es-ES"/>
              </w:rPr>
              <w:t>.</w:t>
            </w:r>
          </w:p>
          <w:p w:rsidR="009B0C5A" w:rsidRPr="00213B0A" w:rsidRDefault="003C4DFB" w:rsidP="00CB4A83">
            <w:pPr>
              <w:pStyle w:val="Prrafodelista"/>
              <w:numPr>
                <w:ilvl w:val="0"/>
                <w:numId w:val="38"/>
              </w:numPr>
              <w:tabs>
                <w:tab w:val="left" w:pos="7990"/>
              </w:tabs>
              <w:spacing w:line="256" w:lineRule="auto"/>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Población afectada: Fabricantes y comercializadores de  Equipos Terminales Móviles.</w:t>
            </w:r>
          </w:p>
        </w:tc>
      </w:tr>
    </w:tbl>
    <w:p w:rsidR="003039BF" w:rsidRPr="005D5F2E" w:rsidRDefault="00E22082" w:rsidP="001932FC">
      <w:pPr>
        <w:jc w:val="both"/>
      </w:pPr>
      <w:r>
        <w:t xml:space="preserve">                 </w:t>
      </w:r>
    </w:p>
    <w:tbl>
      <w:tblPr>
        <w:tblStyle w:val="Tablaconcuadrcula"/>
        <w:tblW w:w="0" w:type="auto"/>
        <w:tblLook w:val="04A0" w:firstRow="1" w:lastRow="0" w:firstColumn="1" w:lastColumn="0" w:noHBand="0" w:noVBand="1"/>
      </w:tblPr>
      <w:tblGrid>
        <w:gridCol w:w="8828"/>
      </w:tblGrid>
      <w:tr w:rsidR="003039BF" w:rsidRPr="005D5F2E" w:rsidTr="003039BF">
        <w:tc>
          <w:tcPr>
            <w:tcW w:w="8828" w:type="dxa"/>
          </w:tcPr>
          <w:p w:rsidR="003039BF" w:rsidRPr="005D5F2E" w:rsidRDefault="003039BF" w:rsidP="001932FC">
            <w:pPr>
              <w:jc w:val="both"/>
              <w:rPr>
                <w:b/>
                <w:sz w:val="20"/>
              </w:rPr>
            </w:pPr>
            <w:r w:rsidRPr="005D5F2E">
              <w:rPr>
                <w:b/>
                <w:sz w:val="20"/>
              </w:rPr>
              <w:t>9.- Seleccione las disposiciones, obligaciones y/o acciones distintas a los trámites que correspondan a la propuesta</w:t>
            </w:r>
            <w:r w:rsidR="005A40FB" w:rsidRPr="005D5F2E">
              <w:rPr>
                <w:b/>
                <w:sz w:val="20"/>
              </w:rPr>
              <w:t xml:space="preserve"> de anteproyecto de regulación</w:t>
            </w:r>
            <w:r w:rsidRPr="005D5F2E">
              <w:rPr>
                <w:b/>
                <w:sz w:val="20"/>
              </w:rPr>
              <w:t>:</w:t>
            </w:r>
          </w:p>
          <w:p w:rsidR="003536F5" w:rsidRPr="005D5F2E" w:rsidRDefault="003536F5" w:rsidP="001B7DC7">
            <w:pPr>
              <w:pStyle w:val="Prrafodelista"/>
              <w:numPr>
                <w:ilvl w:val="0"/>
                <w:numId w:val="2"/>
              </w:num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Definición </w:t>
            </w:r>
          </w:p>
          <w:p w:rsidR="003536F5" w:rsidRPr="005D5F2E" w:rsidRDefault="003536F5" w:rsidP="0043000C">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w:t>
            </w:r>
            <w:r w:rsidR="0087115E">
              <w:rPr>
                <w:rFonts w:asciiTheme="majorHAnsi" w:eastAsia="Times New Roman" w:hAnsiTheme="majorHAnsi" w:cs="Arial"/>
                <w:sz w:val="20"/>
                <w:szCs w:val="20"/>
                <w:lang w:eastAsia="es-ES"/>
              </w:rPr>
              <w:t>.1</w:t>
            </w:r>
            <w:r w:rsidRPr="005D5F2E">
              <w:rPr>
                <w:rFonts w:asciiTheme="majorHAnsi" w:eastAsia="Times New Roman" w:hAnsiTheme="majorHAnsi" w:cs="Arial"/>
                <w:sz w:val="20"/>
                <w:szCs w:val="20"/>
                <w:lang w:eastAsia="es-ES"/>
              </w:rPr>
              <w:t>, fracción I.</w:t>
            </w:r>
          </w:p>
          <w:p w:rsidR="003536F5" w:rsidRPr="00A57306" w:rsidRDefault="003536F5" w:rsidP="0043000C">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 xml:space="preserve">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certeza jurídica</w:t>
            </w:r>
            <w:r w:rsidRPr="005D5F2E">
              <w:rPr>
                <w:rFonts w:asciiTheme="majorHAnsi" w:eastAsia="Times New Roman" w:hAnsiTheme="majorHAnsi" w:cs="Arial"/>
                <w:sz w:val="20"/>
                <w:szCs w:val="20"/>
                <w:lang w:eastAsia="es-ES"/>
              </w:rPr>
              <w:t xml:space="preserve"> es necesario contar con la definición de </w:t>
            </w:r>
            <w:r w:rsidR="0087115E">
              <w:rPr>
                <w:rFonts w:asciiTheme="majorHAnsi" w:eastAsia="Times New Roman" w:hAnsiTheme="majorHAnsi" w:cs="Arial"/>
                <w:b/>
                <w:sz w:val="20"/>
                <w:szCs w:val="20"/>
                <w:lang w:eastAsia="es-ES"/>
              </w:rPr>
              <w:t>Densidad espectral de potencia</w:t>
            </w:r>
            <w:r w:rsidRPr="00A57306">
              <w:rPr>
                <w:rFonts w:asciiTheme="majorHAnsi" w:eastAsia="Times New Roman" w:hAnsiTheme="majorHAnsi" w:cs="Arial"/>
                <w:b/>
                <w:sz w:val="20"/>
                <w:szCs w:val="20"/>
                <w:lang w:eastAsia="es-ES"/>
              </w:rPr>
              <w:t>.</w:t>
            </w:r>
          </w:p>
          <w:p w:rsidR="00EC2B3C" w:rsidRPr="005D5F2E" w:rsidRDefault="00EC2B3C" w:rsidP="0043000C">
            <w:pPr>
              <w:pStyle w:val="Prrafodelista"/>
              <w:jc w:val="both"/>
              <w:rPr>
                <w:rFonts w:asciiTheme="majorHAnsi" w:eastAsia="Times New Roman" w:hAnsiTheme="majorHAnsi" w:cs="Arial"/>
                <w:sz w:val="20"/>
                <w:szCs w:val="20"/>
                <w:lang w:eastAsia="es-ES"/>
              </w:rPr>
            </w:pPr>
          </w:p>
          <w:p w:rsidR="00E478BF" w:rsidRPr="005D5F2E" w:rsidRDefault="00E478BF" w:rsidP="00E478BF">
            <w:pPr>
              <w:pStyle w:val="Prrafodelista"/>
              <w:numPr>
                <w:ilvl w:val="0"/>
                <w:numId w:val="2"/>
              </w:num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Definición </w:t>
            </w:r>
          </w:p>
          <w:p w:rsidR="00E478BF" w:rsidRPr="005D5F2E" w:rsidRDefault="00E478BF" w:rsidP="00E478BF">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II.</w:t>
            </w:r>
          </w:p>
          <w:p w:rsidR="00E478BF" w:rsidRPr="005D5F2E" w:rsidRDefault="00E478BF" w:rsidP="00E478BF">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 xml:space="preserve">Para efectos de dar claridad a la lectura de la Disposición técnica y certeza jurídica es necesario contar con la definición de </w:t>
            </w:r>
            <w:r w:rsidR="0087115E" w:rsidRPr="0087115E">
              <w:rPr>
                <w:rFonts w:asciiTheme="majorHAnsi" w:eastAsia="Times New Roman" w:hAnsiTheme="majorHAnsi" w:cs="Arial"/>
                <w:b/>
                <w:sz w:val="20"/>
                <w:szCs w:val="20"/>
                <w:lang w:eastAsia="es-ES"/>
              </w:rPr>
              <w:t>Dispositivo o Equipo Terminal Móvil</w:t>
            </w:r>
            <w:r w:rsidRPr="0087115E">
              <w:rPr>
                <w:rFonts w:asciiTheme="majorHAnsi" w:eastAsia="Times New Roman" w:hAnsiTheme="majorHAnsi" w:cs="Arial"/>
                <w:b/>
                <w:sz w:val="20"/>
                <w:szCs w:val="20"/>
                <w:lang w:eastAsia="es-ES"/>
              </w:rPr>
              <w:t>.</w:t>
            </w:r>
          </w:p>
          <w:p w:rsidR="00E478BF" w:rsidRPr="002B1D7E" w:rsidRDefault="00E478BF" w:rsidP="002B1D7E">
            <w:pPr>
              <w:pStyle w:val="Prrafodelista"/>
              <w:jc w:val="both"/>
              <w:rPr>
                <w:rFonts w:asciiTheme="majorHAnsi" w:eastAsia="Times New Roman" w:hAnsiTheme="majorHAnsi" w:cs="Arial"/>
                <w:sz w:val="20"/>
                <w:szCs w:val="20"/>
                <w:lang w:eastAsia="es-ES"/>
              </w:rPr>
            </w:pPr>
          </w:p>
          <w:p w:rsidR="00EC2B3C" w:rsidRPr="005D5F2E" w:rsidRDefault="00EC2B3C" w:rsidP="001B7DC7">
            <w:pPr>
              <w:pStyle w:val="Prrafodelista"/>
              <w:numPr>
                <w:ilvl w:val="0"/>
                <w:numId w:val="2"/>
              </w:num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Definición </w:t>
            </w:r>
          </w:p>
          <w:p w:rsidR="00EC2B3C" w:rsidRPr="005D5F2E" w:rsidRDefault="00EC2B3C" w:rsidP="00EC2B3C">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II</w:t>
            </w:r>
            <w:r w:rsidR="00E478BF">
              <w:rPr>
                <w:rFonts w:asciiTheme="majorHAnsi" w:eastAsia="Times New Roman" w:hAnsiTheme="majorHAnsi" w:cs="Arial"/>
                <w:sz w:val="20"/>
                <w:szCs w:val="20"/>
                <w:lang w:eastAsia="es-ES"/>
              </w:rPr>
              <w:t>I</w:t>
            </w:r>
            <w:r w:rsidRPr="005D5F2E">
              <w:rPr>
                <w:rFonts w:asciiTheme="majorHAnsi" w:eastAsia="Times New Roman" w:hAnsiTheme="majorHAnsi" w:cs="Arial"/>
                <w:sz w:val="20"/>
                <w:szCs w:val="20"/>
                <w:lang w:eastAsia="es-ES"/>
              </w:rPr>
              <w:t>.</w:t>
            </w:r>
          </w:p>
          <w:p w:rsidR="00EC2B3C" w:rsidRPr="005D5F2E" w:rsidRDefault="00EC2B3C" w:rsidP="00EC2B3C">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w:t>
            </w:r>
            <w:r w:rsidR="0087115E">
              <w:rPr>
                <w:rFonts w:asciiTheme="majorHAnsi" w:eastAsia="Times New Roman" w:hAnsiTheme="majorHAnsi" w:cs="Arial"/>
                <w:sz w:val="20"/>
                <w:szCs w:val="20"/>
                <w:lang w:eastAsia="es-ES"/>
              </w:rPr>
              <w:t xml:space="preserve">rio contar con la definición de </w:t>
            </w:r>
            <w:r w:rsidR="0087115E" w:rsidRPr="0087115E">
              <w:rPr>
                <w:rFonts w:asciiTheme="majorHAnsi" w:eastAsia="Times New Roman" w:hAnsiTheme="majorHAnsi" w:cs="Arial"/>
                <w:b/>
                <w:sz w:val="20"/>
                <w:szCs w:val="20"/>
                <w:lang w:eastAsia="es-ES"/>
              </w:rPr>
              <w:t>Enlace ascendente (</w:t>
            </w:r>
            <w:proofErr w:type="spellStart"/>
            <w:r w:rsidR="0087115E" w:rsidRPr="0087115E">
              <w:rPr>
                <w:rFonts w:asciiTheme="majorHAnsi" w:eastAsia="Times New Roman" w:hAnsiTheme="majorHAnsi" w:cs="Arial"/>
                <w:b/>
                <w:sz w:val="20"/>
                <w:szCs w:val="20"/>
                <w:lang w:eastAsia="es-ES"/>
              </w:rPr>
              <w:t>Uplink</w:t>
            </w:r>
            <w:proofErr w:type="spellEnd"/>
            <w:r w:rsidR="0087115E" w:rsidRPr="0087115E">
              <w:rPr>
                <w:rFonts w:asciiTheme="majorHAnsi" w:eastAsia="Times New Roman" w:hAnsiTheme="majorHAnsi" w:cs="Arial"/>
                <w:b/>
                <w:sz w:val="20"/>
                <w:szCs w:val="20"/>
                <w:lang w:eastAsia="es-ES"/>
              </w:rPr>
              <w:t xml:space="preserve"> o conexión de subida).</w:t>
            </w:r>
          </w:p>
          <w:p w:rsidR="00EC2B3C" w:rsidRPr="005D5F2E" w:rsidRDefault="00EC2B3C" w:rsidP="00EC2B3C">
            <w:pPr>
              <w:jc w:val="both"/>
              <w:rPr>
                <w:rFonts w:asciiTheme="majorHAnsi" w:eastAsia="Times New Roman" w:hAnsiTheme="majorHAnsi" w:cs="Arial"/>
                <w:sz w:val="20"/>
                <w:szCs w:val="20"/>
                <w:lang w:eastAsia="es-ES"/>
              </w:rPr>
            </w:pPr>
          </w:p>
          <w:p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I</w:t>
            </w:r>
            <w:r w:rsidR="00E478BF">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 xml:space="preserve">. </w:t>
            </w:r>
          </w:p>
          <w:p w:rsidR="003536F5" w:rsidRPr="00D92354" w:rsidRDefault="003536F5" w:rsidP="003536F5">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Justificación:</w:t>
            </w:r>
            <w:r w:rsidRPr="005D5F2E">
              <w:rPr>
                <w:rFonts w:asciiTheme="majorHAnsi" w:eastAsia="Times New Roman" w:hAnsiTheme="majorHAnsi" w:cs="Arial"/>
                <w:sz w:val="20"/>
                <w:szCs w:val="20"/>
                <w:lang w:eastAsia="es-ES"/>
              </w:rPr>
              <w:t xml:space="preserve"> 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Pr="005D5F2E">
              <w:rPr>
                <w:rFonts w:asciiTheme="majorHAnsi" w:eastAsia="Times New Roman" w:hAnsiTheme="majorHAnsi" w:cs="Arial"/>
                <w:sz w:val="20"/>
                <w:szCs w:val="20"/>
                <w:lang w:eastAsia="es-ES"/>
              </w:rPr>
              <w:t xml:space="preserve">es necesario contar con la definición de </w:t>
            </w:r>
            <w:r w:rsidR="00D92354" w:rsidRPr="00D92354">
              <w:rPr>
                <w:rFonts w:asciiTheme="majorHAnsi" w:eastAsia="Times New Roman" w:hAnsiTheme="majorHAnsi" w:cs="Arial"/>
                <w:b/>
                <w:sz w:val="20"/>
                <w:szCs w:val="20"/>
                <w:lang w:eastAsia="es-ES"/>
              </w:rPr>
              <w:t>Enlace descendente (</w:t>
            </w:r>
            <w:proofErr w:type="spellStart"/>
            <w:r w:rsidR="00D92354" w:rsidRPr="00D92354">
              <w:rPr>
                <w:rFonts w:asciiTheme="majorHAnsi" w:eastAsia="Times New Roman" w:hAnsiTheme="majorHAnsi" w:cs="Arial"/>
                <w:b/>
                <w:sz w:val="20"/>
                <w:szCs w:val="20"/>
                <w:lang w:eastAsia="es-ES"/>
              </w:rPr>
              <w:t>Downlink</w:t>
            </w:r>
            <w:proofErr w:type="spellEnd"/>
            <w:r w:rsidR="00D92354" w:rsidRPr="00D92354">
              <w:rPr>
                <w:rFonts w:asciiTheme="majorHAnsi" w:eastAsia="Times New Roman" w:hAnsiTheme="majorHAnsi" w:cs="Arial"/>
                <w:b/>
                <w:sz w:val="20"/>
                <w:szCs w:val="20"/>
                <w:lang w:eastAsia="es-ES"/>
              </w:rPr>
              <w:t xml:space="preserve"> o conexión de bajada)</w:t>
            </w:r>
            <w:r w:rsidRPr="00D92354">
              <w:rPr>
                <w:rFonts w:asciiTheme="majorHAnsi" w:eastAsia="Times New Roman" w:hAnsiTheme="majorHAnsi" w:cs="Arial"/>
                <w:b/>
                <w:sz w:val="20"/>
                <w:szCs w:val="20"/>
                <w:lang w:eastAsia="es-ES"/>
              </w:rPr>
              <w:t>.</w:t>
            </w:r>
          </w:p>
          <w:p w:rsidR="00335B97" w:rsidRPr="005D5F2E" w:rsidRDefault="00335B97" w:rsidP="003536F5">
            <w:pPr>
              <w:pStyle w:val="Prrafodelista"/>
              <w:jc w:val="both"/>
              <w:rPr>
                <w:rFonts w:asciiTheme="majorHAnsi" w:eastAsia="Times New Roman" w:hAnsiTheme="majorHAnsi" w:cs="Arial"/>
                <w:sz w:val="20"/>
                <w:szCs w:val="20"/>
                <w:lang w:eastAsia="es-ES"/>
              </w:rPr>
            </w:pPr>
          </w:p>
          <w:p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sidR="006C2BB7">
              <w:rPr>
                <w:rFonts w:asciiTheme="majorHAnsi" w:eastAsia="Times New Roman" w:hAnsiTheme="majorHAnsi" w:cs="Arial"/>
                <w:sz w:val="20"/>
                <w:szCs w:val="20"/>
                <w:lang w:eastAsia="es-ES"/>
              </w:rPr>
              <w:t>V</w:t>
            </w:r>
            <w:r w:rsidR="00317C65">
              <w:rPr>
                <w:rFonts w:asciiTheme="majorHAnsi" w:eastAsia="Times New Roman" w:hAnsiTheme="majorHAnsi" w:cs="Arial"/>
                <w:sz w:val="20"/>
                <w:szCs w:val="20"/>
                <w:lang w:eastAsia="es-ES"/>
              </w:rPr>
              <w:t>.</w:t>
            </w:r>
          </w:p>
          <w:p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Justificación:</w:t>
            </w:r>
            <w:r w:rsidRPr="005D5F2E">
              <w:rPr>
                <w:rFonts w:asciiTheme="majorHAnsi" w:eastAsia="Times New Roman" w:hAnsiTheme="majorHAnsi" w:cs="Arial"/>
                <w:sz w:val="20"/>
                <w:szCs w:val="20"/>
                <w:lang w:eastAsia="es-ES"/>
              </w:rPr>
              <w:t xml:space="preserve"> 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Pr="005D5F2E">
              <w:rPr>
                <w:rFonts w:asciiTheme="majorHAnsi" w:eastAsia="Times New Roman" w:hAnsiTheme="majorHAnsi" w:cs="Arial"/>
                <w:sz w:val="20"/>
                <w:szCs w:val="20"/>
                <w:lang w:eastAsia="es-ES"/>
              </w:rPr>
              <w:t xml:space="preserve">es necesario contar con la definición de </w:t>
            </w:r>
            <w:r w:rsidR="00D92354" w:rsidRPr="00D92354">
              <w:rPr>
                <w:rFonts w:asciiTheme="majorHAnsi" w:eastAsia="Times New Roman" w:hAnsiTheme="majorHAnsi" w:cs="Arial"/>
                <w:b/>
                <w:sz w:val="20"/>
                <w:szCs w:val="20"/>
                <w:lang w:eastAsia="es-ES"/>
              </w:rPr>
              <w:t>Emisiones fuera de banda</w:t>
            </w:r>
            <w:r w:rsidRPr="005D5F2E">
              <w:rPr>
                <w:rFonts w:asciiTheme="majorHAnsi" w:eastAsia="Times New Roman" w:hAnsiTheme="majorHAnsi" w:cs="Arial"/>
                <w:sz w:val="20"/>
                <w:szCs w:val="20"/>
                <w:lang w:eastAsia="es-ES"/>
              </w:rPr>
              <w:t xml:space="preserve">. </w:t>
            </w:r>
          </w:p>
          <w:p w:rsidR="00335B97" w:rsidRPr="005D5F2E" w:rsidRDefault="00335B97" w:rsidP="003536F5">
            <w:pPr>
              <w:pStyle w:val="Prrafodelista"/>
              <w:jc w:val="both"/>
              <w:rPr>
                <w:rFonts w:asciiTheme="majorHAnsi" w:eastAsia="Times New Roman" w:hAnsiTheme="majorHAnsi" w:cs="Arial"/>
                <w:sz w:val="20"/>
                <w:szCs w:val="20"/>
                <w:lang w:eastAsia="es-ES"/>
              </w:rPr>
            </w:pPr>
          </w:p>
          <w:p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3536F5" w:rsidRPr="005D5F2E" w:rsidRDefault="003536F5" w:rsidP="003536F5">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Artículos Aplicables:</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Numeral 3, fracción V</w:t>
            </w:r>
            <w:r w:rsidR="006C2BB7">
              <w:rPr>
                <w:rFonts w:asciiTheme="majorHAnsi" w:eastAsia="Times New Roman" w:hAnsiTheme="majorHAnsi" w:cs="Arial"/>
                <w:sz w:val="20"/>
                <w:szCs w:val="20"/>
                <w:lang w:eastAsia="es-ES"/>
              </w:rPr>
              <w:t>I</w:t>
            </w:r>
            <w:r w:rsidR="00317C65">
              <w:rPr>
                <w:rFonts w:asciiTheme="majorHAnsi" w:eastAsia="Times New Roman" w:hAnsiTheme="majorHAnsi" w:cs="Arial"/>
                <w:sz w:val="20"/>
                <w:szCs w:val="20"/>
                <w:lang w:eastAsia="es-ES"/>
              </w:rPr>
              <w:t>.</w:t>
            </w:r>
          </w:p>
          <w:p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Justificación:</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 xml:space="preserve">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00EE47B3" w:rsidRPr="005D5F2E">
              <w:rPr>
                <w:rFonts w:asciiTheme="majorHAnsi" w:eastAsia="Times New Roman" w:hAnsiTheme="majorHAnsi" w:cs="Arial"/>
                <w:sz w:val="20"/>
                <w:szCs w:val="20"/>
                <w:lang w:eastAsia="es-ES"/>
              </w:rPr>
              <w:t xml:space="preserve">es necesario contar con la definición de </w:t>
            </w:r>
            <w:r w:rsidR="00D92354" w:rsidRPr="00D92354">
              <w:rPr>
                <w:rFonts w:asciiTheme="majorHAnsi" w:eastAsia="Times New Roman" w:hAnsiTheme="majorHAnsi" w:cs="Arial"/>
                <w:b/>
                <w:sz w:val="20"/>
                <w:szCs w:val="20"/>
                <w:lang w:eastAsia="es-ES"/>
              </w:rPr>
              <w:t xml:space="preserve">Emisiones </w:t>
            </w:r>
            <w:r w:rsidR="00D92354">
              <w:rPr>
                <w:rFonts w:asciiTheme="majorHAnsi" w:eastAsia="Times New Roman" w:hAnsiTheme="majorHAnsi" w:cs="Arial"/>
                <w:b/>
                <w:sz w:val="20"/>
                <w:szCs w:val="20"/>
                <w:lang w:eastAsia="es-ES"/>
              </w:rPr>
              <w:t xml:space="preserve"> no esenciales</w:t>
            </w:r>
            <w:r w:rsidR="00EE47B3" w:rsidRPr="005D5F2E">
              <w:rPr>
                <w:rFonts w:asciiTheme="majorHAnsi" w:eastAsia="Times New Roman" w:hAnsiTheme="majorHAnsi" w:cs="Arial"/>
                <w:sz w:val="20"/>
                <w:szCs w:val="20"/>
                <w:lang w:eastAsia="es-ES"/>
              </w:rPr>
              <w:t>.</w:t>
            </w:r>
          </w:p>
          <w:p w:rsidR="009362A6" w:rsidRPr="005D5F2E" w:rsidRDefault="009362A6" w:rsidP="003536F5">
            <w:pPr>
              <w:pStyle w:val="Prrafodelista"/>
              <w:jc w:val="both"/>
              <w:rPr>
                <w:rFonts w:asciiTheme="majorHAnsi" w:eastAsia="Times New Roman" w:hAnsiTheme="majorHAnsi" w:cs="Arial"/>
                <w:sz w:val="20"/>
                <w:szCs w:val="20"/>
                <w:lang w:eastAsia="es-ES"/>
              </w:rPr>
            </w:pPr>
          </w:p>
          <w:p w:rsidR="009362A6" w:rsidRPr="005D5F2E" w:rsidRDefault="009362A6"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9362A6" w:rsidRPr="005D5F2E" w:rsidRDefault="009362A6" w:rsidP="009362A6">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V</w:t>
            </w:r>
            <w:r w:rsidR="006C2BB7">
              <w:rPr>
                <w:rFonts w:asciiTheme="majorHAnsi" w:eastAsia="Times New Roman" w:hAnsiTheme="majorHAnsi" w:cs="Arial"/>
                <w:sz w:val="20"/>
                <w:szCs w:val="20"/>
                <w:lang w:eastAsia="es-ES"/>
              </w:rPr>
              <w:t>II</w:t>
            </w:r>
            <w:r w:rsidR="00317C65">
              <w:rPr>
                <w:rFonts w:asciiTheme="majorHAnsi" w:eastAsia="Times New Roman" w:hAnsiTheme="majorHAnsi" w:cs="Arial"/>
                <w:sz w:val="20"/>
                <w:szCs w:val="20"/>
                <w:lang w:eastAsia="es-ES"/>
              </w:rPr>
              <w:t>.</w:t>
            </w:r>
          </w:p>
          <w:p w:rsidR="009362A6" w:rsidRPr="005D5F2E" w:rsidRDefault="009362A6" w:rsidP="009362A6">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 xml:space="preserve">Para efectos de dar claridad a la lectura de la Disposición técnica y certeza jurídica es necesario contar con la definición de </w:t>
            </w:r>
            <w:r w:rsidR="00D92354" w:rsidRPr="00D92354">
              <w:rPr>
                <w:rFonts w:asciiTheme="majorHAnsi" w:eastAsia="Times New Roman" w:hAnsiTheme="majorHAnsi" w:cs="Arial"/>
                <w:b/>
                <w:sz w:val="20"/>
                <w:szCs w:val="20"/>
                <w:lang w:eastAsia="es-ES"/>
              </w:rPr>
              <w:t xml:space="preserve">Emisiones </w:t>
            </w:r>
            <w:r w:rsidR="00D92354">
              <w:rPr>
                <w:rFonts w:asciiTheme="majorHAnsi" w:eastAsia="Times New Roman" w:hAnsiTheme="majorHAnsi" w:cs="Arial"/>
                <w:b/>
                <w:sz w:val="20"/>
                <w:szCs w:val="20"/>
                <w:lang w:eastAsia="es-ES"/>
              </w:rPr>
              <w:t xml:space="preserve"> no deseadas</w:t>
            </w:r>
            <w:r w:rsidRPr="005D5F2E">
              <w:rPr>
                <w:rFonts w:asciiTheme="majorHAnsi" w:eastAsia="Times New Roman" w:hAnsiTheme="majorHAnsi" w:cs="Arial"/>
                <w:sz w:val="20"/>
                <w:szCs w:val="20"/>
                <w:lang w:eastAsia="es-ES"/>
              </w:rPr>
              <w:t>.</w:t>
            </w:r>
          </w:p>
          <w:p w:rsidR="00A524C4" w:rsidRPr="005D5F2E" w:rsidRDefault="00A524C4" w:rsidP="009362A6">
            <w:pPr>
              <w:pStyle w:val="Prrafodelista"/>
              <w:jc w:val="both"/>
              <w:rPr>
                <w:rFonts w:asciiTheme="majorHAnsi" w:eastAsia="Times New Roman" w:hAnsiTheme="majorHAnsi" w:cs="Arial"/>
                <w:sz w:val="20"/>
                <w:szCs w:val="20"/>
                <w:lang w:eastAsia="es-ES"/>
              </w:rPr>
            </w:pPr>
          </w:p>
          <w:p w:rsidR="00A524C4" w:rsidRPr="005D5F2E" w:rsidRDefault="00A524C4"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A524C4" w:rsidRPr="005D5F2E" w:rsidRDefault="00A524C4" w:rsidP="00A524C4">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sidR="00610B18">
              <w:rPr>
                <w:rFonts w:asciiTheme="majorHAnsi" w:eastAsia="Times New Roman" w:hAnsiTheme="majorHAnsi" w:cs="Arial"/>
                <w:sz w:val="20"/>
                <w:szCs w:val="20"/>
                <w:lang w:eastAsia="es-ES"/>
              </w:rPr>
              <w:t>VII</w:t>
            </w:r>
            <w:r w:rsidRPr="005D5F2E">
              <w:rPr>
                <w:rFonts w:asciiTheme="majorHAnsi" w:eastAsia="Times New Roman" w:hAnsiTheme="majorHAnsi" w:cs="Arial"/>
                <w:sz w:val="20"/>
                <w:szCs w:val="20"/>
                <w:lang w:eastAsia="es-ES"/>
              </w:rPr>
              <w:t>I</w:t>
            </w:r>
            <w:r w:rsidR="00317C65">
              <w:rPr>
                <w:rFonts w:asciiTheme="majorHAnsi" w:eastAsia="Times New Roman" w:hAnsiTheme="majorHAnsi" w:cs="Arial"/>
                <w:sz w:val="20"/>
                <w:szCs w:val="20"/>
                <w:lang w:eastAsia="es-ES"/>
              </w:rPr>
              <w:t>.</w:t>
            </w:r>
          </w:p>
          <w:p w:rsidR="00A524C4" w:rsidRPr="005D5F2E" w:rsidRDefault="00A524C4" w:rsidP="00A524C4">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 xml:space="preserve">Para efectos de dar claridad a la lectura de la Disposición técnica y certeza jurídica es necesario contar con la definición de </w:t>
            </w:r>
            <w:r w:rsidR="00D92354" w:rsidRPr="00D92354">
              <w:rPr>
                <w:rFonts w:asciiTheme="majorHAnsi" w:eastAsia="Times New Roman" w:hAnsiTheme="majorHAnsi" w:cs="Arial"/>
                <w:b/>
                <w:sz w:val="20"/>
                <w:szCs w:val="20"/>
                <w:lang w:eastAsia="es-ES"/>
              </w:rPr>
              <w:t>Equipo Bajo Prueba</w:t>
            </w:r>
            <w:r w:rsidRPr="00D92354">
              <w:rPr>
                <w:rFonts w:asciiTheme="majorHAnsi" w:eastAsia="Times New Roman" w:hAnsiTheme="majorHAnsi" w:cs="Arial"/>
                <w:b/>
                <w:sz w:val="20"/>
                <w:szCs w:val="20"/>
                <w:lang w:eastAsia="es-ES"/>
              </w:rPr>
              <w:t>.</w:t>
            </w:r>
          </w:p>
          <w:p w:rsidR="00A524C4" w:rsidRPr="005D5F2E" w:rsidRDefault="00A524C4" w:rsidP="003536F5">
            <w:pPr>
              <w:pStyle w:val="Prrafodelista"/>
              <w:jc w:val="both"/>
              <w:rPr>
                <w:rFonts w:asciiTheme="majorHAnsi" w:eastAsia="Times New Roman" w:hAnsiTheme="majorHAnsi" w:cs="Arial"/>
                <w:sz w:val="20"/>
                <w:szCs w:val="20"/>
                <w:lang w:eastAsia="es-ES"/>
              </w:rPr>
            </w:pPr>
          </w:p>
          <w:p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Artículos Aplicables:</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 xml:space="preserve">Numeral 3, fracción </w:t>
            </w:r>
            <w:r w:rsidR="00610B18">
              <w:rPr>
                <w:rFonts w:asciiTheme="majorHAnsi" w:eastAsia="Times New Roman" w:hAnsiTheme="majorHAnsi" w:cs="Arial"/>
                <w:sz w:val="20"/>
                <w:szCs w:val="20"/>
                <w:lang w:eastAsia="es-ES"/>
              </w:rPr>
              <w:t>I</w:t>
            </w:r>
            <w:r w:rsidR="006C2BB7">
              <w:rPr>
                <w:rFonts w:asciiTheme="majorHAnsi" w:eastAsia="Times New Roman" w:hAnsiTheme="majorHAnsi" w:cs="Arial"/>
                <w:sz w:val="20"/>
                <w:szCs w:val="20"/>
                <w:lang w:eastAsia="es-ES"/>
              </w:rPr>
              <w:t>X</w:t>
            </w:r>
            <w:r w:rsidR="00317C65">
              <w:rPr>
                <w:rFonts w:asciiTheme="majorHAnsi" w:eastAsia="Times New Roman" w:hAnsiTheme="majorHAnsi" w:cs="Arial"/>
                <w:sz w:val="20"/>
                <w:szCs w:val="20"/>
                <w:lang w:eastAsia="es-ES"/>
              </w:rPr>
              <w:t>.</w:t>
            </w:r>
          </w:p>
          <w:p w:rsidR="003536F5"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Justificación:</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 xml:space="preserve">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00EE47B3" w:rsidRPr="005D5F2E">
              <w:rPr>
                <w:rFonts w:asciiTheme="majorHAnsi" w:eastAsia="Times New Roman" w:hAnsiTheme="majorHAnsi" w:cs="Arial"/>
                <w:sz w:val="20"/>
                <w:szCs w:val="20"/>
                <w:lang w:eastAsia="es-ES"/>
              </w:rPr>
              <w:t xml:space="preserve">es necesario contar con la definición de </w:t>
            </w:r>
            <w:proofErr w:type="spellStart"/>
            <w:r w:rsidR="00645131" w:rsidRPr="00645131">
              <w:rPr>
                <w:rFonts w:asciiTheme="majorHAnsi" w:eastAsia="Times New Roman" w:hAnsiTheme="majorHAnsi" w:cs="Arial"/>
                <w:b/>
                <w:sz w:val="20"/>
                <w:szCs w:val="20"/>
                <w:lang w:eastAsia="es-ES"/>
              </w:rPr>
              <w:t>Intervisibilidad</w:t>
            </w:r>
            <w:proofErr w:type="spellEnd"/>
            <w:r w:rsidR="00645131">
              <w:rPr>
                <w:rFonts w:asciiTheme="majorHAnsi" w:eastAsia="Times New Roman" w:hAnsiTheme="majorHAnsi" w:cs="Arial"/>
                <w:b/>
                <w:sz w:val="20"/>
                <w:szCs w:val="20"/>
                <w:lang w:eastAsia="es-ES"/>
              </w:rPr>
              <w:t>.</w:t>
            </w:r>
          </w:p>
          <w:p w:rsidR="006C2BB7" w:rsidRPr="005D5F2E" w:rsidRDefault="006C2BB7" w:rsidP="003536F5">
            <w:pPr>
              <w:pStyle w:val="Prrafodelista"/>
              <w:jc w:val="both"/>
              <w:rPr>
                <w:rFonts w:asciiTheme="majorHAnsi" w:eastAsia="Times New Roman" w:hAnsiTheme="majorHAnsi" w:cs="Arial"/>
                <w:sz w:val="20"/>
                <w:szCs w:val="20"/>
                <w:lang w:eastAsia="es-ES"/>
              </w:rPr>
            </w:pPr>
          </w:p>
          <w:p w:rsidR="006C2BB7" w:rsidRPr="005D5F2E" w:rsidRDefault="006C2BB7" w:rsidP="006C2BB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6C2BB7" w:rsidRPr="005D5F2E" w:rsidRDefault="006C2BB7" w:rsidP="006C2BB7">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Pr>
                <w:rFonts w:asciiTheme="majorHAnsi" w:eastAsia="Times New Roman" w:hAnsiTheme="majorHAnsi" w:cs="Arial"/>
                <w:sz w:val="20"/>
                <w:szCs w:val="20"/>
                <w:lang w:eastAsia="es-ES"/>
              </w:rPr>
              <w:t>X</w:t>
            </w:r>
            <w:r w:rsidR="00317C65">
              <w:rPr>
                <w:rFonts w:asciiTheme="majorHAnsi" w:eastAsia="Times New Roman" w:hAnsiTheme="majorHAnsi" w:cs="Arial"/>
                <w:sz w:val="20"/>
                <w:szCs w:val="20"/>
                <w:lang w:eastAsia="es-ES"/>
              </w:rPr>
              <w:t>.</w:t>
            </w:r>
          </w:p>
          <w:p w:rsidR="006C2BB7" w:rsidRDefault="006C2BB7" w:rsidP="006C2BB7">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necesario contar con la definición</w:t>
            </w:r>
            <w:r w:rsidR="00971DFE">
              <w:rPr>
                <w:rFonts w:asciiTheme="majorHAnsi" w:eastAsia="Times New Roman" w:hAnsiTheme="majorHAnsi" w:cs="Arial"/>
                <w:sz w:val="20"/>
                <w:szCs w:val="20"/>
                <w:lang w:eastAsia="es-ES"/>
              </w:rPr>
              <w:t xml:space="preserve"> de la </w:t>
            </w:r>
            <w:r w:rsidR="00971DFE" w:rsidRPr="00971DFE">
              <w:rPr>
                <w:rFonts w:asciiTheme="majorHAnsi" w:eastAsia="Times New Roman" w:hAnsiTheme="majorHAnsi" w:cs="Arial"/>
                <w:b/>
                <w:sz w:val="20"/>
                <w:szCs w:val="20"/>
                <w:lang w:eastAsia="es-ES"/>
              </w:rPr>
              <w:t>Ley Federal de Telecomunicaciones y Radiodifusión</w:t>
            </w:r>
            <w:r w:rsidR="00971DFE">
              <w:rPr>
                <w:rFonts w:asciiTheme="majorHAnsi" w:eastAsia="Times New Roman" w:hAnsiTheme="majorHAnsi" w:cs="Arial"/>
                <w:b/>
                <w:sz w:val="20"/>
                <w:szCs w:val="20"/>
                <w:lang w:eastAsia="es-ES"/>
              </w:rPr>
              <w:t>.</w:t>
            </w:r>
          </w:p>
          <w:p w:rsidR="001F028E" w:rsidRDefault="001F028E" w:rsidP="006C2BB7">
            <w:pPr>
              <w:pStyle w:val="Prrafodelista"/>
              <w:jc w:val="both"/>
              <w:rPr>
                <w:rFonts w:asciiTheme="majorHAnsi" w:eastAsia="Times New Roman" w:hAnsiTheme="majorHAnsi" w:cs="Arial"/>
                <w:sz w:val="20"/>
                <w:szCs w:val="20"/>
                <w:lang w:eastAsia="es-ES"/>
              </w:rPr>
            </w:pPr>
          </w:p>
          <w:p w:rsidR="001F028E" w:rsidRPr="005D5F2E" w:rsidRDefault="001F028E" w:rsidP="001F028E">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1F028E" w:rsidRPr="005D5F2E" w:rsidRDefault="001F028E" w:rsidP="001F028E">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Pr>
                <w:rFonts w:asciiTheme="majorHAnsi" w:eastAsia="Times New Roman" w:hAnsiTheme="majorHAnsi" w:cs="Arial"/>
                <w:sz w:val="20"/>
                <w:szCs w:val="20"/>
                <w:lang w:eastAsia="es-ES"/>
              </w:rPr>
              <w:t>XI</w:t>
            </w:r>
            <w:r w:rsidR="00317C65">
              <w:rPr>
                <w:rFonts w:asciiTheme="majorHAnsi" w:eastAsia="Times New Roman" w:hAnsiTheme="majorHAnsi" w:cs="Arial"/>
                <w:sz w:val="20"/>
                <w:szCs w:val="20"/>
                <w:lang w:eastAsia="es-ES"/>
              </w:rPr>
              <w:t>.</w:t>
            </w:r>
          </w:p>
          <w:p w:rsidR="001F028E" w:rsidRDefault="001F028E" w:rsidP="001F028E">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necesario contar con la definición</w:t>
            </w:r>
            <w:r w:rsidR="006B3467">
              <w:rPr>
                <w:rFonts w:asciiTheme="majorHAnsi" w:eastAsia="Times New Roman" w:hAnsiTheme="majorHAnsi" w:cs="Arial"/>
                <w:sz w:val="20"/>
                <w:szCs w:val="20"/>
                <w:lang w:eastAsia="es-ES"/>
              </w:rPr>
              <w:t xml:space="preserve"> de </w:t>
            </w:r>
            <w:r w:rsidR="006B3467" w:rsidRPr="006B3467">
              <w:rPr>
                <w:rFonts w:asciiTheme="majorHAnsi" w:eastAsia="Times New Roman" w:hAnsiTheme="majorHAnsi" w:cs="Arial"/>
                <w:b/>
                <w:sz w:val="20"/>
                <w:szCs w:val="20"/>
                <w:lang w:eastAsia="es-ES"/>
              </w:rPr>
              <w:t>Potencia Isótropa Radiada Equivalente</w:t>
            </w:r>
            <w:r>
              <w:rPr>
                <w:rFonts w:asciiTheme="majorHAnsi" w:eastAsia="Times New Roman" w:hAnsiTheme="majorHAnsi" w:cs="Arial"/>
                <w:sz w:val="20"/>
                <w:szCs w:val="20"/>
                <w:lang w:eastAsia="es-ES"/>
              </w:rPr>
              <w:t>.</w:t>
            </w:r>
          </w:p>
          <w:p w:rsidR="006B3467" w:rsidRDefault="006B3467" w:rsidP="006B3467">
            <w:pPr>
              <w:pStyle w:val="Prrafodelista"/>
              <w:jc w:val="both"/>
              <w:rPr>
                <w:rFonts w:asciiTheme="majorHAnsi" w:eastAsia="Times New Roman" w:hAnsiTheme="majorHAnsi" w:cs="Arial"/>
                <w:b/>
                <w:sz w:val="20"/>
                <w:szCs w:val="20"/>
                <w:lang w:eastAsia="es-ES"/>
              </w:rPr>
            </w:pPr>
          </w:p>
          <w:p w:rsidR="006B3467" w:rsidRPr="005D5F2E" w:rsidRDefault="006B3467" w:rsidP="006B346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rsidR="006B3467" w:rsidRPr="005D5F2E" w:rsidRDefault="006B3467" w:rsidP="006B3467">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Pr>
                <w:rFonts w:asciiTheme="majorHAnsi" w:eastAsia="Times New Roman" w:hAnsiTheme="majorHAnsi" w:cs="Arial"/>
                <w:sz w:val="20"/>
                <w:szCs w:val="20"/>
                <w:lang w:eastAsia="es-ES"/>
              </w:rPr>
              <w:t>XII.</w:t>
            </w:r>
          </w:p>
          <w:p w:rsidR="006B3467" w:rsidRDefault="006B3467" w:rsidP="006B3467">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necesario contar con la definición</w:t>
            </w:r>
            <w:r>
              <w:rPr>
                <w:rFonts w:asciiTheme="majorHAnsi" w:eastAsia="Times New Roman" w:hAnsiTheme="majorHAnsi" w:cs="Arial"/>
                <w:sz w:val="20"/>
                <w:szCs w:val="20"/>
                <w:lang w:eastAsia="es-ES"/>
              </w:rPr>
              <w:t xml:space="preserve"> de </w:t>
            </w:r>
            <w:r w:rsidRPr="006B3467">
              <w:rPr>
                <w:rFonts w:asciiTheme="majorHAnsi" w:eastAsia="Times New Roman" w:hAnsiTheme="majorHAnsi" w:cs="Arial"/>
                <w:b/>
                <w:sz w:val="20"/>
                <w:szCs w:val="20"/>
                <w:lang w:eastAsia="es-ES"/>
              </w:rPr>
              <w:t>Tolerancia de frecuencia</w:t>
            </w:r>
            <w:r>
              <w:rPr>
                <w:rFonts w:asciiTheme="majorHAnsi" w:eastAsia="Times New Roman" w:hAnsiTheme="majorHAnsi" w:cs="Arial"/>
                <w:sz w:val="20"/>
                <w:szCs w:val="20"/>
                <w:lang w:eastAsia="es-ES"/>
              </w:rPr>
              <w:t>.</w:t>
            </w:r>
          </w:p>
          <w:p w:rsidR="006B3467" w:rsidRDefault="006B3467" w:rsidP="001F028E">
            <w:pPr>
              <w:pStyle w:val="Prrafodelista"/>
              <w:jc w:val="both"/>
              <w:rPr>
                <w:rFonts w:asciiTheme="majorHAnsi" w:eastAsia="Times New Roman" w:hAnsiTheme="majorHAnsi" w:cs="Arial"/>
                <w:sz w:val="20"/>
                <w:szCs w:val="20"/>
                <w:lang w:eastAsia="es-ES"/>
              </w:rPr>
            </w:pPr>
          </w:p>
          <w:p w:rsidR="00E53BE4" w:rsidRPr="005D5F2E" w:rsidRDefault="00E53BE4"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Pr="005D5F2E">
              <w:rPr>
                <w:rFonts w:asciiTheme="majorHAnsi" w:eastAsia="Times New Roman" w:hAnsiTheme="majorHAnsi" w:cs="Arial"/>
                <w:sz w:val="20"/>
                <w:szCs w:val="20"/>
                <w:lang w:eastAsia="es-ES"/>
              </w:rPr>
              <w:t>Objetivo del anteproyecto.</w:t>
            </w:r>
          </w:p>
          <w:p w:rsidR="00E53BE4" w:rsidRPr="005D5F2E" w:rsidRDefault="00E53BE4" w:rsidP="00582FC7">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Numeral 1, párrafo único. Objetivo</w:t>
            </w:r>
            <w:r w:rsidRPr="005D5F2E">
              <w:rPr>
                <w:sz w:val="20"/>
              </w:rPr>
              <w:t>.</w:t>
            </w:r>
          </w:p>
          <w:p w:rsidR="0013717E" w:rsidRPr="005D5F2E" w:rsidRDefault="00E53BE4" w:rsidP="00582FC7">
            <w:pPr>
              <w:ind w:left="708"/>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 xml:space="preserve">Es </w:t>
            </w:r>
            <w:r w:rsidR="00C44995">
              <w:rPr>
                <w:rFonts w:asciiTheme="majorHAnsi" w:hAnsiTheme="majorHAnsi"/>
                <w:sz w:val="20"/>
              </w:rPr>
              <w:t xml:space="preserve">objeto </w:t>
            </w:r>
            <w:r w:rsidR="001B783F" w:rsidRPr="005D5F2E">
              <w:rPr>
                <w:rFonts w:asciiTheme="majorHAnsi" w:hAnsiTheme="majorHAnsi"/>
                <w:sz w:val="20"/>
              </w:rPr>
              <w:t xml:space="preserve">del anteproyecto </w:t>
            </w:r>
            <w:r w:rsidR="009C2406" w:rsidRPr="005D5F2E">
              <w:rPr>
                <w:rFonts w:asciiTheme="majorHAnsi" w:hAnsiTheme="majorHAnsi"/>
                <w:sz w:val="20"/>
              </w:rPr>
              <w:t xml:space="preserve">es </w:t>
            </w:r>
            <w:r w:rsidR="003823E5" w:rsidRPr="003823E5">
              <w:rPr>
                <w:rFonts w:asciiTheme="majorHAnsi" w:hAnsiTheme="majorHAnsi"/>
                <w:sz w:val="20"/>
              </w:rPr>
              <w:t>establece</w:t>
            </w:r>
            <w:r w:rsidR="003823E5">
              <w:rPr>
                <w:rFonts w:asciiTheme="majorHAnsi" w:hAnsiTheme="majorHAnsi"/>
                <w:sz w:val="20"/>
              </w:rPr>
              <w:t>r</w:t>
            </w:r>
            <w:r w:rsidR="003823E5" w:rsidRPr="003823E5">
              <w:rPr>
                <w:rFonts w:asciiTheme="majorHAnsi" w:hAnsiTheme="majorHAnsi"/>
                <w:sz w:val="20"/>
              </w:rPr>
              <w:t xml:space="preserve"> las especificaciones técnicas de los Equipos Terminales Móviles que puedan hacer uso del espectro radioeléctrico o ser conectados a redes de telecomunicaciones; así como los métodos de prueba para comprobar el cumplimiento de dichas especificaciones.</w:t>
            </w:r>
          </w:p>
          <w:p w:rsidR="0013717E" w:rsidRPr="005D5F2E" w:rsidRDefault="0013717E" w:rsidP="00582FC7">
            <w:pPr>
              <w:ind w:left="708"/>
              <w:jc w:val="both"/>
              <w:rPr>
                <w:rFonts w:asciiTheme="majorHAnsi" w:hAnsiTheme="majorHAnsi"/>
                <w:sz w:val="20"/>
              </w:rPr>
            </w:pPr>
          </w:p>
          <w:p w:rsidR="001C5834" w:rsidRPr="005D5F2E" w:rsidRDefault="001C5834"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Pr="005D5F2E">
              <w:rPr>
                <w:rFonts w:asciiTheme="majorHAnsi" w:eastAsia="Times New Roman" w:hAnsiTheme="majorHAnsi" w:cs="Arial"/>
                <w:sz w:val="20"/>
                <w:szCs w:val="20"/>
                <w:lang w:eastAsia="es-ES"/>
              </w:rPr>
              <w:t>Establecimiento de</w:t>
            </w:r>
            <w:r w:rsidR="00216B5A">
              <w:rPr>
                <w:rFonts w:asciiTheme="majorHAnsi" w:eastAsia="Times New Roman" w:hAnsiTheme="majorHAnsi" w:cs="Arial"/>
                <w:sz w:val="20"/>
                <w:szCs w:val="20"/>
                <w:lang w:eastAsia="es-ES"/>
              </w:rPr>
              <w:t xml:space="preserve">l parámetro </w:t>
            </w:r>
            <w:r w:rsidRPr="005D5F2E">
              <w:rPr>
                <w:rFonts w:asciiTheme="majorHAnsi" w:eastAsia="Times New Roman" w:hAnsiTheme="majorHAnsi" w:cs="Arial"/>
                <w:sz w:val="20"/>
                <w:szCs w:val="20"/>
                <w:lang w:eastAsia="es-ES"/>
              </w:rPr>
              <w:t xml:space="preserve">técnico al respecto </w:t>
            </w:r>
            <w:r w:rsidR="007367E7">
              <w:rPr>
                <w:rFonts w:asciiTheme="majorHAnsi" w:eastAsia="Times New Roman" w:hAnsiTheme="majorHAnsi" w:cs="Arial"/>
                <w:sz w:val="20"/>
                <w:szCs w:val="20"/>
                <w:lang w:eastAsia="es-ES"/>
              </w:rPr>
              <w:t xml:space="preserve">a </w:t>
            </w:r>
            <w:r w:rsidR="003823E5">
              <w:rPr>
                <w:rFonts w:asciiTheme="majorHAnsi" w:eastAsia="Times New Roman" w:hAnsiTheme="majorHAnsi" w:cs="Arial"/>
                <w:sz w:val="20"/>
                <w:szCs w:val="20"/>
                <w:lang w:eastAsia="es-ES"/>
              </w:rPr>
              <w:t xml:space="preserve">las </w:t>
            </w:r>
            <w:r w:rsidR="007367E7">
              <w:rPr>
                <w:rFonts w:asciiTheme="majorHAnsi" w:eastAsia="Times New Roman" w:hAnsiTheme="majorHAnsi" w:cs="Arial"/>
                <w:sz w:val="20"/>
                <w:szCs w:val="20"/>
                <w:lang w:eastAsia="es-ES"/>
              </w:rPr>
              <w:t>b</w:t>
            </w:r>
            <w:r w:rsidR="003823E5">
              <w:rPr>
                <w:rFonts w:asciiTheme="majorHAnsi" w:eastAsia="Times New Roman" w:hAnsiTheme="majorHAnsi" w:cs="Arial"/>
                <w:sz w:val="20"/>
                <w:szCs w:val="20"/>
                <w:lang w:eastAsia="es-ES"/>
              </w:rPr>
              <w:t>andas de frecuencia de operación</w:t>
            </w:r>
            <w:r w:rsidRPr="005D5F2E">
              <w:rPr>
                <w:rFonts w:asciiTheme="majorHAnsi" w:eastAsia="Times New Roman" w:hAnsiTheme="majorHAnsi" w:cs="Arial"/>
                <w:sz w:val="20"/>
                <w:szCs w:val="20"/>
                <w:lang w:eastAsia="es-ES"/>
              </w:rPr>
              <w:t>.</w:t>
            </w:r>
          </w:p>
          <w:p w:rsidR="001C5834" w:rsidRPr="005D5F2E" w:rsidRDefault="001C5834" w:rsidP="001C5834">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Pr="005D5F2E">
              <w:rPr>
                <w:rFonts w:asciiTheme="majorHAnsi" w:eastAsia="Times New Roman" w:hAnsiTheme="majorHAnsi" w:cs="Arial"/>
                <w:b/>
                <w:sz w:val="20"/>
                <w:szCs w:val="20"/>
                <w:lang w:eastAsia="es-ES"/>
              </w:rPr>
              <w:t>4.1</w:t>
            </w:r>
            <w:r w:rsidR="003842A5">
              <w:rPr>
                <w:rFonts w:asciiTheme="majorHAnsi" w:eastAsia="Times New Roman" w:hAnsiTheme="majorHAnsi" w:cs="Arial"/>
                <w:b/>
                <w:sz w:val="20"/>
                <w:szCs w:val="20"/>
                <w:lang w:eastAsia="es-ES"/>
              </w:rPr>
              <w:t>.</w:t>
            </w:r>
            <w:r w:rsidR="00BE767D" w:rsidRPr="003842A5">
              <w:rPr>
                <w:rFonts w:asciiTheme="majorHAnsi" w:eastAsia="Times New Roman" w:hAnsiTheme="majorHAnsi" w:cs="Arial"/>
                <w:b/>
                <w:sz w:val="20"/>
                <w:szCs w:val="20"/>
                <w:lang w:eastAsia="es-ES"/>
              </w:rPr>
              <w:t xml:space="preserve"> </w:t>
            </w:r>
            <w:r w:rsidR="003842A5" w:rsidRPr="003842A5">
              <w:rPr>
                <w:rFonts w:asciiTheme="majorHAnsi" w:eastAsia="Times New Roman" w:hAnsiTheme="majorHAnsi" w:cs="Arial"/>
                <w:b/>
                <w:sz w:val="20"/>
                <w:szCs w:val="20"/>
                <w:lang w:eastAsia="es-ES"/>
              </w:rPr>
              <w:t>Bandas de frecuencia de operación</w:t>
            </w:r>
            <w:r w:rsidRPr="003842A5">
              <w:rPr>
                <w:rFonts w:asciiTheme="majorHAnsi" w:eastAsia="Times New Roman" w:hAnsiTheme="majorHAnsi" w:cs="Arial"/>
                <w:b/>
                <w:sz w:val="20"/>
                <w:szCs w:val="20"/>
                <w:lang w:eastAsia="es-ES"/>
              </w:rPr>
              <w:t>.</w:t>
            </w:r>
          </w:p>
          <w:p w:rsidR="001C5834" w:rsidRPr="005D5F2E" w:rsidRDefault="001C5834" w:rsidP="001C5834">
            <w:pPr>
              <w:pStyle w:val="Prrafodelista"/>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Es necesario establecer l</w:t>
            </w:r>
            <w:r w:rsidR="003842A5">
              <w:rPr>
                <w:rFonts w:asciiTheme="majorHAnsi" w:hAnsiTheme="majorHAnsi"/>
                <w:sz w:val="20"/>
              </w:rPr>
              <w:t>a</w:t>
            </w:r>
            <w:r w:rsidR="00BE767D" w:rsidRPr="005D5F2E">
              <w:rPr>
                <w:rFonts w:asciiTheme="majorHAnsi" w:hAnsiTheme="majorHAnsi"/>
                <w:sz w:val="20"/>
              </w:rPr>
              <w:t xml:space="preserve">s </w:t>
            </w:r>
            <w:r w:rsidR="003842A5">
              <w:rPr>
                <w:rFonts w:asciiTheme="majorHAnsi" w:hAnsiTheme="majorHAnsi"/>
                <w:sz w:val="20"/>
              </w:rPr>
              <w:t xml:space="preserve">bandas de frecuencia de operación </w:t>
            </w:r>
            <w:r w:rsidR="007367E7">
              <w:rPr>
                <w:rFonts w:asciiTheme="majorHAnsi" w:hAnsiTheme="majorHAnsi"/>
                <w:sz w:val="20"/>
              </w:rPr>
              <w:t xml:space="preserve">para </w:t>
            </w:r>
            <w:r w:rsidR="003842A5" w:rsidRPr="003823E5">
              <w:rPr>
                <w:rFonts w:asciiTheme="majorHAnsi" w:hAnsiTheme="majorHAnsi"/>
                <w:sz w:val="20"/>
              </w:rPr>
              <w:t xml:space="preserve">los Equipos Terminales Móviles </w:t>
            </w:r>
            <w:r w:rsidR="00673A43">
              <w:rPr>
                <w:rFonts w:asciiTheme="majorHAnsi" w:hAnsiTheme="majorHAnsi"/>
                <w:sz w:val="20"/>
              </w:rPr>
              <w:t xml:space="preserve">que </w:t>
            </w:r>
            <w:r w:rsidR="003842A5" w:rsidRPr="003823E5">
              <w:rPr>
                <w:rFonts w:asciiTheme="majorHAnsi" w:hAnsiTheme="majorHAnsi"/>
                <w:sz w:val="20"/>
              </w:rPr>
              <w:t>puedan hacer uso del espectro radioeléctrico o ser conectados a redes de telecomunicaciones</w:t>
            </w:r>
            <w:r w:rsidR="002A34FB" w:rsidRPr="005D5F2E">
              <w:rPr>
                <w:rFonts w:asciiTheme="majorHAnsi" w:hAnsiTheme="majorHAnsi"/>
                <w:sz w:val="20"/>
              </w:rPr>
              <w:t xml:space="preserve">. </w:t>
            </w:r>
          </w:p>
          <w:p w:rsidR="002A34FB" w:rsidRPr="005D5F2E" w:rsidRDefault="002A34FB" w:rsidP="001C5834">
            <w:pPr>
              <w:pStyle w:val="Prrafodelista"/>
              <w:jc w:val="both"/>
              <w:rPr>
                <w:rFonts w:asciiTheme="majorHAnsi" w:hAnsiTheme="majorHAnsi"/>
                <w:sz w:val="20"/>
              </w:rPr>
            </w:pPr>
          </w:p>
          <w:p w:rsidR="007A6533" w:rsidRPr="005D5F2E" w:rsidRDefault="001B3E17" w:rsidP="001B7DC7">
            <w:pPr>
              <w:pStyle w:val="Prrafodelista"/>
              <w:numPr>
                <w:ilvl w:val="0"/>
                <w:numId w:val="2"/>
              </w:numPr>
              <w:jc w:val="both"/>
              <w:rPr>
                <w:rFonts w:asciiTheme="majorHAnsi" w:hAnsiTheme="majorHAnsi"/>
                <w:sz w:val="20"/>
              </w:rPr>
            </w:pPr>
            <w:r w:rsidRPr="005D5F2E">
              <w:rPr>
                <w:b/>
                <w:sz w:val="20"/>
              </w:rPr>
              <w:t>Tipo:</w:t>
            </w:r>
            <w:r w:rsidRPr="005D5F2E">
              <w:rPr>
                <w:sz w:val="20"/>
              </w:rPr>
              <w:t xml:space="preserve"> </w:t>
            </w:r>
            <w:r w:rsidR="00A11023" w:rsidRPr="005D5F2E">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l</w:t>
            </w:r>
            <w:r w:rsidR="00A11023" w:rsidRPr="005D5F2E">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parámetro</w:t>
            </w:r>
            <w:r w:rsidR="00E56DEF" w:rsidRPr="005D5F2E">
              <w:rPr>
                <w:rFonts w:asciiTheme="majorHAnsi" w:eastAsia="Times New Roman" w:hAnsiTheme="majorHAnsi" w:cs="Arial"/>
                <w:sz w:val="20"/>
                <w:szCs w:val="20"/>
                <w:lang w:eastAsia="es-ES"/>
              </w:rPr>
              <w:t xml:space="preserve"> técnico </w:t>
            </w:r>
            <w:r w:rsidR="003C3E74">
              <w:rPr>
                <w:rFonts w:asciiTheme="majorHAnsi" w:eastAsia="Times New Roman" w:hAnsiTheme="majorHAnsi" w:cs="Arial"/>
                <w:sz w:val="20"/>
                <w:szCs w:val="20"/>
                <w:lang w:eastAsia="es-ES"/>
              </w:rPr>
              <w:t>respecto del no bloqueo de bandas de frecuencia de operación</w:t>
            </w:r>
            <w:r w:rsidR="007A6533" w:rsidRPr="005D5F2E">
              <w:rPr>
                <w:rFonts w:asciiTheme="majorHAnsi" w:eastAsia="Times New Roman" w:hAnsiTheme="majorHAnsi" w:cs="Arial"/>
                <w:b/>
                <w:sz w:val="20"/>
                <w:szCs w:val="20"/>
                <w:lang w:eastAsia="es-ES"/>
              </w:rPr>
              <w:t>.</w:t>
            </w:r>
          </w:p>
          <w:p w:rsidR="001B3E17" w:rsidRPr="005D5F2E" w:rsidRDefault="003C3E74" w:rsidP="003C3E74">
            <w:pPr>
              <w:jc w:val="both"/>
              <w:rPr>
                <w:sz w:val="20"/>
              </w:rPr>
            </w:pPr>
            <w:r>
              <w:rPr>
                <w:b/>
                <w:sz w:val="20"/>
              </w:rPr>
              <w:t xml:space="preserve">                </w:t>
            </w:r>
            <w:r w:rsidR="001B3E17" w:rsidRPr="005D5F2E">
              <w:rPr>
                <w:b/>
                <w:sz w:val="20"/>
              </w:rPr>
              <w:t>Artículos aplicables:</w:t>
            </w:r>
            <w:r w:rsidR="001B3E17" w:rsidRPr="005D5F2E">
              <w:rPr>
                <w:sz w:val="20"/>
              </w:rPr>
              <w:t xml:space="preserve"> </w:t>
            </w:r>
            <w:r w:rsidR="001B3E17" w:rsidRPr="005D5F2E">
              <w:rPr>
                <w:rFonts w:asciiTheme="majorHAnsi" w:eastAsia="Times New Roman" w:hAnsiTheme="majorHAnsi" w:cs="Arial"/>
                <w:sz w:val="20"/>
                <w:szCs w:val="20"/>
                <w:lang w:eastAsia="es-ES"/>
              </w:rPr>
              <w:t xml:space="preserve">Numeral </w:t>
            </w:r>
            <w:r w:rsidR="00A11023" w:rsidRPr="005D5F2E">
              <w:rPr>
                <w:rFonts w:asciiTheme="majorHAnsi" w:eastAsia="Times New Roman" w:hAnsiTheme="majorHAnsi" w:cs="Arial"/>
                <w:b/>
                <w:sz w:val="20"/>
                <w:szCs w:val="20"/>
                <w:lang w:eastAsia="es-ES"/>
              </w:rPr>
              <w:t>4.</w:t>
            </w:r>
            <w:r w:rsidR="006C071B" w:rsidRPr="005D5F2E">
              <w:rPr>
                <w:rFonts w:asciiTheme="majorHAnsi" w:eastAsia="Times New Roman" w:hAnsiTheme="majorHAnsi" w:cs="Arial"/>
                <w:b/>
                <w:sz w:val="20"/>
                <w:szCs w:val="20"/>
                <w:lang w:eastAsia="es-ES"/>
              </w:rPr>
              <w:t>1</w:t>
            </w:r>
            <w:r w:rsidR="00A11023" w:rsidRPr="005D5F2E">
              <w:rPr>
                <w:rFonts w:asciiTheme="majorHAnsi" w:eastAsia="Times New Roman" w:hAnsiTheme="majorHAnsi" w:cs="Arial"/>
                <w:b/>
                <w:sz w:val="20"/>
                <w:szCs w:val="20"/>
                <w:lang w:eastAsia="es-ES"/>
              </w:rPr>
              <w:t>.1</w:t>
            </w:r>
            <w:r w:rsidR="00A11023" w:rsidRPr="00A31D89">
              <w:rPr>
                <w:rFonts w:asciiTheme="majorHAnsi" w:eastAsia="Times New Roman" w:hAnsiTheme="majorHAnsi" w:cs="Arial"/>
                <w:b/>
                <w:sz w:val="20"/>
                <w:szCs w:val="20"/>
                <w:lang w:eastAsia="es-ES"/>
              </w:rPr>
              <w:t>.</w:t>
            </w:r>
            <w:r w:rsidR="00A31D89" w:rsidRPr="00A31D89">
              <w:rPr>
                <w:rFonts w:asciiTheme="majorHAnsi" w:eastAsia="Times New Roman" w:hAnsiTheme="majorHAnsi" w:cs="Arial"/>
                <w:b/>
                <w:sz w:val="20"/>
                <w:szCs w:val="20"/>
                <w:lang w:eastAsia="es-ES"/>
              </w:rPr>
              <w:t xml:space="preserve"> No bloqueo de bandas de frecuencias de operación</w:t>
            </w:r>
          </w:p>
          <w:p w:rsidR="001B3E17" w:rsidRPr="003C3E74" w:rsidRDefault="003C3E74" w:rsidP="003C3E74">
            <w:pPr>
              <w:ind w:left="738" w:hanging="738"/>
              <w:jc w:val="both"/>
              <w:rPr>
                <w:rFonts w:asciiTheme="majorHAnsi" w:hAnsiTheme="majorHAnsi"/>
                <w:sz w:val="20"/>
              </w:rPr>
            </w:pPr>
            <w:r>
              <w:rPr>
                <w:b/>
                <w:sz w:val="20"/>
              </w:rPr>
              <w:t xml:space="preserve">                </w:t>
            </w:r>
            <w:r w:rsidR="001B3E17" w:rsidRPr="003C3E74">
              <w:rPr>
                <w:b/>
                <w:sz w:val="20"/>
              </w:rPr>
              <w:t>Justificación:</w:t>
            </w:r>
            <w:r>
              <w:rPr>
                <w:b/>
                <w:sz w:val="20"/>
              </w:rPr>
              <w:t xml:space="preserve"> </w:t>
            </w:r>
            <w:r w:rsidRPr="005D5F2E">
              <w:rPr>
                <w:rFonts w:asciiTheme="majorHAnsi" w:hAnsiTheme="majorHAnsi"/>
                <w:sz w:val="20"/>
              </w:rPr>
              <w:t xml:space="preserve">Es necesario establecer </w:t>
            </w:r>
            <w:r>
              <w:rPr>
                <w:rFonts w:asciiTheme="majorHAnsi" w:hAnsiTheme="majorHAnsi"/>
                <w:sz w:val="20"/>
              </w:rPr>
              <w:t>que l</w:t>
            </w:r>
            <w:r w:rsidRPr="003C3E74">
              <w:rPr>
                <w:rFonts w:asciiTheme="majorHAnsi" w:hAnsiTheme="majorHAnsi"/>
                <w:sz w:val="20"/>
              </w:rPr>
              <w:t xml:space="preserve">os ETM </w:t>
            </w:r>
            <w:r w:rsidR="00E06F65">
              <w:rPr>
                <w:rFonts w:asciiTheme="majorHAnsi" w:hAnsiTheme="majorHAnsi"/>
                <w:sz w:val="20"/>
              </w:rPr>
              <w:t>que operen</w:t>
            </w:r>
            <w:r w:rsidRPr="003C3E74">
              <w:rPr>
                <w:rFonts w:asciiTheme="majorHAnsi" w:hAnsiTheme="majorHAnsi"/>
                <w:sz w:val="20"/>
              </w:rPr>
              <w:t xml:space="preserve"> en una o más bandas de frecuencias de operación</w:t>
            </w:r>
            <w:r w:rsidR="009C40A1">
              <w:rPr>
                <w:rFonts w:asciiTheme="majorHAnsi" w:hAnsiTheme="majorHAnsi"/>
                <w:sz w:val="20"/>
              </w:rPr>
              <w:t>, dentro de territorio nacional,</w:t>
            </w:r>
            <w:r w:rsidRPr="003C3E74">
              <w:rPr>
                <w:rFonts w:asciiTheme="majorHAnsi" w:hAnsiTheme="majorHAnsi"/>
                <w:sz w:val="20"/>
              </w:rPr>
              <w:t xml:space="preserve"> establecidas en </w:t>
            </w:r>
            <w:r>
              <w:rPr>
                <w:rFonts w:asciiTheme="majorHAnsi" w:hAnsiTheme="majorHAnsi"/>
                <w:sz w:val="20"/>
              </w:rPr>
              <w:t>e</w:t>
            </w:r>
            <w:r w:rsidRPr="003C3E74">
              <w:rPr>
                <w:rFonts w:asciiTheme="majorHAnsi" w:hAnsiTheme="majorHAnsi"/>
                <w:sz w:val="20"/>
              </w:rPr>
              <w:t>l</w:t>
            </w:r>
            <w:r>
              <w:rPr>
                <w:rFonts w:asciiTheme="majorHAnsi" w:hAnsiTheme="majorHAnsi"/>
                <w:sz w:val="20"/>
              </w:rPr>
              <w:t xml:space="preserve"> presente numeral</w:t>
            </w:r>
            <w:r w:rsidR="009C40A1">
              <w:rPr>
                <w:rFonts w:asciiTheme="majorHAnsi" w:hAnsiTheme="majorHAnsi"/>
                <w:sz w:val="20"/>
              </w:rPr>
              <w:t xml:space="preserve">, </w:t>
            </w:r>
            <w:r w:rsidRPr="003C3E74">
              <w:rPr>
                <w:rFonts w:asciiTheme="majorHAnsi" w:hAnsiTheme="majorHAnsi"/>
                <w:sz w:val="20"/>
              </w:rPr>
              <w:t>deben estar habilitados de tal forma que no exista ningún tipo de bloqueo o restricción para su operación.</w:t>
            </w:r>
          </w:p>
          <w:p w:rsidR="00FD4169" w:rsidRPr="005D5F2E" w:rsidRDefault="00FD4169" w:rsidP="001B3E17">
            <w:pPr>
              <w:ind w:left="708"/>
              <w:jc w:val="both"/>
              <w:rPr>
                <w:b/>
                <w:sz w:val="20"/>
              </w:rPr>
            </w:pPr>
          </w:p>
          <w:p w:rsidR="00713AD6" w:rsidRPr="005D5F2E" w:rsidRDefault="00713AD6"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Pr="005D5F2E">
              <w:rPr>
                <w:rFonts w:asciiTheme="majorHAnsi" w:eastAsia="Times New Roman" w:hAnsiTheme="majorHAnsi" w:cs="Arial"/>
                <w:sz w:val="20"/>
                <w:szCs w:val="20"/>
                <w:lang w:eastAsia="es-ES"/>
              </w:rPr>
              <w:t>Establecimiento de</w:t>
            </w:r>
            <w:r w:rsidR="007B5C04">
              <w:rPr>
                <w:rFonts w:asciiTheme="majorHAnsi" w:eastAsia="Times New Roman" w:hAnsiTheme="majorHAnsi" w:cs="Arial"/>
                <w:sz w:val="20"/>
                <w:szCs w:val="20"/>
                <w:lang w:eastAsia="es-ES"/>
              </w:rPr>
              <w:t xml:space="preserve">l </w:t>
            </w:r>
            <w:r w:rsidR="009D7415">
              <w:rPr>
                <w:rFonts w:asciiTheme="majorHAnsi" w:eastAsia="Times New Roman" w:hAnsiTheme="majorHAnsi" w:cs="Arial"/>
                <w:sz w:val="20"/>
                <w:szCs w:val="20"/>
                <w:lang w:eastAsia="es-ES"/>
              </w:rPr>
              <w:t>parámetro</w:t>
            </w:r>
            <w:r w:rsidR="007B5C04">
              <w:rPr>
                <w:rFonts w:asciiTheme="majorHAnsi" w:eastAsia="Times New Roman" w:hAnsiTheme="majorHAnsi" w:cs="Arial"/>
                <w:sz w:val="20"/>
                <w:szCs w:val="20"/>
                <w:lang w:eastAsia="es-ES"/>
              </w:rPr>
              <w:t xml:space="preserve"> técnico respecto del soporte a la Banda 28 (700 MHz) APT</w:t>
            </w:r>
            <w:r w:rsidR="00810ADE" w:rsidRPr="005D5F2E">
              <w:rPr>
                <w:rFonts w:asciiTheme="majorHAnsi" w:eastAsia="Times New Roman" w:hAnsiTheme="majorHAnsi" w:cs="Arial"/>
                <w:sz w:val="20"/>
                <w:szCs w:val="20"/>
                <w:lang w:eastAsia="es-ES"/>
              </w:rPr>
              <w:t>.</w:t>
            </w:r>
          </w:p>
          <w:p w:rsidR="00713AD6" w:rsidRPr="005D5F2E" w:rsidRDefault="00713AD6" w:rsidP="00713AD6">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Pr="005D5F2E">
              <w:rPr>
                <w:rFonts w:asciiTheme="majorHAnsi" w:eastAsia="Times New Roman" w:hAnsiTheme="majorHAnsi" w:cs="Arial"/>
                <w:b/>
                <w:sz w:val="20"/>
                <w:szCs w:val="20"/>
                <w:lang w:eastAsia="es-ES"/>
              </w:rPr>
              <w:t>4.</w:t>
            </w:r>
            <w:r w:rsidR="00810ADE" w:rsidRPr="005D5F2E">
              <w:rPr>
                <w:rFonts w:asciiTheme="majorHAnsi" w:eastAsia="Times New Roman" w:hAnsiTheme="majorHAnsi" w:cs="Arial"/>
                <w:b/>
                <w:sz w:val="20"/>
                <w:szCs w:val="20"/>
                <w:lang w:eastAsia="es-ES"/>
              </w:rPr>
              <w:t>1.</w:t>
            </w:r>
            <w:r w:rsidRPr="005D5F2E">
              <w:rPr>
                <w:rFonts w:asciiTheme="majorHAnsi" w:eastAsia="Times New Roman" w:hAnsiTheme="majorHAnsi" w:cs="Arial"/>
                <w:b/>
                <w:sz w:val="20"/>
                <w:szCs w:val="20"/>
                <w:lang w:eastAsia="es-ES"/>
              </w:rPr>
              <w:t>2.</w:t>
            </w:r>
            <w:r w:rsidR="00B02EE7">
              <w:rPr>
                <w:rFonts w:asciiTheme="majorHAnsi" w:eastAsia="Times New Roman" w:hAnsiTheme="majorHAnsi" w:cs="Arial"/>
                <w:b/>
                <w:sz w:val="20"/>
                <w:szCs w:val="20"/>
                <w:lang w:eastAsia="es-ES"/>
              </w:rPr>
              <w:t xml:space="preserve"> </w:t>
            </w:r>
            <w:r w:rsidR="00E06F65">
              <w:rPr>
                <w:rFonts w:asciiTheme="majorHAnsi" w:eastAsia="Times New Roman" w:hAnsiTheme="majorHAnsi" w:cs="Arial"/>
                <w:b/>
                <w:sz w:val="20"/>
                <w:szCs w:val="20"/>
                <w:lang w:eastAsia="es-ES"/>
              </w:rPr>
              <w:t xml:space="preserve">Soporte de </w:t>
            </w:r>
            <w:r w:rsidR="004A77EE">
              <w:rPr>
                <w:rFonts w:asciiTheme="majorHAnsi" w:eastAsia="Times New Roman" w:hAnsiTheme="majorHAnsi" w:cs="Arial"/>
                <w:b/>
                <w:sz w:val="20"/>
                <w:szCs w:val="20"/>
                <w:lang w:eastAsia="es-ES"/>
              </w:rPr>
              <w:t>la banda 28 (700 MHz) APT</w:t>
            </w:r>
          </w:p>
          <w:p w:rsidR="00230056" w:rsidRPr="004A77EE" w:rsidRDefault="00713AD6" w:rsidP="00230056">
            <w:pPr>
              <w:pStyle w:val="Prrafodelista"/>
              <w:jc w:val="both"/>
              <w:rPr>
                <w:rFonts w:asciiTheme="majorHAnsi" w:hAnsiTheme="majorHAnsi"/>
                <w:sz w:val="20"/>
              </w:rPr>
            </w:pPr>
            <w:r w:rsidRPr="005D5F2E">
              <w:rPr>
                <w:b/>
                <w:sz w:val="20"/>
              </w:rPr>
              <w:t>Justificación:</w:t>
            </w:r>
            <w:r w:rsidR="004A77EE">
              <w:rPr>
                <w:sz w:val="20"/>
              </w:rPr>
              <w:t xml:space="preserve"> </w:t>
            </w:r>
            <w:r w:rsidR="004A77EE" w:rsidRPr="004A77EE">
              <w:rPr>
                <w:rFonts w:asciiTheme="majorHAnsi" w:hAnsiTheme="majorHAnsi"/>
                <w:sz w:val="20"/>
              </w:rPr>
              <w:t>La constatación del cumplimiento del numeral 4.1.2. Soporte de las banda 28 (700 MHz) APT de la presente Disposición Técnica se llevará a cabo mediante el empleo de Simuladores Digitales de Radiocomunicación a efectos de comprobar que si el EBP soporta la banda de frecuencia 28 (700 MHz) APT, el chip de conectividad de RF del EBP, en el enlace ascendente se debe encontrar operando conforme a lo establecido en la Tabla 3 de acuerdo a los estándares 3GPP.</w:t>
            </w:r>
          </w:p>
          <w:p w:rsidR="00713AD6" w:rsidRPr="005D5F2E" w:rsidRDefault="00713AD6" w:rsidP="0039103D">
            <w:pPr>
              <w:pStyle w:val="Prrafodelista"/>
              <w:jc w:val="both"/>
              <w:rPr>
                <w:rFonts w:asciiTheme="majorHAnsi" w:hAnsiTheme="majorHAnsi"/>
                <w:sz w:val="20"/>
              </w:rPr>
            </w:pPr>
          </w:p>
          <w:p w:rsidR="001B3E17" w:rsidRPr="005D5F2E" w:rsidRDefault="001B3E17"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046DCA" w:rsidRPr="005D5F2E">
              <w:rPr>
                <w:rFonts w:asciiTheme="majorHAnsi" w:eastAsia="Times New Roman" w:hAnsiTheme="majorHAnsi" w:cs="Arial"/>
                <w:sz w:val="20"/>
                <w:szCs w:val="20"/>
                <w:lang w:eastAsia="es-ES"/>
              </w:rPr>
              <w:t>Establecimiento de</w:t>
            </w:r>
            <w:r w:rsidR="00046DCA">
              <w:rPr>
                <w:rFonts w:asciiTheme="majorHAnsi" w:eastAsia="Times New Roman" w:hAnsiTheme="majorHAnsi" w:cs="Arial"/>
                <w:sz w:val="20"/>
                <w:szCs w:val="20"/>
                <w:lang w:eastAsia="es-ES"/>
              </w:rPr>
              <w:t xml:space="preserve">l </w:t>
            </w:r>
            <w:r w:rsidR="009D7415">
              <w:rPr>
                <w:rFonts w:asciiTheme="majorHAnsi" w:eastAsia="Times New Roman" w:hAnsiTheme="majorHAnsi" w:cs="Arial"/>
                <w:sz w:val="20"/>
                <w:szCs w:val="20"/>
                <w:lang w:eastAsia="es-ES"/>
              </w:rPr>
              <w:t>parámetro</w:t>
            </w:r>
            <w:r w:rsidR="00046DCA">
              <w:rPr>
                <w:rFonts w:asciiTheme="majorHAnsi" w:eastAsia="Times New Roman" w:hAnsiTheme="majorHAnsi" w:cs="Arial"/>
                <w:sz w:val="20"/>
                <w:szCs w:val="20"/>
                <w:lang w:eastAsia="es-ES"/>
              </w:rPr>
              <w:t xml:space="preserve"> técnico al respecto de la Tolerancia de frecuencia de operación</w:t>
            </w:r>
            <w:r w:rsidR="00B7770D" w:rsidRPr="005D5F2E">
              <w:rPr>
                <w:rFonts w:asciiTheme="majorHAnsi" w:eastAsia="Times New Roman" w:hAnsiTheme="majorHAnsi" w:cs="Arial"/>
                <w:sz w:val="20"/>
                <w:szCs w:val="20"/>
                <w:lang w:eastAsia="es-ES"/>
              </w:rPr>
              <w:t>.</w:t>
            </w:r>
          </w:p>
          <w:p w:rsidR="001B3E17" w:rsidRPr="005D5F2E" w:rsidRDefault="001B3E17" w:rsidP="001B3E17">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003C57BB" w:rsidRPr="005D5F2E">
              <w:rPr>
                <w:rFonts w:asciiTheme="majorHAnsi" w:eastAsia="Times New Roman" w:hAnsiTheme="majorHAnsi" w:cs="Arial"/>
                <w:b/>
                <w:sz w:val="20"/>
                <w:szCs w:val="20"/>
                <w:lang w:eastAsia="es-ES"/>
              </w:rPr>
              <w:t>4.2</w:t>
            </w:r>
            <w:r w:rsidR="008B4FA2" w:rsidRPr="005D5F2E">
              <w:rPr>
                <w:rFonts w:asciiTheme="majorHAnsi" w:eastAsia="Times New Roman" w:hAnsiTheme="majorHAnsi" w:cs="Arial"/>
                <w:b/>
                <w:sz w:val="20"/>
                <w:szCs w:val="20"/>
                <w:lang w:eastAsia="es-ES"/>
              </w:rPr>
              <w:t>.</w:t>
            </w:r>
            <w:r w:rsidR="00046DCA">
              <w:rPr>
                <w:rFonts w:asciiTheme="majorHAnsi" w:eastAsia="Times New Roman" w:hAnsiTheme="majorHAnsi" w:cs="Arial"/>
                <w:sz w:val="20"/>
                <w:szCs w:val="20"/>
                <w:lang w:eastAsia="es-ES"/>
              </w:rPr>
              <w:t xml:space="preserve"> </w:t>
            </w:r>
            <w:r w:rsidR="00046DCA" w:rsidRPr="00046DCA">
              <w:rPr>
                <w:rFonts w:asciiTheme="majorHAnsi" w:eastAsia="Times New Roman" w:hAnsiTheme="majorHAnsi" w:cs="Arial"/>
                <w:b/>
                <w:sz w:val="20"/>
                <w:szCs w:val="20"/>
                <w:lang w:eastAsia="es-ES"/>
              </w:rPr>
              <w:t>Tolerancia de frecuencia de operación</w:t>
            </w:r>
            <w:r w:rsidR="00046DCA">
              <w:rPr>
                <w:rFonts w:asciiTheme="majorHAnsi" w:eastAsia="Times New Roman" w:hAnsiTheme="majorHAnsi" w:cs="Arial"/>
                <w:b/>
                <w:sz w:val="20"/>
                <w:szCs w:val="20"/>
                <w:lang w:eastAsia="es-ES"/>
              </w:rPr>
              <w:t>.</w:t>
            </w:r>
          </w:p>
          <w:p w:rsidR="00833DCD" w:rsidRDefault="001B3E17" w:rsidP="00833DCD">
            <w:pPr>
              <w:pStyle w:val="Prrafodelista"/>
              <w:jc w:val="both"/>
              <w:rPr>
                <w:rFonts w:asciiTheme="majorHAnsi" w:hAnsiTheme="majorHAnsi"/>
                <w:sz w:val="20"/>
              </w:rPr>
            </w:pPr>
            <w:r w:rsidRPr="005D5F2E">
              <w:rPr>
                <w:b/>
                <w:sz w:val="20"/>
              </w:rPr>
              <w:t>Justificación:</w:t>
            </w:r>
            <w:r w:rsidRPr="005D5F2E">
              <w:rPr>
                <w:sz w:val="20"/>
              </w:rPr>
              <w:t xml:space="preserve"> </w:t>
            </w:r>
            <w:r w:rsidR="00BC1BD9" w:rsidRPr="005D5F2E">
              <w:rPr>
                <w:rFonts w:asciiTheme="majorHAnsi" w:hAnsiTheme="majorHAnsi"/>
                <w:sz w:val="20"/>
              </w:rPr>
              <w:t xml:space="preserve">Se debe </w:t>
            </w:r>
            <w:r w:rsidR="002044D9" w:rsidRPr="005D5F2E">
              <w:rPr>
                <w:rFonts w:asciiTheme="majorHAnsi" w:hAnsiTheme="majorHAnsi"/>
                <w:sz w:val="20"/>
              </w:rPr>
              <w:t>establecer que</w:t>
            </w:r>
            <w:r w:rsidR="00046DCA">
              <w:rPr>
                <w:rFonts w:asciiTheme="majorHAnsi" w:hAnsiTheme="majorHAnsi"/>
                <w:sz w:val="20"/>
              </w:rPr>
              <w:t xml:space="preserve"> la </w:t>
            </w:r>
            <w:r w:rsidR="00046DCA" w:rsidRPr="00046DCA">
              <w:rPr>
                <w:rFonts w:asciiTheme="majorHAnsi" w:hAnsiTheme="majorHAnsi"/>
                <w:sz w:val="20"/>
              </w:rPr>
              <w:t xml:space="preserve">frecuencia de operación de los ETM debe mantenerse automáticamente dentro de los límites indicados en </w:t>
            </w:r>
            <w:r w:rsidR="00046DCA">
              <w:rPr>
                <w:rFonts w:asciiTheme="majorHAnsi" w:hAnsiTheme="majorHAnsi"/>
                <w:sz w:val="20"/>
              </w:rPr>
              <w:t>e</w:t>
            </w:r>
            <w:r w:rsidR="00046DCA" w:rsidRPr="00046DCA">
              <w:rPr>
                <w:rFonts w:asciiTheme="majorHAnsi" w:hAnsiTheme="majorHAnsi"/>
                <w:sz w:val="20"/>
              </w:rPr>
              <w:t>l</w:t>
            </w:r>
            <w:r w:rsidR="00046DCA">
              <w:rPr>
                <w:rFonts w:asciiTheme="majorHAnsi" w:hAnsiTheme="majorHAnsi"/>
                <w:sz w:val="20"/>
              </w:rPr>
              <w:t xml:space="preserve"> numeral 4.2 del proyecto de Disposición Técnica</w:t>
            </w:r>
            <w:r w:rsidR="00046DCA" w:rsidRPr="00046DCA">
              <w:rPr>
                <w:rFonts w:asciiTheme="majorHAnsi" w:hAnsiTheme="majorHAnsi"/>
                <w:sz w:val="20"/>
              </w:rPr>
              <w:t>; de tal manera que no se permitan variaciones de frecuencia más allá de lo indicado</w:t>
            </w:r>
            <w:r w:rsidR="00BC1BD9" w:rsidRPr="005D5F2E">
              <w:rPr>
                <w:rFonts w:asciiTheme="majorHAnsi" w:hAnsiTheme="majorHAnsi"/>
                <w:sz w:val="20"/>
              </w:rPr>
              <w:t>.</w:t>
            </w:r>
            <w:r w:rsidR="008A4474" w:rsidRPr="005D5F2E">
              <w:rPr>
                <w:rFonts w:asciiTheme="majorHAnsi" w:hAnsiTheme="majorHAnsi"/>
                <w:sz w:val="20"/>
              </w:rPr>
              <w:t xml:space="preserve"> </w:t>
            </w:r>
          </w:p>
          <w:p w:rsidR="00F33030" w:rsidRDefault="00F33030" w:rsidP="00833DCD">
            <w:pPr>
              <w:pStyle w:val="Prrafodelista"/>
              <w:jc w:val="both"/>
              <w:rPr>
                <w:sz w:val="20"/>
              </w:rPr>
            </w:pPr>
          </w:p>
          <w:p w:rsidR="00F33030" w:rsidRPr="005D5F2E" w:rsidRDefault="00F33030" w:rsidP="00F33030">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Pr="005D5F2E">
              <w:rPr>
                <w:rFonts w:asciiTheme="majorHAnsi" w:eastAsia="Times New Roman" w:hAnsiTheme="majorHAnsi" w:cs="Arial"/>
                <w:sz w:val="20"/>
                <w:szCs w:val="20"/>
                <w:lang w:eastAsia="es-ES"/>
              </w:rPr>
              <w:t>Establecimiento de</w:t>
            </w:r>
            <w:r>
              <w:rPr>
                <w:rFonts w:asciiTheme="majorHAnsi" w:eastAsia="Times New Roman" w:hAnsiTheme="majorHAnsi" w:cs="Arial"/>
                <w:sz w:val="20"/>
                <w:szCs w:val="20"/>
                <w:lang w:eastAsia="es-ES"/>
              </w:rPr>
              <w:t xml:space="preserve">l </w:t>
            </w:r>
            <w:r w:rsidR="009D7415">
              <w:rPr>
                <w:rFonts w:asciiTheme="majorHAnsi" w:eastAsia="Times New Roman" w:hAnsiTheme="majorHAnsi" w:cs="Arial"/>
                <w:sz w:val="20"/>
                <w:szCs w:val="20"/>
                <w:lang w:eastAsia="es-ES"/>
              </w:rPr>
              <w:t>parámetro</w:t>
            </w:r>
            <w:r>
              <w:rPr>
                <w:rFonts w:asciiTheme="majorHAnsi" w:eastAsia="Times New Roman" w:hAnsiTheme="majorHAnsi" w:cs="Arial"/>
                <w:sz w:val="20"/>
                <w:szCs w:val="20"/>
                <w:lang w:eastAsia="es-ES"/>
              </w:rPr>
              <w:t xml:space="preserve"> técnico al respecto de la Potencia de transmisión de salida</w:t>
            </w:r>
            <w:r w:rsidRPr="005D5F2E">
              <w:rPr>
                <w:rFonts w:asciiTheme="majorHAnsi" w:eastAsia="Times New Roman" w:hAnsiTheme="majorHAnsi" w:cs="Arial"/>
                <w:sz w:val="20"/>
                <w:szCs w:val="20"/>
                <w:lang w:eastAsia="es-ES"/>
              </w:rPr>
              <w:t>.</w:t>
            </w:r>
          </w:p>
          <w:p w:rsidR="00F33030" w:rsidRPr="005D5F2E" w:rsidRDefault="00F33030" w:rsidP="00F33030">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Pr="005D5F2E">
              <w:rPr>
                <w:rFonts w:asciiTheme="majorHAnsi" w:eastAsia="Times New Roman" w:hAnsiTheme="majorHAnsi" w:cs="Arial"/>
                <w:b/>
                <w:sz w:val="20"/>
                <w:szCs w:val="20"/>
                <w:lang w:eastAsia="es-ES"/>
              </w:rPr>
              <w:t>4.</w:t>
            </w:r>
            <w:r>
              <w:rPr>
                <w:rFonts w:asciiTheme="majorHAnsi" w:eastAsia="Times New Roman" w:hAnsiTheme="majorHAnsi" w:cs="Arial"/>
                <w:b/>
                <w:sz w:val="20"/>
                <w:szCs w:val="20"/>
                <w:lang w:eastAsia="es-ES"/>
              </w:rPr>
              <w:t>3</w:t>
            </w:r>
            <w:r w:rsidRPr="005D5F2E">
              <w:rPr>
                <w:rFonts w:asciiTheme="majorHAnsi" w:eastAsia="Times New Roman" w:hAnsiTheme="majorHAnsi" w:cs="Arial"/>
                <w:b/>
                <w:sz w:val="20"/>
                <w:szCs w:val="20"/>
                <w:lang w:eastAsia="es-ES"/>
              </w:rPr>
              <w:t>.</w:t>
            </w:r>
            <w:r>
              <w:rPr>
                <w:rFonts w:asciiTheme="majorHAnsi" w:eastAsia="Times New Roman" w:hAnsiTheme="majorHAnsi" w:cs="Arial"/>
                <w:sz w:val="20"/>
                <w:szCs w:val="20"/>
                <w:lang w:eastAsia="es-ES"/>
              </w:rPr>
              <w:t xml:space="preserve"> </w:t>
            </w:r>
            <w:r w:rsidRPr="00F33030">
              <w:rPr>
                <w:rFonts w:asciiTheme="majorHAnsi" w:eastAsia="Times New Roman" w:hAnsiTheme="majorHAnsi" w:cs="Arial"/>
                <w:b/>
                <w:sz w:val="20"/>
                <w:szCs w:val="20"/>
                <w:lang w:eastAsia="es-ES"/>
              </w:rPr>
              <w:t>Potencia de transmisión de salida</w:t>
            </w:r>
            <w:r>
              <w:rPr>
                <w:rFonts w:asciiTheme="majorHAnsi" w:eastAsia="Times New Roman" w:hAnsiTheme="majorHAnsi" w:cs="Arial"/>
                <w:b/>
                <w:sz w:val="20"/>
                <w:szCs w:val="20"/>
                <w:lang w:eastAsia="es-ES"/>
              </w:rPr>
              <w:t>.</w:t>
            </w:r>
          </w:p>
          <w:p w:rsidR="00F33030" w:rsidRDefault="00F33030" w:rsidP="00F33030">
            <w:pPr>
              <w:pStyle w:val="Prrafodelista"/>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Se debe establecer que</w:t>
            </w:r>
            <w:r>
              <w:rPr>
                <w:rFonts w:asciiTheme="majorHAnsi" w:hAnsiTheme="majorHAnsi"/>
                <w:sz w:val="20"/>
              </w:rPr>
              <w:t xml:space="preserve"> la </w:t>
            </w:r>
            <w:r w:rsidR="00AE3890">
              <w:rPr>
                <w:rFonts w:asciiTheme="majorHAnsi" w:hAnsiTheme="majorHAnsi"/>
                <w:sz w:val="20"/>
              </w:rPr>
              <w:t>P</w:t>
            </w:r>
            <w:r>
              <w:rPr>
                <w:rFonts w:asciiTheme="majorHAnsi" w:hAnsiTheme="majorHAnsi"/>
                <w:sz w:val="20"/>
              </w:rPr>
              <w:t xml:space="preserve">otencia </w:t>
            </w:r>
            <w:r w:rsidR="00AE3890">
              <w:rPr>
                <w:rFonts w:asciiTheme="majorHAnsi" w:eastAsia="Times New Roman" w:hAnsiTheme="majorHAnsi" w:cs="Arial"/>
                <w:sz w:val="20"/>
                <w:szCs w:val="20"/>
                <w:lang w:eastAsia="es-ES"/>
              </w:rPr>
              <w:t>I</w:t>
            </w:r>
            <w:r w:rsidRPr="00F33030">
              <w:rPr>
                <w:rFonts w:asciiTheme="majorHAnsi" w:eastAsia="Times New Roman" w:hAnsiTheme="majorHAnsi" w:cs="Arial"/>
                <w:sz w:val="20"/>
                <w:szCs w:val="20"/>
                <w:lang w:eastAsia="es-ES"/>
              </w:rPr>
              <w:t xml:space="preserve">sótropa </w:t>
            </w:r>
            <w:r w:rsidR="00AE3890">
              <w:rPr>
                <w:rFonts w:asciiTheme="majorHAnsi" w:eastAsia="Times New Roman" w:hAnsiTheme="majorHAnsi" w:cs="Arial"/>
                <w:sz w:val="20"/>
                <w:szCs w:val="20"/>
                <w:lang w:eastAsia="es-ES"/>
              </w:rPr>
              <w:t>R</w:t>
            </w:r>
            <w:r w:rsidRPr="00F33030">
              <w:rPr>
                <w:rFonts w:asciiTheme="majorHAnsi" w:eastAsia="Times New Roman" w:hAnsiTheme="majorHAnsi" w:cs="Arial"/>
                <w:sz w:val="20"/>
                <w:szCs w:val="20"/>
                <w:lang w:eastAsia="es-ES"/>
              </w:rPr>
              <w:t xml:space="preserve">adiada </w:t>
            </w:r>
            <w:r w:rsidR="00AE3890">
              <w:rPr>
                <w:rFonts w:asciiTheme="majorHAnsi" w:eastAsia="Times New Roman" w:hAnsiTheme="majorHAnsi" w:cs="Arial"/>
                <w:sz w:val="20"/>
                <w:szCs w:val="20"/>
                <w:lang w:eastAsia="es-ES"/>
              </w:rPr>
              <w:t>E</w:t>
            </w:r>
            <w:r w:rsidRPr="00F33030">
              <w:rPr>
                <w:rFonts w:asciiTheme="majorHAnsi" w:eastAsia="Times New Roman" w:hAnsiTheme="majorHAnsi" w:cs="Arial"/>
                <w:sz w:val="20"/>
                <w:szCs w:val="20"/>
                <w:lang w:eastAsia="es-ES"/>
              </w:rPr>
              <w:t xml:space="preserve">quivalente (PIRE) máxima </w:t>
            </w:r>
            <w:r w:rsidR="00AE3890">
              <w:rPr>
                <w:rFonts w:asciiTheme="majorHAnsi" w:eastAsia="Times New Roman" w:hAnsiTheme="majorHAnsi" w:cs="Arial"/>
                <w:sz w:val="20"/>
                <w:szCs w:val="20"/>
                <w:lang w:eastAsia="es-ES"/>
              </w:rPr>
              <w:t xml:space="preserve">en  </w:t>
            </w:r>
            <w:r w:rsidRPr="00F33030">
              <w:rPr>
                <w:rFonts w:asciiTheme="majorHAnsi" w:eastAsia="Times New Roman" w:hAnsiTheme="majorHAnsi" w:cs="Arial"/>
                <w:sz w:val="20"/>
                <w:szCs w:val="20"/>
                <w:lang w:eastAsia="es-ES"/>
              </w:rPr>
              <w:t xml:space="preserve">los ETM no debe exceder lo establecido </w:t>
            </w:r>
            <w:r w:rsidRPr="00046DCA">
              <w:rPr>
                <w:rFonts w:asciiTheme="majorHAnsi" w:hAnsiTheme="majorHAnsi"/>
                <w:sz w:val="20"/>
              </w:rPr>
              <w:t xml:space="preserve">en </w:t>
            </w:r>
            <w:r>
              <w:rPr>
                <w:rFonts w:asciiTheme="majorHAnsi" w:hAnsiTheme="majorHAnsi"/>
                <w:sz w:val="20"/>
              </w:rPr>
              <w:t>e</w:t>
            </w:r>
            <w:r w:rsidRPr="00046DCA">
              <w:rPr>
                <w:rFonts w:asciiTheme="majorHAnsi" w:hAnsiTheme="majorHAnsi"/>
                <w:sz w:val="20"/>
              </w:rPr>
              <w:t>l</w:t>
            </w:r>
            <w:r>
              <w:rPr>
                <w:rFonts w:asciiTheme="majorHAnsi" w:hAnsiTheme="majorHAnsi"/>
                <w:sz w:val="20"/>
              </w:rPr>
              <w:t xml:space="preserve"> numeral 4.3 del proyecto de Disposición Técnica</w:t>
            </w:r>
            <w:r w:rsidRPr="005D5F2E">
              <w:rPr>
                <w:rFonts w:asciiTheme="majorHAnsi" w:hAnsiTheme="majorHAnsi"/>
                <w:sz w:val="20"/>
              </w:rPr>
              <w:t xml:space="preserve">. </w:t>
            </w:r>
          </w:p>
          <w:p w:rsidR="00F33030" w:rsidRDefault="00F33030" w:rsidP="00833DCD">
            <w:pPr>
              <w:pStyle w:val="Prrafodelista"/>
              <w:jc w:val="both"/>
              <w:rPr>
                <w:sz w:val="20"/>
              </w:rPr>
            </w:pPr>
          </w:p>
          <w:p w:rsidR="00AF22B3" w:rsidRPr="00AE3890" w:rsidRDefault="00AF22B3" w:rsidP="00AF22B3">
            <w:pPr>
              <w:pStyle w:val="Prrafodelista"/>
              <w:numPr>
                <w:ilvl w:val="0"/>
                <w:numId w:val="2"/>
              </w:numPr>
              <w:jc w:val="both"/>
              <w:rPr>
                <w:rFonts w:asciiTheme="majorHAnsi" w:eastAsia="Times New Roman" w:hAnsiTheme="majorHAnsi" w:cs="Arial"/>
                <w:sz w:val="20"/>
                <w:szCs w:val="20"/>
                <w:lang w:eastAsia="es-ES"/>
              </w:rPr>
            </w:pPr>
            <w:r w:rsidRPr="00AE3890">
              <w:rPr>
                <w:b/>
                <w:sz w:val="20"/>
              </w:rPr>
              <w:t>Tipo:</w:t>
            </w:r>
            <w:r w:rsidRPr="00AE3890">
              <w:rPr>
                <w:sz w:val="20"/>
              </w:rPr>
              <w:t xml:space="preserve"> </w:t>
            </w:r>
            <w:r w:rsidRPr="00AE3890">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 xml:space="preserve"> </w:t>
            </w:r>
            <w:r w:rsidRPr="00AE3890">
              <w:rPr>
                <w:rFonts w:asciiTheme="majorHAnsi" w:eastAsia="Times New Roman" w:hAnsiTheme="majorHAnsi" w:cs="Arial"/>
                <w:sz w:val="20"/>
                <w:szCs w:val="20"/>
                <w:lang w:eastAsia="es-ES"/>
              </w:rPr>
              <w:t>l</w:t>
            </w:r>
            <w:r w:rsidR="009D7415">
              <w:rPr>
                <w:rFonts w:asciiTheme="majorHAnsi" w:eastAsia="Times New Roman" w:hAnsiTheme="majorHAnsi" w:cs="Arial"/>
                <w:sz w:val="20"/>
                <w:szCs w:val="20"/>
                <w:lang w:eastAsia="es-ES"/>
              </w:rPr>
              <w:t>os</w:t>
            </w:r>
            <w:r w:rsidRPr="00AE3890">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parámetros</w:t>
            </w:r>
            <w:r w:rsidRPr="00AE3890">
              <w:rPr>
                <w:rFonts w:asciiTheme="majorHAnsi" w:eastAsia="Times New Roman" w:hAnsiTheme="majorHAnsi" w:cs="Arial"/>
                <w:sz w:val="20"/>
                <w:szCs w:val="20"/>
                <w:lang w:eastAsia="es-ES"/>
              </w:rPr>
              <w:t xml:space="preserve"> técnico</w:t>
            </w:r>
            <w:r w:rsidR="009D7415">
              <w:rPr>
                <w:rFonts w:asciiTheme="majorHAnsi" w:eastAsia="Times New Roman" w:hAnsiTheme="majorHAnsi" w:cs="Arial"/>
                <w:sz w:val="20"/>
                <w:szCs w:val="20"/>
                <w:lang w:eastAsia="es-ES"/>
              </w:rPr>
              <w:t>s</w:t>
            </w:r>
            <w:r w:rsidRPr="00AE3890">
              <w:rPr>
                <w:rFonts w:asciiTheme="majorHAnsi" w:eastAsia="Times New Roman" w:hAnsiTheme="majorHAnsi" w:cs="Arial"/>
                <w:sz w:val="20"/>
                <w:szCs w:val="20"/>
                <w:lang w:eastAsia="es-ES"/>
              </w:rPr>
              <w:t xml:space="preserve"> al respecto de las Emisiones no deseadas.</w:t>
            </w:r>
          </w:p>
          <w:p w:rsidR="00AF22B3" w:rsidRPr="00AE3890" w:rsidRDefault="00AF22B3" w:rsidP="00AF22B3">
            <w:pPr>
              <w:ind w:left="708"/>
              <w:jc w:val="both"/>
              <w:rPr>
                <w:sz w:val="20"/>
              </w:rPr>
            </w:pPr>
            <w:r w:rsidRPr="00AE3890">
              <w:rPr>
                <w:b/>
                <w:sz w:val="20"/>
              </w:rPr>
              <w:t>Artículos aplicables:</w:t>
            </w:r>
            <w:r w:rsidRPr="00AE3890">
              <w:rPr>
                <w:sz w:val="20"/>
              </w:rPr>
              <w:t xml:space="preserve"> </w:t>
            </w:r>
            <w:r w:rsidRPr="00AE3890">
              <w:rPr>
                <w:rFonts w:asciiTheme="majorHAnsi" w:eastAsia="Times New Roman" w:hAnsiTheme="majorHAnsi" w:cs="Arial"/>
                <w:sz w:val="20"/>
                <w:szCs w:val="20"/>
                <w:lang w:eastAsia="es-ES"/>
              </w:rPr>
              <w:t xml:space="preserve">Numeral </w:t>
            </w:r>
            <w:r w:rsidRPr="009D787A">
              <w:rPr>
                <w:rFonts w:asciiTheme="majorHAnsi" w:eastAsia="Times New Roman" w:hAnsiTheme="majorHAnsi" w:cs="Arial"/>
                <w:b/>
                <w:sz w:val="20"/>
                <w:szCs w:val="20"/>
                <w:lang w:eastAsia="es-ES"/>
              </w:rPr>
              <w:t>4.4. Emisiones</w:t>
            </w:r>
            <w:r w:rsidRPr="00AE3890">
              <w:rPr>
                <w:rFonts w:asciiTheme="majorHAnsi" w:eastAsia="Times New Roman" w:hAnsiTheme="majorHAnsi" w:cs="Arial"/>
                <w:b/>
                <w:sz w:val="20"/>
                <w:szCs w:val="20"/>
                <w:lang w:eastAsia="es-ES"/>
              </w:rPr>
              <w:t xml:space="preserve"> no deseadas.</w:t>
            </w:r>
          </w:p>
          <w:p w:rsidR="0084410C" w:rsidRDefault="00AF22B3" w:rsidP="00AF22B3">
            <w:pPr>
              <w:pStyle w:val="Prrafodelista"/>
              <w:jc w:val="both"/>
              <w:rPr>
                <w:rFonts w:asciiTheme="majorHAnsi" w:hAnsiTheme="majorHAnsi"/>
                <w:sz w:val="20"/>
              </w:rPr>
            </w:pPr>
            <w:r w:rsidRPr="00AE3890">
              <w:rPr>
                <w:b/>
                <w:sz w:val="20"/>
              </w:rPr>
              <w:t>Justificación:</w:t>
            </w:r>
            <w:r w:rsidRPr="00AE3890">
              <w:rPr>
                <w:sz w:val="20"/>
              </w:rPr>
              <w:t xml:space="preserve"> </w:t>
            </w:r>
            <w:r w:rsidR="00D73094" w:rsidRPr="00AE3890">
              <w:rPr>
                <w:rFonts w:asciiTheme="majorHAnsi" w:hAnsiTheme="majorHAnsi"/>
                <w:sz w:val="20"/>
              </w:rPr>
              <w:t xml:space="preserve">Se debe establecer </w:t>
            </w:r>
            <w:r w:rsidR="0084410C">
              <w:rPr>
                <w:rFonts w:asciiTheme="majorHAnsi" w:hAnsiTheme="majorHAnsi"/>
                <w:sz w:val="20"/>
              </w:rPr>
              <w:t>que el c</w:t>
            </w:r>
            <w:r w:rsidR="0084410C" w:rsidRPr="0084410C">
              <w:rPr>
                <w:rFonts w:asciiTheme="majorHAnsi" w:hAnsiTheme="majorHAnsi"/>
                <w:sz w:val="20"/>
              </w:rPr>
              <w:t>onjunto de las emisiones no esenciales y de las emisiones fuera de banda</w:t>
            </w:r>
            <w:r w:rsidR="0084410C">
              <w:rPr>
                <w:rFonts w:asciiTheme="majorHAnsi" w:hAnsiTheme="majorHAnsi"/>
                <w:sz w:val="20"/>
              </w:rPr>
              <w:t xml:space="preserve"> integran a las Emisiones no deseadas.</w:t>
            </w:r>
          </w:p>
          <w:p w:rsidR="00D73094" w:rsidRDefault="00D73094" w:rsidP="00AF22B3">
            <w:pPr>
              <w:pStyle w:val="Prrafodelista"/>
              <w:jc w:val="both"/>
              <w:rPr>
                <w:rFonts w:asciiTheme="majorHAnsi" w:hAnsiTheme="majorHAnsi"/>
                <w:sz w:val="20"/>
              </w:rPr>
            </w:pPr>
          </w:p>
          <w:p w:rsidR="0031211C" w:rsidRPr="00AE3890" w:rsidRDefault="0031211C" w:rsidP="0031211C">
            <w:pPr>
              <w:pStyle w:val="Prrafodelista"/>
              <w:numPr>
                <w:ilvl w:val="0"/>
                <w:numId w:val="2"/>
              </w:numPr>
              <w:jc w:val="both"/>
              <w:rPr>
                <w:rFonts w:asciiTheme="majorHAnsi" w:eastAsia="Times New Roman" w:hAnsiTheme="majorHAnsi" w:cs="Arial"/>
                <w:sz w:val="20"/>
                <w:szCs w:val="20"/>
                <w:lang w:eastAsia="es-ES"/>
              </w:rPr>
            </w:pPr>
            <w:r w:rsidRPr="00AE3890">
              <w:rPr>
                <w:b/>
                <w:sz w:val="20"/>
              </w:rPr>
              <w:t>Tipo:</w:t>
            </w:r>
            <w:r w:rsidRPr="00AE3890">
              <w:rPr>
                <w:sz w:val="20"/>
              </w:rPr>
              <w:t xml:space="preserve"> </w:t>
            </w:r>
            <w:r w:rsidRPr="00AE3890">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 xml:space="preserve"> </w:t>
            </w:r>
            <w:r w:rsidRPr="00AE3890">
              <w:rPr>
                <w:rFonts w:asciiTheme="majorHAnsi" w:eastAsia="Times New Roman" w:hAnsiTheme="majorHAnsi" w:cs="Arial"/>
                <w:sz w:val="20"/>
                <w:szCs w:val="20"/>
                <w:lang w:eastAsia="es-ES"/>
              </w:rPr>
              <w:t>l</w:t>
            </w:r>
            <w:r w:rsidR="009D7415">
              <w:rPr>
                <w:rFonts w:asciiTheme="majorHAnsi" w:eastAsia="Times New Roman" w:hAnsiTheme="majorHAnsi" w:cs="Arial"/>
                <w:sz w:val="20"/>
                <w:szCs w:val="20"/>
                <w:lang w:eastAsia="es-ES"/>
              </w:rPr>
              <w:t>os</w:t>
            </w:r>
            <w:r w:rsidRPr="00AE3890">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parámetros</w:t>
            </w:r>
            <w:r w:rsidRPr="00AE3890">
              <w:rPr>
                <w:rFonts w:asciiTheme="majorHAnsi" w:eastAsia="Times New Roman" w:hAnsiTheme="majorHAnsi" w:cs="Arial"/>
                <w:sz w:val="20"/>
                <w:szCs w:val="20"/>
                <w:lang w:eastAsia="es-ES"/>
              </w:rPr>
              <w:t xml:space="preserve"> técnico</w:t>
            </w:r>
            <w:r w:rsidR="009D7415">
              <w:rPr>
                <w:rFonts w:asciiTheme="majorHAnsi" w:eastAsia="Times New Roman" w:hAnsiTheme="majorHAnsi" w:cs="Arial"/>
                <w:sz w:val="20"/>
                <w:szCs w:val="20"/>
                <w:lang w:eastAsia="es-ES"/>
              </w:rPr>
              <w:t>s</w:t>
            </w:r>
            <w:r w:rsidRPr="00AE3890">
              <w:rPr>
                <w:rFonts w:asciiTheme="majorHAnsi" w:eastAsia="Times New Roman" w:hAnsiTheme="majorHAnsi" w:cs="Arial"/>
                <w:sz w:val="20"/>
                <w:szCs w:val="20"/>
                <w:lang w:eastAsia="es-ES"/>
              </w:rPr>
              <w:t xml:space="preserve"> al respecto de las Emisiones </w:t>
            </w:r>
            <w:r w:rsidR="00A4683F">
              <w:rPr>
                <w:rFonts w:asciiTheme="majorHAnsi" w:eastAsia="Times New Roman" w:hAnsiTheme="majorHAnsi" w:cs="Arial"/>
                <w:sz w:val="20"/>
                <w:szCs w:val="20"/>
                <w:lang w:eastAsia="es-ES"/>
              </w:rPr>
              <w:t>fuera de banda</w:t>
            </w:r>
            <w:r w:rsidRPr="00AE3890">
              <w:rPr>
                <w:rFonts w:asciiTheme="majorHAnsi" w:eastAsia="Times New Roman" w:hAnsiTheme="majorHAnsi" w:cs="Arial"/>
                <w:sz w:val="20"/>
                <w:szCs w:val="20"/>
                <w:lang w:eastAsia="es-ES"/>
              </w:rPr>
              <w:t>.</w:t>
            </w:r>
          </w:p>
          <w:p w:rsidR="0031211C" w:rsidRPr="00AE3890" w:rsidRDefault="0031211C" w:rsidP="0031211C">
            <w:pPr>
              <w:ind w:left="708"/>
              <w:jc w:val="both"/>
              <w:rPr>
                <w:sz w:val="20"/>
              </w:rPr>
            </w:pPr>
            <w:r w:rsidRPr="00AE3890">
              <w:rPr>
                <w:b/>
                <w:sz w:val="20"/>
              </w:rPr>
              <w:t>Artículos aplicables:</w:t>
            </w:r>
            <w:r w:rsidRPr="00AE3890">
              <w:rPr>
                <w:sz w:val="20"/>
              </w:rPr>
              <w:t xml:space="preserve"> </w:t>
            </w:r>
            <w:r w:rsidRPr="00AE3890">
              <w:rPr>
                <w:rFonts w:asciiTheme="majorHAnsi" w:eastAsia="Times New Roman" w:hAnsiTheme="majorHAnsi" w:cs="Arial"/>
                <w:sz w:val="20"/>
                <w:szCs w:val="20"/>
                <w:lang w:eastAsia="es-ES"/>
              </w:rPr>
              <w:t xml:space="preserve">Numeral </w:t>
            </w:r>
            <w:r w:rsidRPr="00AE3890">
              <w:rPr>
                <w:rFonts w:asciiTheme="majorHAnsi" w:eastAsia="Times New Roman" w:hAnsiTheme="majorHAnsi" w:cs="Arial"/>
                <w:b/>
                <w:sz w:val="20"/>
                <w:szCs w:val="20"/>
                <w:lang w:eastAsia="es-ES"/>
              </w:rPr>
              <w:t>4.4.</w:t>
            </w:r>
            <w:r w:rsidR="00D73094">
              <w:rPr>
                <w:rFonts w:asciiTheme="majorHAnsi" w:eastAsia="Times New Roman" w:hAnsiTheme="majorHAnsi" w:cs="Arial"/>
                <w:b/>
                <w:sz w:val="20"/>
                <w:szCs w:val="20"/>
                <w:lang w:eastAsia="es-ES"/>
              </w:rPr>
              <w:t xml:space="preserve">1. </w:t>
            </w:r>
            <w:r w:rsidRPr="00AE3890">
              <w:rPr>
                <w:rFonts w:asciiTheme="majorHAnsi" w:eastAsia="Times New Roman" w:hAnsiTheme="majorHAnsi" w:cs="Arial"/>
                <w:b/>
                <w:sz w:val="20"/>
                <w:szCs w:val="20"/>
                <w:lang w:eastAsia="es-ES"/>
              </w:rPr>
              <w:t xml:space="preserve">Emisiones </w:t>
            </w:r>
            <w:r w:rsidR="00D73094">
              <w:rPr>
                <w:rFonts w:asciiTheme="majorHAnsi" w:eastAsia="Times New Roman" w:hAnsiTheme="majorHAnsi" w:cs="Arial"/>
                <w:b/>
                <w:sz w:val="20"/>
                <w:szCs w:val="20"/>
                <w:lang w:eastAsia="es-ES"/>
              </w:rPr>
              <w:t>fuera de banda</w:t>
            </w:r>
            <w:r w:rsidRPr="00AE3890">
              <w:rPr>
                <w:rFonts w:asciiTheme="majorHAnsi" w:eastAsia="Times New Roman" w:hAnsiTheme="majorHAnsi" w:cs="Arial"/>
                <w:b/>
                <w:sz w:val="20"/>
                <w:szCs w:val="20"/>
                <w:lang w:eastAsia="es-ES"/>
              </w:rPr>
              <w:t>.</w:t>
            </w:r>
          </w:p>
          <w:p w:rsidR="005243C2" w:rsidRDefault="0031211C" w:rsidP="005243C2">
            <w:pPr>
              <w:pStyle w:val="Prrafodelista"/>
              <w:jc w:val="both"/>
              <w:rPr>
                <w:rFonts w:asciiTheme="majorHAnsi" w:hAnsiTheme="majorHAnsi"/>
                <w:sz w:val="20"/>
              </w:rPr>
            </w:pPr>
            <w:r w:rsidRPr="00AE3890">
              <w:rPr>
                <w:b/>
                <w:sz w:val="20"/>
              </w:rPr>
              <w:t>Justificación:</w:t>
            </w:r>
            <w:r w:rsidRPr="00AE3890">
              <w:rPr>
                <w:sz w:val="20"/>
              </w:rPr>
              <w:t xml:space="preserve"> </w:t>
            </w:r>
            <w:r w:rsidR="005243C2" w:rsidRPr="00AE3890">
              <w:rPr>
                <w:rFonts w:asciiTheme="majorHAnsi" w:hAnsiTheme="majorHAnsi"/>
                <w:sz w:val="20"/>
              </w:rPr>
              <w:t xml:space="preserve">Se debe establecer que </w:t>
            </w:r>
            <w:r w:rsidR="005243C2">
              <w:rPr>
                <w:rFonts w:asciiTheme="majorHAnsi" w:hAnsiTheme="majorHAnsi"/>
                <w:sz w:val="20"/>
              </w:rPr>
              <w:t>l</w:t>
            </w:r>
            <w:r w:rsidR="005243C2" w:rsidRPr="0031211C">
              <w:rPr>
                <w:rFonts w:asciiTheme="majorHAnsi" w:hAnsiTheme="majorHAnsi"/>
                <w:sz w:val="20"/>
              </w:rPr>
              <w:t xml:space="preserve">os niveles máximos de potencia de las emisiones </w:t>
            </w:r>
            <w:r w:rsidR="005243C2">
              <w:rPr>
                <w:rFonts w:asciiTheme="majorHAnsi" w:hAnsiTheme="majorHAnsi"/>
                <w:sz w:val="20"/>
              </w:rPr>
              <w:t xml:space="preserve">fuera </w:t>
            </w:r>
            <w:r w:rsidR="005243C2" w:rsidRPr="0031211C">
              <w:rPr>
                <w:rFonts w:asciiTheme="majorHAnsi" w:hAnsiTheme="majorHAnsi"/>
                <w:sz w:val="20"/>
              </w:rPr>
              <w:t xml:space="preserve">para las bandas de frecuencias de operación en </w:t>
            </w:r>
            <w:r w:rsidR="005243C2">
              <w:rPr>
                <w:rFonts w:asciiTheme="majorHAnsi" w:hAnsiTheme="majorHAnsi"/>
                <w:sz w:val="20"/>
              </w:rPr>
              <w:t xml:space="preserve">700 MHz, </w:t>
            </w:r>
            <w:r w:rsidR="005243C2" w:rsidRPr="0031211C">
              <w:rPr>
                <w:rFonts w:asciiTheme="majorHAnsi" w:hAnsiTheme="majorHAnsi"/>
                <w:sz w:val="20"/>
              </w:rPr>
              <w:t>800 MHz, 850 MHz, 1900 MHz</w:t>
            </w:r>
            <w:r w:rsidR="005243C2">
              <w:rPr>
                <w:rFonts w:asciiTheme="majorHAnsi" w:hAnsiTheme="majorHAnsi"/>
                <w:sz w:val="20"/>
              </w:rPr>
              <w:t>,</w:t>
            </w:r>
            <w:r w:rsidR="0084410C">
              <w:rPr>
                <w:rFonts w:asciiTheme="majorHAnsi" w:hAnsiTheme="majorHAnsi"/>
                <w:sz w:val="20"/>
              </w:rPr>
              <w:t xml:space="preserve"> </w:t>
            </w:r>
            <w:r w:rsidR="005243C2" w:rsidRPr="0031211C">
              <w:rPr>
                <w:rFonts w:asciiTheme="majorHAnsi" w:hAnsiTheme="majorHAnsi"/>
                <w:sz w:val="20"/>
              </w:rPr>
              <w:t xml:space="preserve">1700 MHz/2100 MHz y/o </w:t>
            </w:r>
            <w:r w:rsidR="005243C2">
              <w:rPr>
                <w:rFonts w:asciiTheme="majorHAnsi" w:hAnsiTheme="majorHAnsi"/>
                <w:sz w:val="20"/>
              </w:rPr>
              <w:t xml:space="preserve">2500 MHz, </w:t>
            </w:r>
            <w:r w:rsidR="005243C2" w:rsidRPr="0031211C">
              <w:rPr>
                <w:rFonts w:asciiTheme="majorHAnsi" w:hAnsiTheme="majorHAnsi"/>
                <w:sz w:val="20"/>
              </w:rPr>
              <w:t xml:space="preserve">establecidas en </w:t>
            </w:r>
            <w:r w:rsidR="005243C2">
              <w:rPr>
                <w:rFonts w:asciiTheme="majorHAnsi" w:hAnsiTheme="majorHAnsi"/>
                <w:sz w:val="20"/>
              </w:rPr>
              <w:t>e</w:t>
            </w:r>
            <w:r w:rsidR="005243C2" w:rsidRPr="0031211C">
              <w:rPr>
                <w:rFonts w:asciiTheme="majorHAnsi" w:hAnsiTheme="majorHAnsi"/>
                <w:sz w:val="20"/>
              </w:rPr>
              <w:t>l</w:t>
            </w:r>
            <w:r w:rsidR="005243C2">
              <w:rPr>
                <w:rFonts w:asciiTheme="majorHAnsi" w:hAnsiTheme="majorHAnsi"/>
                <w:sz w:val="20"/>
              </w:rPr>
              <w:t xml:space="preserve"> presente </w:t>
            </w:r>
            <w:r w:rsidR="005243C2" w:rsidRPr="0031211C">
              <w:rPr>
                <w:rFonts w:asciiTheme="majorHAnsi" w:hAnsiTheme="majorHAnsi"/>
                <w:sz w:val="20"/>
              </w:rPr>
              <w:t xml:space="preserve">numeral </w:t>
            </w:r>
            <w:r w:rsidR="005243C2">
              <w:rPr>
                <w:rFonts w:asciiTheme="majorHAnsi" w:hAnsiTheme="majorHAnsi"/>
                <w:sz w:val="20"/>
              </w:rPr>
              <w:t>cumplan con dichos límites.</w:t>
            </w:r>
          </w:p>
          <w:p w:rsidR="0031211C" w:rsidRDefault="0031211C" w:rsidP="0031211C">
            <w:pPr>
              <w:pStyle w:val="Prrafodelista"/>
              <w:jc w:val="both"/>
              <w:rPr>
                <w:sz w:val="20"/>
              </w:rPr>
            </w:pPr>
          </w:p>
          <w:p w:rsidR="005243C2" w:rsidRPr="00AE3890" w:rsidRDefault="005243C2" w:rsidP="005243C2">
            <w:pPr>
              <w:pStyle w:val="Prrafodelista"/>
              <w:numPr>
                <w:ilvl w:val="0"/>
                <w:numId w:val="2"/>
              </w:numPr>
              <w:jc w:val="both"/>
              <w:rPr>
                <w:rFonts w:asciiTheme="majorHAnsi" w:eastAsia="Times New Roman" w:hAnsiTheme="majorHAnsi" w:cs="Arial"/>
                <w:sz w:val="20"/>
                <w:szCs w:val="20"/>
                <w:lang w:eastAsia="es-ES"/>
              </w:rPr>
            </w:pPr>
            <w:r w:rsidRPr="00AE3890">
              <w:rPr>
                <w:b/>
                <w:sz w:val="20"/>
              </w:rPr>
              <w:t>Tipo:</w:t>
            </w:r>
            <w:r w:rsidRPr="00AE3890">
              <w:rPr>
                <w:sz w:val="20"/>
              </w:rPr>
              <w:t xml:space="preserve"> </w:t>
            </w:r>
            <w:r w:rsidRPr="00AE3890">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 xml:space="preserve"> </w:t>
            </w:r>
            <w:r w:rsidRPr="00AE3890">
              <w:rPr>
                <w:rFonts w:asciiTheme="majorHAnsi" w:eastAsia="Times New Roman" w:hAnsiTheme="majorHAnsi" w:cs="Arial"/>
                <w:sz w:val="20"/>
                <w:szCs w:val="20"/>
                <w:lang w:eastAsia="es-ES"/>
              </w:rPr>
              <w:t>l</w:t>
            </w:r>
            <w:r w:rsidR="009D7415">
              <w:rPr>
                <w:rFonts w:asciiTheme="majorHAnsi" w:eastAsia="Times New Roman" w:hAnsiTheme="majorHAnsi" w:cs="Arial"/>
                <w:sz w:val="20"/>
                <w:szCs w:val="20"/>
                <w:lang w:eastAsia="es-ES"/>
              </w:rPr>
              <w:t>os</w:t>
            </w:r>
            <w:r w:rsidRPr="00AE3890">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parámetros</w:t>
            </w:r>
            <w:r w:rsidRPr="00AE3890">
              <w:rPr>
                <w:rFonts w:asciiTheme="majorHAnsi" w:eastAsia="Times New Roman" w:hAnsiTheme="majorHAnsi" w:cs="Arial"/>
                <w:sz w:val="20"/>
                <w:szCs w:val="20"/>
                <w:lang w:eastAsia="es-ES"/>
              </w:rPr>
              <w:t xml:space="preserve"> técnico</w:t>
            </w:r>
            <w:r w:rsidR="009D7415">
              <w:rPr>
                <w:rFonts w:asciiTheme="majorHAnsi" w:eastAsia="Times New Roman" w:hAnsiTheme="majorHAnsi" w:cs="Arial"/>
                <w:sz w:val="20"/>
                <w:szCs w:val="20"/>
                <w:lang w:eastAsia="es-ES"/>
              </w:rPr>
              <w:t>s</w:t>
            </w:r>
            <w:r w:rsidRPr="00AE3890">
              <w:rPr>
                <w:rFonts w:asciiTheme="majorHAnsi" w:eastAsia="Times New Roman" w:hAnsiTheme="majorHAnsi" w:cs="Arial"/>
                <w:sz w:val="20"/>
                <w:szCs w:val="20"/>
                <w:lang w:eastAsia="es-ES"/>
              </w:rPr>
              <w:t xml:space="preserve"> al respecto de las Emisiones </w:t>
            </w:r>
            <w:r>
              <w:rPr>
                <w:rFonts w:asciiTheme="majorHAnsi" w:eastAsia="Times New Roman" w:hAnsiTheme="majorHAnsi" w:cs="Arial"/>
                <w:sz w:val="20"/>
                <w:szCs w:val="20"/>
                <w:lang w:eastAsia="es-ES"/>
              </w:rPr>
              <w:t xml:space="preserve">fuera de banda en las bandas de frecuencia </w:t>
            </w:r>
            <w:r w:rsidRPr="005243C2">
              <w:rPr>
                <w:rFonts w:asciiTheme="majorHAnsi" w:eastAsia="Times New Roman" w:hAnsiTheme="majorHAnsi" w:cs="Arial"/>
                <w:sz w:val="20"/>
                <w:szCs w:val="20"/>
                <w:lang w:eastAsia="es-ES"/>
              </w:rPr>
              <w:t>en 800 MHz, 850 MHz, 1900 MHz y/o 1700 MHz / 2100 MHz</w:t>
            </w:r>
            <w:r w:rsidRPr="00AE3890">
              <w:rPr>
                <w:rFonts w:asciiTheme="majorHAnsi" w:eastAsia="Times New Roman" w:hAnsiTheme="majorHAnsi" w:cs="Arial"/>
                <w:sz w:val="20"/>
                <w:szCs w:val="20"/>
                <w:lang w:eastAsia="es-ES"/>
              </w:rPr>
              <w:t>.</w:t>
            </w:r>
          </w:p>
          <w:p w:rsidR="005243C2" w:rsidRPr="00AE3890" w:rsidRDefault="005243C2" w:rsidP="005243C2">
            <w:pPr>
              <w:ind w:left="708"/>
              <w:jc w:val="both"/>
              <w:rPr>
                <w:sz w:val="20"/>
              </w:rPr>
            </w:pPr>
            <w:r w:rsidRPr="00AE3890">
              <w:rPr>
                <w:b/>
                <w:sz w:val="20"/>
              </w:rPr>
              <w:t>Artículos aplicables:</w:t>
            </w:r>
            <w:r w:rsidRPr="00AE3890">
              <w:rPr>
                <w:sz w:val="20"/>
              </w:rPr>
              <w:t xml:space="preserve"> </w:t>
            </w:r>
            <w:r w:rsidRPr="00AE3890">
              <w:rPr>
                <w:rFonts w:asciiTheme="majorHAnsi" w:eastAsia="Times New Roman" w:hAnsiTheme="majorHAnsi" w:cs="Arial"/>
                <w:sz w:val="20"/>
                <w:szCs w:val="20"/>
                <w:lang w:eastAsia="es-ES"/>
              </w:rPr>
              <w:t xml:space="preserve">Numeral </w:t>
            </w:r>
            <w:r w:rsidRPr="00AE3890">
              <w:rPr>
                <w:rFonts w:asciiTheme="majorHAnsi" w:eastAsia="Times New Roman" w:hAnsiTheme="majorHAnsi" w:cs="Arial"/>
                <w:b/>
                <w:sz w:val="20"/>
                <w:szCs w:val="20"/>
                <w:lang w:eastAsia="es-ES"/>
              </w:rPr>
              <w:t>4.4.</w:t>
            </w:r>
            <w:r>
              <w:rPr>
                <w:rFonts w:asciiTheme="majorHAnsi" w:eastAsia="Times New Roman" w:hAnsiTheme="majorHAnsi" w:cs="Arial"/>
                <w:b/>
                <w:sz w:val="20"/>
                <w:szCs w:val="20"/>
                <w:lang w:eastAsia="es-ES"/>
              </w:rPr>
              <w:t xml:space="preserve">1.1. </w:t>
            </w:r>
            <w:r w:rsidRPr="005243C2">
              <w:rPr>
                <w:rFonts w:asciiTheme="majorHAnsi" w:eastAsia="Times New Roman" w:hAnsiTheme="majorHAnsi" w:cs="Arial"/>
                <w:b/>
                <w:sz w:val="20"/>
                <w:szCs w:val="20"/>
                <w:lang w:eastAsia="es-ES"/>
              </w:rPr>
              <w:t>Atenuación de las Emisiones fuera de banda en las bandas de frecuencia en 800 MHz, 850 MHz, 1900 MHz y/o 1700 MHz / 2100 MHz</w:t>
            </w:r>
            <w:r w:rsidRPr="00AE3890">
              <w:rPr>
                <w:rFonts w:asciiTheme="majorHAnsi" w:eastAsia="Times New Roman" w:hAnsiTheme="majorHAnsi" w:cs="Arial"/>
                <w:b/>
                <w:sz w:val="20"/>
                <w:szCs w:val="20"/>
                <w:lang w:eastAsia="es-ES"/>
              </w:rPr>
              <w:t>.</w:t>
            </w:r>
          </w:p>
          <w:p w:rsidR="005243C2" w:rsidRDefault="005243C2" w:rsidP="005243C2">
            <w:pPr>
              <w:pStyle w:val="Prrafodelista"/>
              <w:jc w:val="both"/>
              <w:rPr>
                <w:sz w:val="20"/>
              </w:rPr>
            </w:pPr>
            <w:r w:rsidRPr="00AE3890">
              <w:rPr>
                <w:b/>
                <w:sz w:val="20"/>
              </w:rPr>
              <w:t>Justificación:</w:t>
            </w:r>
            <w:r w:rsidRPr="00AE3890">
              <w:rPr>
                <w:sz w:val="20"/>
              </w:rPr>
              <w:t xml:space="preserve"> </w:t>
            </w:r>
            <w:r>
              <w:rPr>
                <w:sz w:val="20"/>
              </w:rPr>
              <w:t>Se debe establecer que l</w:t>
            </w:r>
            <w:r w:rsidRPr="005243C2">
              <w:rPr>
                <w:sz w:val="20"/>
              </w:rPr>
              <w:t xml:space="preserve">os niveles máximos de potencia de las emisiones </w:t>
            </w:r>
            <w:r w:rsidR="0084410C">
              <w:rPr>
                <w:sz w:val="20"/>
              </w:rPr>
              <w:t>fuera de banda</w:t>
            </w:r>
            <w:r w:rsidRPr="005243C2">
              <w:rPr>
                <w:sz w:val="20"/>
              </w:rPr>
              <w:t xml:space="preserve">, para las bandas de frecuencias de operación en 800 MHz, 850 MHz, 1900 MHz y/o 1700 MHz / 2100 MHz </w:t>
            </w:r>
            <w:r w:rsidR="00205F54">
              <w:rPr>
                <w:sz w:val="20"/>
              </w:rPr>
              <w:t xml:space="preserve">definidas </w:t>
            </w:r>
            <w:r w:rsidRPr="005243C2">
              <w:rPr>
                <w:sz w:val="20"/>
              </w:rPr>
              <w:t xml:space="preserve">en </w:t>
            </w:r>
            <w:r>
              <w:rPr>
                <w:sz w:val="20"/>
              </w:rPr>
              <w:t>e</w:t>
            </w:r>
            <w:r w:rsidRPr="005243C2">
              <w:rPr>
                <w:sz w:val="20"/>
              </w:rPr>
              <w:t>l</w:t>
            </w:r>
            <w:r>
              <w:rPr>
                <w:sz w:val="20"/>
              </w:rPr>
              <w:t xml:space="preserve"> presente numeral cumplan con dichos límites.</w:t>
            </w:r>
          </w:p>
          <w:p w:rsidR="00A410FF" w:rsidRDefault="00A410FF" w:rsidP="005243C2">
            <w:pPr>
              <w:pStyle w:val="Prrafodelista"/>
              <w:jc w:val="both"/>
              <w:rPr>
                <w:rFonts w:asciiTheme="majorHAnsi" w:hAnsiTheme="majorHAnsi"/>
                <w:sz w:val="20"/>
              </w:rPr>
            </w:pPr>
          </w:p>
          <w:p w:rsidR="00A410FF" w:rsidRPr="00AE3890" w:rsidRDefault="00A410FF" w:rsidP="00A410FF">
            <w:pPr>
              <w:pStyle w:val="Prrafodelista"/>
              <w:numPr>
                <w:ilvl w:val="0"/>
                <w:numId w:val="2"/>
              </w:numPr>
              <w:jc w:val="both"/>
              <w:rPr>
                <w:rFonts w:asciiTheme="majorHAnsi" w:eastAsia="Times New Roman" w:hAnsiTheme="majorHAnsi" w:cs="Arial"/>
                <w:sz w:val="20"/>
                <w:szCs w:val="20"/>
                <w:lang w:eastAsia="es-ES"/>
              </w:rPr>
            </w:pPr>
            <w:r w:rsidRPr="00AE3890">
              <w:rPr>
                <w:b/>
                <w:sz w:val="20"/>
              </w:rPr>
              <w:t>Tipo:</w:t>
            </w:r>
            <w:r w:rsidRPr="00AE3890">
              <w:rPr>
                <w:sz w:val="20"/>
              </w:rPr>
              <w:t xml:space="preserve"> </w:t>
            </w:r>
            <w:r w:rsidRPr="00AE3890">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 xml:space="preserve"> </w:t>
            </w:r>
            <w:r w:rsidRPr="00AE3890">
              <w:rPr>
                <w:rFonts w:asciiTheme="majorHAnsi" w:eastAsia="Times New Roman" w:hAnsiTheme="majorHAnsi" w:cs="Arial"/>
                <w:sz w:val="20"/>
                <w:szCs w:val="20"/>
                <w:lang w:eastAsia="es-ES"/>
              </w:rPr>
              <w:t>l</w:t>
            </w:r>
            <w:r w:rsidR="009D7415">
              <w:rPr>
                <w:rFonts w:asciiTheme="majorHAnsi" w:eastAsia="Times New Roman" w:hAnsiTheme="majorHAnsi" w:cs="Arial"/>
                <w:sz w:val="20"/>
                <w:szCs w:val="20"/>
                <w:lang w:eastAsia="es-ES"/>
              </w:rPr>
              <w:t>os</w:t>
            </w:r>
            <w:r w:rsidRPr="00AE3890">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 xml:space="preserve">parámetros </w:t>
            </w:r>
            <w:r w:rsidRPr="00AE3890">
              <w:rPr>
                <w:rFonts w:asciiTheme="majorHAnsi" w:eastAsia="Times New Roman" w:hAnsiTheme="majorHAnsi" w:cs="Arial"/>
                <w:sz w:val="20"/>
                <w:szCs w:val="20"/>
                <w:lang w:eastAsia="es-ES"/>
              </w:rPr>
              <w:t>técnico</w:t>
            </w:r>
            <w:r w:rsidR="009D7415">
              <w:rPr>
                <w:rFonts w:asciiTheme="majorHAnsi" w:eastAsia="Times New Roman" w:hAnsiTheme="majorHAnsi" w:cs="Arial"/>
                <w:sz w:val="20"/>
                <w:szCs w:val="20"/>
                <w:lang w:eastAsia="es-ES"/>
              </w:rPr>
              <w:t>s</w:t>
            </w:r>
            <w:r w:rsidRPr="00AE3890">
              <w:rPr>
                <w:rFonts w:asciiTheme="majorHAnsi" w:eastAsia="Times New Roman" w:hAnsiTheme="majorHAnsi" w:cs="Arial"/>
                <w:sz w:val="20"/>
                <w:szCs w:val="20"/>
                <w:lang w:eastAsia="es-ES"/>
              </w:rPr>
              <w:t xml:space="preserve"> al respecto </w:t>
            </w:r>
            <w:r>
              <w:rPr>
                <w:rFonts w:asciiTheme="majorHAnsi" w:eastAsia="Times New Roman" w:hAnsiTheme="majorHAnsi" w:cs="Arial"/>
                <w:sz w:val="20"/>
                <w:szCs w:val="20"/>
                <w:lang w:eastAsia="es-ES"/>
              </w:rPr>
              <w:t xml:space="preserve">de </w:t>
            </w:r>
            <w:r w:rsidRPr="00AE3890">
              <w:rPr>
                <w:rFonts w:asciiTheme="majorHAnsi" w:eastAsia="Times New Roman" w:hAnsiTheme="majorHAnsi" w:cs="Arial"/>
                <w:sz w:val="20"/>
                <w:szCs w:val="20"/>
                <w:lang w:eastAsia="es-ES"/>
              </w:rPr>
              <w:t xml:space="preserve">las Emisiones </w:t>
            </w:r>
            <w:r>
              <w:rPr>
                <w:rFonts w:asciiTheme="majorHAnsi" w:eastAsia="Times New Roman" w:hAnsiTheme="majorHAnsi" w:cs="Arial"/>
                <w:sz w:val="20"/>
                <w:szCs w:val="20"/>
                <w:lang w:eastAsia="es-ES"/>
              </w:rPr>
              <w:t xml:space="preserve">fuera de banda en las bandas de frecuencia </w:t>
            </w:r>
            <w:r w:rsidRPr="005243C2">
              <w:rPr>
                <w:rFonts w:asciiTheme="majorHAnsi" w:eastAsia="Times New Roman" w:hAnsiTheme="majorHAnsi" w:cs="Arial"/>
                <w:sz w:val="20"/>
                <w:szCs w:val="20"/>
                <w:lang w:eastAsia="es-ES"/>
              </w:rPr>
              <w:t xml:space="preserve">en </w:t>
            </w:r>
            <w:r>
              <w:rPr>
                <w:rFonts w:asciiTheme="majorHAnsi" w:eastAsia="Times New Roman" w:hAnsiTheme="majorHAnsi" w:cs="Arial"/>
                <w:sz w:val="20"/>
                <w:szCs w:val="20"/>
                <w:lang w:eastAsia="es-ES"/>
              </w:rPr>
              <w:t xml:space="preserve">700 </w:t>
            </w:r>
            <w:r w:rsidRPr="005243C2">
              <w:rPr>
                <w:rFonts w:asciiTheme="majorHAnsi" w:eastAsia="Times New Roman" w:hAnsiTheme="majorHAnsi" w:cs="Arial"/>
                <w:sz w:val="20"/>
                <w:szCs w:val="20"/>
                <w:lang w:eastAsia="es-ES"/>
              </w:rPr>
              <w:t>y</w:t>
            </w:r>
            <w:r>
              <w:rPr>
                <w:rFonts w:asciiTheme="majorHAnsi" w:eastAsia="Times New Roman" w:hAnsiTheme="majorHAnsi" w:cs="Arial"/>
                <w:sz w:val="20"/>
                <w:szCs w:val="20"/>
                <w:lang w:eastAsia="es-ES"/>
              </w:rPr>
              <w:t xml:space="preserve"> </w:t>
            </w:r>
            <w:r w:rsidRPr="005243C2">
              <w:rPr>
                <w:rFonts w:asciiTheme="majorHAnsi" w:eastAsia="Times New Roman" w:hAnsiTheme="majorHAnsi" w:cs="Arial"/>
                <w:sz w:val="20"/>
                <w:szCs w:val="20"/>
                <w:lang w:eastAsia="es-ES"/>
              </w:rPr>
              <w:t>2</w:t>
            </w:r>
            <w:r>
              <w:rPr>
                <w:rFonts w:asciiTheme="majorHAnsi" w:eastAsia="Times New Roman" w:hAnsiTheme="majorHAnsi" w:cs="Arial"/>
                <w:sz w:val="20"/>
                <w:szCs w:val="20"/>
                <w:lang w:eastAsia="es-ES"/>
              </w:rPr>
              <w:t>5</w:t>
            </w:r>
            <w:r w:rsidRPr="005243C2">
              <w:rPr>
                <w:rFonts w:asciiTheme="majorHAnsi" w:eastAsia="Times New Roman" w:hAnsiTheme="majorHAnsi" w:cs="Arial"/>
                <w:sz w:val="20"/>
                <w:szCs w:val="20"/>
                <w:lang w:eastAsia="es-ES"/>
              </w:rPr>
              <w:t>00 MHz</w:t>
            </w:r>
            <w:r w:rsidRPr="00AE3890">
              <w:rPr>
                <w:rFonts w:asciiTheme="majorHAnsi" w:eastAsia="Times New Roman" w:hAnsiTheme="majorHAnsi" w:cs="Arial"/>
                <w:sz w:val="20"/>
                <w:szCs w:val="20"/>
                <w:lang w:eastAsia="es-ES"/>
              </w:rPr>
              <w:t>.</w:t>
            </w:r>
          </w:p>
          <w:p w:rsidR="00A410FF" w:rsidRPr="00AE3890" w:rsidRDefault="00A410FF" w:rsidP="00A410FF">
            <w:pPr>
              <w:ind w:left="708"/>
              <w:jc w:val="both"/>
              <w:rPr>
                <w:sz w:val="20"/>
              </w:rPr>
            </w:pPr>
            <w:r w:rsidRPr="00AE3890">
              <w:rPr>
                <w:b/>
                <w:sz w:val="20"/>
              </w:rPr>
              <w:t>Artículos aplicables:</w:t>
            </w:r>
            <w:r w:rsidRPr="00AE3890">
              <w:rPr>
                <w:sz w:val="20"/>
              </w:rPr>
              <w:t xml:space="preserve"> </w:t>
            </w:r>
            <w:r w:rsidRPr="00AE3890">
              <w:rPr>
                <w:rFonts w:asciiTheme="majorHAnsi" w:eastAsia="Times New Roman" w:hAnsiTheme="majorHAnsi" w:cs="Arial"/>
                <w:sz w:val="20"/>
                <w:szCs w:val="20"/>
                <w:lang w:eastAsia="es-ES"/>
              </w:rPr>
              <w:t xml:space="preserve">Numeral </w:t>
            </w:r>
            <w:r w:rsidRPr="00AE3890">
              <w:rPr>
                <w:rFonts w:asciiTheme="majorHAnsi" w:eastAsia="Times New Roman" w:hAnsiTheme="majorHAnsi" w:cs="Arial"/>
                <w:b/>
                <w:sz w:val="20"/>
                <w:szCs w:val="20"/>
                <w:lang w:eastAsia="es-ES"/>
              </w:rPr>
              <w:t>4.4.</w:t>
            </w:r>
            <w:r>
              <w:rPr>
                <w:rFonts w:asciiTheme="majorHAnsi" w:eastAsia="Times New Roman" w:hAnsiTheme="majorHAnsi" w:cs="Arial"/>
                <w:b/>
                <w:sz w:val="20"/>
                <w:szCs w:val="20"/>
                <w:lang w:eastAsia="es-ES"/>
              </w:rPr>
              <w:t>1.</w:t>
            </w:r>
            <w:r w:rsidR="00B551B0">
              <w:rPr>
                <w:rFonts w:asciiTheme="majorHAnsi" w:eastAsia="Times New Roman" w:hAnsiTheme="majorHAnsi" w:cs="Arial"/>
                <w:b/>
                <w:sz w:val="20"/>
                <w:szCs w:val="20"/>
                <w:lang w:eastAsia="es-ES"/>
              </w:rPr>
              <w:t>2</w:t>
            </w:r>
            <w:r>
              <w:rPr>
                <w:rFonts w:asciiTheme="majorHAnsi" w:eastAsia="Times New Roman" w:hAnsiTheme="majorHAnsi" w:cs="Arial"/>
                <w:b/>
                <w:sz w:val="20"/>
                <w:szCs w:val="20"/>
                <w:lang w:eastAsia="es-ES"/>
              </w:rPr>
              <w:t xml:space="preserve">. </w:t>
            </w:r>
            <w:r w:rsidR="00B551B0">
              <w:rPr>
                <w:rFonts w:asciiTheme="majorHAnsi" w:eastAsia="Times New Roman" w:hAnsiTheme="majorHAnsi" w:cs="Arial"/>
                <w:b/>
                <w:sz w:val="20"/>
                <w:szCs w:val="20"/>
                <w:lang w:eastAsia="es-ES"/>
              </w:rPr>
              <w:t>E</w:t>
            </w:r>
            <w:r w:rsidR="00B551B0" w:rsidRPr="00B551B0">
              <w:rPr>
                <w:rFonts w:asciiTheme="majorHAnsi" w:eastAsia="Times New Roman" w:hAnsiTheme="majorHAnsi" w:cs="Arial"/>
                <w:b/>
                <w:sz w:val="20"/>
                <w:szCs w:val="20"/>
                <w:lang w:eastAsia="es-ES"/>
              </w:rPr>
              <w:t>misiones fuera de banda en las bandas de frecuencia en 700 y 2500 MHz.</w:t>
            </w:r>
          </w:p>
          <w:p w:rsidR="00A410FF" w:rsidRDefault="00A410FF" w:rsidP="00A410FF">
            <w:pPr>
              <w:pStyle w:val="Prrafodelista"/>
              <w:jc w:val="both"/>
              <w:rPr>
                <w:sz w:val="20"/>
              </w:rPr>
            </w:pPr>
            <w:r w:rsidRPr="00AE3890">
              <w:rPr>
                <w:b/>
                <w:sz w:val="20"/>
              </w:rPr>
              <w:t>Justificación:</w:t>
            </w:r>
            <w:r w:rsidRPr="00AE3890">
              <w:rPr>
                <w:sz w:val="20"/>
              </w:rPr>
              <w:t xml:space="preserve"> </w:t>
            </w:r>
            <w:r>
              <w:rPr>
                <w:sz w:val="20"/>
              </w:rPr>
              <w:t>Se debe establecer que l</w:t>
            </w:r>
            <w:r w:rsidRPr="005243C2">
              <w:rPr>
                <w:sz w:val="20"/>
              </w:rPr>
              <w:t xml:space="preserve">os niveles máximos de potencia de las emisiones </w:t>
            </w:r>
            <w:r w:rsidR="00C63CF2">
              <w:rPr>
                <w:sz w:val="20"/>
              </w:rPr>
              <w:t>fuera de banda</w:t>
            </w:r>
            <w:r w:rsidRPr="005243C2">
              <w:rPr>
                <w:sz w:val="20"/>
              </w:rPr>
              <w:t xml:space="preserve">, para las bandas de frecuencias de operación en </w:t>
            </w:r>
            <w:r w:rsidR="00A5109E">
              <w:rPr>
                <w:sz w:val="20"/>
              </w:rPr>
              <w:t xml:space="preserve">700 </w:t>
            </w:r>
            <w:r w:rsidRPr="005243C2">
              <w:rPr>
                <w:sz w:val="20"/>
              </w:rPr>
              <w:t>MHz y</w:t>
            </w:r>
            <w:r w:rsidR="00A5109E">
              <w:rPr>
                <w:sz w:val="20"/>
              </w:rPr>
              <w:t xml:space="preserve"> </w:t>
            </w:r>
            <w:r w:rsidRPr="005243C2">
              <w:rPr>
                <w:sz w:val="20"/>
              </w:rPr>
              <w:t>2</w:t>
            </w:r>
            <w:r w:rsidR="00A5109E">
              <w:rPr>
                <w:sz w:val="20"/>
              </w:rPr>
              <w:t>5</w:t>
            </w:r>
            <w:r w:rsidRPr="005243C2">
              <w:rPr>
                <w:sz w:val="20"/>
              </w:rPr>
              <w:t xml:space="preserve">00 MHz </w:t>
            </w:r>
            <w:r w:rsidR="00205F54">
              <w:rPr>
                <w:sz w:val="20"/>
              </w:rPr>
              <w:t xml:space="preserve">definidas </w:t>
            </w:r>
            <w:r w:rsidRPr="005243C2">
              <w:rPr>
                <w:sz w:val="20"/>
              </w:rPr>
              <w:t xml:space="preserve">en </w:t>
            </w:r>
            <w:r>
              <w:rPr>
                <w:sz w:val="20"/>
              </w:rPr>
              <w:t>e</w:t>
            </w:r>
            <w:r w:rsidRPr="005243C2">
              <w:rPr>
                <w:sz w:val="20"/>
              </w:rPr>
              <w:t>l</w:t>
            </w:r>
            <w:r>
              <w:rPr>
                <w:sz w:val="20"/>
              </w:rPr>
              <w:t xml:space="preserve"> presente numeral cumplan con dichos límites.</w:t>
            </w:r>
          </w:p>
          <w:p w:rsidR="0036569F" w:rsidRDefault="0036569F" w:rsidP="00A410FF">
            <w:pPr>
              <w:pStyle w:val="Prrafodelista"/>
              <w:jc w:val="both"/>
              <w:rPr>
                <w:sz w:val="20"/>
              </w:rPr>
            </w:pPr>
          </w:p>
          <w:p w:rsidR="004D6C2E" w:rsidRPr="00AE3890" w:rsidRDefault="004D6C2E" w:rsidP="004D6C2E">
            <w:pPr>
              <w:pStyle w:val="Prrafodelista"/>
              <w:numPr>
                <w:ilvl w:val="0"/>
                <w:numId w:val="2"/>
              </w:numPr>
              <w:jc w:val="both"/>
              <w:rPr>
                <w:rFonts w:asciiTheme="majorHAnsi" w:eastAsia="Times New Roman" w:hAnsiTheme="majorHAnsi" w:cs="Arial"/>
                <w:sz w:val="20"/>
                <w:szCs w:val="20"/>
                <w:lang w:eastAsia="es-ES"/>
              </w:rPr>
            </w:pPr>
            <w:r w:rsidRPr="00AE3890">
              <w:rPr>
                <w:b/>
                <w:sz w:val="20"/>
              </w:rPr>
              <w:t>Tipo:</w:t>
            </w:r>
            <w:r w:rsidRPr="00AE3890">
              <w:rPr>
                <w:sz w:val="20"/>
              </w:rPr>
              <w:t xml:space="preserve"> </w:t>
            </w:r>
            <w:r w:rsidRPr="00AE3890">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 xml:space="preserve"> </w:t>
            </w:r>
            <w:r w:rsidRPr="00AE3890">
              <w:rPr>
                <w:rFonts w:asciiTheme="majorHAnsi" w:eastAsia="Times New Roman" w:hAnsiTheme="majorHAnsi" w:cs="Arial"/>
                <w:sz w:val="20"/>
                <w:szCs w:val="20"/>
                <w:lang w:eastAsia="es-ES"/>
              </w:rPr>
              <w:t>l</w:t>
            </w:r>
            <w:r w:rsidR="009D7415">
              <w:rPr>
                <w:rFonts w:asciiTheme="majorHAnsi" w:eastAsia="Times New Roman" w:hAnsiTheme="majorHAnsi" w:cs="Arial"/>
                <w:sz w:val="20"/>
                <w:szCs w:val="20"/>
                <w:lang w:eastAsia="es-ES"/>
              </w:rPr>
              <w:t>os</w:t>
            </w:r>
            <w:r w:rsidRPr="00AE3890">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parámetros</w:t>
            </w:r>
            <w:r w:rsidRPr="00AE3890">
              <w:rPr>
                <w:rFonts w:asciiTheme="majorHAnsi" w:eastAsia="Times New Roman" w:hAnsiTheme="majorHAnsi" w:cs="Arial"/>
                <w:sz w:val="20"/>
                <w:szCs w:val="20"/>
                <w:lang w:eastAsia="es-ES"/>
              </w:rPr>
              <w:t xml:space="preserve"> técnico</w:t>
            </w:r>
            <w:r w:rsidR="009D7415">
              <w:rPr>
                <w:rFonts w:asciiTheme="majorHAnsi" w:eastAsia="Times New Roman" w:hAnsiTheme="majorHAnsi" w:cs="Arial"/>
                <w:sz w:val="20"/>
                <w:szCs w:val="20"/>
                <w:lang w:eastAsia="es-ES"/>
              </w:rPr>
              <w:t>s</w:t>
            </w:r>
            <w:r w:rsidRPr="00AE3890">
              <w:rPr>
                <w:rFonts w:asciiTheme="majorHAnsi" w:eastAsia="Times New Roman" w:hAnsiTheme="majorHAnsi" w:cs="Arial"/>
                <w:sz w:val="20"/>
                <w:szCs w:val="20"/>
                <w:lang w:eastAsia="es-ES"/>
              </w:rPr>
              <w:t xml:space="preserve"> al respecto </w:t>
            </w:r>
            <w:r>
              <w:rPr>
                <w:rFonts w:asciiTheme="majorHAnsi" w:eastAsia="Times New Roman" w:hAnsiTheme="majorHAnsi" w:cs="Arial"/>
                <w:sz w:val="20"/>
                <w:szCs w:val="20"/>
                <w:lang w:eastAsia="es-ES"/>
              </w:rPr>
              <w:t xml:space="preserve">de </w:t>
            </w:r>
            <w:r w:rsidRPr="00AE3890">
              <w:rPr>
                <w:rFonts w:asciiTheme="majorHAnsi" w:eastAsia="Times New Roman" w:hAnsiTheme="majorHAnsi" w:cs="Arial"/>
                <w:sz w:val="20"/>
                <w:szCs w:val="20"/>
                <w:lang w:eastAsia="es-ES"/>
              </w:rPr>
              <w:t xml:space="preserve">las Emisiones </w:t>
            </w:r>
            <w:r>
              <w:rPr>
                <w:rFonts w:asciiTheme="majorHAnsi" w:eastAsia="Times New Roman" w:hAnsiTheme="majorHAnsi" w:cs="Arial"/>
                <w:sz w:val="20"/>
                <w:szCs w:val="20"/>
                <w:lang w:eastAsia="es-ES"/>
              </w:rPr>
              <w:t>no esenciales</w:t>
            </w:r>
            <w:r w:rsidRPr="00AE3890">
              <w:rPr>
                <w:rFonts w:asciiTheme="majorHAnsi" w:eastAsia="Times New Roman" w:hAnsiTheme="majorHAnsi" w:cs="Arial"/>
                <w:sz w:val="20"/>
                <w:szCs w:val="20"/>
                <w:lang w:eastAsia="es-ES"/>
              </w:rPr>
              <w:t>.</w:t>
            </w:r>
          </w:p>
          <w:p w:rsidR="004D6C2E" w:rsidRPr="00AE3890" w:rsidRDefault="004D6C2E" w:rsidP="004D6C2E">
            <w:pPr>
              <w:ind w:left="708"/>
              <w:jc w:val="both"/>
              <w:rPr>
                <w:sz w:val="20"/>
              </w:rPr>
            </w:pPr>
            <w:r w:rsidRPr="00AE3890">
              <w:rPr>
                <w:b/>
                <w:sz w:val="20"/>
              </w:rPr>
              <w:t>Artículos aplicables:</w:t>
            </w:r>
            <w:r w:rsidRPr="00AE3890">
              <w:rPr>
                <w:sz w:val="20"/>
              </w:rPr>
              <w:t xml:space="preserve"> </w:t>
            </w:r>
            <w:r w:rsidRPr="00AE3890">
              <w:rPr>
                <w:rFonts w:asciiTheme="majorHAnsi" w:eastAsia="Times New Roman" w:hAnsiTheme="majorHAnsi" w:cs="Arial"/>
                <w:sz w:val="20"/>
                <w:szCs w:val="20"/>
                <w:lang w:eastAsia="es-ES"/>
              </w:rPr>
              <w:t xml:space="preserve">Numeral </w:t>
            </w:r>
            <w:r w:rsidRPr="00AE3890">
              <w:rPr>
                <w:rFonts w:asciiTheme="majorHAnsi" w:eastAsia="Times New Roman" w:hAnsiTheme="majorHAnsi" w:cs="Arial"/>
                <w:b/>
                <w:sz w:val="20"/>
                <w:szCs w:val="20"/>
                <w:lang w:eastAsia="es-ES"/>
              </w:rPr>
              <w:t>4.4.</w:t>
            </w:r>
            <w:r>
              <w:rPr>
                <w:rFonts w:asciiTheme="majorHAnsi" w:eastAsia="Times New Roman" w:hAnsiTheme="majorHAnsi" w:cs="Arial"/>
                <w:b/>
                <w:sz w:val="20"/>
                <w:szCs w:val="20"/>
                <w:lang w:eastAsia="es-ES"/>
              </w:rPr>
              <w:t>2.</w:t>
            </w:r>
            <w:r w:rsidR="006955E6">
              <w:rPr>
                <w:rFonts w:asciiTheme="majorHAnsi" w:eastAsia="Times New Roman" w:hAnsiTheme="majorHAnsi" w:cs="Arial"/>
                <w:b/>
                <w:sz w:val="20"/>
                <w:szCs w:val="20"/>
                <w:lang w:eastAsia="es-ES"/>
              </w:rPr>
              <w:t xml:space="preserve"> </w:t>
            </w:r>
            <w:r>
              <w:rPr>
                <w:rFonts w:asciiTheme="majorHAnsi" w:eastAsia="Times New Roman" w:hAnsiTheme="majorHAnsi" w:cs="Arial"/>
                <w:b/>
                <w:sz w:val="20"/>
                <w:szCs w:val="20"/>
                <w:lang w:eastAsia="es-ES"/>
              </w:rPr>
              <w:t>E</w:t>
            </w:r>
            <w:r w:rsidRPr="00B551B0">
              <w:rPr>
                <w:rFonts w:asciiTheme="majorHAnsi" w:eastAsia="Times New Roman" w:hAnsiTheme="majorHAnsi" w:cs="Arial"/>
                <w:b/>
                <w:sz w:val="20"/>
                <w:szCs w:val="20"/>
                <w:lang w:eastAsia="es-ES"/>
              </w:rPr>
              <w:t xml:space="preserve">misiones </w:t>
            </w:r>
            <w:r w:rsidR="00673A43">
              <w:rPr>
                <w:rFonts w:asciiTheme="majorHAnsi" w:eastAsia="Times New Roman" w:hAnsiTheme="majorHAnsi" w:cs="Arial"/>
                <w:b/>
                <w:sz w:val="20"/>
                <w:szCs w:val="20"/>
                <w:lang w:eastAsia="es-ES"/>
              </w:rPr>
              <w:t>no esenciales</w:t>
            </w:r>
            <w:r w:rsidRPr="00B551B0">
              <w:rPr>
                <w:rFonts w:asciiTheme="majorHAnsi" w:eastAsia="Times New Roman" w:hAnsiTheme="majorHAnsi" w:cs="Arial"/>
                <w:b/>
                <w:sz w:val="20"/>
                <w:szCs w:val="20"/>
                <w:lang w:eastAsia="es-ES"/>
              </w:rPr>
              <w:t>.</w:t>
            </w:r>
          </w:p>
          <w:p w:rsidR="00403BE0" w:rsidRDefault="004D6C2E" w:rsidP="00403BE0">
            <w:pPr>
              <w:pStyle w:val="Prrafodelista"/>
              <w:jc w:val="both"/>
              <w:rPr>
                <w:rFonts w:asciiTheme="majorHAnsi" w:hAnsiTheme="majorHAnsi"/>
                <w:sz w:val="20"/>
              </w:rPr>
            </w:pPr>
            <w:r w:rsidRPr="00AE3890">
              <w:rPr>
                <w:b/>
                <w:sz w:val="20"/>
              </w:rPr>
              <w:t>Justificación:</w:t>
            </w:r>
            <w:r w:rsidRPr="00AE3890">
              <w:rPr>
                <w:sz w:val="20"/>
              </w:rPr>
              <w:t xml:space="preserve"> </w:t>
            </w:r>
            <w:r w:rsidR="00403BE0" w:rsidRPr="00AE3890">
              <w:rPr>
                <w:rFonts w:asciiTheme="majorHAnsi" w:hAnsiTheme="majorHAnsi"/>
                <w:sz w:val="20"/>
              </w:rPr>
              <w:t xml:space="preserve">Se debe establecer que </w:t>
            </w:r>
            <w:r w:rsidR="00403BE0">
              <w:rPr>
                <w:rFonts w:asciiTheme="majorHAnsi" w:hAnsiTheme="majorHAnsi"/>
                <w:sz w:val="20"/>
              </w:rPr>
              <w:t>l</w:t>
            </w:r>
            <w:r w:rsidR="00403BE0" w:rsidRPr="0031211C">
              <w:rPr>
                <w:rFonts w:asciiTheme="majorHAnsi" w:hAnsiTheme="majorHAnsi"/>
                <w:sz w:val="20"/>
              </w:rPr>
              <w:t xml:space="preserve">os niveles máximos de potencia de las emisiones </w:t>
            </w:r>
            <w:r w:rsidR="00403BE0">
              <w:rPr>
                <w:rFonts w:asciiTheme="majorHAnsi" w:hAnsiTheme="majorHAnsi"/>
                <w:sz w:val="20"/>
              </w:rPr>
              <w:t xml:space="preserve">no esenciales </w:t>
            </w:r>
            <w:r w:rsidR="00403BE0" w:rsidRPr="0031211C">
              <w:rPr>
                <w:rFonts w:asciiTheme="majorHAnsi" w:hAnsiTheme="majorHAnsi"/>
                <w:sz w:val="20"/>
              </w:rPr>
              <w:t xml:space="preserve">para las bandas de frecuencias de operación en </w:t>
            </w:r>
            <w:r w:rsidR="006955E6">
              <w:rPr>
                <w:rFonts w:asciiTheme="majorHAnsi" w:hAnsiTheme="majorHAnsi"/>
                <w:sz w:val="20"/>
              </w:rPr>
              <w:t xml:space="preserve">700 MHz, </w:t>
            </w:r>
            <w:r w:rsidR="00403BE0" w:rsidRPr="0031211C">
              <w:rPr>
                <w:rFonts w:asciiTheme="majorHAnsi" w:hAnsiTheme="majorHAnsi"/>
                <w:sz w:val="20"/>
              </w:rPr>
              <w:t>800 MHz, 850 MHz, 1900 MHz</w:t>
            </w:r>
            <w:r w:rsidR="006955E6">
              <w:rPr>
                <w:rFonts w:asciiTheme="majorHAnsi" w:hAnsiTheme="majorHAnsi"/>
                <w:sz w:val="20"/>
              </w:rPr>
              <w:t>,</w:t>
            </w:r>
            <w:r w:rsidR="00403BE0">
              <w:rPr>
                <w:rFonts w:asciiTheme="majorHAnsi" w:hAnsiTheme="majorHAnsi"/>
                <w:sz w:val="20"/>
              </w:rPr>
              <w:t xml:space="preserve"> </w:t>
            </w:r>
            <w:r w:rsidR="00403BE0" w:rsidRPr="0031211C">
              <w:rPr>
                <w:rFonts w:asciiTheme="majorHAnsi" w:hAnsiTheme="majorHAnsi"/>
                <w:sz w:val="20"/>
              </w:rPr>
              <w:t xml:space="preserve">1700 MHz/2100 MHz </w:t>
            </w:r>
            <w:r w:rsidR="006955E6" w:rsidRPr="0031211C">
              <w:rPr>
                <w:rFonts w:asciiTheme="majorHAnsi" w:hAnsiTheme="majorHAnsi"/>
                <w:sz w:val="20"/>
              </w:rPr>
              <w:t>y/o</w:t>
            </w:r>
            <w:r w:rsidR="00403BE0">
              <w:rPr>
                <w:rFonts w:asciiTheme="majorHAnsi" w:hAnsiTheme="majorHAnsi"/>
                <w:sz w:val="20"/>
              </w:rPr>
              <w:t xml:space="preserve"> </w:t>
            </w:r>
            <w:r w:rsidR="006955E6">
              <w:rPr>
                <w:rFonts w:asciiTheme="majorHAnsi" w:hAnsiTheme="majorHAnsi"/>
                <w:sz w:val="20"/>
              </w:rPr>
              <w:t xml:space="preserve">2500 MHz, </w:t>
            </w:r>
            <w:r w:rsidR="00403BE0" w:rsidRPr="0031211C">
              <w:rPr>
                <w:rFonts w:asciiTheme="majorHAnsi" w:hAnsiTheme="majorHAnsi"/>
                <w:sz w:val="20"/>
              </w:rPr>
              <w:t xml:space="preserve">establecidas en </w:t>
            </w:r>
            <w:r w:rsidR="00403BE0">
              <w:rPr>
                <w:rFonts w:asciiTheme="majorHAnsi" w:hAnsiTheme="majorHAnsi"/>
                <w:sz w:val="20"/>
              </w:rPr>
              <w:t>e</w:t>
            </w:r>
            <w:r w:rsidR="00403BE0" w:rsidRPr="0031211C">
              <w:rPr>
                <w:rFonts w:asciiTheme="majorHAnsi" w:hAnsiTheme="majorHAnsi"/>
                <w:sz w:val="20"/>
              </w:rPr>
              <w:t>l</w:t>
            </w:r>
            <w:r w:rsidR="00403BE0">
              <w:rPr>
                <w:rFonts w:asciiTheme="majorHAnsi" w:hAnsiTheme="majorHAnsi"/>
                <w:sz w:val="20"/>
              </w:rPr>
              <w:t xml:space="preserve"> presente </w:t>
            </w:r>
            <w:r w:rsidR="00403BE0" w:rsidRPr="0031211C">
              <w:rPr>
                <w:rFonts w:asciiTheme="majorHAnsi" w:hAnsiTheme="majorHAnsi"/>
                <w:sz w:val="20"/>
              </w:rPr>
              <w:t xml:space="preserve">numeral </w:t>
            </w:r>
            <w:r w:rsidR="00403BE0">
              <w:rPr>
                <w:rFonts w:asciiTheme="majorHAnsi" w:hAnsiTheme="majorHAnsi"/>
                <w:sz w:val="20"/>
              </w:rPr>
              <w:t>cumplan con dichos límites.</w:t>
            </w:r>
          </w:p>
          <w:p w:rsidR="006955E6" w:rsidRDefault="006955E6" w:rsidP="00403BE0">
            <w:pPr>
              <w:pStyle w:val="Prrafodelista"/>
              <w:jc w:val="both"/>
              <w:rPr>
                <w:rFonts w:asciiTheme="majorHAnsi" w:hAnsiTheme="majorHAnsi"/>
                <w:sz w:val="20"/>
              </w:rPr>
            </w:pPr>
          </w:p>
          <w:p w:rsidR="006955E6" w:rsidRPr="00AE3890" w:rsidRDefault="006955E6" w:rsidP="00010DDD">
            <w:pPr>
              <w:pStyle w:val="Prrafodelista"/>
              <w:numPr>
                <w:ilvl w:val="0"/>
                <w:numId w:val="2"/>
              </w:numPr>
              <w:jc w:val="both"/>
              <w:rPr>
                <w:rFonts w:asciiTheme="majorHAnsi" w:eastAsia="Times New Roman" w:hAnsiTheme="majorHAnsi" w:cs="Arial"/>
                <w:sz w:val="20"/>
                <w:szCs w:val="20"/>
                <w:lang w:eastAsia="es-ES"/>
              </w:rPr>
            </w:pPr>
            <w:r w:rsidRPr="00AE3890">
              <w:rPr>
                <w:b/>
                <w:sz w:val="20"/>
              </w:rPr>
              <w:t>Tipo:</w:t>
            </w:r>
            <w:r w:rsidRPr="00AE3890">
              <w:rPr>
                <w:sz w:val="20"/>
              </w:rPr>
              <w:t xml:space="preserve"> </w:t>
            </w:r>
            <w:r w:rsidRPr="00AE3890">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 xml:space="preserve"> </w:t>
            </w:r>
            <w:r w:rsidRPr="00AE3890">
              <w:rPr>
                <w:rFonts w:asciiTheme="majorHAnsi" w:eastAsia="Times New Roman" w:hAnsiTheme="majorHAnsi" w:cs="Arial"/>
                <w:sz w:val="20"/>
                <w:szCs w:val="20"/>
                <w:lang w:eastAsia="es-ES"/>
              </w:rPr>
              <w:t>l</w:t>
            </w:r>
            <w:r w:rsidR="009D7415">
              <w:rPr>
                <w:rFonts w:asciiTheme="majorHAnsi" w:eastAsia="Times New Roman" w:hAnsiTheme="majorHAnsi" w:cs="Arial"/>
                <w:sz w:val="20"/>
                <w:szCs w:val="20"/>
                <w:lang w:eastAsia="es-ES"/>
              </w:rPr>
              <w:t>os</w:t>
            </w:r>
            <w:r w:rsidRPr="00AE3890">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parámetros</w:t>
            </w:r>
            <w:r w:rsidRPr="00AE3890">
              <w:rPr>
                <w:rFonts w:asciiTheme="majorHAnsi" w:eastAsia="Times New Roman" w:hAnsiTheme="majorHAnsi" w:cs="Arial"/>
                <w:sz w:val="20"/>
                <w:szCs w:val="20"/>
                <w:lang w:eastAsia="es-ES"/>
              </w:rPr>
              <w:t xml:space="preserve"> técnico</w:t>
            </w:r>
            <w:r w:rsidR="009D7415">
              <w:rPr>
                <w:rFonts w:asciiTheme="majorHAnsi" w:eastAsia="Times New Roman" w:hAnsiTheme="majorHAnsi" w:cs="Arial"/>
                <w:sz w:val="20"/>
                <w:szCs w:val="20"/>
                <w:lang w:eastAsia="es-ES"/>
              </w:rPr>
              <w:t>s</w:t>
            </w:r>
            <w:r w:rsidRPr="00AE3890">
              <w:rPr>
                <w:rFonts w:asciiTheme="majorHAnsi" w:eastAsia="Times New Roman" w:hAnsiTheme="majorHAnsi" w:cs="Arial"/>
                <w:sz w:val="20"/>
                <w:szCs w:val="20"/>
                <w:lang w:eastAsia="es-ES"/>
              </w:rPr>
              <w:t xml:space="preserve"> al respecto </w:t>
            </w:r>
            <w:r>
              <w:rPr>
                <w:rFonts w:asciiTheme="majorHAnsi" w:eastAsia="Times New Roman" w:hAnsiTheme="majorHAnsi" w:cs="Arial"/>
                <w:sz w:val="20"/>
                <w:szCs w:val="20"/>
                <w:lang w:eastAsia="es-ES"/>
              </w:rPr>
              <w:t xml:space="preserve">de </w:t>
            </w:r>
            <w:r w:rsidRPr="00AE3890">
              <w:rPr>
                <w:rFonts w:asciiTheme="majorHAnsi" w:eastAsia="Times New Roman" w:hAnsiTheme="majorHAnsi" w:cs="Arial"/>
                <w:sz w:val="20"/>
                <w:szCs w:val="20"/>
                <w:lang w:eastAsia="es-ES"/>
              </w:rPr>
              <w:t xml:space="preserve">las Emisiones </w:t>
            </w:r>
            <w:r>
              <w:rPr>
                <w:rFonts w:asciiTheme="majorHAnsi" w:eastAsia="Times New Roman" w:hAnsiTheme="majorHAnsi" w:cs="Arial"/>
                <w:sz w:val="20"/>
                <w:szCs w:val="20"/>
                <w:lang w:eastAsia="es-ES"/>
              </w:rPr>
              <w:t>no esenciales</w:t>
            </w:r>
            <w:r w:rsidR="00010DDD">
              <w:rPr>
                <w:rFonts w:asciiTheme="majorHAnsi" w:eastAsia="Times New Roman" w:hAnsiTheme="majorHAnsi" w:cs="Arial"/>
                <w:sz w:val="20"/>
                <w:szCs w:val="20"/>
                <w:lang w:eastAsia="es-ES"/>
              </w:rPr>
              <w:t xml:space="preserve"> </w:t>
            </w:r>
            <w:r w:rsidR="00010DDD" w:rsidRPr="00010DDD">
              <w:rPr>
                <w:rFonts w:asciiTheme="majorHAnsi" w:eastAsia="Times New Roman" w:hAnsiTheme="majorHAnsi" w:cs="Arial"/>
                <w:sz w:val="20"/>
                <w:szCs w:val="20"/>
                <w:lang w:eastAsia="es-ES"/>
              </w:rPr>
              <w:t>en las bandas de frecuencia de operación de 800 MHz, 850 MHz, 1900 MHz y/o 1700 MHz/2100 MHz</w:t>
            </w:r>
            <w:r w:rsidRPr="00AE3890">
              <w:rPr>
                <w:rFonts w:asciiTheme="majorHAnsi" w:eastAsia="Times New Roman" w:hAnsiTheme="majorHAnsi" w:cs="Arial"/>
                <w:sz w:val="20"/>
                <w:szCs w:val="20"/>
                <w:lang w:eastAsia="es-ES"/>
              </w:rPr>
              <w:t>.</w:t>
            </w:r>
          </w:p>
          <w:p w:rsidR="006955E6" w:rsidRPr="00AE3890" w:rsidRDefault="006955E6" w:rsidP="006955E6">
            <w:pPr>
              <w:ind w:left="708"/>
              <w:jc w:val="both"/>
              <w:rPr>
                <w:sz w:val="20"/>
              </w:rPr>
            </w:pPr>
            <w:r w:rsidRPr="00AE3890">
              <w:rPr>
                <w:b/>
                <w:sz w:val="20"/>
              </w:rPr>
              <w:t>Artículos aplicables:</w:t>
            </w:r>
            <w:r w:rsidRPr="00AE3890">
              <w:rPr>
                <w:sz w:val="20"/>
              </w:rPr>
              <w:t xml:space="preserve"> </w:t>
            </w:r>
            <w:r w:rsidRPr="00AE3890">
              <w:rPr>
                <w:rFonts w:asciiTheme="majorHAnsi" w:eastAsia="Times New Roman" w:hAnsiTheme="majorHAnsi" w:cs="Arial"/>
                <w:sz w:val="20"/>
                <w:szCs w:val="20"/>
                <w:lang w:eastAsia="es-ES"/>
              </w:rPr>
              <w:t xml:space="preserve">Numeral </w:t>
            </w:r>
            <w:r w:rsidRPr="00AE3890">
              <w:rPr>
                <w:rFonts w:asciiTheme="majorHAnsi" w:eastAsia="Times New Roman" w:hAnsiTheme="majorHAnsi" w:cs="Arial"/>
                <w:b/>
                <w:sz w:val="20"/>
                <w:szCs w:val="20"/>
                <w:lang w:eastAsia="es-ES"/>
              </w:rPr>
              <w:t>4.4.</w:t>
            </w:r>
            <w:r>
              <w:rPr>
                <w:rFonts w:asciiTheme="majorHAnsi" w:eastAsia="Times New Roman" w:hAnsiTheme="majorHAnsi" w:cs="Arial"/>
                <w:b/>
                <w:sz w:val="20"/>
                <w:szCs w:val="20"/>
                <w:lang w:eastAsia="es-ES"/>
              </w:rPr>
              <w:t>2.1. E</w:t>
            </w:r>
            <w:r w:rsidRPr="00B551B0">
              <w:rPr>
                <w:rFonts w:asciiTheme="majorHAnsi" w:eastAsia="Times New Roman" w:hAnsiTheme="majorHAnsi" w:cs="Arial"/>
                <w:b/>
                <w:sz w:val="20"/>
                <w:szCs w:val="20"/>
                <w:lang w:eastAsia="es-ES"/>
              </w:rPr>
              <w:t xml:space="preserve">misiones </w:t>
            </w:r>
            <w:r>
              <w:rPr>
                <w:rFonts w:asciiTheme="majorHAnsi" w:eastAsia="Times New Roman" w:hAnsiTheme="majorHAnsi" w:cs="Arial"/>
                <w:b/>
                <w:sz w:val="20"/>
                <w:szCs w:val="20"/>
                <w:lang w:eastAsia="es-ES"/>
              </w:rPr>
              <w:t xml:space="preserve">no esenciales </w:t>
            </w:r>
            <w:r w:rsidRPr="00B06E80">
              <w:rPr>
                <w:rFonts w:asciiTheme="majorHAnsi" w:eastAsia="Times New Roman" w:hAnsiTheme="majorHAnsi" w:cs="Arial"/>
                <w:b/>
                <w:sz w:val="20"/>
                <w:szCs w:val="20"/>
                <w:lang w:eastAsia="es-ES"/>
              </w:rPr>
              <w:t>en las bandas de frecuencia de operación de 800 MHz, 850 MHz, 1900 MHz y/o 1700 MHz/2100 MHz</w:t>
            </w:r>
            <w:r w:rsidRPr="00B551B0">
              <w:rPr>
                <w:rFonts w:asciiTheme="majorHAnsi" w:eastAsia="Times New Roman" w:hAnsiTheme="majorHAnsi" w:cs="Arial"/>
                <w:b/>
                <w:sz w:val="20"/>
                <w:szCs w:val="20"/>
                <w:lang w:eastAsia="es-ES"/>
              </w:rPr>
              <w:t>.</w:t>
            </w:r>
          </w:p>
          <w:p w:rsidR="006955E6" w:rsidRDefault="006955E6" w:rsidP="006955E6">
            <w:pPr>
              <w:pStyle w:val="Prrafodelista"/>
              <w:jc w:val="both"/>
              <w:rPr>
                <w:rFonts w:asciiTheme="majorHAnsi" w:hAnsiTheme="majorHAnsi"/>
                <w:sz w:val="20"/>
              </w:rPr>
            </w:pPr>
            <w:r w:rsidRPr="00AE3890">
              <w:rPr>
                <w:b/>
                <w:sz w:val="20"/>
              </w:rPr>
              <w:t>Justificación:</w:t>
            </w:r>
            <w:r w:rsidRPr="00AE3890">
              <w:rPr>
                <w:sz w:val="20"/>
              </w:rPr>
              <w:t xml:space="preserve"> </w:t>
            </w:r>
            <w:r w:rsidRPr="00AE3890">
              <w:rPr>
                <w:rFonts w:asciiTheme="majorHAnsi" w:hAnsiTheme="majorHAnsi"/>
                <w:sz w:val="20"/>
              </w:rPr>
              <w:t xml:space="preserve">Se debe establecer que </w:t>
            </w:r>
            <w:r>
              <w:rPr>
                <w:rFonts w:asciiTheme="majorHAnsi" w:hAnsiTheme="majorHAnsi"/>
                <w:sz w:val="20"/>
              </w:rPr>
              <w:t>l</w:t>
            </w:r>
            <w:r w:rsidRPr="0031211C">
              <w:rPr>
                <w:rFonts w:asciiTheme="majorHAnsi" w:hAnsiTheme="majorHAnsi"/>
                <w:sz w:val="20"/>
              </w:rPr>
              <w:t xml:space="preserve">os niveles máximos de potencia de las emisiones </w:t>
            </w:r>
            <w:r>
              <w:rPr>
                <w:rFonts w:asciiTheme="majorHAnsi" w:hAnsiTheme="majorHAnsi"/>
                <w:sz w:val="20"/>
              </w:rPr>
              <w:t xml:space="preserve">no esenciales </w:t>
            </w:r>
            <w:r w:rsidRPr="0031211C">
              <w:rPr>
                <w:rFonts w:asciiTheme="majorHAnsi" w:hAnsiTheme="majorHAnsi"/>
                <w:sz w:val="20"/>
              </w:rPr>
              <w:t>para las bandas de frecuencias de operación en 800 MHz, 850 MHz, 1900 MHz y/o</w:t>
            </w:r>
            <w:r>
              <w:rPr>
                <w:rFonts w:asciiTheme="majorHAnsi" w:hAnsiTheme="majorHAnsi"/>
                <w:sz w:val="20"/>
              </w:rPr>
              <w:t xml:space="preserve"> </w:t>
            </w:r>
            <w:r w:rsidRPr="0031211C">
              <w:rPr>
                <w:rFonts w:asciiTheme="majorHAnsi" w:hAnsiTheme="majorHAnsi"/>
                <w:sz w:val="20"/>
              </w:rPr>
              <w:t xml:space="preserve">1700 MHz/2100 MHz establecidas en </w:t>
            </w:r>
            <w:r>
              <w:rPr>
                <w:rFonts w:asciiTheme="majorHAnsi" w:hAnsiTheme="majorHAnsi"/>
                <w:sz w:val="20"/>
              </w:rPr>
              <w:t>e</w:t>
            </w:r>
            <w:r w:rsidRPr="0031211C">
              <w:rPr>
                <w:rFonts w:asciiTheme="majorHAnsi" w:hAnsiTheme="majorHAnsi"/>
                <w:sz w:val="20"/>
              </w:rPr>
              <w:t>l</w:t>
            </w:r>
            <w:r>
              <w:rPr>
                <w:rFonts w:asciiTheme="majorHAnsi" w:hAnsiTheme="majorHAnsi"/>
                <w:sz w:val="20"/>
              </w:rPr>
              <w:t xml:space="preserve"> presente </w:t>
            </w:r>
            <w:r w:rsidRPr="0031211C">
              <w:rPr>
                <w:rFonts w:asciiTheme="majorHAnsi" w:hAnsiTheme="majorHAnsi"/>
                <w:sz w:val="20"/>
              </w:rPr>
              <w:t xml:space="preserve">numeral </w:t>
            </w:r>
            <w:r>
              <w:rPr>
                <w:rFonts w:asciiTheme="majorHAnsi" w:hAnsiTheme="majorHAnsi"/>
                <w:sz w:val="20"/>
              </w:rPr>
              <w:t>cumplan con dichos límites.</w:t>
            </w:r>
          </w:p>
          <w:p w:rsidR="006955E6" w:rsidRDefault="006955E6" w:rsidP="00403BE0">
            <w:pPr>
              <w:pStyle w:val="Prrafodelista"/>
              <w:jc w:val="both"/>
              <w:rPr>
                <w:rFonts w:asciiTheme="majorHAnsi" w:hAnsiTheme="majorHAnsi"/>
                <w:sz w:val="20"/>
              </w:rPr>
            </w:pPr>
          </w:p>
          <w:p w:rsidR="00403BE0" w:rsidRPr="00AE3890" w:rsidRDefault="00403BE0" w:rsidP="00403BE0">
            <w:pPr>
              <w:pStyle w:val="Prrafodelista"/>
              <w:numPr>
                <w:ilvl w:val="0"/>
                <w:numId w:val="2"/>
              </w:numPr>
              <w:jc w:val="both"/>
              <w:rPr>
                <w:rFonts w:asciiTheme="majorHAnsi" w:eastAsia="Times New Roman" w:hAnsiTheme="majorHAnsi" w:cs="Arial"/>
                <w:sz w:val="20"/>
                <w:szCs w:val="20"/>
                <w:lang w:eastAsia="es-ES"/>
              </w:rPr>
            </w:pPr>
            <w:r w:rsidRPr="00AE3890">
              <w:rPr>
                <w:b/>
                <w:sz w:val="20"/>
              </w:rPr>
              <w:t>Tipo:</w:t>
            </w:r>
            <w:r w:rsidRPr="00AE3890">
              <w:rPr>
                <w:sz w:val="20"/>
              </w:rPr>
              <w:t xml:space="preserve"> </w:t>
            </w:r>
            <w:r w:rsidRPr="00AE3890">
              <w:rPr>
                <w:rFonts w:asciiTheme="majorHAnsi" w:eastAsia="Times New Roman" w:hAnsiTheme="majorHAnsi" w:cs="Arial"/>
                <w:sz w:val="20"/>
                <w:szCs w:val="20"/>
                <w:lang w:eastAsia="es-ES"/>
              </w:rPr>
              <w:t>Establecimiento de</w:t>
            </w:r>
            <w:r w:rsidR="009D7415">
              <w:rPr>
                <w:rFonts w:asciiTheme="majorHAnsi" w:eastAsia="Times New Roman" w:hAnsiTheme="majorHAnsi" w:cs="Arial"/>
                <w:sz w:val="20"/>
                <w:szCs w:val="20"/>
                <w:lang w:eastAsia="es-ES"/>
              </w:rPr>
              <w:t xml:space="preserve"> </w:t>
            </w:r>
            <w:r w:rsidRPr="00AE3890">
              <w:rPr>
                <w:rFonts w:asciiTheme="majorHAnsi" w:eastAsia="Times New Roman" w:hAnsiTheme="majorHAnsi" w:cs="Arial"/>
                <w:sz w:val="20"/>
                <w:szCs w:val="20"/>
                <w:lang w:eastAsia="es-ES"/>
              </w:rPr>
              <w:t>l</w:t>
            </w:r>
            <w:r w:rsidR="009D7415">
              <w:rPr>
                <w:rFonts w:asciiTheme="majorHAnsi" w:eastAsia="Times New Roman" w:hAnsiTheme="majorHAnsi" w:cs="Arial"/>
                <w:sz w:val="20"/>
                <w:szCs w:val="20"/>
                <w:lang w:eastAsia="es-ES"/>
              </w:rPr>
              <w:t>os</w:t>
            </w:r>
            <w:r w:rsidRPr="00AE3890">
              <w:rPr>
                <w:rFonts w:asciiTheme="majorHAnsi" w:eastAsia="Times New Roman" w:hAnsiTheme="majorHAnsi" w:cs="Arial"/>
                <w:sz w:val="20"/>
                <w:szCs w:val="20"/>
                <w:lang w:eastAsia="es-ES"/>
              </w:rPr>
              <w:t xml:space="preserve"> </w:t>
            </w:r>
            <w:r w:rsidR="009D7415">
              <w:rPr>
                <w:rFonts w:asciiTheme="majorHAnsi" w:eastAsia="Times New Roman" w:hAnsiTheme="majorHAnsi" w:cs="Arial"/>
                <w:sz w:val="20"/>
                <w:szCs w:val="20"/>
                <w:lang w:eastAsia="es-ES"/>
              </w:rPr>
              <w:t>parámetros</w:t>
            </w:r>
            <w:r w:rsidRPr="00AE3890">
              <w:rPr>
                <w:rFonts w:asciiTheme="majorHAnsi" w:eastAsia="Times New Roman" w:hAnsiTheme="majorHAnsi" w:cs="Arial"/>
                <w:sz w:val="20"/>
                <w:szCs w:val="20"/>
                <w:lang w:eastAsia="es-ES"/>
              </w:rPr>
              <w:t xml:space="preserve"> técnico</w:t>
            </w:r>
            <w:r w:rsidR="009D7415">
              <w:rPr>
                <w:rFonts w:asciiTheme="majorHAnsi" w:eastAsia="Times New Roman" w:hAnsiTheme="majorHAnsi" w:cs="Arial"/>
                <w:sz w:val="20"/>
                <w:szCs w:val="20"/>
                <w:lang w:eastAsia="es-ES"/>
              </w:rPr>
              <w:t>s</w:t>
            </w:r>
            <w:r w:rsidRPr="00AE3890">
              <w:rPr>
                <w:rFonts w:asciiTheme="majorHAnsi" w:eastAsia="Times New Roman" w:hAnsiTheme="majorHAnsi" w:cs="Arial"/>
                <w:sz w:val="20"/>
                <w:szCs w:val="20"/>
                <w:lang w:eastAsia="es-ES"/>
              </w:rPr>
              <w:t xml:space="preserve"> al respecto </w:t>
            </w:r>
            <w:r>
              <w:rPr>
                <w:rFonts w:asciiTheme="majorHAnsi" w:eastAsia="Times New Roman" w:hAnsiTheme="majorHAnsi" w:cs="Arial"/>
                <w:sz w:val="20"/>
                <w:szCs w:val="20"/>
                <w:lang w:eastAsia="es-ES"/>
              </w:rPr>
              <w:t>de e</w:t>
            </w:r>
            <w:r w:rsidRPr="00403BE0">
              <w:rPr>
                <w:rFonts w:asciiTheme="majorHAnsi" w:eastAsia="Times New Roman" w:hAnsiTheme="majorHAnsi" w:cs="Arial"/>
                <w:sz w:val="20"/>
                <w:szCs w:val="20"/>
                <w:lang w:eastAsia="es-ES"/>
              </w:rPr>
              <w:t xml:space="preserve">misiones no esenciales </w:t>
            </w:r>
            <w:r>
              <w:rPr>
                <w:rFonts w:asciiTheme="majorHAnsi" w:eastAsia="Times New Roman" w:hAnsiTheme="majorHAnsi" w:cs="Arial"/>
                <w:sz w:val="20"/>
                <w:szCs w:val="20"/>
                <w:lang w:eastAsia="es-ES"/>
              </w:rPr>
              <w:t xml:space="preserve">en </w:t>
            </w:r>
            <w:r w:rsidRPr="00403BE0">
              <w:rPr>
                <w:rFonts w:asciiTheme="majorHAnsi" w:eastAsia="Times New Roman" w:hAnsiTheme="majorHAnsi" w:cs="Arial"/>
                <w:sz w:val="20"/>
                <w:szCs w:val="20"/>
                <w:lang w:eastAsia="es-ES"/>
              </w:rPr>
              <w:t xml:space="preserve">las bandas </w:t>
            </w:r>
            <w:r>
              <w:rPr>
                <w:rFonts w:asciiTheme="majorHAnsi" w:eastAsia="Times New Roman" w:hAnsiTheme="majorHAnsi" w:cs="Arial"/>
                <w:sz w:val="20"/>
                <w:szCs w:val="20"/>
                <w:lang w:eastAsia="es-ES"/>
              </w:rPr>
              <w:t xml:space="preserve">de frecuencia de operación de </w:t>
            </w:r>
            <w:r w:rsidRPr="00403BE0">
              <w:rPr>
                <w:rFonts w:asciiTheme="majorHAnsi" w:eastAsia="Times New Roman" w:hAnsiTheme="majorHAnsi" w:cs="Arial"/>
                <w:sz w:val="20"/>
                <w:szCs w:val="20"/>
                <w:lang w:eastAsia="es-ES"/>
              </w:rPr>
              <w:t>800 MHz, 850 MHz, 1900 MHz y/o 1700 MHz / 2100 MHz</w:t>
            </w:r>
          </w:p>
          <w:p w:rsidR="00403BE0" w:rsidRPr="00AE3890" w:rsidRDefault="00403BE0" w:rsidP="00403BE0">
            <w:pPr>
              <w:ind w:left="708"/>
              <w:jc w:val="both"/>
              <w:rPr>
                <w:sz w:val="20"/>
              </w:rPr>
            </w:pPr>
            <w:r w:rsidRPr="00AE3890">
              <w:rPr>
                <w:b/>
                <w:sz w:val="20"/>
              </w:rPr>
              <w:t>Artículos aplicables:</w:t>
            </w:r>
            <w:r w:rsidRPr="00AE3890">
              <w:rPr>
                <w:sz w:val="20"/>
              </w:rPr>
              <w:t xml:space="preserve"> </w:t>
            </w:r>
            <w:r w:rsidRPr="00AE3890">
              <w:rPr>
                <w:rFonts w:asciiTheme="majorHAnsi" w:eastAsia="Times New Roman" w:hAnsiTheme="majorHAnsi" w:cs="Arial"/>
                <w:sz w:val="20"/>
                <w:szCs w:val="20"/>
                <w:lang w:eastAsia="es-ES"/>
              </w:rPr>
              <w:t xml:space="preserve">Numeral </w:t>
            </w:r>
            <w:r w:rsidRPr="00AE3890">
              <w:rPr>
                <w:rFonts w:asciiTheme="majorHAnsi" w:eastAsia="Times New Roman" w:hAnsiTheme="majorHAnsi" w:cs="Arial"/>
                <w:b/>
                <w:sz w:val="20"/>
                <w:szCs w:val="20"/>
                <w:lang w:eastAsia="es-ES"/>
              </w:rPr>
              <w:t>4.4.</w:t>
            </w:r>
            <w:r>
              <w:rPr>
                <w:rFonts w:asciiTheme="majorHAnsi" w:eastAsia="Times New Roman" w:hAnsiTheme="majorHAnsi" w:cs="Arial"/>
                <w:b/>
                <w:sz w:val="20"/>
                <w:szCs w:val="20"/>
                <w:lang w:eastAsia="es-ES"/>
              </w:rPr>
              <w:t>2.</w:t>
            </w:r>
            <w:r w:rsidR="00010DDD">
              <w:rPr>
                <w:rFonts w:asciiTheme="majorHAnsi" w:eastAsia="Times New Roman" w:hAnsiTheme="majorHAnsi" w:cs="Arial"/>
                <w:b/>
                <w:sz w:val="20"/>
                <w:szCs w:val="20"/>
                <w:lang w:eastAsia="es-ES"/>
              </w:rPr>
              <w:t>2</w:t>
            </w:r>
            <w:r w:rsidR="00D84928" w:rsidRPr="00D84928">
              <w:rPr>
                <w:rFonts w:asciiTheme="majorHAnsi" w:eastAsia="Times New Roman" w:hAnsiTheme="majorHAnsi" w:cs="Arial"/>
                <w:b/>
                <w:sz w:val="20"/>
                <w:szCs w:val="20"/>
                <w:lang w:eastAsia="es-ES"/>
              </w:rPr>
              <w:t>.</w:t>
            </w:r>
            <w:r w:rsidR="00D84928">
              <w:rPr>
                <w:rFonts w:asciiTheme="majorHAnsi" w:eastAsia="Times New Roman" w:hAnsiTheme="majorHAnsi" w:cs="Arial"/>
                <w:b/>
                <w:sz w:val="20"/>
                <w:szCs w:val="20"/>
                <w:lang w:eastAsia="es-ES"/>
              </w:rPr>
              <w:t xml:space="preserve"> E</w:t>
            </w:r>
            <w:r w:rsidR="00D84928" w:rsidRPr="00D84928">
              <w:rPr>
                <w:rFonts w:asciiTheme="majorHAnsi" w:eastAsia="Times New Roman" w:hAnsiTheme="majorHAnsi" w:cs="Arial"/>
                <w:b/>
                <w:sz w:val="20"/>
                <w:szCs w:val="20"/>
                <w:lang w:eastAsia="es-ES"/>
              </w:rPr>
              <w:t xml:space="preserve">misiones no esenciales en las bandas de frecuencia de operación de </w:t>
            </w:r>
            <w:r w:rsidR="00010DDD">
              <w:rPr>
                <w:rFonts w:asciiTheme="majorHAnsi" w:eastAsia="Times New Roman" w:hAnsiTheme="majorHAnsi" w:cs="Arial"/>
                <w:b/>
                <w:sz w:val="20"/>
                <w:szCs w:val="20"/>
                <w:lang w:eastAsia="es-ES"/>
              </w:rPr>
              <w:t>7</w:t>
            </w:r>
            <w:r w:rsidR="00D84928" w:rsidRPr="00D84928">
              <w:rPr>
                <w:rFonts w:asciiTheme="majorHAnsi" w:eastAsia="Times New Roman" w:hAnsiTheme="majorHAnsi" w:cs="Arial"/>
                <w:b/>
                <w:sz w:val="20"/>
                <w:szCs w:val="20"/>
                <w:lang w:eastAsia="es-ES"/>
              </w:rPr>
              <w:t>00 MHz y/o 2</w:t>
            </w:r>
            <w:r w:rsidR="00010DDD">
              <w:rPr>
                <w:rFonts w:asciiTheme="majorHAnsi" w:eastAsia="Times New Roman" w:hAnsiTheme="majorHAnsi" w:cs="Arial"/>
                <w:b/>
                <w:sz w:val="20"/>
                <w:szCs w:val="20"/>
                <w:lang w:eastAsia="es-ES"/>
              </w:rPr>
              <w:t>5</w:t>
            </w:r>
            <w:r w:rsidR="00D84928" w:rsidRPr="00D84928">
              <w:rPr>
                <w:rFonts w:asciiTheme="majorHAnsi" w:eastAsia="Times New Roman" w:hAnsiTheme="majorHAnsi" w:cs="Arial"/>
                <w:b/>
                <w:sz w:val="20"/>
                <w:szCs w:val="20"/>
                <w:lang w:eastAsia="es-ES"/>
              </w:rPr>
              <w:t>00 MHz</w:t>
            </w:r>
            <w:r w:rsidR="00D84928">
              <w:rPr>
                <w:rFonts w:asciiTheme="majorHAnsi" w:eastAsia="Times New Roman" w:hAnsiTheme="majorHAnsi" w:cs="Arial"/>
                <w:b/>
                <w:sz w:val="20"/>
                <w:szCs w:val="20"/>
                <w:lang w:eastAsia="es-ES"/>
              </w:rPr>
              <w:t>.</w:t>
            </w:r>
          </w:p>
          <w:p w:rsidR="00403BE0" w:rsidRDefault="00403BE0" w:rsidP="00403BE0">
            <w:pPr>
              <w:pStyle w:val="Prrafodelista"/>
              <w:jc w:val="both"/>
              <w:rPr>
                <w:sz w:val="20"/>
              </w:rPr>
            </w:pPr>
            <w:r w:rsidRPr="00AE3890">
              <w:rPr>
                <w:b/>
                <w:sz w:val="20"/>
              </w:rPr>
              <w:t>Justificación:</w:t>
            </w:r>
            <w:r w:rsidRPr="00AE3890">
              <w:rPr>
                <w:sz w:val="20"/>
              </w:rPr>
              <w:t xml:space="preserve"> </w:t>
            </w:r>
            <w:r>
              <w:rPr>
                <w:sz w:val="20"/>
              </w:rPr>
              <w:t>Se debe establecer que l</w:t>
            </w:r>
            <w:r w:rsidRPr="005243C2">
              <w:rPr>
                <w:sz w:val="20"/>
              </w:rPr>
              <w:t xml:space="preserve">os niveles máximos de potencia de las emisiones </w:t>
            </w:r>
            <w:r w:rsidR="00D84928">
              <w:rPr>
                <w:sz w:val="20"/>
              </w:rPr>
              <w:t xml:space="preserve">no esenciales en </w:t>
            </w:r>
            <w:r w:rsidRPr="005243C2">
              <w:rPr>
                <w:sz w:val="20"/>
              </w:rPr>
              <w:t xml:space="preserve">las bandas de frecuencias de operación en </w:t>
            </w:r>
            <w:r w:rsidR="00EF377D">
              <w:rPr>
                <w:sz w:val="20"/>
              </w:rPr>
              <w:t>7</w:t>
            </w:r>
            <w:r w:rsidRPr="005243C2">
              <w:rPr>
                <w:sz w:val="20"/>
              </w:rPr>
              <w:t>00 MHz y/o 2</w:t>
            </w:r>
            <w:r w:rsidR="00EF377D">
              <w:rPr>
                <w:sz w:val="20"/>
              </w:rPr>
              <w:t>5</w:t>
            </w:r>
            <w:r w:rsidRPr="005243C2">
              <w:rPr>
                <w:sz w:val="20"/>
              </w:rPr>
              <w:t xml:space="preserve">00 MHz </w:t>
            </w:r>
            <w:r>
              <w:rPr>
                <w:sz w:val="20"/>
              </w:rPr>
              <w:t xml:space="preserve">definidas </w:t>
            </w:r>
            <w:r w:rsidRPr="005243C2">
              <w:rPr>
                <w:sz w:val="20"/>
              </w:rPr>
              <w:t xml:space="preserve">en </w:t>
            </w:r>
            <w:r>
              <w:rPr>
                <w:sz w:val="20"/>
              </w:rPr>
              <w:t>e</w:t>
            </w:r>
            <w:r w:rsidRPr="005243C2">
              <w:rPr>
                <w:sz w:val="20"/>
              </w:rPr>
              <w:t>l</w:t>
            </w:r>
            <w:r>
              <w:rPr>
                <w:sz w:val="20"/>
              </w:rPr>
              <w:t xml:space="preserve"> presente numeral cumplan con dichos límites.</w:t>
            </w:r>
          </w:p>
          <w:p w:rsidR="00D374E3" w:rsidRDefault="00D374E3" w:rsidP="00403BE0">
            <w:pPr>
              <w:pStyle w:val="Prrafodelista"/>
              <w:jc w:val="both"/>
              <w:rPr>
                <w:sz w:val="20"/>
              </w:rPr>
            </w:pPr>
          </w:p>
          <w:p w:rsidR="006C740E" w:rsidRPr="006C740E" w:rsidRDefault="006C740E" w:rsidP="00A95B55">
            <w:pPr>
              <w:pStyle w:val="Prrafodelista"/>
              <w:numPr>
                <w:ilvl w:val="0"/>
                <w:numId w:val="2"/>
              </w:numPr>
              <w:ind w:left="708"/>
              <w:jc w:val="both"/>
              <w:rPr>
                <w:sz w:val="20"/>
              </w:rPr>
            </w:pPr>
            <w:r w:rsidRPr="006C740E">
              <w:rPr>
                <w:b/>
                <w:sz w:val="20"/>
              </w:rPr>
              <w:t>Tipo:</w:t>
            </w:r>
            <w:r w:rsidRPr="006C740E">
              <w:rPr>
                <w:sz w:val="20"/>
              </w:rPr>
              <w:t xml:space="preserve"> </w:t>
            </w:r>
            <w:r w:rsidRPr="006C740E">
              <w:rPr>
                <w:rFonts w:asciiTheme="majorHAnsi" w:eastAsia="Times New Roman" w:hAnsiTheme="majorHAnsi" w:cs="Arial"/>
                <w:sz w:val="20"/>
                <w:szCs w:val="20"/>
                <w:lang w:eastAsia="es-ES"/>
              </w:rPr>
              <w:t xml:space="preserve">Establecimiento del </w:t>
            </w:r>
            <w:r w:rsidR="009D7415">
              <w:rPr>
                <w:rFonts w:asciiTheme="majorHAnsi" w:eastAsia="Times New Roman" w:hAnsiTheme="majorHAnsi" w:cs="Arial"/>
                <w:sz w:val="20"/>
                <w:szCs w:val="20"/>
                <w:lang w:eastAsia="es-ES"/>
              </w:rPr>
              <w:t>parámetro</w:t>
            </w:r>
            <w:r w:rsidRPr="006C740E">
              <w:rPr>
                <w:rFonts w:asciiTheme="majorHAnsi" w:eastAsia="Times New Roman" w:hAnsiTheme="majorHAnsi" w:cs="Arial"/>
                <w:sz w:val="20"/>
                <w:szCs w:val="20"/>
                <w:lang w:eastAsia="es-ES"/>
              </w:rPr>
              <w:t xml:space="preserve"> técnico respecto del Ancho de Banda ocupado</w:t>
            </w:r>
            <w:r>
              <w:rPr>
                <w:rFonts w:asciiTheme="majorHAnsi" w:eastAsia="Times New Roman" w:hAnsiTheme="majorHAnsi" w:cs="Arial"/>
                <w:sz w:val="20"/>
                <w:szCs w:val="20"/>
                <w:lang w:eastAsia="es-ES"/>
              </w:rPr>
              <w:t>.</w:t>
            </w:r>
          </w:p>
          <w:p w:rsidR="006C740E" w:rsidRPr="006C740E" w:rsidRDefault="006C740E" w:rsidP="006C740E">
            <w:pPr>
              <w:pStyle w:val="Prrafodelista"/>
              <w:ind w:left="708"/>
              <w:jc w:val="both"/>
              <w:rPr>
                <w:sz w:val="20"/>
              </w:rPr>
            </w:pPr>
            <w:r w:rsidRPr="006C740E">
              <w:rPr>
                <w:b/>
                <w:sz w:val="20"/>
              </w:rPr>
              <w:t>Artículos aplicables:</w:t>
            </w:r>
            <w:r w:rsidRPr="006C740E">
              <w:rPr>
                <w:sz w:val="20"/>
              </w:rPr>
              <w:t xml:space="preserve"> </w:t>
            </w:r>
            <w:r w:rsidRPr="006C740E">
              <w:rPr>
                <w:rFonts w:asciiTheme="majorHAnsi" w:eastAsia="Times New Roman" w:hAnsiTheme="majorHAnsi" w:cs="Arial"/>
                <w:sz w:val="20"/>
                <w:szCs w:val="20"/>
                <w:lang w:eastAsia="es-ES"/>
              </w:rPr>
              <w:t xml:space="preserve">Numeral </w:t>
            </w:r>
            <w:r w:rsidRPr="006C740E">
              <w:rPr>
                <w:rFonts w:asciiTheme="majorHAnsi" w:eastAsia="Times New Roman" w:hAnsiTheme="majorHAnsi" w:cs="Arial"/>
                <w:b/>
                <w:sz w:val="20"/>
                <w:szCs w:val="20"/>
                <w:lang w:eastAsia="es-ES"/>
              </w:rPr>
              <w:t>4.</w:t>
            </w:r>
            <w:r>
              <w:rPr>
                <w:rFonts w:asciiTheme="majorHAnsi" w:eastAsia="Times New Roman" w:hAnsiTheme="majorHAnsi" w:cs="Arial"/>
                <w:b/>
                <w:sz w:val="20"/>
                <w:szCs w:val="20"/>
                <w:lang w:eastAsia="es-ES"/>
              </w:rPr>
              <w:t>5</w:t>
            </w:r>
            <w:r w:rsidRPr="006C740E">
              <w:rPr>
                <w:rFonts w:asciiTheme="majorHAnsi" w:eastAsia="Times New Roman" w:hAnsiTheme="majorHAnsi" w:cs="Arial"/>
                <w:b/>
                <w:sz w:val="20"/>
                <w:szCs w:val="20"/>
                <w:lang w:eastAsia="es-ES"/>
              </w:rPr>
              <w:t>.</w:t>
            </w:r>
            <w:r w:rsidRPr="006C740E">
              <w:rPr>
                <w:rFonts w:asciiTheme="majorHAnsi" w:eastAsia="Times New Roman" w:hAnsiTheme="majorHAnsi" w:cs="Arial"/>
                <w:sz w:val="20"/>
                <w:szCs w:val="20"/>
                <w:lang w:eastAsia="es-ES"/>
              </w:rPr>
              <w:t xml:space="preserve"> </w:t>
            </w:r>
            <w:r w:rsidRPr="006C740E">
              <w:rPr>
                <w:rFonts w:asciiTheme="majorHAnsi" w:eastAsia="Times New Roman" w:hAnsiTheme="majorHAnsi" w:cs="Arial"/>
                <w:b/>
                <w:sz w:val="20"/>
                <w:szCs w:val="20"/>
                <w:lang w:eastAsia="es-ES"/>
              </w:rPr>
              <w:t>Ancho de Banda ocupado.</w:t>
            </w:r>
          </w:p>
          <w:p w:rsidR="006C740E" w:rsidRDefault="006C740E" w:rsidP="006C740E">
            <w:pPr>
              <w:pStyle w:val="Prrafodelista"/>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 xml:space="preserve">Se debe establecer </w:t>
            </w:r>
            <w:r>
              <w:rPr>
                <w:rFonts w:asciiTheme="majorHAnsi" w:hAnsiTheme="majorHAnsi"/>
                <w:sz w:val="20"/>
              </w:rPr>
              <w:t xml:space="preserve">el </w:t>
            </w:r>
            <w:r w:rsidRPr="006C740E">
              <w:rPr>
                <w:rFonts w:asciiTheme="majorHAnsi" w:hAnsiTheme="majorHAnsi"/>
                <w:sz w:val="20"/>
              </w:rPr>
              <w:t xml:space="preserve">ancho de banda ocupado en las bandas de frecuencias de operación en 700 MHz, 800 MHz, 850 MHz, 1900 MHz, </w:t>
            </w:r>
            <w:r w:rsidR="00502080">
              <w:rPr>
                <w:rFonts w:asciiTheme="majorHAnsi" w:hAnsiTheme="majorHAnsi"/>
                <w:sz w:val="20"/>
              </w:rPr>
              <w:t>1700 MHz/</w:t>
            </w:r>
            <w:r w:rsidRPr="006C740E">
              <w:rPr>
                <w:rFonts w:asciiTheme="majorHAnsi" w:hAnsiTheme="majorHAnsi"/>
                <w:sz w:val="20"/>
              </w:rPr>
              <w:t xml:space="preserve">2100 MHz y/o 2500 MHz, </w:t>
            </w:r>
            <w:r>
              <w:rPr>
                <w:rFonts w:asciiTheme="majorHAnsi" w:hAnsiTheme="majorHAnsi"/>
                <w:sz w:val="20"/>
              </w:rPr>
              <w:t xml:space="preserve">el cual </w:t>
            </w:r>
            <w:r w:rsidRPr="006C740E">
              <w:rPr>
                <w:rFonts w:asciiTheme="majorHAnsi" w:hAnsiTheme="majorHAnsi"/>
                <w:sz w:val="20"/>
              </w:rPr>
              <w:t>debe contener el 99% de la potencia total integrada del espectro transmitido</w:t>
            </w:r>
            <w:r w:rsidRPr="005D5F2E">
              <w:rPr>
                <w:rFonts w:asciiTheme="majorHAnsi" w:hAnsiTheme="majorHAnsi"/>
                <w:sz w:val="20"/>
              </w:rPr>
              <w:t xml:space="preserve">. </w:t>
            </w:r>
          </w:p>
          <w:p w:rsidR="006C740E" w:rsidRDefault="006C740E" w:rsidP="006C740E">
            <w:pPr>
              <w:pStyle w:val="Prrafodelista"/>
              <w:jc w:val="both"/>
              <w:rPr>
                <w:rFonts w:asciiTheme="majorHAnsi" w:hAnsiTheme="majorHAnsi"/>
                <w:sz w:val="20"/>
              </w:rPr>
            </w:pPr>
          </w:p>
          <w:p w:rsidR="001B3E17" w:rsidRDefault="001B3E17" w:rsidP="005733D0">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F84500" w:rsidRPr="005D5F2E">
              <w:rPr>
                <w:rFonts w:asciiTheme="majorHAnsi" w:eastAsia="Times New Roman" w:hAnsiTheme="majorHAnsi" w:cs="Arial"/>
                <w:sz w:val="20"/>
                <w:szCs w:val="20"/>
                <w:lang w:eastAsia="es-ES"/>
              </w:rPr>
              <w:t xml:space="preserve">Obligación de que el manual </w:t>
            </w:r>
            <w:r w:rsidR="009C5B6F">
              <w:rPr>
                <w:rFonts w:asciiTheme="majorHAnsi" w:eastAsia="Times New Roman" w:hAnsiTheme="majorHAnsi" w:cs="Arial"/>
                <w:sz w:val="20"/>
                <w:szCs w:val="20"/>
                <w:lang w:eastAsia="es-ES"/>
              </w:rPr>
              <w:t xml:space="preserve">del Equipo Terminal Móvil </w:t>
            </w:r>
            <w:r w:rsidR="005733D0" w:rsidRPr="005733D0">
              <w:rPr>
                <w:rFonts w:asciiTheme="majorHAnsi" w:eastAsia="Times New Roman" w:hAnsiTheme="majorHAnsi" w:cs="Arial"/>
                <w:sz w:val="20"/>
                <w:szCs w:val="20"/>
                <w:lang w:eastAsia="es-ES"/>
              </w:rPr>
              <w:t>debe estar impreso o en formato digital disponible en la página electrónica del fabricante, escrito en idioma español, y debe contener información suficiente, clara y veraz de sus características técnicas, así como los procedimientos de configuración, ajuste, operación y resolución de problemas.</w:t>
            </w:r>
          </w:p>
          <w:p w:rsidR="001B3E17" w:rsidRPr="005D5F2E" w:rsidRDefault="001B3E17" w:rsidP="001B3E17">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00F84500" w:rsidRPr="005D5F2E">
              <w:rPr>
                <w:rFonts w:asciiTheme="majorHAnsi" w:eastAsia="Times New Roman" w:hAnsiTheme="majorHAnsi" w:cs="Arial"/>
                <w:b/>
                <w:sz w:val="20"/>
                <w:szCs w:val="20"/>
                <w:lang w:eastAsia="es-ES"/>
              </w:rPr>
              <w:t>4.</w:t>
            </w:r>
            <w:r w:rsidR="00594FD9">
              <w:rPr>
                <w:rFonts w:asciiTheme="majorHAnsi" w:eastAsia="Times New Roman" w:hAnsiTheme="majorHAnsi" w:cs="Arial"/>
                <w:b/>
                <w:sz w:val="20"/>
                <w:szCs w:val="20"/>
                <w:lang w:eastAsia="es-ES"/>
              </w:rPr>
              <w:t>6</w:t>
            </w:r>
            <w:r w:rsidR="00F532F5" w:rsidRPr="005D5F2E">
              <w:rPr>
                <w:rFonts w:asciiTheme="majorHAnsi" w:eastAsia="Times New Roman" w:hAnsiTheme="majorHAnsi" w:cs="Arial"/>
                <w:b/>
                <w:sz w:val="20"/>
                <w:szCs w:val="20"/>
                <w:lang w:eastAsia="es-ES"/>
              </w:rPr>
              <w:t>.</w:t>
            </w:r>
          </w:p>
          <w:p w:rsidR="00862B0B" w:rsidRPr="005D5F2E" w:rsidRDefault="001B3E17" w:rsidP="002F3135">
            <w:pPr>
              <w:pStyle w:val="Prrafodelista"/>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 xml:space="preserve">Es necesario establecer </w:t>
            </w:r>
            <w:r w:rsidR="00F84500" w:rsidRPr="005D5F2E">
              <w:rPr>
                <w:rFonts w:asciiTheme="majorHAnsi" w:hAnsiTheme="majorHAnsi"/>
                <w:sz w:val="20"/>
              </w:rPr>
              <w:t>las condiciones en las que se requiere la información contenida en el manual de</w:t>
            </w:r>
            <w:r w:rsidR="004A09F2">
              <w:rPr>
                <w:rFonts w:asciiTheme="majorHAnsi" w:hAnsiTheme="majorHAnsi"/>
                <w:sz w:val="20"/>
              </w:rPr>
              <w:t>l Equipo Terminal Móvil</w:t>
            </w:r>
            <w:r w:rsidR="00F84500" w:rsidRPr="005D5F2E">
              <w:rPr>
                <w:rFonts w:asciiTheme="majorHAnsi" w:hAnsiTheme="majorHAnsi"/>
                <w:sz w:val="20"/>
              </w:rPr>
              <w:t xml:space="preserve">, a efecto de contar con la información </w:t>
            </w:r>
            <w:r w:rsidR="00862B0B" w:rsidRPr="005D5F2E">
              <w:rPr>
                <w:rFonts w:asciiTheme="majorHAnsi" w:hAnsiTheme="majorHAnsi"/>
                <w:sz w:val="20"/>
              </w:rPr>
              <w:t>suficiente, clara y veraz de sus especificaciones así como</w:t>
            </w:r>
            <w:r w:rsidR="00594AD3">
              <w:rPr>
                <w:rFonts w:asciiTheme="majorHAnsi" w:hAnsiTheme="majorHAnsi"/>
                <w:sz w:val="20"/>
              </w:rPr>
              <w:t xml:space="preserve"> de </w:t>
            </w:r>
            <w:r w:rsidR="00594AD3" w:rsidRPr="005D5F2E">
              <w:rPr>
                <w:rFonts w:asciiTheme="majorHAnsi" w:hAnsiTheme="majorHAnsi"/>
                <w:sz w:val="20"/>
              </w:rPr>
              <w:t>los procedimientos de configuración, ajustes, operación, y resolución de problemas</w:t>
            </w:r>
            <w:r w:rsidR="00C43191" w:rsidRPr="005D5F2E">
              <w:rPr>
                <w:rFonts w:asciiTheme="majorHAnsi" w:hAnsiTheme="majorHAnsi"/>
                <w:sz w:val="20"/>
              </w:rPr>
              <w:t>.</w:t>
            </w:r>
            <w:r w:rsidR="002F3135" w:rsidRPr="005D5F2E">
              <w:rPr>
                <w:rFonts w:asciiTheme="majorHAnsi" w:hAnsiTheme="majorHAnsi"/>
                <w:sz w:val="20"/>
              </w:rPr>
              <w:t xml:space="preserve"> </w:t>
            </w:r>
          </w:p>
          <w:p w:rsidR="00F84500" w:rsidRPr="005D5F2E" w:rsidRDefault="00F84500" w:rsidP="00A16C12">
            <w:pPr>
              <w:pStyle w:val="Prrafodelista"/>
              <w:jc w:val="both"/>
              <w:rPr>
                <w:rFonts w:asciiTheme="majorHAnsi" w:hAnsiTheme="majorHAnsi"/>
                <w:sz w:val="20"/>
              </w:rPr>
            </w:pPr>
          </w:p>
          <w:p w:rsidR="001B3E17" w:rsidRPr="005D5F2E" w:rsidRDefault="001B3E17"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3D346E" w:rsidRPr="005D5F2E">
              <w:rPr>
                <w:rFonts w:asciiTheme="majorHAnsi" w:eastAsia="Times New Roman" w:hAnsiTheme="majorHAnsi" w:cs="Arial"/>
                <w:sz w:val="20"/>
                <w:szCs w:val="20"/>
                <w:lang w:eastAsia="es-ES"/>
              </w:rPr>
              <w:t xml:space="preserve">Obligación </w:t>
            </w:r>
            <w:r w:rsidR="00F71618" w:rsidRPr="005D5F2E">
              <w:rPr>
                <w:rFonts w:asciiTheme="majorHAnsi" w:eastAsia="Times New Roman" w:hAnsiTheme="majorHAnsi" w:cs="Arial"/>
                <w:sz w:val="20"/>
                <w:szCs w:val="20"/>
                <w:lang w:eastAsia="es-ES"/>
              </w:rPr>
              <w:t>de</w:t>
            </w:r>
            <w:r w:rsidR="003D346E" w:rsidRPr="005D5F2E">
              <w:rPr>
                <w:rFonts w:asciiTheme="majorHAnsi" w:eastAsia="Times New Roman" w:hAnsiTheme="majorHAnsi" w:cs="Arial"/>
                <w:sz w:val="20"/>
                <w:szCs w:val="20"/>
                <w:lang w:eastAsia="es-ES"/>
              </w:rPr>
              <w:t xml:space="preserve"> realizar los </w:t>
            </w:r>
            <w:r w:rsidR="00F40DD7" w:rsidRPr="005D5F2E">
              <w:rPr>
                <w:rFonts w:asciiTheme="majorHAnsi" w:eastAsia="Times New Roman" w:hAnsiTheme="majorHAnsi" w:cs="Arial"/>
                <w:sz w:val="20"/>
                <w:szCs w:val="20"/>
                <w:lang w:eastAsia="es-ES"/>
              </w:rPr>
              <w:t>M</w:t>
            </w:r>
            <w:r w:rsidR="003D346E" w:rsidRPr="005D5F2E">
              <w:rPr>
                <w:rFonts w:asciiTheme="majorHAnsi" w:eastAsia="Times New Roman" w:hAnsiTheme="majorHAnsi" w:cs="Arial"/>
                <w:sz w:val="20"/>
                <w:szCs w:val="20"/>
                <w:lang w:eastAsia="es-ES"/>
              </w:rPr>
              <w:t>étodos de prueba.</w:t>
            </w:r>
          </w:p>
          <w:p w:rsidR="001B3E17" w:rsidRPr="005D5F2E" w:rsidRDefault="001B3E17" w:rsidP="001B3E17">
            <w:pPr>
              <w:ind w:left="708"/>
              <w:jc w:val="both"/>
              <w:rPr>
                <w:sz w:val="20"/>
              </w:rPr>
            </w:pPr>
            <w:r w:rsidRPr="005D5F2E">
              <w:rPr>
                <w:b/>
                <w:sz w:val="20"/>
              </w:rPr>
              <w:t xml:space="preserve">Artículos aplicables: </w:t>
            </w:r>
            <w:r w:rsidRPr="005D5F2E">
              <w:rPr>
                <w:rFonts w:asciiTheme="majorHAnsi" w:eastAsia="Times New Roman" w:hAnsiTheme="majorHAnsi" w:cs="Arial"/>
                <w:sz w:val="20"/>
                <w:szCs w:val="20"/>
                <w:lang w:eastAsia="es-ES"/>
              </w:rPr>
              <w:t xml:space="preserve">Numeral </w:t>
            </w:r>
            <w:r w:rsidR="008E73C9" w:rsidRPr="002C58F0">
              <w:rPr>
                <w:rFonts w:asciiTheme="majorHAnsi" w:eastAsia="Times New Roman" w:hAnsiTheme="majorHAnsi" w:cs="Arial"/>
                <w:b/>
                <w:sz w:val="20"/>
                <w:szCs w:val="20"/>
                <w:lang w:eastAsia="es-ES"/>
              </w:rPr>
              <w:t>5</w:t>
            </w:r>
            <w:r w:rsidR="003D346E" w:rsidRPr="002C58F0">
              <w:rPr>
                <w:rFonts w:asciiTheme="majorHAnsi" w:eastAsia="Times New Roman" w:hAnsiTheme="majorHAnsi" w:cs="Arial"/>
                <w:b/>
                <w:sz w:val="20"/>
                <w:szCs w:val="20"/>
                <w:lang w:eastAsia="es-ES"/>
              </w:rPr>
              <w:t>.</w:t>
            </w:r>
            <w:r w:rsidR="00604FA0" w:rsidRPr="002C58F0">
              <w:rPr>
                <w:rFonts w:asciiTheme="majorHAnsi" w:eastAsia="Times New Roman" w:hAnsiTheme="majorHAnsi" w:cs="Arial"/>
                <w:b/>
                <w:sz w:val="20"/>
                <w:szCs w:val="20"/>
                <w:lang w:eastAsia="es-ES"/>
              </w:rPr>
              <w:t xml:space="preserve"> Métodos de prueba</w:t>
            </w:r>
            <w:r w:rsidR="00604FA0" w:rsidRPr="005D5F2E">
              <w:rPr>
                <w:rFonts w:asciiTheme="majorHAnsi" w:eastAsia="Times New Roman" w:hAnsiTheme="majorHAnsi" w:cs="Arial"/>
                <w:sz w:val="20"/>
                <w:szCs w:val="20"/>
                <w:lang w:eastAsia="es-ES"/>
              </w:rPr>
              <w:t>.</w:t>
            </w:r>
          </w:p>
          <w:p w:rsidR="002F3135" w:rsidRDefault="001B3E17" w:rsidP="00A16C12">
            <w:pPr>
              <w:pStyle w:val="Prrafodelista"/>
              <w:jc w:val="both"/>
              <w:rPr>
                <w:rFonts w:asciiTheme="majorHAnsi" w:hAnsiTheme="majorHAnsi"/>
                <w:sz w:val="20"/>
              </w:rPr>
            </w:pPr>
            <w:r w:rsidRPr="005D5F2E">
              <w:rPr>
                <w:b/>
                <w:sz w:val="20"/>
              </w:rPr>
              <w:t xml:space="preserve">Justificación: </w:t>
            </w:r>
            <w:r w:rsidR="008E73C9" w:rsidRPr="005D5F2E">
              <w:rPr>
                <w:rFonts w:asciiTheme="majorHAnsi" w:hAnsiTheme="majorHAnsi"/>
                <w:sz w:val="20"/>
              </w:rPr>
              <w:t>Los métodos de prueba que se establecen en el presente proyecto regulatori</w:t>
            </w:r>
            <w:r w:rsidR="00B32585" w:rsidRPr="005D5F2E">
              <w:rPr>
                <w:rFonts w:asciiTheme="majorHAnsi" w:hAnsiTheme="majorHAnsi"/>
                <w:sz w:val="20"/>
              </w:rPr>
              <w:t xml:space="preserve">o, </w:t>
            </w:r>
            <w:r w:rsidR="002F3135" w:rsidRPr="005D5F2E">
              <w:rPr>
                <w:rFonts w:asciiTheme="majorHAnsi" w:hAnsiTheme="majorHAnsi"/>
                <w:sz w:val="20"/>
              </w:rPr>
              <w:t xml:space="preserve">son los que deberán emplear </w:t>
            </w:r>
            <w:r w:rsidR="001A6447" w:rsidRPr="005D5F2E">
              <w:rPr>
                <w:rFonts w:asciiTheme="majorHAnsi" w:hAnsiTheme="majorHAnsi"/>
                <w:sz w:val="20"/>
              </w:rPr>
              <w:t xml:space="preserve">los Organismos Evaluadores de la Conformidad para verificar el cumplimiento de </w:t>
            </w:r>
            <w:r w:rsidR="002F3135" w:rsidRPr="005D5F2E">
              <w:rPr>
                <w:rFonts w:asciiTheme="majorHAnsi" w:hAnsiTheme="majorHAnsi"/>
                <w:sz w:val="20"/>
              </w:rPr>
              <w:t>l</w:t>
            </w:r>
            <w:r w:rsidR="001A6447" w:rsidRPr="005D5F2E">
              <w:rPr>
                <w:rFonts w:asciiTheme="majorHAnsi" w:hAnsiTheme="majorHAnsi"/>
                <w:sz w:val="20"/>
              </w:rPr>
              <w:t>a</w:t>
            </w:r>
            <w:r w:rsidR="002F3135" w:rsidRPr="005D5F2E">
              <w:rPr>
                <w:rFonts w:asciiTheme="majorHAnsi" w:hAnsiTheme="majorHAnsi"/>
                <w:sz w:val="20"/>
              </w:rPr>
              <w:t xml:space="preserve"> </w:t>
            </w:r>
            <w:r w:rsidR="001A6447" w:rsidRPr="005D5F2E">
              <w:rPr>
                <w:rFonts w:asciiTheme="majorHAnsi" w:hAnsiTheme="majorHAnsi"/>
                <w:sz w:val="20"/>
              </w:rPr>
              <w:t xml:space="preserve">Disposición Técnica. </w:t>
            </w:r>
          </w:p>
          <w:p w:rsidR="00213B0A" w:rsidRPr="005D5F2E" w:rsidRDefault="00213B0A" w:rsidP="00A16C12">
            <w:pPr>
              <w:pStyle w:val="Prrafodelista"/>
              <w:jc w:val="both"/>
              <w:rPr>
                <w:rFonts w:asciiTheme="majorHAnsi" w:hAnsiTheme="majorHAnsi"/>
                <w:sz w:val="20"/>
              </w:rPr>
            </w:pPr>
          </w:p>
          <w:p w:rsidR="00213B0A" w:rsidRPr="005D5F2E" w:rsidRDefault="00213B0A" w:rsidP="00213B0A">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Pr="005D5F2E">
              <w:rPr>
                <w:rFonts w:asciiTheme="majorHAnsi" w:eastAsia="Times New Roman" w:hAnsiTheme="majorHAnsi" w:cs="Arial"/>
                <w:sz w:val="20"/>
                <w:szCs w:val="20"/>
                <w:lang w:eastAsia="es-ES"/>
              </w:rPr>
              <w:t xml:space="preserve">Obligación de </w:t>
            </w:r>
            <w:r>
              <w:rPr>
                <w:rFonts w:asciiTheme="majorHAnsi" w:eastAsia="Times New Roman" w:hAnsiTheme="majorHAnsi" w:cs="Arial"/>
                <w:sz w:val="20"/>
                <w:szCs w:val="20"/>
                <w:lang w:eastAsia="es-ES"/>
              </w:rPr>
              <w:t>emplear los instrumentos de medición</w:t>
            </w:r>
            <w:r w:rsidR="00513035">
              <w:rPr>
                <w:rFonts w:asciiTheme="majorHAnsi" w:eastAsia="Times New Roman" w:hAnsiTheme="majorHAnsi" w:cs="Arial"/>
                <w:sz w:val="20"/>
                <w:szCs w:val="20"/>
                <w:lang w:eastAsia="es-ES"/>
              </w:rPr>
              <w:t xml:space="preserve"> de la Tabla 9 en </w:t>
            </w:r>
            <w:r w:rsidRPr="005D5F2E">
              <w:rPr>
                <w:rFonts w:asciiTheme="majorHAnsi" w:eastAsia="Times New Roman" w:hAnsiTheme="majorHAnsi" w:cs="Arial"/>
                <w:sz w:val="20"/>
                <w:szCs w:val="20"/>
                <w:lang w:eastAsia="es-ES"/>
              </w:rPr>
              <w:t>los Métodos de prueba.</w:t>
            </w:r>
          </w:p>
          <w:p w:rsidR="00213B0A" w:rsidRPr="005D5F2E" w:rsidRDefault="00213B0A" w:rsidP="00213B0A">
            <w:pPr>
              <w:ind w:left="708"/>
              <w:jc w:val="both"/>
              <w:rPr>
                <w:sz w:val="20"/>
              </w:rPr>
            </w:pPr>
            <w:r w:rsidRPr="005D5F2E">
              <w:rPr>
                <w:b/>
                <w:sz w:val="20"/>
              </w:rPr>
              <w:t xml:space="preserve">Artículos aplicables: </w:t>
            </w:r>
            <w:r w:rsidRPr="005D5F2E">
              <w:rPr>
                <w:rFonts w:asciiTheme="majorHAnsi" w:eastAsia="Times New Roman" w:hAnsiTheme="majorHAnsi" w:cs="Arial"/>
                <w:sz w:val="20"/>
                <w:szCs w:val="20"/>
                <w:lang w:eastAsia="es-ES"/>
              </w:rPr>
              <w:t xml:space="preserve">Numeral </w:t>
            </w:r>
            <w:r w:rsidRPr="002C58F0">
              <w:rPr>
                <w:rFonts w:asciiTheme="majorHAnsi" w:eastAsia="Times New Roman" w:hAnsiTheme="majorHAnsi" w:cs="Arial"/>
                <w:b/>
                <w:sz w:val="20"/>
                <w:szCs w:val="20"/>
                <w:lang w:eastAsia="es-ES"/>
              </w:rPr>
              <w:t>5.</w:t>
            </w:r>
            <w:r w:rsidR="00513035">
              <w:rPr>
                <w:rFonts w:asciiTheme="majorHAnsi" w:eastAsia="Times New Roman" w:hAnsiTheme="majorHAnsi" w:cs="Arial"/>
                <w:b/>
                <w:sz w:val="20"/>
                <w:szCs w:val="20"/>
                <w:lang w:eastAsia="es-ES"/>
              </w:rPr>
              <w:t xml:space="preserve">1 Instrumentos de </w:t>
            </w:r>
            <w:r w:rsidRPr="002C58F0">
              <w:rPr>
                <w:rFonts w:asciiTheme="majorHAnsi" w:eastAsia="Times New Roman" w:hAnsiTheme="majorHAnsi" w:cs="Arial"/>
                <w:b/>
                <w:sz w:val="20"/>
                <w:szCs w:val="20"/>
                <w:lang w:eastAsia="es-ES"/>
              </w:rPr>
              <w:t>M</w:t>
            </w:r>
            <w:r w:rsidR="00513035">
              <w:rPr>
                <w:rFonts w:asciiTheme="majorHAnsi" w:eastAsia="Times New Roman" w:hAnsiTheme="majorHAnsi" w:cs="Arial"/>
                <w:b/>
                <w:sz w:val="20"/>
                <w:szCs w:val="20"/>
                <w:lang w:eastAsia="es-ES"/>
              </w:rPr>
              <w:t>edición</w:t>
            </w:r>
            <w:r w:rsidRPr="005D5F2E">
              <w:rPr>
                <w:rFonts w:asciiTheme="majorHAnsi" w:eastAsia="Times New Roman" w:hAnsiTheme="majorHAnsi" w:cs="Arial"/>
                <w:sz w:val="20"/>
                <w:szCs w:val="20"/>
                <w:lang w:eastAsia="es-ES"/>
              </w:rPr>
              <w:t>.</w:t>
            </w:r>
          </w:p>
          <w:p w:rsidR="00213B0A" w:rsidRDefault="00213B0A" w:rsidP="00213B0A">
            <w:pPr>
              <w:pStyle w:val="Prrafodelista"/>
              <w:jc w:val="both"/>
              <w:rPr>
                <w:rFonts w:asciiTheme="majorHAnsi" w:hAnsiTheme="majorHAnsi"/>
                <w:sz w:val="20"/>
              </w:rPr>
            </w:pPr>
            <w:r w:rsidRPr="005D5F2E">
              <w:rPr>
                <w:b/>
                <w:sz w:val="20"/>
              </w:rPr>
              <w:t xml:space="preserve">Justificación: </w:t>
            </w:r>
            <w:r w:rsidR="00C32A64" w:rsidRPr="00C32A64">
              <w:rPr>
                <w:sz w:val="20"/>
              </w:rPr>
              <w:t>Es necesario</w:t>
            </w:r>
            <w:r w:rsidR="00C32A64">
              <w:rPr>
                <w:sz w:val="20"/>
              </w:rPr>
              <w:t xml:space="preserve"> establecer lo</w:t>
            </w:r>
            <w:r w:rsidR="00C32A64" w:rsidRPr="00C32A64">
              <w:rPr>
                <w:sz w:val="20"/>
              </w:rPr>
              <w:t>s instrumentos de medición que se</w:t>
            </w:r>
            <w:r w:rsidR="00C32A64">
              <w:rPr>
                <w:sz w:val="20"/>
              </w:rPr>
              <w:t xml:space="preserve">rán </w:t>
            </w:r>
            <w:r w:rsidR="00C32A64" w:rsidRPr="00C32A64">
              <w:rPr>
                <w:sz w:val="20"/>
              </w:rPr>
              <w:t>utili</w:t>
            </w:r>
            <w:r w:rsidR="00C32A64">
              <w:rPr>
                <w:sz w:val="20"/>
              </w:rPr>
              <w:t xml:space="preserve">zados </w:t>
            </w:r>
            <w:r w:rsidR="00C32A64" w:rsidRPr="00C32A64">
              <w:rPr>
                <w:sz w:val="20"/>
              </w:rPr>
              <w:t>para la aplicación de los métodos de prueba</w:t>
            </w:r>
            <w:r w:rsidR="00C32A64">
              <w:rPr>
                <w:sz w:val="20"/>
              </w:rPr>
              <w:t xml:space="preserve"> </w:t>
            </w:r>
            <w:r w:rsidRPr="005D5F2E">
              <w:rPr>
                <w:rFonts w:asciiTheme="majorHAnsi" w:hAnsiTheme="majorHAnsi"/>
                <w:sz w:val="20"/>
              </w:rPr>
              <w:t>que se establecen en el presente proyecto regulatorio</w:t>
            </w:r>
            <w:r w:rsidR="00C32A64">
              <w:rPr>
                <w:rFonts w:asciiTheme="majorHAnsi" w:hAnsiTheme="majorHAnsi"/>
                <w:sz w:val="20"/>
              </w:rPr>
              <w:t>;</w:t>
            </w:r>
            <w:r w:rsidRPr="005D5F2E">
              <w:rPr>
                <w:rFonts w:asciiTheme="majorHAnsi" w:hAnsiTheme="majorHAnsi"/>
                <w:sz w:val="20"/>
              </w:rPr>
              <w:t xml:space="preserve"> </w:t>
            </w:r>
            <w:r w:rsidR="00C32A64">
              <w:rPr>
                <w:rFonts w:asciiTheme="majorHAnsi" w:hAnsiTheme="majorHAnsi"/>
                <w:sz w:val="20"/>
              </w:rPr>
              <w:t xml:space="preserve">instrumentos </w:t>
            </w:r>
            <w:r w:rsidRPr="005D5F2E">
              <w:rPr>
                <w:rFonts w:asciiTheme="majorHAnsi" w:hAnsiTheme="majorHAnsi"/>
                <w:sz w:val="20"/>
              </w:rPr>
              <w:t>que deberán emplear los Organismos</w:t>
            </w:r>
            <w:r w:rsidR="008A7043">
              <w:rPr>
                <w:rFonts w:asciiTheme="majorHAnsi" w:hAnsiTheme="majorHAnsi"/>
                <w:sz w:val="20"/>
              </w:rPr>
              <w:t xml:space="preserve"> de </w:t>
            </w:r>
            <w:r w:rsidRPr="005D5F2E">
              <w:rPr>
                <w:rFonts w:asciiTheme="majorHAnsi" w:hAnsiTheme="majorHAnsi"/>
                <w:sz w:val="20"/>
              </w:rPr>
              <w:t>Evalua</w:t>
            </w:r>
            <w:r w:rsidR="008A7043">
              <w:rPr>
                <w:rFonts w:asciiTheme="majorHAnsi" w:hAnsiTheme="majorHAnsi"/>
                <w:sz w:val="20"/>
              </w:rPr>
              <w:t xml:space="preserve">ción </w:t>
            </w:r>
            <w:r w:rsidRPr="005D5F2E">
              <w:rPr>
                <w:rFonts w:asciiTheme="majorHAnsi" w:hAnsiTheme="majorHAnsi"/>
                <w:sz w:val="20"/>
              </w:rPr>
              <w:t xml:space="preserve">de la Conformidad. </w:t>
            </w:r>
          </w:p>
          <w:p w:rsidR="00064458" w:rsidRDefault="00064458" w:rsidP="0060684C">
            <w:pPr>
              <w:ind w:left="708"/>
              <w:jc w:val="both"/>
              <w:rPr>
                <w:sz w:val="20"/>
              </w:rPr>
            </w:pPr>
          </w:p>
          <w:p w:rsidR="009B4B8F" w:rsidRPr="005D5F2E" w:rsidRDefault="009B4B8F" w:rsidP="009B4B8F">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Pr>
                <w:b/>
                <w:sz w:val="20"/>
              </w:rPr>
              <w:t xml:space="preserve"> </w:t>
            </w:r>
            <w:r>
              <w:rPr>
                <w:rFonts w:asciiTheme="majorHAnsi" w:eastAsia="Times New Roman" w:hAnsiTheme="majorHAnsi" w:cs="Arial"/>
                <w:sz w:val="20"/>
                <w:szCs w:val="20"/>
                <w:lang w:eastAsia="es-ES"/>
              </w:rPr>
              <w:t>Establecimiento de la configuración para la aplicación de los métodos de prueba.</w:t>
            </w:r>
          </w:p>
          <w:p w:rsidR="009B4B8F" w:rsidRPr="005D5F2E" w:rsidRDefault="009B4B8F" w:rsidP="009B4B8F">
            <w:pPr>
              <w:ind w:left="708"/>
              <w:jc w:val="both"/>
              <w:rPr>
                <w:sz w:val="20"/>
              </w:rPr>
            </w:pPr>
            <w:r w:rsidRPr="005D5F2E">
              <w:rPr>
                <w:b/>
                <w:sz w:val="20"/>
              </w:rPr>
              <w:t xml:space="preserve">Artículos aplicables: </w:t>
            </w:r>
            <w:r w:rsidRPr="005D5F2E">
              <w:rPr>
                <w:rFonts w:asciiTheme="majorHAnsi" w:eastAsia="Times New Roman" w:hAnsiTheme="majorHAnsi" w:cs="Arial"/>
                <w:sz w:val="20"/>
                <w:szCs w:val="20"/>
                <w:lang w:eastAsia="es-ES"/>
              </w:rPr>
              <w:t xml:space="preserve">Numeral </w:t>
            </w:r>
            <w:r w:rsidRPr="002C58F0">
              <w:rPr>
                <w:rFonts w:asciiTheme="majorHAnsi" w:eastAsia="Times New Roman" w:hAnsiTheme="majorHAnsi" w:cs="Arial"/>
                <w:b/>
                <w:sz w:val="20"/>
                <w:szCs w:val="20"/>
                <w:lang w:eastAsia="es-ES"/>
              </w:rPr>
              <w:t>5.</w:t>
            </w:r>
            <w:r>
              <w:rPr>
                <w:rFonts w:asciiTheme="majorHAnsi" w:eastAsia="Times New Roman" w:hAnsiTheme="majorHAnsi" w:cs="Arial"/>
                <w:b/>
                <w:sz w:val="20"/>
                <w:szCs w:val="20"/>
                <w:lang w:eastAsia="es-ES"/>
              </w:rPr>
              <w:t>2 Configuración para la aplicación de los métodos de prueba</w:t>
            </w:r>
            <w:r w:rsidRPr="005D5F2E">
              <w:rPr>
                <w:rFonts w:asciiTheme="majorHAnsi" w:eastAsia="Times New Roman" w:hAnsiTheme="majorHAnsi" w:cs="Arial"/>
                <w:sz w:val="20"/>
                <w:szCs w:val="20"/>
                <w:lang w:eastAsia="es-ES"/>
              </w:rPr>
              <w:t>.</w:t>
            </w:r>
          </w:p>
          <w:p w:rsidR="009B4B8F" w:rsidRDefault="009B4B8F" w:rsidP="009B4B8F">
            <w:pPr>
              <w:pStyle w:val="Prrafodelista"/>
              <w:jc w:val="both"/>
              <w:rPr>
                <w:rFonts w:asciiTheme="majorHAnsi" w:hAnsiTheme="majorHAnsi"/>
                <w:sz w:val="20"/>
              </w:rPr>
            </w:pPr>
            <w:r w:rsidRPr="005D5F2E">
              <w:rPr>
                <w:b/>
                <w:sz w:val="20"/>
              </w:rPr>
              <w:t xml:space="preserve">Justificación: </w:t>
            </w:r>
            <w:r w:rsidR="00CE42AE" w:rsidRPr="00E56D62">
              <w:rPr>
                <w:sz w:val="20"/>
              </w:rPr>
              <w:t xml:space="preserve">A efecto de </w:t>
            </w:r>
            <w:r w:rsidR="00CE42AE">
              <w:rPr>
                <w:sz w:val="20"/>
              </w:rPr>
              <w:t>establecer las configuraciones para</w:t>
            </w:r>
            <w:r w:rsidR="00CE42AE">
              <w:t xml:space="preserve"> la </w:t>
            </w:r>
            <w:r w:rsidR="00CE42AE" w:rsidRPr="00CE42AE">
              <w:rPr>
                <w:sz w:val="20"/>
              </w:rPr>
              <w:t>medición de emisiones conducidas</w:t>
            </w:r>
            <w:r w:rsidR="00CE42AE">
              <w:rPr>
                <w:sz w:val="20"/>
              </w:rPr>
              <w:t xml:space="preserve"> o emisiones radiadas, llevadas a cabo por </w:t>
            </w:r>
            <w:r w:rsidRPr="005D5F2E">
              <w:rPr>
                <w:rFonts w:asciiTheme="majorHAnsi" w:hAnsiTheme="majorHAnsi"/>
                <w:sz w:val="20"/>
              </w:rPr>
              <w:t xml:space="preserve">los Organismos Evaluadores de la Conformidad para verificar el cumplimiento de la Disposición Técnica. </w:t>
            </w:r>
          </w:p>
          <w:p w:rsidR="00213B0A" w:rsidRDefault="00213B0A" w:rsidP="0060684C">
            <w:pPr>
              <w:ind w:left="708"/>
              <w:jc w:val="both"/>
              <w:rPr>
                <w:sz w:val="20"/>
              </w:rPr>
            </w:pPr>
          </w:p>
          <w:p w:rsidR="0060684C" w:rsidRPr="005D5F2E" w:rsidRDefault="0060684C" w:rsidP="00C04D9A">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E13D55" w:rsidRPr="005D5F2E">
              <w:rPr>
                <w:rFonts w:asciiTheme="majorHAnsi" w:eastAsia="Times New Roman" w:hAnsiTheme="majorHAnsi" w:cs="Arial"/>
                <w:sz w:val="20"/>
                <w:szCs w:val="20"/>
                <w:lang w:eastAsia="es-ES"/>
              </w:rPr>
              <w:t>Comprobación de</w:t>
            </w:r>
            <w:r w:rsidR="0040144D">
              <w:rPr>
                <w:rFonts w:asciiTheme="majorHAnsi" w:eastAsia="Times New Roman" w:hAnsiTheme="majorHAnsi" w:cs="Arial"/>
                <w:sz w:val="20"/>
                <w:szCs w:val="20"/>
                <w:lang w:eastAsia="es-ES"/>
              </w:rPr>
              <w:t xml:space="preserve"> </w:t>
            </w:r>
            <w:r w:rsidR="00C04D9A">
              <w:rPr>
                <w:rFonts w:asciiTheme="majorHAnsi" w:eastAsia="Times New Roman" w:hAnsiTheme="majorHAnsi" w:cs="Arial"/>
                <w:sz w:val="20"/>
                <w:szCs w:val="20"/>
                <w:lang w:eastAsia="es-ES"/>
              </w:rPr>
              <w:t>l</w:t>
            </w:r>
            <w:r w:rsidR="0040144D">
              <w:rPr>
                <w:rFonts w:asciiTheme="majorHAnsi" w:eastAsia="Times New Roman" w:hAnsiTheme="majorHAnsi" w:cs="Arial"/>
                <w:sz w:val="20"/>
                <w:szCs w:val="20"/>
                <w:lang w:eastAsia="es-ES"/>
              </w:rPr>
              <w:t>as Bandas de Frecuencia de operación</w:t>
            </w:r>
            <w:r w:rsidR="00333BAD" w:rsidRPr="005D5F2E">
              <w:rPr>
                <w:rFonts w:asciiTheme="majorHAnsi" w:hAnsiTheme="majorHAnsi"/>
                <w:sz w:val="20"/>
              </w:rPr>
              <w:t>.</w:t>
            </w:r>
          </w:p>
          <w:p w:rsidR="00FA3C05" w:rsidRPr="002C58F0" w:rsidRDefault="00457C52" w:rsidP="00457C52">
            <w:pPr>
              <w:jc w:val="both"/>
              <w:rPr>
                <w:b/>
                <w:sz w:val="20"/>
              </w:rPr>
            </w:pPr>
            <w:r w:rsidRPr="005D5F2E">
              <w:rPr>
                <w:b/>
                <w:sz w:val="20"/>
              </w:rPr>
              <w:t xml:space="preserve">                </w:t>
            </w:r>
            <w:r w:rsidR="00FA3C05" w:rsidRPr="005D5F2E">
              <w:rPr>
                <w:b/>
                <w:sz w:val="20"/>
              </w:rPr>
              <w:t>Artículos aplicables:</w:t>
            </w:r>
            <w:r w:rsidR="00FA3C05" w:rsidRPr="005D5F2E">
              <w:rPr>
                <w:sz w:val="20"/>
              </w:rPr>
              <w:t xml:space="preserve"> </w:t>
            </w:r>
            <w:r w:rsidR="00FA3C05" w:rsidRPr="005D5F2E">
              <w:rPr>
                <w:rFonts w:asciiTheme="majorHAnsi" w:eastAsia="Times New Roman" w:hAnsiTheme="majorHAnsi" w:cs="Arial"/>
                <w:sz w:val="20"/>
                <w:szCs w:val="20"/>
                <w:lang w:eastAsia="es-ES"/>
              </w:rPr>
              <w:t xml:space="preserve">Numeral </w:t>
            </w:r>
            <w:r w:rsidR="00FA3C05" w:rsidRPr="005D5F2E">
              <w:rPr>
                <w:rFonts w:asciiTheme="majorHAnsi" w:eastAsia="Times New Roman" w:hAnsiTheme="majorHAnsi" w:cs="Arial"/>
                <w:b/>
                <w:sz w:val="20"/>
                <w:szCs w:val="20"/>
                <w:lang w:eastAsia="es-ES"/>
              </w:rPr>
              <w:t>5.</w:t>
            </w:r>
            <w:r w:rsidR="00250C98">
              <w:rPr>
                <w:rFonts w:asciiTheme="majorHAnsi" w:eastAsia="Times New Roman" w:hAnsiTheme="majorHAnsi" w:cs="Arial"/>
                <w:b/>
                <w:sz w:val="20"/>
                <w:szCs w:val="20"/>
                <w:lang w:eastAsia="es-ES"/>
              </w:rPr>
              <w:t>3</w:t>
            </w:r>
            <w:r w:rsidR="00FA3C05" w:rsidRPr="005D5F2E">
              <w:rPr>
                <w:rFonts w:asciiTheme="majorHAnsi" w:eastAsia="Times New Roman" w:hAnsiTheme="majorHAnsi" w:cs="Arial"/>
                <w:b/>
                <w:sz w:val="20"/>
                <w:szCs w:val="20"/>
                <w:lang w:eastAsia="es-ES"/>
              </w:rPr>
              <w:t>.</w:t>
            </w:r>
            <w:r w:rsidR="00FA3C05" w:rsidRPr="002C58F0">
              <w:rPr>
                <w:rFonts w:asciiTheme="majorHAnsi" w:eastAsia="Times New Roman" w:hAnsiTheme="majorHAnsi" w:cs="Arial"/>
                <w:b/>
                <w:sz w:val="20"/>
                <w:szCs w:val="20"/>
                <w:lang w:eastAsia="es-ES"/>
              </w:rPr>
              <w:t>1.</w:t>
            </w:r>
            <w:r w:rsidR="00604FA0" w:rsidRPr="002C58F0">
              <w:rPr>
                <w:rFonts w:asciiTheme="majorHAnsi" w:eastAsia="Times New Roman" w:hAnsiTheme="majorHAnsi" w:cs="Arial"/>
                <w:b/>
                <w:sz w:val="20"/>
                <w:szCs w:val="20"/>
                <w:lang w:eastAsia="es-ES"/>
              </w:rPr>
              <w:t xml:space="preserve"> Métodos de prueba. </w:t>
            </w:r>
          </w:p>
          <w:p w:rsidR="00790F2A" w:rsidRDefault="00FA3C05" w:rsidP="00543BA9">
            <w:pPr>
              <w:pStyle w:val="Prrafodelista"/>
              <w:ind w:left="738"/>
              <w:jc w:val="both"/>
              <w:rPr>
                <w:rFonts w:asciiTheme="majorHAnsi" w:hAnsiTheme="majorHAnsi"/>
                <w:sz w:val="20"/>
              </w:rPr>
            </w:pPr>
            <w:r w:rsidRPr="005D5F2E">
              <w:rPr>
                <w:b/>
                <w:sz w:val="20"/>
              </w:rPr>
              <w:t>Justificación</w:t>
            </w:r>
            <w:r w:rsidRPr="00543BA9">
              <w:rPr>
                <w:rFonts w:asciiTheme="majorHAnsi" w:hAnsiTheme="majorHAnsi"/>
                <w:sz w:val="20"/>
              </w:rPr>
              <w:t xml:space="preserve">: </w:t>
            </w:r>
            <w:r w:rsidRPr="005D5F2E">
              <w:rPr>
                <w:rFonts w:asciiTheme="majorHAnsi" w:hAnsiTheme="majorHAnsi"/>
                <w:sz w:val="20"/>
              </w:rPr>
              <w:t xml:space="preserve">Es necesario comprobar </w:t>
            </w:r>
            <w:r w:rsidR="00C04D9A">
              <w:rPr>
                <w:rFonts w:asciiTheme="majorHAnsi" w:hAnsiTheme="majorHAnsi"/>
                <w:sz w:val="20"/>
              </w:rPr>
              <w:t>d</w:t>
            </w:r>
            <w:r w:rsidR="00C04D9A" w:rsidRPr="00C04D9A">
              <w:rPr>
                <w:rFonts w:asciiTheme="majorHAnsi" w:hAnsiTheme="majorHAnsi"/>
                <w:sz w:val="20"/>
              </w:rPr>
              <w:t xml:space="preserve">ichas bandas de </w:t>
            </w:r>
            <w:r w:rsidR="00C04D9A">
              <w:rPr>
                <w:rFonts w:asciiTheme="majorHAnsi" w:hAnsiTheme="majorHAnsi"/>
                <w:sz w:val="20"/>
              </w:rPr>
              <w:t xml:space="preserve">frecuencia de </w:t>
            </w:r>
            <w:r w:rsidR="00C04D9A" w:rsidRPr="00C04D9A">
              <w:rPr>
                <w:rFonts w:asciiTheme="majorHAnsi" w:hAnsiTheme="majorHAnsi"/>
                <w:sz w:val="20"/>
              </w:rPr>
              <w:t>operación deben estar habilitadas de tal forma que no exista ningún tipo de bloqueo o restricción para su uso</w:t>
            </w:r>
            <w:r w:rsidR="00543BA9">
              <w:rPr>
                <w:rFonts w:asciiTheme="majorHAnsi" w:hAnsiTheme="majorHAnsi"/>
                <w:sz w:val="20"/>
              </w:rPr>
              <w:t xml:space="preserve">.  </w:t>
            </w:r>
          </w:p>
          <w:p w:rsidR="0040144D" w:rsidRDefault="0040144D" w:rsidP="00543BA9">
            <w:pPr>
              <w:pStyle w:val="Prrafodelista"/>
              <w:ind w:left="738"/>
              <w:jc w:val="both"/>
              <w:rPr>
                <w:rFonts w:asciiTheme="majorHAnsi" w:hAnsiTheme="majorHAnsi"/>
                <w:sz w:val="20"/>
              </w:rPr>
            </w:pPr>
          </w:p>
          <w:p w:rsidR="00250C98" w:rsidRPr="00250C98" w:rsidRDefault="00250C98" w:rsidP="00250C98">
            <w:pPr>
              <w:pStyle w:val="Prrafodelista"/>
              <w:numPr>
                <w:ilvl w:val="0"/>
                <w:numId w:val="2"/>
              </w:numPr>
              <w:jc w:val="both"/>
              <w:rPr>
                <w:sz w:val="20"/>
              </w:rPr>
            </w:pPr>
            <w:r>
              <w:rPr>
                <w:b/>
                <w:sz w:val="20"/>
              </w:rPr>
              <w:t xml:space="preserve">Tipo: </w:t>
            </w:r>
            <w:r w:rsidRPr="00250C98">
              <w:rPr>
                <w:sz w:val="20"/>
              </w:rPr>
              <w:t>Comprobación del soporte de la banda 28 (700 MHz) APT</w:t>
            </w:r>
            <w:r w:rsidR="0040144D">
              <w:rPr>
                <w:sz w:val="20"/>
              </w:rPr>
              <w:t>.</w:t>
            </w:r>
          </w:p>
          <w:p w:rsidR="00FA3C05" w:rsidRPr="00250C98" w:rsidRDefault="00FA3C05" w:rsidP="00250C98">
            <w:pPr>
              <w:pStyle w:val="Prrafodelista"/>
              <w:jc w:val="both"/>
              <w:rPr>
                <w:b/>
                <w:sz w:val="20"/>
              </w:rPr>
            </w:pPr>
            <w:r w:rsidRPr="005D5F2E">
              <w:rPr>
                <w:b/>
                <w:sz w:val="20"/>
              </w:rPr>
              <w:t>Artículos aplicables:</w:t>
            </w:r>
            <w:r w:rsidRPr="00250C98">
              <w:rPr>
                <w:b/>
                <w:sz w:val="20"/>
              </w:rPr>
              <w:t xml:space="preserve"> </w:t>
            </w:r>
            <w:r w:rsidRPr="002C58F0">
              <w:rPr>
                <w:sz w:val="20"/>
              </w:rPr>
              <w:t xml:space="preserve">Numeral </w:t>
            </w:r>
            <w:r w:rsidRPr="00250C98">
              <w:rPr>
                <w:b/>
                <w:sz w:val="20"/>
              </w:rPr>
              <w:t>5.</w:t>
            </w:r>
            <w:r w:rsidR="00250C98" w:rsidRPr="00250C98">
              <w:rPr>
                <w:b/>
                <w:sz w:val="20"/>
              </w:rPr>
              <w:t>3</w:t>
            </w:r>
            <w:r w:rsidRPr="00250C98">
              <w:rPr>
                <w:b/>
                <w:sz w:val="20"/>
              </w:rPr>
              <w:t>.</w:t>
            </w:r>
            <w:r w:rsidR="00250C98" w:rsidRPr="00250C98">
              <w:rPr>
                <w:b/>
                <w:sz w:val="20"/>
              </w:rPr>
              <w:t>2</w:t>
            </w:r>
            <w:r w:rsidRPr="00250C98">
              <w:rPr>
                <w:b/>
                <w:sz w:val="20"/>
              </w:rPr>
              <w:t>,</w:t>
            </w:r>
            <w:r w:rsidR="00604FA0" w:rsidRPr="00250C98">
              <w:rPr>
                <w:b/>
                <w:sz w:val="20"/>
              </w:rPr>
              <w:t xml:space="preserve"> Métodos de prueba.</w:t>
            </w:r>
          </w:p>
          <w:p w:rsidR="00900F96" w:rsidRDefault="0060684C" w:rsidP="00900F96">
            <w:pPr>
              <w:pStyle w:val="Prrafodelista"/>
              <w:ind w:left="738"/>
              <w:jc w:val="both"/>
              <w:rPr>
                <w:rFonts w:asciiTheme="majorHAnsi" w:hAnsiTheme="majorHAnsi"/>
                <w:sz w:val="20"/>
              </w:rPr>
            </w:pPr>
            <w:r w:rsidRPr="005D5F2E">
              <w:rPr>
                <w:b/>
                <w:sz w:val="20"/>
              </w:rPr>
              <w:t xml:space="preserve">Justificación: </w:t>
            </w:r>
            <w:r w:rsidR="00900F96" w:rsidRPr="005D5F2E">
              <w:rPr>
                <w:rFonts w:asciiTheme="majorHAnsi" w:hAnsiTheme="majorHAnsi"/>
                <w:sz w:val="20"/>
              </w:rPr>
              <w:t xml:space="preserve">Es necesario comprobar </w:t>
            </w:r>
            <w:r w:rsidR="00900F96">
              <w:rPr>
                <w:rFonts w:asciiTheme="majorHAnsi" w:hAnsiTheme="majorHAnsi"/>
                <w:sz w:val="20"/>
              </w:rPr>
              <w:t>que si el ETM s</w:t>
            </w:r>
            <w:r w:rsidR="00900F96" w:rsidRPr="00900F96">
              <w:rPr>
                <w:rFonts w:asciiTheme="majorHAnsi" w:hAnsiTheme="majorHAnsi"/>
                <w:sz w:val="20"/>
              </w:rPr>
              <w:t>oporta la tecnología LTE</w:t>
            </w:r>
            <w:r w:rsidR="00900F96">
              <w:rPr>
                <w:rFonts w:asciiTheme="majorHAnsi" w:hAnsiTheme="majorHAnsi"/>
                <w:sz w:val="20"/>
              </w:rPr>
              <w:t>, e</w:t>
            </w:r>
            <w:r w:rsidR="00900F96" w:rsidRPr="00900F96">
              <w:rPr>
                <w:rFonts w:asciiTheme="majorHAnsi" w:hAnsiTheme="majorHAnsi"/>
                <w:sz w:val="20"/>
              </w:rPr>
              <w:t>l chip de conectividad de RF del EBP</w:t>
            </w:r>
            <w:r w:rsidR="00900F96">
              <w:rPr>
                <w:rFonts w:asciiTheme="majorHAnsi" w:hAnsiTheme="majorHAnsi"/>
                <w:sz w:val="20"/>
              </w:rPr>
              <w:t xml:space="preserve">, </w:t>
            </w:r>
            <w:r w:rsidR="00900F96" w:rsidRPr="00900F96">
              <w:rPr>
                <w:rFonts w:asciiTheme="majorHAnsi" w:hAnsiTheme="majorHAnsi"/>
                <w:sz w:val="20"/>
              </w:rPr>
              <w:t xml:space="preserve">en el enlace ascendente se encuentre operando </w:t>
            </w:r>
            <w:r w:rsidR="00900F96">
              <w:rPr>
                <w:rFonts w:asciiTheme="majorHAnsi" w:hAnsiTheme="majorHAnsi"/>
                <w:sz w:val="20"/>
              </w:rPr>
              <w:t>en la banda 28</w:t>
            </w:r>
            <w:r w:rsidR="00F61B3E">
              <w:rPr>
                <w:rFonts w:asciiTheme="majorHAnsi" w:hAnsiTheme="majorHAnsi"/>
                <w:sz w:val="20"/>
              </w:rPr>
              <w:t xml:space="preserve"> de acuerdo a los estándares </w:t>
            </w:r>
            <w:r w:rsidR="00F61B3E" w:rsidRPr="0040144D">
              <w:rPr>
                <w:rFonts w:asciiTheme="majorHAnsi" w:hAnsiTheme="majorHAnsi"/>
                <w:sz w:val="20"/>
              </w:rPr>
              <w:t>de 3GPP</w:t>
            </w:r>
            <w:r w:rsidR="00900F96" w:rsidRPr="0040144D">
              <w:rPr>
                <w:rFonts w:asciiTheme="majorHAnsi" w:hAnsiTheme="majorHAnsi"/>
                <w:sz w:val="20"/>
              </w:rPr>
              <w:t>.</w:t>
            </w:r>
            <w:r w:rsidR="00900F96">
              <w:rPr>
                <w:rFonts w:asciiTheme="majorHAnsi" w:hAnsiTheme="majorHAnsi"/>
                <w:sz w:val="20"/>
              </w:rPr>
              <w:t xml:space="preserve"> </w:t>
            </w:r>
          </w:p>
          <w:p w:rsidR="005D127C" w:rsidRPr="005D5F2E" w:rsidRDefault="005D127C" w:rsidP="0060684C">
            <w:pPr>
              <w:ind w:left="708"/>
              <w:jc w:val="both"/>
              <w:rPr>
                <w:rFonts w:asciiTheme="majorHAnsi" w:hAnsiTheme="majorHAnsi"/>
                <w:sz w:val="20"/>
              </w:rPr>
            </w:pPr>
          </w:p>
          <w:p w:rsidR="00612AF2" w:rsidRPr="005D5F2E" w:rsidRDefault="0060684C" w:rsidP="001B7DC7">
            <w:pPr>
              <w:pStyle w:val="Prrafodelista"/>
              <w:numPr>
                <w:ilvl w:val="0"/>
                <w:numId w:val="2"/>
              </w:numPr>
              <w:ind w:left="708"/>
              <w:jc w:val="both"/>
              <w:rPr>
                <w:sz w:val="20"/>
              </w:rPr>
            </w:pPr>
            <w:r w:rsidRPr="005D5F2E">
              <w:rPr>
                <w:b/>
                <w:sz w:val="20"/>
              </w:rPr>
              <w:t>Tipo:</w:t>
            </w:r>
            <w:r w:rsidRPr="005D5F2E">
              <w:rPr>
                <w:sz w:val="20"/>
              </w:rPr>
              <w:t xml:space="preserve"> </w:t>
            </w:r>
            <w:r w:rsidR="0058510B" w:rsidRPr="005D5F2E">
              <w:rPr>
                <w:rFonts w:asciiTheme="majorHAnsi" w:hAnsiTheme="majorHAnsi"/>
                <w:sz w:val="20"/>
              </w:rPr>
              <w:t>Comprobación de</w:t>
            </w:r>
            <w:r w:rsidR="00612AF2" w:rsidRPr="005D5F2E">
              <w:rPr>
                <w:rFonts w:asciiTheme="majorHAnsi" w:hAnsiTheme="majorHAnsi"/>
                <w:sz w:val="20"/>
              </w:rPr>
              <w:t xml:space="preserve"> </w:t>
            </w:r>
            <w:r w:rsidR="005E177C">
              <w:rPr>
                <w:rFonts w:asciiTheme="majorHAnsi" w:hAnsiTheme="majorHAnsi"/>
                <w:sz w:val="20"/>
              </w:rPr>
              <w:t>la T</w:t>
            </w:r>
            <w:r w:rsidR="005E177C" w:rsidRPr="005E177C">
              <w:rPr>
                <w:rFonts w:asciiTheme="majorHAnsi" w:hAnsiTheme="majorHAnsi"/>
                <w:sz w:val="20"/>
              </w:rPr>
              <w:t>olerancia de frecuencia</w:t>
            </w:r>
            <w:r w:rsidR="00612AF2" w:rsidRPr="005D5F2E">
              <w:rPr>
                <w:rFonts w:asciiTheme="majorHAnsi" w:hAnsiTheme="majorHAnsi"/>
                <w:sz w:val="20"/>
              </w:rPr>
              <w:t>.</w:t>
            </w:r>
          </w:p>
          <w:p w:rsidR="0058510B" w:rsidRPr="005D5F2E" w:rsidRDefault="0060684C" w:rsidP="00612AF2">
            <w:pPr>
              <w:pStyle w:val="Prrafodelista"/>
              <w:ind w:left="708"/>
              <w:jc w:val="both"/>
              <w:rPr>
                <w:sz w:val="20"/>
              </w:rPr>
            </w:pPr>
            <w:r w:rsidRPr="005D5F2E">
              <w:rPr>
                <w:b/>
                <w:sz w:val="20"/>
              </w:rPr>
              <w:t xml:space="preserve">Artículos aplicables: </w:t>
            </w:r>
            <w:r w:rsidR="0058510B" w:rsidRPr="002C58F0">
              <w:rPr>
                <w:rFonts w:asciiTheme="majorHAnsi" w:hAnsiTheme="majorHAnsi"/>
                <w:sz w:val="20"/>
              </w:rPr>
              <w:t xml:space="preserve">Numeral </w:t>
            </w:r>
            <w:r w:rsidR="0058510B" w:rsidRPr="005E177C">
              <w:rPr>
                <w:rFonts w:asciiTheme="majorHAnsi" w:hAnsiTheme="majorHAnsi"/>
                <w:b/>
                <w:sz w:val="20"/>
              </w:rPr>
              <w:t>5</w:t>
            </w:r>
            <w:r w:rsidR="005E177C" w:rsidRPr="005E177C">
              <w:rPr>
                <w:rFonts w:asciiTheme="majorHAnsi" w:hAnsiTheme="majorHAnsi"/>
                <w:b/>
                <w:sz w:val="20"/>
              </w:rPr>
              <w:t>.4</w:t>
            </w:r>
            <w:r w:rsidR="0058510B" w:rsidRPr="005E177C">
              <w:rPr>
                <w:rFonts w:asciiTheme="majorHAnsi" w:hAnsiTheme="majorHAnsi"/>
                <w:b/>
                <w:sz w:val="20"/>
              </w:rPr>
              <w:t>.</w:t>
            </w:r>
            <w:r w:rsidR="00A61357" w:rsidRPr="005E177C">
              <w:rPr>
                <w:rFonts w:asciiTheme="majorHAnsi" w:hAnsiTheme="majorHAnsi"/>
                <w:b/>
                <w:sz w:val="20"/>
              </w:rPr>
              <w:t xml:space="preserve"> </w:t>
            </w:r>
            <w:r w:rsidR="00604FA0" w:rsidRPr="005E177C">
              <w:rPr>
                <w:rFonts w:asciiTheme="majorHAnsi" w:eastAsia="Times New Roman" w:hAnsiTheme="majorHAnsi" w:cs="Arial"/>
                <w:b/>
                <w:sz w:val="20"/>
                <w:szCs w:val="20"/>
                <w:lang w:eastAsia="es-ES"/>
              </w:rPr>
              <w:t>Métodos de prueba.</w:t>
            </w:r>
          </w:p>
          <w:p w:rsidR="0060684C" w:rsidRPr="005D5F2E" w:rsidRDefault="0060684C" w:rsidP="00F71618">
            <w:pPr>
              <w:ind w:left="708"/>
              <w:jc w:val="both"/>
              <w:rPr>
                <w:sz w:val="20"/>
              </w:rPr>
            </w:pPr>
            <w:r w:rsidRPr="005D5F2E">
              <w:rPr>
                <w:b/>
                <w:sz w:val="20"/>
              </w:rPr>
              <w:t xml:space="preserve">Justificación: </w:t>
            </w:r>
            <w:r w:rsidR="00BB099C" w:rsidRPr="00BB099C">
              <w:rPr>
                <w:sz w:val="20"/>
              </w:rPr>
              <w:t xml:space="preserve">Es necesario comprobar que </w:t>
            </w:r>
            <w:r w:rsidR="00BB099C">
              <w:rPr>
                <w:sz w:val="20"/>
              </w:rPr>
              <w:t>l</w:t>
            </w:r>
            <w:r w:rsidR="005E177C" w:rsidRPr="005E177C">
              <w:rPr>
                <w:rFonts w:asciiTheme="majorHAnsi" w:hAnsiTheme="majorHAnsi"/>
                <w:sz w:val="20"/>
              </w:rPr>
              <w:t>a tolerancia de frecuencia medida para cada una de las bandas de frecuencia de operación debe cumplir de acuerdo con la Tabla 4 establecida en el numeral 4.2</w:t>
            </w:r>
            <w:r w:rsidR="00F71618" w:rsidRPr="005D5F2E">
              <w:rPr>
                <w:rFonts w:asciiTheme="majorHAnsi" w:hAnsiTheme="majorHAnsi"/>
                <w:sz w:val="20"/>
              </w:rPr>
              <w:t>.</w:t>
            </w:r>
          </w:p>
          <w:p w:rsidR="0060684C" w:rsidRPr="005D5F2E" w:rsidRDefault="0060684C" w:rsidP="00582FC7">
            <w:pPr>
              <w:jc w:val="both"/>
              <w:rPr>
                <w:rFonts w:asciiTheme="majorHAnsi" w:eastAsia="Times New Roman" w:hAnsiTheme="majorHAnsi" w:cs="Arial"/>
                <w:sz w:val="20"/>
                <w:szCs w:val="20"/>
                <w:lang w:eastAsia="es-ES"/>
              </w:rPr>
            </w:pPr>
          </w:p>
          <w:p w:rsidR="0060684C" w:rsidRPr="005D5F2E" w:rsidRDefault="0060684C"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3E1567" w:rsidRPr="005D5F2E">
              <w:rPr>
                <w:rFonts w:asciiTheme="majorHAnsi" w:hAnsiTheme="majorHAnsi"/>
                <w:sz w:val="20"/>
              </w:rPr>
              <w:t>Comprobación de</w:t>
            </w:r>
            <w:r w:rsidR="001C1869" w:rsidRPr="005D5F2E">
              <w:rPr>
                <w:rFonts w:asciiTheme="majorHAnsi" w:hAnsiTheme="majorHAnsi"/>
                <w:sz w:val="20"/>
              </w:rPr>
              <w:t xml:space="preserve"> </w:t>
            </w:r>
            <w:r w:rsidR="00DE45D6">
              <w:rPr>
                <w:rFonts w:asciiTheme="majorHAnsi" w:hAnsiTheme="majorHAnsi"/>
                <w:sz w:val="20"/>
              </w:rPr>
              <w:t>la Potencia de transmisión de salida.</w:t>
            </w:r>
          </w:p>
          <w:p w:rsidR="0060684C" w:rsidRPr="00DE45D6" w:rsidRDefault="0060684C" w:rsidP="0060684C">
            <w:pPr>
              <w:ind w:left="708"/>
              <w:jc w:val="both"/>
              <w:rPr>
                <w:b/>
              </w:rPr>
            </w:pPr>
            <w:r w:rsidRPr="005D5F2E">
              <w:rPr>
                <w:b/>
                <w:sz w:val="20"/>
              </w:rPr>
              <w:t xml:space="preserve">Artículos aplicables: </w:t>
            </w:r>
            <w:r w:rsidR="003E1567" w:rsidRPr="005D5F2E">
              <w:rPr>
                <w:rFonts w:asciiTheme="majorHAnsi" w:hAnsiTheme="majorHAnsi"/>
                <w:sz w:val="20"/>
              </w:rPr>
              <w:t xml:space="preserve">Numeral </w:t>
            </w:r>
            <w:r w:rsidR="003E1567" w:rsidRPr="005D5F2E">
              <w:rPr>
                <w:rFonts w:asciiTheme="majorHAnsi" w:hAnsiTheme="majorHAnsi"/>
                <w:b/>
                <w:sz w:val="20"/>
              </w:rPr>
              <w:t>5.</w:t>
            </w:r>
            <w:r w:rsidR="00DE45D6">
              <w:rPr>
                <w:rFonts w:asciiTheme="majorHAnsi" w:hAnsiTheme="majorHAnsi"/>
                <w:b/>
                <w:sz w:val="20"/>
              </w:rPr>
              <w:t>5</w:t>
            </w:r>
            <w:r w:rsidR="003E1567" w:rsidRPr="00DE45D6">
              <w:rPr>
                <w:rFonts w:asciiTheme="majorHAnsi" w:hAnsiTheme="majorHAnsi"/>
                <w:b/>
                <w:sz w:val="20"/>
              </w:rPr>
              <w:t>.</w:t>
            </w:r>
            <w:r w:rsidR="00604FA0" w:rsidRPr="00DE45D6">
              <w:rPr>
                <w:rFonts w:asciiTheme="majorHAnsi" w:eastAsia="Times New Roman" w:hAnsiTheme="majorHAnsi" w:cs="Arial"/>
                <w:b/>
                <w:sz w:val="20"/>
                <w:szCs w:val="20"/>
                <w:lang w:eastAsia="es-ES"/>
              </w:rPr>
              <w:t xml:space="preserve"> Métodos de prueba.</w:t>
            </w:r>
          </w:p>
          <w:p w:rsidR="001C1869" w:rsidRPr="005D5F2E" w:rsidRDefault="0060684C" w:rsidP="001C1869">
            <w:pPr>
              <w:ind w:left="708"/>
              <w:jc w:val="both"/>
              <w:rPr>
                <w:sz w:val="20"/>
              </w:rPr>
            </w:pPr>
            <w:r w:rsidRPr="005D5F2E">
              <w:rPr>
                <w:b/>
                <w:sz w:val="20"/>
              </w:rPr>
              <w:t>Justificación:</w:t>
            </w:r>
            <w:r w:rsidR="00DE45D6" w:rsidRPr="005D5F2E">
              <w:rPr>
                <w:b/>
                <w:sz w:val="20"/>
              </w:rPr>
              <w:t xml:space="preserve"> </w:t>
            </w:r>
            <w:r w:rsidR="00DE45D6" w:rsidRPr="00BB099C">
              <w:rPr>
                <w:sz w:val="20"/>
              </w:rPr>
              <w:t>Es necesario comprobar que</w:t>
            </w:r>
            <w:r w:rsidR="00DE45D6">
              <w:rPr>
                <w:sz w:val="20"/>
              </w:rPr>
              <w:t xml:space="preserve"> </w:t>
            </w:r>
            <w:r w:rsidR="00DE45D6">
              <w:rPr>
                <w:rFonts w:asciiTheme="majorHAnsi" w:hAnsiTheme="majorHAnsi"/>
                <w:sz w:val="20"/>
              </w:rPr>
              <w:t xml:space="preserve">la Potencia de transmisión de salida, </w:t>
            </w:r>
            <w:r w:rsidR="00DE45D6" w:rsidRPr="00DE45D6">
              <w:rPr>
                <w:rFonts w:asciiTheme="majorHAnsi" w:hAnsiTheme="majorHAnsi"/>
                <w:sz w:val="20"/>
              </w:rPr>
              <w:t>para cada una de las bandas de frecuencia de operación debe cumplir con lo establecido en la Tabla 5 del numeral 4.3.</w:t>
            </w:r>
          </w:p>
          <w:p w:rsidR="001C1869" w:rsidRPr="005D5F2E" w:rsidRDefault="001C1869" w:rsidP="001C1869">
            <w:pPr>
              <w:pStyle w:val="Prrafodelista"/>
              <w:jc w:val="both"/>
              <w:rPr>
                <w:rFonts w:asciiTheme="majorHAnsi" w:eastAsia="Times New Roman" w:hAnsiTheme="majorHAnsi" w:cs="Arial"/>
                <w:sz w:val="20"/>
                <w:szCs w:val="20"/>
                <w:lang w:eastAsia="es-ES"/>
              </w:rPr>
            </w:pPr>
          </w:p>
          <w:p w:rsidR="0060684C" w:rsidRPr="00D254D2" w:rsidRDefault="0060684C" w:rsidP="001B7DC7">
            <w:pPr>
              <w:pStyle w:val="Prrafodelista"/>
              <w:numPr>
                <w:ilvl w:val="0"/>
                <w:numId w:val="2"/>
              </w:numPr>
              <w:jc w:val="both"/>
              <w:rPr>
                <w:rFonts w:asciiTheme="majorHAnsi" w:eastAsia="Times New Roman" w:hAnsiTheme="majorHAnsi" w:cs="Arial"/>
                <w:sz w:val="20"/>
                <w:szCs w:val="20"/>
                <w:lang w:eastAsia="es-ES"/>
              </w:rPr>
            </w:pPr>
            <w:r w:rsidRPr="00D254D2">
              <w:rPr>
                <w:b/>
                <w:sz w:val="20"/>
              </w:rPr>
              <w:t>Tipo</w:t>
            </w:r>
            <w:r w:rsidRPr="00D254D2">
              <w:rPr>
                <w:rFonts w:asciiTheme="majorHAnsi" w:hAnsiTheme="majorHAnsi"/>
                <w:b/>
                <w:sz w:val="20"/>
              </w:rPr>
              <w:t>:</w:t>
            </w:r>
            <w:r w:rsidRPr="00D254D2">
              <w:rPr>
                <w:rFonts w:asciiTheme="majorHAnsi" w:hAnsiTheme="majorHAnsi"/>
                <w:sz w:val="20"/>
              </w:rPr>
              <w:t xml:space="preserve"> </w:t>
            </w:r>
            <w:r w:rsidR="003E1567" w:rsidRPr="00D254D2">
              <w:rPr>
                <w:rFonts w:asciiTheme="majorHAnsi" w:hAnsiTheme="majorHAnsi"/>
                <w:sz w:val="20"/>
              </w:rPr>
              <w:t>Comprobación de</w:t>
            </w:r>
            <w:r w:rsidR="004704D5" w:rsidRPr="00D254D2">
              <w:rPr>
                <w:rFonts w:asciiTheme="majorHAnsi" w:hAnsiTheme="majorHAnsi"/>
                <w:sz w:val="20"/>
              </w:rPr>
              <w:t xml:space="preserve"> </w:t>
            </w:r>
            <w:r w:rsidR="002976F3" w:rsidRPr="00D254D2">
              <w:rPr>
                <w:rFonts w:asciiTheme="majorHAnsi" w:hAnsiTheme="majorHAnsi"/>
                <w:sz w:val="20"/>
              </w:rPr>
              <w:t>la Potencia de las emisiones no deseadas.</w:t>
            </w:r>
          </w:p>
          <w:p w:rsidR="003E1567" w:rsidRPr="00D254D2" w:rsidRDefault="0060684C">
            <w:pPr>
              <w:ind w:left="708"/>
              <w:jc w:val="both"/>
              <w:rPr>
                <w:b/>
                <w:sz w:val="20"/>
              </w:rPr>
            </w:pPr>
            <w:r w:rsidRPr="00D254D2">
              <w:rPr>
                <w:b/>
                <w:sz w:val="20"/>
              </w:rPr>
              <w:t xml:space="preserve">Artículos aplicables: </w:t>
            </w:r>
            <w:r w:rsidR="003E1567" w:rsidRPr="00D254D2">
              <w:rPr>
                <w:rFonts w:asciiTheme="majorHAnsi" w:hAnsiTheme="majorHAnsi"/>
                <w:sz w:val="20"/>
              </w:rPr>
              <w:t xml:space="preserve">Numeral </w:t>
            </w:r>
            <w:r w:rsidR="003E1567" w:rsidRPr="00D254D2">
              <w:rPr>
                <w:rFonts w:asciiTheme="majorHAnsi" w:hAnsiTheme="majorHAnsi"/>
                <w:b/>
                <w:sz w:val="20"/>
              </w:rPr>
              <w:t>5.</w:t>
            </w:r>
            <w:r w:rsidR="002976F3" w:rsidRPr="00D254D2">
              <w:rPr>
                <w:rFonts w:asciiTheme="majorHAnsi" w:hAnsiTheme="majorHAnsi"/>
                <w:b/>
                <w:sz w:val="20"/>
              </w:rPr>
              <w:t>6</w:t>
            </w:r>
            <w:r w:rsidR="003E1567" w:rsidRPr="00D254D2">
              <w:rPr>
                <w:rFonts w:asciiTheme="majorHAnsi" w:hAnsiTheme="majorHAnsi"/>
                <w:sz w:val="20"/>
              </w:rPr>
              <w:t>.</w:t>
            </w:r>
            <w:r w:rsidR="00A61357" w:rsidRPr="00D254D2">
              <w:rPr>
                <w:rFonts w:asciiTheme="majorHAnsi" w:hAnsiTheme="majorHAnsi"/>
                <w:sz w:val="20"/>
              </w:rPr>
              <w:t xml:space="preserve"> </w:t>
            </w:r>
            <w:r w:rsidR="00604FA0" w:rsidRPr="00D254D2">
              <w:rPr>
                <w:rFonts w:asciiTheme="majorHAnsi" w:eastAsia="Times New Roman" w:hAnsiTheme="majorHAnsi" w:cs="Arial"/>
                <w:b/>
                <w:sz w:val="20"/>
                <w:szCs w:val="20"/>
                <w:lang w:eastAsia="es-ES"/>
              </w:rPr>
              <w:t>Métodos de prueba.</w:t>
            </w:r>
          </w:p>
          <w:p w:rsidR="00D254D2" w:rsidRPr="005D5F2E" w:rsidRDefault="0060684C" w:rsidP="00D254D2">
            <w:pPr>
              <w:ind w:left="708"/>
              <w:jc w:val="both"/>
              <w:rPr>
                <w:sz w:val="20"/>
              </w:rPr>
            </w:pPr>
            <w:r w:rsidRPr="00D254D2">
              <w:rPr>
                <w:b/>
                <w:sz w:val="20"/>
              </w:rPr>
              <w:t>Justificación:</w:t>
            </w:r>
            <w:r w:rsidRPr="005D5F2E">
              <w:rPr>
                <w:b/>
                <w:sz w:val="20"/>
              </w:rPr>
              <w:t xml:space="preserve"> </w:t>
            </w:r>
            <w:r w:rsidR="00D254D2" w:rsidRPr="00BB099C">
              <w:rPr>
                <w:sz w:val="20"/>
              </w:rPr>
              <w:t>Es necesario comprobar que</w:t>
            </w:r>
            <w:r w:rsidR="00D254D2">
              <w:rPr>
                <w:sz w:val="20"/>
              </w:rPr>
              <w:t xml:space="preserve"> </w:t>
            </w:r>
            <w:r w:rsidR="00D254D2">
              <w:rPr>
                <w:rFonts w:asciiTheme="majorHAnsi" w:hAnsiTheme="majorHAnsi"/>
                <w:sz w:val="20"/>
              </w:rPr>
              <w:t xml:space="preserve">la Potencia de las emisiones no deseadas, </w:t>
            </w:r>
            <w:r w:rsidR="00D254D2" w:rsidRPr="00DE45D6">
              <w:rPr>
                <w:rFonts w:asciiTheme="majorHAnsi" w:hAnsiTheme="majorHAnsi"/>
                <w:sz w:val="20"/>
              </w:rPr>
              <w:t xml:space="preserve">para cada una de las bandas de frecuencia de operación debe cumplir con lo establecido en </w:t>
            </w:r>
            <w:r w:rsidR="00D254D2">
              <w:rPr>
                <w:rFonts w:asciiTheme="majorHAnsi" w:hAnsiTheme="majorHAnsi"/>
                <w:sz w:val="20"/>
              </w:rPr>
              <w:t>e</w:t>
            </w:r>
            <w:r w:rsidR="00D254D2" w:rsidRPr="00DE45D6">
              <w:rPr>
                <w:rFonts w:asciiTheme="majorHAnsi" w:hAnsiTheme="majorHAnsi"/>
                <w:sz w:val="20"/>
              </w:rPr>
              <w:t>l numeral 4.</w:t>
            </w:r>
            <w:r w:rsidR="00D254D2">
              <w:rPr>
                <w:rFonts w:asciiTheme="majorHAnsi" w:hAnsiTheme="majorHAnsi"/>
                <w:sz w:val="20"/>
              </w:rPr>
              <w:t>4</w:t>
            </w:r>
            <w:r w:rsidR="00D254D2" w:rsidRPr="00DE45D6">
              <w:rPr>
                <w:rFonts w:asciiTheme="majorHAnsi" w:hAnsiTheme="majorHAnsi"/>
                <w:sz w:val="20"/>
              </w:rPr>
              <w:t>.</w:t>
            </w:r>
          </w:p>
          <w:p w:rsidR="00612AF2" w:rsidRPr="005D5F2E" w:rsidRDefault="00612AF2" w:rsidP="0060684C">
            <w:pPr>
              <w:ind w:left="708"/>
              <w:jc w:val="both"/>
              <w:rPr>
                <w:sz w:val="20"/>
              </w:rPr>
            </w:pPr>
          </w:p>
          <w:p w:rsidR="004704D5" w:rsidRPr="005D5F2E" w:rsidRDefault="0060684C" w:rsidP="001B7DC7">
            <w:pPr>
              <w:pStyle w:val="Prrafodelista"/>
              <w:numPr>
                <w:ilvl w:val="0"/>
                <w:numId w:val="2"/>
              </w:numPr>
              <w:ind w:left="708"/>
              <w:jc w:val="both"/>
              <w:rPr>
                <w:sz w:val="20"/>
              </w:rPr>
            </w:pPr>
            <w:r w:rsidRPr="005D5F2E">
              <w:rPr>
                <w:b/>
                <w:sz w:val="20"/>
              </w:rPr>
              <w:t>Tipo:</w:t>
            </w:r>
            <w:r w:rsidRPr="005D5F2E">
              <w:rPr>
                <w:sz w:val="20"/>
              </w:rPr>
              <w:t xml:space="preserve"> </w:t>
            </w:r>
            <w:r w:rsidR="009E53EF" w:rsidRPr="00B64B45">
              <w:rPr>
                <w:rFonts w:asciiTheme="majorHAnsi" w:eastAsia="Times New Roman" w:hAnsiTheme="majorHAnsi" w:cs="Arial"/>
                <w:sz w:val="20"/>
                <w:szCs w:val="20"/>
                <w:lang w:eastAsia="es-ES"/>
              </w:rPr>
              <w:t>Comprobación</w:t>
            </w:r>
            <w:r w:rsidR="00525B86">
              <w:rPr>
                <w:rFonts w:asciiTheme="majorHAnsi" w:eastAsia="Times New Roman" w:hAnsiTheme="majorHAnsi" w:cs="Arial"/>
                <w:sz w:val="20"/>
                <w:szCs w:val="20"/>
                <w:lang w:eastAsia="es-ES"/>
              </w:rPr>
              <w:t xml:space="preserve"> del ancho de banda ocupado</w:t>
            </w:r>
            <w:r w:rsidR="004704D5" w:rsidRPr="005D5F2E">
              <w:rPr>
                <w:sz w:val="20"/>
              </w:rPr>
              <w:t>.</w:t>
            </w:r>
          </w:p>
          <w:p w:rsidR="0060684C" w:rsidRPr="00525B86" w:rsidRDefault="0060684C" w:rsidP="004704D5">
            <w:pPr>
              <w:pStyle w:val="Prrafodelista"/>
              <w:ind w:left="708"/>
              <w:jc w:val="both"/>
              <w:rPr>
                <w:b/>
                <w:sz w:val="20"/>
              </w:rPr>
            </w:pPr>
            <w:r w:rsidRPr="005D5F2E">
              <w:rPr>
                <w:b/>
                <w:sz w:val="20"/>
              </w:rPr>
              <w:t xml:space="preserve">Artículos aplicables: </w:t>
            </w:r>
            <w:r w:rsidR="00323767" w:rsidRPr="005D5F2E">
              <w:rPr>
                <w:rFonts w:asciiTheme="majorHAnsi" w:hAnsiTheme="majorHAnsi"/>
                <w:sz w:val="20"/>
              </w:rPr>
              <w:t xml:space="preserve">Numeral </w:t>
            </w:r>
            <w:r w:rsidR="002B5F20" w:rsidRPr="005D5F2E">
              <w:rPr>
                <w:rFonts w:asciiTheme="majorHAnsi" w:hAnsiTheme="majorHAnsi"/>
                <w:b/>
                <w:sz w:val="20"/>
              </w:rPr>
              <w:t>5</w:t>
            </w:r>
            <w:r w:rsidR="004704D5" w:rsidRPr="005D5F2E">
              <w:rPr>
                <w:rFonts w:asciiTheme="majorHAnsi" w:hAnsiTheme="majorHAnsi"/>
                <w:b/>
                <w:sz w:val="20"/>
              </w:rPr>
              <w:t>.</w:t>
            </w:r>
            <w:r w:rsidR="00525B86">
              <w:rPr>
                <w:rFonts w:asciiTheme="majorHAnsi" w:hAnsiTheme="majorHAnsi"/>
                <w:b/>
                <w:sz w:val="20"/>
              </w:rPr>
              <w:t>7.</w:t>
            </w:r>
            <w:r w:rsidR="00A61357" w:rsidRPr="005D5F2E">
              <w:rPr>
                <w:rFonts w:asciiTheme="majorHAnsi" w:hAnsiTheme="majorHAnsi"/>
                <w:sz w:val="20"/>
              </w:rPr>
              <w:t xml:space="preserve"> </w:t>
            </w:r>
            <w:r w:rsidR="00604FA0" w:rsidRPr="00525B86">
              <w:rPr>
                <w:rFonts w:asciiTheme="majorHAnsi" w:eastAsia="Times New Roman" w:hAnsiTheme="majorHAnsi" w:cs="Arial"/>
                <w:b/>
                <w:sz w:val="20"/>
                <w:szCs w:val="20"/>
                <w:lang w:eastAsia="es-ES"/>
              </w:rPr>
              <w:t>Métodos de prueba.</w:t>
            </w:r>
          </w:p>
          <w:p w:rsidR="0060684C" w:rsidRPr="00525B86" w:rsidRDefault="0060684C" w:rsidP="00525B86">
            <w:pPr>
              <w:ind w:left="708"/>
              <w:jc w:val="both"/>
              <w:rPr>
                <w:rFonts w:asciiTheme="majorHAnsi" w:hAnsiTheme="majorHAnsi"/>
                <w:sz w:val="20"/>
              </w:rPr>
            </w:pPr>
            <w:r w:rsidRPr="005D5F2E">
              <w:rPr>
                <w:b/>
                <w:sz w:val="20"/>
              </w:rPr>
              <w:t>Justificación:</w:t>
            </w:r>
            <w:r w:rsidR="00525B86">
              <w:rPr>
                <w:b/>
                <w:sz w:val="20"/>
              </w:rPr>
              <w:t xml:space="preserve"> </w:t>
            </w:r>
            <w:r w:rsidR="00525B86" w:rsidRPr="00525B86">
              <w:rPr>
                <w:sz w:val="20"/>
              </w:rPr>
              <w:t>Es necesario comprobar que el ancho de banda ocupado p</w:t>
            </w:r>
            <w:r w:rsidR="00072A08">
              <w:rPr>
                <w:sz w:val="20"/>
              </w:rPr>
              <w:t xml:space="preserve">or </w:t>
            </w:r>
            <w:r w:rsidR="00525B86" w:rsidRPr="00525B86">
              <w:rPr>
                <w:sz w:val="20"/>
              </w:rPr>
              <w:t>cada una de las bandas de operación debe cumplir con lo establecido en el numeral 4.5.</w:t>
            </w:r>
          </w:p>
          <w:p w:rsidR="0060684C" w:rsidRPr="005D5F2E" w:rsidRDefault="0060684C" w:rsidP="00582FC7">
            <w:pPr>
              <w:jc w:val="both"/>
              <w:rPr>
                <w:rFonts w:asciiTheme="majorHAnsi" w:eastAsia="Times New Roman" w:hAnsiTheme="majorHAnsi" w:cs="Arial"/>
                <w:sz w:val="20"/>
                <w:szCs w:val="20"/>
                <w:lang w:eastAsia="es-ES"/>
              </w:rPr>
            </w:pPr>
          </w:p>
          <w:p w:rsidR="00B0317C" w:rsidRPr="005D5F2E" w:rsidRDefault="00B0317C"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BD1E26" w:rsidRPr="005D5F2E">
              <w:rPr>
                <w:rFonts w:asciiTheme="majorHAnsi" w:hAnsiTheme="majorHAnsi"/>
                <w:sz w:val="20"/>
              </w:rPr>
              <w:t xml:space="preserve">Comprobación del </w:t>
            </w:r>
            <w:r w:rsidR="00926206">
              <w:rPr>
                <w:rFonts w:asciiTheme="majorHAnsi" w:hAnsiTheme="majorHAnsi"/>
                <w:sz w:val="20"/>
              </w:rPr>
              <w:t>Manual del Equipo Terminal Móvil.</w:t>
            </w:r>
          </w:p>
          <w:p w:rsidR="00B0317C" w:rsidRPr="00926206" w:rsidRDefault="00B0317C" w:rsidP="00B0317C">
            <w:pPr>
              <w:ind w:left="708"/>
              <w:jc w:val="both"/>
              <w:rPr>
                <w:rFonts w:asciiTheme="majorHAnsi" w:hAnsiTheme="majorHAnsi"/>
                <w:b/>
                <w:sz w:val="20"/>
              </w:rPr>
            </w:pPr>
            <w:r w:rsidRPr="005D5F2E">
              <w:rPr>
                <w:b/>
                <w:sz w:val="20"/>
              </w:rPr>
              <w:t>Artículos aplicables:</w:t>
            </w:r>
            <w:r w:rsidRPr="005D5F2E">
              <w:rPr>
                <w:sz w:val="20"/>
              </w:rPr>
              <w:t xml:space="preserve"> </w:t>
            </w:r>
            <w:r w:rsidR="00BD1E26" w:rsidRPr="005D5F2E">
              <w:rPr>
                <w:rFonts w:asciiTheme="majorHAnsi" w:hAnsiTheme="majorHAnsi"/>
                <w:sz w:val="20"/>
              </w:rPr>
              <w:t xml:space="preserve">Numeral </w:t>
            </w:r>
            <w:r w:rsidR="00BD1E26" w:rsidRPr="005D5F2E">
              <w:rPr>
                <w:rFonts w:asciiTheme="majorHAnsi" w:hAnsiTheme="majorHAnsi"/>
                <w:b/>
                <w:sz w:val="20"/>
              </w:rPr>
              <w:t>5.</w:t>
            </w:r>
            <w:r w:rsidR="00926206">
              <w:rPr>
                <w:rFonts w:asciiTheme="majorHAnsi" w:hAnsiTheme="majorHAnsi"/>
                <w:b/>
                <w:sz w:val="20"/>
              </w:rPr>
              <w:t>8</w:t>
            </w:r>
            <w:r w:rsidR="00604FA0" w:rsidRPr="005D5F2E">
              <w:rPr>
                <w:rFonts w:asciiTheme="majorHAnsi" w:hAnsiTheme="majorHAnsi"/>
                <w:b/>
                <w:sz w:val="20"/>
              </w:rPr>
              <w:t xml:space="preserve">. </w:t>
            </w:r>
            <w:r w:rsidR="00604FA0" w:rsidRPr="00926206">
              <w:rPr>
                <w:rFonts w:asciiTheme="majorHAnsi" w:eastAsia="Times New Roman" w:hAnsiTheme="majorHAnsi" w:cs="Arial"/>
                <w:b/>
                <w:sz w:val="20"/>
                <w:szCs w:val="20"/>
                <w:lang w:eastAsia="es-ES"/>
              </w:rPr>
              <w:t>Métodos de prueba.</w:t>
            </w:r>
          </w:p>
          <w:p w:rsidR="001B7135" w:rsidRDefault="00B0317C" w:rsidP="001B7135">
            <w:pPr>
              <w:pStyle w:val="Prrafodelista"/>
              <w:jc w:val="both"/>
              <w:rPr>
                <w:rFonts w:asciiTheme="majorHAnsi" w:hAnsiTheme="majorHAnsi"/>
                <w:sz w:val="20"/>
              </w:rPr>
            </w:pPr>
            <w:r w:rsidRPr="005D5F2E">
              <w:rPr>
                <w:rFonts w:asciiTheme="majorHAnsi" w:hAnsiTheme="majorHAnsi"/>
                <w:b/>
                <w:sz w:val="20"/>
              </w:rPr>
              <w:t>Justificación:</w:t>
            </w:r>
            <w:r w:rsidRPr="005D5F2E">
              <w:rPr>
                <w:rFonts w:asciiTheme="majorHAnsi" w:hAnsiTheme="majorHAnsi"/>
                <w:sz w:val="20"/>
              </w:rPr>
              <w:t xml:space="preserve"> </w:t>
            </w:r>
            <w:r w:rsidR="00926206">
              <w:rPr>
                <w:rFonts w:asciiTheme="majorHAnsi" w:hAnsiTheme="majorHAnsi"/>
                <w:sz w:val="20"/>
              </w:rPr>
              <w:t>S</w:t>
            </w:r>
            <w:r w:rsidR="001B7135" w:rsidRPr="005D5F2E">
              <w:rPr>
                <w:rFonts w:asciiTheme="majorHAnsi" w:hAnsiTheme="majorHAnsi"/>
                <w:sz w:val="20"/>
              </w:rPr>
              <w:t xml:space="preserve">e comprueba que la información contenida en el manual de </w:t>
            </w:r>
            <w:r w:rsidR="00536EA6">
              <w:rPr>
                <w:rFonts w:asciiTheme="majorHAnsi" w:hAnsiTheme="majorHAnsi"/>
                <w:sz w:val="20"/>
              </w:rPr>
              <w:t>Equipo Terminal Móvil</w:t>
            </w:r>
            <w:r w:rsidR="001B7135" w:rsidRPr="005D5F2E">
              <w:rPr>
                <w:rFonts w:asciiTheme="majorHAnsi" w:hAnsiTheme="majorHAnsi"/>
                <w:sz w:val="20"/>
              </w:rPr>
              <w:t xml:space="preserve">, </w:t>
            </w:r>
            <w:r w:rsidR="00926206" w:rsidRPr="00926206">
              <w:rPr>
                <w:rFonts w:asciiTheme="majorHAnsi" w:hAnsiTheme="majorHAnsi"/>
                <w:sz w:val="20"/>
              </w:rPr>
              <w:t>impreso o  en formato digital que se encuentre en idioma español, que contenga información suficiente, clara y veraz de sus características técnicas, así como los procedimientos de configuración, ajuste, operación,  y resolución de problemas del mismo.</w:t>
            </w:r>
            <w:r w:rsidR="001B7135" w:rsidRPr="005D5F2E">
              <w:rPr>
                <w:rFonts w:asciiTheme="majorHAnsi" w:hAnsiTheme="majorHAnsi"/>
                <w:sz w:val="20"/>
              </w:rPr>
              <w:t xml:space="preserve"> </w:t>
            </w:r>
          </w:p>
          <w:p w:rsidR="007C72C7" w:rsidRPr="005D5F2E" w:rsidRDefault="007C72C7" w:rsidP="001B7135">
            <w:pPr>
              <w:pStyle w:val="Prrafodelista"/>
              <w:jc w:val="both"/>
              <w:rPr>
                <w:rFonts w:asciiTheme="majorHAnsi" w:hAnsiTheme="majorHAnsi"/>
                <w:sz w:val="20"/>
              </w:rPr>
            </w:pPr>
          </w:p>
          <w:p w:rsidR="007C72C7" w:rsidRPr="005D5F2E" w:rsidRDefault="007C72C7" w:rsidP="007C72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Pr>
                <w:b/>
                <w:sz w:val="20"/>
              </w:rPr>
              <w:t xml:space="preserve"> </w:t>
            </w:r>
            <w:r w:rsidRPr="007C72C7">
              <w:rPr>
                <w:sz w:val="20"/>
              </w:rPr>
              <w:t>Obligación</w:t>
            </w:r>
            <w:r w:rsidRPr="00AF334A">
              <w:rPr>
                <w:sz w:val="20"/>
              </w:rPr>
              <w:t xml:space="preserve"> de </w:t>
            </w:r>
            <w:r>
              <w:rPr>
                <w:sz w:val="20"/>
              </w:rPr>
              <w:t>efectuar la Vigilancia del cumplimiento de la certificación.</w:t>
            </w:r>
          </w:p>
          <w:p w:rsidR="007C72C7" w:rsidRPr="005D5F2E" w:rsidRDefault="007C72C7" w:rsidP="007C72C7">
            <w:pPr>
              <w:ind w:left="708"/>
              <w:jc w:val="both"/>
              <w:rPr>
                <w:sz w:val="20"/>
              </w:rPr>
            </w:pPr>
            <w:r w:rsidRPr="005D5F2E">
              <w:rPr>
                <w:b/>
                <w:sz w:val="20"/>
              </w:rPr>
              <w:t xml:space="preserve">Artículos aplicables: </w:t>
            </w:r>
            <w:r w:rsidRPr="005D5F2E">
              <w:rPr>
                <w:rFonts w:asciiTheme="majorHAnsi" w:eastAsia="Times New Roman" w:hAnsiTheme="majorHAnsi" w:cs="Arial"/>
                <w:sz w:val="20"/>
                <w:szCs w:val="20"/>
                <w:lang w:eastAsia="es-ES"/>
              </w:rPr>
              <w:t xml:space="preserve">Numeral </w:t>
            </w:r>
            <w:r w:rsidRPr="00C35DA8">
              <w:rPr>
                <w:rFonts w:asciiTheme="majorHAnsi" w:eastAsia="Times New Roman" w:hAnsiTheme="majorHAnsi" w:cs="Arial"/>
                <w:b/>
                <w:sz w:val="20"/>
                <w:szCs w:val="20"/>
                <w:lang w:eastAsia="es-ES"/>
              </w:rPr>
              <w:t>8.1</w:t>
            </w:r>
            <w:r>
              <w:rPr>
                <w:rFonts w:asciiTheme="majorHAnsi" w:eastAsia="Times New Roman" w:hAnsiTheme="majorHAnsi" w:cs="Arial"/>
                <w:b/>
                <w:sz w:val="20"/>
                <w:szCs w:val="20"/>
                <w:lang w:eastAsia="es-ES"/>
              </w:rPr>
              <w:t xml:space="preserve"> </w:t>
            </w:r>
            <w:r w:rsidRPr="007C72C7">
              <w:rPr>
                <w:rFonts w:asciiTheme="majorHAnsi" w:eastAsia="Times New Roman" w:hAnsiTheme="majorHAnsi" w:cs="Arial"/>
                <w:b/>
                <w:sz w:val="20"/>
                <w:szCs w:val="20"/>
                <w:lang w:eastAsia="es-ES"/>
              </w:rPr>
              <w:t>Vigilancia del cumplimiento de la certificación</w:t>
            </w:r>
            <w:r w:rsidRPr="005D5F2E">
              <w:rPr>
                <w:rFonts w:asciiTheme="majorHAnsi" w:eastAsia="Times New Roman" w:hAnsiTheme="majorHAnsi" w:cs="Arial"/>
                <w:sz w:val="20"/>
                <w:szCs w:val="20"/>
                <w:lang w:eastAsia="es-ES"/>
              </w:rPr>
              <w:t>.</w:t>
            </w:r>
          </w:p>
          <w:p w:rsidR="007C72C7" w:rsidRDefault="007C72C7" w:rsidP="007C72C7">
            <w:pPr>
              <w:pStyle w:val="Prrafodelista"/>
              <w:jc w:val="both"/>
              <w:rPr>
                <w:rFonts w:asciiTheme="majorHAnsi" w:hAnsiTheme="majorHAnsi"/>
                <w:sz w:val="20"/>
              </w:rPr>
            </w:pPr>
            <w:r w:rsidRPr="005D5F2E">
              <w:rPr>
                <w:b/>
                <w:sz w:val="20"/>
              </w:rPr>
              <w:t xml:space="preserve">Justificación: </w:t>
            </w:r>
            <w:r w:rsidRPr="00E56D62">
              <w:rPr>
                <w:sz w:val="20"/>
              </w:rPr>
              <w:t xml:space="preserve">A efecto de </w:t>
            </w:r>
            <w:r w:rsidRPr="007C72C7">
              <w:rPr>
                <w:sz w:val="20"/>
              </w:rPr>
              <w:t xml:space="preserve">comprobar que </w:t>
            </w:r>
            <w:r>
              <w:rPr>
                <w:sz w:val="20"/>
              </w:rPr>
              <w:t>los</w:t>
            </w:r>
            <w:r w:rsidRPr="007C72C7">
              <w:rPr>
                <w:sz w:val="20"/>
              </w:rPr>
              <w:t xml:space="preserve"> ETM </w:t>
            </w:r>
            <w:r>
              <w:rPr>
                <w:sz w:val="20"/>
              </w:rPr>
              <w:t xml:space="preserve">que </w:t>
            </w:r>
            <w:r w:rsidRPr="007C72C7">
              <w:rPr>
                <w:sz w:val="20"/>
              </w:rPr>
              <w:t xml:space="preserve">cuenten con un Certificado de Conformidad conforme a la </w:t>
            </w:r>
            <w:r>
              <w:rPr>
                <w:sz w:val="20"/>
              </w:rPr>
              <w:t xml:space="preserve">referida </w:t>
            </w:r>
            <w:r w:rsidRPr="007C72C7">
              <w:rPr>
                <w:sz w:val="20"/>
              </w:rPr>
              <w:t>Disposición Técnica continúan cumpliendo con las condiciones y requisitos correspondientes y, por tanto, para mantener vigente el Certificado de Conformidad</w:t>
            </w:r>
            <w:r w:rsidRPr="005D5F2E">
              <w:rPr>
                <w:rFonts w:asciiTheme="majorHAnsi" w:hAnsiTheme="majorHAnsi"/>
                <w:sz w:val="20"/>
              </w:rPr>
              <w:t xml:space="preserve">. </w:t>
            </w:r>
          </w:p>
          <w:p w:rsidR="00AF334A" w:rsidRDefault="00AF334A" w:rsidP="007C72C7">
            <w:pPr>
              <w:pStyle w:val="Prrafodelista"/>
              <w:jc w:val="both"/>
              <w:rPr>
                <w:rFonts w:asciiTheme="majorHAnsi" w:hAnsiTheme="majorHAnsi"/>
                <w:sz w:val="20"/>
              </w:rPr>
            </w:pPr>
          </w:p>
          <w:p w:rsidR="00AF334A" w:rsidRPr="00C35DA8" w:rsidRDefault="00AF334A" w:rsidP="00C155AF">
            <w:pPr>
              <w:pStyle w:val="Prrafodelista"/>
              <w:numPr>
                <w:ilvl w:val="0"/>
                <w:numId w:val="2"/>
              </w:numPr>
              <w:jc w:val="both"/>
              <w:rPr>
                <w:rFonts w:asciiTheme="majorHAnsi" w:eastAsia="Times New Roman" w:hAnsiTheme="majorHAnsi" w:cs="Arial"/>
                <w:sz w:val="20"/>
                <w:szCs w:val="20"/>
                <w:lang w:eastAsia="es-ES"/>
              </w:rPr>
            </w:pPr>
            <w:r w:rsidRPr="00C35DA8">
              <w:rPr>
                <w:b/>
                <w:sz w:val="20"/>
              </w:rPr>
              <w:t xml:space="preserve">Tipo: </w:t>
            </w:r>
            <w:r w:rsidRPr="00C35DA8">
              <w:rPr>
                <w:sz w:val="20"/>
              </w:rPr>
              <w:t xml:space="preserve">Obligación de efectuar la </w:t>
            </w:r>
            <w:r w:rsidR="00C35DA8" w:rsidRPr="00C155AF">
              <w:rPr>
                <w:rFonts w:asciiTheme="majorHAnsi" w:eastAsia="Times New Roman" w:hAnsiTheme="majorHAnsi" w:cs="Arial"/>
                <w:sz w:val="20"/>
                <w:szCs w:val="20"/>
                <w:lang w:eastAsia="es-ES"/>
              </w:rPr>
              <w:t>Visita de Vigilancia del cumplimiento de la certificación</w:t>
            </w:r>
            <w:r w:rsidR="00C35DA8" w:rsidRPr="00C35DA8">
              <w:rPr>
                <w:rFonts w:asciiTheme="majorHAnsi" w:eastAsia="Times New Roman" w:hAnsiTheme="majorHAnsi" w:cs="Arial"/>
                <w:sz w:val="20"/>
                <w:szCs w:val="20"/>
                <w:lang w:eastAsia="es-ES"/>
              </w:rPr>
              <w:t xml:space="preserve">. </w:t>
            </w:r>
          </w:p>
          <w:p w:rsidR="00AF334A" w:rsidRPr="005D5F2E" w:rsidRDefault="00AF334A" w:rsidP="00AF334A">
            <w:pPr>
              <w:ind w:left="708"/>
              <w:jc w:val="both"/>
              <w:rPr>
                <w:sz w:val="20"/>
              </w:rPr>
            </w:pPr>
            <w:r w:rsidRPr="005D5F2E">
              <w:rPr>
                <w:b/>
                <w:sz w:val="20"/>
              </w:rPr>
              <w:t xml:space="preserve">Artículos aplicables: </w:t>
            </w:r>
            <w:r w:rsidR="00C35DA8" w:rsidRPr="00C155AF">
              <w:rPr>
                <w:sz w:val="20"/>
              </w:rPr>
              <w:t xml:space="preserve">Numeral </w:t>
            </w:r>
            <w:r w:rsidR="00C35DA8" w:rsidRPr="00C35DA8">
              <w:rPr>
                <w:b/>
                <w:sz w:val="20"/>
              </w:rPr>
              <w:t xml:space="preserve">8.2. </w:t>
            </w:r>
            <w:r w:rsidR="00C35DA8" w:rsidRPr="00C155AF">
              <w:rPr>
                <w:rFonts w:asciiTheme="majorHAnsi" w:eastAsia="Times New Roman" w:hAnsiTheme="majorHAnsi" w:cs="Arial"/>
                <w:b/>
                <w:sz w:val="20"/>
                <w:szCs w:val="20"/>
                <w:lang w:eastAsia="es-ES"/>
              </w:rPr>
              <w:t>Visita de Vigilancia del cumplimiento de la certificación</w:t>
            </w:r>
            <w:r w:rsidR="00C155AF">
              <w:rPr>
                <w:rFonts w:asciiTheme="majorHAnsi" w:eastAsia="Times New Roman" w:hAnsiTheme="majorHAnsi" w:cs="Arial"/>
                <w:b/>
                <w:sz w:val="20"/>
                <w:szCs w:val="20"/>
                <w:lang w:eastAsia="es-ES"/>
              </w:rPr>
              <w:t>.</w:t>
            </w:r>
          </w:p>
          <w:p w:rsidR="00AF334A" w:rsidRDefault="00AF334A" w:rsidP="00AF334A">
            <w:pPr>
              <w:pStyle w:val="Prrafodelista"/>
              <w:jc w:val="both"/>
              <w:rPr>
                <w:sz w:val="20"/>
              </w:rPr>
            </w:pPr>
            <w:r w:rsidRPr="005D5F2E">
              <w:rPr>
                <w:b/>
                <w:sz w:val="20"/>
              </w:rPr>
              <w:t xml:space="preserve">Justificación: </w:t>
            </w:r>
            <w:r w:rsidR="00C35DA8">
              <w:rPr>
                <w:sz w:val="20"/>
              </w:rPr>
              <w:t xml:space="preserve">La Visita de vigilancia del cumplimiento de la certificación, es el instrumento por el cual </w:t>
            </w:r>
            <w:r w:rsidR="00772BD5">
              <w:rPr>
                <w:sz w:val="20"/>
              </w:rPr>
              <w:t>e</w:t>
            </w:r>
            <w:r w:rsidR="00C35DA8">
              <w:rPr>
                <w:sz w:val="20"/>
              </w:rPr>
              <w:t>l O</w:t>
            </w:r>
            <w:r w:rsidR="00C7449E">
              <w:rPr>
                <w:sz w:val="20"/>
              </w:rPr>
              <w:t xml:space="preserve">rganismo de </w:t>
            </w:r>
            <w:r w:rsidR="00C35DA8">
              <w:rPr>
                <w:sz w:val="20"/>
              </w:rPr>
              <w:t>C</w:t>
            </w:r>
            <w:r w:rsidR="00C7449E">
              <w:rPr>
                <w:sz w:val="20"/>
              </w:rPr>
              <w:t>ertificación</w:t>
            </w:r>
            <w:r w:rsidR="00C35DA8">
              <w:rPr>
                <w:sz w:val="20"/>
              </w:rPr>
              <w:t xml:space="preserve"> a través de los </w:t>
            </w:r>
            <w:r w:rsidR="00C7449E">
              <w:rPr>
                <w:sz w:val="20"/>
              </w:rPr>
              <w:t xml:space="preserve">Laboratorios de </w:t>
            </w:r>
            <w:r w:rsidR="00C35DA8">
              <w:rPr>
                <w:sz w:val="20"/>
              </w:rPr>
              <w:t>P</w:t>
            </w:r>
            <w:r w:rsidR="00C7449E">
              <w:rPr>
                <w:sz w:val="20"/>
              </w:rPr>
              <w:t>rueba</w:t>
            </w:r>
            <w:r w:rsidR="00C35DA8">
              <w:rPr>
                <w:sz w:val="20"/>
              </w:rPr>
              <w:t xml:space="preserve">, constatará que los ETM </w:t>
            </w:r>
            <w:r w:rsidRPr="007C72C7">
              <w:rPr>
                <w:sz w:val="20"/>
              </w:rPr>
              <w:t xml:space="preserve">continúan cumpliendo con las condiciones y requisitos </w:t>
            </w:r>
            <w:r w:rsidR="00C35DA8">
              <w:rPr>
                <w:sz w:val="20"/>
              </w:rPr>
              <w:t xml:space="preserve">establecidos en la referida disposición. </w:t>
            </w:r>
          </w:p>
          <w:p w:rsidR="006E6A24" w:rsidRDefault="006E6A24" w:rsidP="00AF334A">
            <w:pPr>
              <w:pStyle w:val="Prrafodelista"/>
              <w:jc w:val="both"/>
              <w:rPr>
                <w:sz w:val="20"/>
              </w:rPr>
            </w:pPr>
          </w:p>
          <w:p w:rsidR="006E6A24" w:rsidRPr="00C35DA8" w:rsidRDefault="006E6A24" w:rsidP="006E6A24">
            <w:pPr>
              <w:pStyle w:val="Prrafodelista"/>
              <w:numPr>
                <w:ilvl w:val="0"/>
                <w:numId w:val="2"/>
              </w:numPr>
              <w:jc w:val="both"/>
              <w:rPr>
                <w:rFonts w:asciiTheme="majorHAnsi" w:eastAsia="Times New Roman" w:hAnsiTheme="majorHAnsi" w:cs="Arial"/>
                <w:sz w:val="20"/>
                <w:szCs w:val="20"/>
                <w:lang w:eastAsia="es-ES"/>
              </w:rPr>
            </w:pPr>
            <w:r w:rsidRPr="00C35DA8">
              <w:rPr>
                <w:b/>
                <w:sz w:val="20"/>
              </w:rPr>
              <w:t xml:space="preserve">Tipo: </w:t>
            </w:r>
            <w:r w:rsidRPr="00C35DA8">
              <w:rPr>
                <w:sz w:val="20"/>
              </w:rPr>
              <w:t xml:space="preserve">Obligación de </w:t>
            </w:r>
            <w:r>
              <w:rPr>
                <w:sz w:val="20"/>
              </w:rPr>
              <w:t>V</w:t>
            </w:r>
            <w:r w:rsidRPr="006E6A24">
              <w:rPr>
                <w:sz w:val="20"/>
              </w:rPr>
              <w:t>erificación y vigilancia del cumplimiento de la disposición técnica</w:t>
            </w:r>
            <w:r w:rsidRPr="00C35DA8">
              <w:rPr>
                <w:rFonts w:asciiTheme="majorHAnsi" w:eastAsia="Times New Roman" w:hAnsiTheme="majorHAnsi" w:cs="Arial"/>
                <w:sz w:val="20"/>
                <w:szCs w:val="20"/>
                <w:lang w:eastAsia="es-ES"/>
              </w:rPr>
              <w:t xml:space="preserve">. </w:t>
            </w:r>
          </w:p>
          <w:p w:rsidR="006E6A24" w:rsidRPr="005D5F2E" w:rsidRDefault="006E6A24" w:rsidP="006E6A24">
            <w:pPr>
              <w:ind w:left="708"/>
              <w:jc w:val="both"/>
              <w:rPr>
                <w:sz w:val="20"/>
              </w:rPr>
            </w:pPr>
            <w:r w:rsidRPr="005D5F2E">
              <w:rPr>
                <w:b/>
                <w:sz w:val="20"/>
              </w:rPr>
              <w:t xml:space="preserve">Artículos aplicables: </w:t>
            </w:r>
            <w:r w:rsidRPr="00B146D8">
              <w:rPr>
                <w:sz w:val="20"/>
              </w:rPr>
              <w:t xml:space="preserve">Numeral </w:t>
            </w:r>
            <w:r>
              <w:rPr>
                <w:sz w:val="20"/>
              </w:rPr>
              <w:t>9</w:t>
            </w:r>
            <w:r w:rsidRPr="00C35DA8">
              <w:rPr>
                <w:b/>
                <w:sz w:val="20"/>
              </w:rPr>
              <w:t xml:space="preserve">. </w:t>
            </w:r>
            <w:r w:rsidRPr="006E6A24">
              <w:rPr>
                <w:rFonts w:asciiTheme="majorHAnsi" w:eastAsia="Times New Roman" w:hAnsiTheme="majorHAnsi" w:cs="Arial"/>
                <w:b/>
                <w:sz w:val="20"/>
                <w:szCs w:val="20"/>
                <w:lang w:eastAsia="es-ES"/>
              </w:rPr>
              <w:t>Verificación y vigilancia del cumplimiento de la disposición técnica.</w:t>
            </w:r>
          </w:p>
          <w:p w:rsidR="006E6A24" w:rsidRPr="00C155AF" w:rsidRDefault="006E6A24" w:rsidP="006E6A24">
            <w:pPr>
              <w:pStyle w:val="Prrafodelista"/>
              <w:jc w:val="both"/>
              <w:rPr>
                <w:sz w:val="20"/>
              </w:rPr>
            </w:pPr>
            <w:r w:rsidRPr="005D5F2E">
              <w:rPr>
                <w:b/>
                <w:sz w:val="20"/>
              </w:rPr>
              <w:t xml:space="preserve">Justificación: </w:t>
            </w:r>
            <w:r w:rsidRPr="00C155AF">
              <w:rPr>
                <w:sz w:val="20"/>
              </w:rPr>
              <w:t xml:space="preserve">Es necesario establecer que </w:t>
            </w:r>
            <w:r>
              <w:rPr>
                <w:sz w:val="20"/>
              </w:rPr>
              <w:t>c</w:t>
            </w:r>
            <w:r w:rsidRPr="00C155AF">
              <w:rPr>
                <w:sz w:val="20"/>
              </w:rPr>
              <w:t>orresponde al Instituto en el ámbito de su competencia, la verificación y vigilancia del cumplimiento de la presente Disposición Técnica, de conformidad con las disposiciones jurídicas aplicables.</w:t>
            </w:r>
          </w:p>
          <w:p w:rsidR="006E6A24" w:rsidRPr="006E6A24" w:rsidRDefault="006E6A24" w:rsidP="00AF334A">
            <w:pPr>
              <w:pStyle w:val="Prrafodelista"/>
              <w:jc w:val="both"/>
              <w:rPr>
                <w:sz w:val="20"/>
              </w:rPr>
            </w:pPr>
            <w:r w:rsidRPr="00C155AF">
              <w:rPr>
                <w:sz w:val="20"/>
              </w:rPr>
              <w:t xml:space="preserve">Para efectos de lo anterior, y con el objeto de determinar que los ETM, cumplen con las especificaciones establecidos en la presente Disposición Técnica, se deben utilizar los métodos de prueba descritos en el numeral </w:t>
            </w:r>
            <w:r>
              <w:rPr>
                <w:sz w:val="20"/>
              </w:rPr>
              <w:t>5.</w:t>
            </w:r>
          </w:p>
          <w:p w:rsidR="00274E30" w:rsidRPr="005D5F2E" w:rsidRDefault="00274E30" w:rsidP="00274E30">
            <w:pPr>
              <w:pStyle w:val="Prrafodelista"/>
              <w:jc w:val="both"/>
              <w:rPr>
                <w:sz w:val="20"/>
              </w:rPr>
            </w:pPr>
          </w:p>
          <w:p w:rsidR="00875355" w:rsidRPr="005D5F2E" w:rsidRDefault="00875355"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2172C8" w:rsidRPr="005D5F2E">
              <w:rPr>
                <w:rFonts w:asciiTheme="majorHAnsi" w:hAnsiTheme="majorHAnsi"/>
                <w:sz w:val="20"/>
              </w:rPr>
              <w:t>Contener</w:t>
            </w:r>
            <w:r w:rsidR="00910280" w:rsidRPr="005D5F2E">
              <w:rPr>
                <w:rFonts w:asciiTheme="majorHAnsi" w:hAnsiTheme="majorHAnsi"/>
                <w:sz w:val="20"/>
              </w:rPr>
              <w:t xml:space="preserve"> contraseña del producto</w:t>
            </w:r>
            <w:r w:rsidR="0004690C" w:rsidRPr="005D5F2E">
              <w:rPr>
                <w:rFonts w:asciiTheme="majorHAnsi" w:hAnsiTheme="majorHAnsi"/>
                <w:sz w:val="20"/>
              </w:rPr>
              <w:t>.</w:t>
            </w:r>
          </w:p>
          <w:p w:rsidR="00875355" w:rsidRPr="005D5F2E" w:rsidRDefault="00875355" w:rsidP="00875355">
            <w:pPr>
              <w:ind w:left="708"/>
              <w:jc w:val="both"/>
              <w:rPr>
                <w:sz w:val="20"/>
              </w:rPr>
            </w:pPr>
            <w:r w:rsidRPr="005D5F2E">
              <w:rPr>
                <w:b/>
                <w:sz w:val="20"/>
              </w:rPr>
              <w:t>Artículos aplicables:</w:t>
            </w:r>
            <w:r w:rsidRPr="005D5F2E">
              <w:rPr>
                <w:sz w:val="20"/>
              </w:rPr>
              <w:t xml:space="preserve"> </w:t>
            </w:r>
            <w:r w:rsidRPr="005D5F2E">
              <w:rPr>
                <w:rFonts w:asciiTheme="majorHAnsi" w:hAnsiTheme="majorHAnsi"/>
                <w:sz w:val="20"/>
              </w:rPr>
              <w:t xml:space="preserve">Numeral </w:t>
            </w:r>
            <w:r w:rsidR="00910280" w:rsidRPr="0069550C">
              <w:rPr>
                <w:rFonts w:asciiTheme="majorHAnsi" w:hAnsiTheme="majorHAnsi"/>
                <w:b/>
                <w:sz w:val="20"/>
              </w:rPr>
              <w:t>10.</w:t>
            </w:r>
            <w:r w:rsidR="0010535B" w:rsidRPr="0069550C">
              <w:rPr>
                <w:rFonts w:asciiTheme="majorHAnsi" w:hAnsiTheme="majorHAnsi"/>
                <w:b/>
                <w:sz w:val="20"/>
              </w:rPr>
              <w:t xml:space="preserve"> Contraseña del Producto.</w:t>
            </w:r>
          </w:p>
          <w:p w:rsidR="00875355" w:rsidRPr="005D5F2E" w:rsidRDefault="00875355" w:rsidP="007C5BE5">
            <w:pPr>
              <w:pStyle w:val="Prrafodelista"/>
              <w:jc w:val="both"/>
              <w:rPr>
                <w:sz w:val="20"/>
              </w:rPr>
            </w:pPr>
            <w:r w:rsidRPr="005D5F2E">
              <w:rPr>
                <w:b/>
                <w:sz w:val="20"/>
              </w:rPr>
              <w:t>Justificación:</w:t>
            </w:r>
            <w:r w:rsidRPr="005D5F2E">
              <w:rPr>
                <w:sz w:val="20"/>
              </w:rPr>
              <w:t xml:space="preserve"> </w:t>
            </w:r>
            <w:r w:rsidR="007C5BE5" w:rsidRPr="005D5F2E">
              <w:rPr>
                <w:rFonts w:asciiTheme="majorHAnsi" w:hAnsiTheme="majorHAnsi"/>
                <w:sz w:val="20"/>
              </w:rPr>
              <w:t xml:space="preserve">Se requiere de </w:t>
            </w:r>
            <w:r w:rsidR="002172C8" w:rsidRPr="005D5F2E">
              <w:rPr>
                <w:rFonts w:asciiTheme="majorHAnsi" w:hAnsiTheme="majorHAnsi"/>
                <w:sz w:val="20"/>
              </w:rPr>
              <w:t>l</w:t>
            </w:r>
            <w:r w:rsidR="00910280" w:rsidRPr="005D5F2E">
              <w:rPr>
                <w:rFonts w:asciiTheme="majorHAnsi" w:hAnsiTheme="majorHAnsi"/>
                <w:sz w:val="20"/>
              </w:rPr>
              <w:t>a contraseña del producto</w:t>
            </w:r>
            <w:r w:rsidR="007C5BE5" w:rsidRPr="005D5F2E">
              <w:rPr>
                <w:rFonts w:asciiTheme="majorHAnsi" w:hAnsiTheme="majorHAnsi"/>
                <w:sz w:val="20"/>
              </w:rPr>
              <w:t xml:space="preserve">, ya que ésta permitirá </w:t>
            </w:r>
            <w:r w:rsidR="00910280" w:rsidRPr="005D5F2E">
              <w:rPr>
                <w:rFonts w:asciiTheme="majorHAnsi" w:hAnsiTheme="majorHAnsi"/>
                <w:sz w:val="20"/>
              </w:rPr>
              <w:t xml:space="preserve">corroborar de forma visual e inmediata que el equipo está amparado por un </w:t>
            </w:r>
            <w:r w:rsidR="009941BA">
              <w:rPr>
                <w:rFonts w:asciiTheme="majorHAnsi" w:hAnsiTheme="majorHAnsi"/>
                <w:sz w:val="20"/>
              </w:rPr>
              <w:t>C</w:t>
            </w:r>
            <w:r w:rsidR="00910280" w:rsidRPr="005D5F2E">
              <w:rPr>
                <w:rFonts w:asciiTheme="majorHAnsi" w:hAnsiTheme="majorHAnsi"/>
                <w:sz w:val="20"/>
              </w:rPr>
              <w:t>ertificado de ho</w:t>
            </w:r>
            <w:r w:rsidR="00B65C89" w:rsidRPr="005D5F2E">
              <w:rPr>
                <w:rFonts w:asciiTheme="majorHAnsi" w:hAnsiTheme="majorHAnsi"/>
                <w:sz w:val="20"/>
              </w:rPr>
              <w:t>mo</w:t>
            </w:r>
            <w:r w:rsidR="00910280" w:rsidRPr="005D5F2E">
              <w:rPr>
                <w:rFonts w:asciiTheme="majorHAnsi" w:hAnsiTheme="majorHAnsi"/>
                <w:sz w:val="20"/>
              </w:rPr>
              <w:t>logación.</w:t>
            </w:r>
          </w:p>
          <w:p w:rsidR="00875355" w:rsidRPr="005D5F2E" w:rsidRDefault="00875355" w:rsidP="005173EC">
            <w:pPr>
              <w:pStyle w:val="Prrafodelista"/>
              <w:jc w:val="both"/>
              <w:rPr>
                <w:rFonts w:asciiTheme="majorHAnsi" w:eastAsia="Times New Roman" w:hAnsiTheme="majorHAnsi" w:cs="Arial"/>
                <w:sz w:val="20"/>
                <w:szCs w:val="20"/>
                <w:lang w:eastAsia="es-ES"/>
              </w:rPr>
            </w:pPr>
          </w:p>
          <w:p w:rsidR="00B65C89" w:rsidRPr="003824F3" w:rsidRDefault="00B65C89" w:rsidP="001B7DC7">
            <w:pPr>
              <w:pStyle w:val="Prrafodelista"/>
              <w:numPr>
                <w:ilvl w:val="0"/>
                <w:numId w:val="2"/>
              </w:numPr>
              <w:jc w:val="both"/>
              <w:rPr>
                <w:rFonts w:asciiTheme="majorHAnsi" w:eastAsia="Times New Roman" w:hAnsiTheme="majorHAnsi" w:cs="Arial"/>
                <w:sz w:val="20"/>
                <w:szCs w:val="20"/>
                <w:lang w:eastAsia="es-ES"/>
              </w:rPr>
            </w:pPr>
            <w:r w:rsidRPr="003824F3">
              <w:rPr>
                <w:b/>
                <w:sz w:val="20"/>
              </w:rPr>
              <w:t>Tipo:</w:t>
            </w:r>
            <w:r w:rsidRPr="003824F3">
              <w:rPr>
                <w:sz w:val="20"/>
              </w:rPr>
              <w:t xml:space="preserve"> </w:t>
            </w:r>
            <w:r w:rsidR="0004690C" w:rsidRPr="003824F3">
              <w:rPr>
                <w:rFonts w:asciiTheme="majorHAnsi" w:hAnsiTheme="majorHAnsi"/>
                <w:sz w:val="20"/>
              </w:rPr>
              <w:t>Tiempo de entrada en vigor de la</w:t>
            </w:r>
            <w:r w:rsidRPr="003824F3">
              <w:rPr>
                <w:rFonts w:asciiTheme="majorHAnsi" w:hAnsiTheme="majorHAnsi"/>
                <w:sz w:val="20"/>
              </w:rPr>
              <w:t xml:space="preserve"> Disposición Técnica</w:t>
            </w:r>
            <w:r w:rsidR="0004690C" w:rsidRPr="003824F3">
              <w:rPr>
                <w:rFonts w:asciiTheme="majorHAnsi" w:hAnsiTheme="majorHAnsi"/>
                <w:sz w:val="20"/>
              </w:rPr>
              <w:t>.</w:t>
            </w:r>
          </w:p>
          <w:p w:rsidR="00B65C89" w:rsidRPr="003824F3" w:rsidRDefault="00B65C89" w:rsidP="00B65C89">
            <w:pPr>
              <w:ind w:left="708"/>
              <w:jc w:val="both"/>
              <w:rPr>
                <w:sz w:val="20"/>
              </w:rPr>
            </w:pPr>
            <w:r w:rsidRPr="003824F3">
              <w:rPr>
                <w:b/>
                <w:sz w:val="20"/>
              </w:rPr>
              <w:t>Artículos aplicables:</w:t>
            </w:r>
            <w:r w:rsidRPr="003824F3">
              <w:rPr>
                <w:sz w:val="20"/>
              </w:rPr>
              <w:t xml:space="preserve"> </w:t>
            </w:r>
            <w:r w:rsidRPr="003824F3">
              <w:rPr>
                <w:rFonts w:asciiTheme="majorHAnsi" w:hAnsiTheme="majorHAnsi"/>
                <w:sz w:val="20"/>
              </w:rPr>
              <w:t>Primer Transitorio</w:t>
            </w:r>
            <w:r w:rsidR="0004690C" w:rsidRPr="003824F3">
              <w:rPr>
                <w:rFonts w:asciiTheme="majorHAnsi" w:hAnsiTheme="majorHAnsi"/>
                <w:sz w:val="20"/>
              </w:rPr>
              <w:t>.</w:t>
            </w:r>
          </w:p>
          <w:p w:rsidR="00B65C89" w:rsidRPr="005D5F2E" w:rsidRDefault="00B65C89" w:rsidP="00B65C89">
            <w:pPr>
              <w:pStyle w:val="Prrafodelista"/>
              <w:jc w:val="both"/>
              <w:rPr>
                <w:sz w:val="20"/>
              </w:rPr>
            </w:pPr>
            <w:r w:rsidRPr="003824F3">
              <w:rPr>
                <w:b/>
                <w:sz w:val="20"/>
              </w:rPr>
              <w:t>Justificación:</w:t>
            </w:r>
            <w:r w:rsidR="0004690C" w:rsidRPr="003824F3">
              <w:rPr>
                <w:b/>
                <w:sz w:val="20"/>
              </w:rPr>
              <w:t xml:space="preserve"> </w:t>
            </w:r>
            <w:r w:rsidR="0004690C" w:rsidRPr="003824F3">
              <w:rPr>
                <w:rFonts w:asciiTheme="majorHAnsi" w:hAnsiTheme="majorHAnsi"/>
                <w:sz w:val="20"/>
              </w:rPr>
              <w:t xml:space="preserve">Se establece </w:t>
            </w:r>
            <w:r w:rsidR="004254AC">
              <w:rPr>
                <w:rFonts w:asciiTheme="majorHAnsi" w:hAnsiTheme="majorHAnsi"/>
                <w:sz w:val="20"/>
              </w:rPr>
              <w:t xml:space="preserve">que </w:t>
            </w:r>
            <w:r w:rsidR="0004690C" w:rsidRPr="003824F3">
              <w:rPr>
                <w:rFonts w:asciiTheme="majorHAnsi" w:hAnsiTheme="majorHAnsi"/>
                <w:sz w:val="20"/>
              </w:rPr>
              <w:t>la Disposición Técnica entr</w:t>
            </w:r>
            <w:r w:rsidR="0069550C" w:rsidRPr="003824F3">
              <w:rPr>
                <w:rFonts w:asciiTheme="majorHAnsi" w:hAnsiTheme="majorHAnsi"/>
                <w:sz w:val="20"/>
              </w:rPr>
              <w:t xml:space="preserve">ará </w:t>
            </w:r>
            <w:r w:rsidR="0004690C" w:rsidRPr="003824F3">
              <w:rPr>
                <w:rFonts w:asciiTheme="majorHAnsi" w:hAnsiTheme="majorHAnsi"/>
                <w:sz w:val="20"/>
              </w:rPr>
              <w:t xml:space="preserve">en vigor </w:t>
            </w:r>
            <w:r w:rsidR="00451BC0">
              <w:rPr>
                <w:rFonts w:asciiTheme="majorHAnsi" w:hAnsiTheme="majorHAnsi"/>
                <w:sz w:val="20"/>
              </w:rPr>
              <w:t xml:space="preserve">el día de su </w:t>
            </w:r>
            <w:r w:rsidR="0004690C" w:rsidRPr="003824F3">
              <w:rPr>
                <w:rFonts w:asciiTheme="majorHAnsi" w:hAnsiTheme="majorHAnsi"/>
                <w:sz w:val="20"/>
              </w:rPr>
              <w:t>publica</w:t>
            </w:r>
            <w:r w:rsidR="00451BC0">
              <w:rPr>
                <w:rFonts w:asciiTheme="majorHAnsi" w:hAnsiTheme="majorHAnsi"/>
                <w:sz w:val="20"/>
              </w:rPr>
              <w:t xml:space="preserve">ción </w:t>
            </w:r>
            <w:r w:rsidR="0004690C" w:rsidRPr="003824F3">
              <w:rPr>
                <w:rFonts w:asciiTheme="majorHAnsi" w:hAnsiTheme="majorHAnsi"/>
                <w:sz w:val="20"/>
              </w:rPr>
              <w:t>en el Diario Oficial de la Federación</w:t>
            </w:r>
            <w:r w:rsidR="004254AC">
              <w:rPr>
                <w:rFonts w:asciiTheme="majorHAnsi" w:hAnsiTheme="majorHAnsi"/>
                <w:sz w:val="20"/>
              </w:rPr>
              <w:t>.</w:t>
            </w:r>
          </w:p>
          <w:p w:rsidR="00B65C89" w:rsidRPr="005D5F2E" w:rsidRDefault="00B65C89" w:rsidP="00B65C89">
            <w:pPr>
              <w:pStyle w:val="Prrafodelista"/>
              <w:jc w:val="both"/>
              <w:rPr>
                <w:rFonts w:asciiTheme="majorHAnsi" w:eastAsia="Times New Roman" w:hAnsiTheme="majorHAnsi" w:cs="Arial"/>
                <w:sz w:val="20"/>
                <w:szCs w:val="20"/>
                <w:lang w:eastAsia="es-ES"/>
              </w:rPr>
            </w:pPr>
          </w:p>
          <w:p w:rsidR="004254AC" w:rsidRPr="00C06D5C" w:rsidRDefault="00B65C89" w:rsidP="004254AC">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4254AC">
              <w:rPr>
                <w:sz w:val="20"/>
              </w:rPr>
              <w:t>E</w:t>
            </w:r>
            <w:r w:rsidR="004254AC" w:rsidRPr="008F5EBD">
              <w:rPr>
                <w:rFonts w:asciiTheme="majorHAnsi" w:hAnsiTheme="majorHAnsi"/>
                <w:sz w:val="20"/>
              </w:rPr>
              <w:t>xclui</w:t>
            </w:r>
            <w:r w:rsidR="004254AC">
              <w:rPr>
                <w:rFonts w:asciiTheme="majorHAnsi" w:hAnsiTheme="majorHAnsi"/>
                <w:sz w:val="20"/>
              </w:rPr>
              <w:t>r</w:t>
            </w:r>
            <w:r w:rsidR="004254AC" w:rsidRPr="008F5EBD">
              <w:rPr>
                <w:rFonts w:asciiTheme="majorHAnsi" w:hAnsiTheme="majorHAnsi"/>
                <w:sz w:val="20"/>
              </w:rPr>
              <w:t xml:space="preserve"> aquellos Equipos Terminales Móviles cuyo Certificado de Homologación haya sido expedido antes de la entrada en vigor de la presente disposición.</w:t>
            </w:r>
          </w:p>
          <w:p w:rsidR="00B65C89" w:rsidRPr="005D5F2E" w:rsidRDefault="00B65C89" w:rsidP="00B65C89">
            <w:pPr>
              <w:ind w:left="708"/>
              <w:jc w:val="both"/>
              <w:rPr>
                <w:sz w:val="20"/>
              </w:rPr>
            </w:pPr>
            <w:r w:rsidRPr="005D5F2E">
              <w:rPr>
                <w:b/>
                <w:sz w:val="20"/>
              </w:rPr>
              <w:t>Artículos aplicables:</w:t>
            </w:r>
            <w:r w:rsidRPr="005D5F2E">
              <w:rPr>
                <w:sz w:val="20"/>
              </w:rPr>
              <w:t xml:space="preserve"> </w:t>
            </w:r>
            <w:r w:rsidR="0004690C" w:rsidRPr="005D5F2E">
              <w:rPr>
                <w:rFonts w:asciiTheme="majorHAnsi" w:hAnsiTheme="majorHAnsi"/>
                <w:sz w:val="20"/>
              </w:rPr>
              <w:t>Segundo Transitorio.</w:t>
            </w:r>
          </w:p>
          <w:p w:rsidR="004254AC" w:rsidRDefault="00B65C89" w:rsidP="00B65C89">
            <w:pPr>
              <w:pStyle w:val="Prrafodelista"/>
              <w:jc w:val="both"/>
              <w:rPr>
                <w:b/>
                <w:sz w:val="20"/>
              </w:rPr>
            </w:pPr>
            <w:r w:rsidRPr="005D5F2E">
              <w:rPr>
                <w:b/>
                <w:sz w:val="20"/>
              </w:rPr>
              <w:t>Justificación:</w:t>
            </w:r>
            <w:r w:rsidR="0004690C" w:rsidRPr="005D5F2E">
              <w:rPr>
                <w:b/>
                <w:sz w:val="20"/>
              </w:rPr>
              <w:t xml:space="preserve"> </w:t>
            </w:r>
            <w:r w:rsidR="004254AC" w:rsidRPr="005D5F2E">
              <w:rPr>
                <w:rFonts w:asciiTheme="majorHAnsi" w:hAnsiTheme="majorHAnsi"/>
                <w:sz w:val="20"/>
              </w:rPr>
              <w:t xml:space="preserve">Con el objetivo de </w:t>
            </w:r>
            <w:r w:rsidR="004254AC">
              <w:rPr>
                <w:rFonts w:asciiTheme="majorHAnsi" w:hAnsiTheme="majorHAnsi"/>
                <w:sz w:val="20"/>
              </w:rPr>
              <w:t xml:space="preserve">no hacer retroactivo los efectos a la entrada en vigor de la de la </w:t>
            </w:r>
            <w:r w:rsidR="004254AC" w:rsidRPr="005D5F2E">
              <w:rPr>
                <w:rFonts w:asciiTheme="majorHAnsi" w:hAnsiTheme="majorHAnsi"/>
                <w:sz w:val="20"/>
              </w:rPr>
              <w:t>Disposición Técnica IFT-011-201</w:t>
            </w:r>
            <w:r w:rsidR="004254AC">
              <w:rPr>
                <w:rFonts w:asciiTheme="majorHAnsi" w:hAnsiTheme="majorHAnsi"/>
                <w:sz w:val="20"/>
              </w:rPr>
              <w:t>7</w:t>
            </w:r>
            <w:r w:rsidR="004254AC" w:rsidRPr="005D5F2E">
              <w:rPr>
                <w:rFonts w:asciiTheme="majorHAnsi" w:hAnsiTheme="majorHAnsi"/>
                <w:sz w:val="20"/>
              </w:rPr>
              <w:t>.</w:t>
            </w:r>
            <w:r w:rsidR="004254AC">
              <w:rPr>
                <w:rFonts w:asciiTheme="majorHAnsi" w:hAnsiTheme="majorHAnsi"/>
                <w:sz w:val="20"/>
              </w:rPr>
              <w:t>Parte 2.</w:t>
            </w:r>
          </w:p>
          <w:p w:rsidR="004254AC" w:rsidRPr="004254AC" w:rsidRDefault="004254AC" w:rsidP="004254AC">
            <w:pPr>
              <w:pStyle w:val="Prrafodelista"/>
              <w:jc w:val="both"/>
              <w:rPr>
                <w:rFonts w:asciiTheme="majorHAnsi" w:hAnsiTheme="majorHAnsi"/>
                <w:sz w:val="20"/>
                <w:szCs w:val="20"/>
              </w:rPr>
            </w:pPr>
          </w:p>
          <w:p w:rsidR="004822A1" w:rsidRPr="005D5F2E" w:rsidRDefault="004822A1" w:rsidP="00ED371A">
            <w:pPr>
              <w:pStyle w:val="Prrafodelista"/>
              <w:numPr>
                <w:ilvl w:val="0"/>
                <w:numId w:val="2"/>
              </w:numPr>
              <w:jc w:val="both"/>
              <w:rPr>
                <w:rFonts w:asciiTheme="majorHAnsi" w:hAnsiTheme="majorHAnsi"/>
                <w:sz w:val="20"/>
                <w:szCs w:val="20"/>
              </w:rPr>
            </w:pPr>
            <w:r w:rsidRPr="005D5F2E">
              <w:rPr>
                <w:b/>
                <w:sz w:val="20"/>
              </w:rPr>
              <w:t>Tipo:</w:t>
            </w:r>
            <w:r w:rsidR="004254AC" w:rsidRPr="005D5F2E">
              <w:rPr>
                <w:rFonts w:asciiTheme="majorHAnsi" w:hAnsiTheme="majorHAnsi"/>
                <w:sz w:val="20"/>
              </w:rPr>
              <w:t xml:space="preserve"> Restricción de organismos autorizados para realizar la evaluación de la conformidad</w:t>
            </w:r>
          </w:p>
          <w:p w:rsidR="004822A1" w:rsidRPr="005D5F2E" w:rsidRDefault="004822A1" w:rsidP="004822A1">
            <w:pPr>
              <w:ind w:left="708"/>
              <w:jc w:val="both"/>
              <w:rPr>
                <w:sz w:val="20"/>
              </w:rPr>
            </w:pPr>
            <w:r w:rsidRPr="005D5F2E">
              <w:rPr>
                <w:b/>
                <w:sz w:val="20"/>
              </w:rPr>
              <w:t>Artículos aplicables:</w:t>
            </w:r>
            <w:r w:rsidRPr="005D5F2E">
              <w:rPr>
                <w:sz w:val="20"/>
              </w:rPr>
              <w:t xml:space="preserve"> </w:t>
            </w:r>
            <w:r w:rsidRPr="005D5F2E">
              <w:rPr>
                <w:rFonts w:asciiTheme="majorHAnsi" w:hAnsiTheme="majorHAnsi"/>
                <w:sz w:val="20"/>
              </w:rPr>
              <w:t>Tercer Transitorio.</w:t>
            </w:r>
          </w:p>
          <w:p w:rsidR="004254AC" w:rsidRDefault="004822A1" w:rsidP="004254AC">
            <w:pPr>
              <w:pStyle w:val="Prrafodelista"/>
              <w:jc w:val="both"/>
              <w:rPr>
                <w:rFonts w:asciiTheme="majorHAnsi" w:hAnsiTheme="majorHAnsi"/>
                <w:sz w:val="20"/>
              </w:rPr>
            </w:pPr>
            <w:r w:rsidRPr="005D5F2E">
              <w:rPr>
                <w:b/>
                <w:sz w:val="20"/>
              </w:rPr>
              <w:t xml:space="preserve">Justificación: </w:t>
            </w:r>
            <w:r w:rsidR="004254AC" w:rsidRPr="005D5F2E">
              <w:rPr>
                <w:rFonts w:asciiTheme="majorHAnsi" w:hAnsiTheme="majorHAnsi"/>
                <w:sz w:val="20"/>
              </w:rPr>
              <w:t xml:space="preserve">A efectos de establecer el marco normativo se requiere que los Organismos de Certificación </w:t>
            </w:r>
            <w:r w:rsidR="004254AC">
              <w:rPr>
                <w:rFonts w:asciiTheme="majorHAnsi" w:hAnsiTheme="majorHAnsi"/>
                <w:sz w:val="20"/>
              </w:rPr>
              <w:t xml:space="preserve">y Laboratorios de Prueba </w:t>
            </w:r>
            <w:r w:rsidR="004254AC" w:rsidRPr="005D5F2E">
              <w:rPr>
                <w:rFonts w:asciiTheme="majorHAnsi" w:hAnsiTheme="majorHAnsi"/>
                <w:sz w:val="20"/>
              </w:rPr>
              <w:t xml:space="preserve">estén debidamente acreditados </w:t>
            </w:r>
            <w:r w:rsidR="004254AC">
              <w:rPr>
                <w:rFonts w:asciiTheme="majorHAnsi" w:hAnsiTheme="majorHAnsi"/>
                <w:sz w:val="20"/>
              </w:rPr>
              <w:t xml:space="preserve">y autorizados </w:t>
            </w:r>
            <w:r w:rsidR="004254AC" w:rsidRPr="005D5F2E">
              <w:rPr>
                <w:rFonts w:asciiTheme="majorHAnsi" w:hAnsiTheme="majorHAnsi"/>
                <w:sz w:val="20"/>
              </w:rPr>
              <w:t>para realizar la evaluación de la conformidad de la Disposición Técnica.</w:t>
            </w:r>
          </w:p>
          <w:p w:rsidR="004254AC" w:rsidRDefault="004254AC" w:rsidP="004822A1">
            <w:pPr>
              <w:pStyle w:val="Prrafodelista"/>
              <w:jc w:val="both"/>
              <w:rPr>
                <w:b/>
                <w:sz w:val="20"/>
              </w:rPr>
            </w:pPr>
          </w:p>
          <w:p w:rsidR="00B65C89" w:rsidRPr="005D5F2E" w:rsidRDefault="00B65C89"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7C5BE5" w:rsidRPr="005D5F2E">
              <w:rPr>
                <w:rFonts w:asciiTheme="majorHAnsi" w:hAnsiTheme="majorHAnsi"/>
                <w:sz w:val="20"/>
              </w:rPr>
              <w:t>R</w:t>
            </w:r>
            <w:r w:rsidR="00EC1159" w:rsidRPr="005D5F2E">
              <w:rPr>
                <w:rFonts w:asciiTheme="majorHAnsi" w:hAnsiTheme="majorHAnsi"/>
                <w:sz w:val="20"/>
              </w:rPr>
              <w:t xml:space="preserve">evisión de la </w:t>
            </w:r>
            <w:r w:rsidR="007C5BE5" w:rsidRPr="005D5F2E">
              <w:rPr>
                <w:rFonts w:asciiTheme="majorHAnsi" w:hAnsiTheme="majorHAnsi"/>
                <w:sz w:val="20"/>
              </w:rPr>
              <w:t>Disposición</w:t>
            </w:r>
            <w:r w:rsidR="00EC1159" w:rsidRPr="005D5F2E">
              <w:rPr>
                <w:rFonts w:asciiTheme="majorHAnsi" w:hAnsiTheme="majorHAnsi"/>
                <w:sz w:val="20"/>
              </w:rPr>
              <w:t xml:space="preserve"> Técnica IFT-01</w:t>
            </w:r>
            <w:r w:rsidR="00BE6DBA" w:rsidRPr="005D5F2E">
              <w:rPr>
                <w:rFonts w:asciiTheme="majorHAnsi" w:hAnsiTheme="majorHAnsi"/>
                <w:sz w:val="20"/>
              </w:rPr>
              <w:t>1</w:t>
            </w:r>
            <w:r w:rsidR="00EC1159" w:rsidRPr="005D5F2E">
              <w:rPr>
                <w:rFonts w:asciiTheme="majorHAnsi" w:hAnsiTheme="majorHAnsi"/>
                <w:sz w:val="20"/>
              </w:rPr>
              <w:t>-201</w:t>
            </w:r>
            <w:r w:rsidR="00ED371A">
              <w:rPr>
                <w:rFonts w:asciiTheme="majorHAnsi" w:hAnsiTheme="majorHAnsi"/>
                <w:sz w:val="20"/>
              </w:rPr>
              <w:t>7</w:t>
            </w:r>
            <w:r w:rsidR="00EC1159" w:rsidRPr="005D5F2E">
              <w:rPr>
                <w:rFonts w:asciiTheme="majorHAnsi" w:hAnsiTheme="majorHAnsi"/>
                <w:sz w:val="20"/>
              </w:rPr>
              <w:t>.</w:t>
            </w:r>
            <w:r w:rsidR="004254AC">
              <w:rPr>
                <w:rFonts w:asciiTheme="majorHAnsi" w:hAnsiTheme="majorHAnsi"/>
                <w:sz w:val="20"/>
              </w:rPr>
              <w:t>Parte 2.</w:t>
            </w:r>
          </w:p>
          <w:p w:rsidR="00B65C89" w:rsidRPr="005D5F2E" w:rsidRDefault="00B65C89" w:rsidP="00B65C89">
            <w:pPr>
              <w:ind w:left="708"/>
              <w:jc w:val="both"/>
              <w:rPr>
                <w:sz w:val="20"/>
              </w:rPr>
            </w:pPr>
            <w:r w:rsidRPr="005D5F2E">
              <w:rPr>
                <w:b/>
                <w:sz w:val="20"/>
              </w:rPr>
              <w:t>Artículos aplicables:</w:t>
            </w:r>
            <w:r w:rsidRPr="005D5F2E">
              <w:rPr>
                <w:sz w:val="20"/>
              </w:rPr>
              <w:t xml:space="preserve"> </w:t>
            </w:r>
            <w:r w:rsidR="00322936" w:rsidRPr="005D5F2E">
              <w:rPr>
                <w:rFonts w:asciiTheme="majorHAnsi" w:hAnsiTheme="majorHAnsi"/>
                <w:sz w:val="20"/>
              </w:rPr>
              <w:t xml:space="preserve">Cuarto </w:t>
            </w:r>
            <w:r w:rsidR="00EC1159" w:rsidRPr="005D5F2E">
              <w:rPr>
                <w:rFonts w:asciiTheme="majorHAnsi" w:hAnsiTheme="majorHAnsi"/>
                <w:sz w:val="20"/>
              </w:rPr>
              <w:t>Transitorio.</w:t>
            </w:r>
          </w:p>
          <w:p w:rsidR="008B3432" w:rsidRDefault="00B65C89" w:rsidP="00B33D8F">
            <w:pPr>
              <w:ind w:left="708"/>
              <w:jc w:val="both"/>
              <w:rPr>
                <w:sz w:val="20"/>
              </w:rPr>
            </w:pPr>
            <w:r w:rsidRPr="005D5F2E">
              <w:rPr>
                <w:b/>
                <w:sz w:val="20"/>
              </w:rPr>
              <w:t>Justificación:</w:t>
            </w:r>
            <w:r w:rsidR="00EC1159" w:rsidRPr="005D5F2E">
              <w:rPr>
                <w:b/>
                <w:sz w:val="20"/>
              </w:rPr>
              <w:t xml:space="preserve"> </w:t>
            </w:r>
            <w:r w:rsidR="00EC1159" w:rsidRPr="005D5F2E">
              <w:rPr>
                <w:rFonts w:asciiTheme="majorHAnsi" w:hAnsiTheme="majorHAnsi"/>
                <w:sz w:val="20"/>
              </w:rPr>
              <w:t>Con el objetivo de evaluar el desempeño y los resultados de la Disposición Técnica</w:t>
            </w:r>
            <w:r w:rsidR="00DE1555" w:rsidRPr="005D5F2E">
              <w:rPr>
                <w:rFonts w:asciiTheme="majorHAnsi" w:hAnsiTheme="majorHAnsi"/>
                <w:sz w:val="20"/>
              </w:rPr>
              <w:t xml:space="preserve"> IFT-01</w:t>
            </w:r>
            <w:r w:rsidR="006320EB" w:rsidRPr="005D5F2E">
              <w:rPr>
                <w:rFonts w:asciiTheme="majorHAnsi" w:hAnsiTheme="majorHAnsi"/>
                <w:sz w:val="20"/>
              </w:rPr>
              <w:t>1</w:t>
            </w:r>
            <w:r w:rsidR="00DE1555" w:rsidRPr="005D5F2E">
              <w:rPr>
                <w:rFonts w:asciiTheme="majorHAnsi" w:hAnsiTheme="majorHAnsi"/>
                <w:sz w:val="20"/>
              </w:rPr>
              <w:t>-201</w:t>
            </w:r>
            <w:r w:rsidR="00ED371A">
              <w:rPr>
                <w:rFonts w:asciiTheme="majorHAnsi" w:hAnsiTheme="majorHAnsi"/>
                <w:sz w:val="20"/>
              </w:rPr>
              <w:t>7</w:t>
            </w:r>
            <w:r w:rsidR="004254AC">
              <w:rPr>
                <w:rFonts w:asciiTheme="majorHAnsi" w:hAnsiTheme="majorHAnsi"/>
                <w:sz w:val="20"/>
              </w:rPr>
              <w:t>.Parte 2</w:t>
            </w:r>
            <w:r w:rsidR="00EC1159" w:rsidRPr="005D5F2E">
              <w:rPr>
                <w:rFonts w:asciiTheme="majorHAnsi" w:hAnsiTheme="majorHAnsi"/>
                <w:sz w:val="20"/>
              </w:rPr>
              <w:t xml:space="preserve"> </w:t>
            </w:r>
            <w:r w:rsidR="007C5BE5" w:rsidRPr="005D5F2E">
              <w:rPr>
                <w:rFonts w:asciiTheme="majorHAnsi" w:hAnsiTheme="majorHAnsi"/>
                <w:sz w:val="20"/>
              </w:rPr>
              <w:t>se establece que dentro</w:t>
            </w:r>
            <w:r w:rsidR="00EC1159" w:rsidRPr="005D5F2E">
              <w:rPr>
                <w:rFonts w:asciiTheme="majorHAnsi" w:hAnsiTheme="majorHAnsi"/>
                <w:sz w:val="20"/>
              </w:rPr>
              <w:t xml:space="preserve"> de 5 años el Instituto revisará </w:t>
            </w:r>
            <w:r w:rsidR="00DE1555" w:rsidRPr="005D5F2E">
              <w:rPr>
                <w:rFonts w:asciiTheme="majorHAnsi" w:hAnsiTheme="majorHAnsi"/>
                <w:sz w:val="20"/>
              </w:rPr>
              <w:t>su</w:t>
            </w:r>
            <w:r w:rsidR="00EC1159" w:rsidRPr="005D5F2E">
              <w:rPr>
                <w:rFonts w:asciiTheme="majorHAnsi" w:hAnsiTheme="majorHAnsi"/>
                <w:sz w:val="20"/>
              </w:rPr>
              <w:t xml:space="preserve"> contenido. Sin embargo esto no limita </w:t>
            </w:r>
            <w:r w:rsidR="00DE1555" w:rsidRPr="005D5F2E">
              <w:rPr>
                <w:rFonts w:asciiTheme="majorHAnsi" w:hAnsiTheme="majorHAnsi"/>
                <w:sz w:val="20"/>
              </w:rPr>
              <w:t>las atribuciones del Instituto para</w:t>
            </w:r>
            <w:r w:rsidR="00EC1159" w:rsidRPr="005D5F2E">
              <w:rPr>
                <w:rFonts w:asciiTheme="majorHAnsi" w:hAnsiTheme="majorHAnsi"/>
                <w:sz w:val="20"/>
              </w:rPr>
              <w:t xml:space="preserve"> realizar un</w:t>
            </w:r>
            <w:r w:rsidR="00DE1555" w:rsidRPr="005D5F2E">
              <w:rPr>
                <w:rFonts w:asciiTheme="majorHAnsi" w:hAnsiTheme="majorHAnsi"/>
                <w:sz w:val="20"/>
              </w:rPr>
              <w:t>a revisión en cualquier momento, dentro del periodo establecido.</w:t>
            </w:r>
            <w:r w:rsidR="00EC1159" w:rsidRPr="005D5F2E">
              <w:rPr>
                <w:sz w:val="20"/>
              </w:rPr>
              <w:t xml:space="preserve"> </w:t>
            </w:r>
          </w:p>
          <w:p w:rsidR="00B35CD3" w:rsidRPr="005D5F2E" w:rsidRDefault="00B35CD3" w:rsidP="00B33D8F">
            <w:pPr>
              <w:ind w:left="708"/>
              <w:jc w:val="both"/>
              <w:rPr>
                <w:sz w:val="20"/>
              </w:rPr>
            </w:pPr>
          </w:p>
          <w:p w:rsidR="008F5EBD" w:rsidRPr="00172989" w:rsidRDefault="007B231E" w:rsidP="00172989">
            <w:pPr>
              <w:pStyle w:val="Prrafodelista"/>
              <w:numPr>
                <w:ilvl w:val="0"/>
                <w:numId w:val="2"/>
              </w:numPr>
              <w:jc w:val="both"/>
              <w:rPr>
                <w:sz w:val="20"/>
              </w:rPr>
            </w:pPr>
            <w:r w:rsidRPr="005D5F2E">
              <w:rPr>
                <w:b/>
                <w:sz w:val="20"/>
              </w:rPr>
              <w:t>Tipo:</w:t>
            </w:r>
            <w:r w:rsidRPr="00172989">
              <w:rPr>
                <w:b/>
                <w:sz w:val="20"/>
              </w:rPr>
              <w:t xml:space="preserve"> </w:t>
            </w:r>
            <w:r w:rsidRPr="00CC4A53">
              <w:rPr>
                <w:rFonts w:asciiTheme="majorHAnsi" w:hAnsiTheme="majorHAnsi"/>
                <w:sz w:val="20"/>
              </w:rPr>
              <w:t>Aplicación de</w:t>
            </w:r>
            <w:r w:rsidR="008F5EBD" w:rsidRPr="00CC4A53">
              <w:rPr>
                <w:rFonts w:asciiTheme="majorHAnsi" w:hAnsiTheme="majorHAnsi"/>
                <w:sz w:val="20"/>
              </w:rPr>
              <w:t xml:space="preserve">l cinco por ciento de los </w:t>
            </w:r>
            <w:r w:rsidR="000404F2">
              <w:rPr>
                <w:rFonts w:asciiTheme="majorHAnsi" w:hAnsiTheme="majorHAnsi"/>
                <w:sz w:val="20"/>
              </w:rPr>
              <w:t>C</w:t>
            </w:r>
            <w:r w:rsidR="008F5EBD" w:rsidRPr="00CC4A53">
              <w:rPr>
                <w:rFonts w:asciiTheme="majorHAnsi" w:hAnsiTheme="majorHAnsi"/>
                <w:sz w:val="20"/>
              </w:rPr>
              <w:t xml:space="preserve">ertificados </w:t>
            </w:r>
            <w:r w:rsidR="000404F2">
              <w:rPr>
                <w:rFonts w:asciiTheme="majorHAnsi" w:hAnsiTheme="majorHAnsi"/>
                <w:sz w:val="20"/>
              </w:rPr>
              <w:t xml:space="preserve">de Conformidad </w:t>
            </w:r>
            <w:r w:rsidR="008F5EBD" w:rsidRPr="00CC4A53">
              <w:rPr>
                <w:rFonts w:asciiTheme="majorHAnsi" w:hAnsiTheme="majorHAnsi"/>
                <w:sz w:val="20"/>
              </w:rPr>
              <w:t>sujetos a visitas de Vigilancia de</w:t>
            </w:r>
            <w:r w:rsidR="009B6F2B">
              <w:rPr>
                <w:rFonts w:asciiTheme="majorHAnsi" w:hAnsiTheme="majorHAnsi"/>
                <w:sz w:val="20"/>
              </w:rPr>
              <w:t>l cumplimiento de</w:t>
            </w:r>
            <w:r w:rsidR="008F5EBD" w:rsidRPr="00CC4A53">
              <w:rPr>
                <w:rFonts w:asciiTheme="majorHAnsi" w:hAnsiTheme="majorHAnsi"/>
                <w:sz w:val="20"/>
              </w:rPr>
              <w:t xml:space="preserve"> la certificación durante el primer año</w:t>
            </w:r>
            <w:r w:rsidR="008F5EBD" w:rsidRPr="00172989">
              <w:rPr>
                <w:sz w:val="20"/>
              </w:rPr>
              <w:t>.</w:t>
            </w:r>
          </w:p>
          <w:p w:rsidR="007B231E" w:rsidRPr="00172989" w:rsidRDefault="007B231E" w:rsidP="00172989">
            <w:pPr>
              <w:pStyle w:val="Prrafodelista"/>
              <w:jc w:val="both"/>
              <w:rPr>
                <w:sz w:val="20"/>
              </w:rPr>
            </w:pPr>
            <w:r w:rsidRPr="005D5F2E">
              <w:rPr>
                <w:b/>
                <w:sz w:val="20"/>
              </w:rPr>
              <w:t>Artículos aplicables:</w:t>
            </w:r>
            <w:r w:rsidRPr="00172989">
              <w:rPr>
                <w:b/>
                <w:sz w:val="20"/>
              </w:rPr>
              <w:t xml:space="preserve"> </w:t>
            </w:r>
            <w:r w:rsidR="00451BC0" w:rsidRPr="00451BC0">
              <w:rPr>
                <w:sz w:val="20"/>
              </w:rPr>
              <w:t>Quinto</w:t>
            </w:r>
            <w:r w:rsidRPr="00CC4A53">
              <w:rPr>
                <w:rFonts w:asciiTheme="majorHAnsi" w:hAnsiTheme="majorHAnsi"/>
                <w:sz w:val="20"/>
              </w:rPr>
              <w:t xml:space="preserve"> Transitorio</w:t>
            </w:r>
            <w:r w:rsidRPr="00172989">
              <w:rPr>
                <w:sz w:val="20"/>
              </w:rPr>
              <w:t>.</w:t>
            </w:r>
          </w:p>
          <w:p w:rsidR="008E35B0" w:rsidRDefault="007B231E" w:rsidP="00F30E0F">
            <w:pPr>
              <w:pStyle w:val="Prrafodelista"/>
              <w:jc w:val="both"/>
              <w:rPr>
                <w:rFonts w:asciiTheme="majorHAnsi" w:hAnsiTheme="majorHAnsi"/>
                <w:sz w:val="20"/>
              </w:rPr>
            </w:pPr>
            <w:r w:rsidRPr="005D5F2E">
              <w:rPr>
                <w:b/>
                <w:sz w:val="20"/>
              </w:rPr>
              <w:t xml:space="preserve">Justificación: </w:t>
            </w:r>
            <w:r w:rsidRPr="00CC4A53">
              <w:rPr>
                <w:rFonts w:asciiTheme="majorHAnsi" w:hAnsiTheme="majorHAnsi"/>
                <w:sz w:val="20"/>
              </w:rPr>
              <w:t xml:space="preserve">Con el objetivo de </w:t>
            </w:r>
            <w:r w:rsidR="008F5EBD" w:rsidRPr="00CC4A53">
              <w:rPr>
                <w:rFonts w:asciiTheme="majorHAnsi" w:hAnsiTheme="majorHAnsi"/>
                <w:sz w:val="20"/>
              </w:rPr>
              <w:t>establecer el porcentaje de los de los certificados sujetos a visitas de Vigilancia de</w:t>
            </w:r>
            <w:r w:rsidR="00E2153B">
              <w:rPr>
                <w:rFonts w:asciiTheme="majorHAnsi" w:hAnsiTheme="majorHAnsi"/>
                <w:sz w:val="20"/>
              </w:rPr>
              <w:t>l cumplimiento de</w:t>
            </w:r>
            <w:r w:rsidR="008F5EBD" w:rsidRPr="00CC4A53">
              <w:rPr>
                <w:rFonts w:asciiTheme="majorHAnsi" w:hAnsiTheme="majorHAnsi"/>
                <w:sz w:val="20"/>
              </w:rPr>
              <w:t xml:space="preserve"> la certificación durante el primer año, una vez que entre en vigor la Disposición Técnica IFT-011-2017.</w:t>
            </w:r>
            <w:r w:rsidR="00F30E0F">
              <w:rPr>
                <w:rFonts w:asciiTheme="majorHAnsi" w:hAnsiTheme="majorHAnsi"/>
                <w:sz w:val="20"/>
              </w:rPr>
              <w:t>Parte 2.</w:t>
            </w:r>
          </w:p>
          <w:p w:rsidR="00451BC0" w:rsidRDefault="00451BC0" w:rsidP="00F30E0F">
            <w:pPr>
              <w:pStyle w:val="Prrafodelista"/>
              <w:jc w:val="both"/>
              <w:rPr>
                <w:rFonts w:asciiTheme="majorHAnsi" w:hAnsiTheme="majorHAnsi"/>
                <w:sz w:val="20"/>
              </w:rPr>
            </w:pPr>
          </w:p>
          <w:p w:rsidR="00451BC0" w:rsidRDefault="00451BC0" w:rsidP="00451BC0">
            <w:pPr>
              <w:ind w:left="708"/>
              <w:jc w:val="both"/>
              <w:rPr>
                <w:rFonts w:asciiTheme="majorHAnsi" w:hAnsiTheme="majorHAnsi"/>
                <w:sz w:val="20"/>
              </w:rPr>
            </w:pPr>
          </w:p>
          <w:p w:rsidR="00451BC0" w:rsidRPr="00172989" w:rsidRDefault="00451BC0" w:rsidP="00451BC0">
            <w:pPr>
              <w:pStyle w:val="Prrafodelista"/>
              <w:numPr>
                <w:ilvl w:val="0"/>
                <w:numId w:val="2"/>
              </w:numPr>
              <w:jc w:val="both"/>
              <w:rPr>
                <w:sz w:val="20"/>
              </w:rPr>
            </w:pPr>
            <w:r w:rsidRPr="005D5F2E">
              <w:rPr>
                <w:b/>
                <w:sz w:val="20"/>
              </w:rPr>
              <w:t>Tipo</w:t>
            </w:r>
            <w:r w:rsidRPr="00B50E07">
              <w:rPr>
                <w:sz w:val="20"/>
              </w:rPr>
              <w:t xml:space="preserve">: </w:t>
            </w:r>
            <w:r>
              <w:rPr>
                <w:sz w:val="20"/>
              </w:rPr>
              <w:t>Costo del Certificado de Homologación</w:t>
            </w:r>
            <w:r w:rsidRPr="00B50E07">
              <w:rPr>
                <w:sz w:val="20"/>
              </w:rPr>
              <w:t>.</w:t>
            </w:r>
          </w:p>
          <w:p w:rsidR="00451BC0" w:rsidRPr="00172989" w:rsidRDefault="00451BC0" w:rsidP="00451BC0">
            <w:pPr>
              <w:pStyle w:val="Prrafodelista"/>
              <w:jc w:val="both"/>
              <w:rPr>
                <w:sz w:val="20"/>
              </w:rPr>
            </w:pPr>
            <w:r w:rsidRPr="005D5F2E">
              <w:rPr>
                <w:b/>
                <w:sz w:val="20"/>
              </w:rPr>
              <w:t>Artículos aplicables:</w:t>
            </w:r>
            <w:r w:rsidRPr="00172989">
              <w:rPr>
                <w:b/>
                <w:sz w:val="20"/>
              </w:rPr>
              <w:t xml:space="preserve"> </w:t>
            </w:r>
            <w:r w:rsidRPr="00CC4A53">
              <w:rPr>
                <w:rFonts w:asciiTheme="majorHAnsi" w:hAnsiTheme="majorHAnsi"/>
                <w:sz w:val="20"/>
              </w:rPr>
              <w:t>S</w:t>
            </w:r>
            <w:r>
              <w:rPr>
                <w:rFonts w:asciiTheme="majorHAnsi" w:hAnsiTheme="majorHAnsi"/>
                <w:sz w:val="20"/>
              </w:rPr>
              <w:t>éptimo T</w:t>
            </w:r>
            <w:r w:rsidRPr="00CC4A53">
              <w:rPr>
                <w:rFonts w:asciiTheme="majorHAnsi" w:hAnsiTheme="majorHAnsi"/>
                <w:sz w:val="20"/>
              </w:rPr>
              <w:t>ransitorio</w:t>
            </w:r>
            <w:r w:rsidRPr="00172989">
              <w:rPr>
                <w:sz w:val="20"/>
              </w:rPr>
              <w:t>.</w:t>
            </w:r>
          </w:p>
          <w:p w:rsidR="00451BC0" w:rsidRDefault="00451BC0" w:rsidP="00451BC0">
            <w:pPr>
              <w:ind w:left="708"/>
              <w:jc w:val="both"/>
              <w:rPr>
                <w:rFonts w:asciiTheme="majorHAnsi" w:hAnsiTheme="majorHAnsi"/>
                <w:sz w:val="20"/>
              </w:rPr>
            </w:pPr>
            <w:r w:rsidRPr="005D5F2E">
              <w:rPr>
                <w:b/>
                <w:sz w:val="20"/>
              </w:rPr>
              <w:t xml:space="preserve">Justificación: </w:t>
            </w:r>
            <w:r w:rsidR="00256EB1" w:rsidRPr="00851F5B">
              <w:rPr>
                <w:sz w:val="20"/>
              </w:rPr>
              <w:t>H</w:t>
            </w:r>
            <w:r w:rsidR="00256EB1">
              <w:rPr>
                <w:sz w:val="20"/>
              </w:rPr>
              <w:t xml:space="preserve">asta en tanto el Instituto expida el procedimiento de homologación correspondiente de productos de telecomunicaciones o radiodifusión, </w:t>
            </w:r>
            <w:r w:rsidR="00256EB1">
              <w:rPr>
                <w:rFonts w:asciiTheme="majorHAnsi" w:hAnsiTheme="majorHAnsi"/>
                <w:sz w:val="20"/>
              </w:rPr>
              <w:t xml:space="preserve">el costo del Certificado de Homologación será el correspondientes al </w:t>
            </w:r>
            <w:r w:rsidRPr="00451BC0">
              <w:rPr>
                <w:rFonts w:asciiTheme="majorHAnsi" w:hAnsiTheme="majorHAnsi"/>
                <w:sz w:val="20"/>
              </w:rPr>
              <w:t xml:space="preserve">establecido en el artículo 174-J, fracción II de la </w:t>
            </w:r>
            <w:r>
              <w:rPr>
                <w:rFonts w:asciiTheme="majorHAnsi" w:hAnsiTheme="majorHAnsi"/>
                <w:sz w:val="20"/>
              </w:rPr>
              <w:t xml:space="preserve">Ley Federal de Derechos vigente, </w:t>
            </w:r>
          </w:p>
          <w:p w:rsidR="00451BC0" w:rsidRPr="00F30E0F" w:rsidRDefault="00451BC0" w:rsidP="00F30E0F">
            <w:pPr>
              <w:pStyle w:val="Prrafodelista"/>
              <w:jc w:val="both"/>
              <w:rPr>
                <w:rFonts w:asciiTheme="majorHAnsi" w:hAnsiTheme="majorHAnsi"/>
                <w:sz w:val="20"/>
              </w:rPr>
            </w:pPr>
          </w:p>
        </w:tc>
      </w:tr>
    </w:tbl>
    <w:p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3F05E7" w:rsidRPr="005D5F2E" w:rsidTr="003F05E7">
        <w:tc>
          <w:tcPr>
            <w:tcW w:w="8828" w:type="dxa"/>
          </w:tcPr>
          <w:p w:rsidR="003F05E7" w:rsidRPr="005D5F2E" w:rsidRDefault="003F05E7" w:rsidP="001932FC">
            <w:p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10.- ¿Cuáles serían los efectos del anteproyecto de regulación sobre la competencia y libre concurrencia en los mercados, así como sobre el comercio nacional e internacional?:</w:t>
            </w:r>
          </w:p>
          <w:p w:rsidR="003F05E7" w:rsidRPr="005D5F2E" w:rsidRDefault="003F05E7" w:rsidP="001932FC">
            <w:pPr>
              <w:jc w:val="both"/>
              <w:rPr>
                <w:rFonts w:asciiTheme="majorHAnsi" w:eastAsia="Times New Roman" w:hAnsiTheme="majorHAnsi" w:cs="Arial"/>
                <w:sz w:val="20"/>
                <w:szCs w:val="20"/>
                <w:lang w:eastAsia="es-ES"/>
              </w:rPr>
            </w:pPr>
          </w:p>
          <w:p w:rsidR="0052036E" w:rsidRDefault="000C574B" w:rsidP="0052036E">
            <w:pPr>
              <w:suppressAutoHyphens/>
              <w:spacing w:line="276" w:lineRule="auto"/>
              <w:ind w:right="-62"/>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En caso de no emitir </w:t>
            </w:r>
            <w:r w:rsidRPr="000C574B">
              <w:rPr>
                <w:rFonts w:asciiTheme="majorHAnsi" w:eastAsia="Times New Roman" w:hAnsiTheme="majorHAnsi" w:cs="Arial"/>
                <w:sz w:val="20"/>
                <w:szCs w:val="20"/>
                <w:lang w:eastAsia="es-ES"/>
              </w:rPr>
              <w:t xml:space="preserve">un instrumento </w:t>
            </w:r>
            <w:r>
              <w:rPr>
                <w:rFonts w:asciiTheme="majorHAnsi" w:eastAsia="Times New Roman" w:hAnsiTheme="majorHAnsi" w:cs="Arial"/>
                <w:sz w:val="20"/>
                <w:szCs w:val="20"/>
                <w:lang w:eastAsia="es-ES"/>
              </w:rPr>
              <w:t>regulatorio</w:t>
            </w:r>
            <w:r w:rsidR="00D6368F">
              <w:rPr>
                <w:rFonts w:asciiTheme="majorHAnsi" w:eastAsia="Times New Roman" w:hAnsiTheme="majorHAnsi" w:cs="Arial"/>
                <w:sz w:val="20"/>
                <w:szCs w:val="20"/>
                <w:lang w:eastAsia="es-ES"/>
              </w:rPr>
              <w:t xml:space="preserve"> </w:t>
            </w:r>
            <w:r w:rsidRPr="000C574B">
              <w:rPr>
                <w:rFonts w:asciiTheme="majorHAnsi" w:eastAsia="Times New Roman" w:hAnsiTheme="majorHAnsi" w:cs="Arial"/>
                <w:sz w:val="20"/>
                <w:szCs w:val="20"/>
                <w:lang w:eastAsia="es-ES"/>
              </w:rPr>
              <w:t xml:space="preserve">que </w:t>
            </w:r>
            <w:r w:rsidR="00DC212D" w:rsidRPr="000C574B">
              <w:rPr>
                <w:rFonts w:asciiTheme="majorHAnsi" w:eastAsia="Times New Roman" w:hAnsiTheme="majorHAnsi" w:cs="Arial"/>
                <w:sz w:val="20"/>
                <w:szCs w:val="20"/>
                <w:lang w:eastAsia="es-ES"/>
              </w:rPr>
              <w:t>reemplace la NOM-081-SCT1-1993</w:t>
            </w:r>
            <w:r w:rsidR="00DC212D">
              <w:rPr>
                <w:rFonts w:asciiTheme="majorHAnsi" w:eastAsia="Times New Roman" w:hAnsiTheme="majorHAnsi" w:cs="Arial"/>
                <w:sz w:val="20"/>
                <w:szCs w:val="20"/>
                <w:lang w:eastAsia="es-ES"/>
              </w:rPr>
              <w:t xml:space="preserve"> y </w:t>
            </w:r>
            <w:r w:rsidRPr="000C574B">
              <w:rPr>
                <w:rFonts w:asciiTheme="majorHAnsi" w:eastAsia="Times New Roman" w:hAnsiTheme="majorHAnsi" w:cs="Arial"/>
                <w:sz w:val="20"/>
                <w:szCs w:val="20"/>
                <w:lang w:eastAsia="es-ES"/>
              </w:rPr>
              <w:t xml:space="preserve">establezca las especificaciones técnicas </w:t>
            </w:r>
            <w:r w:rsidRPr="00DC212D">
              <w:rPr>
                <w:rFonts w:asciiTheme="majorHAnsi" w:eastAsia="Times New Roman" w:hAnsiTheme="majorHAnsi" w:cs="Arial"/>
                <w:sz w:val="20"/>
                <w:szCs w:val="20"/>
                <w:lang w:eastAsia="es-ES"/>
              </w:rPr>
              <w:t xml:space="preserve">de los Equipos Terminales Móviles que puedan hacer uso del espectro radioeléctrico </w:t>
            </w:r>
            <w:r w:rsidR="00D6368F" w:rsidRPr="00DC212D">
              <w:rPr>
                <w:rFonts w:asciiTheme="majorHAnsi" w:eastAsia="Times New Roman" w:hAnsiTheme="majorHAnsi" w:cs="Arial"/>
                <w:sz w:val="20"/>
                <w:szCs w:val="20"/>
                <w:lang w:eastAsia="es-ES"/>
              </w:rPr>
              <w:t xml:space="preserve">en las bandas de frecuencia de 700 MHz, </w:t>
            </w:r>
            <w:r w:rsidR="00FF0249">
              <w:rPr>
                <w:rFonts w:asciiTheme="majorHAnsi" w:eastAsia="Times New Roman" w:hAnsiTheme="majorHAnsi" w:cs="Arial"/>
                <w:sz w:val="20"/>
                <w:szCs w:val="20"/>
                <w:lang w:eastAsia="es-ES"/>
              </w:rPr>
              <w:t xml:space="preserve">850 MHz, </w:t>
            </w:r>
            <w:r w:rsidR="00D6368F" w:rsidRPr="00DC212D">
              <w:rPr>
                <w:rFonts w:asciiTheme="majorHAnsi" w:eastAsia="Times New Roman" w:hAnsiTheme="majorHAnsi" w:cs="Arial"/>
                <w:sz w:val="20"/>
                <w:szCs w:val="20"/>
                <w:lang w:eastAsia="es-ES"/>
              </w:rPr>
              <w:t xml:space="preserve">800 MHz, 1900 MHz, 1700 MHz/2100 MHz y/o 2500 MHz </w:t>
            </w:r>
            <w:r w:rsidRPr="00DC212D">
              <w:rPr>
                <w:rFonts w:asciiTheme="majorHAnsi" w:eastAsia="Times New Roman" w:hAnsiTheme="majorHAnsi" w:cs="Arial"/>
                <w:sz w:val="20"/>
                <w:szCs w:val="20"/>
                <w:lang w:eastAsia="es-ES"/>
              </w:rPr>
              <w:t>o ser conectados a redes de telecomunicaciones</w:t>
            </w:r>
            <w:r w:rsidR="00D6368F" w:rsidRPr="00DC212D">
              <w:rPr>
                <w:rFonts w:asciiTheme="majorHAnsi" w:eastAsia="Times New Roman" w:hAnsiTheme="majorHAnsi" w:cs="Arial"/>
                <w:sz w:val="20"/>
                <w:szCs w:val="20"/>
                <w:lang w:eastAsia="es-ES"/>
              </w:rPr>
              <w:t xml:space="preserve">, </w:t>
            </w:r>
            <w:r w:rsidR="0052036E">
              <w:rPr>
                <w:rFonts w:asciiTheme="majorHAnsi" w:eastAsia="Times New Roman" w:hAnsiTheme="majorHAnsi" w:cs="Arial"/>
                <w:sz w:val="20"/>
                <w:szCs w:val="20"/>
                <w:lang w:eastAsia="es-ES"/>
              </w:rPr>
              <w:t>se continuaría homologando ETM por la vía de Peritos acreditados</w:t>
            </w:r>
            <w:r w:rsidR="00B44CA2">
              <w:rPr>
                <w:rFonts w:asciiTheme="majorHAnsi" w:eastAsia="Times New Roman" w:hAnsiTheme="majorHAnsi" w:cs="Arial"/>
                <w:sz w:val="20"/>
                <w:szCs w:val="20"/>
                <w:lang w:eastAsia="es-ES"/>
              </w:rPr>
              <w:t xml:space="preserve"> como se lleva a cabo actualmente</w:t>
            </w:r>
            <w:r w:rsidR="0052036E">
              <w:rPr>
                <w:rFonts w:asciiTheme="majorHAnsi" w:eastAsia="Times New Roman" w:hAnsiTheme="majorHAnsi" w:cs="Arial"/>
                <w:sz w:val="20"/>
                <w:szCs w:val="20"/>
                <w:lang w:eastAsia="es-ES"/>
              </w:rPr>
              <w:t xml:space="preserve">, </w:t>
            </w:r>
            <w:r w:rsidR="00B44CA2">
              <w:rPr>
                <w:rFonts w:asciiTheme="majorHAnsi" w:eastAsia="Times New Roman" w:hAnsiTheme="majorHAnsi" w:cs="Arial"/>
                <w:sz w:val="20"/>
                <w:szCs w:val="20"/>
                <w:lang w:eastAsia="es-ES"/>
              </w:rPr>
              <w:t xml:space="preserve">ETM </w:t>
            </w:r>
            <w:r w:rsidR="0052036E">
              <w:rPr>
                <w:rFonts w:asciiTheme="majorHAnsi" w:eastAsia="Times New Roman" w:hAnsiTheme="majorHAnsi" w:cs="Arial"/>
                <w:sz w:val="20"/>
                <w:szCs w:val="20"/>
                <w:lang w:eastAsia="es-ES"/>
              </w:rPr>
              <w:t xml:space="preserve">que </w:t>
            </w:r>
            <w:r w:rsidR="00B44CA2">
              <w:rPr>
                <w:rFonts w:asciiTheme="majorHAnsi" w:eastAsia="Times New Roman" w:hAnsiTheme="majorHAnsi" w:cs="Arial"/>
                <w:sz w:val="20"/>
                <w:szCs w:val="20"/>
                <w:lang w:eastAsia="es-ES"/>
              </w:rPr>
              <w:t xml:space="preserve">al </w:t>
            </w:r>
            <w:r w:rsidR="0052036E">
              <w:rPr>
                <w:rFonts w:asciiTheme="majorHAnsi" w:eastAsia="Times New Roman" w:hAnsiTheme="majorHAnsi" w:cs="Arial"/>
                <w:sz w:val="20"/>
                <w:szCs w:val="20"/>
                <w:lang w:eastAsia="es-ES"/>
              </w:rPr>
              <w:t>no pasa</w:t>
            </w:r>
            <w:r w:rsidR="00B44CA2">
              <w:rPr>
                <w:rFonts w:asciiTheme="majorHAnsi" w:eastAsia="Times New Roman" w:hAnsiTheme="majorHAnsi" w:cs="Arial"/>
                <w:sz w:val="20"/>
                <w:szCs w:val="20"/>
                <w:lang w:eastAsia="es-ES"/>
              </w:rPr>
              <w:t>r</w:t>
            </w:r>
            <w:r w:rsidR="0052036E">
              <w:rPr>
                <w:rFonts w:asciiTheme="majorHAnsi" w:eastAsia="Times New Roman" w:hAnsiTheme="majorHAnsi" w:cs="Arial"/>
                <w:sz w:val="20"/>
                <w:szCs w:val="20"/>
                <w:lang w:eastAsia="es-ES"/>
              </w:rPr>
              <w:t xml:space="preserve"> por un Laboratorio de Pruebas ni por un Organismo de Certificación, consecuentemente no pasan por un proceso de evaluación de la conformidad. </w:t>
            </w:r>
          </w:p>
          <w:p w:rsidR="00C117B8" w:rsidRDefault="00C117B8" w:rsidP="00DC212D">
            <w:pPr>
              <w:suppressAutoHyphens/>
              <w:spacing w:line="276" w:lineRule="auto"/>
              <w:ind w:right="-62"/>
              <w:jc w:val="both"/>
              <w:rPr>
                <w:rFonts w:asciiTheme="majorHAnsi" w:eastAsia="Times New Roman" w:hAnsiTheme="majorHAnsi" w:cs="Arial"/>
                <w:sz w:val="20"/>
                <w:szCs w:val="20"/>
                <w:lang w:eastAsia="es-ES"/>
              </w:rPr>
            </w:pPr>
          </w:p>
          <w:p w:rsidR="00DC212D" w:rsidRPr="00DC212D" w:rsidRDefault="00B44CA2" w:rsidP="00DC212D">
            <w:pPr>
              <w:suppressAutoHyphens/>
              <w:spacing w:line="276" w:lineRule="auto"/>
              <w:ind w:right="-62"/>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Es importante mencionar que</w:t>
            </w:r>
            <w:r w:rsidR="006319F4">
              <w:rPr>
                <w:rFonts w:asciiTheme="majorHAnsi" w:eastAsia="Times New Roman" w:hAnsiTheme="majorHAnsi" w:cs="Arial"/>
                <w:sz w:val="20"/>
                <w:szCs w:val="20"/>
                <w:lang w:eastAsia="es-ES"/>
              </w:rPr>
              <w:t xml:space="preserve"> </w:t>
            </w:r>
            <w:r w:rsidRPr="00B44CA2">
              <w:rPr>
                <w:rFonts w:asciiTheme="majorHAnsi" w:eastAsia="Times New Roman" w:hAnsiTheme="majorHAnsi" w:cs="Arial"/>
                <w:sz w:val="20"/>
                <w:szCs w:val="20"/>
                <w:lang w:eastAsia="es-ES"/>
              </w:rPr>
              <w:t xml:space="preserve">el ETM </w:t>
            </w:r>
            <w:r w:rsidR="006319F4">
              <w:rPr>
                <w:rFonts w:asciiTheme="majorHAnsi" w:eastAsia="Times New Roman" w:hAnsiTheme="majorHAnsi" w:cs="Arial"/>
                <w:sz w:val="20"/>
                <w:szCs w:val="20"/>
                <w:lang w:eastAsia="es-ES"/>
              </w:rPr>
              <w:t>debe soportar la banda 28 (700 MHz) APT.</w:t>
            </w:r>
            <w:r w:rsidR="006319F4">
              <w:rPr>
                <w:rFonts w:asciiTheme="majorHAnsi" w:hAnsiTheme="majorHAnsi"/>
                <w:sz w:val="20"/>
              </w:rPr>
              <w:t xml:space="preserve"> Debido a lo anterior</w:t>
            </w:r>
            <w:r w:rsidR="00C117B8">
              <w:rPr>
                <w:rFonts w:asciiTheme="majorHAnsi" w:hAnsiTheme="majorHAnsi"/>
                <w:sz w:val="20"/>
              </w:rPr>
              <w:t>,</w:t>
            </w:r>
            <w:r>
              <w:rPr>
                <w:rFonts w:asciiTheme="majorHAnsi" w:hAnsiTheme="majorHAnsi"/>
                <w:sz w:val="20"/>
              </w:rPr>
              <w:t xml:space="preserve"> se enfatiza que </w:t>
            </w:r>
            <w:r w:rsidR="00C117B8">
              <w:rPr>
                <w:rFonts w:asciiTheme="majorHAnsi" w:hAnsiTheme="majorHAnsi"/>
                <w:sz w:val="20"/>
              </w:rPr>
              <w:t>l</w:t>
            </w:r>
            <w:r w:rsidR="006319F4">
              <w:rPr>
                <w:rFonts w:asciiTheme="majorHAnsi" w:hAnsiTheme="majorHAnsi"/>
                <w:sz w:val="20"/>
              </w:rPr>
              <w:t>os usuarios</w:t>
            </w:r>
            <w:r w:rsidR="00C117B8">
              <w:rPr>
                <w:rFonts w:asciiTheme="majorHAnsi" w:hAnsiTheme="majorHAnsi"/>
                <w:sz w:val="20"/>
              </w:rPr>
              <w:t xml:space="preserve"> contar</w:t>
            </w:r>
            <w:r w:rsidR="006319F4">
              <w:rPr>
                <w:rFonts w:asciiTheme="majorHAnsi" w:hAnsiTheme="majorHAnsi"/>
                <w:sz w:val="20"/>
              </w:rPr>
              <w:t>ían</w:t>
            </w:r>
            <w:r w:rsidR="00C117B8">
              <w:rPr>
                <w:rFonts w:asciiTheme="majorHAnsi" w:hAnsiTheme="majorHAnsi"/>
                <w:sz w:val="20"/>
              </w:rPr>
              <w:t xml:space="preserve"> con un instrumento normativo que </w:t>
            </w:r>
            <w:r w:rsidR="0052036E">
              <w:rPr>
                <w:rFonts w:asciiTheme="majorHAnsi" w:hAnsiTheme="majorHAnsi"/>
                <w:sz w:val="20"/>
              </w:rPr>
              <w:t xml:space="preserve">coadyuve </w:t>
            </w:r>
            <w:r w:rsidR="00C117B8">
              <w:rPr>
                <w:rFonts w:asciiTheme="majorHAnsi" w:hAnsiTheme="majorHAnsi"/>
                <w:sz w:val="20"/>
              </w:rPr>
              <w:t>foment</w:t>
            </w:r>
            <w:r w:rsidR="0052036E">
              <w:rPr>
                <w:rFonts w:asciiTheme="majorHAnsi" w:hAnsiTheme="majorHAnsi"/>
                <w:sz w:val="20"/>
              </w:rPr>
              <w:t>ando</w:t>
            </w:r>
            <w:r w:rsidR="00C117B8">
              <w:rPr>
                <w:rFonts w:asciiTheme="majorHAnsi" w:hAnsiTheme="majorHAnsi"/>
                <w:sz w:val="20"/>
              </w:rPr>
              <w:t xml:space="preserve"> el </w:t>
            </w:r>
            <w:r w:rsidR="00C117B8" w:rsidRPr="00B053E2">
              <w:rPr>
                <w:rFonts w:asciiTheme="majorHAnsi" w:hAnsiTheme="majorHAnsi"/>
                <w:sz w:val="20"/>
              </w:rPr>
              <w:t>derecho a la portabilidad</w:t>
            </w:r>
            <w:r w:rsidR="00C117B8">
              <w:rPr>
                <w:rFonts w:asciiTheme="majorHAnsi" w:hAnsiTheme="majorHAnsi"/>
                <w:sz w:val="20"/>
              </w:rPr>
              <w:t>, es decir, no se estar</w:t>
            </w:r>
            <w:r w:rsidR="0052036E">
              <w:rPr>
                <w:rFonts w:asciiTheme="majorHAnsi" w:hAnsiTheme="majorHAnsi"/>
                <w:sz w:val="20"/>
              </w:rPr>
              <w:t>ía</w:t>
            </w:r>
            <w:r w:rsidR="00C117B8">
              <w:rPr>
                <w:rFonts w:asciiTheme="majorHAnsi" w:hAnsiTheme="majorHAnsi"/>
                <w:sz w:val="20"/>
              </w:rPr>
              <w:t xml:space="preserve"> en condiciones </w:t>
            </w:r>
            <w:r w:rsidR="00C117B8" w:rsidRPr="00B053E2">
              <w:rPr>
                <w:rFonts w:asciiTheme="majorHAnsi" w:hAnsiTheme="majorHAnsi"/>
                <w:sz w:val="20"/>
              </w:rPr>
              <w:t xml:space="preserve">de elegir sin ninguna barrera adicional al concesionario </w:t>
            </w:r>
            <w:r w:rsidR="00C117B8">
              <w:rPr>
                <w:rFonts w:asciiTheme="majorHAnsi" w:hAnsiTheme="majorHAnsi"/>
                <w:sz w:val="20"/>
              </w:rPr>
              <w:t xml:space="preserve">o autorizado </w:t>
            </w:r>
            <w:r w:rsidR="00C117B8" w:rsidRPr="00B053E2">
              <w:rPr>
                <w:rFonts w:asciiTheme="majorHAnsi" w:hAnsiTheme="majorHAnsi"/>
                <w:sz w:val="20"/>
              </w:rPr>
              <w:t>de servicios</w:t>
            </w:r>
            <w:r w:rsidR="00C117B8">
              <w:rPr>
                <w:rFonts w:asciiTheme="majorHAnsi" w:hAnsiTheme="majorHAnsi"/>
                <w:sz w:val="20"/>
              </w:rPr>
              <w:t xml:space="preserve"> móviles </w:t>
            </w:r>
            <w:r w:rsidR="00C117B8" w:rsidRPr="00B053E2">
              <w:rPr>
                <w:rFonts w:asciiTheme="majorHAnsi" w:hAnsiTheme="majorHAnsi"/>
                <w:sz w:val="20"/>
              </w:rPr>
              <w:t xml:space="preserve">sin </w:t>
            </w:r>
            <w:r w:rsidR="00C117B8">
              <w:rPr>
                <w:rFonts w:asciiTheme="majorHAnsi" w:hAnsiTheme="majorHAnsi"/>
                <w:sz w:val="20"/>
              </w:rPr>
              <w:t xml:space="preserve">la necesidad de adquirir </w:t>
            </w:r>
            <w:r w:rsidR="00C117B8" w:rsidRPr="00B053E2">
              <w:rPr>
                <w:rFonts w:asciiTheme="majorHAnsi" w:hAnsiTheme="majorHAnsi"/>
                <w:sz w:val="20"/>
              </w:rPr>
              <w:t>un nuevo ETM</w:t>
            </w:r>
            <w:r w:rsidR="00C117B8">
              <w:rPr>
                <w:rFonts w:asciiTheme="majorHAnsi" w:hAnsiTheme="majorHAnsi"/>
                <w:sz w:val="20"/>
              </w:rPr>
              <w:t>, l</w:t>
            </w:r>
            <w:r w:rsidR="00C117B8">
              <w:rPr>
                <w:rFonts w:asciiTheme="majorHAnsi" w:eastAsia="Times New Roman" w:hAnsiTheme="majorHAnsi" w:cs="Arial"/>
                <w:sz w:val="20"/>
                <w:szCs w:val="20"/>
                <w:lang w:eastAsia="es-ES"/>
              </w:rPr>
              <w:t>o que indudablemente limitaría l</w:t>
            </w:r>
            <w:r w:rsidR="00DC212D" w:rsidRPr="00DC212D">
              <w:rPr>
                <w:rFonts w:asciiTheme="majorHAnsi" w:eastAsia="Times New Roman" w:hAnsiTheme="majorHAnsi" w:cs="Arial"/>
                <w:sz w:val="20"/>
                <w:szCs w:val="20"/>
                <w:lang w:eastAsia="es-ES"/>
              </w:rPr>
              <w:t>a posibilidad de elevar la calidad de vida de la población al tener mejor acceso a servicios de telemedicina, e-educación, e-gobierno y entretenimiento, incluyendo la derrama económica que esto significa.</w:t>
            </w:r>
          </w:p>
          <w:p w:rsidR="008A56F4" w:rsidRDefault="008A56F4" w:rsidP="00CB66DC">
            <w:pPr>
              <w:suppressAutoHyphens/>
              <w:spacing w:line="276" w:lineRule="auto"/>
              <w:ind w:right="-62"/>
              <w:jc w:val="both"/>
              <w:rPr>
                <w:rFonts w:asciiTheme="majorHAnsi" w:eastAsia="Times New Roman" w:hAnsiTheme="majorHAnsi" w:cs="Arial"/>
                <w:sz w:val="20"/>
                <w:szCs w:val="20"/>
                <w:lang w:eastAsia="es-ES"/>
              </w:rPr>
            </w:pP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Si bien el Instituto está facultado por la Constitución, la LFTR y su Estatuto Orgánico para emitir las Disposiciones Técnicas relativas a la infraestructura y los equipos que se conecten a las redes de telecomunicaciones </w:t>
            </w:r>
            <w:r w:rsidR="000C32E8" w:rsidRPr="005D5F2E">
              <w:rPr>
                <w:rFonts w:asciiTheme="majorHAnsi" w:eastAsia="Times New Roman" w:hAnsiTheme="majorHAnsi" w:cs="Arial"/>
                <w:sz w:val="20"/>
                <w:szCs w:val="20"/>
                <w:lang w:eastAsia="es-ES"/>
              </w:rPr>
              <w:t xml:space="preserve">o </w:t>
            </w:r>
            <w:r w:rsidRPr="005D5F2E">
              <w:rPr>
                <w:rFonts w:asciiTheme="majorHAnsi" w:eastAsia="Times New Roman" w:hAnsiTheme="majorHAnsi" w:cs="Arial"/>
                <w:sz w:val="20"/>
                <w:szCs w:val="20"/>
                <w:lang w:eastAsia="es-ES"/>
              </w:rPr>
              <w:t>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rsidR="00CB66DC" w:rsidRPr="005D5F2E" w:rsidRDefault="00CB66DC" w:rsidP="00CC6CD3">
            <w:pPr>
              <w:pStyle w:val="Default"/>
              <w:jc w:val="both"/>
              <w:rPr>
                <w:rFonts w:asciiTheme="majorHAnsi" w:hAnsiTheme="majorHAnsi" w:cstheme="minorBidi"/>
                <w:color w:val="auto"/>
                <w:sz w:val="20"/>
                <w:szCs w:val="20"/>
                <w:lang w:val="es-ES_tradnl"/>
              </w:rPr>
            </w:pP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Es de señalarse que en términos de los artículos 34, fracciones II, V y XXXIII, de la Ley Orgánica de la Administración Pública Federal; 38, fracción II, y 39, fracción XII, de la Ley Federal sobre Metrología y Normalización,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rsidR="00CB66DC" w:rsidRPr="005D5F2E" w:rsidRDefault="00CB66DC" w:rsidP="00CB66DC">
            <w:pPr>
              <w:spacing w:line="276" w:lineRule="auto"/>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El artículo 4o. de la Ley de Comercio Exterior (en lo sucesivo,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rsidR="00CB66DC" w:rsidRPr="005D5F2E" w:rsidRDefault="00CB66DC" w:rsidP="00CC6CD3">
            <w:pPr>
              <w:pStyle w:val="Default"/>
              <w:jc w:val="both"/>
              <w:rPr>
                <w:rFonts w:asciiTheme="majorHAnsi" w:hAnsiTheme="majorHAnsi" w:cstheme="minorBidi"/>
                <w:color w:val="auto"/>
                <w:sz w:val="20"/>
                <w:szCs w:val="20"/>
                <w:lang w:val="es-ES_tradnl"/>
              </w:rPr>
            </w:pP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les corresponda conforme a la tarifa respectiva”.</w:t>
            </w:r>
          </w:p>
          <w:p w:rsidR="00CB66DC" w:rsidRPr="005D5F2E" w:rsidRDefault="00CB66DC" w:rsidP="00CC6CD3">
            <w:pPr>
              <w:pStyle w:val="Default"/>
              <w:jc w:val="both"/>
              <w:rPr>
                <w:rFonts w:asciiTheme="majorHAnsi" w:hAnsiTheme="majorHAnsi" w:cstheme="minorBidi"/>
                <w:color w:val="auto"/>
                <w:sz w:val="20"/>
                <w:szCs w:val="20"/>
                <w:lang w:val="es-ES_tradnl"/>
              </w:rPr>
            </w:pP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rsidR="00CB66DC" w:rsidRPr="005D5F2E" w:rsidRDefault="00CB66DC" w:rsidP="00CC6CD3">
            <w:pPr>
              <w:pStyle w:val="Default"/>
              <w:jc w:val="both"/>
              <w:rPr>
                <w:rFonts w:asciiTheme="majorHAnsi" w:hAnsiTheme="majorHAnsi" w:cstheme="minorBidi"/>
                <w:color w:val="auto"/>
                <w:sz w:val="20"/>
                <w:szCs w:val="20"/>
                <w:lang w:val="es-ES_tradnl"/>
              </w:rPr>
            </w:pP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A su vez, el artículo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establece:</w:t>
            </w: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p>
          <w:p w:rsidR="00CB66DC" w:rsidRPr="005D5F2E" w:rsidRDefault="00CB66DC" w:rsidP="00CB66DC">
            <w:pPr>
              <w:suppressAutoHyphens/>
              <w:spacing w:line="276" w:lineRule="auto"/>
              <w:ind w:left="567"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rsidR="00CB66DC" w:rsidRPr="005D5F2E" w:rsidRDefault="00CB66DC" w:rsidP="00CB66DC">
            <w:pPr>
              <w:suppressAutoHyphens/>
              <w:spacing w:line="276" w:lineRule="auto"/>
              <w:ind w:left="567" w:right="-62"/>
              <w:jc w:val="both"/>
              <w:rPr>
                <w:rFonts w:asciiTheme="majorHAnsi" w:eastAsia="Times New Roman" w:hAnsiTheme="majorHAnsi" w:cs="Arial"/>
                <w:sz w:val="20"/>
                <w:szCs w:val="20"/>
                <w:lang w:eastAsia="es-ES"/>
              </w:rPr>
            </w:pP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rsidR="00CB66DC" w:rsidRPr="005D5F2E" w:rsidRDefault="00CB66DC" w:rsidP="00CC6CD3">
            <w:pPr>
              <w:pStyle w:val="Default"/>
              <w:jc w:val="both"/>
              <w:rPr>
                <w:rFonts w:asciiTheme="majorHAnsi" w:hAnsiTheme="majorHAnsi" w:cstheme="minorBidi"/>
                <w:color w:val="auto"/>
                <w:sz w:val="20"/>
                <w:szCs w:val="20"/>
                <w:lang w:val="es-ES_tradnl"/>
              </w:rPr>
            </w:pPr>
          </w:p>
          <w:p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De ahí que la Secretaría de Economía, en el ámbito de su competencia, pueda emitir en su momento la norma oficial mexicana correspondiente, que regule la importación, comercialización y/o distribución dentro del territorio de los Estados Unidos Mexicanos de los </w:t>
            </w:r>
            <w:r w:rsidR="00ED2613" w:rsidRPr="005D5F2E">
              <w:rPr>
                <w:rFonts w:asciiTheme="majorHAnsi" w:eastAsia="Times New Roman" w:hAnsiTheme="majorHAnsi" w:cs="Arial"/>
                <w:sz w:val="20"/>
                <w:szCs w:val="20"/>
                <w:lang w:eastAsia="es-ES"/>
              </w:rPr>
              <w:t>E</w:t>
            </w:r>
            <w:r w:rsidRPr="005D5F2E">
              <w:rPr>
                <w:rFonts w:asciiTheme="majorHAnsi" w:eastAsia="Times New Roman" w:hAnsiTheme="majorHAnsi" w:cs="Arial"/>
                <w:sz w:val="20"/>
                <w:szCs w:val="20"/>
                <w:lang w:eastAsia="es-ES"/>
              </w:rPr>
              <w:t xml:space="preserve">quipos </w:t>
            </w:r>
            <w:r w:rsidR="00ED2613" w:rsidRPr="005D5F2E">
              <w:rPr>
                <w:rFonts w:asciiTheme="majorHAnsi" w:eastAsia="Times New Roman" w:hAnsiTheme="majorHAnsi" w:cs="Arial"/>
                <w:sz w:val="20"/>
                <w:szCs w:val="20"/>
                <w:lang w:eastAsia="es-ES"/>
              </w:rPr>
              <w:t>Terminales Móviles</w:t>
            </w:r>
            <w:r w:rsidRPr="005D5F2E">
              <w:rPr>
                <w:rFonts w:asciiTheme="majorHAnsi" w:eastAsia="Times New Roman" w:hAnsiTheme="majorHAnsi" w:cs="Arial"/>
                <w:sz w:val="20"/>
                <w:szCs w:val="20"/>
                <w:lang w:eastAsia="es-ES"/>
              </w:rPr>
              <w:t>, cuyas especificaciones se prevén en la Disposición Técnica propuesta.</w:t>
            </w:r>
          </w:p>
          <w:p w:rsidR="00CB66DC" w:rsidRPr="005D5F2E" w:rsidRDefault="00CB66DC" w:rsidP="00CC6CD3">
            <w:pPr>
              <w:pStyle w:val="Default"/>
              <w:jc w:val="both"/>
              <w:rPr>
                <w:rFonts w:asciiTheme="majorHAnsi" w:hAnsiTheme="majorHAnsi" w:cstheme="minorBidi"/>
                <w:color w:val="auto"/>
                <w:sz w:val="20"/>
                <w:szCs w:val="20"/>
                <w:lang w:val="es-ES_tradnl"/>
              </w:rPr>
            </w:pPr>
          </w:p>
          <w:p w:rsidR="00213FAF" w:rsidRPr="00816600" w:rsidRDefault="00CB66DC" w:rsidP="0076449F">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En este orden de ideas, en el marco de la coordinación y colaboración entre el Instituto y la Secretaría de Economía que prevén la LFTR y la LFMN, al emitirse por el Instituto la Disposición Técnica IFT-011-201</w:t>
            </w:r>
            <w:r w:rsidR="00ED371A">
              <w:rPr>
                <w:rFonts w:asciiTheme="majorHAnsi" w:eastAsia="Times New Roman" w:hAnsiTheme="majorHAnsi" w:cs="Arial"/>
                <w:sz w:val="20"/>
                <w:szCs w:val="20"/>
                <w:lang w:eastAsia="es-ES"/>
              </w:rPr>
              <w:t>7</w:t>
            </w:r>
            <w:r w:rsidR="00A1280A">
              <w:rPr>
                <w:rFonts w:asciiTheme="majorHAnsi" w:eastAsia="Times New Roman" w:hAnsiTheme="majorHAnsi" w:cs="Arial"/>
                <w:sz w:val="20"/>
                <w:szCs w:val="20"/>
                <w:lang w:eastAsia="es-ES"/>
              </w:rPr>
              <w:t>.Parte 2</w:t>
            </w:r>
            <w:r w:rsidRPr="005D5F2E">
              <w:rPr>
                <w:rFonts w:asciiTheme="majorHAnsi" w:eastAsia="Times New Roman" w:hAnsiTheme="majorHAnsi" w:cs="Arial"/>
                <w:sz w:val="20"/>
                <w:szCs w:val="20"/>
                <w:lang w:eastAsia="es-ES"/>
              </w:rPr>
              <w:t xml:space="preserve">, la Secretaría de Economía pueda realizar los actos jurídicos correspondientes como son, por una parte, la emisión de la norma oficial mexicana correspondiente que regula la importación, comercialización y/o distribución dentro del territorio de los Estados Unidos Mexicanos de los Equipos Terminales Móviles y, por la otra, la actualización del </w:t>
            </w:r>
            <w:r w:rsidR="00B224CF">
              <w:rPr>
                <w:rFonts w:asciiTheme="majorHAnsi" w:eastAsia="Times New Roman" w:hAnsiTheme="majorHAnsi" w:cs="Arial"/>
                <w:sz w:val="20"/>
                <w:szCs w:val="20"/>
                <w:lang w:eastAsia="es-ES"/>
              </w:rPr>
              <w:t>Acuerdo citado.</w:t>
            </w:r>
          </w:p>
        </w:tc>
      </w:tr>
    </w:tbl>
    <w:p w:rsidR="003F05E7" w:rsidRPr="005D5F2E"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5D5F2E" w:rsidTr="003F05E7">
        <w:tc>
          <w:tcPr>
            <w:tcW w:w="8828" w:type="dxa"/>
          </w:tcPr>
          <w:p w:rsidR="003F05E7" w:rsidRPr="005D5F2E" w:rsidRDefault="003F05E7" w:rsidP="003F05E7">
            <w:pPr>
              <w:jc w:val="both"/>
              <w:rPr>
                <w:b/>
                <w:sz w:val="20"/>
              </w:rPr>
            </w:pPr>
            <w:r w:rsidRPr="005D5F2E">
              <w:rPr>
                <w:b/>
                <w:sz w:val="20"/>
              </w:rPr>
              <w:t>11.- ¿Cuáles serían los efectos del anteproyecto de regulación sobre los precios, calidad y disponibilidad de bienes y servicios para el consumidor en los mercados?:</w:t>
            </w:r>
          </w:p>
          <w:p w:rsidR="003F05E7" w:rsidRPr="005D5F2E" w:rsidRDefault="003F05E7" w:rsidP="003F05E7">
            <w:pPr>
              <w:jc w:val="both"/>
              <w:rPr>
                <w:sz w:val="20"/>
              </w:rPr>
            </w:pPr>
          </w:p>
          <w:p w:rsidR="00513BF0" w:rsidRDefault="00A41831" w:rsidP="00513BF0">
            <w:pPr>
              <w:jc w:val="both"/>
              <w:rPr>
                <w:rFonts w:asciiTheme="majorHAnsi" w:hAnsiTheme="majorHAnsi"/>
                <w:sz w:val="20"/>
                <w:szCs w:val="20"/>
              </w:rPr>
            </w:pPr>
            <w:r w:rsidRPr="00A41831">
              <w:rPr>
                <w:rFonts w:asciiTheme="majorHAnsi" w:hAnsiTheme="majorHAnsi"/>
                <w:sz w:val="20"/>
                <w:szCs w:val="20"/>
              </w:rPr>
              <w:t xml:space="preserve">No se prevé para el consumidor de los </w:t>
            </w:r>
            <w:r>
              <w:rPr>
                <w:rFonts w:asciiTheme="majorHAnsi" w:hAnsiTheme="majorHAnsi"/>
                <w:sz w:val="20"/>
                <w:szCs w:val="20"/>
              </w:rPr>
              <w:t>ETM</w:t>
            </w:r>
            <w:r w:rsidRPr="00A41831">
              <w:rPr>
                <w:rFonts w:asciiTheme="majorHAnsi" w:hAnsiTheme="majorHAnsi"/>
                <w:sz w:val="20"/>
                <w:szCs w:val="20"/>
              </w:rPr>
              <w:t xml:space="preserve"> sujetos a </w:t>
            </w:r>
            <w:r>
              <w:rPr>
                <w:rFonts w:asciiTheme="majorHAnsi" w:hAnsiTheme="majorHAnsi"/>
                <w:sz w:val="20"/>
                <w:szCs w:val="20"/>
              </w:rPr>
              <w:t xml:space="preserve">la </w:t>
            </w:r>
            <w:r w:rsidR="00E53C6F" w:rsidRPr="005D5F2E">
              <w:rPr>
                <w:rFonts w:asciiTheme="majorHAnsi" w:eastAsia="Times New Roman" w:hAnsiTheme="majorHAnsi" w:cs="Arial"/>
                <w:sz w:val="20"/>
                <w:szCs w:val="20"/>
                <w:lang w:eastAsia="es-ES"/>
              </w:rPr>
              <w:t>Disposición Técnica IFT-011-201</w:t>
            </w:r>
            <w:r w:rsidR="00E53C6F">
              <w:rPr>
                <w:rFonts w:asciiTheme="majorHAnsi" w:eastAsia="Times New Roman" w:hAnsiTheme="majorHAnsi" w:cs="Arial"/>
                <w:sz w:val="20"/>
                <w:szCs w:val="20"/>
                <w:lang w:eastAsia="es-ES"/>
              </w:rPr>
              <w:t>7 Parte 2</w:t>
            </w:r>
            <w:r w:rsidR="00E53C6F" w:rsidRPr="005D5F2E">
              <w:rPr>
                <w:rFonts w:asciiTheme="majorHAnsi" w:eastAsia="Times New Roman" w:hAnsiTheme="majorHAnsi" w:cs="Arial"/>
                <w:sz w:val="20"/>
                <w:szCs w:val="20"/>
                <w:lang w:eastAsia="es-ES"/>
              </w:rPr>
              <w:t xml:space="preserve"> propuesta</w:t>
            </w:r>
            <w:r w:rsidRPr="00A41831">
              <w:rPr>
                <w:rFonts w:asciiTheme="majorHAnsi" w:hAnsiTheme="majorHAnsi"/>
                <w:sz w:val="20"/>
                <w:szCs w:val="20"/>
              </w:rPr>
              <w:t xml:space="preserve">, </w:t>
            </w:r>
            <w:r>
              <w:rPr>
                <w:rFonts w:asciiTheme="majorHAnsi" w:hAnsiTheme="majorHAnsi"/>
                <w:sz w:val="20"/>
                <w:szCs w:val="20"/>
              </w:rPr>
              <w:t xml:space="preserve">un incremento </w:t>
            </w:r>
            <w:r w:rsidR="001D10C9">
              <w:rPr>
                <w:rFonts w:asciiTheme="majorHAnsi" w:hAnsiTheme="majorHAnsi"/>
                <w:sz w:val="20"/>
                <w:szCs w:val="20"/>
              </w:rPr>
              <w:t xml:space="preserve">significativo </w:t>
            </w:r>
            <w:r w:rsidRPr="00A41831">
              <w:rPr>
                <w:rFonts w:asciiTheme="majorHAnsi" w:hAnsiTheme="majorHAnsi"/>
                <w:sz w:val="20"/>
                <w:szCs w:val="20"/>
              </w:rPr>
              <w:t>en los precios</w:t>
            </w:r>
            <w:r>
              <w:rPr>
                <w:rFonts w:asciiTheme="majorHAnsi" w:hAnsiTheme="majorHAnsi"/>
                <w:sz w:val="20"/>
                <w:szCs w:val="20"/>
              </w:rPr>
              <w:t>, lo anterior en virtud de que actualmente ya se homologan dichos equipos por la vía del Perito Acreditado</w:t>
            </w:r>
            <w:r w:rsidR="00E53C6F">
              <w:rPr>
                <w:rFonts w:asciiTheme="majorHAnsi" w:hAnsiTheme="majorHAnsi"/>
                <w:sz w:val="20"/>
                <w:szCs w:val="20"/>
              </w:rPr>
              <w:t xml:space="preserve"> en casi la totalidad de las bandas ahí referidas</w:t>
            </w:r>
            <w:r w:rsidRPr="00A41831">
              <w:rPr>
                <w:rFonts w:asciiTheme="majorHAnsi" w:hAnsiTheme="majorHAnsi"/>
                <w:sz w:val="20"/>
                <w:szCs w:val="20"/>
              </w:rPr>
              <w:t>.</w:t>
            </w:r>
            <w:r w:rsidR="00E53C6F">
              <w:rPr>
                <w:rFonts w:asciiTheme="majorHAnsi" w:hAnsiTheme="majorHAnsi"/>
                <w:sz w:val="20"/>
                <w:szCs w:val="20"/>
              </w:rPr>
              <w:t xml:space="preserve"> Asimismo no s</w:t>
            </w:r>
            <w:r w:rsidR="00CB619F">
              <w:rPr>
                <w:rFonts w:asciiTheme="majorHAnsi" w:hAnsiTheme="majorHAnsi"/>
                <w:sz w:val="20"/>
                <w:szCs w:val="20"/>
              </w:rPr>
              <w:t xml:space="preserve">e prevé que con la </w:t>
            </w:r>
            <w:r w:rsidR="00CB619F" w:rsidRPr="005D5F2E">
              <w:rPr>
                <w:rFonts w:asciiTheme="majorHAnsi" w:eastAsia="Times New Roman" w:hAnsiTheme="majorHAnsi" w:cs="Arial"/>
                <w:sz w:val="20"/>
                <w:szCs w:val="20"/>
                <w:lang w:eastAsia="es-ES"/>
              </w:rPr>
              <w:t xml:space="preserve">emisión de </w:t>
            </w:r>
            <w:r w:rsidR="00E53C6F">
              <w:rPr>
                <w:rFonts w:asciiTheme="majorHAnsi" w:eastAsia="Times New Roman" w:hAnsiTheme="majorHAnsi" w:cs="Arial"/>
                <w:sz w:val="20"/>
                <w:szCs w:val="20"/>
                <w:lang w:eastAsia="es-ES"/>
              </w:rPr>
              <w:t>dicha d</w:t>
            </w:r>
            <w:r w:rsidR="00CB619F" w:rsidRPr="005D5F2E">
              <w:rPr>
                <w:rFonts w:asciiTheme="majorHAnsi" w:eastAsia="Times New Roman" w:hAnsiTheme="majorHAnsi" w:cs="Arial"/>
                <w:sz w:val="20"/>
                <w:szCs w:val="20"/>
                <w:lang w:eastAsia="es-ES"/>
              </w:rPr>
              <w:t xml:space="preserve">isposición </w:t>
            </w:r>
            <w:r w:rsidR="00E53C6F">
              <w:rPr>
                <w:rFonts w:asciiTheme="majorHAnsi" w:eastAsia="Times New Roman" w:hAnsiTheme="majorHAnsi" w:cs="Arial"/>
                <w:sz w:val="20"/>
                <w:szCs w:val="20"/>
                <w:lang w:eastAsia="es-ES"/>
              </w:rPr>
              <w:t>t</w:t>
            </w:r>
            <w:r w:rsidR="00CB619F" w:rsidRPr="005D5F2E">
              <w:rPr>
                <w:rFonts w:asciiTheme="majorHAnsi" w:eastAsia="Times New Roman" w:hAnsiTheme="majorHAnsi" w:cs="Arial"/>
                <w:sz w:val="20"/>
                <w:szCs w:val="20"/>
                <w:lang w:eastAsia="es-ES"/>
              </w:rPr>
              <w:t xml:space="preserve">écnica </w:t>
            </w:r>
            <w:r w:rsidR="00CB619F">
              <w:rPr>
                <w:rFonts w:asciiTheme="majorHAnsi" w:hAnsiTheme="majorHAnsi"/>
                <w:sz w:val="20"/>
                <w:szCs w:val="20"/>
              </w:rPr>
              <w:t>se gener</w:t>
            </w:r>
            <w:r w:rsidR="00E53C6F">
              <w:rPr>
                <w:rFonts w:asciiTheme="majorHAnsi" w:hAnsiTheme="majorHAnsi"/>
                <w:sz w:val="20"/>
                <w:szCs w:val="20"/>
              </w:rPr>
              <w:t>e</w:t>
            </w:r>
            <w:r w:rsidR="00CB619F">
              <w:rPr>
                <w:rFonts w:asciiTheme="majorHAnsi" w:hAnsiTheme="majorHAnsi"/>
                <w:sz w:val="20"/>
                <w:szCs w:val="20"/>
              </w:rPr>
              <w:t xml:space="preserve"> un </w:t>
            </w:r>
            <w:r w:rsidR="003221B7" w:rsidRPr="005D5F2E">
              <w:rPr>
                <w:rFonts w:asciiTheme="majorHAnsi" w:eastAsia="Times New Roman" w:hAnsiTheme="majorHAnsi" w:cs="Arial"/>
                <w:sz w:val="20"/>
                <w:szCs w:val="20"/>
                <w:lang w:eastAsia="es-ES"/>
              </w:rPr>
              <w:t xml:space="preserve">impacto </w:t>
            </w:r>
            <w:r w:rsidR="00E53C6F">
              <w:rPr>
                <w:rFonts w:asciiTheme="majorHAnsi" w:eastAsia="Times New Roman" w:hAnsiTheme="majorHAnsi" w:cs="Arial"/>
                <w:sz w:val="20"/>
                <w:szCs w:val="20"/>
                <w:lang w:eastAsia="es-ES"/>
              </w:rPr>
              <w:t xml:space="preserve">relevante </w:t>
            </w:r>
            <w:r w:rsidR="003221B7" w:rsidRPr="005D5F2E">
              <w:rPr>
                <w:rFonts w:asciiTheme="majorHAnsi" w:eastAsia="Times New Roman" w:hAnsiTheme="majorHAnsi" w:cs="Arial"/>
                <w:sz w:val="20"/>
                <w:szCs w:val="20"/>
                <w:lang w:eastAsia="es-ES"/>
              </w:rPr>
              <w:t xml:space="preserve">en los costos </w:t>
            </w:r>
            <w:r w:rsidR="0003414B" w:rsidRPr="005D5F2E">
              <w:rPr>
                <w:rFonts w:asciiTheme="majorHAnsi" w:eastAsia="Times New Roman" w:hAnsiTheme="majorHAnsi" w:cs="Arial"/>
                <w:sz w:val="20"/>
                <w:szCs w:val="20"/>
                <w:lang w:eastAsia="es-ES"/>
              </w:rPr>
              <w:t>para los fabricantes, importadores, comercializadores, distribuidores o arrendadores,</w:t>
            </w:r>
            <w:r w:rsidR="00E53C6F">
              <w:rPr>
                <w:rFonts w:asciiTheme="majorHAnsi" w:eastAsia="Times New Roman" w:hAnsiTheme="majorHAnsi" w:cs="Arial"/>
                <w:sz w:val="20"/>
                <w:szCs w:val="20"/>
                <w:lang w:eastAsia="es-ES"/>
              </w:rPr>
              <w:t xml:space="preserve"> por la </w:t>
            </w:r>
            <w:r w:rsidR="00E53C6F" w:rsidRPr="00924D04">
              <w:rPr>
                <w:rFonts w:asciiTheme="majorHAnsi" w:hAnsiTheme="majorHAnsi"/>
                <w:sz w:val="20"/>
              </w:rPr>
              <w:t xml:space="preserve">habilitación </w:t>
            </w:r>
            <w:r w:rsidR="00E53C6F">
              <w:rPr>
                <w:rFonts w:asciiTheme="majorHAnsi" w:hAnsiTheme="majorHAnsi"/>
                <w:sz w:val="20"/>
              </w:rPr>
              <w:t xml:space="preserve">o </w:t>
            </w:r>
            <w:r w:rsidR="00075173">
              <w:rPr>
                <w:rFonts w:asciiTheme="majorHAnsi" w:hAnsiTheme="majorHAnsi"/>
                <w:sz w:val="20"/>
              </w:rPr>
              <w:t xml:space="preserve">soporte </w:t>
            </w:r>
            <w:r w:rsidR="00E53C6F" w:rsidRPr="00924D04">
              <w:rPr>
                <w:rFonts w:asciiTheme="majorHAnsi" w:hAnsiTheme="majorHAnsi"/>
                <w:sz w:val="20"/>
              </w:rPr>
              <w:t xml:space="preserve">de la </w:t>
            </w:r>
            <w:r w:rsidR="00E53C6F">
              <w:rPr>
                <w:rFonts w:asciiTheme="majorHAnsi" w:hAnsiTheme="majorHAnsi"/>
                <w:sz w:val="20"/>
              </w:rPr>
              <w:t>B</w:t>
            </w:r>
            <w:r w:rsidR="00E53C6F" w:rsidRPr="00924D04">
              <w:rPr>
                <w:rFonts w:asciiTheme="majorHAnsi" w:hAnsiTheme="majorHAnsi"/>
                <w:sz w:val="20"/>
              </w:rPr>
              <w:t xml:space="preserve">anda 28 en </w:t>
            </w:r>
            <w:r w:rsidR="00E53C6F">
              <w:rPr>
                <w:rFonts w:asciiTheme="majorHAnsi" w:hAnsiTheme="majorHAnsi"/>
                <w:sz w:val="20"/>
              </w:rPr>
              <w:t>los ETM</w:t>
            </w:r>
            <w:r w:rsidR="00F516FE">
              <w:rPr>
                <w:rFonts w:asciiTheme="majorHAnsi" w:hAnsiTheme="majorHAnsi"/>
                <w:sz w:val="20"/>
              </w:rPr>
              <w:t xml:space="preserve"> (que se utilicen particularmente cerca del oído)</w:t>
            </w:r>
            <w:r w:rsidR="00075173">
              <w:rPr>
                <w:rFonts w:asciiTheme="majorHAnsi" w:hAnsiTheme="majorHAnsi"/>
                <w:sz w:val="20"/>
              </w:rPr>
              <w:t xml:space="preserve">, </w:t>
            </w:r>
            <w:r w:rsidR="0003414B" w:rsidRPr="005D5F2E">
              <w:rPr>
                <w:rFonts w:asciiTheme="majorHAnsi" w:eastAsia="Times New Roman" w:hAnsiTheme="majorHAnsi" w:cs="Arial"/>
                <w:sz w:val="20"/>
                <w:szCs w:val="20"/>
                <w:lang w:eastAsia="es-ES"/>
              </w:rPr>
              <w:t xml:space="preserve"> derivado </w:t>
            </w:r>
            <w:r w:rsidR="000420C7">
              <w:rPr>
                <w:rFonts w:asciiTheme="majorHAnsi" w:eastAsia="Times New Roman" w:hAnsiTheme="majorHAnsi" w:cs="Arial"/>
                <w:sz w:val="20"/>
                <w:szCs w:val="20"/>
                <w:lang w:eastAsia="es-ES"/>
              </w:rPr>
              <w:t>de</w:t>
            </w:r>
            <w:r w:rsidR="00075173">
              <w:rPr>
                <w:rFonts w:asciiTheme="majorHAnsi" w:eastAsia="Times New Roman" w:hAnsiTheme="majorHAnsi" w:cs="Arial"/>
                <w:sz w:val="20"/>
                <w:szCs w:val="20"/>
                <w:lang w:eastAsia="es-ES"/>
              </w:rPr>
              <w:t xml:space="preserve"> que </w:t>
            </w:r>
            <w:r w:rsidR="00BA2ACD">
              <w:rPr>
                <w:rFonts w:asciiTheme="majorHAnsi" w:hAnsiTheme="majorHAnsi"/>
                <w:sz w:val="20"/>
              </w:rPr>
              <w:t xml:space="preserve">dicho costo es </w:t>
            </w:r>
            <w:r w:rsidR="001D10C9">
              <w:rPr>
                <w:rFonts w:asciiTheme="majorHAnsi" w:hAnsiTheme="majorHAnsi"/>
                <w:sz w:val="20"/>
                <w:szCs w:val="20"/>
              </w:rPr>
              <w:t>muy bajo</w:t>
            </w:r>
            <w:r w:rsidR="00BA2ACD" w:rsidRPr="00AE3908">
              <w:rPr>
                <w:rFonts w:asciiTheme="majorHAnsi" w:hAnsiTheme="majorHAnsi"/>
                <w:sz w:val="20"/>
                <w:szCs w:val="20"/>
              </w:rPr>
              <w:t xml:space="preserve"> respecto </w:t>
            </w:r>
            <w:r w:rsidR="005B0609">
              <w:rPr>
                <w:rFonts w:asciiTheme="majorHAnsi" w:hAnsiTheme="majorHAnsi"/>
                <w:sz w:val="20"/>
                <w:szCs w:val="20"/>
              </w:rPr>
              <w:t xml:space="preserve">al </w:t>
            </w:r>
            <w:r w:rsidR="00BA2ACD" w:rsidRPr="00AE3908">
              <w:rPr>
                <w:rFonts w:asciiTheme="majorHAnsi" w:hAnsiTheme="majorHAnsi"/>
                <w:sz w:val="20"/>
                <w:szCs w:val="20"/>
              </w:rPr>
              <w:t>precio del Smartphone</w:t>
            </w:r>
            <w:r w:rsidR="00BA2ACD">
              <w:rPr>
                <w:rFonts w:asciiTheme="majorHAnsi" w:hAnsiTheme="majorHAnsi"/>
                <w:sz w:val="20"/>
                <w:szCs w:val="20"/>
              </w:rPr>
              <w:t xml:space="preserve">, </w:t>
            </w:r>
            <w:r w:rsidR="00BA2ACD" w:rsidRPr="00AE3908">
              <w:rPr>
                <w:rFonts w:asciiTheme="majorHAnsi" w:hAnsiTheme="majorHAnsi"/>
                <w:sz w:val="20"/>
                <w:szCs w:val="20"/>
              </w:rPr>
              <w:t>siendo típicamente inferiores a 1.0 dólar</w:t>
            </w:r>
            <w:r w:rsidR="00BA2ACD">
              <w:rPr>
                <w:rStyle w:val="Refdenotaalpie"/>
                <w:rFonts w:asciiTheme="majorHAnsi" w:hAnsiTheme="majorHAnsi"/>
                <w:sz w:val="20"/>
                <w:szCs w:val="20"/>
              </w:rPr>
              <w:footnoteReference w:id="13"/>
            </w:r>
            <w:r w:rsidR="00BA2ACD" w:rsidRPr="00AE3908">
              <w:rPr>
                <w:rFonts w:asciiTheme="majorHAnsi" w:hAnsiTheme="majorHAnsi"/>
                <w:sz w:val="20"/>
                <w:szCs w:val="20"/>
              </w:rPr>
              <w:t>;</w:t>
            </w:r>
            <w:r w:rsidR="00513BF0">
              <w:rPr>
                <w:rFonts w:asciiTheme="majorHAnsi" w:hAnsiTheme="majorHAnsi"/>
                <w:sz w:val="20"/>
                <w:szCs w:val="20"/>
              </w:rPr>
              <w:t xml:space="preserve"> </w:t>
            </w:r>
          </w:p>
          <w:p w:rsidR="00513BF0" w:rsidRDefault="00513BF0" w:rsidP="00513BF0">
            <w:pPr>
              <w:jc w:val="both"/>
              <w:rPr>
                <w:rFonts w:asciiTheme="majorHAnsi" w:hAnsiTheme="majorHAnsi"/>
                <w:sz w:val="20"/>
                <w:szCs w:val="20"/>
              </w:rPr>
            </w:pPr>
          </w:p>
          <w:p w:rsidR="001B519A" w:rsidRPr="001B519A" w:rsidRDefault="005B55D3" w:rsidP="00513BF0">
            <w:pPr>
              <w:spacing w:line="276" w:lineRule="auto"/>
              <w:jc w:val="both"/>
              <w:rPr>
                <w:rFonts w:asciiTheme="majorHAnsi" w:hAnsiTheme="majorHAnsi"/>
                <w:sz w:val="20"/>
                <w:szCs w:val="20"/>
              </w:rPr>
            </w:pPr>
            <w:r w:rsidRPr="001B519A">
              <w:rPr>
                <w:rFonts w:asciiTheme="majorHAnsi" w:hAnsiTheme="majorHAnsi"/>
                <w:sz w:val="20"/>
                <w:szCs w:val="20"/>
              </w:rPr>
              <w:t>A</w:t>
            </w:r>
            <w:r w:rsidR="0003414B" w:rsidRPr="001B519A">
              <w:rPr>
                <w:rFonts w:asciiTheme="majorHAnsi" w:hAnsiTheme="majorHAnsi"/>
                <w:sz w:val="20"/>
                <w:szCs w:val="20"/>
              </w:rPr>
              <w:t>simismo</w:t>
            </w:r>
            <w:r w:rsidR="00DC4E94" w:rsidRPr="001B519A">
              <w:rPr>
                <w:rFonts w:asciiTheme="majorHAnsi" w:hAnsiTheme="majorHAnsi"/>
                <w:sz w:val="20"/>
                <w:szCs w:val="20"/>
              </w:rPr>
              <w:t>,</w:t>
            </w:r>
            <w:r w:rsidR="0003414B" w:rsidRPr="001B519A">
              <w:rPr>
                <w:rFonts w:asciiTheme="majorHAnsi" w:hAnsiTheme="majorHAnsi"/>
                <w:sz w:val="20"/>
                <w:szCs w:val="20"/>
              </w:rPr>
              <w:t xml:space="preserve"> se </w:t>
            </w:r>
            <w:r w:rsidR="001B519A" w:rsidRPr="001B519A">
              <w:rPr>
                <w:rFonts w:asciiTheme="majorHAnsi" w:hAnsiTheme="majorHAnsi"/>
                <w:sz w:val="20"/>
                <w:szCs w:val="20"/>
              </w:rPr>
              <w:t>coadyuva con los</w:t>
            </w:r>
            <w:r w:rsidR="0003414B" w:rsidRPr="001B519A">
              <w:rPr>
                <w:rFonts w:asciiTheme="majorHAnsi" w:hAnsiTheme="majorHAnsi"/>
                <w:sz w:val="20"/>
                <w:szCs w:val="20"/>
              </w:rPr>
              <w:t xml:space="preserve"> usuario</w:t>
            </w:r>
            <w:r w:rsidR="001B519A" w:rsidRPr="001B519A">
              <w:rPr>
                <w:rFonts w:asciiTheme="majorHAnsi" w:hAnsiTheme="majorHAnsi"/>
                <w:sz w:val="20"/>
                <w:szCs w:val="20"/>
              </w:rPr>
              <w:t>s</w:t>
            </w:r>
            <w:r w:rsidR="0003414B" w:rsidRPr="001B519A">
              <w:rPr>
                <w:rFonts w:asciiTheme="majorHAnsi" w:hAnsiTheme="majorHAnsi"/>
                <w:sz w:val="20"/>
                <w:szCs w:val="20"/>
              </w:rPr>
              <w:t xml:space="preserve"> </w:t>
            </w:r>
            <w:r w:rsidR="001B519A" w:rsidRPr="001B519A">
              <w:rPr>
                <w:rFonts w:asciiTheme="majorHAnsi" w:hAnsiTheme="majorHAnsi"/>
                <w:sz w:val="20"/>
                <w:szCs w:val="20"/>
              </w:rPr>
              <w:t>a ejercer su derecho a la portabilidad</w:t>
            </w:r>
            <w:r w:rsidRPr="001B519A">
              <w:rPr>
                <w:rFonts w:asciiTheme="majorHAnsi" w:hAnsiTheme="majorHAnsi"/>
                <w:sz w:val="20"/>
                <w:szCs w:val="20"/>
              </w:rPr>
              <w:t xml:space="preserve"> al prever </w:t>
            </w:r>
            <w:r w:rsidR="0003414B" w:rsidRPr="001B519A">
              <w:rPr>
                <w:rFonts w:asciiTheme="majorHAnsi" w:hAnsiTheme="majorHAnsi"/>
                <w:sz w:val="20"/>
                <w:szCs w:val="20"/>
              </w:rPr>
              <w:t xml:space="preserve">que </w:t>
            </w:r>
            <w:r w:rsidR="00A41831" w:rsidRPr="001B519A">
              <w:rPr>
                <w:rFonts w:asciiTheme="majorHAnsi" w:hAnsiTheme="majorHAnsi"/>
                <w:sz w:val="20"/>
                <w:szCs w:val="20"/>
              </w:rPr>
              <w:t>dichos equipos</w:t>
            </w:r>
            <w:r w:rsidR="001B519A" w:rsidRPr="001B519A">
              <w:rPr>
                <w:rFonts w:asciiTheme="majorHAnsi" w:hAnsiTheme="majorHAnsi"/>
                <w:sz w:val="20"/>
                <w:szCs w:val="20"/>
              </w:rPr>
              <w:t xml:space="preserve"> deben </w:t>
            </w:r>
            <w:r w:rsidR="00A922B2">
              <w:rPr>
                <w:rFonts w:asciiTheme="majorHAnsi" w:hAnsiTheme="majorHAnsi"/>
                <w:sz w:val="20"/>
                <w:szCs w:val="20"/>
              </w:rPr>
              <w:t xml:space="preserve">soportar la banda 28. </w:t>
            </w:r>
            <w:r w:rsidR="00AE48F7">
              <w:rPr>
                <w:rFonts w:asciiTheme="majorHAnsi" w:hAnsiTheme="majorHAnsi"/>
                <w:sz w:val="20"/>
                <w:szCs w:val="20"/>
              </w:rPr>
              <w:t>Lo anterior implica que cuando un usuario desee portarse con otro proveedor del servicio móvil, lo pueda realizar libremente sin necesidad de adquirir otro ETM.</w:t>
            </w:r>
          </w:p>
          <w:p w:rsidR="00CB619F" w:rsidRPr="001B519A" w:rsidRDefault="00CB619F" w:rsidP="00AF1133">
            <w:pPr>
              <w:jc w:val="both"/>
              <w:rPr>
                <w:rFonts w:asciiTheme="majorHAnsi" w:hAnsiTheme="majorHAnsi"/>
                <w:sz w:val="20"/>
                <w:szCs w:val="20"/>
              </w:rPr>
            </w:pPr>
          </w:p>
          <w:p w:rsidR="00F5575B" w:rsidRDefault="00DB44BD" w:rsidP="00F5575B">
            <w:pPr>
              <w:jc w:val="both"/>
              <w:rPr>
                <w:rFonts w:asciiTheme="majorHAnsi" w:hAnsiTheme="majorHAnsi"/>
                <w:sz w:val="20"/>
              </w:rPr>
            </w:pPr>
            <w:r>
              <w:rPr>
                <w:rFonts w:asciiTheme="majorHAnsi" w:eastAsia="Times New Roman" w:hAnsiTheme="majorHAnsi" w:cs="Arial"/>
                <w:sz w:val="20"/>
                <w:szCs w:val="20"/>
                <w:lang w:eastAsia="es-ES"/>
              </w:rPr>
              <w:t xml:space="preserve">Por </w:t>
            </w:r>
            <w:r w:rsidR="00A41831">
              <w:rPr>
                <w:rFonts w:asciiTheme="majorHAnsi" w:eastAsia="Times New Roman" w:hAnsiTheme="majorHAnsi" w:cs="Arial"/>
                <w:sz w:val="20"/>
                <w:szCs w:val="20"/>
                <w:lang w:eastAsia="es-ES"/>
              </w:rPr>
              <w:t xml:space="preserve">lo </w:t>
            </w:r>
            <w:r w:rsidR="00616DA1">
              <w:rPr>
                <w:rFonts w:asciiTheme="majorHAnsi" w:eastAsia="Times New Roman" w:hAnsiTheme="majorHAnsi" w:cs="Arial"/>
                <w:sz w:val="20"/>
                <w:szCs w:val="20"/>
                <w:lang w:eastAsia="es-ES"/>
              </w:rPr>
              <w:t>anterior</w:t>
            </w:r>
            <w:r>
              <w:rPr>
                <w:rFonts w:asciiTheme="majorHAnsi" w:eastAsia="Times New Roman" w:hAnsiTheme="majorHAnsi" w:cs="Arial"/>
                <w:sz w:val="20"/>
                <w:szCs w:val="20"/>
                <w:lang w:eastAsia="es-ES"/>
              </w:rPr>
              <w:t xml:space="preserve">, </w:t>
            </w:r>
            <w:r w:rsidR="00973C9D">
              <w:rPr>
                <w:rFonts w:asciiTheme="majorHAnsi" w:eastAsia="Times New Roman" w:hAnsiTheme="majorHAnsi" w:cs="Arial"/>
                <w:sz w:val="20"/>
                <w:szCs w:val="20"/>
                <w:lang w:eastAsia="es-ES"/>
              </w:rPr>
              <w:t xml:space="preserve">se prevé que </w:t>
            </w:r>
            <w:r w:rsidR="00616DA1">
              <w:rPr>
                <w:rFonts w:asciiTheme="majorHAnsi" w:eastAsia="Times New Roman" w:hAnsiTheme="majorHAnsi" w:cs="Arial"/>
                <w:sz w:val="20"/>
                <w:szCs w:val="20"/>
                <w:lang w:eastAsia="es-ES"/>
              </w:rPr>
              <w:t xml:space="preserve">con la </w:t>
            </w:r>
            <w:r w:rsidR="00F5575B">
              <w:rPr>
                <w:rFonts w:asciiTheme="majorHAnsi" w:eastAsia="Times New Roman" w:hAnsiTheme="majorHAnsi" w:cs="Arial"/>
                <w:sz w:val="20"/>
                <w:szCs w:val="20"/>
                <w:lang w:eastAsia="es-ES"/>
              </w:rPr>
              <w:t xml:space="preserve">integración </w:t>
            </w:r>
            <w:r w:rsidR="00616DA1">
              <w:rPr>
                <w:rFonts w:asciiTheme="majorHAnsi" w:eastAsia="Times New Roman" w:hAnsiTheme="majorHAnsi" w:cs="Arial"/>
                <w:sz w:val="20"/>
                <w:szCs w:val="20"/>
                <w:lang w:eastAsia="es-ES"/>
              </w:rPr>
              <w:t xml:space="preserve">de la </w:t>
            </w:r>
            <w:r w:rsidR="00AE48F7">
              <w:rPr>
                <w:rFonts w:asciiTheme="majorHAnsi" w:eastAsia="Times New Roman" w:hAnsiTheme="majorHAnsi" w:cs="Arial"/>
                <w:sz w:val="20"/>
                <w:szCs w:val="20"/>
                <w:lang w:eastAsia="es-ES"/>
              </w:rPr>
              <w:t>b</w:t>
            </w:r>
            <w:r w:rsidR="00616DA1">
              <w:rPr>
                <w:rFonts w:asciiTheme="majorHAnsi" w:eastAsia="Times New Roman" w:hAnsiTheme="majorHAnsi" w:cs="Arial"/>
                <w:sz w:val="20"/>
                <w:szCs w:val="20"/>
                <w:lang w:eastAsia="es-ES"/>
              </w:rPr>
              <w:t>an</w:t>
            </w:r>
            <w:r w:rsidR="00F5575B">
              <w:rPr>
                <w:rFonts w:asciiTheme="majorHAnsi" w:eastAsia="Times New Roman" w:hAnsiTheme="majorHAnsi" w:cs="Arial"/>
                <w:sz w:val="20"/>
                <w:szCs w:val="20"/>
                <w:lang w:eastAsia="es-ES"/>
              </w:rPr>
              <w:t>da</w:t>
            </w:r>
            <w:r w:rsidR="00AE48F7">
              <w:rPr>
                <w:rFonts w:asciiTheme="majorHAnsi" w:eastAsia="Times New Roman" w:hAnsiTheme="majorHAnsi" w:cs="Arial"/>
                <w:sz w:val="20"/>
                <w:szCs w:val="20"/>
                <w:lang w:eastAsia="es-ES"/>
              </w:rPr>
              <w:t xml:space="preserve"> 28</w:t>
            </w:r>
            <w:r w:rsidR="00513BF0">
              <w:rPr>
                <w:rFonts w:asciiTheme="majorHAnsi" w:eastAsia="Times New Roman" w:hAnsiTheme="majorHAnsi" w:cs="Arial"/>
                <w:sz w:val="20"/>
                <w:szCs w:val="20"/>
                <w:lang w:eastAsia="es-ES"/>
              </w:rPr>
              <w:t xml:space="preserve"> </w:t>
            </w:r>
            <w:r w:rsidR="00A41831">
              <w:rPr>
                <w:rFonts w:asciiTheme="majorHAnsi" w:eastAsia="Times New Roman" w:hAnsiTheme="majorHAnsi" w:cs="Arial"/>
                <w:sz w:val="20"/>
                <w:szCs w:val="20"/>
                <w:lang w:eastAsia="es-ES"/>
              </w:rPr>
              <w:t>a los ETM</w:t>
            </w:r>
            <w:r w:rsidR="00F516FE">
              <w:rPr>
                <w:rFonts w:asciiTheme="majorHAnsi" w:eastAsia="Times New Roman" w:hAnsiTheme="majorHAnsi" w:cs="Arial"/>
                <w:sz w:val="20"/>
                <w:szCs w:val="20"/>
                <w:lang w:eastAsia="es-ES"/>
              </w:rPr>
              <w:t xml:space="preserve"> (que se utilicen particularmente cerca del oído)</w:t>
            </w:r>
            <w:r w:rsidR="00F5575B">
              <w:rPr>
                <w:rFonts w:asciiTheme="majorHAnsi" w:eastAsia="Times New Roman" w:hAnsiTheme="majorHAnsi" w:cs="Arial"/>
                <w:sz w:val="20"/>
                <w:szCs w:val="20"/>
                <w:lang w:eastAsia="es-ES"/>
              </w:rPr>
              <w:t xml:space="preserve">, </w:t>
            </w:r>
            <w:r w:rsidR="00AE48F7">
              <w:rPr>
                <w:rFonts w:asciiTheme="majorHAnsi" w:eastAsia="Times New Roman" w:hAnsiTheme="majorHAnsi" w:cs="Arial"/>
                <w:sz w:val="20"/>
                <w:szCs w:val="20"/>
                <w:lang w:eastAsia="es-ES"/>
              </w:rPr>
              <w:t>se impulsen los</w:t>
            </w:r>
            <w:r w:rsidR="00F5575B" w:rsidRPr="00F5575B">
              <w:rPr>
                <w:rFonts w:asciiTheme="majorHAnsi" w:hAnsiTheme="majorHAnsi"/>
                <w:sz w:val="20"/>
              </w:rPr>
              <w:t xml:space="preserve"> beneficios</w:t>
            </w:r>
            <w:r w:rsidR="00F5575B">
              <w:rPr>
                <w:rFonts w:asciiTheme="majorHAnsi" w:hAnsiTheme="majorHAnsi"/>
                <w:sz w:val="20"/>
              </w:rPr>
              <w:t xml:space="preserve"> </w:t>
            </w:r>
            <w:r w:rsidR="00A41831">
              <w:rPr>
                <w:rFonts w:asciiTheme="majorHAnsi" w:hAnsiTheme="majorHAnsi"/>
                <w:sz w:val="20"/>
              </w:rPr>
              <w:t xml:space="preserve">que implica </w:t>
            </w:r>
            <w:r w:rsidR="00AE48F7">
              <w:rPr>
                <w:rFonts w:asciiTheme="majorHAnsi" w:hAnsiTheme="majorHAnsi"/>
                <w:sz w:val="20"/>
              </w:rPr>
              <w:t>la penetración</w:t>
            </w:r>
            <w:r w:rsidR="00F5575B" w:rsidRPr="00F5575B">
              <w:rPr>
                <w:rFonts w:asciiTheme="majorHAnsi" w:hAnsiTheme="majorHAnsi"/>
                <w:sz w:val="20"/>
              </w:rPr>
              <w:t xml:space="preserve"> de banda ancha móvil en el país</w:t>
            </w:r>
            <w:r w:rsidR="00A41831">
              <w:rPr>
                <w:rFonts w:asciiTheme="majorHAnsi" w:hAnsiTheme="majorHAnsi"/>
                <w:sz w:val="20"/>
              </w:rPr>
              <w:t>, coadyuvando</w:t>
            </w:r>
            <w:r w:rsidR="00AE48F7">
              <w:rPr>
                <w:rFonts w:asciiTheme="majorHAnsi" w:hAnsiTheme="majorHAnsi"/>
                <w:sz w:val="20"/>
              </w:rPr>
              <w:t xml:space="preserve"> a la economía digital así como a </w:t>
            </w:r>
            <w:r w:rsidR="00A41831">
              <w:rPr>
                <w:rFonts w:asciiTheme="majorHAnsi" w:hAnsiTheme="majorHAnsi"/>
                <w:sz w:val="20"/>
              </w:rPr>
              <w:t xml:space="preserve">elevar </w:t>
            </w:r>
            <w:r w:rsidR="00F5575B" w:rsidRPr="00F5575B">
              <w:rPr>
                <w:rFonts w:asciiTheme="majorHAnsi" w:hAnsiTheme="majorHAnsi"/>
                <w:sz w:val="20"/>
              </w:rPr>
              <w:t>la calidad de vida de la población al tener mejor acceso a servicios de telemedicina, e-educación, e-gobierno y entretenimiento</w:t>
            </w:r>
          </w:p>
          <w:p w:rsidR="005B55D3" w:rsidRPr="00A43B99" w:rsidRDefault="005B55D3" w:rsidP="00F5575B">
            <w:pPr>
              <w:jc w:val="both"/>
              <w:rPr>
                <w:rFonts w:asciiTheme="majorHAnsi" w:eastAsia="Times New Roman" w:hAnsiTheme="majorHAnsi" w:cs="Arial"/>
                <w:sz w:val="20"/>
                <w:szCs w:val="20"/>
                <w:lang w:eastAsia="es-ES"/>
              </w:rPr>
            </w:pPr>
          </w:p>
        </w:tc>
      </w:tr>
    </w:tbl>
    <w:p w:rsidR="003F05E7" w:rsidRPr="005D5F2E"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5D5F2E" w:rsidTr="003F05E7">
        <w:tc>
          <w:tcPr>
            <w:tcW w:w="8828" w:type="dxa"/>
          </w:tcPr>
          <w:p w:rsidR="003F05E7" w:rsidRPr="005D5F2E" w:rsidRDefault="003F05E7" w:rsidP="001932FC">
            <w:pPr>
              <w:jc w:val="both"/>
              <w:rPr>
                <w:b/>
                <w:sz w:val="20"/>
              </w:rPr>
            </w:pPr>
            <w:r w:rsidRPr="005D5F2E">
              <w:rPr>
                <w:b/>
                <w:sz w:val="20"/>
              </w:rPr>
              <w:t>12.- ¿</w:t>
            </w:r>
            <w:r w:rsidR="005A40FB" w:rsidRPr="005D5F2E">
              <w:rPr>
                <w:b/>
                <w:sz w:val="20"/>
              </w:rPr>
              <w:t>El anteproyecto de</w:t>
            </w:r>
            <w:r w:rsidRPr="005D5F2E">
              <w:rPr>
                <w:b/>
                <w:sz w:val="20"/>
              </w:rPr>
              <w:t xml:space="preserve"> regulación contempla esquemas que impactan de manera diferenciada a sectores, industria o agentes económicos? (por ejemplo</w:t>
            </w:r>
            <w:r w:rsidR="005A40FB" w:rsidRPr="005D5F2E">
              <w:rPr>
                <w:b/>
                <w:sz w:val="20"/>
              </w:rPr>
              <w:t>,</w:t>
            </w:r>
            <w:r w:rsidRPr="005D5F2E">
              <w:rPr>
                <w:b/>
                <w:sz w:val="20"/>
              </w:rPr>
              <w:t xml:space="preserve"> las micro, pequeñas y medianas empresas):</w:t>
            </w:r>
          </w:p>
          <w:p w:rsidR="003F05E7" w:rsidRPr="00801ADB" w:rsidRDefault="0014366E" w:rsidP="001932FC">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No.</w:t>
            </w:r>
          </w:p>
        </w:tc>
      </w:tr>
    </w:tbl>
    <w:p w:rsidR="003F05E7" w:rsidRPr="005D5F2E" w:rsidRDefault="003F05E7" w:rsidP="001932FC">
      <w:pPr>
        <w:jc w:val="both"/>
      </w:pPr>
    </w:p>
    <w:tbl>
      <w:tblPr>
        <w:tblStyle w:val="Tablaconcuadrcula"/>
        <w:tblW w:w="0" w:type="auto"/>
        <w:tblLayout w:type="fixed"/>
        <w:tblLook w:val="04A0" w:firstRow="1" w:lastRow="0" w:firstColumn="1" w:lastColumn="0" w:noHBand="0" w:noVBand="1"/>
      </w:tblPr>
      <w:tblGrid>
        <w:gridCol w:w="8828"/>
      </w:tblGrid>
      <w:tr w:rsidR="003F05E7" w:rsidRPr="005D5F2E" w:rsidTr="00A67A05">
        <w:trPr>
          <w:trHeight w:val="204"/>
        </w:trPr>
        <w:tc>
          <w:tcPr>
            <w:tcW w:w="8828" w:type="dxa"/>
          </w:tcPr>
          <w:p w:rsidR="008C76AF" w:rsidRPr="005D5F2E" w:rsidRDefault="003F05E7" w:rsidP="003F05E7">
            <w:pPr>
              <w:jc w:val="both"/>
              <w:rPr>
                <w:b/>
                <w:sz w:val="20"/>
                <w:szCs w:val="20"/>
              </w:rPr>
            </w:pPr>
            <w:r w:rsidRPr="005D5F2E">
              <w:rPr>
                <w:b/>
                <w:sz w:val="20"/>
                <w:szCs w:val="20"/>
              </w:rPr>
              <w:t xml:space="preserve">13.- Proporcione la estimación de los costos en los que podrían incurrir </w:t>
            </w:r>
            <w:r w:rsidR="008C76AF" w:rsidRPr="005D5F2E">
              <w:rPr>
                <w:b/>
                <w:sz w:val="20"/>
                <w:szCs w:val="20"/>
              </w:rPr>
              <w:t>cada particular, grupo de particulares o industria a razón de la entrada en vigor del anteproyecto de regulación:</w:t>
            </w:r>
          </w:p>
          <w:p w:rsidR="0042573A" w:rsidRPr="005D5F2E" w:rsidRDefault="0042573A" w:rsidP="003F05E7">
            <w:pPr>
              <w:jc w:val="both"/>
              <w:rPr>
                <w:sz w:val="20"/>
                <w:szCs w:val="20"/>
              </w:rPr>
            </w:pPr>
          </w:p>
          <w:p w:rsidR="006A7C28" w:rsidRDefault="006A7C28" w:rsidP="00460889">
            <w:pPr>
              <w:jc w:val="both"/>
              <w:rPr>
                <w:rFonts w:asciiTheme="majorHAnsi" w:eastAsia="Times New Roman" w:hAnsiTheme="majorHAnsi" w:cs="Arial"/>
                <w:sz w:val="20"/>
                <w:szCs w:val="20"/>
                <w:lang w:eastAsia="es-ES"/>
              </w:rPr>
            </w:pPr>
          </w:p>
          <w:p w:rsidR="006A7C28" w:rsidRPr="00DE7817" w:rsidRDefault="006A7C28" w:rsidP="00DE7817">
            <w:pPr>
              <w:jc w:val="both"/>
              <w:rPr>
                <w:rFonts w:asciiTheme="majorHAnsi" w:eastAsia="Times New Roman" w:hAnsiTheme="majorHAnsi" w:cs="Arial"/>
                <w:b/>
                <w:sz w:val="20"/>
                <w:szCs w:val="20"/>
                <w:u w:val="single"/>
                <w:lang w:eastAsia="es-ES"/>
              </w:rPr>
            </w:pPr>
            <w:r w:rsidRPr="00DE7817">
              <w:rPr>
                <w:rFonts w:asciiTheme="majorHAnsi" w:eastAsia="Times New Roman" w:hAnsiTheme="majorHAnsi" w:cs="Arial"/>
                <w:b/>
                <w:sz w:val="20"/>
                <w:szCs w:val="20"/>
                <w:u w:val="single"/>
                <w:lang w:eastAsia="es-ES"/>
              </w:rPr>
              <w:t>Evaluación de la Conformidad</w:t>
            </w:r>
          </w:p>
          <w:p w:rsidR="004E5262" w:rsidRDefault="00545983" w:rsidP="00460889">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Los costos se estima</w:t>
            </w:r>
            <w:r w:rsidR="00460889">
              <w:rPr>
                <w:rFonts w:asciiTheme="majorHAnsi" w:eastAsia="Times New Roman" w:hAnsiTheme="majorHAnsi" w:cs="Arial"/>
                <w:sz w:val="20"/>
                <w:szCs w:val="20"/>
                <w:lang w:eastAsia="es-ES"/>
              </w:rPr>
              <w:t>n</w:t>
            </w:r>
            <w:r w:rsidRPr="00CD4895">
              <w:rPr>
                <w:rFonts w:asciiTheme="majorHAnsi" w:eastAsia="Times New Roman" w:hAnsiTheme="majorHAnsi" w:cs="Arial"/>
                <w:sz w:val="20"/>
                <w:szCs w:val="20"/>
                <w:lang w:eastAsia="es-ES"/>
              </w:rPr>
              <w:t xml:space="preserve"> mediante la utilización del Modelo de Costeo Estándar. </w:t>
            </w:r>
            <w:r w:rsidR="004E5262">
              <w:rPr>
                <w:rFonts w:asciiTheme="majorHAnsi" w:eastAsia="Times New Roman" w:hAnsiTheme="majorHAnsi" w:cs="Arial"/>
                <w:sz w:val="20"/>
                <w:szCs w:val="20"/>
                <w:lang w:eastAsia="es-ES"/>
              </w:rPr>
              <w:t xml:space="preserve">El costo administrativo del trámite se define como: </w:t>
            </w:r>
          </w:p>
          <w:p w:rsidR="004E5262" w:rsidRPr="004E5262" w:rsidRDefault="004E5262" w:rsidP="004E5262">
            <w:pPr>
              <w:rPr>
                <w:rFonts w:asciiTheme="majorHAnsi" w:eastAsia="Times New Roman" w:hAnsiTheme="majorHAnsi" w:cs="Arial"/>
                <w:sz w:val="20"/>
                <w:szCs w:val="20"/>
                <w:lang w:eastAsia="es-ES"/>
              </w:rPr>
            </w:pPr>
          </w:p>
          <w:p w:rsidR="004E5262" w:rsidRPr="00FA4069" w:rsidRDefault="00FB63CA" w:rsidP="004E5262">
            <w:pPr>
              <w:jc w:val="both"/>
              <w:rPr>
                <w:rFonts w:asciiTheme="majorHAnsi" w:eastAsia="Times New Roman" w:hAnsiTheme="majorHAnsi" w:cs="Arial"/>
                <w:sz w:val="20"/>
                <w:szCs w:val="20"/>
                <w:lang w:eastAsia="es-ES"/>
              </w:rPr>
            </w:pPr>
            <m:oMathPara>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CE</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CA</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 xml:space="preserve">+ </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CO</m:t>
                    </m:r>
                  </m:e>
                  <m:sub>
                    <m:r>
                      <w:rPr>
                        <w:rFonts w:ascii="Cambria Math" w:eastAsia="Times New Roman" w:hAnsi="Cambria Math" w:cs="Arial"/>
                        <w:sz w:val="20"/>
                        <w:szCs w:val="20"/>
                        <w:lang w:eastAsia="es-ES"/>
                      </w:rPr>
                      <m:t xml:space="preserve">Tr </m:t>
                    </m:r>
                  </m:sub>
                </m:sSub>
              </m:oMath>
            </m:oMathPara>
          </w:p>
          <w:p w:rsidR="00EB38E8" w:rsidRDefault="00EB38E8" w:rsidP="004E5262">
            <w:pPr>
              <w:jc w:val="both"/>
              <w:rPr>
                <w:rFonts w:asciiTheme="majorHAnsi" w:eastAsia="Times New Roman" w:hAnsiTheme="majorHAnsi" w:cs="Arial"/>
                <w:sz w:val="20"/>
                <w:szCs w:val="20"/>
                <w:lang w:eastAsia="es-ES"/>
              </w:rPr>
            </w:pPr>
          </w:p>
          <w:p w:rsidR="004E5262" w:rsidRDefault="009D6589" w:rsidP="004E5262">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Donde</w:t>
            </w:r>
            <w:r w:rsidR="004E5262" w:rsidRPr="004E5262">
              <w:rPr>
                <w:rFonts w:asciiTheme="majorHAnsi" w:eastAsia="Times New Roman" w:hAnsiTheme="majorHAnsi" w:cs="Arial"/>
                <w:sz w:val="20"/>
                <w:szCs w:val="20"/>
                <w:lang w:eastAsia="es-ES"/>
              </w:rPr>
              <w:t xml:space="preserve">, </w:t>
            </w:r>
            <m:oMath>
              <m:r>
                <w:rPr>
                  <w:rFonts w:ascii="Cambria Math" w:eastAsia="Times New Roman" w:hAnsi="Cambria Math" w:cs="Arial"/>
                  <w:sz w:val="20"/>
                  <w:szCs w:val="20"/>
                  <w:lang w:eastAsia="es-ES"/>
                </w:rPr>
                <m:t>C</m:t>
              </m:r>
              <m:sSub>
                <m:sSubPr>
                  <m:ctrlPr>
                    <w:rPr>
                      <w:rFonts w:ascii="Cambria Math" w:eastAsia="Times New Roman" w:hAnsi="Cambria Math" w:cs="Arial"/>
                      <w:sz w:val="20"/>
                      <w:szCs w:val="20"/>
                      <w:lang w:eastAsia="es-ES"/>
                    </w:rPr>
                  </m:ctrlPr>
                </m:sSubPr>
                <m:e>
                  <m:r>
                    <w:rPr>
                      <w:rFonts w:ascii="Cambria Math" w:eastAsia="Times New Roman" w:hAnsi="Cambria Math" w:cs="Arial"/>
                      <w:sz w:val="20"/>
                      <w:szCs w:val="20"/>
                      <w:lang w:eastAsia="es-ES"/>
                    </w:rPr>
                    <m:t>E</m:t>
                  </m:r>
                </m:e>
                <m:sub>
                  <m:r>
                    <w:rPr>
                      <w:rFonts w:ascii="Cambria Math" w:eastAsia="Times New Roman" w:hAnsi="Cambria Math" w:cs="Arial"/>
                      <w:sz w:val="20"/>
                      <w:szCs w:val="20"/>
                      <w:lang w:eastAsia="es-ES"/>
                    </w:rPr>
                    <m:t>Tr</m:t>
                  </m:r>
                </m:sub>
              </m:sSub>
            </m:oMath>
            <w:r w:rsidR="004E5262" w:rsidRPr="004E5262">
              <w:rPr>
                <w:rFonts w:asciiTheme="majorHAnsi" w:eastAsia="Times New Roman" w:hAnsiTheme="majorHAnsi" w:cs="Arial"/>
                <w:sz w:val="20"/>
                <w:szCs w:val="20"/>
                <w:lang w:eastAsia="es-ES"/>
              </w:rPr>
              <w:t xml:space="preserve"> se refiere al Costo Económico del trámite, el cual es resultado de la suma de la carga administrativa (</w:t>
            </w:r>
            <m:oMath>
              <m:r>
                <w:rPr>
                  <w:rFonts w:ascii="Cambria Math" w:eastAsia="Times New Roman" w:hAnsi="Cambria Math" w:cs="Arial"/>
                  <w:sz w:val="20"/>
                  <w:szCs w:val="20"/>
                  <w:lang w:eastAsia="es-ES"/>
                </w:rPr>
                <m:t>C</m:t>
              </m:r>
              <m:sSub>
                <m:sSubPr>
                  <m:ctrlPr>
                    <w:rPr>
                      <w:rFonts w:ascii="Cambria Math" w:eastAsia="Times New Roman" w:hAnsi="Cambria Math" w:cs="Arial"/>
                      <w:sz w:val="20"/>
                      <w:szCs w:val="20"/>
                      <w:lang w:eastAsia="es-ES"/>
                    </w:rPr>
                  </m:ctrlPr>
                </m:sSubPr>
                <m:e>
                  <m:r>
                    <w:rPr>
                      <w:rFonts w:ascii="Cambria Math" w:eastAsia="Times New Roman" w:hAnsi="Cambria Math" w:cs="Arial"/>
                      <w:sz w:val="20"/>
                      <w:szCs w:val="20"/>
                      <w:lang w:eastAsia="es-ES"/>
                    </w:rPr>
                    <m:t>A</m:t>
                  </m:r>
                </m:e>
                <m:sub>
                  <m:r>
                    <w:rPr>
                      <w:rFonts w:ascii="Cambria Math" w:eastAsia="Times New Roman" w:hAnsi="Cambria Math" w:cs="Arial"/>
                      <w:sz w:val="20"/>
                      <w:szCs w:val="20"/>
                      <w:lang w:eastAsia="es-ES"/>
                    </w:rPr>
                    <m:t>Tr</m:t>
                  </m:r>
                </m:sub>
              </m:sSub>
            </m:oMath>
            <w:r w:rsidR="004E5262" w:rsidRPr="004E5262">
              <w:rPr>
                <w:rFonts w:asciiTheme="majorHAnsi" w:eastAsia="Times New Roman" w:hAnsiTheme="majorHAnsi" w:cs="Arial"/>
                <w:sz w:val="20"/>
                <w:szCs w:val="20"/>
                <w:lang w:eastAsia="es-ES"/>
              </w:rPr>
              <w:t>) y el costo de oportunidad (</w:t>
            </w:r>
            <m:oMath>
              <m:r>
                <w:rPr>
                  <w:rFonts w:ascii="Cambria Math" w:eastAsia="Times New Roman" w:hAnsi="Cambria Math" w:cs="Arial"/>
                  <w:sz w:val="20"/>
                  <w:szCs w:val="20"/>
                  <w:lang w:eastAsia="es-ES"/>
                </w:rPr>
                <m:t>C</m:t>
              </m:r>
              <m:sSub>
                <m:sSubPr>
                  <m:ctrlPr>
                    <w:rPr>
                      <w:rFonts w:ascii="Cambria Math" w:eastAsia="Times New Roman" w:hAnsi="Cambria Math" w:cs="Arial"/>
                      <w:sz w:val="20"/>
                      <w:szCs w:val="20"/>
                      <w:lang w:eastAsia="es-ES"/>
                    </w:rPr>
                  </m:ctrlPr>
                </m:sSubPr>
                <m:e>
                  <m:r>
                    <w:rPr>
                      <w:rFonts w:ascii="Cambria Math" w:eastAsia="Times New Roman" w:hAnsi="Cambria Math" w:cs="Arial"/>
                      <w:sz w:val="20"/>
                      <w:szCs w:val="20"/>
                      <w:lang w:eastAsia="es-ES"/>
                    </w:rPr>
                    <m:t>O</m:t>
                  </m:r>
                </m:e>
                <m:sub>
                  <m:r>
                    <w:rPr>
                      <w:rFonts w:ascii="Cambria Math" w:eastAsia="Times New Roman" w:hAnsi="Cambria Math" w:cs="Arial"/>
                      <w:sz w:val="20"/>
                      <w:szCs w:val="20"/>
                      <w:lang w:eastAsia="es-ES"/>
                    </w:rPr>
                    <m:t>Tr</m:t>
                  </m:r>
                </m:sub>
              </m:sSub>
            </m:oMath>
            <w:r w:rsidR="004E5262" w:rsidRPr="004E5262">
              <w:rPr>
                <w:rFonts w:asciiTheme="majorHAnsi" w:eastAsia="Times New Roman" w:hAnsiTheme="majorHAnsi" w:cs="Arial"/>
                <w:sz w:val="20"/>
                <w:szCs w:val="20"/>
                <w:lang w:eastAsia="es-ES"/>
              </w:rPr>
              <w:t>) correspondientes.</w:t>
            </w:r>
          </w:p>
          <w:p w:rsidR="009D6589" w:rsidRDefault="009D6589" w:rsidP="009D6589">
            <w:pPr>
              <w:jc w:val="both"/>
              <w:rPr>
                <w:rFonts w:asciiTheme="majorHAnsi" w:eastAsia="Times New Roman" w:hAnsiTheme="majorHAnsi" w:cs="Arial"/>
                <w:sz w:val="20"/>
                <w:szCs w:val="20"/>
                <w:lang w:eastAsia="es-ES"/>
              </w:rPr>
            </w:pPr>
          </w:p>
          <w:p w:rsidR="009D6589" w:rsidRDefault="009D6589" w:rsidP="009D6589">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Para </w:t>
            </w:r>
            <w:r w:rsidR="00A474C6">
              <w:rPr>
                <w:rFonts w:asciiTheme="majorHAnsi" w:eastAsia="Times New Roman" w:hAnsiTheme="majorHAnsi" w:cs="Arial"/>
                <w:sz w:val="20"/>
                <w:szCs w:val="20"/>
                <w:lang w:eastAsia="es-ES"/>
              </w:rPr>
              <w:t xml:space="preserve">el presente </w:t>
            </w:r>
            <w:r>
              <w:rPr>
                <w:rFonts w:asciiTheme="majorHAnsi" w:eastAsia="Times New Roman" w:hAnsiTheme="majorHAnsi" w:cs="Arial"/>
                <w:sz w:val="20"/>
                <w:szCs w:val="20"/>
                <w:lang w:eastAsia="es-ES"/>
              </w:rPr>
              <w:t>caso</w:t>
            </w:r>
            <w:r w:rsidR="00A474C6">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el costo de oportunidad  </w:t>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CO</m:t>
                  </m:r>
                </m:e>
                <m:sub>
                  <m:r>
                    <w:rPr>
                      <w:rFonts w:ascii="Cambria Math" w:eastAsia="Times New Roman" w:hAnsi="Cambria Math" w:cs="Arial"/>
                      <w:sz w:val="20"/>
                      <w:szCs w:val="20"/>
                      <w:lang w:eastAsia="es-ES"/>
                    </w:rPr>
                    <m:t xml:space="preserve">Tr </m:t>
                  </m:r>
                </m:sub>
              </m:sSub>
            </m:oMath>
            <w:r>
              <w:rPr>
                <w:rFonts w:asciiTheme="majorHAnsi" w:eastAsia="Times New Roman" w:hAnsiTheme="majorHAnsi" w:cs="Arial"/>
                <w:sz w:val="20"/>
                <w:szCs w:val="20"/>
                <w:lang w:eastAsia="es-ES"/>
              </w:rPr>
              <w:t xml:space="preserve"> se considera cero.</w:t>
            </w:r>
          </w:p>
          <w:p w:rsidR="009D6589" w:rsidRPr="004E5262" w:rsidRDefault="009D6589" w:rsidP="004E5262">
            <w:pPr>
              <w:jc w:val="both"/>
              <w:rPr>
                <w:rFonts w:asciiTheme="majorHAnsi" w:eastAsia="Times New Roman" w:hAnsiTheme="majorHAnsi" w:cs="Arial"/>
                <w:sz w:val="20"/>
                <w:szCs w:val="20"/>
                <w:lang w:eastAsia="es-ES"/>
              </w:rPr>
            </w:pPr>
          </w:p>
          <w:p w:rsidR="00545983"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Al respecto, la carga administrativa </w:t>
            </w:r>
            <m:oMath>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CA</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oMath>
            <w:r w:rsidRPr="00CD4895">
              <w:rPr>
                <w:rFonts w:asciiTheme="majorHAnsi" w:eastAsia="Times New Roman" w:hAnsiTheme="majorHAnsi" w:cs="Arial"/>
                <w:sz w:val="20"/>
                <w:szCs w:val="20"/>
                <w:lang w:eastAsia="es-ES"/>
              </w:rPr>
              <w:t>será calculada de la siguiente manera:</w:t>
            </w:r>
          </w:p>
          <w:p w:rsidR="00A474C6" w:rsidRDefault="00A474C6" w:rsidP="00545983">
            <w:pPr>
              <w:jc w:val="both"/>
              <w:rPr>
                <w:rFonts w:asciiTheme="majorHAnsi" w:eastAsia="Times New Roman" w:hAnsiTheme="majorHAnsi" w:cs="Arial"/>
                <w:sz w:val="20"/>
                <w:szCs w:val="20"/>
                <w:lang w:eastAsia="es-ES"/>
              </w:rPr>
            </w:pPr>
          </w:p>
          <w:p w:rsidR="00FA4069" w:rsidRPr="00CD4895" w:rsidRDefault="00FB63CA" w:rsidP="00545983">
            <w:pPr>
              <w:jc w:val="both"/>
              <w:rPr>
                <w:rFonts w:asciiTheme="majorHAnsi" w:eastAsia="Times New Roman" w:hAnsiTheme="majorHAnsi" w:cs="Arial"/>
                <w:sz w:val="20"/>
                <w:szCs w:val="20"/>
                <w:lang w:eastAsia="es-ES"/>
              </w:rPr>
            </w:pPr>
            <m:oMathPara>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CA</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T</m:t>
                    </m:r>
                  </m:e>
                  <m:sub>
                    <m:r>
                      <w:rPr>
                        <w:rFonts w:ascii="Cambria Math" w:eastAsia="Times New Roman" w:hAnsi="Cambria Math" w:cs="Arial"/>
                        <w:sz w:val="20"/>
                        <w:szCs w:val="20"/>
                        <w:lang w:eastAsia="es-ES"/>
                      </w:rPr>
                      <m:t xml:space="preserve">Tr </m:t>
                    </m:r>
                  </m:sub>
                </m:sSub>
              </m:oMath>
            </m:oMathPara>
          </w:p>
          <w:p w:rsidR="00A474C6" w:rsidRDefault="00A474C6" w:rsidP="00545983">
            <w:pPr>
              <w:jc w:val="both"/>
              <w:rPr>
                <w:rFonts w:asciiTheme="majorHAnsi" w:eastAsia="Times New Roman" w:hAnsiTheme="majorHAnsi" w:cs="Arial"/>
                <w:sz w:val="20"/>
                <w:szCs w:val="20"/>
                <w:lang w:eastAsia="es-ES"/>
              </w:rPr>
            </w:pPr>
          </w:p>
          <w:p w:rsidR="00545983"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Donde </w:t>
            </w:r>
            <w:r w:rsidRPr="00CD4895">
              <w:rPr>
                <w:rFonts w:ascii="Cambria Math" w:eastAsia="Times New Roman" w:hAnsi="Cambria Math" w:cs="Cambria Math"/>
                <w:sz w:val="20"/>
                <w:szCs w:val="20"/>
                <w:lang w:eastAsia="es-ES"/>
              </w:rPr>
              <w:t>𝑃</w:t>
            </w:r>
            <w:proofErr w:type="spellStart"/>
            <w:r w:rsidR="00FA4069" w:rsidRPr="004E5262">
              <w:rPr>
                <w:rFonts w:ascii="Cambria Math" w:eastAsia="Times New Roman" w:hAnsi="Cambria Math" w:cs="Cambria Math"/>
                <w:i/>
                <w:sz w:val="20"/>
                <w:szCs w:val="20"/>
                <w:vertAlign w:val="subscript"/>
                <w:lang w:eastAsia="es-ES"/>
              </w:rPr>
              <w:t>Tr</w:t>
            </w:r>
            <w:proofErr w:type="spellEnd"/>
            <w:r w:rsidR="00FA4069">
              <w:rPr>
                <w:rFonts w:ascii="Cambria Math" w:eastAsia="Times New Roman" w:hAnsi="Cambria Math" w:cs="Cambria Math"/>
                <w:sz w:val="20"/>
                <w:szCs w:val="20"/>
                <w:lang w:eastAsia="es-ES"/>
              </w:rPr>
              <w:t xml:space="preserve"> </w:t>
            </w:r>
            <w:r w:rsidRPr="00CD4895">
              <w:rPr>
                <w:rFonts w:asciiTheme="majorHAnsi" w:eastAsia="Times New Roman" w:hAnsiTheme="majorHAnsi" w:cs="Arial"/>
                <w:sz w:val="20"/>
                <w:szCs w:val="20"/>
                <w:lang w:eastAsia="es-ES"/>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CD4895">
              <w:rPr>
                <w:rFonts w:ascii="Cambria Math" w:eastAsia="Times New Roman" w:hAnsi="Cambria Math" w:cs="Cambria Math"/>
                <w:sz w:val="20"/>
                <w:szCs w:val="20"/>
                <w:lang w:eastAsia="es-ES"/>
              </w:rPr>
              <w:t>𝑇</w:t>
            </w:r>
            <w:proofErr w:type="spellStart"/>
            <w:r w:rsidR="00FA4069" w:rsidRPr="004E5262">
              <w:rPr>
                <w:rFonts w:ascii="Cambria Math" w:eastAsia="Times New Roman" w:hAnsi="Cambria Math" w:cs="Cambria Math"/>
                <w:i/>
                <w:sz w:val="20"/>
                <w:szCs w:val="20"/>
                <w:vertAlign w:val="subscript"/>
                <w:lang w:eastAsia="es-ES"/>
              </w:rPr>
              <w:t>Tr</w:t>
            </w:r>
            <w:proofErr w:type="spellEnd"/>
            <w:r w:rsidR="00FA4069">
              <w:rPr>
                <w:rFonts w:ascii="Cambria Math" w:eastAsia="Times New Roman" w:hAnsi="Cambria Math" w:cs="Cambria Math"/>
                <w:sz w:val="20"/>
                <w:szCs w:val="20"/>
                <w:lang w:eastAsia="es-ES"/>
              </w:rPr>
              <w:t xml:space="preserve"> </w:t>
            </w:r>
            <w:r w:rsidRPr="00CD4895">
              <w:rPr>
                <w:rFonts w:asciiTheme="majorHAnsi" w:eastAsia="Times New Roman" w:hAnsiTheme="majorHAnsi" w:cs="Arial"/>
                <w:sz w:val="20"/>
                <w:szCs w:val="20"/>
                <w:lang w:eastAsia="es-ES"/>
              </w:rPr>
              <w:t xml:space="preserve"> es el tiempo requerido para completar la actividad administrativa.</w:t>
            </w:r>
          </w:p>
          <w:p w:rsidR="009D6589" w:rsidRPr="00CD4895" w:rsidRDefault="009D6589" w:rsidP="00545983">
            <w:pPr>
              <w:jc w:val="both"/>
              <w:rPr>
                <w:rFonts w:asciiTheme="majorHAnsi" w:eastAsia="Times New Roman" w:hAnsiTheme="majorHAnsi" w:cs="Arial"/>
                <w:sz w:val="20"/>
                <w:szCs w:val="20"/>
                <w:lang w:eastAsia="es-ES"/>
              </w:rPr>
            </w:pPr>
          </w:p>
          <w:p w:rsidR="00545983" w:rsidRPr="00CD4895"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Asimismo, a efecto de proporcionar estimaciones se </w:t>
            </w:r>
            <w:r w:rsidR="00460889">
              <w:rPr>
                <w:rFonts w:asciiTheme="majorHAnsi" w:eastAsia="Times New Roman" w:hAnsiTheme="majorHAnsi" w:cs="Arial"/>
                <w:sz w:val="20"/>
                <w:szCs w:val="20"/>
                <w:lang w:eastAsia="es-ES"/>
              </w:rPr>
              <w:t>considera</w:t>
            </w:r>
            <w:r w:rsidRPr="00CD4895">
              <w:rPr>
                <w:rFonts w:asciiTheme="majorHAnsi" w:eastAsia="Times New Roman" w:hAnsiTheme="majorHAnsi" w:cs="Arial"/>
                <w:sz w:val="20"/>
                <w:szCs w:val="20"/>
                <w:lang w:eastAsia="es-ES"/>
              </w:rPr>
              <w:t xml:space="preserve"> un caso hipotético representativo tomando en consideración los siguientes supuestos:</w:t>
            </w:r>
          </w:p>
          <w:p w:rsidR="00545983" w:rsidRPr="00CD4895" w:rsidRDefault="00545983" w:rsidP="00545983">
            <w:pPr>
              <w:jc w:val="both"/>
              <w:rPr>
                <w:rFonts w:asciiTheme="majorHAnsi" w:eastAsia="Times New Roman" w:hAnsiTheme="majorHAnsi" w:cs="Arial"/>
                <w:sz w:val="20"/>
                <w:szCs w:val="20"/>
                <w:lang w:eastAsia="es-ES"/>
              </w:rPr>
            </w:pPr>
          </w:p>
          <w:p w:rsidR="00545983" w:rsidRDefault="00BA5FD3" w:rsidP="00780A60">
            <w:pPr>
              <w:pStyle w:val="Prrafodelista"/>
              <w:numPr>
                <w:ilvl w:val="0"/>
                <w:numId w:val="41"/>
              </w:num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Se c</w:t>
            </w:r>
            <w:r w:rsidR="00D23625">
              <w:rPr>
                <w:rFonts w:asciiTheme="majorHAnsi" w:eastAsia="Times New Roman" w:hAnsiTheme="majorHAnsi" w:cs="Arial"/>
                <w:sz w:val="20"/>
                <w:szCs w:val="20"/>
                <w:lang w:eastAsia="es-ES"/>
              </w:rPr>
              <w:t>onsidera</w:t>
            </w:r>
            <w:r>
              <w:rPr>
                <w:rFonts w:asciiTheme="majorHAnsi" w:eastAsia="Times New Roman" w:hAnsiTheme="majorHAnsi" w:cs="Arial"/>
                <w:sz w:val="20"/>
                <w:szCs w:val="20"/>
                <w:lang w:eastAsia="es-ES"/>
              </w:rPr>
              <w:t>n</w:t>
            </w:r>
            <w:r w:rsidR="00D23625">
              <w:rPr>
                <w:rFonts w:asciiTheme="majorHAnsi" w:eastAsia="Times New Roman" w:hAnsiTheme="majorHAnsi" w:cs="Arial"/>
                <w:sz w:val="20"/>
                <w:szCs w:val="20"/>
                <w:lang w:eastAsia="es-ES"/>
              </w:rPr>
              <w:t xml:space="preserve"> d</w:t>
            </w:r>
            <w:r w:rsidR="00461ABD" w:rsidRPr="00D23625">
              <w:rPr>
                <w:rFonts w:asciiTheme="majorHAnsi" w:eastAsia="Times New Roman" w:hAnsiTheme="majorHAnsi" w:cs="Arial"/>
                <w:sz w:val="20"/>
                <w:szCs w:val="20"/>
                <w:lang w:eastAsia="es-ES"/>
              </w:rPr>
              <w:t xml:space="preserve">os </w:t>
            </w:r>
            <w:r w:rsidR="007C4972" w:rsidRPr="00D23625">
              <w:rPr>
                <w:rFonts w:asciiTheme="majorHAnsi" w:eastAsia="Times New Roman" w:hAnsiTheme="majorHAnsi" w:cs="Arial"/>
                <w:sz w:val="20"/>
                <w:szCs w:val="20"/>
                <w:lang w:eastAsia="es-ES"/>
              </w:rPr>
              <w:t>Laboratorio</w:t>
            </w:r>
            <w:r w:rsidR="00461ABD" w:rsidRPr="00D23625">
              <w:rPr>
                <w:rFonts w:asciiTheme="majorHAnsi" w:eastAsia="Times New Roman" w:hAnsiTheme="majorHAnsi" w:cs="Arial"/>
                <w:sz w:val="20"/>
                <w:szCs w:val="20"/>
                <w:lang w:eastAsia="es-ES"/>
              </w:rPr>
              <w:t>s</w:t>
            </w:r>
            <w:r w:rsidR="007C4972" w:rsidRPr="00D23625">
              <w:rPr>
                <w:rFonts w:asciiTheme="majorHAnsi" w:eastAsia="Times New Roman" w:hAnsiTheme="majorHAnsi" w:cs="Arial"/>
                <w:sz w:val="20"/>
                <w:szCs w:val="20"/>
                <w:lang w:eastAsia="es-ES"/>
              </w:rPr>
              <w:t xml:space="preserve"> de Prueba </w:t>
            </w:r>
            <w:r w:rsidR="00545983" w:rsidRPr="00D23625">
              <w:rPr>
                <w:rFonts w:asciiTheme="majorHAnsi" w:eastAsia="Times New Roman" w:hAnsiTheme="majorHAnsi" w:cs="Arial"/>
                <w:sz w:val="20"/>
                <w:szCs w:val="20"/>
                <w:lang w:eastAsia="es-ES"/>
              </w:rPr>
              <w:t xml:space="preserve">y </w:t>
            </w:r>
            <w:r w:rsidR="00461ABD" w:rsidRPr="00D23625">
              <w:rPr>
                <w:rFonts w:asciiTheme="majorHAnsi" w:eastAsia="Times New Roman" w:hAnsiTheme="majorHAnsi" w:cs="Arial"/>
                <w:sz w:val="20"/>
                <w:szCs w:val="20"/>
                <w:lang w:eastAsia="es-ES"/>
              </w:rPr>
              <w:t xml:space="preserve">dos </w:t>
            </w:r>
            <w:r w:rsidR="00545983" w:rsidRPr="00D23625">
              <w:rPr>
                <w:rFonts w:asciiTheme="majorHAnsi" w:eastAsia="Times New Roman" w:hAnsiTheme="majorHAnsi" w:cs="Arial"/>
                <w:sz w:val="20"/>
                <w:szCs w:val="20"/>
                <w:lang w:eastAsia="es-ES"/>
              </w:rPr>
              <w:t>Organismo</w:t>
            </w:r>
            <w:r w:rsidR="00461ABD" w:rsidRPr="00D23625">
              <w:rPr>
                <w:rFonts w:asciiTheme="majorHAnsi" w:eastAsia="Times New Roman" w:hAnsiTheme="majorHAnsi" w:cs="Arial"/>
                <w:sz w:val="20"/>
                <w:szCs w:val="20"/>
                <w:lang w:eastAsia="es-ES"/>
              </w:rPr>
              <w:t>s</w:t>
            </w:r>
            <w:r w:rsidR="00545983" w:rsidRPr="00D23625">
              <w:rPr>
                <w:rFonts w:asciiTheme="majorHAnsi" w:eastAsia="Times New Roman" w:hAnsiTheme="majorHAnsi" w:cs="Arial"/>
                <w:sz w:val="20"/>
                <w:szCs w:val="20"/>
                <w:lang w:eastAsia="es-ES"/>
              </w:rPr>
              <w:t xml:space="preserve"> de Certificación </w:t>
            </w:r>
            <w:r w:rsidR="00925AB8" w:rsidRPr="00D23625">
              <w:rPr>
                <w:rFonts w:asciiTheme="majorHAnsi" w:eastAsia="Times New Roman" w:hAnsiTheme="majorHAnsi" w:cs="Arial"/>
                <w:sz w:val="20"/>
                <w:szCs w:val="20"/>
                <w:lang w:eastAsia="es-ES"/>
              </w:rPr>
              <w:t xml:space="preserve">acreditados, los cuales </w:t>
            </w:r>
            <w:r w:rsidR="00545983" w:rsidRPr="00D23625">
              <w:rPr>
                <w:rFonts w:asciiTheme="majorHAnsi" w:eastAsia="Times New Roman" w:hAnsiTheme="majorHAnsi" w:cs="Arial"/>
                <w:sz w:val="20"/>
                <w:szCs w:val="20"/>
                <w:lang w:eastAsia="es-ES"/>
              </w:rPr>
              <w:t>destina</w:t>
            </w:r>
            <w:r w:rsidR="005A1C08" w:rsidRPr="00D23625">
              <w:rPr>
                <w:rFonts w:asciiTheme="majorHAnsi" w:eastAsia="Times New Roman" w:hAnsiTheme="majorHAnsi" w:cs="Arial"/>
                <w:sz w:val="20"/>
                <w:szCs w:val="20"/>
                <w:lang w:eastAsia="es-ES"/>
              </w:rPr>
              <w:t>n</w:t>
            </w:r>
            <w:r w:rsidR="00545983" w:rsidRPr="00D23625">
              <w:rPr>
                <w:rFonts w:asciiTheme="majorHAnsi" w:eastAsia="Times New Roman" w:hAnsiTheme="majorHAnsi" w:cs="Arial"/>
                <w:sz w:val="20"/>
                <w:szCs w:val="20"/>
                <w:lang w:eastAsia="es-ES"/>
              </w:rPr>
              <w:t xml:space="preserve"> un trabajador con estudios profesionales quien se hará cargo de </w:t>
            </w:r>
            <w:r w:rsidR="005A1C08" w:rsidRPr="00D23625">
              <w:rPr>
                <w:rFonts w:asciiTheme="majorHAnsi" w:eastAsia="Times New Roman" w:hAnsiTheme="majorHAnsi" w:cs="Arial"/>
                <w:sz w:val="20"/>
                <w:szCs w:val="20"/>
                <w:lang w:eastAsia="es-ES"/>
              </w:rPr>
              <w:t>llevar a cabo</w:t>
            </w:r>
            <w:r w:rsidR="00545983" w:rsidRPr="00D23625">
              <w:rPr>
                <w:rFonts w:asciiTheme="majorHAnsi" w:eastAsia="Times New Roman" w:hAnsiTheme="majorHAnsi" w:cs="Arial"/>
                <w:sz w:val="20"/>
                <w:szCs w:val="20"/>
                <w:lang w:eastAsia="es-ES"/>
              </w:rPr>
              <w:t xml:space="preserve"> </w:t>
            </w:r>
            <w:r w:rsidR="005A1C08" w:rsidRPr="00D23625">
              <w:rPr>
                <w:rFonts w:asciiTheme="majorHAnsi" w:eastAsia="Times New Roman" w:hAnsiTheme="majorHAnsi" w:cs="Arial"/>
                <w:sz w:val="20"/>
                <w:szCs w:val="20"/>
                <w:lang w:eastAsia="es-ES"/>
              </w:rPr>
              <w:t>lo dispuesto</w:t>
            </w:r>
            <w:r w:rsidR="00545983" w:rsidRPr="00D23625">
              <w:rPr>
                <w:rFonts w:asciiTheme="majorHAnsi" w:eastAsia="Times New Roman" w:hAnsiTheme="majorHAnsi" w:cs="Arial"/>
                <w:sz w:val="20"/>
                <w:szCs w:val="20"/>
                <w:lang w:eastAsia="es-ES"/>
              </w:rPr>
              <w:t xml:space="preserve"> en el presente proyecto</w:t>
            </w:r>
            <w:r w:rsidR="00925AB8" w:rsidRPr="00D23625">
              <w:rPr>
                <w:rFonts w:asciiTheme="majorHAnsi" w:eastAsia="Times New Roman" w:hAnsiTheme="majorHAnsi" w:cs="Arial"/>
                <w:sz w:val="20"/>
                <w:szCs w:val="20"/>
                <w:lang w:eastAsia="es-ES"/>
              </w:rPr>
              <w:t>, para efectos de evaluación de la conformidad</w:t>
            </w:r>
            <w:r w:rsidR="00545983" w:rsidRPr="00D23625">
              <w:rPr>
                <w:rFonts w:asciiTheme="majorHAnsi" w:eastAsia="Times New Roman" w:hAnsiTheme="majorHAnsi" w:cs="Arial"/>
                <w:sz w:val="20"/>
                <w:szCs w:val="20"/>
                <w:lang w:eastAsia="es-ES"/>
              </w:rPr>
              <w:t>.</w:t>
            </w:r>
          </w:p>
          <w:p w:rsidR="00D23625" w:rsidRDefault="006F3F85" w:rsidP="00780A60">
            <w:pPr>
              <w:pStyle w:val="Prrafodelista"/>
              <w:numPr>
                <w:ilvl w:val="0"/>
                <w:numId w:val="41"/>
              </w:numPr>
              <w:jc w:val="both"/>
              <w:rPr>
                <w:rFonts w:asciiTheme="majorHAnsi" w:eastAsia="Times New Roman" w:hAnsiTheme="majorHAnsi" w:cs="Arial"/>
                <w:sz w:val="20"/>
                <w:szCs w:val="20"/>
                <w:lang w:eastAsia="es-ES"/>
              </w:rPr>
            </w:pPr>
            <w:r w:rsidRPr="00D23625">
              <w:rPr>
                <w:rFonts w:asciiTheme="majorHAnsi" w:eastAsia="Times New Roman" w:hAnsiTheme="majorHAnsi" w:cs="Arial"/>
                <w:sz w:val="20"/>
                <w:szCs w:val="20"/>
                <w:lang w:eastAsia="es-ES"/>
              </w:rPr>
              <w:t xml:space="preserve">El </w:t>
            </w:r>
            <w:r w:rsidR="00F9292B" w:rsidRPr="00D23625">
              <w:rPr>
                <w:rFonts w:asciiTheme="majorHAnsi" w:eastAsia="Times New Roman" w:hAnsiTheme="majorHAnsi" w:cs="Arial"/>
                <w:sz w:val="20"/>
                <w:szCs w:val="20"/>
                <w:lang w:eastAsia="es-ES"/>
              </w:rPr>
              <w:t xml:space="preserve">número de certificados de homologación </w:t>
            </w:r>
            <w:r w:rsidR="00BA5FD3">
              <w:rPr>
                <w:rFonts w:asciiTheme="majorHAnsi" w:eastAsia="Times New Roman" w:hAnsiTheme="majorHAnsi" w:cs="Arial"/>
                <w:sz w:val="20"/>
                <w:szCs w:val="20"/>
                <w:lang w:eastAsia="es-ES"/>
              </w:rPr>
              <w:t>considerados</w:t>
            </w:r>
            <w:r w:rsidR="00F9292B" w:rsidRPr="00D23625">
              <w:rPr>
                <w:rFonts w:asciiTheme="majorHAnsi" w:eastAsia="Times New Roman" w:hAnsiTheme="majorHAnsi" w:cs="Arial"/>
                <w:sz w:val="20"/>
                <w:szCs w:val="20"/>
                <w:lang w:eastAsia="es-ES"/>
              </w:rPr>
              <w:t xml:space="preserve"> es de 632 </w:t>
            </w:r>
            <w:r w:rsidR="00BA5FD3">
              <w:rPr>
                <w:rFonts w:asciiTheme="majorHAnsi" w:eastAsia="Times New Roman" w:hAnsiTheme="majorHAnsi" w:cs="Arial"/>
                <w:sz w:val="20"/>
                <w:szCs w:val="20"/>
                <w:lang w:eastAsia="es-ES"/>
              </w:rPr>
              <w:t xml:space="preserve">(número de certificados expedidos por el Instituto en </w:t>
            </w:r>
            <w:r w:rsidR="00F9292B" w:rsidRPr="00D23625">
              <w:rPr>
                <w:rFonts w:asciiTheme="majorHAnsi" w:eastAsia="Times New Roman" w:hAnsiTheme="majorHAnsi" w:cs="Arial"/>
                <w:sz w:val="20"/>
                <w:szCs w:val="20"/>
                <w:lang w:eastAsia="es-ES"/>
              </w:rPr>
              <w:t>2016</w:t>
            </w:r>
            <w:r w:rsidR="00BA5FD3">
              <w:rPr>
                <w:rFonts w:asciiTheme="majorHAnsi" w:eastAsia="Times New Roman" w:hAnsiTheme="majorHAnsi" w:cs="Arial"/>
                <w:sz w:val="20"/>
                <w:szCs w:val="20"/>
                <w:lang w:eastAsia="es-ES"/>
              </w:rPr>
              <w:t>)</w:t>
            </w:r>
            <w:r w:rsidRPr="00D23625">
              <w:rPr>
                <w:rFonts w:asciiTheme="majorHAnsi" w:eastAsia="Times New Roman" w:hAnsiTheme="majorHAnsi" w:cs="Arial"/>
                <w:sz w:val="20"/>
                <w:szCs w:val="20"/>
                <w:lang w:eastAsia="es-ES"/>
              </w:rPr>
              <w:t>.</w:t>
            </w:r>
          </w:p>
          <w:p w:rsidR="00BD7159" w:rsidRDefault="00BD7159" w:rsidP="00780A60">
            <w:pPr>
              <w:pStyle w:val="Prrafodelista"/>
              <w:numPr>
                <w:ilvl w:val="0"/>
                <w:numId w:val="41"/>
              </w:num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El costo </w:t>
            </w:r>
            <w:r w:rsidR="005628AF">
              <w:rPr>
                <w:rFonts w:asciiTheme="majorHAnsi" w:eastAsia="Times New Roman" w:hAnsiTheme="majorHAnsi" w:cs="Arial"/>
                <w:sz w:val="20"/>
                <w:szCs w:val="20"/>
                <w:lang w:eastAsia="es-ES"/>
              </w:rPr>
              <w:t xml:space="preserve">financiero </w:t>
            </w:r>
            <w:r>
              <w:rPr>
                <w:rFonts w:asciiTheme="majorHAnsi" w:eastAsia="Times New Roman" w:hAnsiTheme="majorHAnsi" w:cs="Arial"/>
                <w:sz w:val="20"/>
                <w:szCs w:val="20"/>
                <w:lang w:eastAsia="es-ES"/>
              </w:rPr>
              <w:t>de la acreditación por perito es de 15,000.00 pesos.</w:t>
            </w:r>
          </w:p>
          <w:p w:rsidR="00D23625" w:rsidRDefault="00D23625" w:rsidP="00780A60">
            <w:pPr>
              <w:pStyle w:val="Prrafodelista"/>
              <w:numPr>
                <w:ilvl w:val="0"/>
                <w:numId w:val="41"/>
              </w:numPr>
              <w:jc w:val="both"/>
              <w:rPr>
                <w:rFonts w:asciiTheme="majorHAnsi" w:eastAsia="Times New Roman" w:hAnsiTheme="majorHAnsi" w:cs="Arial"/>
                <w:sz w:val="20"/>
                <w:szCs w:val="20"/>
                <w:lang w:eastAsia="es-ES"/>
              </w:rPr>
            </w:pPr>
            <w:r w:rsidRPr="00D04DFD">
              <w:rPr>
                <w:rFonts w:asciiTheme="majorHAnsi" w:eastAsia="Times New Roman" w:hAnsiTheme="majorHAnsi" w:cs="Arial"/>
                <w:sz w:val="20"/>
                <w:szCs w:val="20"/>
                <w:lang w:eastAsia="es-ES"/>
              </w:rPr>
              <w:t>Para la actualización del Manual de usuario se consideraron 40 fabricantes de ETM.</w:t>
            </w:r>
          </w:p>
          <w:p w:rsidR="001A571A" w:rsidRDefault="001A571A" w:rsidP="00780A60">
            <w:pPr>
              <w:pStyle w:val="Prrafodelista"/>
              <w:numPr>
                <w:ilvl w:val="0"/>
                <w:numId w:val="41"/>
              </w:num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Considera</w:t>
            </w:r>
            <w:r w:rsidR="00D25D32">
              <w:rPr>
                <w:rFonts w:asciiTheme="majorHAnsi" w:eastAsia="Times New Roman" w:hAnsiTheme="majorHAnsi" w:cs="Arial"/>
                <w:sz w:val="20"/>
                <w:szCs w:val="20"/>
                <w:lang w:eastAsia="es-ES"/>
              </w:rPr>
              <w:t>r</w:t>
            </w:r>
            <w:r>
              <w:rPr>
                <w:rFonts w:asciiTheme="majorHAnsi" w:eastAsia="Times New Roman" w:hAnsiTheme="majorHAnsi" w:cs="Arial"/>
                <w:sz w:val="20"/>
                <w:szCs w:val="20"/>
                <w:lang w:eastAsia="es-ES"/>
              </w:rPr>
              <w:t xml:space="preserve"> </w:t>
            </w:r>
            <w:r w:rsidR="00D25D32">
              <w:rPr>
                <w:rFonts w:asciiTheme="majorHAnsi" w:eastAsia="Times New Roman" w:hAnsiTheme="majorHAnsi" w:cs="Arial"/>
                <w:sz w:val="20"/>
                <w:szCs w:val="20"/>
                <w:lang w:eastAsia="es-ES"/>
              </w:rPr>
              <w:t xml:space="preserve">que </w:t>
            </w:r>
            <w:r>
              <w:rPr>
                <w:rFonts w:asciiTheme="majorHAnsi" w:eastAsia="Times New Roman" w:hAnsiTheme="majorHAnsi" w:cs="Arial"/>
                <w:sz w:val="20"/>
                <w:szCs w:val="20"/>
                <w:lang w:eastAsia="es-ES"/>
              </w:rPr>
              <w:t>e</w:t>
            </w:r>
            <w:r w:rsidRPr="006A7C28">
              <w:rPr>
                <w:rFonts w:asciiTheme="majorHAnsi" w:eastAsia="Times New Roman" w:hAnsiTheme="majorHAnsi" w:cs="Arial"/>
                <w:sz w:val="20"/>
                <w:szCs w:val="20"/>
                <w:lang w:eastAsia="es-ES"/>
              </w:rPr>
              <w:t>l número de visitas de Vigilancia de la certificación será del 5% del total de certificados expedidos</w:t>
            </w:r>
            <w:r>
              <w:rPr>
                <w:rFonts w:asciiTheme="majorHAnsi" w:eastAsia="Times New Roman" w:hAnsiTheme="majorHAnsi" w:cs="Arial"/>
                <w:sz w:val="20"/>
                <w:szCs w:val="20"/>
                <w:lang w:eastAsia="es-ES"/>
              </w:rPr>
              <w:t>.</w:t>
            </w:r>
          </w:p>
          <w:p w:rsidR="00545983" w:rsidRPr="00D23625" w:rsidRDefault="00545983" w:rsidP="00780A60">
            <w:pPr>
              <w:pStyle w:val="Prrafodelista"/>
              <w:numPr>
                <w:ilvl w:val="0"/>
                <w:numId w:val="41"/>
              </w:numPr>
              <w:jc w:val="both"/>
              <w:rPr>
                <w:rFonts w:asciiTheme="majorHAnsi" w:eastAsia="Times New Roman" w:hAnsiTheme="majorHAnsi" w:cs="Arial"/>
                <w:sz w:val="20"/>
                <w:szCs w:val="20"/>
                <w:lang w:eastAsia="es-ES"/>
              </w:rPr>
            </w:pPr>
            <w:r w:rsidRPr="00D23625">
              <w:rPr>
                <w:rFonts w:asciiTheme="majorHAnsi" w:eastAsia="Times New Roman" w:hAnsiTheme="majorHAnsi" w:cs="Arial"/>
                <w:sz w:val="20"/>
                <w:szCs w:val="20"/>
                <w:lang w:eastAsia="es-ES"/>
              </w:rPr>
              <w:t>Salario mensual neto del trabajador es de 20 mil pesos</w:t>
            </w:r>
            <w:r w:rsidR="00925AB8" w:rsidRPr="00D23625">
              <w:rPr>
                <w:rFonts w:asciiTheme="majorHAnsi" w:eastAsia="Times New Roman" w:hAnsiTheme="majorHAnsi" w:cs="Arial"/>
                <w:sz w:val="20"/>
                <w:szCs w:val="20"/>
                <w:lang w:eastAsia="es-ES"/>
              </w:rPr>
              <w:t xml:space="preserve"> por organismo de evaluación de la conformidad</w:t>
            </w:r>
            <w:r w:rsidRPr="00D23625">
              <w:rPr>
                <w:rFonts w:asciiTheme="majorHAnsi" w:eastAsia="Times New Roman" w:hAnsiTheme="majorHAnsi" w:cs="Arial"/>
                <w:sz w:val="20"/>
                <w:szCs w:val="20"/>
                <w:lang w:eastAsia="es-ES"/>
              </w:rPr>
              <w:t>.</w:t>
            </w:r>
          </w:p>
          <w:p w:rsidR="00545983" w:rsidRPr="00CD4895" w:rsidRDefault="00925AB8" w:rsidP="00780A60">
            <w:pPr>
              <w:pStyle w:val="Prrafodelista"/>
              <w:numPr>
                <w:ilvl w:val="0"/>
                <w:numId w:val="41"/>
              </w:num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20 </w:t>
            </w:r>
            <w:r w:rsidR="00545983" w:rsidRPr="00CD4895">
              <w:rPr>
                <w:rFonts w:asciiTheme="majorHAnsi" w:eastAsia="Times New Roman" w:hAnsiTheme="majorHAnsi" w:cs="Arial"/>
                <w:sz w:val="20"/>
                <w:szCs w:val="20"/>
                <w:lang w:eastAsia="es-ES"/>
              </w:rPr>
              <w:t xml:space="preserve">días laborables </w:t>
            </w:r>
            <w:r>
              <w:rPr>
                <w:rFonts w:asciiTheme="majorHAnsi" w:eastAsia="Times New Roman" w:hAnsiTheme="majorHAnsi" w:cs="Arial"/>
                <w:sz w:val="20"/>
                <w:szCs w:val="20"/>
                <w:lang w:eastAsia="es-ES"/>
              </w:rPr>
              <w:t xml:space="preserve">del trabajador, </w:t>
            </w:r>
            <w:r w:rsidR="00545983" w:rsidRPr="00CD4895">
              <w:rPr>
                <w:rFonts w:asciiTheme="majorHAnsi" w:eastAsia="Times New Roman" w:hAnsiTheme="majorHAnsi" w:cs="Arial"/>
                <w:sz w:val="20"/>
                <w:szCs w:val="20"/>
                <w:lang w:eastAsia="es-ES"/>
              </w:rPr>
              <w:t>por mes</w:t>
            </w:r>
            <w:r>
              <w:rPr>
                <w:rFonts w:asciiTheme="majorHAnsi" w:eastAsia="Times New Roman" w:hAnsiTheme="majorHAnsi" w:cs="Arial"/>
                <w:sz w:val="20"/>
                <w:szCs w:val="20"/>
                <w:lang w:eastAsia="es-ES"/>
              </w:rPr>
              <w:t>, por organismo de evaluación de la conformidad</w:t>
            </w:r>
            <w:r w:rsidR="00545983" w:rsidRPr="00CD4895">
              <w:rPr>
                <w:rFonts w:asciiTheme="majorHAnsi" w:eastAsia="Times New Roman" w:hAnsiTheme="majorHAnsi" w:cs="Arial"/>
                <w:sz w:val="20"/>
                <w:szCs w:val="20"/>
                <w:lang w:eastAsia="es-ES"/>
              </w:rPr>
              <w:t>.</w:t>
            </w:r>
          </w:p>
          <w:p w:rsidR="00545983" w:rsidRPr="00CD4895" w:rsidRDefault="00925AB8" w:rsidP="00780A60">
            <w:pPr>
              <w:pStyle w:val="Prrafodelista"/>
              <w:numPr>
                <w:ilvl w:val="0"/>
                <w:numId w:val="41"/>
              </w:num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En su caso, s</w:t>
            </w:r>
            <w:r w:rsidR="00545983" w:rsidRPr="00CD4895">
              <w:rPr>
                <w:rFonts w:asciiTheme="majorHAnsi" w:eastAsia="Times New Roman" w:hAnsiTheme="majorHAnsi" w:cs="Arial"/>
                <w:sz w:val="20"/>
                <w:szCs w:val="20"/>
                <w:lang w:eastAsia="es-ES"/>
              </w:rPr>
              <w:t>alario por hora de 125 pesos</w:t>
            </w:r>
            <w:r>
              <w:rPr>
                <w:rFonts w:asciiTheme="majorHAnsi" w:eastAsia="Times New Roman" w:hAnsiTheme="majorHAnsi" w:cs="Arial"/>
                <w:sz w:val="20"/>
                <w:szCs w:val="20"/>
                <w:lang w:eastAsia="es-ES"/>
              </w:rPr>
              <w:t xml:space="preserve"> por trabajador</w:t>
            </w:r>
            <w:r w:rsidR="00545983" w:rsidRPr="00CD4895">
              <w:rPr>
                <w:rFonts w:asciiTheme="majorHAnsi" w:eastAsia="Times New Roman" w:hAnsiTheme="majorHAnsi" w:cs="Arial"/>
                <w:sz w:val="20"/>
                <w:szCs w:val="20"/>
                <w:lang w:eastAsia="es-ES"/>
              </w:rPr>
              <w:t>.</w:t>
            </w:r>
          </w:p>
          <w:p w:rsidR="00545983" w:rsidRPr="00CD4895" w:rsidRDefault="00545983" w:rsidP="00925AB8">
            <w:pPr>
              <w:ind w:left="1163" w:hanging="283"/>
              <w:jc w:val="both"/>
              <w:rPr>
                <w:rFonts w:asciiTheme="majorHAnsi" w:eastAsia="Times New Roman" w:hAnsiTheme="majorHAnsi" w:cs="Arial"/>
                <w:sz w:val="20"/>
                <w:szCs w:val="20"/>
                <w:lang w:eastAsia="es-ES"/>
              </w:rPr>
            </w:pPr>
          </w:p>
          <w:tbl>
            <w:tblPr>
              <w:tblpPr w:leftFromText="141" w:rightFromText="141" w:vertAnchor="page" w:horzAnchor="margin" w:tblpXSpec="center" w:tblpY="1"/>
              <w:tblOverlap w:val="neve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
              <w:gridCol w:w="1419"/>
              <w:gridCol w:w="1165"/>
              <w:gridCol w:w="954"/>
              <w:gridCol w:w="1220"/>
              <w:gridCol w:w="1354"/>
              <w:gridCol w:w="1220"/>
            </w:tblGrid>
            <w:tr w:rsidR="00A357E8" w:rsidRPr="005B0609" w:rsidTr="00A357E8">
              <w:trPr>
                <w:trHeight w:val="300"/>
              </w:trPr>
              <w:tc>
                <w:tcPr>
                  <w:tcW w:w="1812" w:type="dxa"/>
                  <w:gridSpan w:val="2"/>
                </w:tcPr>
                <w:p w:rsidR="00A357E8" w:rsidRPr="005B0609" w:rsidRDefault="00A357E8" w:rsidP="00F60BC7">
                  <w:pPr>
                    <w:jc w:val="both"/>
                    <w:rPr>
                      <w:rFonts w:asciiTheme="majorHAnsi" w:eastAsia="Times New Roman" w:hAnsiTheme="majorHAnsi" w:cs="Times New Roman"/>
                      <w:b/>
                      <w:color w:val="000000"/>
                      <w:sz w:val="18"/>
                      <w:szCs w:val="18"/>
                      <w:lang w:eastAsia="es-MX"/>
                    </w:rPr>
                  </w:pPr>
                  <w:r w:rsidRPr="00CD4895">
                    <w:rPr>
                      <w:rFonts w:asciiTheme="majorHAnsi" w:eastAsia="Times New Roman" w:hAnsiTheme="majorHAnsi" w:cs="Arial"/>
                      <w:sz w:val="20"/>
                      <w:szCs w:val="20"/>
                      <w:lang w:eastAsia="es-ES"/>
                    </w:rPr>
                    <w:t>Tomando en cuenta lo anterior</w:t>
                  </w:r>
                  <w:r>
                    <w:rPr>
                      <w:rFonts w:asciiTheme="majorHAnsi" w:eastAsia="Times New Roman" w:hAnsiTheme="majorHAnsi" w:cs="Arial"/>
                      <w:sz w:val="20"/>
                      <w:szCs w:val="20"/>
                      <w:lang w:eastAsia="es-ES"/>
                    </w:rPr>
                    <w:t>, la Tabla 2 muestra el cálculo de los</w:t>
                  </w:r>
                  <w:r w:rsidRPr="00CD4895">
                    <w:rPr>
                      <w:rFonts w:asciiTheme="majorHAnsi" w:eastAsia="Times New Roman" w:hAnsiTheme="majorHAnsi" w:cs="Arial"/>
                      <w:sz w:val="20"/>
                      <w:szCs w:val="20"/>
                      <w:lang w:eastAsia="es-ES"/>
                    </w:rPr>
                    <w:t xml:space="preserve"> costos para los agentes económicos</w:t>
                  </w:r>
                  <w:r>
                    <w:rPr>
                      <w:rFonts w:asciiTheme="majorHAnsi" w:eastAsia="Times New Roman" w:hAnsiTheme="majorHAnsi" w:cs="Arial"/>
                      <w:sz w:val="20"/>
                      <w:szCs w:val="20"/>
                      <w:lang w:eastAsia="es-ES"/>
                    </w:rPr>
                    <w:t xml:space="preserve"> involucrados</w:t>
                  </w:r>
                  <w:r w:rsidRPr="00CD4895">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Laboratorio de Prueba, </w:t>
                  </w:r>
                  <w:r w:rsidRPr="00CD4895">
                    <w:rPr>
                      <w:rFonts w:asciiTheme="majorHAnsi" w:eastAsia="Times New Roman" w:hAnsiTheme="majorHAnsi" w:cs="Arial"/>
                      <w:sz w:val="20"/>
                      <w:szCs w:val="20"/>
                      <w:lang w:eastAsia="es-ES"/>
                    </w:rPr>
                    <w:t>Organismos de Certificación</w:t>
                  </w:r>
                  <w:r>
                    <w:rPr>
                      <w:rFonts w:asciiTheme="majorHAnsi" w:eastAsia="Times New Roman" w:hAnsiTheme="majorHAnsi" w:cs="Arial"/>
                      <w:sz w:val="20"/>
                      <w:szCs w:val="20"/>
                      <w:lang w:eastAsia="es-ES"/>
                    </w:rPr>
                    <w:t xml:space="preserve"> y/o fabricantes de Equipos Terminales Móviles/Solicitantes del Certificado de Homologación</w:t>
                  </w:r>
                  <w:r w:rsidRPr="00CD4895">
                    <w:rPr>
                      <w:rFonts w:asciiTheme="majorHAnsi" w:eastAsia="Times New Roman" w:hAnsiTheme="majorHAnsi" w:cs="Arial"/>
                      <w:sz w:val="20"/>
                      <w:szCs w:val="20"/>
                      <w:lang w:eastAsia="es-ES"/>
                    </w:rPr>
                    <w:t>):</w:t>
                  </w:r>
                </w:p>
                <w:p w:rsidR="00A357E8" w:rsidRPr="005B0609" w:rsidRDefault="00A357E8" w:rsidP="00A62640">
                  <w:pPr>
                    <w:rPr>
                      <w:rFonts w:asciiTheme="majorHAnsi" w:hAnsiTheme="majorHAnsi"/>
                      <w:color w:val="000000"/>
                      <w:sz w:val="18"/>
                      <w:szCs w:val="18"/>
                    </w:rPr>
                  </w:pPr>
                  <w:r w:rsidRPr="005B0609">
                    <w:rPr>
                      <w:rFonts w:asciiTheme="majorHAnsi" w:eastAsia="Times New Roman" w:hAnsiTheme="majorHAnsi" w:cs="Times New Roman"/>
                      <w:b/>
                      <w:color w:val="000000"/>
                      <w:sz w:val="18"/>
                      <w:szCs w:val="18"/>
                      <w:lang w:eastAsia="es-MX"/>
                    </w:rPr>
                    <w:t>Trámite</w:t>
                  </w:r>
                </w:p>
              </w:tc>
              <w:tc>
                <w:tcPr>
                  <w:tcW w:w="1165" w:type="dxa"/>
                  <w:shd w:val="clear" w:color="000000" w:fill="FFFFFF"/>
                  <w:noWrap/>
                  <w:vAlign w:val="center"/>
                </w:tcPr>
                <w:p w:rsidR="00A357E8" w:rsidRPr="005B0609" w:rsidRDefault="00A357E8" w:rsidP="000C25DE">
                  <w:pPr>
                    <w:spacing w:line="240" w:lineRule="auto"/>
                    <w:jc w:val="center"/>
                    <w:rPr>
                      <w:rFonts w:asciiTheme="majorHAnsi" w:eastAsia="Times New Roman" w:hAnsiTheme="majorHAnsi" w:cs="Times New Roman"/>
                      <w:b/>
                      <w:color w:val="000000"/>
                      <w:sz w:val="18"/>
                      <w:szCs w:val="18"/>
                      <w:lang w:eastAsia="es-MX"/>
                    </w:rPr>
                  </w:pPr>
                  <w:r w:rsidRPr="005B0609">
                    <w:rPr>
                      <w:rFonts w:asciiTheme="majorHAnsi" w:eastAsia="Times New Roman" w:hAnsiTheme="majorHAnsi" w:cs="Times New Roman"/>
                      <w:b/>
                      <w:color w:val="000000"/>
                      <w:sz w:val="18"/>
                      <w:szCs w:val="18"/>
                      <w:lang w:eastAsia="es-MX"/>
                    </w:rPr>
                    <w:t>Carga  administrativa</w:t>
                  </w:r>
                </w:p>
                <w:p w:rsidR="00A357E8" w:rsidRPr="005B0609" w:rsidRDefault="00A357E8" w:rsidP="000C25DE">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b/>
                      <w:color w:val="000000"/>
                      <w:sz w:val="18"/>
                      <w:szCs w:val="18"/>
                      <w:lang w:eastAsia="es-MX"/>
                    </w:rPr>
                    <w:t>(P</w:t>
                  </w:r>
                  <w:r w:rsidRPr="005B0609">
                    <w:rPr>
                      <w:rFonts w:asciiTheme="majorHAnsi" w:eastAsia="Times New Roman" w:hAnsiTheme="majorHAnsi" w:cs="Times New Roman"/>
                      <w:b/>
                      <w:color w:val="000000"/>
                      <w:sz w:val="18"/>
                      <w:szCs w:val="18"/>
                      <w:lang w:eastAsia="es-MX"/>
                    </w:rPr>
                    <w:t>esos)</w:t>
                  </w:r>
                </w:p>
              </w:tc>
              <w:tc>
                <w:tcPr>
                  <w:tcW w:w="954" w:type="dxa"/>
                  <w:shd w:val="clear" w:color="000000" w:fill="FFFFFF"/>
                  <w:noWrap/>
                  <w:vAlign w:val="center"/>
                </w:tcPr>
                <w:p w:rsidR="00A357E8" w:rsidRPr="005B0609" w:rsidRDefault="00A357E8" w:rsidP="000C25DE">
                  <w:pPr>
                    <w:spacing w:line="240" w:lineRule="auto"/>
                    <w:jc w:val="center"/>
                    <w:rPr>
                      <w:rFonts w:asciiTheme="majorHAnsi" w:eastAsia="Times New Roman" w:hAnsiTheme="majorHAnsi" w:cs="Times New Roman"/>
                      <w:b/>
                      <w:color w:val="000000"/>
                      <w:sz w:val="18"/>
                      <w:szCs w:val="18"/>
                      <w:lang w:eastAsia="es-MX"/>
                    </w:rPr>
                  </w:pPr>
                  <w:r w:rsidRPr="005B0609">
                    <w:rPr>
                      <w:rFonts w:asciiTheme="majorHAnsi" w:eastAsia="Times New Roman" w:hAnsiTheme="majorHAnsi" w:cs="Times New Roman"/>
                      <w:b/>
                      <w:color w:val="000000"/>
                      <w:sz w:val="18"/>
                      <w:szCs w:val="18"/>
                      <w:lang w:eastAsia="es-MX"/>
                    </w:rPr>
                    <w:t>Costo financiero</w:t>
                  </w:r>
                </w:p>
                <w:p w:rsidR="00A357E8" w:rsidRPr="005B0609" w:rsidRDefault="00A357E8" w:rsidP="000C25DE">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b/>
                      <w:color w:val="000000"/>
                      <w:sz w:val="18"/>
                      <w:szCs w:val="18"/>
                      <w:lang w:eastAsia="es-MX"/>
                    </w:rPr>
                    <w:t>(P</w:t>
                  </w:r>
                  <w:r w:rsidRPr="005B0609">
                    <w:rPr>
                      <w:rFonts w:asciiTheme="majorHAnsi" w:eastAsia="Times New Roman" w:hAnsiTheme="majorHAnsi" w:cs="Times New Roman"/>
                      <w:b/>
                      <w:color w:val="000000"/>
                      <w:sz w:val="18"/>
                      <w:szCs w:val="18"/>
                      <w:lang w:eastAsia="es-MX"/>
                    </w:rPr>
                    <w:t>esos)</w:t>
                  </w:r>
                </w:p>
              </w:tc>
              <w:tc>
                <w:tcPr>
                  <w:tcW w:w="1220" w:type="dxa"/>
                  <w:shd w:val="clear" w:color="000000" w:fill="FFFFFF"/>
                </w:tcPr>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357E8" w:rsidRDefault="00A357E8" w:rsidP="000C25DE">
                  <w:pPr>
                    <w:tabs>
                      <w:tab w:val="left" w:pos="374"/>
                    </w:tabs>
                    <w:spacing w:line="240" w:lineRule="auto"/>
                    <w:jc w:val="center"/>
                    <w:rPr>
                      <w:rFonts w:asciiTheme="majorHAnsi" w:eastAsia="Times New Roman" w:hAnsiTheme="majorHAnsi" w:cs="Times New Roman"/>
                      <w:b/>
                      <w:color w:val="000000"/>
                      <w:sz w:val="18"/>
                      <w:szCs w:val="18"/>
                      <w:lang w:eastAsia="es-MX"/>
                    </w:rPr>
                  </w:pPr>
                  <w:r w:rsidRPr="005B0609">
                    <w:rPr>
                      <w:rFonts w:asciiTheme="majorHAnsi" w:eastAsia="Times New Roman" w:hAnsiTheme="majorHAnsi" w:cs="Times New Roman"/>
                      <w:b/>
                      <w:color w:val="000000"/>
                      <w:sz w:val="18"/>
                      <w:szCs w:val="18"/>
                      <w:lang w:eastAsia="es-MX"/>
                    </w:rPr>
                    <w:t xml:space="preserve">Costo administrativo del trámite              </w:t>
                  </w:r>
                </w:p>
                <w:p w:rsidR="00A357E8" w:rsidRPr="005B0609" w:rsidRDefault="00A357E8" w:rsidP="000C25DE">
                  <w:pPr>
                    <w:tabs>
                      <w:tab w:val="left" w:pos="374"/>
                    </w:tabs>
                    <w:spacing w:line="240" w:lineRule="auto"/>
                    <w:jc w:val="center"/>
                    <w:rPr>
                      <w:rFonts w:asciiTheme="majorHAnsi" w:eastAsia="Times New Roman" w:hAnsiTheme="majorHAnsi" w:cs="Times New Roman"/>
                      <w:b/>
                      <w:color w:val="000000"/>
                      <w:sz w:val="18"/>
                      <w:szCs w:val="18"/>
                      <w:lang w:eastAsia="es-MX"/>
                    </w:rPr>
                  </w:pPr>
                  <w:r>
                    <w:rPr>
                      <w:rFonts w:asciiTheme="majorHAnsi" w:eastAsia="Times New Roman" w:hAnsiTheme="majorHAnsi" w:cs="Times New Roman"/>
                      <w:b/>
                      <w:color w:val="000000"/>
                      <w:sz w:val="18"/>
                      <w:szCs w:val="18"/>
                      <w:lang w:eastAsia="es-MX"/>
                    </w:rPr>
                    <w:t>(P</w:t>
                  </w:r>
                  <w:r w:rsidRPr="005B0609">
                    <w:rPr>
                      <w:rFonts w:asciiTheme="majorHAnsi" w:eastAsia="Times New Roman" w:hAnsiTheme="majorHAnsi" w:cs="Times New Roman"/>
                      <w:b/>
                      <w:color w:val="000000"/>
                      <w:sz w:val="18"/>
                      <w:szCs w:val="18"/>
                      <w:lang w:eastAsia="es-MX"/>
                    </w:rPr>
                    <w:t>esos)</w:t>
                  </w:r>
                </w:p>
              </w:tc>
              <w:tc>
                <w:tcPr>
                  <w:tcW w:w="1354" w:type="dxa"/>
                  <w:shd w:val="clear" w:color="000000" w:fill="FFFFFF"/>
                </w:tcPr>
                <w:p w:rsidR="00A357E8" w:rsidRDefault="00A357E8"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p w:rsidR="00A357E8" w:rsidRDefault="00A357E8" w:rsidP="000C25DE">
                  <w:pPr>
                    <w:tabs>
                      <w:tab w:val="left" w:pos="374"/>
                    </w:tabs>
                    <w:spacing w:line="240" w:lineRule="auto"/>
                    <w:jc w:val="center"/>
                    <w:rPr>
                      <w:rFonts w:asciiTheme="majorHAnsi" w:eastAsia="Times New Roman" w:hAnsiTheme="majorHAnsi" w:cs="Times New Roman"/>
                      <w:b/>
                      <w:color w:val="000000"/>
                      <w:sz w:val="18"/>
                      <w:szCs w:val="18"/>
                      <w:lang w:eastAsia="es-MX"/>
                    </w:rPr>
                  </w:pPr>
                  <w:r>
                    <w:rPr>
                      <w:rFonts w:asciiTheme="majorHAnsi" w:eastAsia="Times New Roman" w:hAnsiTheme="majorHAnsi" w:cs="Times New Roman"/>
                      <w:b/>
                      <w:color w:val="000000"/>
                      <w:sz w:val="18"/>
                      <w:szCs w:val="18"/>
                      <w:lang w:eastAsia="es-MX"/>
                    </w:rPr>
                    <w:t>Cantidad</w:t>
                  </w:r>
                </w:p>
                <w:p w:rsidR="00A357E8" w:rsidRPr="00A67A05" w:rsidRDefault="00A357E8" w:rsidP="00A67A05">
                  <w:pPr>
                    <w:rPr>
                      <w:rFonts w:asciiTheme="majorHAnsi" w:eastAsia="Times New Roman" w:hAnsiTheme="majorHAnsi" w:cs="Times New Roman"/>
                      <w:sz w:val="18"/>
                      <w:szCs w:val="18"/>
                      <w:lang w:eastAsia="es-MX"/>
                    </w:rPr>
                  </w:pPr>
                </w:p>
              </w:tc>
              <w:tc>
                <w:tcPr>
                  <w:tcW w:w="1220" w:type="dxa"/>
                  <w:shd w:val="clear" w:color="000000" w:fill="FFFFFF"/>
                </w:tcPr>
                <w:p w:rsidR="00A62640" w:rsidRDefault="00A62640" w:rsidP="00A67A05">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A67A05">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A67A05">
                  <w:pPr>
                    <w:tabs>
                      <w:tab w:val="left" w:pos="374"/>
                    </w:tabs>
                    <w:spacing w:line="240" w:lineRule="auto"/>
                    <w:jc w:val="center"/>
                    <w:rPr>
                      <w:rFonts w:asciiTheme="majorHAnsi" w:eastAsia="Times New Roman" w:hAnsiTheme="majorHAnsi" w:cs="Times New Roman"/>
                      <w:b/>
                      <w:color w:val="000000"/>
                      <w:sz w:val="18"/>
                      <w:szCs w:val="18"/>
                      <w:lang w:eastAsia="es-MX"/>
                    </w:rPr>
                  </w:pPr>
                </w:p>
                <w:p w:rsidR="00A62640" w:rsidRDefault="00A62640" w:rsidP="00A67A05">
                  <w:pPr>
                    <w:tabs>
                      <w:tab w:val="left" w:pos="374"/>
                    </w:tabs>
                    <w:spacing w:line="240" w:lineRule="auto"/>
                    <w:jc w:val="center"/>
                    <w:rPr>
                      <w:rFonts w:asciiTheme="majorHAnsi" w:eastAsia="Times New Roman" w:hAnsiTheme="majorHAnsi" w:cs="Times New Roman"/>
                      <w:b/>
                      <w:color w:val="000000"/>
                      <w:sz w:val="18"/>
                      <w:szCs w:val="18"/>
                      <w:lang w:eastAsia="es-MX"/>
                    </w:rPr>
                  </w:pPr>
                </w:p>
                <w:p w:rsidR="00A357E8" w:rsidRDefault="00A357E8" w:rsidP="00A67A05">
                  <w:pPr>
                    <w:tabs>
                      <w:tab w:val="left" w:pos="374"/>
                    </w:tabs>
                    <w:spacing w:line="240" w:lineRule="auto"/>
                    <w:jc w:val="center"/>
                    <w:rPr>
                      <w:rFonts w:asciiTheme="majorHAnsi" w:eastAsia="Times New Roman" w:hAnsiTheme="majorHAnsi" w:cs="Times New Roman"/>
                      <w:b/>
                      <w:color w:val="000000"/>
                      <w:sz w:val="18"/>
                      <w:szCs w:val="18"/>
                      <w:lang w:eastAsia="es-MX"/>
                    </w:rPr>
                  </w:pPr>
                  <w:r w:rsidRPr="005B0609">
                    <w:rPr>
                      <w:rFonts w:asciiTheme="majorHAnsi" w:eastAsia="Times New Roman" w:hAnsiTheme="majorHAnsi" w:cs="Times New Roman"/>
                      <w:b/>
                      <w:color w:val="000000"/>
                      <w:sz w:val="18"/>
                      <w:szCs w:val="18"/>
                      <w:lang w:eastAsia="es-MX"/>
                    </w:rPr>
                    <w:t xml:space="preserve">Costo administrativo del trámite              </w:t>
                  </w:r>
                </w:p>
                <w:p w:rsidR="00A357E8" w:rsidRDefault="00A357E8" w:rsidP="00A67A05">
                  <w:pPr>
                    <w:tabs>
                      <w:tab w:val="left" w:pos="374"/>
                    </w:tabs>
                    <w:spacing w:line="240" w:lineRule="auto"/>
                    <w:jc w:val="center"/>
                    <w:rPr>
                      <w:rFonts w:asciiTheme="majorHAnsi" w:eastAsia="Times New Roman" w:hAnsiTheme="majorHAnsi" w:cs="Times New Roman"/>
                      <w:b/>
                      <w:color w:val="000000"/>
                      <w:sz w:val="18"/>
                      <w:szCs w:val="18"/>
                      <w:lang w:eastAsia="es-MX"/>
                    </w:rPr>
                  </w:pPr>
                  <w:r>
                    <w:rPr>
                      <w:rFonts w:asciiTheme="majorHAnsi" w:eastAsia="Times New Roman" w:hAnsiTheme="majorHAnsi" w:cs="Times New Roman"/>
                      <w:b/>
                      <w:color w:val="000000"/>
                      <w:sz w:val="18"/>
                      <w:szCs w:val="18"/>
                      <w:lang w:eastAsia="es-MX"/>
                    </w:rPr>
                    <w:t>Total</w:t>
                  </w:r>
                </w:p>
                <w:p w:rsidR="00A357E8" w:rsidRDefault="00A357E8" w:rsidP="000C25DE">
                  <w:pPr>
                    <w:tabs>
                      <w:tab w:val="left" w:pos="374"/>
                    </w:tabs>
                    <w:spacing w:line="240" w:lineRule="auto"/>
                    <w:jc w:val="center"/>
                    <w:rPr>
                      <w:rFonts w:asciiTheme="majorHAnsi" w:eastAsia="Times New Roman" w:hAnsiTheme="majorHAnsi" w:cs="Times New Roman"/>
                      <w:b/>
                      <w:color w:val="000000"/>
                      <w:sz w:val="18"/>
                      <w:szCs w:val="18"/>
                      <w:lang w:eastAsia="es-MX"/>
                    </w:rPr>
                  </w:pPr>
                </w:p>
              </w:tc>
            </w:tr>
            <w:tr w:rsidR="00A357E8" w:rsidRPr="005B0609" w:rsidTr="00A357E8">
              <w:trPr>
                <w:trHeight w:val="379"/>
              </w:trPr>
              <w:tc>
                <w:tcPr>
                  <w:tcW w:w="393" w:type="dxa"/>
                </w:tcPr>
                <w:p w:rsidR="00A357E8" w:rsidRDefault="00A357E8" w:rsidP="000C25DE">
                  <w:pPr>
                    <w:jc w:val="center"/>
                    <w:rPr>
                      <w:rFonts w:asciiTheme="majorHAnsi" w:hAnsiTheme="majorHAnsi"/>
                      <w:color w:val="000000"/>
                      <w:sz w:val="18"/>
                      <w:szCs w:val="18"/>
                    </w:rPr>
                  </w:pPr>
                </w:p>
                <w:p w:rsidR="00A357E8" w:rsidRPr="005B0609" w:rsidRDefault="00A357E8" w:rsidP="000C25DE">
                  <w:pPr>
                    <w:jc w:val="center"/>
                    <w:rPr>
                      <w:rFonts w:asciiTheme="majorHAnsi" w:hAnsiTheme="majorHAnsi"/>
                      <w:color w:val="000000"/>
                      <w:sz w:val="18"/>
                      <w:szCs w:val="18"/>
                    </w:rPr>
                  </w:pPr>
                  <w:r w:rsidRPr="005B0609">
                    <w:rPr>
                      <w:rFonts w:asciiTheme="majorHAnsi" w:hAnsiTheme="majorHAnsi"/>
                      <w:color w:val="000000"/>
                      <w:sz w:val="18"/>
                      <w:szCs w:val="18"/>
                    </w:rPr>
                    <w:t>1</w:t>
                  </w:r>
                </w:p>
              </w:tc>
              <w:tc>
                <w:tcPr>
                  <w:tcW w:w="1419" w:type="dxa"/>
                  <w:shd w:val="clear" w:color="auto" w:fill="auto"/>
                  <w:noWrap/>
                  <w:vAlign w:val="center"/>
                </w:tcPr>
                <w:p w:rsidR="00A357E8" w:rsidRDefault="00A357E8" w:rsidP="000C25DE">
                  <w:pPr>
                    <w:jc w:val="both"/>
                    <w:rPr>
                      <w:rFonts w:asciiTheme="majorHAnsi" w:hAnsiTheme="majorHAnsi"/>
                      <w:color w:val="000000"/>
                      <w:sz w:val="18"/>
                      <w:szCs w:val="18"/>
                    </w:rPr>
                  </w:pPr>
                  <w:r w:rsidRPr="005B0609">
                    <w:rPr>
                      <w:rFonts w:asciiTheme="majorHAnsi" w:hAnsiTheme="majorHAnsi"/>
                      <w:color w:val="000000"/>
                      <w:sz w:val="18"/>
                      <w:szCs w:val="18"/>
                    </w:rPr>
                    <w:t>ACREDITACIÓN DE ORGANISMOS DE CERTIFICACIÓN.</w:t>
                  </w:r>
                </w:p>
                <w:p w:rsidR="00A357E8" w:rsidRPr="005B0609" w:rsidRDefault="00A357E8" w:rsidP="00911030">
                  <w:pPr>
                    <w:jc w:val="both"/>
                    <w:rPr>
                      <w:rFonts w:asciiTheme="majorHAnsi" w:hAnsiTheme="majorHAnsi"/>
                      <w:color w:val="000000"/>
                      <w:sz w:val="18"/>
                      <w:szCs w:val="18"/>
                    </w:rPr>
                  </w:pPr>
                  <w:r>
                    <w:rPr>
                      <w:rFonts w:asciiTheme="majorHAnsi" w:hAnsiTheme="majorHAnsi"/>
                      <w:color w:val="000000"/>
                      <w:sz w:val="18"/>
                      <w:szCs w:val="18"/>
                    </w:rPr>
                    <w:t>(Organismos de Certificación)</w:t>
                  </w:r>
                </w:p>
              </w:tc>
              <w:tc>
                <w:tcPr>
                  <w:tcW w:w="1165" w:type="dxa"/>
                  <w:shd w:val="clear" w:color="000000" w:fill="FFFFFF"/>
                  <w:noWrap/>
                  <w:vAlign w:val="center"/>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0C25DE">
                  <w:pPr>
                    <w:spacing w:line="240" w:lineRule="auto"/>
                    <w:jc w:val="center"/>
                    <w:rPr>
                      <w:rFonts w:asciiTheme="majorHAnsi" w:eastAsia="Times New Roman" w:hAnsiTheme="majorHAnsi" w:cs="Times New Roman"/>
                      <w:color w:val="000000"/>
                      <w:sz w:val="18"/>
                      <w:szCs w:val="18"/>
                      <w:lang w:eastAsia="es-MX"/>
                    </w:rPr>
                  </w:pPr>
                  <w:r w:rsidRPr="00750AAA">
                    <w:rPr>
                      <w:rFonts w:asciiTheme="majorHAnsi" w:eastAsia="Times New Roman" w:hAnsiTheme="majorHAnsi" w:cs="Times New Roman"/>
                      <w:color w:val="000000"/>
                      <w:sz w:val="18"/>
                      <w:szCs w:val="18"/>
                      <w:lang w:eastAsia="es-MX"/>
                    </w:rPr>
                    <w:t>$45,300.00</w:t>
                  </w:r>
                </w:p>
              </w:tc>
              <w:tc>
                <w:tcPr>
                  <w:tcW w:w="954" w:type="dxa"/>
                  <w:shd w:val="clear" w:color="000000" w:fill="FFFFFF"/>
                  <w:noWrap/>
                  <w:vAlign w:val="center"/>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0C25DE">
                  <w:pPr>
                    <w:spacing w:line="240" w:lineRule="auto"/>
                    <w:jc w:val="center"/>
                    <w:rPr>
                      <w:rFonts w:asciiTheme="majorHAnsi" w:eastAsia="Times New Roman" w:hAnsiTheme="majorHAnsi" w:cs="Times New Roman"/>
                      <w:color w:val="000000"/>
                      <w:sz w:val="18"/>
                      <w:szCs w:val="18"/>
                      <w:lang w:eastAsia="es-MX"/>
                    </w:rPr>
                  </w:pPr>
                  <w:r w:rsidRPr="005B0609">
                    <w:rPr>
                      <w:rFonts w:asciiTheme="majorHAnsi" w:eastAsia="Times New Roman" w:hAnsiTheme="majorHAnsi" w:cs="Times New Roman"/>
                      <w:color w:val="000000"/>
                      <w:sz w:val="18"/>
                      <w:szCs w:val="18"/>
                      <w:lang w:eastAsia="es-MX"/>
                    </w:rPr>
                    <w:t>$70,000.00</w:t>
                  </w:r>
                </w:p>
              </w:tc>
              <w:tc>
                <w:tcPr>
                  <w:tcW w:w="1220" w:type="dxa"/>
                  <w:shd w:val="clear" w:color="000000" w:fill="FFFFFF"/>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r w:rsidRPr="005B0609">
                    <w:rPr>
                      <w:rFonts w:asciiTheme="majorHAnsi" w:eastAsia="Times New Roman" w:hAnsiTheme="majorHAnsi" w:cs="Times New Roman"/>
                      <w:color w:val="000000"/>
                      <w:sz w:val="18"/>
                      <w:szCs w:val="18"/>
                      <w:lang w:eastAsia="es-MX"/>
                    </w:rPr>
                    <w:t>$</w:t>
                  </w:r>
                  <w:r>
                    <w:rPr>
                      <w:rFonts w:asciiTheme="majorHAnsi" w:eastAsia="Times New Roman" w:hAnsiTheme="majorHAnsi" w:cs="Times New Roman"/>
                      <w:color w:val="000000"/>
                      <w:sz w:val="18"/>
                      <w:szCs w:val="18"/>
                      <w:lang w:eastAsia="es-MX"/>
                    </w:rPr>
                    <w:t>1</w:t>
                  </w:r>
                  <w:r w:rsidRPr="005B0609">
                    <w:rPr>
                      <w:rFonts w:asciiTheme="majorHAnsi" w:eastAsia="Times New Roman" w:hAnsiTheme="majorHAnsi" w:cs="Times New Roman"/>
                      <w:color w:val="000000"/>
                      <w:sz w:val="18"/>
                      <w:szCs w:val="18"/>
                      <w:lang w:eastAsia="es-MX"/>
                    </w:rPr>
                    <w:t>15,300.00</w:t>
                  </w:r>
                </w:p>
              </w:tc>
              <w:tc>
                <w:tcPr>
                  <w:tcW w:w="1354" w:type="dxa"/>
                  <w:shd w:val="clear" w:color="000000" w:fill="FFFFFF"/>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color w:val="000000"/>
                      <w:sz w:val="18"/>
                      <w:szCs w:val="18"/>
                      <w:lang w:eastAsia="es-MX"/>
                    </w:rPr>
                    <w:t>2 OC</w:t>
                  </w:r>
                </w:p>
              </w:tc>
              <w:tc>
                <w:tcPr>
                  <w:tcW w:w="1220" w:type="dxa"/>
                  <w:shd w:val="clear" w:color="000000" w:fill="FFFFFF"/>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r w:rsidRPr="005B0609">
                    <w:rPr>
                      <w:rFonts w:asciiTheme="majorHAnsi" w:eastAsia="Times New Roman" w:hAnsiTheme="majorHAnsi" w:cs="Times New Roman"/>
                      <w:color w:val="000000"/>
                      <w:sz w:val="18"/>
                      <w:szCs w:val="18"/>
                      <w:lang w:eastAsia="es-MX"/>
                    </w:rPr>
                    <w:t>$</w:t>
                  </w:r>
                  <w:r>
                    <w:rPr>
                      <w:rFonts w:asciiTheme="majorHAnsi" w:eastAsia="Times New Roman" w:hAnsiTheme="majorHAnsi" w:cs="Times New Roman"/>
                      <w:color w:val="000000"/>
                      <w:sz w:val="18"/>
                      <w:szCs w:val="18"/>
                      <w:lang w:eastAsia="es-MX"/>
                    </w:rPr>
                    <w:t>230</w:t>
                  </w:r>
                  <w:r w:rsidRPr="005B0609">
                    <w:rPr>
                      <w:rFonts w:asciiTheme="majorHAnsi" w:eastAsia="Times New Roman" w:hAnsiTheme="majorHAnsi" w:cs="Times New Roman"/>
                      <w:color w:val="000000"/>
                      <w:sz w:val="18"/>
                      <w:szCs w:val="18"/>
                      <w:lang w:eastAsia="es-MX"/>
                    </w:rPr>
                    <w:t>,</w:t>
                  </w:r>
                  <w:r>
                    <w:rPr>
                      <w:rFonts w:asciiTheme="majorHAnsi" w:eastAsia="Times New Roman" w:hAnsiTheme="majorHAnsi" w:cs="Times New Roman"/>
                      <w:color w:val="000000"/>
                      <w:sz w:val="18"/>
                      <w:szCs w:val="18"/>
                      <w:lang w:eastAsia="es-MX"/>
                    </w:rPr>
                    <w:t>6</w:t>
                  </w:r>
                  <w:r w:rsidRPr="005B0609">
                    <w:rPr>
                      <w:rFonts w:asciiTheme="majorHAnsi" w:eastAsia="Times New Roman" w:hAnsiTheme="majorHAnsi" w:cs="Times New Roman"/>
                      <w:color w:val="000000"/>
                      <w:sz w:val="18"/>
                      <w:szCs w:val="18"/>
                      <w:lang w:eastAsia="es-MX"/>
                    </w:rPr>
                    <w:t>00.00</w:t>
                  </w:r>
                </w:p>
              </w:tc>
            </w:tr>
            <w:tr w:rsidR="00A357E8" w:rsidRPr="005B0609" w:rsidTr="00A357E8">
              <w:trPr>
                <w:trHeight w:val="471"/>
              </w:trPr>
              <w:tc>
                <w:tcPr>
                  <w:tcW w:w="393" w:type="dxa"/>
                </w:tcPr>
                <w:p w:rsidR="00A357E8" w:rsidRDefault="00A357E8" w:rsidP="000C25DE">
                  <w:pPr>
                    <w:jc w:val="center"/>
                    <w:rPr>
                      <w:rFonts w:asciiTheme="majorHAnsi" w:hAnsiTheme="majorHAnsi"/>
                      <w:color w:val="000000"/>
                      <w:sz w:val="18"/>
                      <w:szCs w:val="18"/>
                    </w:rPr>
                  </w:pPr>
                </w:p>
                <w:p w:rsidR="00A357E8" w:rsidRDefault="00A357E8" w:rsidP="000C25DE">
                  <w:pPr>
                    <w:jc w:val="center"/>
                    <w:rPr>
                      <w:rFonts w:asciiTheme="majorHAnsi" w:hAnsiTheme="majorHAnsi"/>
                      <w:color w:val="000000"/>
                      <w:sz w:val="18"/>
                      <w:szCs w:val="18"/>
                    </w:rPr>
                  </w:pPr>
                </w:p>
                <w:p w:rsidR="00A357E8" w:rsidRPr="005B0609" w:rsidRDefault="00A357E8" w:rsidP="000C25DE">
                  <w:pPr>
                    <w:jc w:val="center"/>
                    <w:rPr>
                      <w:rFonts w:asciiTheme="majorHAnsi" w:hAnsiTheme="majorHAnsi"/>
                      <w:color w:val="000000"/>
                      <w:sz w:val="18"/>
                      <w:szCs w:val="18"/>
                    </w:rPr>
                  </w:pPr>
                  <w:r w:rsidRPr="005B0609">
                    <w:rPr>
                      <w:rFonts w:asciiTheme="majorHAnsi" w:hAnsiTheme="majorHAnsi"/>
                      <w:color w:val="000000"/>
                      <w:sz w:val="18"/>
                      <w:szCs w:val="18"/>
                    </w:rPr>
                    <w:t>2</w:t>
                  </w:r>
                </w:p>
              </w:tc>
              <w:tc>
                <w:tcPr>
                  <w:tcW w:w="1419" w:type="dxa"/>
                  <w:shd w:val="clear" w:color="auto" w:fill="auto"/>
                  <w:noWrap/>
                  <w:vAlign w:val="center"/>
                </w:tcPr>
                <w:p w:rsidR="00A357E8" w:rsidRDefault="00A357E8" w:rsidP="000C25DE">
                  <w:pPr>
                    <w:jc w:val="both"/>
                    <w:rPr>
                      <w:rFonts w:asciiTheme="majorHAnsi" w:hAnsiTheme="majorHAnsi"/>
                      <w:color w:val="000000"/>
                      <w:sz w:val="18"/>
                      <w:szCs w:val="18"/>
                    </w:rPr>
                  </w:pPr>
                  <w:r w:rsidRPr="005B0609">
                    <w:rPr>
                      <w:rFonts w:asciiTheme="majorHAnsi" w:hAnsiTheme="majorHAnsi"/>
                      <w:color w:val="000000"/>
                      <w:sz w:val="18"/>
                      <w:szCs w:val="18"/>
                    </w:rPr>
                    <w:t>ACREDITACIÓN DE LABORATORIO DE PRUEBA.</w:t>
                  </w:r>
                </w:p>
                <w:p w:rsidR="00A357E8" w:rsidRPr="005B0609" w:rsidRDefault="00A357E8" w:rsidP="00911030">
                  <w:pPr>
                    <w:jc w:val="both"/>
                    <w:rPr>
                      <w:rFonts w:asciiTheme="majorHAnsi" w:hAnsiTheme="majorHAnsi"/>
                      <w:color w:val="000000"/>
                      <w:sz w:val="18"/>
                      <w:szCs w:val="18"/>
                      <w:lang w:val="es-MX"/>
                    </w:rPr>
                  </w:pPr>
                  <w:r>
                    <w:rPr>
                      <w:rFonts w:asciiTheme="majorHAnsi" w:hAnsiTheme="majorHAnsi"/>
                      <w:color w:val="000000"/>
                      <w:sz w:val="18"/>
                      <w:szCs w:val="18"/>
                    </w:rPr>
                    <w:t>(Laboratorio de Prueba)</w:t>
                  </w:r>
                </w:p>
              </w:tc>
              <w:tc>
                <w:tcPr>
                  <w:tcW w:w="1165" w:type="dxa"/>
                  <w:shd w:val="clear" w:color="000000" w:fill="FFFFFF"/>
                  <w:noWrap/>
                  <w:vAlign w:val="center"/>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0C25DE">
                  <w:pPr>
                    <w:spacing w:line="240" w:lineRule="auto"/>
                    <w:jc w:val="center"/>
                    <w:rPr>
                      <w:rFonts w:asciiTheme="majorHAnsi" w:eastAsia="Times New Roman" w:hAnsiTheme="majorHAnsi" w:cs="Times New Roman"/>
                      <w:color w:val="000000"/>
                      <w:sz w:val="18"/>
                      <w:szCs w:val="18"/>
                      <w:lang w:eastAsia="es-MX"/>
                    </w:rPr>
                  </w:pPr>
                  <w:r w:rsidRPr="00750AAA">
                    <w:rPr>
                      <w:rFonts w:asciiTheme="majorHAnsi" w:eastAsia="Times New Roman" w:hAnsiTheme="majorHAnsi" w:cs="Times New Roman"/>
                      <w:color w:val="000000"/>
                      <w:sz w:val="18"/>
                      <w:szCs w:val="18"/>
                      <w:lang w:eastAsia="es-MX"/>
                    </w:rPr>
                    <w:t>$22,800.00</w:t>
                  </w:r>
                </w:p>
              </w:tc>
              <w:tc>
                <w:tcPr>
                  <w:tcW w:w="954" w:type="dxa"/>
                  <w:shd w:val="clear" w:color="000000" w:fill="FFFFFF"/>
                  <w:noWrap/>
                  <w:vAlign w:val="center"/>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0C25DE">
                  <w:pPr>
                    <w:spacing w:line="240" w:lineRule="auto"/>
                    <w:jc w:val="center"/>
                    <w:rPr>
                      <w:rFonts w:asciiTheme="majorHAnsi" w:eastAsia="Times New Roman" w:hAnsiTheme="majorHAnsi" w:cs="Times New Roman"/>
                      <w:color w:val="000000"/>
                      <w:sz w:val="18"/>
                      <w:szCs w:val="18"/>
                      <w:lang w:eastAsia="es-MX"/>
                    </w:rPr>
                  </w:pPr>
                  <w:r w:rsidRPr="005B0609">
                    <w:rPr>
                      <w:rFonts w:asciiTheme="majorHAnsi" w:eastAsia="Times New Roman" w:hAnsiTheme="majorHAnsi" w:cs="Times New Roman"/>
                      <w:color w:val="000000"/>
                      <w:sz w:val="18"/>
                      <w:szCs w:val="18"/>
                      <w:lang w:eastAsia="es-MX"/>
                    </w:rPr>
                    <w:t>$37,000.00</w:t>
                  </w:r>
                </w:p>
              </w:tc>
              <w:tc>
                <w:tcPr>
                  <w:tcW w:w="1220" w:type="dxa"/>
                  <w:shd w:val="clear" w:color="000000" w:fill="FFFFFF"/>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DC0680">
                  <w:pPr>
                    <w:spacing w:line="240" w:lineRule="auto"/>
                    <w:jc w:val="center"/>
                    <w:rPr>
                      <w:rFonts w:asciiTheme="majorHAnsi" w:eastAsia="Times New Roman" w:hAnsiTheme="majorHAnsi" w:cs="Times New Roman"/>
                      <w:color w:val="000000"/>
                      <w:sz w:val="18"/>
                      <w:szCs w:val="18"/>
                      <w:lang w:eastAsia="es-MX"/>
                    </w:rPr>
                  </w:pPr>
                  <w:r w:rsidRPr="005B0609">
                    <w:rPr>
                      <w:rFonts w:asciiTheme="majorHAnsi" w:eastAsia="Times New Roman" w:hAnsiTheme="majorHAnsi" w:cs="Times New Roman"/>
                      <w:color w:val="000000"/>
                      <w:sz w:val="18"/>
                      <w:szCs w:val="18"/>
                      <w:lang w:eastAsia="es-MX"/>
                    </w:rPr>
                    <w:t>$59,800.00</w:t>
                  </w:r>
                </w:p>
              </w:tc>
              <w:tc>
                <w:tcPr>
                  <w:tcW w:w="1354" w:type="dxa"/>
                  <w:shd w:val="clear" w:color="000000" w:fill="FFFFFF"/>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color w:val="000000"/>
                      <w:sz w:val="18"/>
                      <w:szCs w:val="18"/>
                      <w:lang w:eastAsia="es-MX"/>
                    </w:rPr>
                    <w:t>2 LP</w:t>
                  </w:r>
                </w:p>
              </w:tc>
              <w:tc>
                <w:tcPr>
                  <w:tcW w:w="1220" w:type="dxa"/>
                  <w:shd w:val="clear" w:color="000000" w:fill="FFFFFF"/>
                </w:tcPr>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jc w:val="center"/>
                    <w:rPr>
                      <w:rFonts w:ascii="Calibri Light" w:hAnsi="Calibri Light"/>
                      <w:color w:val="000000"/>
                      <w:sz w:val="18"/>
                      <w:szCs w:val="18"/>
                      <w:lang w:val="es-MX"/>
                    </w:rPr>
                  </w:pPr>
                  <w:r>
                    <w:rPr>
                      <w:rFonts w:ascii="Calibri Light" w:hAnsi="Calibri Light"/>
                      <w:color w:val="000000"/>
                      <w:sz w:val="18"/>
                      <w:szCs w:val="18"/>
                    </w:rPr>
                    <w:t>$119,600.00</w:t>
                  </w:r>
                </w:p>
                <w:p w:rsidR="00A357E8" w:rsidRDefault="00A357E8" w:rsidP="000C25DE">
                  <w:pPr>
                    <w:spacing w:line="240" w:lineRule="auto"/>
                    <w:jc w:val="center"/>
                    <w:rPr>
                      <w:rFonts w:asciiTheme="majorHAnsi" w:eastAsia="Times New Roman" w:hAnsiTheme="majorHAnsi" w:cs="Times New Roman"/>
                      <w:color w:val="000000"/>
                      <w:sz w:val="18"/>
                      <w:szCs w:val="18"/>
                      <w:lang w:eastAsia="es-MX"/>
                    </w:rPr>
                  </w:pPr>
                </w:p>
              </w:tc>
            </w:tr>
            <w:tr w:rsidR="00A357E8" w:rsidRPr="005B0609" w:rsidTr="00A357E8">
              <w:trPr>
                <w:trHeight w:val="300"/>
              </w:trPr>
              <w:tc>
                <w:tcPr>
                  <w:tcW w:w="393" w:type="dxa"/>
                </w:tcPr>
                <w:p w:rsidR="00A357E8" w:rsidRDefault="00A357E8" w:rsidP="00A67A05">
                  <w:pPr>
                    <w:jc w:val="center"/>
                    <w:rPr>
                      <w:rFonts w:asciiTheme="majorHAnsi" w:hAnsiTheme="majorHAnsi"/>
                      <w:color w:val="000000"/>
                      <w:sz w:val="18"/>
                      <w:szCs w:val="18"/>
                      <w:lang w:val="es-MX"/>
                    </w:rPr>
                  </w:pPr>
                </w:p>
                <w:p w:rsidR="00A357E8" w:rsidRDefault="00A357E8" w:rsidP="00A67A05">
                  <w:pPr>
                    <w:jc w:val="center"/>
                    <w:rPr>
                      <w:rFonts w:asciiTheme="majorHAnsi" w:hAnsiTheme="majorHAnsi"/>
                      <w:color w:val="000000"/>
                      <w:sz w:val="18"/>
                      <w:szCs w:val="18"/>
                      <w:lang w:val="es-MX"/>
                    </w:rPr>
                  </w:pPr>
                </w:p>
                <w:p w:rsidR="00A357E8" w:rsidRPr="005B0609" w:rsidRDefault="00A357E8" w:rsidP="00A67A05">
                  <w:pPr>
                    <w:jc w:val="center"/>
                    <w:rPr>
                      <w:rFonts w:asciiTheme="majorHAnsi" w:hAnsiTheme="majorHAnsi"/>
                      <w:color w:val="000000"/>
                      <w:sz w:val="18"/>
                      <w:szCs w:val="18"/>
                      <w:lang w:val="es-MX"/>
                    </w:rPr>
                  </w:pPr>
                  <w:r w:rsidRPr="005B0609">
                    <w:rPr>
                      <w:rFonts w:asciiTheme="majorHAnsi" w:hAnsiTheme="majorHAnsi"/>
                      <w:color w:val="000000"/>
                      <w:sz w:val="18"/>
                      <w:szCs w:val="18"/>
                      <w:lang w:val="es-MX"/>
                    </w:rPr>
                    <w:t>3</w:t>
                  </w:r>
                </w:p>
              </w:tc>
              <w:tc>
                <w:tcPr>
                  <w:tcW w:w="1419" w:type="dxa"/>
                  <w:shd w:val="clear" w:color="auto" w:fill="auto"/>
                  <w:noWrap/>
                  <w:vAlign w:val="center"/>
                </w:tcPr>
                <w:p w:rsidR="00A357E8" w:rsidRDefault="00A357E8" w:rsidP="00A67A05">
                  <w:pPr>
                    <w:rPr>
                      <w:rFonts w:asciiTheme="majorHAnsi" w:hAnsiTheme="majorHAnsi"/>
                      <w:color w:val="000000"/>
                      <w:sz w:val="18"/>
                      <w:szCs w:val="18"/>
                      <w:lang w:val="es-MX"/>
                    </w:rPr>
                  </w:pPr>
                  <w:r w:rsidRPr="005B0609">
                    <w:rPr>
                      <w:rFonts w:asciiTheme="majorHAnsi" w:hAnsiTheme="majorHAnsi"/>
                      <w:color w:val="000000"/>
                      <w:sz w:val="18"/>
                      <w:szCs w:val="18"/>
                      <w:lang w:val="es-MX"/>
                    </w:rPr>
                    <w:t>ACTUALIZACIÓN DE EQUIPO DE MEDICIÓN Y SITIO DE PRUEBAS POR EL LABORATORIO DE PRUEBA.</w:t>
                  </w:r>
                </w:p>
                <w:p w:rsidR="00A357E8" w:rsidRPr="005B0609" w:rsidRDefault="00A357E8" w:rsidP="00A67A05">
                  <w:pPr>
                    <w:rPr>
                      <w:rFonts w:asciiTheme="majorHAnsi" w:hAnsiTheme="majorHAnsi"/>
                      <w:color w:val="000000"/>
                      <w:sz w:val="18"/>
                      <w:szCs w:val="18"/>
                      <w:lang w:val="es-MX"/>
                    </w:rPr>
                  </w:pPr>
                  <w:r>
                    <w:rPr>
                      <w:rFonts w:asciiTheme="majorHAnsi" w:hAnsiTheme="majorHAnsi"/>
                      <w:color w:val="000000"/>
                      <w:sz w:val="18"/>
                      <w:szCs w:val="18"/>
                    </w:rPr>
                    <w:t>(Laboratorio de Prueba)</w:t>
                  </w:r>
                </w:p>
              </w:tc>
              <w:tc>
                <w:tcPr>
                  <w:tcW w:w="1165"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r w:rsidRPr="00750AAA">
                    <w:rPr>
                      <w:rFonts w:asciiTheme="majorHAnsi" w:eastAsia="Times New Roman" w:hAnsiTheme="majorHAnsi" w:cs="Times New Roman"/>
                      <w:color w:val="000000"/>
                      <w:sz w:val="18"/>
                      <w:szCs w:val="18"/>
                      <w:lang w:eastAsia="es-MX"/>
                    </w:rPr>
                    <w:t>$2,200.00</w:t>
                  </w:r>
                </w:p>
              </w:tc>
              <w:tc>
                <w:tcPr>
                  <w:tcW w:w="954"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r w:rsidRPr="005B0609">
                    <w:rPr>
                      <w:rFonts w:asciiTheme="majorHAnsi" w:eastAsia="Times New Roman" w:hAnsiTheme="majorHAnsi" w:cs="Times New Roman"/>
                      <w:color w:val="000000"/>
                      <w:sz w:val="18"/>
                      <w:szCs w:val="18"/>
                      <w:lang w:eastAsia="es-MX"/>
                    </w:rPr>
                    <w:t>$9,323,987.16</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r w:rsidRPr="005B0609">
                    <w:rPr>
                      <w:rFonts w:asciiTheme="majorHAnsi" w:eastAsia="Times New Roman" w:hAnsiTheme="majorHAnsi" w:cs="Times New Roman"/>
                      <w:color w:val="000000"/>
                      <w:sz w:val="18"/>
                      <w:szCs w:val="18"/>
                      <w:lang w:eastAsia="es-MX"/>
                    </w:rPr>
                    <w:t>$9,326,187.16</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color w:val="000000"/>
                      <w:sz w:val="18"/>
                      <w:szCs w:val="18"/>
                      <w:lang w:eastAsia="es-MX"/>
                    </w:rPr>
                    <w:t>2 LP</w:t>
                  </w:r>
                </w:p>
              </w:tc>
              <w:tc>
                <w:tcPr>
                  <w:tcW w:w="1220" w:type="dxa"/>
                  <w:shd w:val="clear" w:color="000000" w:fill="FFFFFF"/>
                </w:tcPr>
                <w:p w:rsidR="00A357E8" w:rsidRDefault="00A357E8" w:rsidP="00A67A05">
                  <w:pPr>
                    <w:jc w:val="center"/>
                    <w:rPr>
                      <w:rFonts w:ascii="Calibri Light" w:hAnsi="Calibri Light"/>
                      <w:color w:val="000000"/>
                      <w:sz w:val="18"/>
                      <w:szCs w:val="18"/>
                    </w:rPr>
                  </w:pPr>
                </w:p>
                <w:p w:rsidR="00A357E8" w:rsidRDefault="00A357E8" w:rsidP="00A67A05">
                  <w:pPr>
                    <w:jc w:val="center"/>
                    <w:rPr>
                      <w:rFonts w:ascii="Calibri Light" w:hAnsi="Calibri Light"/>
                      <w:color w:val="000000"/>
                      <w:sz w:val="18"/>
                      <w:szCs w:val="18"/>
                    </w:rPr>
                  </w:pPr>
                </w:p>
                <w:p w:rsidR="00A357E8" w:rsidRDefault="00A357E8" w:rsidP="00A67A05">
                  <w:pPr>
                    <w:jc w:val="center"/>
                    <w:rPr>
                      <w:rFonts w:ascii="Calibri Light" w:hAnsi="Calibri Light"/>
                      <w:color w:val="000000"/>
                      <w:sz w:val="18"/>
                      <w:szCs w:val="18"/>
                      <w:lang w:val="es-MX"/>
                    </w:rPr>
                  </w:pPr>
                  <w:r>
                    <w:rPr>
                      <w:rFonts w:ascii="Calibri Light" w:hAnsi="Calibri Light"/>
                      <w:color w:val="000000"/>
                      <w:sz w:val="18"/>
                      <w:szCs w:val="18"/>
                    </w:rPr>
                    <w:t>$18,652,374.32</w:t>
                  </w: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tc>
            </w:tr>
            <w:tr w:rsidR="00A357E8" w:rsidRPr="005B0609" w:rsidTr="00A357E8">
              <w:trPr>
                <w:trHeight w:val="1210"/>
              </w:trPr>
              <w:tc>
                <w:tcPr>
                  <w:tcW w:w="393" w:type="dxa"/>
                </w:tcPr>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Pr="005B0609" w:rsidRDefault="00A357E8" w:rsidP="00A67A05">
                  <w:pPr>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4</w:t>
                  </w:r>
                </w:p>
              </w:tc>
              <w:tc>
                <w:tcPr>
                  <w:tcW w:w="1419" w:type="dxa"/>
                  <w:shd w:val="clear" w:color="auto" w:fill="auto"/>
                  <w:noWrap/>
                  <w:vAlign w:val="center"/>
                </w:tcPr>
                <w:p w:rsidR="00A357E8" w:rsidRPr="00C323D5" w:rsidRDefault="00A357E8" w:rsidP="00A67A05">
                  <w:pPr>
                    <w:jc w:val="both"/>
                    <w:rPr>
                      <w:rFonts w:asciiTheme="majorHAnsi" w:eastAsia="Times New Roman" w:hAnsiTheme="majorHAnsi" w:cs="Arial"/>
                      <w:sz w:val="18"/>
                      <w:szCs w:val="18"/>
                      <w:lang w:eastAsia="es-ES"/>
                    </w:rPr>
                  </w:pPr>
                  <w:r w:rsidRPr="00C323D5">
                    <w:rPr>
                      <w:rFonts w:asciiTheme="majorHAnsi" w:eastAsia="Times New Roman" w:hAnsiTheme="majorHAnsi" w:cs="Arial"/>
                      <w:sz w:val="18"/>
                      <w:szCs w:val="18"/>
                      <w:lang w:eastAsia="es-ES"/>
                    </w:rPr>
                    <w:t>SOLICITUD DE CERTIFICADO DE HOMOLOGACIÓN.</w:t>
                  </w:r>
                </w:p>
                <w:p w:rsidR="00A357E8" w:rsidRPr="00C323D5" w:rsidRDefault="00A357E8" w:rsidP="00A67A05">
                  <w:pPr>
                    <w:jc w:val="both"/>
                    <w:rPr>
                      <w:rFonts w:asciiTheme="majorHAnsi" w:eastAsia="Times New Roman" w:hAnsiTheme="majorHAnsi" w:cs="Arial"/>
                      <w:sz w:val="18"/>
                      <w:szCs w:val="18"/>
                      <w:lang w:eastAsia="es-ES"/>
                    </w:rPr>
                  </w:pPr>
                  <w:r w:rsidRPr="00C323D5">
                    <w:rPr>
                      <w:rFonts w:asciiTheme="majorHAnsi" w:hAnsiTheme="majorHAnsi"/>
                      <w:color w:val="000000"/>
                      <w:sz w:val="18"/>
                      <w:szCs w:val="18"/>
                    </w:rPr>
                    <w:t>(</w:t>
                  </w:r>
                  <w:r w:rsidRPr="00C323D5">
                    <w:rPr>
                      <w:rFonts w:asciiTheme="majorHAnsi" w:eastAsia="Times New Roman" w:hAnsiTheme="majorHAnsi" w:cs="Arial"/>
                      <w:sz w:val="18"/>
                      <w:szCs w:val="18"/>
                      <w:lang w:eastAsia="es-ES"/>
                    </w:rPr>
                    <w:t>Solicitantes del Certificado de Homologación)</w:t>
                  </w:r>
                  <w:r w:rsidRPr="00C323D5">
                    <w:rPr>
                      <w:rFonts w:asciiTheme="majorHAnsi" w:hAnsiTheme="majorHAnsi"/>
                      <w:color w:val="000000"/>
                      <w:sz w:val="18"/>
                      <w:szCs w:val="18"/>
                    </w:rPr>
                    <w:t>.</w:t>
                  </w:r>
                </w:p>
              </w:tc>
              <w:tc>
                <w:tcPr>
                  <w:tcW w:w="1165" w:type="dxa"/>
                  <w:shd w:val="clear" w:color="000000" w:fill="FFFFFF"/>
                  <w:noWrap/>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750AAA">
                    <w:rPr>
                      <w:rFonts w:asciiTheme="majorHAnsi" w:eastAsia="Times New Roman" w:hAnsiTheme="majorHAnsi" w:cs="Arial"/>
                      <w:sz w:val="18"/>
                      <w:szCs w:val="18"/>
                      <w:lang w:eastAsia="es-ES"/>
                    </w:rPr>
                    <w:t>$1,200.00</w:t>
                  </w:r>
                </w:p>
              </w:tc>
              <w:tc>
                <w:tcPr>
                  <w:tcW w:w="954" w:type="dxa"/>
                  <w:shd w:val="clear" w:color="000000" w:fill="FFFFFF"/>
                  <w:noWrap/>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C323D5">
                    <w:rPr>
                      <w:rFonts w:asciiTheme="majorHAnsi" w:eastAsia="Times New Roman" w:hAnsiTheme="majorHAnsi" w:cs="Arial"/>
                      <w:sz w:val="18"/>
                      <w:szCs w:val="18"/>
                      <w:lang w:eastAsia="es-ES"/>
                    </w:rPr>
                    <w:t xml:space="preserve">$2,296.00 </w:t>
                  </w:r>
                </w:p>
              </w:tc>
              <w:tc>
                <w:tcPr>
                  <w:tcW w:w="1220" w:type="dxa"/>
                  <w:shd w:val="clear" w:color="000000" w:fill="FFFFFF"/>
                </w:tcPr>
                <w:p w:rsidR="00A357E8" w:rsidRPr="00C323D5"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C323D5">
                    <w:rPr>
                      <w:rFonts w:asciiTheme="majorHAnsi" w:eastAsia="Times New Roman" w:hAnsiTheme="majorHAnsi" w:cs="Arial"/>
                      <w:sz w:val="18"/>
                      <w:szCs w:val="18"/>
                      <w:lang w:eastAsia="es-ES"/>
                    </w:rPr>
                    <w:t>$3,496.00</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C323D5"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632 Solicitudes</w:t>
                  </w:r>
                </w:p>
              </w:tc>
              <w:tc>
                <w:tcPr>
                  <w:tcW w:w="1220" w:type="dxa"/>
                  <w:shd w:val="clear" w:color="000000" w:fill="FFFFFF"/>
                </w:tcPr>
                <w:p w:rsidR="00A357E8" w:rsidRDefault="00A357E8" w:rsidP="00A67A05">
                  <w:pPr>
                    <w:jc w:val="center"/>
                    <w:rPr>
                      <w:rFonts w:ascii="Calibri Light" w:hAnsi="Calibri Light"/>
                      <w:color w:val="000000"/>
                      <w:sz w:val="18"/>
                      <w:szCs w:val="18"/>
                    </w:rPr>
                  </w:pPr>
                </w:p>
                <w:p w:rsidR="00A357E8" w:rsidRDefault="00A357E8" w:rsidP="00A67A05">
                  <w:pPr>
                    <w:jc w:val="center"/>
                    <w:rPr>
                      <w:rFonts w:ascii="Calibri Light" w:hAnsi="Calibri Light"/>
                      <w:color w:val="000000"/>
                      <w:sz w:val="18"/>
                      <w:szCs w:val="18"/>
                    </w:rPr>
                  </w:pPr>
                </w:p>
                <w:p w:rsidR="00A357E8" w:rsidRDefault="00A357E8" w:rsidP="00A67A05">
                  <w:pPr>
                    <w:jc w:val="center"/>
                    <w:rPr>
                      <w:rFonts w:ascii="Calibri Light" w:hAnsi="Calibri Light"/>
                      <w:color w:val="000000"/>
                      <w:sz w:val="18"/>
                      <w:szCs w:val="18"/>
                      <w:lang w:val="es-MX"/>
                    </w:rPr>
                  </w:pPr>
                  <w:r>
                    <w:rPr>
                      <w:rFonts w:ascii="Calibri Light" w:hAnsi="Calibri Light"/>
                      <w:color w:val="000000"/>
                      <w:sz w:val="18"/>
                      <w:szCs w:val="18"/>
                    </w:rPr>
                    <w:t>$2,209,472.00</w:t>
                  </w:r>
                </w:p>
                <w:p w:rsidR="00A357E8" w:rsidRPr="00C323D5" w:rsidRDefault="00A357E8" w:rsidP="00A67A05">
                  <w:pPr>
                    <w:spacing w:line="240" w:lineRule="auto"/>
                    <w:jc w:val="center"/>
                    <w:rPr>
                      <w:rFonts w:asciiTheme="majorHAnsi" w:eastAsia="Times New Roman" w:hAnsiTheme="majorHAnsi" w:cs="Arial"/>
                      <w:sz w:val="18"/>
                      <w:szCs w:val="18"/>
                      <w:lang w:eastAsia="es-ES"/>
                    </w:rPr>
                  </w:pPr>
                </w:p>
              </w:tc>
            </w:tr>
            <w:tr w:rsidR="00A357E8" w:rsidRPr="005B0609" w:rsidTr="00A357E8">
              <w:trPr>
                <w:trHeight w:val="1210"/>
              </w:trPr>
              <w:tc>
                <w:tcPr>
                  <w:tcW w:w="393" w:type="dxa"/>
                </w:tcPr>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5</w:t>
                  </w:r>
                </w:p>
              </w:tc>
              <w:tc>
                <w:tcPr>
                  <w:tcW w:w="1419" w:type="dxa"/>
                  <w:shd w:val="clear" w:color="auto" w:fill="auto"/>
                  <w:noWrap/>
                  <w:vAlign w:val="center"/>
                </w:tcPr>
                <w:p w:rsidR="00A357E8" w:rsidRDefault="00A357E8" w:rsidP="00A67A05">
                  <w:pPr>
                    <w:jc w:val="both"/>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SOLICITUD CERTIFICADO DE HOMOLOGACIÓN POR PERITO.</w:t>
                  </w:r>
                </w:p>
                <w:p w:rsidR="00A357E8" w:rsidRPr="00560196" w:rsidRDefault="00A357E8" w:rsidP="00A67A05">
                  <w:pPr>
                    <w:jc w:val="both"/>
                    <w:rPr>
                      <w:rFonts w:asciiTheme="majorHAnsi" w:eastAsia="Times New Roman" w:hAnsiTheme="majorHAnsi" w:cs="Arial"/>
                      <w:sz w:val="18"/>
                      <w:szCs w:val="18"/>
                      <w:lang w:eastAsia="es-ES"/>
                    </w:rPr>
                  </w:pPr>
                  <w:r w:rsidRPr="00C323D5">
                    <w:rPr>
                      <w:rFonts w:asciiTheme="majorHAnsi" w:hAnsiTheme="majorHAnsi"/>
                      <w:color w:val="000000"/>
                      <w:sz w:val="18"/>
                      <w:szCs w:val="18"/>
                    </w:rPr>
                    <w:t>(</w:t>
                  </w:r>
                  <w:r w:rsidRPr="00C323D5">
                    <w:rPr>
                      <w:rFonts w:asciiTheme="majorHAnsi" w:eastAsia="Times New Roman" w:hAnsiTheme="majorHAnsi" w:cs="Arial"/>
                      <w:sz w:val="18"/>
                      <w:szCs w:val="18"/>
                      <w:lang w:eastAsia="es-ES"/>
                    </w:rPr>
                    <w:t>Solicitantes del Certificado de Homologación)</w:t>
                  </w:r>
                  <w:r w:rsidRPr="00C323D5">
                    <w:rPr>
                      <w:rFonts w:asciiTheme="majorHAnsi" w:hAnsiTheme="majorHAnsi"/>
                      <w:color w:val="000000"/>
                      <w:sz w:val="18"/>
                      <w:szCs w:val="18"/>
                    </w:rPr>
                    <w:t>.</w:t>
                  </w:r>
                </w:p>
              </w:tc>
              <w:tc>
                <w:tcPr>
                  <w:tcW w:w="1165" w:type="dxa"/>
                  <w:shd w:val="clear" w:color="000000" w:fill="FFFFFF"/>
                  <w:noWrap/>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750AAA">
                    <w:rPr>
                      <w:rFonts w:asciiTheme="majorHAnsi" w:eastAsia="Times New Roman" w:hAnsiTheme="majorHAnsi" w:cs="Arial"/>
                      <w:sz w:val="18"/>
                      <w:szCs w:val="18"/>
                      <w:lang w:eastAsia="es-ES"/>
                    </w:rPr>
                    <w:t>$10,200.00</w:t>
                  </w:r>
                </w:p>
              </w:tc>
              <w:tc>
                <w:tcPr>
                  <w:tcW w:w="954" w:type="dxa"/>
                  <w:shd w:val="clear" w:color="000000" w:fill="FFFFFF"/>
                  <w:noWrap/>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C323D5">
                    <w:rPr>
                      <w:rFonts w:asciiTheme="majorHAnsi" w:eastAsia="Times New Roman" w:hAnsiTheme="majorHAnsi" w:cs="Arial"/>
                      <w:sz w:val="18"/>
                      <w:szCs w:val="18"/>
                      <w:lang w:eastAsia="es-ES"/>
                    </w:rPr>
                    <w:t>$</w:t>
                  </w:r>
                  <w:r>
                    <w:rPr>
                      <w:rFonts w:asciiTheme="majorHAnsi" w:eastAsia="Times New Roman" w:hAnsiTheme="majorHAnsi" w:cs="Arial"/>
                      <w:sz w:val="18"/>
                      <w:szCs w:val="18"/>
                      <w:lang w:eastAsia="es-ES"/>
                    </w:rPr>
                    <w:t>15</w:t>
                  </w:r>
                  <w:r w:rsidRPr="00C323D5">
                    <w:rPr>
                      <w:rFonts w:asciiTheme="majorHAnsi" w:eastAsia="Times New Roman" w:hAnsiTheme="majorHAnsi" w:cs="Arial"/>
                      <w:sz w:val="18"/>
                      <w:szCs w:val="18"/>
                      <w:lang w:eastAsia="es-ES"/>
                    </w:rPr>
                    <w:t>,</w:t>
                  </w:r>
                  <w:r>
                    <w:rPr>
                      <w:rFonts w:asciiTheme="majorHAnsi" w:eastAsia="Times New Roman" w:hAnsiTheme="majorHAnsi" w:cs="Arial"/>
                      <w:sz w:val="18"/>
                      <w:szCs w:val="18"/>
                      <w:lang w:eastAsia="es-ES"/>
                    </w:rPr>
                    <w:t>000.</w:t>
                  </w:r>
                  <w:r w:rsidRPr="00C323D5">
                    <w:rPr>
                      <w:rFonts w:asciiTheme="majorHAnsi" w:eastAsia="Times New Roman" w:hAnsiTheme="majorHAnsi" w:cs="Arial"/>
                      <w:sz w:val="18"/>
                      <w:szCs w:val="18"/>
                      <w:lang w:eastAsia="es-ES"/>
                    </w:rPr>
                    <w:t>00</w:t>
                  </w:r>
                </w:p>
              </w:tc>
              <w:tc>
                <w:tcPr>
                  <w:tcW w:w="1220" w:type="dxa"/>
                  <w:shd w:val="clear" w:color="000000" w:fill="FFFFFF"/>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$25,200.00</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632 Solicitudes</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$15,926,400.00</w:t>
                  </w:r>
                </w:p>
              </w:tc>
            </w:tr>
            <w:tr w:rsidR="00A357E8" w:rsidRPr="005B0609" w:rsidTr="00A357E8">
              <w:trPr>
                <w:trHeight w:val="706"/>
              </w:trPr>
              <w:tc>
                <w:tcPr>
                  <w:tcW w:w="393" w:type="dxa"/>
                </w:tcPr>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6</w:t>
                  </w:r>
                </w:p>
              </w:tc>
              <w:tc>
                <w:tcPr>
                  <w:tcW w:w="1419" w:type="dxa"/>
                  <w:shd w:val="clear" w:color="auto" w:fill="auto"/>
                  <w:noWrap/>
                  <w:vAlign w:val="center"/>
                </w:tcPr>
                <w:p w:rsidR="00A357E8" w:rsidRDefault="00A357E8" w:rsidP="00A67A05">
                  <w:pPr>
                    <w:jc w:val="both"/>
                    <w:rPr>
                      <w:rFonts w:asciiTheme="majorHAnsi" w:eastAsia="Times New Roman" w:hAnsiTheme="majorHAnsi" w:cs="Arial"/>
                      <w:sz w:val="18"/>
                      <w:szCs w:val="18"/>
                      <w:lang w:eastAsia="es-ES"/>
                    </w:rPr>
                  </w:pPr>
                  <w:r w:rsidRPr="00560196">
                    <w:rPr>
                      <w:rFonts w:asciiTheme="majorHAnsi" w:eastAsia="Times New Roman" w:hAnsiTheme="majorHAnsi" w:cs="Arial"/>
                      <w:sz w:val="18"/>
                      <w:szCs w:val="18"/>
                      <w:lang w:eastAsia="es-ES"/>
                    </w:rPr>
                    <w:t>SOLICITUD DEL CERTIFICADO DE CONFORMIDAD</w:t>
                  </w:r>
                  <w:r>
                    <w:rPr>
                      <w:rFonts w:asciiTheme="majorHAnsi" w:eastAsia="Times New Roman" w:hAnsiTheme="majorHAnsi" w:cs="Arial"/>
                      <w:sz w:val="18"/>
                      <w:szCs w:val="18"/>
                      <w:lang w:eastAsia="es-ES"/>
                    </w:rPr>
                    <w:t>.</w:t>
                  </w:r>
                </w:p>
                <w:p w:rsidR="00A357E8" w:rsidRPr="00C323D5" w:rsidRDefault="00A357E8" w:rsidP="00A67A05">
                  <w:pPr>
                    <w:jc w:val="both"/>
                    <w:rPr>
                      <w:rFonts w:asciiTheme="majorHAnsi" w:eastAsia="Times New Roman" w:hAnsiTheme="majorHAnsi" w:cs="Arial"/>
                      <w:sz w:val="18"/>
                      <w:szCs w:val="18"/>
                      <w:lang w:eastAsia="es-ES"/>
                    </w:rPr>
                  </w:pPr>
                  <w:r w:rsidRPr="00C323D5">
                    <w:rPr>
                      <w:rFonts w:asciiTheme="majorHAnsi" w:hAnsiTheme="majorHAnsi"/>
                      <w:color w:val="000000"/>
                      <w:sz w:val="18"/>
                      <w:szCs w:val="18"/>
                    </w:rPr>
                    <w:t>(</w:t>
                  </w:r>
                  <w:r w:rsidRPr="00C323D5">
                    <w:rPr>
                      <w:rFonts w:asciiTheme="majorHAnsi" w:eastAsia="Times New Roman" w:hAnsiTheme="majorHAnsi" w:cs="Arial"/>
                      <w:sz w:val="18"/>
                      <w:szCs w:val="18"/>
                      <w:lang w:eastAsia="es-ES"/>
                    </w:rPr>
                    <w:t xml:space="preserve">Solicitantes del Certificado de </w:t>
                  </w:r>
                  <w:r>
                    <w:rPr>
                      <w:rFonts w:asciiTheme="majorHAnsi" w:eastAsia="Times New Roman" w:hAnsiTheme="majorHAnsi" w:cs="Arial"/>
                      <w:sz w:val="18"/>
                      <w:szCs w:val="18"/>
                      <w:lang w:eastAsia="es-ES"/>
                    </w:rPr>
                    <w:t>Conformidad</w:t>
                  </w:r>
                  <w:r w:rsidRPr="00C323D5">
                    <w:rPr>
                      <w:rFonts w:asciiTheme="majorHAnsi" w:eastAsia="Times New Roman" w:hAnsiTheme="majorHAnsi" w:cs="Arial"/>
                      <w:sz w:val="18"/>
                      <w:szCs w:val="18"/>
                      <w:lang w:eastAsia="es-ES"/>
                    </w:rPr>
                    <w:t>)</w:t>
                  </w:r>
                  <w:r w:rsidRPr="00C323D5">
                    <w:rPr>
                      <w:rFonts w:asciiTheme="majorHAnsi" w:hAnsiTheme="majorHAnsi"/>
                      <w:color w:val="000000"/>
                      <w:sz w:val="18"/>
                      <w:szCs w:val="18"/>
                    </w:rPr>
                    <w:t>.</w:t>
                  </w:r>
                </w:p>
              </w:tc>
              <w:tc>
                <w:tcPr>
                  <w:tcW w:w="1165" w:type="dxa"/>
                  <w:shd w:val="clear" w:color="000000" w:fill="FFFFFF"/>
                  <w:noWrap/>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C323D5">
                    <w:rPr>
                      <w:rFonts w:asciiTheme="majorHAnsi" w:eastAsia="Times New Roman" w:hAnsiTheme="majorHAnsi" w:cs="Arial"/>
                      <w:sz w:val="18"/>
                      <w:szCs w:val="18"/>
                      <w:lang w:eastAsia="es-ES"/>
                    </w:rPr>
                    <w:t>$1,200.00</w:t>
                  </w:r>
                </w:p>
              </w:tc>
              <w:tc>
                <w:tcPr>
                  <w:tcW w:w="954" w:type="dxa"/>
                  <w:shd w:val="clear" w:color="000000" w:fill="FFFFFF"/>
                  <w:noWrap/>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C323D5">
                    <w:rPr>
                      <w:rFonts w:asciiTheme="majorHAnsi" w:eastAsia="Times New Roman" w:hAnsiTheme="majorHAnsi" w:cs="Arial"/>
                      <w:sz w:val="18"/>
                      <w:szCs w:val="18"/>
                      <w:lang w:eastAsia="es-ES"/>
                    </w:rPr>
                    <w:t>$</w:t>
                  </w:r>
                  <w:r>
                    <w:rPr>
                      <w:rFonts w:asciiTheme="majorHAnsi" w:eastAsia="Times New Roman" w:hAnsiTheme="majorHAnsi" w:cs="Arial"/>
                      <w:sz w:val="18"/>
                      <w:szCs w:val="18"/>
                      <w:lang w:eastAsia="es-ES"/>
                    </w:rPr>
                    <w:t>7</w:t>
                  </w:r>
                  <w:r w:rsidRPr="00C323D5">
                    <w:rPr>
                      <w:rFonts w:asciiTheme="majorHAnsi" w:eastAsia="Times New Roman" w:hAnsiTheme="majorHAnsi" w:cs="Arial"/>
                      <w:sz w:val="18"/>
                      <w:szCs w:val="18"/>
                      <w:lang w:eastAsia="es-ES"/>
                    </w:rPr>
                    <w:t>,</w:t>
                  </w:r>
                  <w:r>
                    <w:rPr>
                      <w:rFonts w:asciiTheme="majorHAnsi" w:eastAsia="Times New Roman" w:hAnsiTheme="majorHAnsi" w:cs="Arial"/>
                      <w:sz w:val="18"/>
                      <w:szCs w:val="18"/>
                      <w:lang w:eastAsia="es-ES"/>
                    </w:rPr>
                    <w:t>000.</w:t>
                  </w:r>
                  <w:r w:rsidRPr="00C323D5">
                    <w:rPr>
                      <w:rFonts w:asciiTheme="majorHAnsi" w:eastAsia="Times New Roman" w:hAnsiTheme="majorHAnsi" w:cs="Arial"/>
                      <w:sz w:val="18"/>
                      <w:szCs w:val="18"/>
                      <w:lang w:eastAsia="es-ES"/>
                    </w:rPr>
                    <w:t xml:space="preserve">00 </w:t>
                  </w:r>
                </w:p>
              </w:tc>
              <w:tc>
                <w:tcPr>
                  <w:tcW w:w="1220" w:type="dxa"/>
                  <w:shd w:val="clear" w:color="000000" w:fill="FFFFFF"/>
                  <w:vAlign w:val="center"/>
                </w:tcPr>
                <w:p w:rsidR="00A357E8" w:rsidRPr="00C323D5"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$8,200.00</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C323D5"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632 Solicitudes</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C323D5" w:rsidRDefault="00A357E8" w:rsidP="00A67A05">
                  <w:pPr>
                    <w:spacing w:line="240" w:lineRule="auto"/>
                    <w:jc w:val="center"/>
                    <w:rPr>
                      <w:rFonts w:asciiTheme="majorHAnsi" w:eastAsia="Times New Roman" w:hAnsiTheme="majorHAnsi" w:cs="Arial"/>
                      <w:sz w:val="18"/>
                      <w:szCs w:val="18"/>
                      <w:lang w:eastAsia="es-ES"/>
                    </w:rPr>
                  </w:pPr>
                  <w:r w:rsidRPr="00C323D5">
                    <w:rPr>
                      <w:rFonts w:asciiTheme="majorHAnsi" w:eastAsia="Times New Roman" w:hAnsiTheme="majorHAnsi" w:cs="Arial"/>
                      <w:sz w:val="18"/>
                      <w:szCs w:val="18"/>
                      <w:lang w:eastAsia="es-ES"/>
                    </w:rPr>
                    <w:t>$</w:t>
                  </w:r>
                  <w:r>
                    <w:rPr>
                      <w:rFonts w:asciiTheme="majorHAnsi" w:eastAsia="Times New Roman" w:hAnsiTheme="majorHAnsi" w:cs="Arial"/>
                      <w:sz w:val="18"/>
                      <w:szCs w:val="18"/>
                      <w:lang w:eastAsia="es-ES"/>
                    </w:rPr>
                    <w:t>5</w:t>
                  </w:r>
                  <w:r w:rsidRPr="00C323D5">
                    <w:rPr>
                      <w:rFonts w:asciiTheme="majorHAnsi" w:eastAsia="Times New Roman" w:hAnsiTheme="majorHAnsi" w:cs="Arial"/>
                      <w:sz w:val="18"/>
                      <w:szCs w:val="18"/>
                      <w:lang w:eastAsia="es-ES"/>
                    </w:rPr>
                    <w:t>,</w:t>
                  </w:r>
                  <w:r>
                    <w:rPr>
                      <w:rFonts w:asciiTheme="majorHAnsi" w:eastAsia="Times New Roman" w:hAnsiTheme="majorHAnsi" w:cs="Arial"/>
                      <w:sz w:val="18"/>
                      <w:szCs w:val="18"/>
                      <w:lang w:eastAsia="es-ES"/>
                    </w:rPr>
                    <w:t>182,400.</w:t>
                  </w:r>
                  <w:r w:rsidRPr="00C323D5">
                    <w:rPr>
                      <w:rFonts w:asciiTheme="majorHAnsi" w:eastAsia="Times New Roman" w:hAnsiTheme="majorHAnsi" w:cs="Arial"/>
                      <w:sz w:val="18"/>
                      <w:szCs w:val="18"/>
                      <w:lang w:eastAsia="es-ES"/>
                    </w:rPr>
                    <w:t>00</w:t>
                  </w:r>
                </w:p>
              </w:tc>
            </w:tr>
            <w:tr w:rsidR="00A357E8" w:rsidRPr="005B0609" w:rsidTr="00A357E8">
              <w:trPr>
                <w:trHeight w:val="1210"/>
              </w:trPr>
              <w:tc>
                <w:tcPr>
                  <w:tcW w:w="393" w:type="dxa"/>
                </w:tcPr>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Pr="005B0609" w:rsidRDefault="00A357E8" w:rsidP="00A67A05">
                  <w:pPr>
                    <w:jc w:val="center"/>
                    <w:rPr>
                      <w:rFonts w:asciiTheme="majorHAnsi" w:hAnsiTheme="majorHAnsi"/>
                      <w:color w:val="000000"/>
                      <w:sz w:val="18"/>
                      <w:szCs w:val="18"/>
                    </w:rPr>
                  </w:pPr>
                  <w:r>
                    <w:rPr>
                      <w:rFonts w:asciiTheme="majorHAnsi" w:hAnsiTheme="majorHAnsi"/>
                      <w:color w:val="000000"/>
                      <w:sz w:val="18"/>
                      <w:szCs w:val="18"/>
                    </w:rPr>
                    <w:t>7</w:t>
                  </w:r>
                </w:p>
              </w:tc>
              <w:tc>
                <w:tcPr>
                  <w:tcW w:w="1419" w:type="dxa"/>
                  <w:shd w:val="clear" w:color="auto" w:fill="auto"/>
                  <w:noWrap/>
                  <w:vAlign w:val="center"/>
                </w:tcPr>
                <w:p w:rsidR="00A357E8" w:rsidRPr="005B0609" w:rsidRDefault="00A357E8" w:rsidP="00A67A05">
                  <w:pPr>
                    <w:jc w:val="both"/>
                    <w:rPr>
                      <w:rFonts w:asciiTheme="majorHAnsi" w:eastAsia="Times New Roman" w:hAnsiTheme="majorHAnsi" w:cs="Arial"/>
                      <w:sz w:val="18"/>
                      <w:szCs w:val="18"/>
                      <w:lang w:eastAsia="es-ES"/>
                    </w:rPr>
                  </w:pPr>
                  <w:r w:rsidRPr="005B0609">
                    <w:rPr>
                      <w:rFonts w:asciiTheme="majorHAnsi" w:hAnsiTheme="majorHAnsi"/>
                      <w:color w:val="000000"/>
                      <w:sz w:val="18"/>
                      <w:szCs w:val="18"/>
                    </w:rPr>
                    <w:t>REALIZACIÓN DE VISITAS DE VIGILANCIA DE CUMPLIMIENTO DE LA CERTIFICACIÓN</w:t>
                  </w:r>
                  <w:r>
                    <w:rPr>
                      <w:rFonts w:asciiTheme="majorHAnsi" w:hAnsiTheme="majorHAnsi"/>
                      <w:color w:val="000000"/>
                      <w:sz w:val="18"/>
                      <w:szCs w:val="18"/>
                    </w:rPr>
                    <w:t>, QUE</w:t>
                  </w:r>
                  <w:r w:rsidRPr="005B0609">
                    <w:rPr>
                      <w:rFonts w:asciiTheme="majorHAnsi" w:hAnsiTheme="majorHAnsi"/>
                      <w:color w:val="000000"/>
                      <w:sz w:val="18"/>
                      <w:szCs w:val="18"/>
                    </w:rPr>
                    <w:t xml:space="preserve"> INCLUYE INFORME DE VISITA DEL CUMPLIMIENTO DE LA VIGILANCIA DEL CUMPLIMIENTO DE LA CERTIFICACIÓN. (</w:t>
                  </w:r>
                  <w:r w:rsidRPr="005B0609">
                    <w:rPr>
                      <w:rFonts w:asciiTheme="majorHAnsi" w:eastAsia="Times New Roman" w:hAnsiTheme="majorHAnsi" w:cs="Arial"/>
                      <w:sz w:val="18"/>
                      <w:szCs w:val="18"/>
                      <w:lang w:eastAsia="es-ES"/>
                    </w:rPr>
                    <w:t>Fabricantes de Equipos Terminales Móviles/Solicitantes del Certificado de Homologación)</w:t>
                  </w:r>
                  <w:r w:rsidRPr="005B0609">
                    <w:rPr>
                      <w:rFonts w:asciiTheme="majorHAnsi" w:hAnsiTheme="majorHAnsi"/>
                      <w:color w:val="000000"/>
                      <w:sz w:val="18"/>
                      <w:szCs w:val="18"/>
                    </w:rPr>
                    <w:t>.</w:t>
                  </w:r>
                </w:p>
              </w:tc>
              <w:tc>
                <w:tcPr>
                  <w:tcW w:w="1165"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750AAA">
                    <w:rPr>
                      <w:rFonts w:asciiTheme="majorHAnsi" w:eastAsia="Times New Roman" w:hAnsiTheme="majorHAnsi" w:cs="Times New Roman"/>
                      <w:color w:val="000000"/>
                      <w:sz w:val="18"/>
                      <w:szCs w:val="18"/>
                      <w:lang w:eastAsia="es-MX"/>
                    </w:rPr>
                    <w:t>$1,450.00</w:t>
                  </w:r>
                </w:p>
              </w:tc>
              <w:tc>
                <w:tcPr>
                  <w:tcW w:w="954"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Times New Roman"/>
                      <w:color w:val="000000"/>
                      <w:sz w:val="18"/>
                      <w:szCs w:val="18"/>
                      <w:lang w:eastAsia="es-MX"/>
                    </w:rPr>
                    <w:t>$3,080.00</w:t>
                  </w:r>
                  <w:r w:rsidRPr="005B0609">
                    <w:rPr>
                      <w:rFonts w:asciiTheme="majorHAnsi" w:eastAsia="Times New Roman" w:hAnsiTheme="majorHAnsi" w:cs="Times New Roman"/>
                      <w:b/>
                      <w:color w:val="000000"/>
                      <w:sz w:val="18"/>
                      <w:szCs w:val="18"/>
                      <w:lang w:eastAsia="es-MX"/>
                    </w:rPr>
                    <w:t>*</w:t>
                  </w:r>
                </w:p>
              </w:tc>
              <w:tc>
                <w:tcPr>
                  <w:tcW w:w="1220" w:type="dxa"/>
                  <w:shd w:val="clear" w:color="000000" w:fill="FFFFFF"/>
                </w:tcPr>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Times New Roman"/>
                      <w:color w:val="000000"/>
                      <w:sz w:val="18"/>
                      <w:szCs w:val="18"/>
                      <w:lang w:eastAsia="es-MX"/>
                    </w:rPr>
                    <w:t>$4,530.00</w:t>
                  </w:r>
                </w:p>
              </w:tc>
              <w:tc>
                <w:tcPr>
                  <w:tcW w:w="1354" w:type="dxa"/>
                  <w:shd w:val="clear" w:color="000000" w:fill="FFFFFF"/>
                </w:tcPr>
                <w:p w:rsidR="00A357E8" w:rsidRDefault="00A357E8" w:rsidP="00EA27F7">
                  <w:pPr>
                    <w:spacing w:line="240" w:lineRule="auto"/>
                    <w:jc w:val="center"/>
                    <w:rPr>
                      <w:rFonts w:asciiTheme="majorHAnsi" w:eastAsia="Times New Roman" w:hAnsiTheme="majorHAnsi" w:cs="Times New Roman"/>
                      <w:color w:val="000000"/>
                      <w:sz w:val="18"/>
                      <w:szCs w:val="18"/>
                      <w:lang w:eastAsia="es-MX"/>
                    </w:rPr>
                  </w:pPr>
                </w:p>
                <w:p w:rsidR="00A357E8" w:rsidRPr="00C855C3" w:rsidRDefault="00A357E8" w:rsidP="00C855C3">
                  <w:pPr>
                    <w:jc w:val="center"/>
                    <w:rPr>
                      <w:rFonts w:asciiTheme="majorHAnsi" w:eastAsia="Times New Roman" w:hAnsiTheme="majorHAnsi" w:cs="Times New Roman"/>
                      <w:sz w:val="18"/>
                      <w:szCs w:val="18"/>
                      <w:lang w:eastAsia="es-MX"/>
                    </w:rPr>
                  </w:pPr>
                </w:p>
                <w:p w:rsidR="00A357E8" w:rsidRPr="00C855C3" w:rsidRDefault="00A357E8" w:rsidP="00C855C3">
                  <w:pPr>
                    <w:jc w:val="center"/>
                    <w:rPr>
                      <w:rFonts w:asciiTheme="majorHAnsi" w:eastAsia="Times New Roman" w:hAnsiTheme="majorHAnsi" w:cs="Times New Roman"/>
                      <w:sz w:val="18"/>
                      <w:szCs w:val="18"/>
                      <w:lang w:eastAsia="es-MX"/>
                    </w:rPr>
                  </w:pPr>
                </w:p>
                <w:p w:rsidR="00A357E8" w:rsidRPr="00C855C3" w:rsidRDefault="00A357E8" w:rsidP="00C855C3">
                  <w:pPr>
                    <w:jc w:val="center"/>
                    <w:rPr>
                      <w:rFonts w:asciiTheme="majorHAnsi" w:eastAsia="Times New Roman" w:hAnsiTheme="majorHAnsi" w:cs="Times New Roman"/>
                      <w:sz w:val="18"/>
                      <w:szCs w:val="18"/>
                      <w:lang w:eastAsia="es-MX"/>
                    </w:rPr>
                  </w:pPr>
                </w:p>
                <w:p w:rsidR="00A357E8" w:rsidRDefault="00A357E8" w:rsidP="00C855C3">
                  <w:pPr>
                    <w:jc w:val="center"/>
                    <w:rPr>
                      <w:rFonts w:asciiTheme="majorHAnsi" w:eastAsia="Times New Roman" w:hAnsiTheme="majorHAnsi" w:cs="Times New Roman"/>
                      <w:sz w:val="18"/>
                      <w:szCs w:val="18"/>
                      <w:lang w:eastAsia="es-MX"/>
                    </w:rPr>
                  </w:pPr>
                </w:p>
                <w:p w:rsidR="00A357E8" w:rsidRDefault="00A357E8" w:rsidP="00C855C3">
                  <w:pPr>
                    <w:tabs>
                      <w:tab w:val="left" w:pos="424"/>
                    </w:tabs>
                    <w:jc w:val="center"/>
                    <w:rPr>
                      <w:rFonts w:asciiTheme="majorHAnsi" w:eastAsia="Times New Roman" w:hAnsiTheme="majorHAnsi" w:cs="Times New Roman"/>
                      <w:sz w:val="18"/>
                      <w:szCs w:val="18"/>
                      <w:lang w:eastAsia="es-MX"/>
                    </w:rPr>
                  </w:pPr>
                </w:p>
                <w:p w:rsidR="00A357E8" w:rsidRDefault="00A357E8" w:rsidP="00C855C3">
                  <w:pPr>
                    <w:tabs>
                      <w:tab w:val="left" w:pos="424"/>
                    </w:tabs>
                    <w:jc w:val="center"/>
                    <w:rPr>
                      <w:rFonts w:asciiTheme="majorHAnsi" w:eastAsia="Times New Roman" w:hAnsiTheme="majorHAnsi" w:cs="Times New Roman"/>
                      <w:sz w:val="18"/>
                      <w:szCs w:val="18"/>
                      <w:lang w:eastAsia="es-MX"/>
                    </w:rPr>
                  </w:pPr>
                </w:p>
                <w:p w:rsidR="00A357E8" w:rsidRPr="00C855C3" w:rsidRDefault="00A357E8" w:rsidP="00C855C3">
                  <w:pPr>
                    <w:tabs>
                      <w:tab w:val="left" w:pos="424"/>
                    </w:tabs>
                    <w:jc w:val="center"/>
                    <w:rPr>
                      <w:rFonts w:asciiTheme="majorHAnsi" w:eastAsia="Times New Roman" w:hAnsiTheme="majorHAnsi" w:cs="Times New Roman"/>
                      <w:sz w:val="18"/>
                      <w:szCs w:val="18"/>
                      <w:lang w:eastAsia="es-MX"/>
                    </w:rPr>
                  </w:pPr>
                  <w:r>
                    <w:rPr>
                      <w:rFonts w:asciiTheme="majorHAnsi" w:eastAsia="Times New Roman" w:hAnsiTheme="majorHAnsi" w:cs="Times New Roman"/>
                      <w:sz w:val="18"/>
                      <w:szCs w:val="18"/>
                      <w:lang w:eastAsia="es-MX"/>
                    </w:rPr>
                    <w:t>32 Visitas</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color w:val="000000"/>
                      <w:sz w:val="18"/>
                      <w:szCs w:val="18"/>
                      <w:lang w:eastAsia="es-MX"/>
                    </w:rPr>
                    <w:t>$144,960.00</w:t>
                  </w:r>
                </w:p>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p>
              </w:tc>
            </w:tr>
            <w:tr w:rsidR="00A357E8" w:rsidRPr="005B0609" w:rsidTr="00A357E8">
              <w:trPr>
                <w:trHeight w:val="1210"/>
              </w:trPr>
              <w:tc>
                <w:tcPr>
                  <w:tcW w:w="393" w:type="dxa"/>
                </w:tcPr>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Default="00A357E8" w:rsidP="00A67A05">
                  <w:pPr>
                    <w:jc w:val="center"/>
                    <w:rPr>
                      <w:rFonts w:asciiTheme="majorHAnsi" w:hAnsiTheme="majorHAnsi"/>
                      <w:color w:val="000000"/>
                      <w:sz w:val="18"/>
                      <w:szCs w:val="18"/>
                    </w:rPr>
                  </w:pPr>
                </w:p>
                <w:p w:rsidR="00A357E8" w:rsidRPr="005B0609" w:rsidRDefault="00A357E8" w:rsidP="00A67A05">
                  <w:pPr>
                    <w:jc w:val="center"/>
                    <w:rPr>
                      <w:rFonts w:asciiTheme="majorHAnsi" w:hAnsiTheme="majorHAnsi"/>
                      <w:color w:val="000000"/>
                      <w:sz w:val="18"/>
                      <w:szCs w:val="18"/>
                    </w:rPr>
                  </w:pPr>
                  <w:r>
                    <w:rPr>
                      <w:rFonts w:asciiTheme="majorHAnsi" w:hAnsiTheme="majorHAnsi"/>
                      <w:color w:val="000000"/>
                      <w:sz w:val="18"/>
                      <w:szCs w:val="18"/>
                    </w:rPr>
                    <w:t>8</w:t>
                  </w:r>
                </w:p>
              </w:tc>
              <w:tc>
                <w:tcPr>
                  <w:tcW w:w="1419" w:type="dxa"/>
                  <w:shd w:val="clear" w:color="auto" w:fill="auto"/>
                  <w:noWrap/>
                  <w:vAlign w:val="center"/>
                </w:tcPr>
                <w:p w:rsidR="00A357E8" w:rsidRDefault="00A357E8" w:rsidP="00A67A05">
                  <w:pPr>
                    <w:jc w:val="both"/>
                    <w:rPr>
                      <w:rFonts w:asciiTheme="majorHAnsi" w:hAnsiTheme="majorHAnsi"/>
                      <w:color w:val="000000"/>
                      <w:sz w:val="18"/>
                      <w:szCs w:val="18"/>
                    </w:rPr>
                  </w:pPr>
                  <w:r>
                    <w:rPr>
                      <w:rFonts w:asciiTheme="majorHAnsi" w:hAnsiTheme="majorHAnsi"/>
                      <w:color w:val="000000"/>
                      <w:sz w:val="18"/>
                      <w:szCs w:val="18"/>
                    </w:rPr>
                    <w:t>ACTUALIZACIÓ</w:t>
                  </w:r>
                  <w:r w:rsidRPr="00E44A79">
                    <w:rPr>
                      <w:rFonts w:asciiTheme="majorHAnsi" w:hAnsiTheme="majorHAnsi"/>
                      <w:color w:val="000000"/>
                      <w:sz w:val="18"/>
                      <w:szCs w:val="18"/>
                    </w:rPr>
                    <w:t>N DEL CERTIFICADO DE CONFORMIDAD EN EL CASO DE ETM SOPORTE</w:t>
                  </w:r>
                  <w:r>
                    <w:rPr>
                      <w:rFonts w:asciiTheme="majorHAnsi" w:hAnsiTheme="majorHAnsi"/>
                      <w:color w:val="000000"/>
                      <w:sz w:val="18"/>
                      <w:szCs w:val="18"/>
                    </w:rPr>
                    <w:t>N</w:t>
                  </w:r>
                  <w:r w:rsidRPr="00E44A79">
                    <w:rPr>
                      <w:rFonts w:asciiTheme="majorHAnsi" w:hAnsiTheme="majorHAnsi"/>
                      <w:color w:val="000000"/>
                      <w:sz w:val="18"/>
                      <w:szCs w:val="18"/>
                    </w:rPr>
                    <w:t xml:space="preserve"> LAS BANDAS DE FRECUENCIA DE OPERACI</w:t>
                  </w:r>
                  <w:r>
                    <w:rPr>
                      <w:rFonts w:asciiTheme="majorHAnsi" w:hAnsiTheme="majorHAnsi"/>
                      <w:color w:val="000000"/>
                      <w:sz w:val="18"/>
                      <w:szCs w:val="18"/>
                    </w:rPr>
                    <w:t>Ó</w:t>
                  </w:r>
                  <w:r w:rsidRPr="00E44A79">
                    <w:rPr>
                      <w:rFonts w:asciiTheme="majorHAnsi" w:hAnsiTheme="majorHAnsi"/>
                      <w:color w:val="000000"/>
                      <w:sz w:val="18"/>
                      <w:szCs w:val="18"/>
                    </w:rPr>
                    <w:t xml:space="preserve">N EN MÉXICO PERO ESTAS NO SE ENCUENTREN HABILITADAS </w:t>
                  </w:r>
                  <w:r>
                    <w:rPr>
                      <w:rFonts w:asciiTheme="majorHAnsi" w:hAnsiTheme="majorHAnsi"/>
                      <w:color w:val="000000"/>
                      <w:sz w:val="18"/>
                      <w:szCs w:val="18"/>
                    </w:rPr>
                    <w:t xml:space="preserve">EN </w:t>
                  </w:r>
                  <w:r w:rsidRPr="00E44A79">
                    <w:rPr>
                      <w:rFonts w:asciiTheme="majorHAnsi" w:hAnsiTheme="majorHAnsi"/>
                      <w:color w:val="000000"/>
                      <w:sz w:val="18"/>
                      <w:szCs w:val="18"/>
                    </w:rPr>
                    <w:t>LA ENTRADA EN VIGOR DE LA REFERIDA DISP</w:t>
                  </w:r>
                  <w:r>
                    <w:rPr>
                      <w:rFonts w:asciiTheme="majorHAnsi" w:hAnsiTheme="majorHAnsi"/>
                      <w:color w:val="000000"/>
                      <w:sz w:val="18"/>
                      <w:szCs w:val="18"/>
                    </w:rPr>
                    <w:t>OSICIÓN</w:t>
                  </w:r>
                  <w:r w:rsidRPr="00E44A79">
                    <w:rPr>
                      <w:rFonts w:asciiTheme="majorHAnsi" w:hAnsiTheme="majorHAnsi"/>
                      <w:color w:val="000000"/>
                      <w:sz w:val="18"/>
                      <w:szCs w:val="18"/>
                    </w:rPr>
                    <w:t>.</w:t>
                  </w:r>
                </w:p>
                <w:p w:rsidR="00A357E8" w:rsidRPr="005B0609" w:rsidRDefault="00A357E8" w:rsidP="00A67A05">
                  <w:pPr>
                    <w:jc w:val="both"/>
                    <w:rPr>
                      <w:rFonts w:asciiTheme="majorHAnsi" w:hAnsiTheme="majorHAnsi"/>
                      <w:color w:val="000000"/>
                      <w:sz w:val="18"/>
                      <w:szCs w:val="18"/>
                    </w:rPr>
                  </w:pPr>
                  <w:r w:rsidRPr="005B0609">
                    <w:rPr>
                      <w:rFonts w:asciiTheme="majorHAnsi" w:hAnsiTheme="majorHAnsi"/>
                      <w:color w:val="000000"/>
                      <w:sz w:val="18"/>
                      <w:szCs w:val="18"/>
                    </w:rPr>
                    <w:t>(</w:t>
                  </w:r>
                  <w:r w:rsidRPr="005B0609">
                    <w:rPr>
                      <w:rFonts w:asciiTheme="majorHAnsi" w:eastAsia="Times New Roman" w:hAnsiTheme="majorHAnsi" w:cs="Arial"/>
                      <w:sz w:val="18"/>
                      <w:szCs w:val="18"/>
                      <w:lang w:eastAsia="es-ES"/>
                    </w:rPr>
                    <w:t>Solicitantes de</w:t>
                  </w:r>
                  <w:r>
                    <w:rPr>
                      <w:rFonts w:asciiTheme="majorHAnsi" w:eastAsia="Times New Roman" w:hAnsiTheme="majorHAnsi" w:cs="Arial"/>
                      <w:sz w:val="18"/>
                      <w:szCs w:val="18"/>
                      <w:lang w:eastAsia="es-ES"/>
                    </w:rPr>
                    <w:t xml:space="preserve"> </w:t>
                  </w:r>
                  <w:r w:rsidRPr="005B0609">
                    <w:rPr>
                      <w:rFonts w:asciiTheme="majorHAnsi" w:eastAsia="Times New Roman" w:hAnsiTheme="majorHAnsi" w:cs="Arial"/>
                      <w:sz w:val="18"/>
                      <w:szCs w:val="18"/>
                      <w:lang w:eastAsia="es-ES"/>
                    </w:rPr>
                    <w:t>l</w:t>
                  </w:r>
                  <w:r>
                    <w:rPr>
                      <w:rFonts w:asciiTheme="majorHAnsi" w:eastAsia="Times New Roman" w:hAnsiTheme="majorHAnsi" w:cs="Arial"/>
                      <w:sz w:val="18"/>
                      <w:szCs w:val="18"/>
                      <w:lang w:eastAsia="es-ES"/>
                    </w:rPr>
                    <w:t>a actualización del</w:t>
                  </w:r>
                  <w:r w:rsidRPr="005B0609">
                    <w:rPr>
                      <w:rFonts w:asciiTheme="majorHAnsi" w:eastAsia="Times New Roman" w:hAnsiTheme="majorHAnsi" w:cs="Arial"/>
                      <w:sz w:val="18"/>
                      <w:szCs w:val="18"/>
                      <w:lang w:eastAsia="es-ES"/>
                    </w:rPr>
                    <w:t xml:space="preserve"> Certificado de Homologación)</w:t>
                  </w:r>
                  <w:r w:rsidRPr="005B0609">
                    <w:rPr>
                      <w:rFonts w:asciiTheme="majorHAnsi" w:hAnsiTheme="majorHAnsi"/>
                      <w:color w:val="000000"/>
                      <w:sz w:val="18"/>
                      <w:szCs w:val="18"/>
                    </w:rPr>
                    <w:t>.</w:t>
                  </w:r>
                </w:p>
              </w:tc>
              <w:tc>
                <w:tcPr>
                  <w:tcW w:w="1165"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color w:val="000000"/>
                      <w:sz w:val="18"/>
                      <w:szCs w:val="18"/>
                      <w:lang w:eastAsia="es-MX"/>
                    </w:rPr>
                    <w:t>$2,700.00</w:t>
                  </w:r>
                </w:p>
              </w:tc>
              <w:tc>
                <w:tcPr>
                  <w:tcW w:w="954"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color w:val="000000"/>
                      <w:sz w:val="18"/>
                      <w:szCs w:val="18"/>
                      <w:lang w:eastAsia="es-MX"/>
                    </w:rPr>
                    <w:t>$1,787.00</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Pr="005B0609" w:rsidRDefault="00A357E8" w:rsidP="00A67A05">
                  <w:pPr>
                    <w:spacing w:line="240" w:lineRule="auto"/>
                    <w:jc w:val="center"/>
                    <w:rPr>
                      <w:rFonts w:asciiTheme="majorHAnsi" w:eastAsia="Times New Roman" w:hAnsiTheme="majorHAnsi" w:cs="Times New Roman"/>
                      <w:color w:val="000000"/>
                      <w:sz w:val="18"/>
                      <w:szCs w:val="18"/>
                      <w:lang w:eastAsia="es-MX"/>
                    </w:rPr>
                  </w:pPr>
                  <w:r>
                    <w:rPr>
                      <w:rFonts w:asciiTheme="majorHAnsi" w:eastAsia="Times New Roman" w:hAnsiTheme="majorHAnsi" w:cs="Times New Roman"/>
                      <w:color w:val="000000"/>
                      <w:sz w:val="18"/>
                      <w:szCs w:val="18"/>
                      <w:lang w:eastAsia="es-MX"/>
                    </w:rPr>
                    <w:t>$ 4,487.00</w:t>
                  </w:r>
                </w:p>
              </w:tc>
              <w:tc>
                <w:tcPr>
                  <w:tcW w:w="1354" w:type="dxa"/>
                  <w:shd w:val="clear" w:color="000000" w:fill="FFFFFF"/>
                </w:tcPr>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lang w:val="es-MX"/>
                    </w:rPr>
                  </w:pPr>
                  <w:r>
                    <w:rPr>
                      <w:rFonts w:ascii="Calibri Light" w:hAnsi="Calibri Light"/>
                      <w:color w:val="000000"/>
                      <w:sz w:val="18"/>
                      <w:szCs w:val="18"/>
                    </w:rPr>
                    <w:t>189 Actualizaciones del certificado de conformidad</w:t>
                  </w: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tc>
              <w:tc>
                <w:tcPr>
                  <w:tcW w:w="1220" w:type="dxa"/>
                  <w:shd w:val="clear" w:color="000000" w:fill="FFFFFF"/>
                </w:tcPr>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lang w:val="es-MX"/>
                    </w:rPr>
                  </w:pPr>
                  <w:r>
                    <w:rPr>
                      <w:rFonts w:ascii="Calibri Light" w:hAnsi="Calibri Light"/>
                      <w:color w:val="000000"/>
                      <w:sz w:val="18"/>
                      <w:szCs w:val="18"/>
                    </w:rPr>
                    <w:t>$848,043.00</w:t>
                  </w:r>
                </w:p>
                <w:p w:rsidR="00A357E8" w:rsidRDefault="00A357E8" w:rsidP="00A67A05">
                  <w:pPr>
                    <w:spacing w:line="240" w:lineRule="auto"/>
                    <w:jc w:val="center"/>
                    <w:rPr>
                      <w:rFonts w:asciiTheme="majorHAnsi" w:eastAsia="Times New Roman" w:hAnsiTheme="majorHAnsi" w:cs="Times New Roman"/>
                      <w:color w:val="000000"/>
                      <w:sz w:val="18"/>
                      <w:szCs w:val="18"/>
                      <w:lang w:eastAsia="es-MX"/>
                    </w:rPr>
                  </w:pPr>
                </w:p>
              </w:tc>
            </w:tr>
            <w:tr w:rsidR="00A357E8" w:rsidRPr="005B0609" w:rsidTr="00A357E8">
              <w:trPr>
                <w:trHeight w:val="300"/>
              </w:trPr>
              <w:tc>
                <w:tcPr>
                  <w:tcW w:w="393" w:type="dxa"/>
                </w:tcPr>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Pr="005B0609" w:rsidRDefault="00A357E8" w:rsidP="00A67A05">
                  <w:pPr>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9</w:t>
                  </w:r>
                </w:p>
              </w:tc>
              <w:tc>
                <w:tcPr>
                  <w:tcW w:w="1419" w:type="dxa"/>
                  <w:shd w:val="clear" w:color="auto" w:fill="auto"/>
                  <w:noWrap/>
                  <w:vAlign w:val="center"/>
                </w:tcPr>
                <w:p w:rsidR="00A357E8"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 xml:space="preserve">ELABORACIÓN DEL AVISO DE INCUMPLIMIENTO Y RETIRO DE LA VIGENCIA DEL CERTIFICADO DE CONFORMIDAD OTORGADO POR EL ORGANISMO DE CERTIFICACIÓN </w:t>
                  </w:r>
                </w:p>
                <w:p w:rsidR="00A357E8" w:rsidRPr="005B0609"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(Organismo de Certificación).</w:t>
                  </w:r>
                </w:p>
              </w:tc>
              <w:tc>
                <w:tcPr>
                  <w:tcW w:w="1165" w:type="dxa"/>
                  <w:shd w:val="clear" w:color="000000" w:fill="FFFFFF"/>
                  <w:noWrap/>
                  <w:vAlign w:val="center"/>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750AAA">
                    <w:rPr>
                      <w:rFonts w:asciiTheme="majorHAnsi" w:eastAsia="Times New Roman" w:hAnsiTheme="majorHAnsi" w:cs="Arial"/>
                      <w:sz w:val="18"/>
                      <w:szCs w:val="18"/>
                      <w:lang w:eastAsia="es-ES"/>
                    </w:rPr>
                    <w:t>$1,200.00</w:t>
                  </w:r>
                </w:p>
              </w:tc>
              <w:tc>
                <w:tcPr>
                  <w:tcW w:w="954" w:type="dxa"/>
                  <w:shd w:val="clear" w:color="000000" w:fill="FFFFFF"/>
                  <w:noWrap/>
                  <w:vAlign w:val="center"/>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$0</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$1200.00</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7 Avisos de incumplimiento</w:t>
                  </w:r>
                </w:p>
              </w:tc>
              <w:tc>
                <w:tcPr>
                  <w:tcW w:w="1220" w:type="dxa"/>
                  <w:shd w:val="clear" w:color="000000" w:fill="FFFFFF"/>
                </w:tcPr>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lang w:val="es-MX"/>
                    </w:rPr>
                  </w:pPr>
                  <w:r>
                    <w:rPr>
                      <w:rFonts w:ascii="Calibri Light" w:hAnsi="Calibri Light"/>
                      <w:color w:val="000000"/>
                      <w:sz w:val="18"/>
                      <w:szCs w:val="18"/>
                    </w:rPr>
                    <w:t>$8,400.00</w:t>
                  </w:r>
                </w:p>
                <w:p w:rsidR="00A357E8" w:rsidRPr="005B0609" w:rsidRDefault="00A357E8" w:rsidP="00A67A05">
                  <w:pPr>
                    <w:spacing w:line="240" w:lineRule="auto"/>
                    <w:jc w:val="center"/>
                    <w:rPr>
                      <w:rFonts w:asciiTheme="majorHAnsi" w:eastAsia="Times New Roman" w:hAnsiTheme="majorHAnsi" w:cs="Arial"/>
                      <w:sz w:val="18"/>
                      <w:szCs w:val="18"/>
                      <w:lang w:eastAsia="es-ES"/>
                    </w:rPr>
                  </w:pPr>
                </w:p>
              </w:tc>
            </w:tr>
            <w:tr w:rsidR="00A357E8" w:rsidRPr="005B0609" w:rsidTr="00A357E8">
              <w:trPr>
                <w:trHeight w:val="300"/>
              </w:trPr>
              <w:tc>
                <w:tcPr>
                  <w:tcW w:w="393" w:type="dxa"/>
                </w:tcPr>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Pr="005B0609" w:rsidRDefault="00A357E8" w:rsidP="00A67A05">
                  <w:pPr>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10</w:t>
                  </w:r>
                </w:p>
              </w:tc>
              <w:tc>
                <w:tcPr>
                  <w:tcW w:w="1419" w:type="dxa"/>
                  <w:shd w:val="clear" w:color="auto" w:fill="auto"/>
                  <w:noWrap/>
                  <w:vAlign w:val="center"/>
                </w:tcPr>
                <w:p w:rsidR="00A357E8" w:rsidRPr="005B0609"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ELABORACIÓN DE PROPUESTA DE ACTIVIDADES DE VIGILANCIA DEL CUMPLIMIENTO DE LA CERTIFICACIÓN PROPUESTAS POR EL ORGANISMO DE CERTIFICACIÓN.</w:t>
                  </w:r>
                </w:p>
                <w:p w:rsidR="00A357E8" w:rsidRPr="005B0609"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(Organismo de Certificación).</w:t>
                  </w:r>
                </w:p>
              </w:tc>
              <w:tc>
                <w:tcPr>
                  <w:tcW w:w="1165"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750AAA">
                    <w:rPr>
                      <w:rFonts w:asciiTheme="majorHAnsi" w:eastAsia="Times New Roman" w:hAnsiTheme="majorHAnsi" w:cs="Arial"/>
                      <w:sz w:val="18"/>
                      <w:szCs w:val="18"/>
                      <w:lang w:eastAsia="es-ES"/>
                    </w:rPr>
                    <w:t>$5,200.00</w:t>
                  </w:r>
                </w:p>
              </w:tc>
              <w:tc>
                <w:tcPr>
                  <w:tcW w:w="954"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$0</w:t>
                  </w:r>
                </w:p>
              </w:tc>
              <w:tc>
                <w:tcPr>
                  <w:tcW w:w="1220" w:type="dxa"/>
                  <w:shd w:val="clear" w:color="000000" w:fill="FFFFFF"/>
                </w:tcPr>
                <w:p w:rsidR="00A357E8" w:rsidRPr="005B0609"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$5,200.00</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2 OC</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lang w:val="es-MX"/>
                    </w:rPr>
                  </w:pPr>
                  <w:r>
                    <w:rPr>
                      <w:rFonts w:ascii="Calibri Light" w:hAnsi="Calibri Light"/>
                      <w:color w:val="000000"/>
                      <w:sz w:val="18"/>
                      <w:szCs w:val="18"/>
                    </w:rPr>
                    <w:t>$10,400.00</w:t>
                  </w:r>
                </w:p>
                <w:p w:rsidR="00A357E8" w:rsidRPr="005B0609" w:rsidRDefault="00A357E8" w:rsidP="00A67A05">
                  <w:pPr>
                    <w:spacing w:line="240" w:lineRule="auto"/>
                    <w:jc w:val="center"/>
                    <w:rPr>
                      <w:rFonts w:asciiTheme="majorHAnsi" w:eastAsia="Times New Roman" w:hAnsiTheme="majorHAnsi" w:cs="Arial"/>
                      <w:sz w:val="18"/>
                      <w:szCs w:val="18"/>
                      <w:lang w:eastAsia="es-ES"/>
                    </w:rPr>
                  </w:pPr>
                </w:p>
              </w:tc>
            </w:tr>
            <w:tr w:rsidR="00A357E8" w:rsidRPr="005B0609" w:rsidTr="00A357E8">
              <w:trPr>
                <w:trHeight w:val="953"/>
              </w:trPr>
              <w:tc>
                <w:tcPr>
                  <w:tcW w:w="393" w:type="dxa"/>
                </w:tcPr>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Pr="005B0609" w:rsidRDefault="00A357E8" w:rsidP="00A67A05">
                  <w:pPr>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11</w:t>
                  </w:r>
                </w:p>
              </w:tc>
              <w:tc>
                <w:tcPr>
                  <w:tcW w:w="1419" w:type="dxa"/>
                  <w:shd w:val="clear" w:color="auto" w:fill="auto"/>
                  <w:noWrap/>
                  <w:vAlign w:val="center"/>
                </w:tcPr>
                <w:p w:rsidR="00A357E8" w:rsidRPr="005B0609"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 xml:space="preserve">ELABORACIÓN DE INFORME GENERAL DE LAS ACTIVIDADES DE VIGILANCIA DEL CUMPLIMIENTO DE LA CERTIFICACIÓN. </w:t>
                  </w:r>
                </w:p>
                <w:p w:rsidR="00A357E8" w:rsidRPr="005B0609"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(Organismo de Certificación).</w:t>
                  </w:r>
                </w:p>
              </w:tc>
              <w:tc>
                <w:tcPr>
                  <w:tcW w:w="1165"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750AAA">
                    <w:rPr>
                      <w:rFonts w:asciiTheme="majorHAnsi" w:eastAsia="Times New Roman" w:hAnsiTheme="majorHAnsi" w:cs="Arial"/>
                      <w:sz w:val="18"/>
                      <w:szCs w:val="18"/>
                      <w:lang w:eastAsia="es-ES"/>
                    </w:rPr>
                    <w:t>$10,200.00</w:t>
                  </w:r>
                </w:p>
              </w:tc>
              <w:tc>
                <w:tcPr>
                  <w:tcW w:w="954" w:type="dxa"/>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$0</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$10,200.00</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2 OC</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lang w:val="es-MX"/>
                    </w:rPr>
                  </w:pPr>
                  <w:r>
                    <w:rPr>
                      <w:rFonts w:ascii="Calibri Light" w:hAnsi="Calibri Light"/>
                      <w:color w:val="000000"/>
                      <w:sz w:val="18"/>
                      <w:szCs w:val="18"/>
                    </w:rPr>
                    <w:t>$20,400.00</w:t>
                  </w:r>
                </w:p>
                <w:p w:rsidR="00A357E8" w:rsidRPr="005B0609" w:rsidRDefault="00A357E8" w:rsidP="00A67A05">
                  <w:pPr>
                    <w:spacing w:line="240" w:lineRule="auto"/>
                    <w:jc w:val="center"/>
                    <w:rPr>
                      <w:rFonts w:asciiTheme="majorHAnsi" w:eastAsia="Times New Roman" w:hAnsiTheme="majorHAnsi" w:cs="Arial"/>
                      <w:sz w:val="18"/>
                      <w:szCs w:val="18"/>
                      <w:lang w:eastAsia="es-ES"/>
                    </w:rPr>
                  </w:pPr>
                </w:p>
              </w:tc>
            </w:tr>
            <w:tr w:rsidR="00A357E8" w:rsidRPr="005B0609" w:rsidTr="00A357E8">
              <w:trPr>
                <w:trHeight w:val="300"/>
              </w:trPr>
              <w:tc>
                <w:tcPr>
                  <w:tcW w:w="393" w:type="dxa"/>
                  <w:tcBorders>
                    <w:bottom w:val="single" w:sz="4" w:space="0" w:color="auto"/>
                  </w:tcBorders>
                </w:tcPr>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Default="00A357E8" w:rsidP="00A67A05">
                  <w:pPr>
                    <w:jc w:val="center"/>
                    <w:rPr>
                      <w:rFonts w:asciiTheme="majorHAnsi" w:eastAsia="Times New Roman" w:hAnsiTheme="majorHAnsi" w:cs="Arial"/>
                      <w:sz w:val="18"/>
                      <w:szCs w:val="18"/>
                      <w:lang w:eastAsia="es-ES"/>
                    </w:rPr>
                  </w:pPr>
                </w:p>
                <w:p w:rsidR="00A357E8" w:rsidRPr="005B0609" w:rsidRDefault="00A357E8" w:rsidP="00A67A05">
                  <w:pPr>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12</w:t>
                  </w:r>
                </w:p>
              </w:tc>
              <w:tc>
                <w:tcPr>
                  <w:tcW w:w="1419" w:type="dxa"/>
                  <w:tcBorders>
                    <w:bottom w:val="single" w:sz="4" w:space="0" w:color="auto"/>
                  </w:tcBorders>
                  <w:shd w:val="clear" w:color="auto" w:fill="auto"/>
                  <w:noWrap/>
                  <w:vAlign w:val="bottom"/>
                </w:tcPr>
                <w:p w:rsidR="00A357E8" w:rsidRPr="005B0609"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ACTUALIZACIÓN DEL MANUAL DEL EQUIPO TERMINAL MÓVIL.</w:t>
                  </w:r>
                </w:p>
                <w:p w:rsidR="00A357E8" w:rsidRDefault="00A357E8" w:rsidP="00A67A05">
                  <w:pPr>
                    <w:jc w:val="both"/>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(Fabricantes de Equipos Terminales Móviles/Solicitantes del Certificado de Homologación).</w:t>
                  </w:r>
                </w:p>
                <w:p w:rsidR="00A357E8" w:rsidRPr="005B0609" w:rsidRDefault="00A357E8" w:rsidP="00A67A05">
                  <w:pPr>
                    <w:jc w:val="both"/>
                    <w:rPr>
                      <w:rFonts w:asciiTheme="majorHAnsi" w:eastAsia="Times New Roman" w:hAnsiTheme="majorHAnsi" w:cs="Arial"/>
                      <w:sz w:val="18"/>
                      <w:szCs w:val="18"/>
                      <w:lang w:eastAsia="es-ES"/>
                    </w:rPr>
                  </w:pPr>
                </w:p>
              </w:tc>
              <w:tc>
                <w:tcPr>
                  <w:tcW w:w="1165" w:type="dxa"/>
                  <w:tcBorders>
                    <w:bottom w:val="single" w:sz="4" w:space="0" w:color="auto"/>
                  </w:tcBorders>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750AAA">
                    <w:rPr>
                      <w:rFonts w:asciiTheme="majorHAnsi" w:eastAsia="Times New Roman" w:hAnsiTheme="majorHAnsi" w:cs="Arial"/>
                      <w:sz w:val="18"/>
                      <w:szCs w:val="18"/>
                      <w:lang w:eastAsia="es-ES"/>
                    </w:rPr>
                    <w:t>$2,800.00</w:t>
                  </w:r>
                </w:p>
              </w:tc>
              <w:tc>
                <w:tcPr>
                  <w:tcW w:w="954" w:type="dxa"/>
                  <w:tcBorders>
                    <w:bottom w:val="single" w:sz="4" w:space="0" w:color="auto"/>
                  </w:tcBorders>
                  <w:shd w:val="clear" w:color="000000" w:fill="FFFFFF"/>
                  <w:noWrap/>
                  <w:vAlign w:val="center"/>
                </w:tcPr>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$0</w:t>
                  </w:r>
                </w:p>
              </w:tc>
              <w:tc>
                <w:tcPr>
                  <w:tcW w:w="1220" w:type="dxa"/>
                  <w:shd w:val="clear" w:color="000000" w:fill="FFFFFF"/>
                </w:tcPr>
                <w:p w:rsidR="00A357E8" w:rsidRPr="005B0609"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Pr="005B0609" w:rsidRDefault="00A357E8" w:rsidP="00A67A05">
                  <w:pPr>
                    <w:spacing w:line="240" w:lineRule="auto"/>
                    <w:jc w:val="center"/>
                    <w:rPr>
                      <w:rFonts w:asciiTheme="majorHAnsi" w:eastAsia="Times New Roman" w:hAnsiTheme="majorHAnsi" w:cs="Arial"/>
                      <w:sz w:val="18"/>
                      <w:szCs w:val="18"/>
                      <w:lang w:eastAsia="es-ES"/>
                    </w:rPr>
                  </w:pPr>
                  <w:r w:rsidRPr="005B0609">
                    <w:rPr>
                      <w:rFonts w:asciiTheme="majorHAnsi" w:eastAsia="Times New Roman" w:hAnsiTheme="majorHAnsi" w:cs="Arial"/>
                      <w:sz w:val="18"/>
                      <w:szCs w:val="18"/>
                      <w:lang w:eastAsia="es-ES"/>
                    </w:rPr>
                    <w:t>$2,800.00</w:t>
                  </w:r>
                </w:p>
              </w:tc>
              <w:tc>
                <w:tcPr>
                  <w:tcW w:w="1354"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C855C3">
                  <w:pPr>
                    <w:spacing w:line="240" w:lineRule="auto"/>
                    <w:jc w:val="center"/>
                    <w:rPr>
                      <w:rFonts w:asciiTheme="majorHAnsi" w:eastAsia="Times New Roman" w:hAnsiTheme="majorHAnsi" w:cs="Arial"/>
                      <w:sz w:val="18"/>
                      <w:szCs w:val="18"/>
                      <w:lang w:eastAsia="es-ES"/>
                    </w:rPr>
                  </w:pPr>
                </w:p>
                <w:p w:rsidR="00A357E8" w:rsidRDefault="00A357E8" w:rsidP="00C855C3">
                  <w:pPr>
                    <w:spacing w:line="240" w:lineRule="auto"/>
                    <w:jc w:val="center"/>
                    <w:rPr>
                      <w:rFonts w:asciiTheme="majorHAnsi" w:eastAsia="Times New Roman" w:hAnsiTheme="majorHAnsi" w:cs="Arial"/>
                      <w:sz w:val="18"/>
                      <w:szCs w:val="18"/>
                      <w:lang w:eastAsia="es-ES"/>
                    </w:rPr>
                  </w:pPr>
                </w:p>
                <w:p w:rsidR="00A357E8" w:rsidRPr="005B0609" w:rsidRDefault="00A357E8" w:rsidP="00C855C3">
                  <w:pPr>
                    <w:spacing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40 Fabricantes de ETM</w:t>
                  </w:r>
                </w:p>
              </w:tc>
              <w:tc>
                <w:tcPr>
                  <w:tcW w:w="1220" w:type="dxa"/>
                  <w:shd w:val="clear" w:color="000000" w:fill="FFFFFF"/>
                </w:tcPr>
                <w:p w:rsidR="00A357E8" w:rsidRDefault="00A357E8" w:rsidP="00A67A05">
                  <w:pPr>
                    <w:spacing w:line="240" w:lineRule="auto"/>
                    <w:jc w:val="center"/>
                    <w:rPr>
                      <w:rFonts w:asciiTheme="majorHAnsi" w:eastAsia="Times New Roman" w:hAnsiTheme="majorHAnsi" w:cs="Arial"/>
                      <w:sz w:val="18"/>
                      <w:szCs w:val="18"/>
                      <w:lang w:eastAsia="es-ES"/>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rPr>
                  </w:pPr>
                </w:p>
                <w:p w:rsidR="00A357E8" w:rsidRDefault="00A357E8" w:rsidP="00C855C3">
                  <w:pPr>
                    <w:jc w:val="center"/>
                    <w:rPr>
                      <w:rFonts w:ascii="Calibri Light" w:hAnsi="Calibri Light"/>
                      <w:color w:val="000000"/>
                      <w:sz w:val="18"/>
                      <w:szCs w:val="18"/>
                      <w:lang w:val="es-MX"/>
                    </w:rPr>
                  </w:pPr>
                  <w:r>
                    <w:rPr>
                      <w:rFonts w:ascii="Calibri Light" w:hAnsi="Calibri Light"/>
                      <w:color w:val="000000"/>
                      <w:sz w:val="18"/>
                      <w:szCs w:val="18"/>
                    </w:rPr>
                    <w:t>$112,000.00</w:t>
                  </w:r>
                </w:p>
                <w:p w:rsidR="00A357E8" w:rsidRPr="005B0609" w:rsidRDefault="00A357E8" w:rsidP="00A67A05">
                  <w:pPr>
                    <w:spacing w:line="240" w:lineRule="auto"/>
                    <w:jc w:val="center"/>
                    <w:rPr>
                      <w:rFonts w:asciiTheme="majorHAnsi" w:eastAsia="Times New Roman" w:hAnsiTheme="majorHAnsi" w:cs="Arial"/>
                      <w:sz w:val="18"/>
                      <w:szCs w:val="18"/>
                      <w:lang w:eastAsia="es-ES"/>
                    </w:rPr>
                  </w:pPr>
                </w:p>
              </w:tc>
            </w:tr>
            <w:tr w:rsidR="00A357E8" w:rsidRPr="005B0609" w:rsidTr="00A357E8">
              <w:trPr>
                <w:trHeight w:val="402"/>
              </w:trPr>
              <w:tc>
                <w:tcPr>
                  <w:tcW w:w="3931" w:type="dxa"/>
                  <w:gridSpan w:val="4"/>
                  <w:tcBorders>
                    <w:top w:val="single" w:sz="4" w:space="0" w:color="auto"/>
                    <w:left w:val="single" w:sz="4" w:space="0" w:color="auto"/>
                    <w:bottom w:val="single" w:sz="4" w:space="0" w:color="auto"/>
                    <w:right w:val="single" w:sz="4" w:space="0" w:color="auto"/>
                  </w:tcBorders>
                </w:tcPr>
                <w:p w:rsidR="00A357E8" w:rsidRDefault="00A357E8" w:rsidP="00C855C3">
                  <w:pPr>
                    <w:spacing w:line="240" w:lineRule="auto"/>
                    <w:rPr>
                      <w:rFonts w:asciiTheme="majorHAnsi" w:hAnsiTheme="majorHAnsi"/>
                      <w:color w:val="000000"/>
                      <w:sz w:val="18"/>
                      <w:szCs w:val="18"/>
                    </w:rPr>
                  </w:pPr>
                  <w:r>
                    <w:rPr>
                      <w:rFonts w:asciiTheme="majorHAnsi" w:hAnsiTheme="majorHAnsi"/>
                      <w:color w:val="000000"/>
                      <w:sz w:val="18"/>
                      <w:szCs w:val="18"/>
                    </w:rPr>
                    <w:tab/>
                  </w:r>
                  <w:r>
                    <w:rPr>
                      <w:rFonts w:asciiTheme="majorHAnsi" w:hAnsiTheme="majorHAnsi"/>
                      <w:color w:val="000000"/>
                      <w:sz w:val="18"/>
                      <w:szCs w:val="18"/>
                    </w:rPr>
                    <w:tab/>
                  </w:r>
                </w:p>
                <w:p w:rsidR="00A357E8" w:rsidRPr="00C03057" w:rsidRDefault="00A357E8" w:rsidP="007542BF">
                  <w:pPr>
                    <w:spacing w:line="240" w:lineRule="auto"/>
                    <w:jc w:val="right"/>
                    <w:rPr>
                      <w:rFonts w:asciiTheme="majorHAnsi" w:eastAsia="Times New Roman" w:hAnsiTheme="majorHAnsi" w:cs="Arial"/>
                      <w:b/>
                      <w:sz w:val="18"/>
                      <w:szCs w:val="18"/>
                      <w:lang w:eastAsia="es-ES"/>
                    </w:rPr>
                  </w:pPr>
                  <w:r w:rsidRPr="00C03057">
                    <w:rPr>
                      <w:rFonts w:asciiTheme="majorHAnsi" w:hAnsiTheme="majorHAnsi"/>
                      <w:b/>
                      <w:color w:val="000000"/>
                      <w:sz w:val="18"/>
                      <w:szCs w:val="18"/>
                    </w:rPr>
                    <w:t>COSTO TOTAL</w:t>
                  </w:r>
                </w:p>
              </w:tc>
              <w:tc>
                <w:tcPr>
                  <w:tcW w:w="3794" w:type="dxa"/>
                  <w:gridSpan w:val="3"/>
                  <w:tcBorders>
                    <w:left w:val="single" w:sz="4" w:space="0" w:color="auto"/>
                  </w:tcBorders>
                </w:tcPr>
                <w:p w:rsidR="00A357E8" w:rsidRDefault="00A357E8" w:rsidP="00A67A05">
                  <w:pPr>
                    <w:jc w:val="center"/>
                    <w:rPr>
                      <w:rFonts w:asciiTheme="majorHAnsi" w:eastAsia="Times New Roman" w:hAnsiTheme="majorHAnsi" w:cs="Arial"/>
                      <w:b/>
                      <w:sz w:val="18"/>
                      <w:szCs w:val="18"/>
                      <w:lang w:eastAsia="es-ES"/>
                    </w:rPr>
                  </w:pPr>
                </w:p>
                <w:p w:rsidR="00A357E8" w:rsidRDefault="00A357E8" w:rsidP="00E02EFC">
                  <w:pPr>
                    <w:jc w:val="right"/>
                  </w:pPr>
                  <w:r w:rsidRPr="00C03057">
                    <w:rPr>
                      <w:rFonts w:asciiTheme="majorHAnsi" w:eastAsia="Times New Roman" w:hAnsiTheme="majorHAnsi" w:cs="Arial"/>
                      <w:b/>
                      <w:sz w:val="18"/>
                      <w:szCs w:val="18"/>
                      <w:lang w:eastAsia="es-ES"/>
                    </w:rPr>
                    <w:t>$</w:t>
                  </w:r>
                  <w:r>
                    <w:rPr>
                      <w:rFonts w:asciiTheme="majorHAnsi" w:eastAsia="Times New Roman" w:hAnsiTheme="majorHAnsi" w:cs="Arial"/>
                      <w:b/>
                      <w:sz w:val="18"/>
                      <w:szCs w:val="18"/>
                      <w:lang w:eastAsia="es-ES"/>
                    </w:rPr>
                    <w:t>43</w:t>
                  </w:r>
                  <w:r w:rsidRPr="00C03057">
                    <w:rPr>
                      <w:rFonts w:asciiTheme="majorHAnsi" w:eastAsia="Times New Roman" w:hAnsiTheme="majorHAnsi" w:cs="Arial"/>
                      <w:b/>
                      <w:sz w:val="18"/>
                      <w:szCs w:val="18"/>
                      <w:lang w:eastAsia="es-ES"/>
                    </w:rPr>
                    <w:t>,</w:t>
                  </w:r>
                  <w:r>
                    <w:rPr>
                      <w:rFonts w:asciiTheme="majorHAnsi" w:eastAsia="Times New Roman" w:hAnsiTheme="majorHAnsi" w:cs="Arial"/>
                      <w:b/>
                      <w:sz w:val="18"/>
                      <w:szCs w:val="18"/>
                      <w:lang w:eastAsia="es-ES"/>
                    </w:rPr>
                    <w:t>465,049.32</w:t>
                  </w:r>
                </w:p>
              </w:tc>
            </w:tr>
          </w:tbl>
          <w:p w:rsidR="005006EF" w:rsidRPr="00356AB5" w:rsidRDefault="005006EF" w:rsidP="005006EF">
            <w:pPr>
              <w:shd w:val="clear" w:color="auto" w:fill="FFFFFF"/>
              <w:spacing w:after="101"/>
              <w:jc w:val="center"/>
              <w:rPr>
                <w:rFonts w:asciiTheme="majorHAnsi" w:hAnsiTheme="majorHAnsi"/>
                <w:b/>
                <w:sz w:val="20"/>
                <w:szCs w:val="20"/>
              </w:rPr>
            </w:pPr>
            <w:r w:rsidRPr="00356AB5">
              <w:rPr>
                <w:rFonts w:asciiTheme="majorHAnsi" w:hAnsiTheme="majorHAnsi"/>
                <w:b/>
                <w:sz w:val="20"/>
                <w:szCs w:val="20"/>
              </w:rPr>
              <w:t>Tabla 2. Cálculo de los costos para los agentes económicos</w:t>
            </w:r>
            <w:r>
              <w:rPr>
                <w:rFonts w:asciiTheme="majorHAnsi" w:hAnsiTheme="majorHAnsi"/>
                <w:b/>
                <w:sz w:val="20"/>
                <w:szCs w:val="20"/>
              </w:rPr>
              <w:t xml:space="preserve"> involucrados</w:t>
            </w:r>
          </w:p>
          <w:p w:rsidR="005006EF" w:rsidRPr="006C4443" w:rsidRDefault="005006EF" w:rsidP="005006EF">
            <w:pPr>
              <w:jc w:val="both"/>
              <w:rPr>
                <w:rFonts w:asciiTheme="majorHAnsi" w:eastAsia="Times New Roman" w:hAnsiTheme="majorHAnsi" w:cs="Arial"/>
                <w:b/>
                <w:sz w:val="16"/>
                <w:szCs w:val="16"/>
                <w:lang w:eastAsia="es-ES"/>
              </w:rPr>
            </w:pPr>
            <w:r w:rsidRPr="006C4443">
              <w:rPr>
                <w:rFonts w:asciiTheme="majorHAnsi" w:eastAsia="Times New Roman" w:hAnsiTheme="majorHAnsi" w:cs="Arial"/>
                <w:b/>
                <w:sz w:val="16"/>
                <w:szCs w:val="16"/>
                <w:lang w:eastAsia="es-ES"/>
              </w:rPr>
              <w:t xml:space="preserve">*Se consideran </w:t>
            </w:r>
            <w:r>
              <w:rPr>
                <w:rFonts w:asciiTheme="majorHAnsi" w:eastAsia="Times New Roman" w:hAnsiTheme="majorHAnsi" w:cs="Arial"/>
                <w:b/>
                <w:sz w:val="16"/>
                <w:szCs w:val="16"/>
                <w:lang w:eastAsia="es-ES"/>
              </w:rPr>
              <w:t>V</w:t>
            </w:r>
            <w:r w:rsidRPr="006C4443">
              <w:rPr>
                <w:rFonts w:asciiTheme="majorHAnsi" w:eastAsia="Times New Roman" w:hAnsiTheme="majorHAnsi" w:cs="Arial"/>
                <w:b/>
                <w:sz w:val="16"/>
                <w:szCs w:val="16"/>
                <w:lang w:eastAsia="es-ES"/>
              </w:rPr>
              <w:t xml:space="preserve">isitas de vigilancia </w:t>
            </w:r>
            <w:r>
              <w:rPr>
                <w:rFonts w:asciiTheme="majorHAnsi" w:eastAsia="Times New Roman" w:hAnsiTheme="majorHAnsi" w:cs="Arial"/>
                <w:b/>
                <w:sz w:val="16"/>
                <w:szCs w:val="16"/>
                <w:lang w:eastAsia="es-ES"/>
              </w:rPr>
              <w:t xml:space="preserve">del cumplimiento de la certificación </w:t>
            </w:r>
            <w:r w:rsidRPr="006C4443">
              <w:rPr>
                <w:rFonts w:asciiTheme="majorHAnsi" w:eastAsia="Times New Roman" w:hAnsiTheme="majorHAnsi" w:cs="Arial"/>
                <w:b/>
                <w:sz w:val="16"/>
                <w:szCs w:val="16"/>
                <w:lang w:eastAsia="es-ES"/>
              </w:rPr>
              <w:t>en el área metropolitana</w:t>
            </w:r>
            <w:r>
              <w:rPr>
                <w:rFonts w:asciiTheme="majorHAnsi" w:eastAsia="Times New Roman" w:hAnsiTheme="majorHAnsi" w:cs="Arial"/>
                <w:b/>
                <w:sz w:val="16"/>
                <w:szCs w:val="16"/>
                <w:lang w:eastAsia="es-ES"/>
              </w:rPr>
              <w:t xml:space="preserve"> de la Ciudad de México</w:t>
            </w:r>
            <w:r w:rsidRPr="006C4443">
              <w:rPr>
                <w:rFonts w:asciiTheme="majorHAnsi" w:eastAsia="Times New Roman" w:hAnsiTheme="majorHAnsi" w:cs="Arial"/>
                <w:b/>
                <w:sz w:val="16"/>
                <w:szCs w:val="16"/>
                <w:lang w:eastAsia="es-ES"/>
              </w:rPr>
              <w:t>. No se consideran los costos asociados a viáticos para visitas en el interior del país.</w:t>
            </w:r>
          </w:p>
          <w:p w:rsidR="005006EF" w:rsidRDefault="005006EF" w:rsidP="00545983">
            <w:pPr>
              <w:jc w:val="both"/>
              <w:rPr>
                <w:rFonts w:asciiTheme="majorHAnsi" w:eastAsia="Times New Roman" w:hAnsiTheme="majorHAnsi" w:cs="Arial"/>
                <w:sz w:val="20"/>
                <w:szCs w:val="20"/>
                <w:lang w:eastAsia="es-ES"/>
              </w:rPr>
            </w:pPr>
          </w:p>
          <w:p w:rsidR="00545983" w:rsidRPr="00CD4895"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En relación con los costos sustantivos, es decir, aquéllos relacionados con las acciones regulatorias, se consideran que </w:t>
            </w:r>
            <w:r w:rsidR="00C03057">
              <w:rPr>
                <w:rFonts w:asciiTheme="majorHAnsi" w:eastAsia="Times New Roman" w:hAnsiTheme="majorHAnsi" w:cs="Arial"/>
                <w:sz w:val="20"/>
                <w:szCs w:val="20"/>
                <w:lang w:eastAsia="es-ES"/>
              </w:rPr>
              <w:t>é</w:t>
            </w:r>
            <w:r w:rsidRPr="00CD4895">
              <w:rPr>
                <w:rFonts w:asciiTheme="majorHAnsi" w:eastAsia="Times New Roman" w:hAnsiTheme="majorHAnsi" w:cs="Arial"/>
                <w:sz w:val="20"/>
                <w:szCs w:val="20"/>
                <w:lang w:eastAsia="es-ES"/>
              </w:rPr>
              <w:t>stos son marginales en virtud de que l</w:t>
            </w:r>
            <w:r w:rsidR="00611A75">
              <w:rPr>
                <w:rFonts w:asciiTheme="majorHAnsi" w:eastAsia="Times New Roman" w:hAnsiTheme="majorHAnsi" w:cs="Arial"/>
                <w:sz w:val="20"/>
                <w:szCs w:val="20"/>
                <w:lang w:eastAsia="es-ES"/>
              </w:rPr>
              <w:t>o</w:t>
            </w:r>
            <w:r w:rsidRPr="00CD4895">
              <w:rPr>
                <w:rFonts w:asciiTheme="majorHAnsi" w:eastAsia="Times New Roman" w:hAnsiTheme="majorHAnsi" w:cs="Arial"/>
                <w:sz w:val="20"/>
                <w:szCs w:val="20"/>
                <w:lang w:eastAsia="es-ES"/>
              </w:rPr>
              <w:t xml:space="preserve">s </w:t>
            </w:r>
            <w:r w:rsidR="00611A75">
              <w:rPr>
                <w:rFonts w:asciiTheme="majorHAnsi" w:eastAsia="Times New Roman" w:hAnsiTheme="majorHAnsi" w:cs="Arial"/>
                <w:sz w:val="20"/>
                <w:szCs w:val="20"/>
                <w:lang w:eastAsia="es-ES"/>
              </w:rPr>
              <w:t xml:space="preserve">Laboratorios de Prueba </w:t>
            </w:r>
            <w:r w:rsidRPr="00CD4895">
              <w:rPr>
                <w:rFonts w:asciiTheme="majorHAnsi" w:eastAsia="Times New Roman" w:hAnsiTheme="majorHAnsi" w:cs="Arial"/>
                <w:sz w:val="20"/>
                <w:szCs w:val="20"/>
                <w:lang w:eastAsia="es-ES"/>
              </w:rPr>
              <w:t>y los Organismos de Certificación, actualmente ya cumplen con diversas obligaciones en cuanto a</w:t>
            </w:r>
            <w:r w:rsidR="00C03057">
              <w:rPr>
                <w:rFonts w:asciiTheme="majorHAnsi" w:eastAsia="Times New Roman" w:hAnsiTheme="majorHAnsi" w:cs="Arial"/>
                <w:sz w:val="20"/>
                <w:szCs w:val="20"/>
                <w:lang w:eastAsia="es-ES"/>
              </w:rPr>
              <w:t xml:space="preserve"> </w:t>
            </w:r>
            <w:r w:rsidRPr="00CD4895">
              <w:rPr>
                <w:rFonts w:asciiTheme="majorHAnsi" w:eastAsia="Times New Roman" w:hAnsiTheme="majorHAnsi" w:cs="Arial"/>
                <w:sz w:val="20"/>
                <w:szCs w:val="20"/>
                <w:lang w:eastAsia="es-ES"/>
              </w:rPr>
              <w:t>l</w:t>
            </w:r>
            <w:r w:rsidR="00C03057">
              <w:rPr>
                <w:rFonts w:asciiTheme="majorHAnsi" w:eastAsia="Times New Roman" w:hAnsiTheme="majorHAnsi" w:cs="Arial"/>
                <w:sz w:val="20"/>
                <w:szCs w:val="20"/>
                <w:lang w:eastAsia="es-ES"/>
              </w:rPr>
              <w:t>a</w:t>
            </w:r>
            <w:r w:rsidRPr="00CD4895">
              <w:rPr>
                <w:rFonts w:asciiTheme="majorHAnsi" w:eastAsia="Times New Roman" w:hAnsiTheme="majorHAnsi" w:cs="Arial"/>
                <w:sz w:val="20"/>
                <w:szCs w:val="20"/>
                <w:lang w:eastAsia="es-ES"/>
              </w:rPr>
              <w:t xml:space="preserve"> </w:t>
            </w:r>
            <w:r w:rsidR="00C03057" w:rsidRPr="00CD4895">
              <w:rPr>
                <w:rFonts w:asciiTheme="majorHAnsi" w:eastAsia="Times New Roman" w:hAnsiTheme="majorHAnsi" w:cs="Arial"/>
                <w:sz w:val="20"/>
                <w:szCs w:val="20"/>
                <w:lang w:eastAsia="es-ES"/>
              </w:rPr>
              <w:t>observancia</w:t>
            </w:r>
            <w:r w:rsidRPr="00CD4895">
              <w:rPr>
                <w:rFonts w:asciiTheme="majorHAnsi" w:eastAsia="Times New Roman" w:hAnsiTheme="majorHAnsi" w:cs="Arial"/>
                <w:sz w:val="20"/>
                <w:szCs w:val="20"/>
                <w:lang w:eastAsia="es-ES"/>
              </w:rPr>
              <w:t xml:space="preserve"> de las</w:t>
            </w:r>
            <w:r w:rsidR="006C4443">
              <w:rPr>
                <w:rFonts w:asciiTheme="majorHAnsi" w:eastAsia="Times New Roman" w:hAnsiTheme="majorHAnsi" w:cs="Arial"/>
                <w:sz w:val="20"/>
                <w:szCs w:val="20"/>
                <w:lang w:eastAsia="es-ES"/>
              </w:rPr>
              <w:t xml:space="preserve"> normas</w:t>
            </w:r>
            <w:r w:rsidRPr="00CD4895">
              <w:rPr>
                <w:rFonts w:asciiTheme="majorHAnsi" w:eastAsia="Times New Roman" w:hAnsiTheme="majorHAnsi" w:cs="Arial"/>
                <w:sz w:val="20"/>
                <w:szCs w:val="20"/>
                <w:lang w:eastAsia="es-ES"/>
              </w:rPr>
              <w:t xml:space="preserve"> ISO/IEC/17025 </w:t>
            </w:r>
            <w:r w:rsidR="00B83EEA">
              <w:rPr>
                <w:rFonts w:asciiTheme="majorHAnsi" w:eastAsia="Times New Roman" w:hAnsiTheme="majorHAnsi" w:cs="Arial"/>
                <w:sz w:val="20"/>
                <w:szCs w:val="20"/>
                <w:lang w:eastAsia="es-ES"/>
              </w:rPr>
              <w:t xml:space="preserve">e </w:t>
            </w:r>
            <w:r w:rsidRPr="00CD4895">
              <w:rPr>
                <w:rFonts w:asciiTheme="majorHAnsi" w:eastAsia="Times New Roman" w:hAnsiTheme="majorHAnsi" w:cs="Arial"/>
                <w:sz w:val="20"/>
                <w:szCs w:val="20"/>
                <w:lang w:eastAsia="es-ES"/>
              </w:rPr>
              <w:t xml:space="preserve">ISO/ICE/17065 respectivamente, las cuales son la base de la presente Disposición Técnica. </w:t>
            </w:r>
          </w:p>
          <w:p w:rsidR="00545983" w:rsidRPr="00CD4895" w:rsidRDefault="00545983" w:rsidP="00545983">
            <w:pPr>
              <w:jc w:val="both"/>
              <w:rPr>
                <w:rFonts w:asciiTheme="majorHAnsi" w:eastAsia="Times New Roman" w:hAnsiTheme="majorHAnsi" w:cs="Arial"/>
                <w:sz w:val="20"/>
                <w:szCs w:val="20"/>
                <w:lang w:eastAsia="es-ES"/>
              </w:rPr>
            </w:pPr>
          </w:p>
          <w:p w:rsidR="00545983" w:rsidRPr="00CD4895"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Sin perjuicio de lo anterior, es preciso señalar que aquellos organismos interesados en realizar </w:t>
            </w:r>
            <w:r w:rsidR="006C4443">
              <w:rPr>
                <w:rFonts w:asciiTheme="majorHAnsi" w:eastAsia="Times New Roman" w:hAnsiTheme="majorHAnsi" w:cs="Arial"/>
                <w:sz w:val="20"/>
                <w:szCs w:val="20"/>
                <w:lang w:eastAsia="es-ES"/>
              </w:rPr>
              <w:t>la evaluación de</w:t>
            </w:r>
            <w:r w:rsidRPr="00CD4895">
              <w:rPr>
                <w:rFonts w:asciiTheme="majorHAnsi" w:eastAsia="Times New Roman" w:hAnsiTheme="majorHAnsi" w:cs="Arial"/>
                <w:sz w:val="20"/>
                <w:szCs w:val="20"/>
                <w:lang w:eastAsia="es-ES"/>
              </w:rPr>
              <w:t xml:space="preserve"> la conformidad que soliciten alguno de los trámites referidos en el presente disposición lo realizarán para proveer un servicio, es decir, lo realizarán con base en un plan de negocios que les reditúe las utilidades necesarias para compensar los costos de oportunidad que implican las inversiones y gastos operativos, en tal virtud, para efectos del presente análisis de impacto no se estimó un efecto en los niveles de OPEX y CAPEX de las empresas.</w:t>
            </w:r>
          </w:p>
          <w:p w:rsidR="0092177E" w:rsidRDefault="0092177E" w:rsidP="006045A2">
            <w:pPr>
              <w:tabs>
                <w:tab w:val="left" w:pos="1972"/>
                <w:tab w:val="center" w:pos="4306"/>
              </w:tabs>
              <w:rPr>
                <w:rFonts w:asciiTheme="majorHAnsi" w:eastAsia="Times New Roman" w:hAnsiTheme="majorHAnsi" w:cs="Arial"/>
                <w:sz w:val="20"/>
                <w:szCs w:val="20"/>
                <w:lang w:eastAsia="es-ES"/>
              </w:rPr>
            </w:pPr>
          </w:p>
          <w:p w:rsidR="006C4443" w:rsidRDefault="00545983">
            <w:pPr>
              <w:jc w:val="both"/>
              <w:rPr>
                <w:rFonts w:asciiTheme="majorHAnsi" w:eastAsia="Times New Roman" w:hAnsiTheme="majorHAnsi" w:cs="Arial"/>
                <w:sz w:val="20"/>
                <w:szCs w:val="20"/>
                <w:lang w:eastAsia="es-ES"/>
              </w:rPr>
            </w:pPr>
            <w:r w:rsidRPr="0040151E">
              <w:rPr>
                <w:rFonts w:asciiTheme="majorHAnsi" w:eastAsia="Times New Roman" w:hAnsiTheme="majorHAnsi" w:cs="Arial"/>
                <w:sz w:val="20"/>
                <w:szCs w:val="20"/>
                <w:lang w:eastAsia="es-ES"/>
              </w:rPr>
              <w:t>Por tanto</w:t>
            </w:r>
            <w:r w:rsidR="0092177E" w:rsidRPr="0040151E">
              <w:rPr>
                <w:rFonts w:asciiTheme="majorHAnsi" w:eastAsia="Times New Roman" w:hAnsiTheme="majorHAnsi" w:cs="Arial"/>
                <w:sz w:val="20"/>
                <w:szCs w:val="20"/>
                <w:lang w:eastAsia="es-ES"/>
              </w:rPr>
              <w:t>,</w:t>
            </w:r>
            <w:r w:rsidR="00093E69" w:rsidRPr="0040151E">
              <w:rPr>
                <w:rFonts w:asciiTheme="majorHAnsi" w:eastAsia="Times New Roman" w:hAnsiTheme="majorHAnsi" w:cs="Arial"/>
                <w:sz w:val="20"/>
                <w:szCs w:val="20"/>
                <w:lang w:eastAsia="es-ES"/>
              </w:rPr>
              <w:t xml:space="preserve"> </w:t>
            </w:r>
            <w:r w:rsidR="00460889" w:rsidRPr="0040151E">
              <w:rPr>
                <w:rFonts w:asciiTheme="majorHAnsi" w:eastAsia="Times New Roman" w:hAnsiTheme="majorHAnsi" w:cs="Arial"/>
                <w:sz w:val="20"/>
                <w:szCs w:val="20"/>
                <w:lang w:eastAsia="es-ES"/>
              </w:rPr>
              <w:t>los costos agregados a la industria se estiman en</w:t>
            </w:r>
            <w:r w:rsidR="0092177E" w:rsidRPr="0040151E">
              <w:rPr>
                <w:rFonts w:asciiTheme="majorHAnsi" w:eastAsia="Times New Roman" w:hAnsiTheme="majorHAnsi" w:cs="Times New Roman"/>
                <w:color w:val="000000"/>
                <w:sz w:val="20"/>
                <w:szCs w:val="20"/>
                <w:lang w:eastAsia="es-MX"/>
              </w:rPr>
              <w:t xml:space="preserve"> </w:t>
            </w:r>
            <w:r w:rsidR="00886267" w:rsidRPr="00D35E97">
              <w:rPr>
                <w:rFonts w:asciiTheme="majorHAnsi" w:eastAsia="Times New Roman" w:hAnsiTheme="majorHAnsi" w:cs="Arial"/>
                <w:sz w:val="20"/>
                <w:szCs w:val="20"/>
                <w:lang w:eastAsia="es-ES"/>
              </w:rPr>
              <w:t>$</w:t>
            </w:r>
            <w:r w:rsidR="000471F8" w:rsidRPr="00D35E97">
              <w:rPr>
                <w:rFonts w:asciiTheme="majorHAnsi" w:eastAsia="Times New Roman" w:hAnsiTheme="majorHAnsi" w:cs="Arial"/>
                <w:sz w:val="20"/>
                <w:szCs w:val="20"/>
                <w:lang w:eastAsia="es-ES"/>
              </w:rPr>
              <w:t>43</w:t>
            </w:r>
            <w:r w:rsidR="00D736D7" w:rsidRPr="00D35E97">
              <w:rPr>
                <w:rFonts w:asciiTheme="majorHAnsi" w:eastAsia="Times New Roman" w:hAnsiTheme="majorHAnsi" w:cs="Arial"/>
                <w:sz w:val="20"/>
                <w:szCs w:val="20"/>
                <w:lang w:eastAsia="es-ES"/>
              </w:rPr>
              <w:t>, 465,049.32</w:t>
            </w:r>
            <w:r w:rsidR="00B0280B" w:rsidRPr="00D35E97">
              <w:rPr>
                <w:rFonts w:asciiTheme="majorHAnsi" w:eastAsia="Times New Roman" w:hAnsiTheme="majorHAnsi" w:cs="Arial"/>
                <w:sz w:val="20"/>
                <w:szCs w:val="20"/>
                <w:lang w:eastAsia="es-ES"/>
              </w:rPr>
              <w:t xml:space="preserve"> </w:t>
            </w:r>
            <w:r w:rsidR="0092177E" w:rsidRPr="0040151E">
              <w:rPr>
                <w:rFonts w:asciiTheme="majorHAnsi" w:eastAsia="Times New Roman" w:hAnsiTheme="majorHAnsi" w:cs="Arial"/>
                <w:sz w:val="20"/>
                <w:szCs w:val="20"/>
                <w:lang w:eastAsia="es-ES"/>
              </w:rPr>
              <w:t>pesos</w:t>
            </w:r>
            <w:r w:rsidR="00D736D7">
              <w:rPr>
                <w:rFonts w:asciiTheme="majorHAnsi" w:eastAsia="Times New Roman" w:hAnsiTheme="majorHAnsi" w:cs="Arial"/>
                <w:sz w:val="20"/>
                <w:szCs w:val="20"/>
                <w:lang w:eastAsia="es-ES"/>
              </w:rPr>
              <w:t xml:space="preserve">, de los cuales actualmente vía la </w:t>
            </w:r>
            <w:r w:rsidR="00363B83">
              <w:rPr>
                <w:rFonts w:asciiTheme="majorHAnsi" w:eastAsia="Times New Roman" w:hAnsiTheme="majorHAnsi" w:cs="Arial"/>
                <w:sz w:val="20"/>
                <w:szCs w:val="20"/>
                <w:lang w:eastAsia="es-ES"/>
              </w:rPr>
              <w:t xml:space="preserve">solicitud de la </w:t>
            </w:r>
            <w:r w:rsidR="00D736D7">
              <w:rPr>
                <w:rFonts w:asciiTheme="majorHAnsi" w:eastAsia="Times New Roman" w:hAnsiTheme="majorHAnsi" w:cs="Arial"/>
                <w:sz w:val="20"/>
                <w:szCs w:val="20"/>
                <w:lang w:eastAsia="es-ES"/>
              </w:rPr>
              <w:t xml:space="preserve">certificación de peritos se </w:t>
            </w:r>
            <w:r w:rsidR="00D35E97">
              <w:rPr>
                <w:rFonts w:asciiTheme="majorHAnsi" w:eastAsia="Times New Roman" w:hAnsiTheme="majorHAnsi" w:cs="Arial"/>
                <w:sz w:val="20"/>
                <w:szCs w:val="20"/>
                <w:lang w:eastAsia="es-ES"/>
              </w:rPr>
              <w:t xml:space="preserve">destinan </w:t>
            </w:r>
            <w:r w:rsidR="00D736D7" w:rsidRPr="00D35E97">
              <w:rPr>
                <w:rFonts w:asciiTheme="majorHAnsi" w:eastAsia="Times New Roman" w:hAnsiTheme="majorHAnsi" w:cs="Arial"/>
                <w:sz w:val="20"/>
                <w:szCs w:val="20"/>
                <w:lang w:eastAsia="es-ES"/>
              </w:rPr>
              <w:t xml:space="preserve">$15, 926,400.00, por lo tanto el impacto general a la industria </w:t>
            </w:r>
            <w:r w:rsidR="00AC2585">
              <w:rPr>
                <w:rFonts w:asciiTheme="majorHAnsi" w:eastAsia="Times New Roman" w:hAnsiTheme="majorHAnsi" w:cs="Arial"/>
                <w:sz w:val="20"/>
                <w:szCs w:val="20"/>
                <w:lang w:eastAsia="es-ES"/>
              </w:rPr>
              <w:t xml:space="preserve">se estima en </w:t>
            </w:r>
            <w:r w:rsidR="00D736D7" w:rsidRPr="00D35E97">
              <w:rPr>
                <w:rFonts w:asciiTheme="majorHAnsi" w:eastAsia="Times New Roman" w:hAnsiTheme="majorHAnsi" w:cs="Arial"/>
                <w:sz w:val="20"/>
                <w:szCs w:val="20"/>
                <w:lang w:eastAsia="es-ES"/>
              </w:rPr>
              <w:t xml:space="preserve"> </w:t>
            </w:r>
            <w:r w:rsidR="00D736D7" w:rsidRPr="00AC2585">
              <w:rPr>
                <w:rFonts w:asciiTheme="majorHAnsi" w:eastAsia="Times New Roman" w:hAnsiTheme="majorHAnsi" w:cs="Arial"/>
                <w:b/>
                <w:sz w:val="20"/>
                <w:szCs w:val="20"/>
                <w:lang w:eastAsia="es-ES"/>
              </w:rPr>
              <w:t>27, 538,649.00 pesos</w:t>
            </w:r>
            <w:r w:rsidR="00D736D7" w:rsidRPr="00D35E97">
              <w:rPr>
                <w:rFonts w:asciiTheme="majorHAnsi" w:eastAsia="Times New Roman" w:hAnsiTheme="majorHAnsi" w:cs="Arial"/>
                <w:sz w:val="20"/>
                <w:szCs w:val="20"/>
                <w:lang w:eastAsia="es-ES"/>
              </w:rPr>
              <w:t>.</w:t>
            </w:r>
          </w:p>
          <w:p w:rsidR="006A7C28" w:rsidRPr="006A7C28" w:rsidRDefault="00AC2585" w:rsidP="006A7C28">
            <w:pPr>
              <w:tabs>
                <w:tab w:val="left" w:pos="0"/>
              </w:tabs>
              <w:spacing w:after="101"/>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 </w:t>
            </w:r>
            <w:r w:rsidR="006A7C28" w:rsidRPr="006A7C28">
              <w:rPr>
                <w:rFonts w:asciiTheme="majorHAnsi" w:eastAsia="Times New Roman" w:hAnsiTheme="majorHAnsi" w:cs="Arial"/>
                <w:sz w:val="20"/>
                <w:szCs w:val="20"/>
                <w:lang w:eastAsia="es-ES"/>
              </w:rPr>
              <w:t>Éste último costo se trasladaría a todo el lote de equipos del mismo modelo amparado bajo el mismo certificado de conformidad, y el número de equipos que conforman el lote mencionado puede variar significativamente.</w:t>
            </w:r>
          </w:p>
          <w:p w:rsidR="00A357E8" w:rsidRDefault="006A7C28" w:rsidP="006A7C28">
            <w:pPr>
              <w:tabs>
                <w:tab w:val="left" w:pos="0"/>
              </w:tabs>
              <w:spacing w:after="101"/>
              <w:jc w:val="both"/>
              <w:rPr>
                <w:rFonts w:asciiTheme="majorHAnsi" w:eastAsia="Times New Roman" w:hAnsiTheme="majorHAnsi" w:cs="Arial"/>
                <w:sz w:val="20"/>
                <w:szCs w:val="20"/>
                <w:lang w:eastAsia="es-ES"/>
              </w:rPr>
            </w:pPr>
            <w:r w:rsidRPr="006A7C28">
              <w:rPr>
                <w:rFonts w:asciiTheme="majorHAnsi" w:eastAsia="Times New Roman" w:hAnsiTheme="majorHAnsi" w:cs="Arial"/>
                <w:sz w:val="20"/>
                <w:szCs w:val="20"/>
                <w:lang w:eastAsia="es-ES"/>
              </w:rPr>
              <w:t xml:space="preserve">En ese orden de ideas, a continuación </w:t>
            </w:r>
            <w:r>
              <w:rPr>
                <w:rFonts w:asciiTheme="majorHAnsi" w:eastAsia="Times New Roman" w:hAnsiTheme="majorHAnsi" w:cs="Arial"/>
                <w:sz w:val="20"/>
                <w:szCs w:val="20"/>
                <w:lang w:eastAsia="es-ES"/>
              </w:rPr>
              <w:t xml:space="preserve">la </w:t>
            </w:r>
            <w:r w:rsidRPr="001C1EBA">
              <w:rPr>
                <w:rFonts w:asciiTheme="majorHAnsi" w:eastAsia="Times New Roman" w:hAnsiTheme="majorHAnsi" w:cs="Arial"/>
                <w:sz w:val="20"/>
                <w:szCs w:val="20"/>
                <w:lang w:eastAsia="es-ES"/>
              </w:rPr>
              <w:t xml:space="preserve">Tabla </w:t>
            </w:r>
            <w:r w:rsidR="001C1EBA" w:rsidRPr="001C1EBA">
              <w:rPr>
                <w:rFonts w:asciiTheme="majorHAnsi" w:eastAsia="Times New Roman" w:hAnsiTheme="majorHAnsi" w:cs="Arial"/>
                <w:sz w:val="20"/>
                <w:szCs w:val="20"/>
                <w:lang w:eastAsia="es-ES"/>
              </w:rPr>
              <w:t>3</w:t>
            </w:r>
            <w:r w:rsidRPr="006A7C28">
              <w:rPr>
                <w:rFonts w:asciiTheme="majorHAnsi" w:eastAsia="Times New Roman" w:hAnsiTheme="majorHAnsi" w:cs="Arial"/>
                <w:sz w:val="20"/>
                <w:szCs w:val="20"/>
                <w:lang w:eastAsia="es-ES"/>
              </w:rPr>
              <w:t xml:space="preserve"> muestra la información relativa al número de Certificados de Homologación emitidos por el Instituto, desglosado por año: </w:t>
            </w:r>
          </w:p>
          <w:p w:rsidR="00A357E8" w:rsidRDefault="00A357E8" w:rsidP="006A7C28">
            <w:pPr>
              <w:tabs>
                <w:tab w:val="left" w:pos="0"/>
              </w:tabs>
              <w:spacing w:after="101"/>
              <w:jc w:val="both"/>
              <w:rPr>
                <w:rFonts w:asciiTheme="majorHAnsi" w:eastAsia="Times New Roman" w:hAnsiTheme="majorHAnsi" w:cs="Arial"/>
                <w:sz w:val="20"/>
                <w:szCs w:val="20"/>
                <w:lang w:eastAsia="es-ES"/>
              </w:rPr>
            </w:pPr>
          </w:p>
          <w:p w:rsidR="00A357E8" w:rsidRDefault="00A357E8" w:rsidP="006A7C28">
            <w:pPr>
              <w:tabs>
                <w:tab w:val="left" w:pos="0"/>
              </w:tabs>
              <w:spacing w:after="101"/>
              <w:jc w:val="both"/>
              <w:rPr>
                <w:rFonts w:asciiTheme="majorHAnsi" w:eastAsia="Times New Roman" w:hAnsiTheme="majorHAnsi" w:cs="Arial"/>
                <w:sz w:val="20"/>
                <w:szCs w:val="20"/>
                <w:lang w:eastAsia="es-ES"/>
              </w:rPr>
            </w:pPr>
          </w:p>
          <w:p w:rsidR="00A357E8" w:rsidRDefault="00A357E8" w:rsidP="006A7C28">
            <w:pPr>
              <w:tabs>
                <w:tab w:val="left" w:pos="0"/>
              </w:tabs>
              <w:spacing w:after="101"/>
              <w:jc w:val="both"/>
              <w:rPr>
                <w:rFonts w:asciiTheme="majorHAnsi" w:eastAsia="Times New Roman" w:hAnsiTheme="majorHAnsi" w:cs="Arial"/>
                <w:sz w:val="20"/>
                <w:szCs w:val="20"/>
                <w:lang w:eastAsia="es-ES"/>
              </w:rPr>
            </w:pPr>
          </w:p>
          <w:p w:rsidR="00A357E8" w:rsidRDefault="00A357E8" w:rsidP="006A7C28">
            <w:pPr>
              <w:tabs>
                <w:tab w:val="left" w:pos="0"/>
              </w:tabs>
              <w:spacing w:after="101"/>
              <w:jc w:val="both"/>
              <w:rPr>
                <w:rFonts w:asciiTheme="majorHAnsi" w:eastAsia="Times New Roman" w:hAnsiTheme="majorHAnsi" w:cs="Arial"/>
                <w:sz w:val="20"/>
                <w:szCs w:val="20"/>
                <w:lang w:eastAsia="es-ES"/>
              </w:rPr>
            </w:pPr>
          </w:p>
          <w:p w:rsidR="00A357E8" w:rsidRDefault="00A357E8" w:rsidP="006A7C28">
            <w:pPr>
              <w:tabs>
                <w:tab w:val="left" w:pos="0"/>
              </w:tabs>
              <w:spacing w:after="101"/>
              <w:jc w:val="both"/>
              <w:rPr>
                <w:rFonts w:asciiTheme="majorHAnsi" w:eastAsia="Times New Roman" w:hAnsiTheme="majorHAnsi" w:cs="Arial"/>
                <w:sz w:val="20"/>
                <w:szCs w:val="20"/>
                <w:lang w:eastAsia="es-ES"/>
              </w:rPr>
            </w:pPr>
          </w:p>
          <w:p w:rsidR="00A357E8" w:rsidRDefault="00A357E8" w:rsidP="006A7C28">
            <w:pPr>
              <w:tabs>
                <w:tab w:val="left" w:pos="0"/>
              </w:tabs>
              <w:spacing w:after="101"/>
              <w:jc w:val="both"/>
              <w:rPr>
                <w:rFonts w:asciiTheme="majorHAnsi" w:eastAsia="Times New Roman" w:hAnsiTheme="majorHAnsi" w:cs="Arial"/>
                <w:sz w:val="20"/>
                <w:szCs w:val="20"/>
                <w:lang w:eastAsia="es-ES"/>
              </w:rPr>
            </w:pPr>
          </w:p>
          <w:p w:rsidR="00A357E8" w:rsidRDefault="00A357E8" w:rsidP="00A357E8">
            <w:pPr>
              <w:jc w:val="both"/>
              <w:rPr>
                <w:rFonts w:asciiTheme="majorHAnsi" w:eastAsia="Times New Roman" w:hAnsiTheme="majorHAnsi" w:cs="Arial"/>
                <w:sz w:val="20"/>
                <w:szCs w:val="20"/>
                <w:lang w:eastAsia="es-ES"/>
              </w:rPr>
            </w:pPr>
          </w:p>
          <w:p w:rsidR="001A4F53" w:rsidRDefault="006A7C28" w:rsidP="009847BB">
            <w:pPr>
              <w:shd w:val="clear" w:color="auto" w:fill="FFFFFF"/>
              <w:spacing w:after="101"/>
              <w:jc w:val="both"/>
              <w:rPr>
                <w:rFonts w:asciiTheme="majorHAnsi" w:eastAsia="Times New Roman" w:hAnsiTheme="majorHAnsi" w:cs="Arial"/>
                <w:sz w:val="20"/>
                <w:szCs w:val="20"/>
                <w:lang w:eastAsia="es-ES"/>
              </w:rPr>
            </w:pPr>
            <w:r w:rsidRPr="006A7C28">
              <w:rPr>
                <w:rFonts w:asciiTheme="majorHAnsi" w:eastAsia="Times New Roman" w:hAnsiTheme="majorHAnsi" w:cs="Arial"/>
                <w:sz w:val="20"/>
                <w:szCs w:val="20"/>
                <w:lang w:eastAsia="es-ES"/>
              </w:rPr>
              <w:t>Si se considera, de acuerdo a lo establecido en el Anteproyecto que: “El número de visitas de Vigilancia de la certificación será del 5% del total de certificados expedidos, respecto a la presente DT, por cada Organismo de Certificación el año anterior a la Vigilancia del cumplimiento de la certificación, seleccionados de manera aleatoria”; el número de Certificados de Homologación emitidos hasta septiembre de 2017 es de 390, y se estima que se emitirán un total de 520 certificados de homologación durante el 2017; por lo tanto, se llevarían a cabo (previa autorización del Instituto) un máximo de 20 visitas, costo para la micro, pequeñas y medianas empresas que importen, comercialicen o distribuyan Equipos Terminales Móviles que ya se encuentra considerado dentro de la obtención del Certificado de conformidad</w:t>
            </w:r>
            <w:r>
              <w:rPr>
                <w:rFonts w:asciiTheme="majorHAnsi" w:eastAsia="Times New Roman" w:hAnsiTheme="majorHAnsi" w:cs="Arial"/>
                <w:sz w:val="20"/>
                <w:szCs w:val="20"/>
                <w:lang w:eastAsia="es-ES"/>
              </w:rPr>
              <w:t>.</w:t>
            </w:r>
          </w:p>
          <w:p w:rsidR="006A7C28" w:rsidRDefault="006A7C28" w:rsidP="006A7C28">
            <w:pPr>
              <w:jc w:val="both"/>
              <w:rPr>
                <w:rFonts w:asciiTheme="majorHAnsi" w:eastAsia="Times New Roman" w:hAnsiTheme="majorHAnsi" w:cs="Arial"/>
                <w:sz w:val="20"/>
                <w:szCs w:val="20"/>
                <w:lang w:eastAsia="es-ES"/>
              </w:rPr>
            </w:pPr>
          </w:p>
          <w:tbl>
            <w:tblPr>
              <w:tblStyle w:val="Tablaconcuadrcula"/>
              <w:tblpPr w:leftFromText="141" w:rightFromText="141" w:vertAnchor="text" w:horzAnchor="page" w:tblpXSpec="center" w:tblpY="-52"/>
              <w:tblOverlap w:val="never"/>
              <w:tblW w:w="0" w:type="auto"/>
              <w:tblLayout w:type="fixed"/>
              <w:tblLook w:val="04A0" w:firstRow="1" w:lastRow="0" w:firstColumn="1" w:lastColumn="0" w:noHBand="0" w:noVBand="1"/>
            </w:tblPr>
            <w:tblGrid>
              <w:gridCol w:w="1555"/>
              <w:gridCol w:w="3147"/>
            </w:tblGrid>
            <w:tr w:rsidR="00A357E8" w:rsidRPr="00AC7165" w:rsidTr="00CB5844">
              <w:tc>
                <w:tcPr>
                  <w:tcW w:w="1555" w:type="dxa"/>
                </w:tcPr>
                <w:p w:rsidR="00A357E8" w:rsidRPr="00AC7165" w:rsidRDefault="00A357E8" w:rsidP="00A357E8">
                  <w:pPr>
                    <w:tabs>
                      <w:tab w:val="left" w:pos="871"/>
                    </w:tabs>
                    <w:spacing w:after="160" w:line="259" w:lineRule="auto"/>
                    <w:jc w:val="center"/>
                    <w:rPr>
                      <w:rFonts w:asciiTheme="majorHAnsi" w:eastAsia="Times New Roman" w:hAnsiTheme="majorHAnsi" w:cs="Arial"/>
                      <w:b/>
                      <w:sz w:val="18"/>
                      <w:szCs w:val="20"/>
                      <w:lang w:eastAsia="es-ES"/>
                    </w:rPr>
                  </w:pPr>
                  <w:r w:rsidRPr="00AC7165">
                    <w:rPr>
                      <w:rFonts w:asciiTheme="majorHAnsi" w:eastAsia="Times New Roman" w:hAnsiTheme="majorHAnsi" w:cs="Arial"/>
                      <w:b/>
                      <w:sz w:val="18"/>
                      <w:szCs w:val="20"/>
                      <w:lang w:eastAsia="es-ES"/>
                    </w:rPr>
                    <w:t>AÑO</w:t>
                  </w:r>
                </w:p>
              </w:tc>
              <w:tc>
                <w:tcPr>
                  <w:tcW w:w="3147" w:type="dxa"/>
                </w:tcPr>
                <w:p w:rsidR="00A357E8" w:rsidRPr="00AC7165" w:rsidRDefault="00A357E8" w:rsidP="00A357E8">
                  <w:pPr>
                    <w:spacing w:after="160" w:line="259" w:lineRule="auto"/>
                    <w:jc w:val="center"/>
                    <w:rPr>
                      <w:rFonts w:asciiTheme="majorHAnsi" w:eastAsia="Times New Roman" w:hAnsiTheme="majorHAnsi" w:cs="Arial"/>
                      <w:b/>
                      <w:sz w:val="18"/>
                      <w:szCs w:val="20"/>
                      <w:lang w:eastAsia="es-ES"/>
                    </w:rPr>
                  </w:pPr>
                  <w:r w:rsidRPr="00AC7165">
                    <w:rPr>
                      <w:rFonts w:asciiTheme="majorHAnsi" w:eastAsia="Times New Roman" w:hAnsiTheme="majorHAnsi" w:cs="Arial"/>
                      <w:b/>
                      <w:sz w:val="18"/>
                      <w:szCs w:val="20"/>
                      <w:lang w:eastAsia="es-ES"/>
                    </w:rPr>
                    <w:t>NÚMERO DE CERTIFICADOS DE HOMOLOGACIÓN DE EQUIPOS TERMINALES MÓVILES EMITIDOS POR EL IFT</w:t>
                  </w:r>
                </w:p>
              </w:tc>
            </w:tr>
            <w:tr w:rsidR="00A357E8" w:rsidRPr="00AC7165" w:rsidTr="00CB5844">
              <w:tc>
                <w:tcPr>
                  <w:tcW w:w="1555"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Hasta 09/2017</w:t>
                  </w:r>
                </w:p>
              </w:tc>
              <w:tc>
                <w:tcPr>
                  <w:tcW w:w="3147"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 xml:space="preserve">390 </w:t>
                  </w:r>
                </w:p>
              </w:tc>
            </w:tr>
            <w:tr w:rsidR="00A357E8" w:rsidRPr="00AC7165" w:rsidTr="00CB5844">
              <w:tc>
                <w:tcPr>
                  <w:tcW w:w="1555"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2016</w:t>
                  </w:r>
                </w:p>
              </w:tc>
              <w:tc>
                <w:tcPr>
                  <w:tcW w:w="3147"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632</w:t>
                  </w:r>
                </w:p>
              </w:tc>
            </w:tr>
            <w:tr w:rsidR="00A357E8" w:rsidRPr="00AC7165" w:rsidTr="00CB5844">
              <w:tc>
                <w:tcPr>
                  <w:tcW w:w="1555"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2015</w:t>
                  </w:r>
                </w:p>
              </w:tc>
              <w:tc>
                <w:tcPr>
                  <w:tcW w:w="3147"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837</w:t>
                  </w:r>
                </w:p>
              </w:tc>
            </w:tr>
            <w:tr w:rsidR="00A357E8" w:rsidRPr="00AC7165" w:rsidTr="00CB5844">
              <w:tc>
                <w:tcPr>
                  <w:tcW w:w="1555"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2014</w:t>
                  </w:r>
                </w:p>
              </w:tc>
              <w:tc>
                <w:tcPr>
                  <w:tcW w:w="3147"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519</w:t>
                  </w:r>
                </w:p>
              </w:tc>
            </w:tr>
            <w:tr w:rsidR="00A357E8" w:rsidRPr="00AC7165" w:rsidTr="00CB5844">
              <w:tc>
                <w:tcPr>
                  <w:tcW w:w="1555"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2013</w:t>
                  </w:r>
                </w:p>
              </w:tc>
              <w:tc>
                <w:tcPr>
                  <w:tcW w:w="3147"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386</w:t>
                  </w:r>
                </w:p>
              </w:tc>
            </w:tr>
            <w:tr w:rsidR="00A357E8" w:rsidRPr="00AC7165" w:rsidTr="00CB5844">
              <w:tc>
                <w:tcPr>
                  <w:tcW w:w="1555"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2012</w:t>
                  </w:r>
                </w:p>
              </w:tc>
              <w:tc>
                <w:tcPr>
                  <w:tcW w:w="3147"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383</w:t>
                  </w:r>
                </w:p>
              </w:tc>
            </w:tr>
            <w:tr w:rsidR="00A357E8" w:rsidRPr="00AC7165" w:rsidTr="00CB5844">
              <w:tc>
                <w:tcPr>
                  <w:tcW w:w="1555"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2011</w:t>
                  </w:r>
                </w:p>
              </w:tc>
              <w:tc>
                <w:tcPr>
                  <w:tcW w:w="3147" w:type="dxa"/>
                </w:tcPr>
                <w:p w:rsidR="00A357E8" w:rsidRPr="00AC7165" w:rsidRDefault="00A357E8" w:rsidP="00A357E8">
                  <w:pPr>
                    <w:spacing w:after="160" w:line="259" w:lineRule="auto"/>
                    <w:jc w:val="center"/>
                    <w:rPr>
                      <w:rFonts w:asciiTheme="majorHAnsi" w:eastAsia="Times New Roman" w:hAnsiTheme="majorHAnsi" w:cs="Arial"/>
                      <w:sz w:val="18"/>
                      <w:szCs w:val="20"/>
                      <w:lang w:eastAsia="es-ES"/>
                    </w:rPr>
                  </w:pPr>
                  <w:r w:rsidRPr="00AC7165">
                    <w:rPr>
                      <w:rFonts w:asciiTheme="majorHAnsi" w:eastAsia="Times New Roman" w:hAnsiTheme="majorHAnsi" w:cs="Arial"/>
                      <w:sz w:val="18"/>
                      <w:szCs w:val="20"/>
                      <w:lang w:eastAsia="es-ES"/>
                    </w:rPr>
                    <w:t>382</w:t>
                  </w:r>
                </w:p>
              </w:tc>
            </w:tr>
          </w:tbl>
          <w:p w:rsidR="00A357E8" w:rsidRDefault="00A357E8" w:rsidP="006A7C28">
            <w:pPr>
              <w:jc w:val="both"/>
              <w:rPr>
                <w:rFonts w:asciiTheme="majorHAnsi" w:eastAsia="Times New Roman" w:hAnsiTheme="majorHAnsi" w:cs="Arial"/>
                <w:sz w:val="20"/>
                <w:szCs w:val="20"/>
                <w:lang w:eastAsia="es-ES"/>
              </w:rPr>
            </w:pPr>
          </w:p>
          <w:p w:rsidR="00A357E8" w:rsidRDefault="00A357E8" w:rsidP="006A7C28">
            <w:pPr>
              <w:jc w:val="both"/>
              <w:rPr>
                <w:rFonts w:asciiTheme="majorHAnsi" w:eastAsia="Times New Roman" w:hAnsiTheme="majorHAnsi" w:cs="Arial"/>
                <w:sz w:val="20"/>
                <w:szCs w:val="20"/>
                <w:lang w:eastAsia="es-ES"/>
              </w:rPr>
            </w:pPr>
          </w:p>
          <w:p w:rsidR="00A357E8" w:rsidRDefault="00A357E8" w:rsidP="006A7C28">
            <w:pPr>
              <w:jc w:val="both"/>
              <w:rPr>
                <w:rFonts w:asciiTheme="majorHAnsi" w:eastAsia="Times New Roman" w:hAnsiTheme="majorHAnsi" w:cs="Arial"/>
                <w:sz w:val="20"/>
                <w:szCs w:val="20"/>
                <w:lang w:eastAsia="es-ES"/>
              </w:rPr>
            </w:pPr>
          </w:p>
          <w:p w:rsidR="00A357E8" w:rsidRDefault="00A357E8" w:rsidP="006A7C28">
            <w:pPr>
              <w:jc w:val="both"/>
              <w:rPr>
                <w:rFonts w:asciiTheme="majorHAnsi" w:eastAsia="Times New Roman" w:hAnsiTheme="majorHAnsi" w:cs="Arial"/>
                <w:sz w:val="20"/>
                <w:szCs w:val="20"/>
                <w:lang w:eastAsia="es-ES"/>
              </w:rPr>
            </w:pPr>
          </w:p>
          <w:p w:rsidR="00A357E8" w:rsidRDefault="00A357E8" w:rsidP="006A7C28">
            <w:pPr>
              <w:jc w:val="both"/>
              <w:rPr>
                <w:rFonts w:asciiTheme="majorHAnsi" w:eastAsia="Times New Roman" w:hAnsiTheme="majorHAnsi" w:cs="Arial"/>
                <w:sz w:val="20"/>
                <w:szCs w:val="20"/>
                <w:lang w:eastAsia="es-ES"/>
              </w:rPr>
            </w:pPr>
          </w:p>
          <w:p w:rsidR="00A357E8" w:rsidRDefault="00A357E8" w:rsidP="006A7C28">
            <w:pPr>
              <w:jc w:val="both"/>
              <w:rPr>
                <w:rFonts w:asciiTheme="majorHAnsi" w:eastAsia="Times New Roman" w:hAnsiTheme="majorHAnsi" w:cs="Arial"/>
                <w:sz w:val="20"/>
                <w:szCs w:val="20"/>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6A7C28">
            <w:pPr>
              <w:jc w:val="both"/>
              <w:rPr>
                <w:rFonts w:asciiTheme="majorHAnsi" w:eastAsia="Times New Roman" w:hAnsiTheme="majorHAnsi" w:cs="Arial"/>
                <w:b/>
                <w:sz w:val="20"/>
                <w:szCs w:val="20"/>
                <w:u w:val="single"/>
                <w:lang w:eastAsia="es-ES"/>
              </w:rPr>
            </w:pPr>
          </w:p>
          <w:p w:rsidR="00A357E8" w:rsidRDefault="00A357E8" w:rsidP="00A357E8">
            <w:pPr>
              <w:shd w:val="clear" w:color="auto" w:fill="FFFFFF"/>
              <w:spacing w:after="101"/>
              <w:jc w:val="center"/>
              <w:rPr>
                <w:rFonts w:asciiTheme="majorHAnsi" w:hAnsiTheme="majorHAnsi"/>
                <w:b/>
                <w:sz w:val="20"/>
                <w:szCs w:val="20"/>
              </w:rPr>
            </w:pPr>
            <w:r w:rsidRPr="001C1EBA">
              <w:rPr>
                <w:rFonts w:asciiTheme="majorHAnsi" w:hAnsiTheme="majorHAnsi"/>
                <w:b/>
                <w:sz w:val="20"/>
                <w:szCs w:val="20"/>
              </w:rPr>
              <w:t>Tabla 3</w:t>
            </w:r>
            <w:r>
              <w:rPr>
                <w:rFonts w:asciiTheme="majorHAnsi" w:hAnsiTheme="majorHAnsi"/>
                <w:b/>
                <w:sz w:val="20"/>
                <w:szCs w:val="20"/>
              </w:rPr>
              <w:t>.</w:t>
            </w:r>
            <w:r w:rsidRPr="001C1EBA">
              <w:rPr>
                <w:rFonts w:asciiTheme="majorHAnsi" w:hAnsiTheme="majorHAnsi"/>
                <w:b/>
                <w:sz w:val="20"/>
                <w:szCs w:val="20"/>
              </w:rPr>
              <w:t xml:space="preserve"> Número de Certificados de Homologación</w:t>
            </w:r>
            <w:r>
              <w:rPr>
                <w:rFonts w:asciiTheme="majorHAnsi" w:hAnsiTheme="majorHAnsi"/>
                <w:b/>
                <w:sz w:val="20"/>
                <w:szCs w:val="20"/>
              </w:rPr>
              <w:t xml:space="preserve"> emitidos anualmente por Instituto</w:t>
            </w:r>
          </w:p>
          <w:p w:rsidR="00A357E8" w:rsidRDefault="00A357E8" w:rsidP="006A7C28">
            <w:pPr>
              <w:jc w:val="both"/>
              <w:rPr>
                <w:rFonts w:asciiTheme="majorHAnsi" w:eastAsia="Times New Roman" w:hAnsiTheme="majorHAnsi" w:cs="Arial"/>
                <w:b/>
                <w:sz w:val="20"/>
                <w:szCs w:val="20"/>
                <w:u w:val="single"/>
                <w:lang w:eastAsia="es-ES"/>
              </w:rPr>
            </w:pPr>
          </w:p>
          <w:p w:rsidR="006A7C28" w:rsidRPr="00DE7817" w:rsidRDefault="00A357E8" w:rsidP="006A7C28">
            <w:pPr>
              <w:jc w:val="both"/>
              <w:rPr>
                <w:rFonts w:asciiTheme="majorHAnsi" w:eastAsia="Times New Roman" w:hAnsiTheme="majorHAnsi" w:cs="Arial"/>
                <w:b/>
                <w:sz w:val="20"/>
                <w:szCs w:val="20"/>
                <w:u w:val="single"/>
                <w:lang w:eastAsia="es-ES"/>
              </w:rPr>
            </w:pPr>
            <w:r>
              <w:rPr>
                <w:rFonts w:asciiTheme="majorHAnsi" w:eastAsia="Times New Roman" w:hAnsiTheme="majorHAnsi" w:cs="Arial"/>
                <w:b/>
                <w:sz w:val="20"/>
                <w:szCs w:val="20"/>
                <w:u w:val="single"/>
                <w:lang w:eastAsia="es-ES"/>
              </w:rPr>
              <w:t>I</w:t>
            </w:r>
            <w:r w:rsidR="006A7C28" w:rsidRPr="00DE7817">
              <w:rPr>
                <w:rFonts w:asciiTheme="majorHAnsi" w:eastAsia="Times New Roman" w:hAnsiTheme="majorHAnsi" w:cs="Arial"/>
                <w:b/>
                <w:sz w:val="20"/>
                <w:szCs w:val="20"/>
                <w:u w:val="single"/>
                <w:lang w:eastAsia="es-ES"/>
              </w:rPr>
              <w:t>nclusión de la banda 28</w:t>
            </w:r>
          </w:p>
          <w:p w:rsidR="006A7C28" w:rsidRDefault="00B44579" w:rsidP="006A7C28">
            <w:pPr>
              <w:shd w:val="clear" w:color="auto" w:fill="FFFFFF"/>
              <w:spacing w:after="101"/>
              <w:jc w:val="both"/>
              <w:rPr>
                <w:rFonts w:asciiTheme="majorHAnsi" w:hAnsiTheme="majorHAnsi"/>
                <w:sz w:val="20"/>
                <w:szCs w:val="20"/>
              </w:rPr>
            </w:pPr>
            <w:r>
              <w:rPr>
                <w:rFonts w:asciiTheme="majorHAnsi" w:eastAsia="Times New Roman" w:hAnsiTheme="majorHAnsi" w:cs="Arial"/>
                <w:sz w:val="20"/>
                <w:szCs w:val="20"/>
                <w:lang w:eastAsia="es-ES"/>
              </w:rPr>
              <w:t>En 2016</w:t>
            </w:r>
            <w:r w:rsidR="006A7C28">
              <w:rPr>
                <w:rFonts w:asciiTheme="majorHAnsi" w:hAnsiTheme="majorHAnsi"/>
                <w:sz w:val="20"/>
                <w:szCs w:val="20"/>
              </w:rPr>
              <w:t xml:space="preserve"> se estiman</w:t>
            </w:r>
            <w:r w:rsidR="006A7C28" w:rsidRPr="00AE3908">
              <w:rPr>
                <w:rFonts w:asciiTheme="majorHAnsi" w:hAnsiTheme="majorHAnsi"/>
                <w:sz w:val="20"/>
                <w:szCs w:val="20"/>
              </w:rPr>
              <w:t xml:space="preserve"> ventas anuales de 42 millones de ETM </w:t>
            </w:r>
            <w:r w:rsidR="00F516FE">
              <w:rPr>
                <w:rFonts w:asciiTheme="majorHAnsi" w:hAnsiTheme="majorHAnsi"/>
                <w:sz w:val="20"/>
                <w:szCs w:val="20"/>
              </w:rPr>
              <w:t xml:space="preserve">(que se utilizan particularmente cerca del oído) </w:t>
            </w:r>
            <w:r w:rsidR="006A7C28" w:rsidRPr="00AE3908">
              <w:rPr>
                <w:rFonts w:asciiTheme="majorHAnsi" w:hAnsiTheme="majorHAnsi"/>
                <w:sz w:val="20"/>
                <w:szCs w:val="20"/>
              </w:rPr>
              <w:t>en 2016 en México, de los que el 89% corresponde</w:t>
            </w:r>
            <w:r>
              <w:rPr>
                <w:rFonts w:asciiTheme="majorHAnsi" w:hAnsiTheme="majorHAnsi"/>
                <w:sz w:val="20"/>
                <w:szCs w:val="20"/>
              </w:rPr>
              <w:t>rían</w:t>
            </w:r>
            <w:r w:rsidR="006A7C28" w:rsidRPr="00AE3908">
              <w:rPr>
                <w:rFonts w:asciiTheme="majorHAnsi" w:hAnsiTheme="majorHAnsi"/>
                <w:sz w:val="20"/>
                <w:szCs w:val="20"/>
              </w:rPr>
              <w:t xml:space="preserve"> a </w:t>
            </w:r>
            <w:proofErr w:type="spellStart"/>
            <w:r w:rsidR="006A7C28" w:rsidRPr="00AE3908">
              <w:rPr>
                <w:rFonts w:asciiTheme="majorHAnsi" w:hAnsiTheme="majorHAnsi"/>
                <w:sz w:val="20"/>
                <w:szCs w:val="20"/>
              </w:rPr>
              <w:t>Smartphones</w:t>
            </w:r>
            <w:proofErr w:type="spellEnd"/>
            <w:r w:rsidR="006A7C28" w:rsidRPr="00AE3908">
              <w:rPr>
                <w:rFonts w:asciiTheme="majorHAnsi" w:hAnsiTheme="majorHAnsi"/>
                <w:sz w:val="20"/>
                <w:szCs w:val="20"/>
              </w:rPr>
              <w:t xml:space="preserve">. El precio promedio de venta de </w:t>
            </w:r>
            <w:proofErr w:type="spellStart"/>
            <w:r w:rsidR="006A7C28" w:rsidRPr="00AE3908">
              <w:rPr>
                <w:rFonts w:asciiTheme="majorHAnsi" w:hAnsiTheme="majorHAnsi"/>
                <w:sz w:val="20"/>
                <w:szCs w:val="20"/>
              </w:rPr>
              <w:t>Smartphones</w:t>
            </w:r>
            <w:proofErr w:type="spellEnd"/>
            <w:r w:rsidR="006A7C28" w:rsidRPr="00AE3908">
              <w:rPr>
                <w:rFonts w:asciiTheme="majorHAnsi" w:hAnsiTheme="majorHAnsi"/>
                <w:sz w:val="20"/>
                <w:szCs w:val="20"/>
              </w:rPr>
              <w:t xml:space="preserve"> al consumidor final se encuentra en el intervalo de 3,200-3,300</w:t>
            </w:r>
            <w:r w:rsidR="006A7C28">
              <w:rPr>
                <w:rFonts w:asciiTheme="majorHAnsi" w:hAnsiTheme="majorHAnsi"/>
                <w:sz w:val="20"/>
                <w:szCs w:val="20"/>
              </w:rPr>
              <w:t xml:space="preserve"> pesos</w:t>
            </w:r>
            <w:r w:rsidR="006A7C28" w:rsidRPr="00AE3908">
              <w:rPr>
                <w:rFonts w:asciiTheme="majorHAnsi" w:hAnsiTheme="majorHAnsi"/>
                <w:sz w:val="20"/>
                <w:szCs w:val="20"/>
              </w:rPr>
              <w:t xml:space="preserve">, resultando en un volumen del mercado de </w:t>
            </w:r>
            <w:proofErr w:type="spellStart"/>
            <w:r w:rsidR="006A7C28" w:rsidRPr="00AE3908">
              <w:rPr>
                <w:rFonts w:asciiTheme="majorHAnsi" w:hAnsiTheme="majorHAnsi"/>
                <w:sz w:val="20"/>
                <w:szCs w:val="20"/>
              </w:rPr>
              <w:t>Smartphones</w:t>
            </w:r>
            <w:proofErr w:type="spellEnd"/>
            <w:r w:rsidR="006A7C28" w:rsidRPr="00AE3908">
              <w:rPr>
                <w:rFonts w:asciiTheme="majorHAnsi" w:hAnsiTheme="majorHAnsi"/>
                <w:sz w:val="20"/>
                <w:szCs w:val="20"/>
              </w:rPr>
              <w:t xml:space="preserve"> en torno a </w:t>
            </w:r>
            <w:r w:rsidR="006A7C28" w:rsidRPr="00EC2DCD">
              <w:rPr>
                <w:rFonts w:asciiTheme="majorHAnsi" w:hAnsiTheme="majorHAnsi"/>
                <w:b/>
                <w:sz w:val="20"/>
                <w:szCs w:val="20"/>
              </w:rPr>
              <w:t xml:space="preserve">123,000 </w:t>
            </w:r>
            <w:r w:rsidR="006A7C28" w:rsidRPr="00AE3908">
              <w:rPr>
                <w:rFonts w:asciiTheme="majorHAnsi" w:hAnsiTheme="majorHAnsi"/>
                <w:sz w:val="20"/>
                <w:szCs w:val="20"/>
              </w:rPr>
              <w:t>millones de pesos mexicanos.</w:t>
            </w:r>
          </w:p>
          <w:p w:rsidR="00B44579" w:rsidRDefault="00B44579" w:rsidP="006A7C28">
            <w:pPr>
              <w:shd w:val="clear" w:color="auto" w:fill="FFFFFF"/>
              <w:spacing w:after="101"/>
              <w:jc w:val="both"/>
              <w:rPr>
                <w:rFonts w:asciiTheme="majorHAnsi" w:hAnsiTheme="majorHAnsi"/>
                <w:sz w:val="20"/>
                <w:szCs w:val="20"/>
              </w:rPr>
            </w:pPr>
          </w:p>
          <w:p w:rsidR="006A7C28" w:rsidRPr="005C10D5" w:rsidRDefault="00B44579" w:rsidP="006A7C28">
            <w:pPr>
              <w:shd w:val="clear" w:color="auto" w:fill="FFFFFF"/>
              <w:spacing w:after="101"/>
              <w:jc w:val="both"/>
              <w:rPr>
                <w:rFonts w:asciiTheme="majorHAnsi" w:hAnsiTheme="majorHAnsi"/>
                <w:sz w:val="20"/>
                <w:szCs w:val="20"/>
              </w:rPr>
            </w:pPr>
            <w:r>
              <w:rPr>
                <w:rFonts w:asciiTheme="majorHAnsi" w:hAnsiTheme="majorHAnsi"/>
                <w:sz w:val="20"/>
                <w:szCs w:val="20"/>
              </w:rPr>
              <w:t>En</w:t>
            </w:r>
            <w:r w:rsidR="006A7C28" w:rsidRPr="005C10D5">
              <w:rPr>
                <w:rFonts w:asciiTheme="majorHAnsi" w:hAnsiTheme="majorHAnsi"/>
                <w:sz w:val="20"/>
                <w:szCs w:val="20"/>
              </w:rPr>
              <w:t xml:space="preserve"> el 1T de 2017</w:t>
            </w:r>
            <w:r w:rsidR="006A7C28" w:rsidRPr="005C10D5">
              <w:rPr>
                <w:rStyle w:val="Refdenotaalpie"/>
                <w:rFonts w:asciiTheme="majorHAnsi" w:hAnsiTheme="majorHAnsi"/>
                <w:sz w:val="20"/>
                <w:szCs w:val="20"/>
              </w:rPr>
              <w:footnoteReference w:id="14"/>
            </w:r>
            <w:r w:rsidR="006A7C28" w:rsidRPr="005C10D5">
              <w:rPr>
                <w:rFonts w:asciiTheme="majorHAnsi" w:hAnsiTheme="majorHAnsi"/>
                <w:sz w:val="20"/>
                <w:szCs w:val="20"/>
              </w:rPr>
              <w:t xml:space="preserve"> las ventas fueron de 23.7 millones de </w:t>
            </w:r>
            <w:r w:rsidR="006A7C28">
              <w:rPr>
                <w:rFonts w:asciiTheme="majorHAnsi" w:hAnsiTheme="majorHAnsi"/>
                <w:sz w:val="20"/>
                <w:szCs w:val="20"/>
              </w:rPr>
              <w:t>Equipos Terminales Móviles</w:t>
            </w:r>
            <w:r w:rsidR="006A7C28" w:rsidRPr="005C10D5">
              <w:rPr>
                <w:rFonts w:asciiTheme="majorHAnsi" w:hAnsiTheme="majorHAnsi"/>
                <w:sz w:val="20"/>
                <w:szCs w:val="20"/>
              </w:rPr>
              <w:t xml:space="preserve"> con un precio promedio de 3270 pesos; del total de estos, el 67% corresponden a ETM de gama baja con un precio de (0 – 3,000.00 pesos); el 26 % corresponde a ETM de gama media con un precio que oscila entre los 3000.00 y los 5,000.00 pesos y el 7% de gama alta con un precio mayor a los 8000.00 pesos</w:t>
            </w:r>
          </w:p>
          <w:p w:rsidR="006A7C28" w:rsidRDefault="006A7C28" w:rsidP="006A7C28">
            <w:pPr>
              <w:shd w:val="clear" w:color="auto" w:fill="FFFFFF"/>
              <w:spacing w:after="101"/>
              <w:jc w:val="both"/>
              <w:rPr>
                <w:rFonts w:asciiTheme="majorHAnsi" w:hAnsiTheme="majorHAnsi"/>
                <w:sz w:val="20"/>
                <w:szCs w:val="20"/>
              </w:rPr>
            </w:pPr>
          </w:p>
          <w:p w:rsidR="006A7C28" w:rsidRPr="00CA42C1" w:rsidRDefault="006A7C28" w:rsidP="006A7C28">
            <w:pPr>
              <w:shd w:val="clear" w:color="auto" w:fill="FFFFFF"/>
              <w:spacing w:after="101"/>
              <w:jc w:val="both"/>
              <w:rPr>
                <w:rFonts w:asciiTheme="majorHAnsi" w:hAnsiTheme="majorHAnsi"/>
                <w:sz w:val="20"/>
                <w:szCs w:val="20"/>
              </w:rPr>
            </w:pPr>
            <w:r>
              <w:rPr>
                <w:rFonts w:asciiTheme="majorHAnsi" w:hAnsiTheme="majorHAnsi"/>
                <w:sz w:val="20"/>
                <w:szCs w:val="20"/>
              </w:rPr>
              <w:t>Adicionalmente, en</w:t>
            </w:r>
            <w:r w:rsidRPr="00CA42C1">
              <w:rPr>
                <w:rFonts w:asciiTheme="majorHAnsi" w:hAnsiTheme="majorHAnsi"/>
                <w:sz w:val="20"/>
                <w:szCs w:val="20"/>
              </w:rPr>
              <w:t xml:space="preserve"> el </w:t>
            </w:r>
            <w:r>
              <w:rPr>
                <w:rFonts w:asciiTheme="majorHAnsi" w:hAnsiTheme="majorHAnsi"/>
                <w:sz w:val="20"/>
                <w:szCs w:val="20"/>
              </w:rPr>
              <w:t xml:space="preserve">mismo período </w:t>
            </w:r>
            <w:r w:rsidRPr="00CA42C1">
              <w:rPr>
                <w:rFonts w:asciiTheme="majorHAnsi" w:hAnsiTheme="majorHAnsi"/>
                <w:sz w:val="20"/>
                <w:szCs w:val="20"/>
              </w:rPr>
              <w:t xml:space="preserve">se </w:t>
            </w:r>
            <w:r>
              <w:rPr>
                <w:rFonts w:asciiTheme="majorHAnsi" w:hAnsiTheme="majorHAnsi"/>
                <w:sz w:val="20"/>
                <w:szCs w:val="20"/>
              </w:rPr>
              <w:t xml:space="preserve">identificaron </w:t>
            </w:r>
            <w:r w:rsidRPr="00CA42C1">
              <w:rPr>
                <w:rFonts w:asciiTheme="majorHAnsi" w:hAnsiTheme="majorHAnsi"/>
                <w:sz w:val="20"/>
                <w:szCs w:val="20"/>
              </w:rPr>
              <w:t xml:space="preserve">ventas en torno a los 3.5 millones de terminales compatibles con Banda 28, lo que representa aproximadamente un 70% de todos los terminales 4G comercializados en </w:t>
            </w:r>
            <w:r>
              <w:rPr>
                <w:rFonts w:asciiTheme="majorHAnsi" w:hAnsiTheme="majorHAnsi"/>
                <w:sz w:val="20"/>
                <w:szCs w:val="20"/>
              </w:rPr>
              <w:t>dicho intervalo</w:t>
            </w:r>
            <w:r w:rsidRPr="00CA42C1">
              <w:rPr>
                <w:rFonts w:asciiTheme="majorHAnsi" w:hAnsiTheme="majorHAnsi"/>
                <w:sz w:val="20"/>
                <w:szCs w:val="20"/>
              </w:rPr>
              <w:t xml:space="preserve">. </w:t>
            </w:r>
            <w:r w:rsidR="00B44579">
              <w:rPr>
                <w:rFonts w:asciiTheme="majorHAnsi" w:hAnsiTheme="majorHAnsi"/>
                <w:sz w:val="20"/>
                <w:szCs w:val="20"/>
              </w:rPr>
              <w:t>Esto es,</w:t>
            </w:r>
            <w:r w:rsidR="00B44579" w:rsidRPr="00B44579">
              <w:rPr>
                <w:rFonts w:asciiTheme="majorHAnsi" w:hAnsiTheme="majorHAnsi"/>
                <w:sz w:val="20"/>
                <w:szCs w:val="20"/>
              </w:rPr>
              <w:t xml:space="preserve"> </w:t>
            </w:r>
            <w:r w:rsidR="00B44579" w:rsidRPr="00B44579">
              <w:rPr>
                <w:rFonts w:asciiTheme="majorHAnsi" w:hAnsiTheme="majorHAnsi"/>
                <w:sz w:val="20"/>
                <w:szCs w:val="20"/>
                <w:u w:val="single"/>
              </w:rPr>
              <w:t xml:space="preserve">el 70% de los terminales que soportan la tecnología LTE actualmente comercializados en México ya </w:t>
            </w:r>
            <w:r w:rsidR="00B44579">
              <w:rPr>
                <w:rFonts w:asciiTheme="majorHAnsi" w:hAnsiTheme="majorHAnsi"/>
                <w:sz w:val="20"/>
                <w:szCs w:val="20"/>
                <w:u w:val="single"/>
              </w:rPr>
              <w:t xml:space="preserve">soportan </w:t>
            </w:r>
            <w:r w:rsidR="00B44579" w:rsidRPr="00B44579">
              <w:rPr>
                <w:rFonts w:asciiTheme="majorHAnsi" w:hAnsiTheme="majorHAnsi"/>
                <w:sz w:val="20"/>
                <w:szCs w:val="20"/>
                <w:u w:val="single"/>
              </w:rPr>
              <w:t>la banda 28</w:t>
            </w:r>
            <w:r w:rsidR="00B44579" w:rsidRPr="00B44579">
              <w:rPr>
                <w:rFonts w:asciiTheme="majorHAnsi" w:hAnsiTheme="majorHAnsi"/>
                <w:sz w:val="20"/>
                <w:szCs w:val="20"/>
              </w:rPr>
              <w:t>.</w:t>
            </w:r>
          </w:p>
          <w:p w:rsidR="006A7C28" w:rsidRDefault="006A7C28" w:rsidP="006A7C28">
            <w:pPr>
              <w:shd w:val="clear" w:color="auto" w:fill="FFFFFF"/>
              <w:spacing w:after="101"/>
              <w:jc w:val="both"/>
              <w:rPr>
                <w:rFonts w:asciiTheme="majorHAnsi" w:hAnsiTheme="majorHAnsi"/>
                <w:sz w:val="20"/>
                <w:szCs w:val="20"/>
              </w:rPr>
            </w:pPr>
            <w:r w:rsidRPr="00CA42C1">
              <w:rPr>
                <w:rFonts w:asciiTheme="majorHAnsi" w:hAnsiTheme="majorHAnsi"/>
                <w:sz w:val="20"/>
                <w:szCs w:val="20"/>
              </w:rPr>
              <w:t>La siguiente figura</w:t>
            </w:r>
            <w:r>
              <w:rPr>
                <w:rStyle w:val="Refdenotaalpie"/>
                <w:rFonts w:asciiTheme="majorHAnsi" w:hAnsiTheme="majorHAnsi"/>
                <w:sz w:val="20"/>
                <w:szCs w:val="20"/>
              </w:rPr>
              <w:footnoteReference w:id="15"/>
            </w:r>
            <w:r w:rsidRPr="00CA42C1">
              <w:rPr>
                <w:rFonts w:asciiTheme="majorHAnsi" w:hAnsiTheme="majorHAnsi"/>
                <w:sz w:val="20"/>
                <w:szCs w:val="20"/>
              </w:rPr>
              <w:t xml:space="preserve">  muestra el desglose de </w:t>
            </w:r>
            <w:r>
              <w:rPr>
                <w:rFonts w:asciiTheme="majorHAnsi" w:hAnsiTheme="majorHAnsi"/>
                <w:sz w:val="20"/>
                <w:szCs w:val="20"/>
              </w:rPr>
              <w:t>ventas:</w:t>
            </w:r>
          </w:p>
          <w:p w:rsidR="006A7C28" w:rsidRDefault="006A7C28" w:rsidP="006A7C28">
            <w:pPr>
              <w:shd w:val="clear" w:color="auto" w:fill="FFFFFF"/>
              <w:spacing w:after="101"/>
              <w:jc w:val="center"/>
              <w:rPr>
                <w:rFonts w:asciiTheme="majorHAnsi" w:hAnsiTheme="majorHAnsi"/>
                <w:sz w:val="20"/>
                <w:szCs w:val="20"/>
              </w:rPr>
            </w:pPr>
            <w:r w:rsidRPr="004969DC">
              <w:rPr>
                <w:noProof/>
                <w:highlight w:val="yellow"/>
                <w:lang w:val="en-GB" w:eastAsia="en-GB"/>
              </w:rPr>
              <w:drawing>
                <wp:inline distT="0" distB="0" distL="0" distR="0" wp14:anchorId="08DF4CDE" wp14:editId="79949DCA">
                  <wp:extent cx="2044840" cy="160385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68464" cy="1622382"/>
                          </a:xfrm>
                          <a:prstGeom prst="rect">
                            <a:avLst/>
                          </a:prstGeom>
                        </pic:spPr>
                      </pic:pic>
                    </a:graphicData>
                  </a:graphic>
                </wp:inline>
              </w:drawing>
            </w:r>
          </w:p>
          <w:p w:rsidR="006A7C28" w:rsidRPr="003231D6" w:rsidRDefault="006A7C28" w:rsidP="006A7C28">
            <w:pPr>
              <w:shd w:val="clear" w:color="auto" w:fill="FFFFFF"/>
              <w:spacing w:after="101"/>
              <w:jc w:val="center"/>
              <w:rPr>
                <w:rFonts w:asciiTheme="majorHAnsi" w:hAnsiTheme="majorHAnsi"/>
                <w:b/>
                <w:sz w:val="20"/>
                <w:szCs w:val="20"/>
              </w:rPr>
            </w:pPr>
            <w:r w:rsidRPr="003231D6">
              <w:rPr>
                <w:rFonts w:asciiTheme="majorHAnsi" w:hAnsiTheme="majorHAnsi"/>
                <w:b/>
                <w:sz w:val="20"/>
                <w:szCs w:val="20"/>
              </w:rPr>
              <w:t xml:space="preserve">Figura </w:t>
            </w:r>
            <w:r w:rsidR="00861BA3">
              <w:rPr>
                <w:rFonts w:asciiTheme="majorHAnsi" w:hAnsiTheme="majorHAnsi"/>
                <w:b/>
                <w:sz w:val="20"/>
                <w:szCs w:val="20"/>
              </w:rPr>
              <w:t>5</w:t>
            </w:r>
            <w:r w:rsidRPr="003231D6">
              <w:rPr>
                <w:rFonts w:asciiTheme="majorHAnsi" w:hAnsiTheme="majorHAnsi"/>
                <w:b/>
                <w:sz w:val="20"/>
                <w:szCs w:val="20"/>
              </w:rPr>
              <w:t xml:space="preserve">. Ventas de </w:t>
            </w:r>
            <w:proofErr w:type="spellStart"/>
            <w:r w:rsidRPr="003231D6">
              <w:rPr>
                <w:rFonts w:asciiTheme="majorHAnsi" w:hAnsiTheme="majorHAnsi"/>
                <w:b/>
                <w:sz w:val="20"/>
                <w:szCs w:val="20"/>
              </w:rPr>
              <w:t>Smartphones</w:t>
            </w:r>
            <w:proofErr w:type="spellEnd"/>
            <w:r w:rsidRPr="003231D6">
              <w:rPr>
                <w:rFonts w:asciiTheme="majorHAnsi" w:hAnsiTheme="majorHAnsi"/>
                <w:b/>
                <w:sz w:val="20"/>
                <w:szCs w:val="20"/>
              </w:rPr>
              <w:t xml:space="preserve"> disponible para el primer trimestre de 2017.</w:t>
            </w:r>
          </w:p>
          <w:p w:rsidR="006A7C28" w:rsidRDefault="006A7C28" w:rsidP="006A7C28">
            <w:pPr>
              <w:jc w:val="both"/>
              <w:rPr>
                <w:rFonts w:asciiTheme="majorHAnsi" w:eastAsia="Times New Roman" w:hAnsiTheme="majorHAnsi" w:cs="Arial"/>
                <w:sz w:val="20"/>
                <w:szCs w:val="20"/>
                <w:lang w:eastAsia="es-ES"/>
              </w:rPr>
            </w:pPr>
          </w:p>
          <w:p w:rsidR="00B44579" w:rsidRDefault="006A7C28" w:rsidP="006A7C28">
            <w:pPr>
              <w:shd w:val="clear" w:color="auto" w:fill="FFFFFF"/>
              <w:spacing w:after="101"/>
              <w:jc w:val="both"/>
              <w:rPr>
                <w:rFonts w:asciiTheme="majorHAnsi" w:hAnsiTheme="majorHAnsi"/>
                <w:sz w:val="20"/>
                <w:szCs w:val="20"/>
              </w:rPr>
            </w:pPr>
            <w:r w:rsidRPr="00AE3908">
              <w:rPr>
                <w:rFonts w:asciiTheme="majorHAnsi" w:hAnsiTheme="majorHAnsi"/>
                <w:sz w:val="20"/>
                <w:szCs w:val="20"/>
              </w:rPr>
              <w:t>En otro orden de ideas, la inclusión del soporte de Banda 28 en los ETM supone un coste prácticamente despreciable respecto del precio del Smartphone</w:t>
            </w:r>
            <w:r>
              <w:rPr>
                <w:rFonts w:asciiTheme="majorHAnsi" w:hAnsiTheme="majorHAnsi"/>
                <w:sz w:val="20"/>
                <w:szCs w:val="20"/>
              </w:rPr>
              <w:t xml:space="preserve"> que ya se encuentra en proceso de comercialización</w:t>
            </w:r>
            <w:r w:rsidR="00B44579">
              <w:rPr>
                <w:rFonts w:asciiTheme="majorHAnsi" w:hAnsiTheme="majorHAnsi"/>
                <w:sz w:val="20"/>
                <w:szCs w:val="20"/>
              </w:rPr>
              <w:t>, debido a que</w:t>
            </w:r>
            <w:r w:rsidRPr="00AE3908">
              <w:rPr>
                <w:rFonts w:asciiTheme="majorHAnsi" w:hAnsiTheme="majorHAnsi"/>
                <w:sz w:val="20"/>
                <w:szCs w:val="20"/>
              </w:rPr>
              <w:t xml:space="preserve"> los componentes que habilitan el soporte de Banda 28 tienen un coste marginal, siendo típicamente inferiores a </w:t>
            </w:r>
            <w:r w:rsidR="00B44579">
              <w:rPr>
                <w:rFonts w:asciiTheme="majorHAnsi" w:hAnsiTheme="majorHAnsi"/>
                <w:sz w:val="20"/>
                <w:szCs w:val="20"/>
              </w:rPr>
              <w:t>0.08-0.50 USD</w:t>
            </w:r>
            <w:r>
              <w:rPr>
                <w:rStyle w:val="Refdenotaalpie"/>
                <w:rFonts w:asciiTheme="majorHAnsi" w:hAnsiTheme="majorHAnsi"/>
                <w:sz w:val="20"/>
                <w:szCs w:val="20"/>
              </w:rPr>
              <w:footnoteReference w:id="16"/>
            </w:r>
            <w:r w:rsidR="00B44579">
              <w:rPr>
                <w:rFonts w:asciiTheme="majorHAnsi" w:hAnsiTheme="majorHAnsi"/>
                <w:sz w:val="20"/>
                <w:szCs w:val="20"/>
              </w:rPr>
              <w:t>.</w:t>
            </w:r>
          </w:p>
          <w:p w:rsidR="00B44579" w:rsidRDefault="00B44579" w:rsidP="006A7C28">
            <w:pPr>
              <w:shd w:val="clear" w:color="auto" w:fill="FFFFFF"/>
              <w:spacing w:after="101"/>
              <w:jc w:val="both"/>
              <w:rPr>
                <w:rFonts w:asciiTheme="majorHAnsi" w:hAnsiTheme="majorHAnsi"/>
                <w:sz w:val="20"/>
                <w:szCs w:val="20"/>
              </w:rPr>
            </w:pPr>
            <w:r>
              <w:rPr>
                <w:rFonts w:asciiTheme="majorHAnsi" w:hAnsiTheme="majorHAnsi"/>
                <w:sz w:val="20"/>
                <w:szCs w:val="20"/>
              </w:rPr>
              <w:t>Conforme a lo anterior expuesto, se indica lo siguiente:</w:t>
            </w:r>
          </w:p>
          <w:p w:rsidR="00B44579" w:rsidRPr="00B44579" w:rsidRDefault="000B5734" w:rsidP="00780A60">
            <w:pPr>
              <w:pStyle w:val="Prrafodelista"/>
              <w:numPr>
                <w:ilvl w:val="0"/>
                <w:numId w:val="39"/>
              </w:numPr>
              <w:shd w:val="clear" w:color="auto" w:fill="FFFFFF"/>
              <w:spacing w:after="101"/>
              <w:jc w:val="both"/>
              <w:rPr>
                <w:rFonts w:asciiTheme="majorHAnsi" w:hAnsiTheme="majorHAnsi"/>
                <w:sz w:val="20"/>
                <w:szCs w:val="20"/>
              </w:rPr>
            </w:pPr>
            <w:r>
              <w:rPr>
                <w:rFonts w:asciiTheme="majorHAnsi" w:hAnsiTheme="majorHAnsi"/>
                <w:sz w:val="20"/>
                <w:szCs w:val="20"/>
              </w:rPr>
              <w:t>E</w:t>
            </w:r>
            <w:r w:rsidR="00B44579" w:rsidRPr="00B44579">
              <w:rPr>
                <w:rFonts w:asciiTheme="majorHAnsi" w:hAnsiTheme="majorHAnsi"/>
                <w:sz w:val="20"/>
                <w:szCs w:val="20"/>
              </w:rPr>
              <w:t>s cuestionable que se produjera costo alguno dada</w:t>
            </w:r>
            <w:r w:rsidR="005D0BD1">
              <w:rPr>
                <w:rFonts w:asciiTheme="majorHAnsi" w:hAnsiTheme="majorHAnsi"/>
                <w:sz w:val="20"/>
                <w:szCs w:val="20"/>
              </w:rPr>
              <w:t>s</w:t>
            </w:r>
            <w:r w:rsidR="00B44579" w:rsidRPr="00B44579">
              <w:rPr>
                <w:rFonts w:asciiTheme="majorHAnsi" w:hAnsiTheme="majorHAnsi"/>
                <w:sz w:val="20"/>
                <w:szCs w:val="20"/>
              </w:rPr>
              <w:t xml:space="preserve"> las prácticas </w:t>
            </w:r>
            <w:r>
              <w:rPr>
                <w:rFonts w:asciiTheme="majorHAnsi" w:hAnsiTheme="majorHAnsi"/>
                <w:sz w:val="20"/>
                <w:szCs w:val="20"/>
              </w:rPr>
              <w:t xml:space="preserve">y dinámicas </w:t>
            </w:r>
            <w:r w:rsidR="00B44579" w:rsidRPr="00B44579">
              <w:rPr>
                <w:rFonts w:asciiTheme="majorHAnsi" w:hAnsiTheme="majorHAnsi"/>
                <w:sz w:val="20"/>
                <w:szCs w:val="20"/>
              </w:rPr>
              <w:t xml:space="preserve">de precios de los fabricantes y el impacto en </w:t>
            </w:r>
            <w:r>
              <w:rPr>
                <w:rFonts w:asciiTheme="majorHAnsi" w:hAnsiTheme="majorHAnsi"/>
                <w:sz w:val="20"/>
                <w:szCs w:val="20"/>
              </w:rPr>
              <w:t xml:space="preserve">el </w:t>
            </w:r>
            <w:r w:rsidR="00B44579" w:rsidRPr="00B44579">
              <w:rPr>
                <w:rFonts w:asciiTheme="majorHAnsi" w:hAnsiTheme="majorHAnsi"/>
                <w:sz w:val="20"/>
                <w:szCs w:val="20"/>
              </w:rPr>
              <w:t xml:space="preserve">costo marginal comparado con la complejidad de gestionar versiones que no estándar para América Latina, quien mayoritariamente ha adoptado la banda 28. </w:t>
            </w:r>
          </w:p>
          <w:p w:rsidR="00B44579" w:rsidRPr="00B44579" w:rsidRDefault="008879A1" w:rsidP="00780A60">
            <w:pPr>
              <w:pStyle w:val="Prrafodelista"/>
              <w:numPr>
                <w:ilvl w:val="0"/>
                <w:numId w:val="39"/>
              </w:numPr>
              <w:shd w:val="clear" w:color="auto" w:fill="FFFFFF"/>
              <w:spacing w:after="101"/>
              <w:jc w:val="both"/>
              <w:rPr>
                <w:rFonts w:asciiTheme="majorHAnsi" w:hAnsiTheme="majorHAnsi"/>
                <w:sz w:val="20"/>
                <w:szCs w:val="20"/>
              </w:rPr>
            </w:pPr>
            <w:r>
              <w:rPr>
                <w:rFonts w:asciiTheme="majorHAnsi" w:hAnsiTheme="majorHAnsi"/>
                <w:sz w:val="20"/>
                <w:szCs w:val="20"/>
              </w:rPr>
              <w:t>Considerando</w:t>
            </w:r>
            <w:r w:rsidR="00B44579" w:rsidRPr="00B44579">
              <w:rPr>
                <w:rFonts w:asciiTheme="majorHAnsi" w:hAnsiTheme="majorHAnsi"/>
                <w:sz w:val="20"/>
                <w:szCs w:val="20"/>
              </w:rPr>
              <w:t xml:space="preserve"> el costo </w:t>
            </w:r>
            <w:r>
              <w:rPr>
                <w:rFonts w:asciiTheme="majorHAnsi" w:hAnsiTheme="majorHAnsi"/>
                <w:sz w:val="20"/>
                <w:szCs w:val="20"/>
              </w:rPr>
              <w:t xml:space="preserve">más alto </w:t>
            </w:r>
            <w:r w:rsidR="005D0BD1">
              <w:rPr>
                <w:rFonts w:asciiTheme="majorHAnsi" w:hAnsiTheme="majorHAnsi"/>
                <w:sz w:val="20"/>
                <w:szCs w:val="20"/>
              </w:rPr>
              <w:t xml:space="preserve">a incrementarse </w:t>
            </w:r>
            <w:r w:rsidR="00B44579" w:rsidRPr="00B44579">
              <w:rPr>
                <w:rFonts w:asciiTheme="majorHAnsi" w:hAnsiTheme="majorHAnsi"/>
                <w:sz w:val="20"/>
                <w:szCs w:val="20"/>
              </w:rPr>
              <w:t xml:space="preserve">por terminal con banda 28 </w:t>
            </w:r>
            <w:r>
              <w:rPr>
                <w:rFonts w:asciiTheme="majorHAnsi" w:hAnsiTheme="majorHAnsi"/>
                <w:sz w:val="20"/>
                <w:szCs w:val="20"/>
              </w:rPr>
              <w:t>(</w:t>
            </w:r>
            <w:r w:rsidR="00B44579" w:rsidRPr="00B44579">
              <w:rPr>
                <w:rFonts w:asciiTheme="majorHAnsi" w:hAnsiTheme="majorHAnsi"/>
                <w:sz w:val="20"/>
                <w:szCs w:val="20"/>
              </w:rPr>
              <w:t>0.5 USD)</w:t>
            </w:r>
            <w:r w:rsidR="005D0BD1">
              <w:rPr>
                <w:rFonts w:asciiTheme="majorHAnsi" w:hAnsiTheme="majorHAnsi"/>
                <w:sz w:val="20"/>
                <w:szCs w:val="20"/>
              </w:rPr>
              <w:t xml:space="preserve">, y que todos los ETM a ser comercializados es México requerirían la inclusión de la banda 28,  el </w:t>
            </w:r>
            <w:r w:rsidR="00B44579" w:rsidRPr="00B44579">
              <w:rPr>
                <w:rFonts w:asciiTheme="majorHAnsi" w:hAnsiTheme="majorHAnsi"/>
                <w:sz w:val="20"/>
                <w:szCs w:val="20"/>
              </w:rPr>
              <w:t xml:space="preserve">costo </w:t>
            </w:r>
            <w:r w:rsidR="005D0BD1">
              <w:rPr>
                <w:rFonts w:asciiTheme="majorHAnsi" w:hAnsiTheme="majorHAnsi"/>
                <w:sz w:val="20"/>
                <w:szCs w:val="20"/>
              </w:rPr>
              <w:t>sería</w:t>
            </w:r>
            <w:r>
              <w:rPr>
                <w:rFonts w:asciiTheme="majorHAnsi" w:hAnsiTheme="majorHAnsi"/>
                <w:sz w:val="20"/>
                <w:szCs w:val="20"/>
              </w:rPr>
              <w:t xml:space="preserve"> en el rango de </w:t>
            </w:r>
            <w:r w:rsidR="005D0BD1">
              <w:rPr>
                <w:rFonts w:asciiTheme="majorHAnsi" w:hAnsiTheme="majorHAnsi"/>
                <w:sz w:val="20"/>
                <w:szCs w:val="20"/>
              </w:rPr>
              <w:t>21 m</w:t>
            </w:r>
            <w:r w:rsidR="00B44579" w:rsidRPr="00B44579">
              <w:rPr>
                <w:rFonts w:asciiTheme="majorHAnsi" w:hAnsiTheme="majorHAnsi"/>
                <w:sz w:val="20"/>
                <w:szCs w:val="20"/>
              </w:rPr>
              <w:t xml:space="preserve">illones USD </w:t>
            </w:r>
            <w:r w:rsidR="005D0BD1">
              <w:rPr>
                <w:rFonts w:asciiTheme="majorHAnsi" w:hAnsiTheme="majorHAnsi"/>
                <w:sz w:val="20"/>
                <w:szCs w:val="20"/>
              </w:rPr>
              <w:t>anuales</w:t>
            </w:r>
            <w:r w:rsidR="00B44579" w:rsidRPr="00B44579">
              <w:rPr>
                <w:rFonts w:asciiTheme="majorHAnsi" w:hAnsiTheme="majorHAnsi"/>
                <w:sz w:val="20"/>
                <w:szCs w:val="20"/>
              </w:rPr>
              <w:t xml:space="preserve">, si </w:t>
            </w:r>
            <w:r w:rsidR="005D0BD1">
              <w:rPr>
                <w:rFonts w:asciiTheme="majorHAnsi" w:hAnsiTheme="majorHAnsi"/>
                <w:sz w:val="20"/>
                <w:szCs w:val="20"/>
              </w:rPr>
              <w:t>se considera</w:t>
            </w:r>
            <w:r w:rsidR="00B44579" w:rsidRPr="00B44579">
              <w:rPr>
                <w:rFonts w:asciiTheme="majorHAnsi" w:hAnsiTheme="majorHAnsi"/>
                <w:sz w:val="20"/>
                <w:szCs w:val="20"/>
              </w:rPr>
              <w:t xml:space="preserve"> la totalidad del</w:t>
            </w:r>
            <w:r w:rsidR="005D0BD1">
              <w:rPr>
                <w:rFonts w:asciiTheme="majorHAnsi" w:hAnsiTheme="majorHAnsi"/>
                <w:sz w:val="20"/>
                <w:szCs w:val="20"/>
              </w:rPr>
              <w:t xml:space="preserve"> mercado de venta de terminales en México.</w:t>
            </w:r>
          </w:p>
          <w:p w:rsidR="00B44579" w:rsidRPr="00B44579" w:rsidRDefault="00B44579" w:rsidP="00780A60">
            <w:pPr>
              <w:pStyle w:val="Prrafodelista"/>
              <w:numPr>
                <w:ilvl w:val="0"/>
                <w:numId w:val="39"/>
              </w:numPr>
              <w:shd w:val="clear" w:color="auto" w:fill="FFFFFF"/>
              <w:spacing w:after="101"/>
              <w:jc w:val="both"/>
              <w:rPr>
                <w:rFonts w:asciiTheme="majorHAnsi" w:hAnsiTheme="majorHAnsi"/>
                <w:sz w:val="20"/>
                <w:szCs w:val="20"/>
              </w:rPr>
            </w:pPr>
            <w:r w:rsidRPr="00B44579">
              <w:rPr>
                <w:rFonts w:asciiTheme="majorHAnsi" w:hAnsiTheme="majorHAnsi"/>
                <w:sz w:val="20"/>
                <w:szCs w:val="20"/>
              </w:rPr>
              <w:t>Si</w:t>
            </w:r>
            <w:r w:rsidR="005D0BD1">
              <w:rPr>
                <w:rFonts w:asciiTheme="majorHAnsi" w:hAnsiTheme="majorHAnsi"/>
                <w:sz w:val="20"/>
                <w:szCs w:val="20"/>
              </w:rPr>
              <w:t>n embargo, como se indicó anteriormente</w:t>
            </w:r>
            <w:r w:rsidR="008879A1">
              <w:rPr>
                <w:rFonts w:asciiTheme="majorHAnsi" w:hAnsiTheme="majorHAnsi"/>
                <w:sz w:val="20"/>
                <w:szCs w:val="20"/>
              </w:rPr>
              <w:t>,</w:t>
            </w:r>
            <w:r w:rsidR="005D0BD1">
              <w:rPr>
                <w:rFonts w:asciiTheme="majorHAnsi" w:hAnsiTheme="majorHAnsi"/>
                <w:sz w:val="20"/>
                <w:szCs w:val="20"/>
              </w:rPr>
              <w:t xml:space="preserve"> el 70% de los ETM ya soportan la banda 28,  por lo que el costo 30% </w:t>
            </w:r>
            <w:r w:rsidRPr="00B44579">
              <w:rPr>
                <w:rFonts w:asciiTheme="majorHAnsi" w:hAnsiTheme="majorHAnsi"/>
                <w:sz w:val="20"/>
                <w:szCs w:val="20"/>
              </w:rPr>
              <w:t>se</w:t>
            </w:r>
            <w:r w:rsidR="008879A1">
              <w:rPr>
                <w:rFonts w:asciiTheme="majorHAnsi" w:hAnsiTheme="majorHAnsi"/>
                <w:sz w:val="20"/>
                <w:szCs w:val="20"/>
              </w:rPr>
              <w:t xml:space="preserve"> vería reducido al rango de </w:t>
            </w:r>
            <w:r w:rsidR="008879A1">
              <w:rPr>
                <w:rFonts w:asciiTheme="majorHAnsi" w:hAnsiTheme="majorHAnsi"/>
                <w:b/>
                <w:sz w:val="20"/>
                <w:szCs w:val="20"/>
                <w:u w:val="single"/>
              </w:rPr>
              <w:t>6.3 m</w:t>
            </w:r>
            <w:r w:rsidR="005D0BD1" w:rsidRPr="008879A1">
              <w:rPr>
                <w:rFonts w:asciiTheme="majorHAnsi" w:hAnsiTheme="majorHAnsi"/>
                <w:b/>
                <w:sz w:val="20"/>
                <w:szCs w:val="20"/>
                <w:u w:val="single"/>
              </w:rPr>
              <w:t>illones USD</w:t>
            </w:r>
            <w:r w:rsidRPr="008879A1">
              <w:rPr>
                <w:rFonts w:asciiTheme="majorHAnsi" w:hAnsiTheme="majorHAnsi"/>
                <w:b/>
                <w:sz w:val="20"/>
                <w:szCs w:val="20"/>
                <w:u w:val="single"/>
              </w:rPr>
              <w:t>.</w:t>
            </w:r>
            <w:r w:rsidRPr="00B44579">
              <w:rPr>
                <w:rFonts w:asciiTheme="majorHAnsi" w:hAnsiTheme="majorHAnsi"/>
                <w:sz w:val="20"/>
                <w:szCs w:val="20"/>
              </w:rPr>
              <w:t xml:space="preserve">  </w:t>
            </w:r>
            <w:r w:rsidR="008879A1">
              <w:rPr>
                <w:rFonts w:asciiTheme="majorHAnsi" w:hAnsiTheme="majorHAnsi"/>
                <w:sz w:val="20"/>
                <w:szCs w:val="20"/>
              </w:rPr>
              <w:t>Lo anterior</w:t>
            </w:r>
            <w:r w:rsidRPr="00B44579">
              <w:rPr>
                <w:rFonts w:asciiTheme="majorHAnsi" w:hAnsiTheme="majorHAnsi"/>
                <w:sz w:val="20"/>
                <w:szCs w:val="20"/>
              </w:rPr>
              <w:t xml:space="preserve"> para un mercado </w:t>
            </w:r>
            <w:r w:rsidR="008879A1">
              <w:rPr>
                <w:rFonts w:asciiTheme="majorHAnsi" w:hAnsiTheme="majorHAnsi"/>
                <w:sz w:val="20"/>
                <w:szCs w:val="20"/>
              </w:rPr>
              <w:t xml:space="preserve">en el cual el </w:t>
            </w:r>
            <w:r w:rsidRPr="00B44579">
              <w:rPr>
                <w:rFonts w:asciiTheme="majorHAnsi" w:hAnsiTheme="majorHAnsi"/>
                <w:sz w:val="20"/>
                <w:szCs w:val="20"/>
              </w:rPr>
              <w:t xml:space="preserve">total de ventas pude representar más de </w:t>
            </w:r>
            <w:r w:rsidRPr="008879A1">
              <w:rPr>
                <w:rFonts w:asciiTheme="majorHAnsi" w:hAnsiTheme="majorHAnsi"/>
                <w:b/>
                <w:sz w:val="20"/>
                <w:szCs w:val="20"/>
                <w:u w:val="single"/>
              </w:rPr>
              <w:t>6.762 miles de millones de dólares, es decir un impacto del orden del 0.09%</w:t>
            </w:r>
            <w:r w:rsidRPr="00B44579">
              <w:rPr>
                <w:rFonts w:asciiTheme="majorHAnsi" w:hAnsiTheme="majorHAnsi"/>
                <w:sz w:val="20"/>
                <w:szCs w:val="20"/>
              </w:rPr>
              <w:t xml:space="preserve">.  </w:t>
            </w:r>
          </w:p>
          <w:p w:rsidR="00FF0249" w:rsidRPr="00095E06" w:rsidRDefault="00B44579" w:rsidP="00780A60">
            <w:pPr>
              <w:pStyle w:val="Prrafodelista"/>
              <w:numPr>
                <w:ilvl w:val="0"/>
                <w:numId w:val="39"/>
              </w:numPr>
              <w:shd w:val="clear" w:color="auto" w:fill="FFFFFF"/>
              <w:spacing w:after="101"/>
              <w:jc w:val="both"/>
              <w:rPr>
                <w:rFonts w:ascii="Calibri Light" w:hAnsi="Calibri Light"/>
                <w:b/>
                <w:bCs/>
                <w:color w:val="000000"/>
                <w:sz w:val="20"/>
                <w:szCs w:val="20"/>
              </w:rPr>
            </w:pPr>
            <w:r w:rsidRPr="00095E06">
              <w:rPr>
                <w:rFonts w:asciiTheme="majorHAnsi" w:hAnsiTheme="majorHAnsi"/>
                <w:sz w:val="20"/>
                <w:szCs w:val="20"/>
              </w:rPr>
              <w:t>Cabe señalar que esta</w:t>
            </w:r>
            <w:r w:rsidR="000829C3" w:rsidRPr="00095E06">
              <w:rPr>
                <w:rFonts w:asciiTheme="majorHAnsi" w:hAnsiTheme="majorHAnsi"/>
                <w:sz w:val="20"/>
                <w:szCs w:val="20"/>
              </w:rPr>
              <w:t xml:space="preserve"> cifra pudiera ser todavía menor</w:t>
            </w:r>
            <w:r w:rsidRPr="00095E06">
              <w:rPr>
                <w:rFonts w:asciiTheme="majorHAnsi" w:hAnsiTheme="majorHAnsi"/>
                <w:sz w:val="20"/>
                <w:szCs w:val="20"/>
              </w:rPr>
              <w:t xml:space="preserve"> importante si se </w:t>
            </w:r>
            <w:r w:rsidR="000829C3" w:rsidRPr="00095E06">
              <w:rPr>
                <w:rFonts w:asciiTheme="majorHAnsi" w:hAnsiTheme="majorHAnsi"/>
                <w:sz w:val="20"/>
                <w:szCs w:val="20"/>
              </w:rPr>
              <w:t>considera</w:t>
            </w:r>
            <w:r w:rsidRPr="00095E06">
              <w:rPr>
                <w:rFonts w:asciiTheme="majorHAnsi" w:hAnsiTheme="majorHAnsi"/>
                <w:sz w:val="20"/>
                <w:szCs w:val="20"/>
              </w:rPr>
              <w:t xml:space="preserve"> que con la Red Compartida se incrementará el número de </w:t>
            </w:r>
            <w:r w:rsidR="000829C3" w:rsidRPr="00095E06">
              <w:rPr>
                <w:rFonts w:asciiTheme="majorHAnsi" w:hAnsiTheme="majorHAnsi"/>
                <w:sz w:val="20"/>
                <w:szCs w:val="20"/>
              </w:rPr>
              <w:t>ETM</w:t>
            </w:r>
            <w:r w:rsidRPr="00095E06">
              <w:rPr>
                <w:rFonts w:asciiTheme="majorHAnsi" w:hAnsiTheme="majorHAnsi"/>
                <w:sz w:val="20"/>
                <w:szCs w:val="20"/>
              </w:rPr>
              <w:t xml:space="preserve"> que cuenten con servicios de banda ancha, lo que a su vez incrementará el mercado de venta de terminales.</w:t>
            </w:r>
          </w:p>
          <w:p w:rsidR="00FF0249" w:rsidRDefault="00FF0249" w:rsidP="00E35AE8">
            <w:pPr>
              <w:jc w:val="both"/>
              <w:rPr>
                <w:rFonts w:ascii="Calibri Light" w:hAnsi="Calibri Light"/>
                <w:b/>
                <w:bCs/>
                <w:color w:val="000000"/>
                <w:sz w:val="20"/>
                <w:szCs w:val="20"/>
              </w:rPr>
            </w:pPr>
          </w:p>
          <w:p w:rsidR="00E35AE8" w:rsidRPr="009529C8" w:rsidRDefault="00E35AE8" w:rsidP="00CB4A83">
            <w:pPr>
              <w:jc w:val="both"/>
              <w:rPr>
                <w:rFonts w:ascii="Calibri Light" w:hAnsi="Calibri Light"/>
                <w:b/>
                <w:bCs/>
                <w:color w:val="000000"/>
                <w:sz w:val="20"/>
                <w:szCs w:val="20"/>
              </w:rPr>
            </w:pPr>
          </w:p>
        </w:tc>
      </w:tr>
    </w:tbl>
    <w:p w:rsidR="003F05E7" w:rsidRPr="005D5F2E" w:rsidRDefault="003F05E7" w:rsidP="001932FC">
      <w:pPr>
        <w:jc w:val="both"/>
        <w:rPr>
          <w:sz w:val="20"/>
          <w:szCs w:val="20"/>
        </w:rPr>
      </w:pPr>
    </w:p>
    <w:tbl>
      <w:tblPr>
        <w:tblStyle w:val="Tablaconcuadrcula"/>
        <w:tblW w:w="0" w:type="auto"/>
        <w:tblLook w:val="04A0" w:firstRow="1" w:lastRow="0" w:firstColumn="1" w:lastColumn="0" w:noHBand="0" w:noVBand="1"/>
      </w:tblPr>
      <w:tblGrid>
        <w:gridCol w:w="8828"/>
      </w:tblGrid>
      <w:tr w:rsidR="008C76AF" w:rsidRPr="005D5F2E" w:rsidTr="008C76AF">
        <w:tc>
          <w:tcPr>
            <w:tcW w:w="8828" w:type="dxa"/>
          </w:tcPr>
          <w:p w:rsidR="008C76AF" w:rsidRPr="005D5F2E" w:rsidRDefault="008C76AF" w:rsidP="001932FC">
            <w:pPr>
              <w:jc w:val="both"/>
              <w:rPr>
                <w:b/>
                <w:sz w:val="20"/>
                <w:szCs w:val="20"/>
              </w:rPr>
            </w:pPr>
            <w:r w:rsidRPr="005D5F2E">
              <w:rPr>
                <w:b/>
                <w:sz w:val="20"/>
                <w:szCs w:val="20"/>
              </w:rPr>
              <w:t>14.- Proporcione la estimación de los beneficios que se podrían generar para cada particular, grupo de particulares o industria a razón de la entrada en vigor del anteproyecto de regulación:</w:t>
            </w:r>
          </w:p>
          <w:p w:rsidR="008C76AF" w:rsidRPr="005D5F2E" w:rsidRDefault="008C76AF" w:rsidP="001932FC">
            <w:pPr>
              <w:jc w:val="both"/>
              <w:rPr>
                <w:rFonts w:asciiTheme="majorHAnsi" w:eastAsia="Times New Roman" w:hAnsiTheme="majorHAnsi" w:cs="Arial"/>
                <w:sz w:val="20"/>
                <w:szCs w:val="20"/>
                <w:lang w:eastAsia="es-ES"/>
              </w:rPr>
            </w:pPr>
          </w:p>
          <w:p w:rsidR="003B1B90" w:rsidRPr="005D5F2E" w:rsidRDefault="00183964" w:rsidP="005350EA">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S</w:t>
            </w:r>
            <w:r w:rsidR="003B1B90" w:rsidRPr="005D5F2E">
              <w:rPr>
                <w:rFonts w:asciiTheme="majorHAnsi" w:eastAsia="Times New Roman" w:hAnsiTheme="majorHAnsi" w:cs="Arial"/>
                <w:sz w:val="20"/>
                <w:szCs w:val="20"/>
                <w:lang w:eastAsia="es-ES"/>
              </w:rPr>
              <w:t>e prevén los siguientes beneficios cualitativos:</w:t>
            </w:r>
          </w:p>
          <w:p w:rsidR="00183964" w:rsidRPr="005D5F2E" w:rsidRDefault="00183964" w:rsidP="005350EA">
            <w:pPr>
              <w:jc w:val="both"/>
              <w:rPr>
                <w:rFonts w:asciiTheme="majorHAnsi" w:eastAsia="Times New Roman" w:hAnsiTheme="majorHAnsi" w:cs="Arial"/>
                <w:sz w:val="20"/>
                <w:szCs w:val="20"/>
                <w:lang w:eastAsia="es-ES"/>
              </w:rPr>
            </w:pPr>
          </w:p>
          <w:p w:rsidR="007C3FE7" w:rsidRDefault="007C3FE7" w:rsidP="007C3FE7">
            <w:pPr>
              <w:pStyle w:val="Prrafodelista"/>
              <w:numPr>
                <w:ilvl w:val="0"/>
                <w:numId w:val="29"/>
              </w:numPr>
              <w:ind w:left="880" w:hanging="284"/>
              <w:jc w:val="both"/>
              <w:rPr>
                <w:rFonts w:asciiTheme="majorHAnsi" w:eastAsia="Times New Roman" w:hAnsiTheme="majorHAnsi" w:cs="Arial"/>
                <w:sz w:val="20"/>
                <w:szCs w:val="20"/>
                <w:lang w:eastAsia="es-ES"/>
              </w:rPr>
            </w:pPr>
            <w:r w:rsidRPr="007C3FE7">
              <w:rPr>
                <w:rFonts w:asciiTheme="majorHAnsi" w:eastAsia="Times New Roman" w:hAnsiTheme="majorHAnsi" w:cs="Arial"/>
                <w:sz w:val="20"/>
                <w:szCs w:val="20"/>
                <w:lang w:eastAsia="es-ES"/>
              </w:rPr>
              <w:t xml:space="preserve">Dar certidumbre jurídica respecto a las especificaciones técnicas y métodos de prueba de los Equipos Terminales Móviles que puedan hacer uso del espectro radioeléctrico (en las bandas de frecuencias de 700 MHz, 800 MHz, 850 MHz, 1900 MHz, 1700 MHz/2100 MHz y/o 2500 MHz) o ser conectados a redes de telecomunicaciones previendo que cuando operen no causen interferencias perjudiciales a otros equipos de operación autorizada, ni a las redes y servicios de telecomunicaciones autorizados por el Instituto Federal de Telecomunicaciones. </w:t>
            </w:r>
          </w:p>
          <w:p w:rsidR="007C3FE7" w:rsidRDefault="007C3FE7" w:rsidP="007C3FE7">
            <w:pPr>
              <w:pStyle w:val="Prrafodelista"/>
              <w:ind w:left="880"/>
              <w:jc w:val="both"/>
              <w:rPr>
                <w:rFonts w:asciiTheme="majorHAnsi" w:eastAsia="Times New Roman" w:hAnsiTheme="majorHAnsi" w:cs="Arial"/>
                <w:sz w:val="20"/>
                <w:szCs w:val="20"/>
                <w:lang w:eastAsia="es-ES"/>
              </w:rPr>
            </w:pPr>
          </w:p>
          <w:p w:rsidR="007C3FE7" w:rsidRPr="007C3FE7" w:rsidRDefault="007C3FE7" w:rsidP="007C3FE7">
            <w:pPr>
              <w:pStyle w:val="Prrafodelista"/>
              <w:numPr>
                <w:ilvl w:val="0"/>
                <w:numId w:val="29"/>
              </w:numPr>
              <w:ind w:left="880" w:hanging="284"/>
              <w:jc w:val="both"/>
              <w:rPr>
                <w:rFonts w:asciiTheme="majorHAnsi" w:eastAsia="Times New Roman" w:hAnsiTheme="majorHAnsi" w:cs="Arial"/>
                <w:sz w:val="20"/>
                <w:szCs w:val="20"/>
                <w:lang w:eastAsia="es-ES"/>
              </w:rPr>
            </w:pPr>
            <w:r w:rsidRPr="007C3FE7">
              <w:rPr>
                <w:rFonts w:asciiTheme="majorHAnsi" w:eastAsia="Times New Roman" w:hAnsiTheme="majorHAnsi" w:cs="Arial"/>
                <w:sz w:val="20"/>
                <w:szCs w:val="20"/>
                <w:lang w:eastAsia="es-ES"/>
              </w:rPr>
              <w:t>Contribuir con los usuarios de los servicios de telecomunicaciones móviles, en el ejercicio del derecho a la portabilidad</w:t>
            </w:r>
            <w:r w:rsidR="00F516FE">
              <w:rPr>
                <w:rFonts w:asciiTheme="majorHAnsi" w:eastAsia="Times New Roman" w:hAnsiTheme="majorHAnsi" w:cs="Arial"/>
                <w:sz w:val="20"/>
                <w:szCs w:val="20"/>
                <w:lang w:eastAsia="es-ES"/>
              </w:rPr>
              <w:t xml:space="preserve">, </w:t>
            </w:r>
            <w:r w:rsidRPr="007C3FE7">
              <w:rPr>
                <w:rFonts w:asciiTheme="majorHAnsi" w:eastAsia="Times New Roman" w:hAnsiTheme="majorHAnsi" w:cs="Arial"/>
                <w:sz w:val="20"/>
                <w:szCs w:val="20"/>
                <w:lang w:eastAsia="es-ES"/>
              </w:rPr>
              <w:t>coadyuvando al derecho de acceso a la banda ancha e Internet, establecido en el artículo 6o Constitucional.</w:t>
            </w:r>
          </w:p>
          <w:p w:rsidR="00B224CF" w:rsidRDefault="00B224CF" w:rsidP="008E4032">
            <w:pPr>
              <w:pStyle w:val="Texto"/>
              <w:spacing w:line="240" w:lineRule="auto"/>
              <w:ind w:firstLine="0"/>
              <w:rPr>
                <w:rFonts w:asciiTheme="majorHAnsi" w:hAnsiTheme="majorHAnsi"/>
                <w:sz w:val="20"/>
              </w:rPr>
            </w:pPr>
          </w:p>
          <w:p w:rsidR="006B7594" w:rsidRDefault="006B7594" w:rsidP="006B7594">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w:t>
            </w:r>
            <w:r w:rsidRPr="00FA2784">
              <w:rPr>
                <w:rFonts w:asciiTheme="majorHAnsi" w:eastAsia="Times New Roman" w:hAnsiTheme="majorHAnsi" w:cs="Arial"/>
                <w:sz w:val="20"/>
                <w:szCs w:val="20"/>
                <w:lang w:eastAsia="es-ES"/>
              </w:rPr>
              <w:t>esde el punto de vista del consumidor, en un mercado con una rotación del 49%</w:t>
            </w:r>
            <w:r>
              <w:rPr>
                <w:rFonts w:asciiTheme="majorHAnsi" w:eastAsia="Times New Roman" w:hAnsiTheme="majorHAnsi" w:cs="Arial"/>
                <w:sz w:val="20"/>
                <w:szCs w:val="20"/>
                <w:lang w:eastAsia="es-ES"/>
              </w:rPr>
              <w:t>, existen aproximadamente</w:t>
            </w:r>
            <w:r w:rsidRPr="00FA2784">
              <w:rPr>
                <w:rFonts w:asciiTheme="majorHAnsi" w:eastAsia="Times New Roman" w:hAnsiTheme="majorHAnsi" w:cs="Arial"/>
                <w:sz w:val="20"/>
                <w:szCs w:val="20"/>
                <w:lang w:eastAsia="es-ES"/>
              </w:rPr>
              <w:t xml:space="preserve"> 55 millones de mexicanos que van a </w:t>
            </w:r>
            <w:r>
              <w:rPr>
                <w:rFonts w:asciiTheme="majorHAnsi" w:eastAsia="Times New Roman" w:hAnsiTheme="majorHAnsi" w:cs="Arial"/>
                <w:sz w:val="20"/>
                <w:szCs w:val="20"/>
                <w:lang w:eastAsia="es-ES"/>
              </w:rPr>
              <w:t>portarse</w:t>
            </w:r>
            <w:r w:rsidRPr="00FA2784">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Por ejemplo</w:t>
            </w:r>
            <w:r w:rsidRPr="00FA2784">
              <w:rPr>
                <w:rFonts w:asciiTheme="majorHAnsi" w:eastAsia="Times New Roman" w:hAnsiTheme="majorHAnsi" w:cs="Arial"/>
                <w:sz w:val="20"/>
                <w:szCs w:val="20"/>
                <w:lang w:eastAsia="es-ES"/>
              </w:rPr>
              <w:t xml:space="preserve">, si un 20% de dichos usuarios (11 Millones) quisieran optar por uno de los nuevos operadores que </w:t>
            </w:r>
            <w:r>
              <w:rPr>
                <w:rFonts w:asciiTheme="majorHAnsi" w:eastAsia="Times New Roman" w:hAnsiTheme="majorHAnsi" w:cs="Arial"/>
                <w:sz w:val="20"/>
                <w:szCs w:val="20"/>
                <w:lang w:eastAsia="es-ES"/>
              </w:rPr>
              <w:t>operen</w:t>
            </w:r>
            <w:r w:rsidRPr="00FA2784">
              <w:rPr>
                <w:rFonts w:asciiTheme="majorHAnsi" w:eastAsia="Times New Roman" w:hAnsiTheme="majorHAnsi" w:cs="Arial"/>
                <w:sz w:val="20"/>
                <w:szCs w:val="20"/>
                <w:lang w:eastAsia="es-ES"/>
              </w:rPr>
              <w:t xml:space="preserve"> sobre la Red Compartida es necesario que cuenten con una terminal que incluya la Banda 28.  Sin embargo, si esto no sucede y </w:t>
            </w:r>
            <w:r w:rsidRPr="00BF5130">
              <w:rPr>
                <w:rFonts w:asciiTheme="majorHAnsi" w:eastAsia="Times New Roman" w:hAnsiTheme="majorHAnsi" w:cs="Arial"/>
                <w:b/>
                <w:sz w:val="20"/>
                <w:szCs w:val="20"/>
                <w:lang w:eastAsia="es-ES"/>
              </w:rPr>
              <w:t>tuvieran que cambiar de terminal</w:t>
            </w:r>
            <w:r w:rsidRPr="00FA2784">
              <w:rPr>
                <w:rFonts w:asciiTheme="majorHAnsi" w:eastAsia="Times New Roman" w:hAnsiTheme="majorHAnsi" w:cs="Arial"/>
                <w:sz w:val="20"/>
                <w:szCs w:val="20"/>
                <w:lang w:eastAsia="es-ES"/>
              </w:rPr>
              <w:t xml:space="preserve">, se les obligaría </w:t>
            </w:r>
            <w:r w:rsidRPr="00BF5130">
              <w:rPr>
                <w:rFonts w:asciiTheme="majorHAnsi" w:eastAsia="Times New Roman" w:hAnsiTheme="majorHAnsi" w:cs="Arial"/>
                <w:b/>
                <w:sz w:val="20"/>
                <w:szCs w:val="20"/>
                <w:lang w:eastAsia="es-ES"/>
              </w:rPr>
              <w:t>a incurrir en un gasto de casi 1,800 Millones USD</w:t>
            </w:r>
            <w:r w:rsidRPr="00FA2784">
              <w:rPr>
                <w:rFonts w:asciiTheme="majorHAnsi" w:eastAsia="Times New Roman" w:hAnsiTheme="majorHAnsi" w:cs="Arial"/>
                <w:sz w:val="20"/>
                <w:szCs w:val="20"/>
                <w:lang w:eastAsia="es-ES"/>
              </w:rPr>
              <w:t xml:space="preserve"> (asumiendo el costo medio del termina</w:t>
            </w:r>
            <w:r>
              <w:rPr>
                <w:rFonts w:asciiTheme="majorHAnsi" w:eastAsia="Times New Roman" w:hAnsiTheme="majorHAnsi" w:cs="Arial"/>
                <w:sz w:val="20"/>
                <w:szCs w:val="20"/>
                <w:lang w:eastAsia="es-ES"/>
              </w:rPr>
              <w:t>l en México en 2016 de 161 USD</w:t>
            </w:r>
            <w:r w:rsidRPr="00FA2784">
              <w:rPr>
                <w:rFonts w:asciiTheme="majorHAnsi" w:eastAsia="Times New Roman" w:hAnsiTheme="majorHAnsi" w:cs="Arial"/>
                <w:sz w:val="20"/>
                <w:szCs w:val="20"/>
                <w:lang w:eastAsia="es-ES"/>
              </w:rPr>
              <w:t>).  En este sentido se conformaría una barrera de acceso a la oferta de la Red Compartida que impediría que ésta pueda cumplir con los fines que se establecieron en la Constitución.</w:t>
            </w:r>
          </w:p>
          <w:p w:rsidR="006B7594" w:rsidRDefault="006B7594" w:rsidP="006B7594">
            <w:pPr>
              <w:jc w:val="both"/>
              <w:rPr>
                <w:rFonts w:asciiTheme="majorHAnsi" w:eastAsia="Times New Roman" w:hAnsiTheme="majorHAnsi" w:cs="Arial"/>
                <w:sz w:val="20"/>
                <w:szCs w:val="20"/>
                <w:lang w:eastAsia="es-ES"/>
              </w:rPr>
            </w:pPr>
          </w:p>
          <w:p w:rsidR="006B7594" w:rsidRPr="00411266" w:rsidRDefault="006B7594" w:rsidP="008E4032">
            <w:pPr>
              <w:pStyle w:val="Texto"/>
              <w:spacing w:line="240" w:lineRule="auto"/>
              <w:ind w:firstLine="0"/>
              <w:rPr>
                <w:rFonts w:asciiTheme="majorHAnsi" w:hAnsiTheme="majorHAnsi"/>
                <w:sz w:val="20"/>
              </w:rPr>
            </w:pPr>
          </w:p>
        </w:tc>
      </w:tr>
    </w:tbl>
    <w:p w:rsidR="008C76AF" w:rsidRPr="005D5F2E" w:rsidRDefault="008C76AF" w:rsidP="001932FC">
      <w:pPr>
        <w:jc w:val="both"/>
      </w:pPr>
    </w:p>
    <w:tbl>
      <w:tblPr>
        <w:tblStyle w:val="Tablaconcuadrcula"/>
        <w:tblW w:w="0" w:type="auto"/>
        <w:tblLook w:val="04A0" w:firstRow="1" w:lastRow="0" w:firstColumn="1" w:lastColumn="0" w:noHBand="0" w:noVBand="1"/>
      </w:tblPr>
      <w:tblGrid>
        <w:gridCol w:w="8828"/>
      </w:tblGrid>
      <w:tr w:rsidR="008C76AF" w:rsidRPr="005D5F2E" w:rsidTr="009977BB">
        <w:trPr>
          <w:trHeight w:val="615"/>
        </w:trPr>
        <w:tc>
          <w:tcPr>
            <w:tcW w:w="8828" w:type="dxa"/>
          </w:tcPr>
          <w:p w:rsidR="008C76AF" w:rsidRDefault="008C76AF" w:rsidP="001932FC">
            <w:pPr>
              <w:jc w:val="both"/>
              <w:rPr>
                <w:b/>
                <w:sz w:val="20"/>
                <w:szCs w:val="20"/>
              </w:rPr>
            </w:pPr>
            <w:r w:rsidRPr="005D5F2E">
              <w:rPr>
                <w:b/>
                <w:sz w:val="20"/>
                <w:szCs w:val="20"/>
              </w:rPr>
              <w:t>15.- Ju</w:t>
            </w:r>
            <w:r w:rsidR="0030055F" w:rsidRPr="005D5F2E">
              <w:rPr>
                <w:b/>
                <w:sz w:val="20"/>
                <w:szCs w:val="20"/>
              </w:rPr>
              <w:t>stifique que los beneficios que se podrían generar a razón de la entrada en vigor del presente anteproyecto de regulación son superiores a los costos de su cumplimiento:</w:t>
            </w:r>
          </w:p>
          <w:p w:rsidR="00BF5130" w:rsidRDefault="00BF5130" w:rsidP="001932FC">
            <w:pPr>
              <w:jc w:val="both"/>
              <w:rPr>
                <w:b/>
                <w:sz w:val="20"/>
                <w:szCs w:val="20"/>
              </w:rPr>
            </w:pPr>
          </w:p>
          <w:p w:rsidR="00BF5130" w:rsidRPr="00BF5130" w:rsidRDefault="00BF5130" w:rsidP="00BF5130">
            <w:pPr>
              <w:shd w:val="clear" w:color="auto" w:fill="FFFFFF"/>
              <w:spacing w:after="101" w:line="259" w:lineRule="auto"/>
              <w:jc w:val="both"/>
              <w:rPr>
                <w:rFonts w:asciiTheme="majorHAnsi" w:hAnsiTheme="majorHAnsi"/>
                <w:b/>
                <w:sz w:val="20"/>
                <w:szCs w:val="20"/>
              </w:rPr>
            </w:pPr>
            <w:r w:rsidRPr="00BF5130">
              <w:rPr>
                <w:rFonts w:asciiTheme="majorHAnsi" w:hAnsiTheme="majorHAnsi"/>
                <w:sz w:val="20"/>
                <w:szCs w:val="20"/>
              </w:rPr>
              <w:t>Los resultados del estudio “</w:t>
            </w:r>
            <w:r w:rsidRPr="00BF5130">
              <w:rPr>
                <w:rFonts w:asciiTheme="majorHAnsi" w:hAnsiTheme="majorHAnsi"/>
                <w:i/>
                <w:sz w:val="20"/>
                <w:szCs w:val="20"/>
              </w:rPr>
              <w:t>Costos de Traspaso, Efectos de Red, Portabilidad Numérica y Competencia en México</w:t>
            </w:r>
            <w:r w:rsidRPr="00BF5130">
              <w:rPr>
                <w:rFonts w:asciiTheme="majorHAnsi" w:hAnsiTheme="majorHAnsi"/>
                <w:sz w:val="20"/>
                <w:szCs w:val="20"/>
              </w:rPr>
              <w:t>”</w:t>
            </w:r>
            <w:r w:rsidRPr="00BF5130">
              <w:rPr>
                <w:rFonts w:asciiTheme="majorHAnsi" w:hAnsiTheme="majorHAnsi"/>
                <w:sz w:val="20"/>
                <w:szCs w:val="20"/>
                <w:vertAlign w:val="superscript"/>
              </w:rPr>
              <w:footnoteReference w:id="17"/>
            </w:r>
            <w:r w:rsidRPr="00BF5130">
              <w:rPr>
                <w:rFonts w:asciiTheme="majorHAnsi" w:hAnsiTheme="majorHAnsi"/>
                <w:sz w:val="20"/>
                <w:szCs w:val="20"/>
              </w:rPr>
              <w:t xml:space="preserve">, realizado por el Centro de Estudios del Instituto Federal de Telecomunicaciones, aportan evidencia del </w:t>
            </w:r>
            <w:r w:rsidRPr="00BF5130">
              <w:rPr>
                <w:rFonts w:asciiTheme="majorHAnsi" w:hAnsiTheme="majorHAnsi"/>
                <w:b/>
                <w:sz w:val="20"/>
                <w:szCs w:val="20"/>
              </w:rPr>
              <w:t>beneficio de reducir los C</w:t>
            </w:r>
            <w:r>
              <w:rPr>
                <w:rFonts w:asciiTheme="majorHAnsi" w:hAnsiTheme="majorHAnsi"/>
                <w:b/>
                <w:sz w:val="20"/>
                <w:szCs w:val="20"/>
              </w:rPr>
              <w:t xml:space="preserve">ostos de </w:t>
            </w:r>
            <w:r w:rsidRPr="00BF5130">
              <w:rPr>
                <w:rFonts w:asciiTheme="majorHAnsi" w:hAnsiTheme="majorHAnsi"/>
                <w:b/>
                <w:sz w:val="20"/>
                <w:szCs w:val="20"/>
              </w:rPr>
              <w:t>T</w:t>
            </w:r>
            <w:r>
              <w:rPr>
                <w:rFonts w:asciiTheme="majorHAnsi" w:hAnsiTheme="majorHAnsi"/>
                <w:b/>
                <w:sz w:val="20"/>
                <w:szCs w:val="20"/>
              </w:rPr>
              <w:t>ransacción (CT)</w:t>
            </w:r>
            <w:r w:rsidRPr="00BF5130">
              <w:rPr>
                <w:rFonts w:asciiTheme="majorHAnsi" w:hAnsiTheme="majorHAnsi"/>
                <w:b/>
                <w:sz w:val="20"/>
                <w:szCs w:val="20"/>
              </w:rPr>
              <w:t xml:space="preserve"> mediante la portabilidad numérica en los servicios móviles, ya que se incentiva el movimiento de los suscriptores entre oferentes móviles; así también los resultados sugieren que los efectos de una disminución en los CT tienen un impacto favorable sobre el índice de concentración del mercado. </w:t>
            </w:r>
          </w:p>
          <w:p w:rsidR="00BF5130" w:rsidRPr="00BF5130" w:rsidRDefault="00BF5130" w:rsidP="00BF5130">
            <w:pPr>
              <w:shd w:val="clear" w:color="auto" w:fill="FFFFFF"/>
              <w:spacing w:after="101" w:line="259" w:lineRule="auto"/>
              <w:jc w:val="both"/>
              <w:rPr>
                <w:rFonts w:asciiTheme="majorHAnsi" w:hAnsiTheme="majorHAnsi"/>
                <w:sz w:val="20"/>
                <w:szCs w:val="20"/>
              </w:rPr>
            </w:pPr>
            <w:r w:rsidRPr="00BF5130">
              <w:rPr>
                <w:rFonts w:asciiTheme="majorHAnsi" w:hAnsiTheme="majorHAnsi"/>
                <w:sz w:val="20"/>
                <w:szCs w:val="20"/>
              </w:rPr>
              <w:t>Es por ello, que se considera necesario disminuir los CT para aumentar la movilidad de los usuarios y con ello no limitar las alternativas de consumo por parte de los usuarios. El que un equipo terminal no pueda ser usado en todas la redes limita al usuario de poder portarse con otro proveedor de servicios, derivado de que tiene que adquirir otro equipo móvil para hacer uso de los servicios provisto por otro proveedor, por lo cual se considera necesario establecer una regulación que permita que dicho equipo cuente con la capacidad técnica de ser utilizado en las distintas bandas de frecuencias, con la que operan las redes públicas de telecomunicaciones de los distintos concesionarios del servicio móvil.</w:t>
            </w:r>
          </w:p>
          <w:p w:rsidR="0030055F" w:rsidRPr="005D5F2E" w:rsidRDefault="0030055F" w:rsidP="001932FC">
            <w:pPr>
              <w:jc w:val="both"/>
              <w:rPr>
                <w:sz w:val="20"/>
                <w:szCs w:val="20"/>
              </w:rPr>
            </w:pPr>
          </w:p>
          <w:p w:rsidR="00AE1121" w:rsidRDefault="004E14B8" w:rsidP="009F2C48">
            <w:pPr>
              <w:pStyle w:val="Texto"/>
              <w:tabs>
                <w:tab w:val="left" w:pos="0"/>
              </w:tabs>
              <w:spacing w:line="240" w:lineRule="auto"/>
              <w:ind w:firstLine="0"/>
              <w:rPr>
                <w:rFonts w:asciiTheme="majorHAnsi" w:hAnsiTheme="majorHAnsi"/>
                <w:sz w:val="20"/>
              </w:rPr>
            </w:pPr>
            <w:r>
              <w:rPr>
                <w:rFonts w:asciiTheme="majorHAnsi" w:hAnsiTheme="majorHAnsi"/>
                <w:sz w:val="20"/>
              </w:rPr>
              <w:t xml:space="preserve">Conforme a lo indicado en el punto 13, </w:t>
            </w:r>
            <w:r w:rsidR="00AE1121">
              <w:rPr>
                <w:rFonts w:asciiTheme="majorHAnsi" w:hAnsiTheme="majorHAnsi"/>
                <w:sz w:val="20"/>
              </w:rPr>
              <w:t>el Anteproyecto generará los siguientes</w:t>
            </w:r>
            <w:r w:rsidR="006D6E2A" w:rsidRPr="006D6E2A">
              <w:rPr>
                <w:rFonts w:asciiTheme="majorHAnsi" w:hAnsiTheme="majorHAnsi"/>
                <w:sz w:val="20"/>
              </w:rPr>
              <w:t xml:space="preserve"> costo</w:t>
            </w:r>
            <w:r w:rsidR="00AE1121">
              <w:rPr>
                <w:rFonts w:asciiTheme="majorHAnsi" w:hAnsiTheme="majorHAnsi"/>
                <w:sz w:val="20"/>
              </w:rPr>
              <w:t>s:</w:t>
            </w:r>
          </w:p>
          <w:p w:rsidR="00AE1121" w:rsidRDefault="00AE1121" w:rsidP="009F2C48">
            <w:pPr>
              <w:pStyle w:val="Texto"/>
              <w:tabs>
                <w:tab w:val="left" w:pos="0"/>
              </w:tabs>
              <w:spacing w:line="240" w:lineRule="auto"/>
              <w:ind w:firstLine="0"/>
              <w:rPr>
                <w:rFonts w:asciiTheme="majorHAnsi" w:hAnsiTheme="majorHAnsi"/>
                <w:sz w:val="20"/>
              </w:rPr>
            </w:pPr>
          </w:p>
          <w:p w:rsidR="00AE1121" w:rsidRDefault="002850FB" w:rsidP="002850FB">
            <w:pPr>
              <w:pStyle w:val="Texto"/>
              <w:numPr>
                <w:ilvl w:val="0"/>
                <w:numId w:val="40"/>
              </w:numPr>
              <w:tabs>
                <w:tab w:val="left" w:pos="0"/>
              </w:tabs>
              <w:spacing w:line="240" w:lineRule="auto"/>
              <w:rPr>
                <w:rFonts w:asciiTheme="majorHAnsi" w:hAnsiTheme="majorHAnsi"/>
                <w:sz w:val="20"/>
              </w:rPr>
            </w:pPr>
            <w:r w:rsidRPr="002850FB">
              <w:rPr>
                <w:rFonts w:asciiTheme="majorHAnsi" w:hAnsiTheme="majorHAnsi"/>
                <w:b/>
                <w:sz w:val="20"/>
              </w:rPr>
              <w:t>$27.5 millones de pesos</w:t>
            </w:r>
            <w:r>
              <w:rPr>
                <w:rFonts w:asciiTheme="majorHAnsi" w:hAnsiTheme="majorHAnsi"/>
                <w:sz w:val="20"/>
              </w:rPr>
              <w:t xml:space="preserve"> derivados de la implementación de la evaluación de la conformidad durante el primer año a partir de la entrada en vigor del Anteproyecto.</w:t>
            </w:r>
          </w:p>
          <w:p w:rsidR="00AE1121" w:rsidRPr="00AE1121" w:rsidRDefault="00AE1121" w:rsidP="00780A60">
            <w:pPr>
              <w:pStyle w:val="Texto"/>
              <w:numPr>
                <w:ilvl w:val="0"/>
                <w:numId w:val="40"/>
              </w:numPr>
              <w:tabs>
                <w:tab w:val="left" w:pos="0"/>
              </w:tabs>
              <w:spacing w:line="240" w:lineRule="auto"/>
              <w:rPr>
                <w:rFonts w:asciiTheme="majorHAnsi" w:hAnsiTheme="majorHAnsi"/>
                <w:sz w:val="20"/>
              </w:rPr>
            </w:pPr>
            <w:r w:rsidRPr="00AE1121">
              <w:rPr>
                <w:rFonts w:asciiTheme="majorHAnsi" w:hAnsiTheme="majorHAnsi"/>
                <w:sz w:val="20"/>
              </w:rPr>
              <w:t xml:space="preserve">En su caso y, en el peor escenario, la inclusión de la banda 28 en los ETM tendría un costo aproximado de </w:t>
            </w:r>
            <w:r w:rsidRPr="00AE1121">
              <w:rPr>
                <w:rFonts w:asciiTheme="majorHAnsi" w:hAnsiTheme="majorHAnsi"/>
                <w:b/>
                <w:sz w:val="20"/>
              </w:rPr>
              <w:t>6.3 millones USD</w:t>
            </w:r>
            <w:r w:rsidRPr="00AE1121">
              <w:rPr>
                <w:rFonts w:asciiTheme="majorHAnsi" w:hAnsiTheme="majorHAnsi"/>
                <w:sz w:val="20"/>
              </w:rPr>
              <w:t xml:space="preserve"> (solo a la entrada en vigor del Anteproyecto de mérito</w:t>
            </w:r>
            <w:r w:rsidR="00BF5130">
              <w:rPr>
                <w:rFonts w:asciiTheme="majorHAnsi" w:hAnsiTheme="majorHAnsi"/>
                <w:sz w:val="20"/>
              </w:rPr>
              <w:t>)</w:t>
            </w:r>
            <w:r w:rsidRPr="00AE1121">
              <w:rPr>
                <w:rFonts w:asciiTheme="majorHAnsi" w:hAnsiTheme="majorHAnsi"/>
                <w:sz w:val="20"/>
              </w:rPr>
              <w:t>.</w:t>
            </w:r>
          </w:p>
          <w:p w:rsidR="004E14B8" w:rsidRDefault="004E14B8" w:rsidP="004E14B8">
            <w:pPr>
              <w:jc w:val="both"/>
              <w:rPr>
                <w:rFonts w:asciiTheme="majorHAnsi" w:eastAsia="Times New Roman" w:hAnsiTheme="majorHAnsi" w:cs="Arial"/>
                <w:sz w:val="20"/>
                <w:szCs w:val="20"/>
                <w:lang w:eastAsia="es-ES"/>
              </w:rPr>
            </w:pPr>
          </w:p>
          <w:p w:rsidR="00FA2784" w:rsidRDefault="00FA2784" w:rsidP="00FA2784">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Al impulsar la utilización de la banda de 700 MHz se fomenta que la población en México</w:t>
            </w:r>
            <w:r w:rsidRPr="00FA2784">
              <w:rPr>
                <w:rFonts w:asciiTheme="majorHAnsi" w:eastAsia="Times New Roman" w:hAnsiTheme="majorHAnsi" w:cs="Arial"/>
                <w:sz w:val="20"/>
                <w:szCs w:val="20"/>
                <w:lang w:eastAsia="es-ES"/>
              </w:rPr>
              <w:t xml:space="preserve"> pueda acceder a los beneficios que la Constitución ha previsto para el aprovechamiento de esta banda mediante la Red Compartida.  </w:t>
            </w:r>
          </w:p>
          <w:p w:rsidR="002850FB" w:rsidRPr="00FA2784" w:rsidRDefault="002850FB" w:rsidP="00FA2784">
            <w:pPr>
              <w:jc w:val="both"/>
              <w:rPr>
                <w:rFonts w:asciiTheme="majorHAnsi" w:eastAsia="Times New Roman" w:hAnsiTheme="majorHAnsi" w:cs="Arial"/>
                <w:sz w:val="20"/>
                <w:szCs w:val="20"/>
                <w:lang w:eastAsia="es-ES"/>
              </w:rPr>
            </w:pPr>
          </w:p>
          <w:p w:rsidR="00FA2784" w:rsidRDefault="00FA2784" w:rsidP="00FA2784">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w:t>
            </w:r>
            <w:r w:rsidRPr="00FA2784">
              <w:rPr>
                <w:rFonts w:asciiTheme="majorHAnsi" w:eastAsia="Times New Roman" w:hAnsiTheme="majorHAnsi" w:cs="Arial"/>
                <w:sz w:val="20"/>
                <w:szCs w:val="20"/>
                <w:lang w:eastAsia="es-ES"/>
              </w:rPr>
              <w:t>esde el punto de vista del consumidor, en un mercado con una rotación del 49%</w:t>
            </w:r>
            <w:r>
              <w:rPr>
                <w:rFonts w:asciiTheme="majorHAnsi" w:eastAsia="Times New Roman" w:hAnsiTheme="majorHAnsi" w:cs="Arial"/>
                <w:sz w:val="20"/>
                <w:szCs w:val="20"/>
                <w:lang w:eastAsia="es-ES"/>
              </w:rPr>
              <w:t>, existen aproximadamente</w:t>
            </w:r>
            <w:r w:rsidRPr="00FA2784">
              <w:rPr>
                <w:rFonts w:asciiTheme="majorHAnsi" w:eastAsia="Times New Roman" w:hAnsiTheme="majorHAnsi" w:cs="Arial"/>
                <w:sz w:val="20"/>
                <w:szCs w:val="20"/>
                <w:lang w:eastAsia="es-ES"/>
              </w:rPr>
              <w:t xml:space="preserve"> 55 millones de mexicanos que van a </w:t>
            </w:r>
            <w:r>
              <w:rPr>
                <w:rFonts w:asciiTheme="majorHAnsi" w:eastAsia="Times New Roman" w:hAnsiTheme="majorHAnsi" w:cs="Arial"/>
                <w:sz w:val="20"/>
                <w:szCs w:val="20"/>
                <w:lang w:eastAsia="es-ES"/>
              </w:rPr>
              <w:t>portarse</w:t>
            </w:r>
            <w:r w:rsidRPr="00FA2784">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Por ejemp</w:t>
            </w:r>
            <w:r w:rsidR="00EA3028">
              <w:rPr>
                <w:rFonts w:asciiTheme="majorHAnsi" w:eastAsia="Times New Roman" w:hAnsiTheme="majorHAnsi" w:cs="Arial"/>
                <w:sz w:val="20"/>
                <w:szCs w:val="20"/>
                <w:lang w:eastAsia="es-ES"/>
              </w:rPr>
              <w:t>lo</w:t>
            </w:r>
            <w:r w:rsidRPr="00FA2784">
              <w:rPr>
                <w:rFonts w:asciiTheme="majorHAnsi" w:eastAsia="Times New Roman" w:hAnsiTheme="majorHAnsi" w:cs="Arial"/>
                <w:sz w:val="20"/>
                <w:szCs w:val="20"/>
                <w:lang w:eastAsia="es-ES"/>
              </w:rPr>
              <w:t xml:space="preserve">, si un 20% de dichos usuarios (11 Millones) quisieran optar por uno de los nuevos operadores que </w:t>
            </w:r>
            <w:r w:rsidR="00EA3028">
              <w:rPr>
                <w:rFonts w:asciiTheme="majorHAnsi" w:eastAsia="Times New Roman" w:hAnsiTheme="majorHAnsi" w:cs="Arial"/>
                <w:sz w:val="20"/>
                <w:szCs w:val="20"/>
                <w:lang w:eastAsia="es-ES"/>
              </w:rPr>
              <w:t>operen</w:t>
            </w:r>
            <w:r w:rsidRPr="00FA2784">
              <w:rPr>
                <w:rFonts w:asciiTheme="majorHAnsi" w:eastAsia="Times New Roman" w:hAnsiTheme="majorHAnsi" w:cs="Arial"/>
                <w:sz w:val="20"/>
                <w:szCs w:val="20"/>
                <w:lang w:eastAsia="es-ES"/>
              </w:rPr>
              <w:t xml:space="preserve"> sobre la Red Compartida es necesario que cuenten con una terminal que incluya la Banda 28.  Sin embargo, si esto no sucede y </w:t>
            </w:r>
            <w:r w:rsidRPr="00BF5130">
              <w:rPr>
                <w:rFonts w:asciiTheme="majorHAnsi" w:eastAsia="Times New Roman" w:hAnsiTheme="majorHAnsi" w:cs="Arial"/>
                <w:b/>
                <w:sz w:val="20"/>
                <w:szCs w:val="20"/>
                <w:lang w:eastAsia="es-ES"/>
              </w:rPr>
              <w:t>tuvieran que cambiar de terminal</w:t>
            </w:r>
            <w:r w:rsidRPr="00FA2784">
              <w:rPr>
                <w:rFonts w:asciiTheme="majorHAnsi" w:eastAsia="Times New Roman" w:hAnsiTheme="majorHAnsi" w:cs="Arial"/>
                <w:sz w:val="20"/>
                <w:szCs w:val="20"/>
                <w:lang w:eastAsia="es-ES"/>
              </w:rPr>
              <w:t xml:space="preserve">, se les obligaría </w:t>
            </w:r>
            <w:r w:rsidRPr="00BF5130">
              <w:rPr>
                <w:rFonts w:asciiTheme="majorHAnsi" w:eastAsia="Times New Roman" w:hAnsiTheme="majorHAnsi" w:cs="Arial"/>
                <w:b/>
                <w:sz w:val="20"/>
                <w:szCs w:val="20"/>
                <w:lang w:eastAsia="es-ES"/>
              </w:rPr>
              <w:t>a incurrir en un gasto de casi 1,800 Millones USD</w:t>
            </w:r>
            <w:r w:rsidRPr="00FA2784">
              <w:rPr>
                <w:rFonts w:asciiTheme="majorHAnsi" w:eastAsia="Times New Roman" w:hAnsiTheme="majorHAnsi" w:cs="Arial"/>
                <w:sz w:val="20"/>
                <w:szCs w:val="20"/>
                <w:lang w:eastAsia="es-ES"/>
              </w:rPr>
              <w:t xml:space="preserve"> (asumiendo el costo medio del termina</w:t>
            </w:r>
            <w:r>
              <w:rPr>
                <w:rFonts w:asciiTheme="majorHAnsi" w:eastAsia="Times New Roman" w:hAnsiTheme="majorHAnsi" w:cs="Arial"/>
                <w:sz w:val="20"/>
                <w:szCs w:val="20"/>
                <w:lang w:eastAsia="es-ES"/>
              </w:rPr>
              <w:t>l en México en 2016 de 161 USD</w:t>
            </w:r>
            <w:r w:rsidRPr="00FA2784">
              <w:rPr>
                <w:rFonts w:asciiTheme="majorHAnsi" w:eastAsia="Times New Roman" w:hAnsiTheme="majorHAnsi" w:cs="Arial"/>
                <w:sz w:val="20"/>
                <w:szCs w:val="20"/>
                <w:lang w:eastAsia="es-ES"/>
              </w:rPr>
              <w:t>).  En este sentido se conformaría una barrera de acceso a la oferta de la Red Compartida que impediría que ésta pueda cumplir con los fines que se establecieron en la Constitución.</w:t>
            </w:r>
          </w:p>
          <w:p w:rsidR="00FA2784" w:rsidRDefault="00FA2784" w:rsidP="00371C7E">
            <w:pPr>
              <w:jc w:val="both"/>
              <w:rPr>
                <w:rFonts w:asciiTheme="majorHAnsi" w:eastAsia="Times New Roman" w:hAnsiTheme="majorHAnsi" w:cs="Arial"/>
                <w:sz w:val="20"/>
                <w:szCs w:val="20"/>
                <w:lang w:eastAsia="es-ES"/>
              </w:rPr>
            </w:pPr>
          </w:p>
          <w:p w:rsidR="00FA2784" w:rsidRPr="005D5F2E" w:rsidRDefault="00EA3028" w:rsidP="00371C7E">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De manera general, s</w:t>
            </w:r>
            <w:r w:rsidR="00FA2784" w:rsidRPr="00FA2784">
              <w:rPr>
                <w:rFonts w:asciiTheme="majorHAnsi" w:eastAsia="Times New Roman" w:hAnsiTheme="majorHAnsi" w:cs="Arial"/>
                <w:sz w:val="20"/>
                <w:szCs w:val="20"/>
                <w:lang w:eastAsia="es-ES"/>
              </w:rPr>
              <w:t>e considera que los costos mencionados se verían sobrepasados de manera positiva por los beneficios directos que se obtendrían a la entrada en vigor del presente proyecto regulatorio, entre los cuales se encuentran:</w:t>
            </w:r>
          </w:p>
          <w:p w:rsidR="006D6E2A" w:rsidRDefault="006D6E2A" w:rsidP="006D6E2A">
            <w:pPr>
              <w:jc w:val="both"/>
              <w:rPr>
                <w:rFonts w:asciiTheme="majorHAnsi" w:eastAsia="Times New Roman" w:hAnsiTheme="majorHAnsi" w:cs="Arial"/>
                <w:sz w:val="20"/>
                <w:szCs w:val="20"/>
                <w:lang w:eastAsia="es-ES"/>
              </w:rPr>
            </w:pPr>
          </w:p>
          <w:p w:rsidR="00484617" w:rsidRDefault="00484617" w:rsidP="004A40C4">
            <w:pPr>
              <w:pStyle w:val="Texto"/>
              <w:numPr>
                <w:ilvl w:val="0"/>
                <w:numId w:val="8"/>
              </w:numPr>
              <w:tabs>
                <w:tab w:val="left" w:pos="0"/>
              </w:tabs>
              <w:spacing w:line="240" w:lineRule="auto"/>
              <w:rPr>
                <w:rFonts w:asciiTheme="majorHAnsi" w:hAnsiTheme="majorHAnsi"/>
                <w:sz w:val="20"/>
              </w:rPr>
            </w:pPr>
            <w:r w:rsidRPr="005D5F2E">
              <w:rPr>
                <w:rFonts w:asciiTheme="majorHAnsi" w:hAnsiTheme="majorHAnsi"/>
                <w:sz w:val="20"/>
              </w:rPr>
              <w:t xml:space="preserve">Certidumbre jurídica respecto de las </w:t>
            </w:r>
            <w:r w:rsidR="008C4ECE" w:rsidRPr="005D5F2E">
              <w:rPr>
                <w:rFonts w:asciiTheme="majorHAnsi" w:hAnsiTheme="majorHAnsi"/>
                <w:sz w:val="20"/>
              </w:rPr>
              <w:t>especificaciones</w:t>
            </w:r>
            <w:r w:rsidR="008C4ECE">
              <w:rPr>
                <w:rFonts w:asciiTheme="majorHAnsi" w:hAnsiTheme="majorHAnsi"/>
                <w:sz w:val="20"/>
              </w:rPr>
              <w:t xml:space="preserve"> </w:t>
            </w:r>
            <w:r w:rsidR="008C4ECE" w:rsidRPr="00C72F32">
              <w:rPr>
                <w:rFonts w:asciiTheme="majorHAnsi" w:hAnsiTheme="majorHAnsi"/>
                <w:sz w:val="20"/>
              </w:rPr>
              <w:t>técnicas de los Equipos Terminales Móviles que puedan hacer uso del espectro radioeléctrico o ser conectados a redes de telecomunicaciones; así como los métodos de prueba para comprobar el cumplimiento de dichas especificaciones</w:t>
            </w:r>
            <w:r w:rsidRPr="005D5F2E">
              <w:rPr>
                <w:rFonts w:asciiTheme="majorHAnsi" w:hAnsiTheme="majorHAnsi"/>
                <w:sz w:val="20"/>
              </w:rPr>
              <w:t xml:space="preserve">; </w:t>
            </w:r>
          </w:p>
          <w:p w:rsidR="00D1107C" w:rsidRPr="004A40C4" w:rsidRDefault="00D1107C" w:rsidP="004A40C4">
            <w:pPr>
              <w:pStyle w:val="Texto"/>
              <w:numPr>
                <w:ilvl w:val="0"/>
                <w:numId w:val="8"/>
              </w:numPr>
              <w:tabs>
                <w:tab w:val="left" w:pos="0"/>
              </w:tabs>
              <w:spacing w:line="240" w:lineRule="auto"/>
              <w:rPr>
                <w:rFonts w:asciiTheme="majorHAnsi" w:hAnsiTheme="majorHAnsi"/>
                <w:sz w:val="20"/>
              </w:rPr>
            </w:pPr>
            <w:r w:rsidRPr="004A40C4">
              <w:rPr>
                <w:rFonts w:asciiTheme="majorHAnsi" w:hAnsiTheme="majorHAnsi"/>
                <w:sz w:val="20"/>
              </w:rPr>
              <w:t>Se favorecerá el acceso efect</w:t>
            </w:r>
            <w:r w:rsidR="00BF5130">
              <w:rPr>
                <w:rFonts w:asciiTheme="majorHAnsi" w:hAnsiTheme="majorHAnsi"/>
                <w:sz w:val="20"/>
              </w:rPr>
              <w:t xml:space="preserve">ivo a la Banda 28 y con ello el </w:t>
            </w:r>
            <w:r w:rsidR="00C022B4">
              <w:rPr>
                <w:rFonts w:asciiTheme="majorHAnsi" w:hAnsiTheme="majorHAnsi"/>
                <w:sz w:val="20"/>
              </w:rPr>
              <w:t>fomento a la inclusión digital universal.</w:t>
            </w:r>
          </w:p>
          <w:p w:rsidR="004A40C4" w:rsidRPr="004125EA" w:rsidRDefault="004A40C4" w:rsidP="004A40C4">
            <w:pPr>
              <w:pStyle w:val="Texto"/>
              <w:numPr>
                <w:ilvl w:val="0"/>
                <w:numId w:val="8"/>
              </w:numPr>
              <w:spacing w:line="240" w:lineRule="auto"/>
              <w:rPr>
                <w:rFonts w:asciiTheme="majorHAnsi" w:hAnsiTheme="majorHAnsi"/>
                <w:sz w:val="20"/>
              </w:rPr>
            </w:pPr>
            <w:r>
              <w:rPr>
                <w:rFonts w:asciiTheme="majorHAnsi" w:hAnsiTheme="majorHAnsi"/>
                <w:sz w:val="20"/>
              </w:rPr>
              <w:t>Se incentivará</w:t>
            </w:r>
            <w:r w:rsidRPr="00924D04">
              <w:rPr>
                <w:rFonts w:asciiTheme="majorHAnsi" w:hAnsiTheme="majorHAnsi"/>
                <w:sz w:val="20"/>
              </w:rPr>
              <w:t xml:space="preserve"> la competencia y fomenta</w:t>
            </w:r>
            <w:r>
              <w:rPr>
                <w:rFonts w:asciiTheme="majorHAnsi" w:hAnsiTheme="majorHAnsi"/>
                <w:sz w:val="20"/>
              </w:rPr>
              <w:t xml:space="preserve">rá </w:t>
            </w:r>
            <w:r w:rsidRPr="00924D04">
              <w:rPr>
                <w:rFonts w:asciiTheme="majorHAnsi" w:hAnsiTheme="majorHAnsi"/>
                <w:sz w:val="20"/>
              </w:rPr>
              <w:t xml:space="preserve">la adopción de servicios provistos por </w:t>
            </w:r>
            <w:r>
              <w:rPr>
                <w:rFonts w:asciiTheme="majorHAnsi" w:hAnsiTheme="majorHAnsi"/>
                <w:sz w:val="20"/>
              </w:rPr>
              <w:t xml:space="preserve">los concesionarios y autorizados </w:t>
            </w:r>
            <w:r w:rsidRPr="004125EA">
              <w:rPr>
                <w:rFonts w:asciiTheme="majorHAnsi" w:hAnsiTheme="majorHAnsi"/>
                <w:sz w:val="20"/>
              </w:rPr>
              <w:t xml:space="preserve">al </w:t>
            </w:r>
            <w:r w:rsidR="00BF5130">
              <w:rPr>
                <w:rFonts w:asciiTheme="majorHAnsi" w:hAnsiTheme="majorHAnsi"/>
                <w:sz w:val="20"/>
              </w:rPr>
              <w:t xml:space="preserve">prever que las bandas de frecuencias de los equipos terminales móviles  </w:t>
            </w:r>
            <w:r w:rsidRPr="004125EA">
              <w:rPr>
                <w:rFonts w:asciiTheme="majorHAnsi" w:hAnsiTheme="majorHAnsi"/>
                <w:sz w:val="20"/>
              </w:rPr>
              <w:t xml:space="preserve"> </w:t>
            </w:r>
            <w:r w:rsidR="00BF5130">
              <w:rPr>
                <w:rFonts w:asciiTheme="majorHAnsi" w:hAnsiTheme="majorHAnsi"/>
                <w:sz w:val="20"/>
              </w:rPr>
              <w:t>estén</w:t>
            </w:r>
            <w:r w:rsidRPr="004125EA">
              <w:rPr>
                <w:rFonts w:asciiTheme="majorHAnsi" w:hAnsiTheme="majorHAnsi"/>
                <w:sz w:val="20"/>
              </w:rPr>
              <w:t xml:space="preserve"> habilitadas de tal forma que no exista ningún tipo de bloqueo o restricción para su operación en dichas bandas.</w:t>
            </w:r>
          </w:p>
          <w:p w:rsidR="00AD0815" w:rsidRPr="005D5F2E" w:rsidRDefault="004A40C4" w:rsidP="004A40C4">
            <w:pPr>
              <w:pStyle w:val="Texto"/>
              <w:numPr>
                <w:ilvl w:val="0"/>
                <w:numId w:val="8"/>
              </w:numPr>
              <w:tabs>
                <w:tab w:val="left" w:pos="0"/>
              </w:tabs>
              <w:spacing w:line="240" w:lineRule="auto"/>
              <w:rPr>
                <w:rFonts w:asciiTheme="majorHAnsi" w:hAnsiTheme="majorHAnsi"/>
                <w:sz w:val="20"/>
              </w:rPr>
            </w:pPr>
            <w:r>
              <w:rPr>
                <w:rFonts w:asciiTheme="majorHAnsi" w:hAnsiTheme="majorHAnsi"/>
                <w:sz w:val="20"/>
              </w:rPr>
              <w:t>Coadyuvar a que l</w:t>
            </w:r>
            <w:r w:rsidR="00AD0815" w:rsidRPr="00AD0815">
              <w:rPr>
                <w:rFonts w:asciiTheme="majorHAnsi" w:hAnsiTheme="majorHAnsi"/>
                <w:sz w:val="20"/>
              </w:rPr>
              <w:t xml:space="preserve">os usuarios </w:t>
            </w:r>
            <w:r>
              <w:rPr>
                <w:rFonts w:asciiTheme="majorHAnsi" w:hAnsiTheme="majorHAnsi"/>
                <w:sz w:val="20"/>
              </w:rPr>
              <w:t xml:space="preserve">continúen ejerciendo </w:t>
            </w:r>
            <w:r w:rsidR="00AD0815" w:rsidRPr="00AD0815">
              <w:rPr>
                <w:rFonts w:asciiTheme="majorHAnsi" w:hAnsiTheme="majorHAnsi"/>
                <w:sz w:val="20"/>
              </w:rPr>
              <w:t>su derecho a la portabilidad y a elegir libremente a su proveedor de servicios</w:t>
            </w:r>
            <w:r w:rsidR="008E4032">
              <w:rPr>
                <w:rFonts w:asciiTheme="majorHAnsi" w:hAnsiTheme="majorHAnsi"/>
                <w:sz w:val="20"/>
              </w:rPr>
              <w:t>.</w:t>
            </w:r>
          </w:p>
          <w:p w:rsidR="00AD0815" w:rsidRPr="007E4537" w:rsidRDefault="004221D4" w:rsidP="004221D4">
            <w:pPr>
              <w:pStyle w:val="Texto"/>
              <w:spacing w:line="240" w:lineRule="auto"/>
              <w:ind w:left="360" w:firstLine="0"/>
              <w:rPr>
                <w:rFonts w:asciiTheme="majorHAnsi" w:hAnsiTheme="majorHAnsi"/>
                <w:sz w:val="20"/>
              </w:rPr>
            </w:pPr>
            <w:r>
              <w:rPr>
                <w:rFonts w:asciiTheme="majorHAnsi" w:hAnsiTheme="majorHAnsi"/>
                <w:sz w:val="20"/>
              </w:rPr>
              <w:t>De lo anterior se concluye que el beneficio de los usuarios derivado del ahorro</w:t>
            </w:r>
            <w:r w:rsidR="006B7594">
              <w:rPr>
                <w:rFonts w:asciiTheme="majorHAnsi" w:hAnsiTheme="majorHAnsi"/>
                <w:sz w:val="20"/>
              </w:rPr>
              <w:t xml:space="preserve"> </w:t>
            </w:r>
            <w:r w:rsidR="006B7594" w:rsidRPr="006B7594">
              <w:rPr>
                <w:rFonts w:asciiTheme="majorHAnsi" w:hAnsiTheme="majorHAnsi"/>
                <w:sz w:val="20"/>
              </w:rPr>
              <w:t>de casi 1,800 Millones USD (asumiendo el costo medio del terminal en México en 2016 de 161 USD)</w:t>
            </w:r>
            <w:r w:rsidR="006B7594">
              <w:rPr>
                <w:rFonts w:asciiTheme="majorHAnsi" w:hAnsiTheme="majorHAnsi"/>
                <w:sz w:val="20"/>
              </w:rPr>
              <w:t xml:space="preserve"> por </w:t>
            </w:r>
            <w:r>
              <w:rPr>
                <w:rFonts w:asciiTheme="majorHAnsi" w:hAnsiTheme="majorHAnsi"/>
                <w:sz w:val="20"/>
              </w:rPr>
              <w:t xml:space="preserve">no realizar un </w:t>
            </w:r>
            <w:r w:rsidR="006B7594" w:rsidRPr="006B7594">
              <w:rPr>
                <w:rFonts w:asciiTheme="majorHAnsi" w:hAnsiTheme="majorHAnsi"/>
                <w:sz w:val="20"/>
              </w:rPr>
              <w:t>cambi</w:t>
            </w:r>
            <w:r w:rsidR="006B7594">
              <w:rPr>
                <w:rFonts w:asciiTheme="majorHAnsi" w:hAnsiTheme="majorHAnsi"/>
                <w:sz w:val="20"/>
              </w:rPr>
              <w:t>o</w:t>
            </w:r>
            <w:r w:rsidR="006B7594" w:rsidRPr="006B7594">
              <w:rPr>
                <w:rFonts w:asciiTheme="majorHAnsi" w:hAnsiTheme="majorHAnsi"/>
                <w:sz w:val="20"/>
              </w:rPr>
              <w:t xml:space="preserve"> de terminal</w:t>
            </w:r>
            <w:r w:rsidR="006B7594">
              <w:rPr>
                <w:rFonts w:asciiTheme="majorHAnsi" w:hAnsiTheme="majorHAnsi"/>
                <w:sz w:val="20"/>
              </w:rPr>
              <w:t xml:space="preserve"> , es </w:t>
            </w:r>
            <w:r w:rsidR="001540F0">
              <w:rPr>
                <w:rFonts w:asciiTheme="majorHAnsi" w:hAnsiTheme="majorHAnsi"/>
                <w:sz w:val="20"/>
              </w:rPr>
              <w:t xml:space="preserve">extremadamente mayor que el costo de </w:t>
            </w:r>
            <w:r w:rsidR="006B7594" w:rsidRPr="006B7594">
              <w:rPr>
                <w:rFonts w:asciiTheme="majorHAnsi" w:hAnsiTheme="majorHAnsi"/>
                <w:sz w:val="20"/>
              </w:rPr>
              <w:t xml:space="preserve">27.5 millones de pesos </w:t>
            </w:r>
            <w:r w:rsidR="001540F0">
              <w:rPr>
                <w:rFonts w:asciiTheme="majorHAnsi" w:hAnsiTheme="majorHAnsi"/>
                <w:sz w:val="20"/>
              </w:rPr>
              <w:t xml:space="preserve">(aproximadamente 1.44 </w:t>
            </w:r>
            <w:r w:rsidR="001540F0" w:rsidRPr="006B7594">
              <w:rPr>
                <w:rFonts w:asciiTheme="majorHAnsi" w:hAnsiTheme="majorHAnsi"/>
                <w:sz w:val="20"/>
              </w:rPr>
              <w:t>Millones USD</w:t>
            </w:r>
            <w:r w:rsidR="001540F0">
              <w:rPr>
                <w:rFonts w:asciiTheme="majorHAnsi" w:hAnsiTheme="majorHAnsi"/>
                <w:sz w:val="20"/>
              </w:rPr>
              <w:t xml:space="preserve">) </w:t>
            </w:r>
            <w:r w:rsidR="006B7594" w:rsidRPr="006B7594">
              <w:rPr>
                <w:rFonts w:asciiTheme="majorHAnsi" w:hAnsiTheme="majorHAnsi"/>
                <w:sz w:val="20"/>
              </w:rPr>
              <w:t>derivados de la implementación de la evaluación de la conformidad durante el primer año a partir de la entrada en vigor del Anteproyecto</w:t>
            </w:r>
            <w:r>
              <w:rPr>
                <w:rFonts w:asciiTheme="majorHAnsi" w:hAnsiTheme="majorHAnsi"/>
                <w:sz w:val="20"/>
              </w:rPr>
              <w:t xml:space="preserve"> en comento y, </w:t>
            </w:r>
            <w:r w:rsidRPr="004221D4">
              <w:rPr>
                <w:rFonts w:asciiTheme="majorHAnsi" w:hAnsiTheme="majorHAnsi"/>
                <w:sz w:val="20"/>
              </w:rPr>
              <w:t>de los 6.3 millones USD</w:t>
            </w:r>
            <w:r>
              <w:rPr>
                <w:rFonts w:asciiTheme="majorHAnsi" w:hAnsiTheme="majorHAnsi"/>
                <w:sz w:val="20"/>
              </w:rPr>
              <w:t xml:space="preserve"> derivado de </w:t>
            </w:r>
            <w:r w:rsidRPr="004221D4">
              <w:rPr>
                <w:rFonts w:asciiTheme="majorHAnsi" w:hAnsiTheme="majorHAnsi"/>
                <w:sz w:val="20"/>
              </w:rPr>
              <w:t>la inclusión de la banda 28 en los ETM</w:t>
            </w:r>
            <w:r>
              <w:rPr>
                <w:rFonts w:asciiTheme="majorHAnsi" w:hAnsiTheme="majorHAnsi"/>
                <w:sz w:val="20"/>
              </w:rPr>
              <w:t>.</w:t>
            </w:r>
          </w:p>
        </w:tc>
      </w:tr>
    </w:tbl>
    <w:p w:rsidR="008C76AF" w:rsidRPr="005D5F2E" w:rsidRDefault="008C76AF" w:rsidP="001932FC">
      <w:pPr>
        <w:jc w:val="both"/>
      </w:pPr>
    </w:p>
    <w:p w:rsidR="001932FC" w:rsidRPr="005D5F2E" w:rsidRDefault="001932FC" w:rsidP="00A73AD8">
      <w:pPr>
        <w:shd w:val="clear" w:color="auto" w:fill="A8D08D" w:themeFill="accent6" w:themeFillTint="99"/>
        <w:jc w:val="both"/>
      </w:pPr>
      <w:r w:rsidRPr="005D5F2E">
        <w:t>IV. CUMPLIMIENTO Y APLICACIÓN DE LA PROPUESTA.</w:t>
      </w:r>
    </w:p>
    <w:tbl>
      <w:tblPr>
        <w:tblStyle w:val="Tablaconcuadrcula"/>
        <w:tblW w:w="0" w:type="auto"/>
        <w:tblLook w:val="04A0" w:firstRow="1" w:lastRow="0" w:firstColumn="1" w:lastColumn="0" w:noHBand="0" w:noVBand="1"/>
      </w:tblPr>
      <w:tblGrid>
        <w:gridCol w:w="8828"/>
      </w:tblGrid>
      <w:tr w:rsidR="0030055F" w:rsidRPr="005D5F2E" w:rsidTr="00780A60">
        <w:trPr>
          <w:trHeight w:val="464"/>
        </w:trPr>
        <w:tc>
          <w:tcPr>
            <w:tcW w:w="8828" w:type="dxa"/>
          </w:tcPr>
          <w:p w:rsidR="0030055F" w:rsidRPr="005D5F2E" w:rsidRDefault="0030055F" w:rsidP="001932FC">
            <w:pPr>
              <w:jc w:val="both"/>
              <w:rPr>
                <w:b/>
                <w:sz w:val="20"/>
              </w:rPr>
            </w:pPr>
            <w:r w:rsidRPr="005D5F2E">
              <w:rPr>
                <w:b/>
                <w:sz w:val="20"/>
              </w:rPr>
              <w:t>16.- Describa los recursos, la forma y/o los mecanismos públicos y privados a través de los cuales se implementarán las medidas regulatorias propuestas por el anteproyecto de regulación:</w:t>
            </w:r>
          </w:p>
          <w:p w:rsidR="0030055F" w:rsidRPr="005D5F2E" w:rsidRDefault="0030055F" w:rsidP="001932FC">
            <w:pPr>
              <w:jc w:val="both"/>
              <w:rPr>
                <w:sz w:val="20"/>
              </w:rPr>
            </w:pPr>
          </w:p>
          <w:p w:rsidR="00117CA7" w:rsidRPr="005D5F2E" w:rsidRDefault="00117CA7" w:rsidP="00117CA7">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Entre otros, se contemplan los siguientes mecanismos: </w:t>
            </w:r>
          </w:p>
          <w:p w:rsidR="00117CA7" w:rsidRPr="005D5F2E" w:rsidRDefault="00117CA7" w:rsidP="00117CA7">
            <w:pPr>
              <w:jc w:val="both"/>
              <w:rPr>
                <w:rFonts w:asciiTheme="majorHAnsi" w:eastAsia="Times New Roman" w:hAnsiTheme="majorHAnsi" w:cs="Arial"/>
                <w:sz w:val="20"/>
                <w:szCs w:val="20"/>
                <w:lang w:eastAsia="es-ES"/>
              </w:rPr>
            </w:pPr>
          </w:p>
          <w:p w:rsidR="00117CA7" w:rsidRPr="005D5F2E" w:rsidRDefault="00117CA7" w:rsidP="00780A60">
            <w:pPr>
              <w:pStyle w:val="Texto"/>
              <w:numPr>
                <w:ilvl w:val="0"/>
                <w:numId w:val="30"/>
              </w:numPr>
              <w:spacing w:after="160" w:line="240" w:lineRule="auto"/>
              <w:ind w:left="454"/>
              <w:rPr>
                <w:rFonts w:asciiTheme="majorHAnsi" w:hAnsiTheme="majorHAnsi"/>
                <w:sz w:val="20"/>
              </w:rPr>
            </w:pPr>
            <w:r w:rsidRPr="005D5F2E">
              <w:rPr>
                <w:rFonts w:asciiTheme="majorHAnsi" w:hAnsiTheme="majorHAnsi"/>
                <w:sz w:val="20"/>
              </w:rPr>
              <w:t>En relación con los mecanismos públicos, estos serán los ya existentes en el Instituto.</w:t>
            </w:r>
          </w:p>
          <w:p w:rsidR="007A425A" w:rsidRPr="005D5F2E" w:rsidRDefault="00CB32AF" w:rsidP="00780A60">
            <w:pPr>
              <w:pStyle w:val="Texto"/>
              <w:numPr>
                <w:ilvl w:val="0"/>
                <w:numId w:val="30"/>
              </w:numPr>
              <w:spacing w:after="160" w:line="240" w:lineRule="auto"/>
              <w:ind w:left="454"/>
              <w:rPr>
                <w:rFonts w:asciiTheme="majorHAnsi" w:hAnsiTheme="majorHAnsi"/>
                <w:sz w:val="20"/>
              </w:rPr>
            </w:pPr>
            <w:r w:rsidRPr="005D5F2E">
              <w:rPr>
                <w:rFonts w:asciiTheme="majorHAnsi" w:hAnsiTheme="majorHAnsi"/>
                <w:sz w:val="20"/>
              </w:rPr>
              <w:t xml:space="preserve">Respecto a los mecanismos privados, en la actualidad </w:t>
            </w:r>
            <w:r w:rsidR="00975BCD">
              <w:rPr>
                <w:rFonts w:asciiTheme="majorHAnsi" w:hAnsiTheme="majorHAnsi"/>
                <w:sz w:val="20"/>
              </w:rPr>
              <w:t>los Laboratorios de Prueba</w:t>
            </w:r>
            <w:r w:rsidR="007A425A" w:rsidRPr="005D5F2E">
              <w:rPr>
                <w:rFonts w:asciiTheme="majorHAnsi" w:hAnsiTheme="majorHAnsi"/>
                <w:sz w:val="20"/>
              </w:rPr>
              <w:t xml:space="preserve"> y </w:t>
            </w:r>
            <w:r w:rsidR="00975BCD">
              <w:rPr>
                <w:rFonts w:asciiTheme="majorHAnsi" w:hAnsiTheme="majorHAnsi"/>
                <w:sz w:val="20"/>
              </w:rPr>
              <w:t xml:space="preserve">los </w:t>
            </w:r>
            <w:r w:rsidR="007A425A" w:rsidRPr="005D5F2E">
              <w:rPr>
                <w:rFonts w:asciiTheme="majorHAnsi" w:hAnsiTheme="majorHAnsi"/>
                <w:sz w:val="20"/>
              </w:rPr>
              <w:t xml:space="preserve">Organismos de Certificación </w:t>
            </w:r>
            <w:r w:rsidR="002829D1">
              <w:rPr>
                <w:rFonts w:asciiTheme="majorHAnsi" w:hAnsiTheme="majorHAnsi"/>
                <w:sz w:val="20"/>
              </w:rPr>
              <w:t xml:space="preserve">ya </w:t>
            </w:r>
            <w:r w:rsidRPr="005D5F2E">
              <w:rPr>
                <w:rFonts w:asciiTheme="majorHAnsi" w:hAnsiTheme="majorHAnsi"/>
                <w:sz w:val="20"/>
              </w:rPr>
              <w:t>realizan en su mayoría las acciones regulatorias contenidas en el Anteproyecto</w:t>
            </w:r>
            <w:r w:rsidR="00D76FCA">
              <w:rPr>
                <w:rFonts w:asciiTheme="majorHAnsi" w:hAnsiTheme="majorHAnsi"/>
                <w:sz w:val="20"/>
              </w:rPr>
              <w:t xml:space="preserve"> en comento</w:t>
            </w:r>
            <w:r w:rsidRPr="005D5F2E">
              <w:rPr>
                <w:rFonts w:asciiTheme="majorHAnsi" w:hAnsiTheme="majorHAnsi"/>
                <w:sz w:val="20"/>
              </w:rPr>
              <w:t xml:space="preserve">; </w:t>
            </w:r>
            <w:r w:rsidR="002829D1">
              <w:rPr>
                <w:rFonts w:asciiTheme="majorHAnsi" w:hAnsiTheme="majorHAnsi"/>
                <w:sz w:val="20"/>
              </w:rPr>
              <w:t xml:space="preserve">lo anterior en virtud de </w:t>
            </w:r>
            <w:r w:rsidRPr="005D5F2E">
              <w:rPr>
                <w:rFonts w:asciiTheme="majorHAnsi" w:hAnsiTheme="majorHAnsi"/>
                <w:sz w:val="20"/>
              </w:rPr>
              <w:t xml:space="preserve">que </w:t>
            </w:r>
            <w:r w:rsidR="00D76FCA">
              <w:rPr>
                <w:rFonts w:asciiTheme="majorHAnsi" w:hAnsiTheme="majorHAnsi"/>
                <w:sz w:val="20"/>
              </w:rPr>
              <w:t xml:space="preserve">dichos organismos de evaluación de la conformidad </w:t>
            </w:r>
            <w:r w:rsidRPr="005D5F2E">
              <w:rPr>
                <w:rFonts w:asciiTheme="majorHAnsi" w:hAnsiTheme="majorHAnsi"/>
                <w:sz w:val="20"/>
              </w:rPr>
              <w:t>ya se encuentran certificados en las normas</w:t>
            </w:r>
            <w:r w:rsidR="007A425A" w:rsidRPr="005D5F2E">
              <w:rPr>
                <w:rFonts w:asciiTheme="majorHAnsi" w:hAnsiTheme="majorHAnsi"/>
                <w:sz w:val="20"/>
              </w:rPr>
              <w:t xml:space="preserve"> </w:t>
            </w:r>
            <w:r w:rsidRPr="005D5F2E">
              <w:rPr>
                <w:rFonts w:asciiTheme="majorHAnsi" w:hAnsiTheme="majorHAnsi"/>
                <w:sz w:val="20"/>
              </w:rPr>
              <w:t>ISO/IEC/17025</w:t>
            </w:r>
            <w:r w:rsidR="00A61450" w:rsidRPr="005D5F2E">
              <w:rPr>
                <w:rFonts w:asciiTheme="majorHAnsi" w:hAnsiTheme="majorHAnsi"/>
                <w:sz w:val="20"/>
              </w:rPr>
              <w:t xml:space="preserve"> e</w:t>
            </w:r>
            <w:r w:rsidRPr="005D5F2E">
              <w:rPr>
                <w:rFonts w:asciiTheme="majorHAnsi" w:hAnsiTheme="majorHAnsi"/>
                <w:sz w:val="20"/>
              </w:rPr>
              <w:t xml:space="preserve"> ISO/IEC/170</w:t>
            </w:r>
            <w:r w:rsidR="00D76FCA">
              <w:rPr>
                <w:rFonts w:asciiTheme="majorHAnsi" w:hAnsiTheme="majorHAnsi"/>
                <w:sz w:val="20"/>
              </w:rPr>
              <w:t>65</w:t>
            </w:r>
            <w:r w:rsidRPr="005D5F2E">
              <w:rPr>
                <w:rFonts w:asciiTheme="majorHAnsi" w:hAnsiTheme="majorHAnsi"/>
                <w:sz w:val="20"/>
              </w:rPr>
              <w:t xml:space="preserve"> (normas internacionales obligatorias para obtener la acreditación por parte de un Organismo de Acreditación).</w:t>
            </w:r>
            <w:r w:rsidR="007A425A" w:rsidRPr="005D5F2E">
              <w:rPr>
                <w:rFonts w:asciiTheme="majorHAnsi" w:hAnsiTheme="majorHAnsi"/>
                <w:sz w:val="20"/>
              </w:rPr>
              <w:t xml:space="preserve"> </w:t>
            </w:r>
            <w:r w:rsidR="002829D1">
              <w:rPr>
                <w:rFonts w:asciiTheme="majorHAnsi" w:hAnsiTheme="majorHAnsi"/>
                <w:sz w:val="20"/>
              </w:rPr>
              <w:t>Por lo que solo requerirían una ampliación de la Acreditación con respecto a la presente disposición.</w:t>
            </w:r>
          </w:p>
          <w:p w:rsidR="0030055F" w:rsidRDefault="00D24974" w:rsidP="00780A60">
            <w:pPr>
              <w:pStyle w:val="Texto"/>
              <w:numPr>
                <w:ilvl w:val="0"/>
                <w:numId w:val="30"/>
              </w:numPr>
              <w:spacing w:after="160" w:line="240" w:lineRule="auto"/>
              <w:ind w:left="454"/>
              <w:rPr>
                <w:rFonts w:asciiTheme="majorHAnsi" w:hAnsiTheme="majorHAnsi"/>
                <w:sz w:val="20"/>
              </w:rPr>
            </w:pPr>
            <w:r>
              <w:rPr>
                <w:rFonts w:asciiTheme="majorHAnsi" w:hAnsiTheme="majorHAnsi"/>
                <w:sz w:val="20"/>
              </w:rPr>
              <w:t>Los Laboratorios de Prueba</w:t>
            </w:r>
            <w:r w:rsidR="007A425A" w:rsidRPr="005D5F2E">
              <w:rPr>
                <w:rFonts w:asciiTheme="majorHAnsi" w:hAnsiTheme="majorHAnsi"/>
                <w:sz w:val="20"/>
              </w:rPr>
              <w:t xml:space="preserve"> y </w:t>
            </w:r>
            <w:r>
              <w:rPr>
                <w:rFonts w:asciiTheme="majorHAnsi" w:hAnsiTheme="majorHAnsi"/>
                <w:sz w:val="20"/>
              </w:rPr>
              <w:t xml:space="preserve">los </w:t>
            </w:r>
            <w:r w:rsidR="007A425A" w:rsidRPr="005D5F2E">
              <w:rPr>
                <w:rFonts w:asciiTheme="majorHAnsi" w:hAnsiTheme="majorHAnsi"/>
                <w:sz w:val="20"/>
              </w:rPr>
              <w:t>Organismos de Certificación podrán llevar a cabo la evaluación de la conformidad, cuando se encuentren en condiciones de realizarla conforme a lo dispuesto en la DT IFT-011-201</w:t>
            </w:r>
            <w:r w:rsidR="00B1539F">
              <w:rPr>
                <w:rFonts w:asciiTheme="majorHAnsi" w:hAnsiTheme="majorHAnsi"/>
                <w:sz w:val="20"/>
              </w:rPr>
              <w:t>7</w:t>
            </w:r>
            <w:r>
              <w:rPr>
                <w:rFonts w:asciiTheme="majorHAnsi" w:hAnsiTheme="majorHAnsi"/>
                <w:sz w:val="20"/>
              </w:rPr>
              <w:t>. Parte 2</w:t>
            </w:r>
            <w:r w:rsidR="007A425A" w:rsidRPr="005D5F2E">
              <w:rPr>
                <w:rFonts w:asciiTheme="majorHAnsi" w:hAnsiTheme="majorHAnsi"/>
                <w:sz w:val="20"/>
              </w:rPr>
              <w:t xml:space="preserve">, </w:t>
            </w:r>
            <w:r w:rsidR="002829D1">
              <w:rPr>
                <w:rFonts w:asciiTheme="majorHAnsi" w:hAnsiTheme="majorHAnsi"/>
                <w:sz w:val="20"/>
              </w:rPr>
              <w:t xml:space="preserve">obteniendo previamente </w:t>
            </w:r>
            <w:r w:rsidR="007A425A" w:rsidRPr="005D5F2E">
              <w:rPr>
                <w:rFonts w:asciiTheme="majorHAnsi" w:hAnsiTheme="majorHAnsi"/>
                <w:sz w:val="20"/>
              </w:rPr>
              <w:t>una nueva acreditación y autorización</w:t>
            </w:r>
            <w:r w:rsidR="003C0E86" w:rsidRPr="005D5F2E">
              <w:rPr>
                <w:rFonts w:asciiTheme="majorHAnsi" w:hAnsiTheme="majorHAnsi"/>
                <w:sz w:val="20"/>
              </w:rPr>
              <w:t>.</w:t>
            </w:r>
          </w:p>
          <w:p w:rsidR="00D647D5" w:rsidRDefault="003A6E71" w:rsidP="00780A60">
            <w:pPr>
              <w:pStyle w:val="Texto"/>
              <w:numPr>
                <w:ilvl w:val="0"/>
                <w:numId w:val="30"/>
              </w:numPr>
              <w:spacing w:after="160" w:line="240" w:lineRule="auto"/>
              <w:ind w:left="454"/>
              <w:rPr>
                <w:rFonts w:asciiTheme="majorHAnsi" w:hAnsiTheme="majorHAnsi"/>
                <w:sz w:val="20"/>
              </w:rPr>
            </w:pPr>
            <w:r>
              <w:rPr>
                <w:rFonts w:asciiTheme="majorHAnsi" w:hAnsiTheme="majorHAnsi"/>
                <w:sz w:val="20"/>
              </w:rPr>
              <w:t xml:space="preserve">Hasta en tanto, no </w:t>
            </w:r>
            <w:r w:rsidRPr="003A6E71">
              <w:rPr>
                <w:rFonts w:asciiTheme="majorHAnsi" w:hAnsiTheme="majorHAnsi"/>
                <w:sz w:val="20"/>
              </w:rPr>
              <w:t xml:space="preserve">ocurra </w:t>
            </w:r>
            <w:r>
              <w:rPr>
                <w:rFonts w:asciiTheme="majorHAnsi" w:hAnsiTheme="majorHAnsi"/>
                <w:sz w:val="20"/>
              </w:rPr>
              <w:t xml:space="preserve">lo establecido en el primer párrafo del Transitorio TERCERO, </w:t>
            </w:r>
            <w:r w:rsidRPr="003A6E71">
              <w:rPr>
                <w:rFonts w:asciiTheme="majorHAnsi" w:hAnsiTheme="majorHAnsi"/>
                <w:sz w:val="20"/>
              </w:rPr>
              <w:t>el solicitante del Certificado de Conformidad deberá entregar una memoria técnica firmada por un perito en telecomunicaciones acreditado por el Instituto al Organismo de Certificación</w:t>
            </w:r>
            <w:r>
              <w:rPr>
                <w:rFonts w:asciiTheme="majorHAnsi" w:hAnsiTheme="majorHAnsi"/>
                <w:sz w:val="20"/>
              </w:rPr>
              <w:t xml:space="preserve">, </w:t>
            </w:r>
            <w:r w:rsidR="00D647D5" w:rsidRPr="00D647D5">
              <w:rPr>
                <w:rFonts w:asciiTheme="majorHAnsi" w:hAnsiTheme="majorHAnsi"/>
                <w:sz w:val="20"/>
              </w:rPr>
              <w:t>indicando que documentalmente el Equipo Terminal Móvil cumple con lo dispuesto en la presente Disposición Técnica. Lo anterior, a efectos que el citado organismo expida el correspondiente certificado. Dicho certificado tendrá validez por un año.</w:t>
            </w:r>
            <w:r w:rsidR="00D647D5">
              <w:rPr>
                <w:rFonts w:asciiTheme="majorHAnsi" w:hAnsiTheme="majorHAnsi"/>
                <w:sz w:val="20"/>
              </w:rPr>
              <w:t xml:space="preserve"> </w:t>
            </w:r>
          </w:p>
          <w:p w:rsidR="00D647D5" w:rsidRPr="005D5F2E" w:rsidRDefault="00D647D5" w:rsidP="00D647D5">
            <w:pPr>
              <w:pStyle w:val="Texto"/>
              <w:spacing w:after="160" w:line="240" w:lineRule="auto"/>
              <w:ind w:left="454" w:firstLine="0"/>
              <w:rPr>
                <w:rFonts w:asciiTheme="majorHAnsi" w:hAnsiTheme="majorHAnsi"/>
                <w:sz w:val="20"/>
              </w:rPr>
            </w:pPr>
          </w:p>
        </w:tc>
      </w:tr>
    </w:tbl>
    <w:p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295E97" w:rsidRPr="005D5F2E" w:rsidTr="00295E97">
        <w:tc>
          <w:tcPr>
            <w:tcW w:w="8828" w:type="dxa"/>
          </w:tcPr>
          <w:p w:rsidR="00876D05" w:rsidRPr="005D5F2E" w:rsidRDefault="00295E97" w:rsidP="00876D05">
            <w:pPr>
              <w:jc w:val="both"/>
              <w:rPr>
                <w:b/>
                <w:sz w:val="20"/>
              </w:rPr>
            </w:pPr>
            <w:r w:rsidRPr="005D5F2E">
              <w:rPr>
                <w:b/>
                <w:sz w:val="20"/>
              </w:rPr>
              <w:t xml:space="preserve">17.- Describa los esquemas de verificación </w:t>
            </w:r>
            <w:r w:rsidR="00E27972" w:rsidRPr="005D5F2E">
              <w:rPr>
                <w:b/>
                <w:sz w:val="20"/>
              </w:rPr>
              <w:t>y vigilancia, así como las sanciones que asegurarán el cumplimiento de las</w:t>
            </w:r>
            <w:r w:rsidR="00876D05" w:rsidRPr="005D5F2E">
              <w:rPr>
                <w:b/>
                <w:sz w:val="20"/>
              </w:rPr>
              <w:t xml:space="preserve"> medidas propuesta por el anteproyecto de regulación:</w:t>
            </w:r>
          </w:p>
          <w:p w:rsidR="000D26B4" w:rsidRPr="005D5F2E" w:rsidRDefault="000D26B4" w:rsidP="000D26B4">
            <w:pPr>
              <w:jc w:val="both"/>
              <w:rPr>
                <w:rFonts w:asciiTheme="majorHAnsi" w:eastAsia="Times New Roman" w:hAnsiTheme="majorHAnsi" w:cs="Arial"/>
                <w:sz w:val="20"/>
                <w:szCs w:val="20"/>
                <w:lang w:eastAsia="es-ES"/>
              </w:rPr>
            </w:pPr>
          </w:p>
          <w:p w:rsidR="000D26B4" w:rsidRPr="005D5F2E" w:rsidRDefault="000D26B4" w:rsidP="000D75EC">
            <w:pPr>
              <w:pStyle w:val="Prrafodelista"/>
              <w:numPr>
                <w:ilvl w:val="0"/>
                <w:numId w:val="7"/>
              </w:numPr>
              <w:ind w:left="454" w:hanging="141"/>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Corresponde al Instituto en el ámbito de su competencia, la verificación y vigilancia del cumplimiento de la presente Disposición Técnica, de conformidad con las disposiciones jurídicas aplicables.</w:t>
            </w:r>
          </w:p>
          <w:p w:rsidR="000D26B4" w:rsidRPr="005D5F2E" w:rsidRDefault="000D26B4" w:rsidP="000D75EC">
            <w:pPr>
              <w:pStyle w:val="Prrafodelista"/>
              <w:numPr>
                <w:ilvl w:val="0"/>
                <w:numId w:val="7"/>
              </w:numPr>
              <w:ind w:left="454" w:hanging="141"/>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Para los efectos de la fracción anterior, el Instituto en colaboración con la Secretaría de Economía a través de la Procuraduría Federal del Consumidor determinarán las ciudades, las muestras y los sitios donde se llevarán a cabo las visitas de verificación y vigilancia del cumplimiento.</w:t>
            </w:r>
          </w:p>
          <w:p w:rsidR="000D26B4" w:rsidRPr="005D5F2E" w:rsidRDefault="000D26B4" w:rsidP="000D75EC">
            <w:pPr>
              <w:pStyle w:val="Prrafodelista"/>
              <w:numPr>
                <w:ilvl w:val="0"/>
                <w:numId w:val="7"/>
              </w:numPr>
              <w:ind w:left="454" w:hanging="141"/>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Las actividades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deberán ser autorizadas por el Instituto. </w:t>
            </w:r>
            <w:r w:rsidR="00197F91">
              <w:rPr>
                <w:rFonts w:asciiTheme="majorHAnsi" w:eastAsia="Times New Roman" w:hAnsiTheme="majorHAnsi" w:cs="Arial"/>
                <w:sz w:val="20"/>
                <w:szCs w:val="20"/>
                <w:lang w:eastAsia="es-ES"/>
              </w:rPr>
              <w:t>Para tales efectos</w:t>
            </w:r>
            <w:r w:rsidRPr="005D5F2E">
              <w:rPr>
                <w:rFonts w:asciiTheme="majorHAnsi" w:eastAsia="Times New Roman" w:hAnsiTheme="majorHAnsi" w:cs="Arial"/>
                <w:sz w:val="20"/>
                <w:szCs w:val="20"/>
                <w:lang w:eastAsia="es-ES"/>
              </w:rPr>
              <w:t>, el O</w:t>
            </w:r>
            <w:r w:rsidR="00A62C91" w:rsidRPr="005D5F2E">
              <w:rPr>
                <w:rFonts w:asciiTheme="majorHAnsi" w:eastAsia="Times New Roman" w:hAnsiTheme="majorHAnsi" w:cs="Arial"/>
                <w:sz w:val="20"/>
                <w:szCs w:val="20"/>
                <w:lang w:eastAsia="es-ES"/>
              </w:rPr>
              <w:t>rganismo de Certificación</w:t>
            </w:r>
            <w:r w:rsidRPr="005D5F2E">
              <w:rPr>
                <w:rFonts w:asciiTheme="majorHAnsi" w:eastAsia="Times New Roman" w:hAnsiTheme="majorHAnsi" w:cs="Arial"/>
                <w:sz w:val="20"/>
                <w:szCs w:val="20"/>
                <w:lang w:eastAsia="es-ES"/>
              </w:rPr>
              <w:t xml:space="preserve"> someterá una propuesta de las mismas a la </w:t>
            </w:r>
            <w:r w:rsidR="00F12A89" w:rsidRPr="00F12A89">
              <w:rPr>
                <w:rFonts w:asciiTheme="majorHAnsi" w:eastAsia="Times New Roman" w:hAnsiTheme="majorHAnsi" w:cs="Arial"/>
                <w:sz w:val="20"/>
                <w:szCs w:val="20"/>
                <w:lang w:eastAsia="es-ES"/>
              </w:rPr>
              <w:t>Unidad Administrativa del Instituto (facultada para autorizar a terceros para que emitan certificación de evaluación de la conformidad)</w:t>
            </w:r>
            <w:r w:rsidR="00F12A89">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para su autorización </w:t>
            </w:r>
            <w:r w:rsidR="001D2521" w:rsidRPr="001D2521">
              <w:rPr>
                <w:rFonts w:asciiTheme="majorHAnsi" w:eastAsia="Times New Roman" w:hAnsiTheme="majorHAnsi" w:cs="Arial"/>
                <w:sz w:val="20"/>
                <w:szCs w:val="20"/>
                <w:lang w:eastAsia="es-ES"/>
              </w:rPr>
              <w:t xml:space="preserve">a más tardar el último día hábil del </w:t>
            </w:r>
            <w:r w:rsidRPr="005D5F2E">
              <w:rPr>
                <w:rFonts w:asciiTheme="majorHAnsi" w:eastAsia="Times New Roman" w:hAnsiTheme="majorHAnsi" w:cs="Arial"/>
                <w:sz w:val="20"/>
                <w:szCs w:val="20"/>
                <w:lang w:eastAsia="es-ES"/>
              </w:rPr>
              <w:t xml:space="preserve">mes de noviembre del año anterior al que se prevé realizar dichas actividades de la certificación; debiendo presentar a la </w:t>
            </w:r>
            <w:r w:rsidR="00F12A89">
              <w:rPr>
                <w:rFonts w:asciiTheme="majorHAnsi" w:eastAsia="Times New Roman" w:hAnsiTheme="majorHAnsi" w:cs="Arial"/>
                <w:sz w:val="20"/>
                <w:szCs w:val="20"/>
                <w:lang w:eastAsia="es-ES"/>
              </w:rPr>
              <w:t xml:space="preserve">referida </w:t>
            </w:r>
            <w:r w:rsidRPr="005D5F2E">
              <w:rPr>
                <w:rFonts w:asciiTheme="majorHAnsi" w:eastAsia="Times New Roman" w:hAnsiTheme="majorHAnsi" w:cs="Arial"/>
                <w:sz w:val="20"/>
                <w:szCs w:val="20"/>
                <w:lang w:eastAsia="es-ES"/>
              </w:rPr>
              <w:t xml:space="preserve"> del Instituto en el mes de enero del año posterior al desarrollo de estas actividades un informe general relativo a las mismas.</w:t>
            </w:r>
          </w:p>
          <w:p w:rsidR="000D26B4" w:rsidRPr="005D5F2E" w:rsidRDefault="000D26B4" w:rsidP="000D75EC">
            <w:pPr>
              <w:pStyle w:val="Prrafodelista"/>
              <w:numPr>
                <w:ilvl w:val="0"/>
                <w:numId w:val="7"/>
              </w:numPr>
              <w:ind w:left="454" w:hanging="141"/>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El número de visitas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no excederá </w:t>
            </w:r>
            <w:r w:rsidR="001D2521">
              <w:rPr>
                <w:rFonts w:asciiTheme="majorHAnsi" w:eastAsia="Times New Roman" w:hAnsiTheme="majorHAnsi" w:cs="Arial"/>
                <w:sz w:val="20"/>
                <w:szCs w:val="20"/>
                <w:lang w:eastAsia="es-ES"/>
              </w:rPr>
              <w:t>d</w:t>
            </w:r>
            <w:r w:rsidR="008D0F72">
              <w:rPr>
                <w:rFonts w:asciiTheme="majorHAnsi" w:eastAsia="Times New Roman" w:hAnsiTheme="majorHAnsi" w:cs="Arial"/>
                <w:sz w:val="20"/>
                <w:szCs w:val="20"/>
                <w:lang w:eastAsia="es-ES"/>
              </w:rPr>
              <w:t xml:space="preserve">el cinco </w:t>
            </w:r>
            <w:r w:rsidR="001D2521">
              <w:rPr>
                <w:rFonts w:asciiTheme="majorHAnsi" w:eastAsia="Times New Roman" w:hAnsiTheme="majorHAnsi" w:cs="Arial"/>
                <w:sz w:val="20"/>
                <w:szCs w:val="20"/>
                <w:lang w:eastAsia="es-ES"/>
              </w:rPr>
              <w:t xml:space="preserve">al quince </w:t>
            </w:r>
            <w:r w:rsidR="008D0F72">
              <w:rPr>
                <w:rFonts w:asciiTheme="majorHAnsi" w:eastAsia="Times New Roman" w:hAnsiTheme="majorHAnsi" w:cs="Arial"/>
                <w:sz w:val="20"/>
                <w:szCs w:val="20"/>
                <w:lang w:eastAsia="es-ES"/>
              </w:rPr>
              <w:t xml:space="preserve">por ciento </w:t>
            </w:r>
            <w:r w:rsidRPr="005D5F2E">
              <w:rPr>
                <w:rFonts w:asciiTheme="majorHAnsi" w:eastAsia="Times New Roman" w:hAnsiTheme="majorHAnsi" w:cs="Arial"/>
                <w:sz w:val="20"/>
                <w:szCs w:val="20"/>
                <w:lang w:eastAsia="es-ES"/>
              </w:rPr>
              <w:t xml:space="preserve">del total de certificados expedidos, respecto a la presente DT, por cada </w:t>
            </w:r>
            <w:r w:rsidR="00A62C91" w:rsidRPr="005D5F2E">
              <w:rPr>
                <w:rFonts w:asciiTheme="majorHAnsi" w:eastAsia="Times New Roman" w:hAnsiTheme="majorHAnsi" w:cs="Arial"/>
                <w:sz w:val="20"/>
                <w:szCs w:val="20"/>
                <w:lang w:eastAsia="es-ES"/>
              </w:rPr>
              <w:t>Organismo de Certificación</w:t>
            </w:r>
            <w:r w:rsidRPr="005D5F2E">
              <w:rPr>
                <w:rFonts w:asciiTheme="majorHAnsi" w:eastAsia="Times New Roman" w:hAnsiTheme="majorHAnsi" w:cs="Arial"/>
                <w:sz w:val="20"/>
                <w:szCs w:val="20"/>
                <w:lang w:eastAsia="es-ES"/>
              </w:rPr>
              <w:t xml:space="preserve"> </w:t>
            </w:r>
            <w:r w:rsidR="008D0F72">
              <w:rPr>
                <w:rFonts w:asciiTheme="majorHAnsi" w:eastAsia="Times New Roman" w:hAnsiTheme="majorHAnsi" w:cs="Arial"/>
                <w:sz w:val="20"/>
                <w:szCs w:val="20"/>
                <w:lang w:eastAsia="es-ES"/>
              </w:rPr>
              <w:t>e</w:t>
            </w:r>
            <w:r w:rsidRPr="005D5F2E">
              <w:rPr>
                <w:rFonts w:asciiTheme="majorHAnsi" w:eastAsia="Times New Roman" w:hAnsiTheme="majorHAnsi" w:cs="Arial"/>
                <w:sz w:val="20"/>
                <w:szCs w:val="20"/>
                <w:lang w:eastAsia="es-ES"/>
              </w:rPr>
              <w:t xml:space="preserve">l año anterior a 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w:t>
            </w:r>
            <w:r w:rsidR="00A62C91" w:rsidRPr="005D5F2E">
              <w:rPr>
                <w:rFonts w:asciiTheme="majorHAnsi" w:eastAsia="Times New Roman" w:hAnsiTheme="majorHAnsi" w:cs="Arial"/>
                <w:sz w:val="20"/>
                <w:szCs w:val="20"/>
                <w:lang w:eastAsia="es-ES"/>
              </w:rPr>
              <w:t>, seleccionados</w:t>
            </w:r>
            <w:r w:rsidRPr="005D5F2E">
              <w:rPr>
                <w:rFonts w:asciiTheme="majorHAnsi" w:eastAsia="Times New Roman" w:hAnsiTheme="majorHAnsi" w:cs="Arial"/>
                <w:sz w:val="20"/>
                <w:szCs w:val="20"/>
                <w:lang w:eastAsia="es-ES"/>
              </w:rPr>
              <w:t xml:space="preserve"> de manera aleatoria. A efectos de realizar dicha selección</w:t>
            </w:r>
            <w:r w:rsidR="00A62C91" w:rsidRPr="005D5F2E">
              <w:rPr>
                <w:rFonts w:asciiTheme="majorHAnsi" w:eastAsia="Times New Roman" w:hAnsiTheme="majorHAnsi" w:cs="Arial"/>
                <w:sz w:val="20"/>
                <w:szCs w:val="20"/>
                <w:lang w:eastAsia="es-ES"/>
              </w:rPr>
              <w:t>, el</w:t>
            </w:r>
            <w:r w:rsidRPr="005D5F2E">
              <w:rPr>
                <w:rFonts w:asciiTheme="majorHAnsi" w:eastAsia="Times New Roman" w:hAnsiTheme="majorHAnsi" w:cs="Arial"/>
                <w:sz w:val="20"/>
                <w:szCs w:val="20"/>
                <w:lang w:eastAsia="es-ES"/>
              </w:rPr>
              <w:t xml:space="preserve"> </w:t>
            </w:r>
            <w:r w:rsidR="00A62C91" w:rsidRPr="005D5F2E">
              <w:rPr>
                <w:rFonts w:asciiTheme="majorHAnsi" w:eastAsia="Times New Roman" w:hAnsiTheme="majorHAnsi" w:cs="Arial"/>
                <w:sz w:val="20"/>
                <w:szCs w:val="20"/>
                <w:lang w:eastAsia="es-ES"/>
              </w:rPr>
              <w:t>Organismo de Certificación</w:t>
            </w:r>
            <w:r w:rsidRPr="005D5F2E">
              <w:rPr>
                <w:rFonts w:asciiTheme="majorHAnsi" w:eastAsia="Times New Roman" w:hAnsiTheme="majorHAnsi" w:cs="Arial"/>
                <w:sz w:val="20"/>
                <w:szCs w:val="20"/>
                <w:lang w:eastAsia="es-ES"/>
              </w:rPr>
              <w:t xml:space="preserve"> deberá utilizar un generador de números aleatorios en presencia de un representante del Instituto. No podrá llevarse a cabo más de una visita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por año por cada C</w:t>
            </w:r>
            <w:r w:rsidR="00A62C91" w:rsidRPr="005D5F2E">
              <w:rPr>
                <w:rFonts w:asciiTheme="majorHAnsi" w:eastAsia="Times New Roman" w:hAnsiTheme="majorHAnsi" w:cs="Arial"/>
                <w:sz w:val="20"/>
                <w:szCs w:val="20"/>
                <w:lang w:eastAsia="es-ES"/>
              </w:rPr>
              <w:t xml:space="preserve">ertificado de </w:t>
            </w:r>
            <w:r w:rsidRPr="005D5F2E">
              <w:rPr>
                <w:rFonts w:asciiTheme="majorHAnsi" w:eastAsia="Times New Roman" w:hAnsiTheme="majorHAnsi" w:cs="Arial"/>
                <w:sz w:val="20"/>
                <w:szCs w:val="20"/>
                <w:lang w:eastAsia="es-ES"/>
              </w:rPr>
              <w:t>C</w:t>
            </w:r>
            <w:r w:rsidR="009941BA">
              <w:rPr>
                <w:rFonts w:asciiTheme="majorHAnsi" w:eastAsia="Times New Roman" w:hAnsiTheme="majorHAnsi" w:cs="Arial"/>
                <w:sz w:val="20"/>
                <w:szCs w:val="20"/>
                <w:lang w:eastAsia="es-ES"/>
              </w:rPr>
              <w:t xml:space="preserve">onformidad </w:t>
            </w:r>
            <w:r w:rsidRPr="005D5F2E">
              <w:rPr>
                <w:rFonts w:asciiTheme="majorHAnsi" w:eastAsia="Times New Roman" w:hAnsiTheme="majorHAnsi" w:cs="Arial"/>
                <w:sz w:val="20"/>
                <w:szCs w:val="20"/>
                <w:lang w:eastAsia="es-ES"/>
              </w:rPr>
              <w:t xml:space="preserve">otorgado.  </w:t>
            </w:r>
          </w:p>
          <w:p w:rsidR="000D26B4" w:rsidRPr="005D5F2E" w:rsidRDefault="000D26B4" w:rsidP="000D75EC">
            <w:pPr>
              <w:pStyle w:val="Prrafodelista"/>
              <w:numPr>
                <w:ilvl w:val="0"/>
                <w:numId w:val="7"/>
              </w:numPr>
              <w:ind w:left="454" w:hanging="141"/>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se hará con cargo al titular del Certificado de C</w:t>
            </w:r>
            <w:r w:rsidR="00206AA6">
              <w:rPr>
                <w:rFonts w:asciiTheme="majorHAnsi" w:eastAsia="Times New Roman" w:hAnsiTheme="majorHAnsi" w:cs="Arial"/>
                <w:sz w:val="20"/>
                <w:szCs w:val="20"/>
                <w:lang w:eastAsia="es-ES"/>
              </w:rPr>
              <w:t>onformidad</w:t>
            </w:r>
            <w:r w:rsidRPr="005D5F2E">
              <w:rPr>
                <w:rFonts w:asciiTheme="majorHAnsi" w:eastAsia="Times New Roman" w:hAnsiTheme="majorHAnsi" w:cs="Arial"/>
                <w:sz w:val="20"/>
                <w:szCs w:val="20"/>
                <w:lang w:eastAsia="es-ES"/>
              </w:rPr>
              <w:t>, y se efectuará sobre los E</w:t>
            </w:r>
            <w:r w:rsidR="00C564E3" w:rsidRPr="005D5F2E">
              <w:rPr>
                <w:rFonts w:asciiTheme="majorHAnsi" w:eastAsia="Times New Roman" w:hAnsiTheme="majorHAnsi" w:cs="Arial"/>
                <w:sz w:val="20"/>
                <w:szCs w:val="20"/>
                <w:lang w:eastAsia="es-ES"/>
              </w:rPr>
              <w:t xml:space="preserve">quipos </w:t>
            </w:r>
            <w:r w:rsidRPr="005D5F2E">
              <w:rPr>
                <w:rFonts w:asciiTheme="majorHAnsi" w:eastAsia="Times New Roman" w:hAnsiTheme="majorHAnsi" w:cs="Arial"/>
                <w:sz w:val="20"/>
                <w:szCs w:val="20"/>
                <w:lang w:eastAsia="es-ES"/>
              </w:rPr>
              <w:t>T</w:t>
            </w:r>
            <w:r w:rsidR="00C564E3" w:rsidRPr="005D5F2E">
              <w:rPr>
                <w:rFonts w:asciiTheme="majorHAnsi" w:eastAsia="Times New Roman" w:hAnsiTheme="majorHAnsi" w:cs="Arial"/>
                <w:sz w:val="20"/>
                <w:szCs w:val="20"/>
                <w:lang w:eastAsia="es-ES"/>
              </w:rPr>
              <w:t xml:space="preserve">erminales </w:t>
            </w:r>
            <w:r w:rsidRPr="005D5F2E">
              <w:rPr>
                <w:rFonts w:asciiTheme="majorHAnsi" w:eastAsia="Times New Roman" w:hAnsiTheme="majorHAnsi" w:cs="Arial"/>
                <w:sz w:val="20"/>
                <w:szCs w:val="20"/>
                <w:lang w:eastAsia="es-ES"/>
              </w:rPr>
              <w:t>M</w:t>
            </w:r>
            <w:r w:rsidR="00C564E3" w:rsidRPr="005D5F2E">
              <w:rPr>
                <w:rFonts w:asciiTheme="majorHAnsi" w:eastAsia="Times New Roman" w:hAnsiTheme="majorHAnsi" w:cs="Arial"/>
                <w:sz w:val="20"/>
                <w:szCs w:val="20"/>
                <w:lang w:eastAsia="es-ES"/>
              </w:rPr>
              <w:t>óviles</w:t>
            </w:r>
            <w:r w:rsidRPr="005D5F2E">
              <w:rPr>
                <w:rFonts w:asciiTheme="majorHAnsi" w:eastAsia="Times New Roman" w:hAnsiTheme="majorHAnsi" w:cs="Arial"/>
                <w:sz w:val="20"/>
                <w:szCs w:val="20"/>
                <w:lang w:eastAsia="es-ES"/>
              </w:rPr>
              <w:t xml:space="preserve"> que se encuentren en las bodegas de los fabricantes, importadores, comercializadores, distribuidores o arrendadores o en puntos de venta que se encuentren en territorio nacional, las cuales se llevarán a cabo de conformidad con las disposiciones establecidas en la Ley y demás disposiciones jurídicas aplicables. El </w:t>
            </w:r>
            <w:r w:rsidR="00A62C91" w:rsidRPr="005D5F2E">
              <w:rPr>
                <w:rFonts w:asciiTheme="majorHAnsi" w:eastAsia="Times New Roman" w:hAnsiTheme="majorHAnsi" w:cs="Arial"/>
                <w:sz w:val="20"/>
                <w:szCs w:val="20"/>
                <w:lang w:eastAsia="es-ES"/>
              </w:rPr>
              <w:t>Organismo de Certificación</w:t>
            </w:r>
            <w:r w:rsidRPr="005D5F2E">
              <w:rPr>
                <w:rFonts w:asciiTheme="majorHAnsi" w:eastAsia="Times New Roman" w:hAnsiTheme="majorHAnsi" w:cs="Arial"/>
                <w:sz w:val="20"/>
                <w:szCs w:val="20"/>
                <w:lang w:eastAsia="es-ES"/>
              </w:rPr>
              <w:t xml:space="preserve"> debe informar a la Unidad </w:t>
            </w:r>
            <w:r w:rsidR="008D0F72" w:rsidRPr="00F12A89">
              <w:rPr>
                <w:rFonts w:asciiTheme="majorHAnsi" w:eastAsia="Times New Roman" w:hAnsiTheme="majorHAnsi" w:cs="Arial"/>
                <w:sz w:val="20"/>
                <w:szCs w:val="20"/>
                <w:lang w:eastAsia="es-ES"/>
              </w:rPr>
              <w:t>Administrativa del Instituto (facultada para autorizar a terceros para que emitan certificación de evaluación de la conformidad)</w:t>
            </w:r>
            <w:r w:rsidR="00B83EEA">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los resultados de 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en un plazo no mayor a diez días hábiles contados a partir del término de la visita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w:t>
            </w:r>
          </w:p>
          <w:p w:rsidR="00515CD3" w:rsidRPr="00F32934" w:rsidRDefault="00AA5DF1" w:rsidP="000D75EC">
            <w:pPr>
              <w:pStyle w:val="Prrafodelista"/>
              <w:numPr>
                <w:ilvl w:val="0"/>
                <w:numId w:val="7"/>
              </w:numPr>
              <w:ind w:left="454" w:hanging="141"/>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Adicionalmente</w:t>
            </w:r>
            <w:r w:rsidR="002D4F25">
              <w:rPr>
                <w:rFonts w:asciiTheme="majorHAnsi" w:eastAsia="Times New Roman" w:hAnsiTheme="majorHAnsi" w:cs="Arial"/>
                <w:sz w:val="20"/>
                <w:szCs w:val="20"/>
                <w:lang w:eastAsia="es-ES"/>
              </w:rPr>
              <w:t>,</w:t>
            </w:r>
            <w:r w:rsidRPr="005D5F2E">
              <w:rPr>
                <w:rFonts w:asciiTheme="majorHAnsi" w:eastAsia="Times New Roman" w:hAnsiTheme="majorHAnsi" w:cs="Arial"/>
                <w:sz w:val="20"/>
                <w:szCs w:val="20"/>
                <w:lang w:eastAsia="es-ES"/>
              </w:rPr>
              <w:t xml:space="preserve"> se prevé que el presente instrumento regulatorio sea revisado por el Instituto al menos a los 5 años contados a partir de su entrada en vigor. Lo anterior, de ninguna manera limita las atribuciones del Instituto para realizar dicha revisión en cualquier momento, dentro del periodo establecido.</w:t>
            </w:r>
          </w:p>
        </w:tc>
      </w:tr>
    </w:tbl>
    <w:p w:rsidR="001932FC" w:rsidRPr="005D5F2E" w:rsidRDefault="001932FC" w:rsidP="001932FC">
      <w:pPr>
        <w:jc w:val="both"/>
      </w:pPr>
    </w:p>
    <w:p w:rsidR="001932FC" w:rsidRPr="005D5F2E" w:rsidRDefault="001932FC" w:rsidP="00A73AD8">
      <w:pPr>
        <w:shd w:val="clear" w:color="auto" w:fill="A8D08D" w:themeFill="accent6" w:themeFillTint="99"/>
        <w:tabs>
          <w:tab w:val="center" w:pos="4419"/>
        </w:tabs>
        <w:jc w:val="both"/>
      </w:pPr>
      <w:r w:rsidRPr="005D5F2E">
        <w:t>V. EVALUACIÓN DE LA PROPUESTA.</w:t>
      </w:r>
      <w:r w:rsidR="00A73AD8" w:rsidRPr="005D5F2E">
        <w:tab/>
      </w:r>
    </w:p>
    <w:tbl>
      <w:tblPr>
        <w:tblStyle w:val="Tablaconcuadrcula"/>
        <w:tblW w:w="0" w:type="auto"/>
        <w:tblLook w:val="04A0" w:firstRow="1" w:lastRow="0" w:firstColumn="1" w:lastColumn="0" w:noHBand="0" w:noVBand="1"/>
      </w:tblPr>
      <w:tblGrid>
        <w:gridCol w:w="8828"/>
      </w:tblGrid>
      <w:tr w:rsidR="00876D05" w:rsidRPr="005D5F2E" w:rsidTr="00876D05">
        <w:tc>
          <w:tcPr>
            <w:tcW w:w="8828" w:type="dxa"/>
          </w:tcPr>
          <w:p w:rsidR="00876D05" w:rsidRPr="005D5F2E" w:rsidRDefault="00876D05" w:rsidP="00876D05">
            <w:pPr>
              <w:jc w:val="both"/>
              <w:rPr>
                <w:b/>
                <w:sz w:val="20"/>
              </w:rPr>
            </w:pPr>
            <w:r w:rsidRPr="005D5F2E">
              <w:rPr>
                <w:b/>
                <w:sz w:val="20"/>
              </w:rPr>
              <w:t>18.- Describa la forma y los medios a través de los cuales serán evaluados los logros de los objetivos del anteproyecto de regulación</w:t>
            </w:r>
            <w:r w:rsidR="00870931" w:rsidRPr="005D5F2E">
              <w:rPr>
                <w:b/>
                <w:sz w:val="20"/>
              </w:rPr>
              <w:t>, así como el posible plazo para ello</w:t>
            </w:r>
            <w:r w:rsidRPr="005D5F2E">
              <w:rPr>
                <w:b/>
                <w:sz w:val="20"/>
              </w:rPr>
              <w:t>:</w:t>
            </w:r>
          </w:p>
          <w:p w:rsidR="00876D05" w:rsidRPr="005D5F2E" w:rsidRDefault="00876D05" w:rsidP="00876D05">
            <w:pPr>
              <w:jc w:val="both"/>
              <w:rPr>
                <w:sz w:val="20"/>
              </w:rPr>
            </w:pPr>
          </w:p>
          <w:p w:rsidR="001656EE" w:rsidRPr="005D5F2E" w:rsidRDefault="000D26B4" w:rsidP="007613C9">
            <w:pPr>
              <w:pStyle w:val="Prrafodelista"/>
              <w:numPr>
                <w:ilvl w:val="0"/>
                <w:numId w:val="3"/>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Mediante los informes anuales relativos a 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elaborados por los Organismos de Certificación y entregados al Instituto.</w:t>
            </w:r>
          </w:p>
          <w:p w:rsidR="000D26B4" w:rsidRDefault="000D26B4" w:rsidP="007613C9">
            <w:pPr>
              <w:pStyle w:val="Prrafodelista"/>
              <w:numPr>
                <w:ilvl w:val="0"/>
                <w:numId w:val="3"/>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Solicitando la elaboración de análisis ex post</w:t>
            </w:r>
            <w:r w:rsidR="00752231">
              <w:rPr>
                <w:rFonts w:asciiTheme="majorHAnsi" w:eastAsia="Times New Roman" w:hAnsiTheme="majorHAnsi" w:cs="Arial"/>
                <w:sz w:val="20"/>
                <w:szCs w:val="20"/>
                <w:lang w:eastAsia="es-ES"/>
              </w:rPr>
              <w:t>, el cual será realizado por los mismos Organismos de Certificación y entregado al Instituto anualmente en el mes de enero del siguiente año</w:t>
            </w:r>
            <w:r w:rsidR="00DB73B4">
              <w:rPr>
                <w:rFonts w:asciiTheme="majorHAnsi" w:eastAsia="Times New Roman" w:hAnsiTheme="majorHAnsi" w:cs="Arial"/>
                <w:sz w:val="20"/>
                <w:szCs w:val="20"/>
                <w:lang w:eastAsia="es-ES"/>
              </w:rPr>
              <w:t xml:space="preserve"> calendario</w:t>
            </w:r>
            <w:r w:rsidR="00752231">
              <w:rPr>
                <w:rFonts w:asciiTheme="majorHAnsi" w:eastAsia="Times New Roman" w:hAnsiTheme="majorHAnsi" w:cs="Arial"/>
                <w:sz w:val="20"/>
                <w:szCs w:val="20"/>
                <w:lang w:eastAsia="es-ES"/>
              </w:rPr>
              <w:t>.</w:t>
            </w:r>
          </w:p>
          <w:p w:rsidR="00876D05" w:rsidRPr="00301976" w:rsidRDefault="001656EE" w:rsidP="00876D05">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  </w:t>
            </w:r>
          </w:p>
        </w:tc>
      </w:tr>
    </w:tbl>
    <w:p w:rsidR="001932FC" w:rsidRPr="005D5F2E" w:rsidRDefault="001932FC" w:rsidP="001932FC">
      <w:pPr>
        <w:jc w:val="both"/>
      </w:pPr>
    </w:p>
    <w:p w:rsidR="001932FC" w:rsidRPr="005D5F2E" w:rsidRDefault="001932FC" w:rsidP="00A73AD8">
      <w:pPr>
        <w:shd w:val="clear" w:color="auto" w:fill="A8D08D" w:themeFill="accent6" w:themeFillTint="99"/>
        <w:tabs>
          <w:tab w:val="left" w:pos="3645"/>
        </w:tabs>
        <w:jc w:val="both"/>
      </w:pPr>
      <w:r w:rsidRPr="005D5F2E">
        <w:t>VI. CONSULTA PÚBLICA.</w:t>
      </w:r>
      <w:r w:rsidR="00A73AD8" w:rsidRPr="005D5F2E">
        <w:tab/>
      </w:r>
    </w:p>
    <w:tbl>
      <w:tblPr>
        <w:tblStyle w:val="Tablaconcuadrcula"/>
        <w:tblW w:w="0" w:type="auto"/>
        <w:tblLook w:val="04A0" w:firstRow="1" w:lastRow="0" w:firstColumn="1" w:lastColumn="0" w:noHBand="0" w:noVBand="1"/>
      </w:tblPr>
      <w:tblGrid>
        <w:gridCol w:w="8828"/>
      </w:tblGrid>
      <w:tr w:rsidR="0086684A" w:rsidRPr="005D5F2E" w:rsidTr="0086684A">
        <w:tc>
          <w:tcPr>
            <w:tcW w:w="8828" w:type="dxa"/>
          </w:tcPr>
          <w:p w:rsidR="0086684A" w:rsidRPr="005D5F2E" w:rsidRDefault="0086684A" w:rsidP="0086684A">
            <w:pPr>
              <w:jc w:val="both"/>
              <w:rPr>
                <w:b/>
                <w:sz w:val="20"/>
                <w:szCs w:val="20"/>
              </w:rPr>
            </w:pPr>
            <w:r w:rsidRPr="005D5F2E">
              <w:rPr>
                <w:b/>
                <w:sz w:val="20"/>
                <w:szCs w:val="20"/>
              </w:rPr>
              <w:t>19.- ¿Se consultó a las partes y/o grupos interesados en la elaboración del presente anteproyecto de regulación?</w:t>
            </w:r>
          </w:p>
          <w:p w:rsidR="0086684A" w:rsidRPr="005D5F2E" w:rsidRDefault="0086684A" w:rsidP="0086684A">
            <w:pPr>
              <w:jc w:val="both"/>
              <w:rPr>
                <w:sz w:val="20"/>
                <w:szCs w:val="20"/>
              </w:rPr>
            </w:pPr>
          </w:p>
          <w:p w:rsidR="00A73AD8" w:rsidRDefault="00A124B3" w:rsidP="00230C19">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Sí, durante el periodo de consulta pública </w:t>
            </w:r>
            <w:r w:rsidR="0040031C">
              <w:rPr>
                <w:rFonts w:asciiTheme="majorHAnsi" w:eastAsia="Times New Roman" w:hAnsiTheme="majorHAnsi" w:cs="Arial"/>
                <w:sz w:val="20"/>
                <w:szCs w:val="20"/>
                <w:lang w:eastAsia="es-ES"/>
              </w:rPr>
              <w:t xml:space="preserve">los días </w:t>
            </w:r>
            <w:r w:rsidR="0034301C">
              <w:rPr>
                <w:rFonts w:asciiTheme="majorHAnsi" w:eastAsia="Times New Roman" w:hAnsiTheme="majorHAnsi" w:cs="Arial"/>
                <w:sz w:val="20"/>
                <w:szCs w:val="20"/>
                <w:lang w:eastAsia="es-ES"/>
              </w:rPr>
              <w:t>1</w:t>
            </w:r>
            <w:r w:rsidR="0040031C">
              <w:rPr>
                <w:rFonts w:asciiTheme="majorHAnsi" w:eastAsia="Times New Roman" w:hAnsiTheme="majorHAnsi" w:cs="Arial"/>
                <w:sz w:val="20"/>
                <w:szCs w:val="20"/>
                <w:lang w:eastAsia="es-ES"/>
              </w:rPr>
              <w:t>4</w:t>
            </w:r>
            <w:r w:rsidR="0034301C">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de </w:t>
            </w:r>
            <w:r w:rsidR="000233C0" w:rsidRPr="005D5F2E">
              <w:rPr>
                <w:rFonts w:asciiTheme="majorHAnsi" w:eastAsia="Times New Roman" w:hAnsiTheme="majorHAnsi" w:cs="Arial"/>
                <w:sz w:val="20"/>
                <w:szCs w:val="20"/>
                <w:lang w:eastAsia="es-ES"/>
              </w:rPr>
              <w:t xml:space="preserve">julio </w:t>
            </w:r>
            <w:r w:rsidR="0040031C">
              <w:rPr>
                <w:rFonts w:asciiTheme="majorHAnsi" w:eastAsia="Times New Roman" w:hAnsiTheme="majorHAnsi" w:cs="Arial"/>
                <w:sz w:val="20"/>
                <w:szCs w:val="20"/>
                <w:lang w:eastAsia="es-ES"/>
              </w:rPr>
              <w:t xml:space="preserve">y del 31 de julio </w:t>
            </w:r>
            <w:r w:rsidR="00F108F6" w:rsidRPr="005D5F2E">
              <w:rPr>
                <w:rFonts w:asciiTheme="majorHAnsi" w:eastAsia="Times New Roman" w:hAnsiTheme="majorHAnsi" w:cs="Arial"/>
                <w:sz w:val="20"/>
                <w:szCs w:val="20"/>
                <w:lang w:eastAsia="es-ES"/>
              </w:rPr>
              <w:t xml:space="preserve">al </w:t>
            </w:r>
            <w:r w:rsidR="0034301C">
              <w:rPr>
                <w:rFonts w:asciiTheme="majorHAnsi" w:eastAsia="Times New Roman" w:hAnsiTheme="majorHAnsi" w:cs="Arial"/>
                <w:sz w:val="20"/>
                <w:szCs w:val="20"/>
                <w:lang w:eastAsia="es-ES"/>
              </w:rPr>
              <w:t xml:space="preserve">14 </w:t>
            </w:r>
            <w:r w:rsidR="00F108F6" w:rsidRPr="005D5F2E">
              <w:rPr>
                <w:rFonts w:asciiTheme="majorHAnsi" w:eastAsia="Times New Roman" w:hAnsiTheme="majorHAnsi" w:cs="Arial"/>
                <w:sz w:val="20"/>
                <w:szCs w:val="20"/>
                <w:lang w:eastAsia="es-ES"/>
              </w:rPr>
              <w:t xml:space="preserve">de </w:t>
            </w:r>
            <w:r w:rsidR="000233C0" w:rsidRPr="005D5F2E">
              <w:rPr>
                <w:rFonts w:asciiTheme="majorHAnsi" w:eastAsia="Times New Roman" w:hAnsiTheme="majorHAnsi" w:cs="Arial"/>
                <w:sz w:val="20"/>
                <w:szCs w:val="20"/>
                <w:lang w:eastAsia="es-ES"/>
              </w:rPr>
              <w:t xml:space="preserve">agosto </w:t>
            </w:r>
            <w:r w:rsidR="00F108F6" w:rsidRPr="005D5F2E">
              <w:rPr>
                <w:rFonts w:asciiTheme="majorHAnsi" w:eastAsia="Times New Roman" w:hAnsiTheme="majorHAnsi" w:cs="Arial"/>
                <w:sz w:val="20"/>
                <w:szCs w:val="20"/>
                <w:lang w:eastAsia="es-ES"/>
              </w:rPr>
              <w:t>de 201</w:t>
            </w:r>
            <w:r w:rsidR="00C668A9">
              <w:rPr>
                <w:rFonts w:asciiTheme="majorHAnsi" w:eastAsia="Times New Roman" w:hAnsiTheme="majorHAnsi" w:cs="Arial"/>
                <w:sz w:val="20"/>
                <w:szCs w:val="20"/>
                <w:lang w:eastAsia="es-ES"/>
              </w:rPr>
              <w:t>7</w:t>
            </w:r>
            <w:r w:rsidRPr="005D5F2E">
              <w:rPr>
                <w:rFonts w:asciiTheme="majorHAnsi" w:eastAsia="Times New Roman" w:hAnsiTheme="majorHAnsi" w:cs="Arial"/>
                <w:sz w:val="20"/>
                <w:szCs w:val="20"/>
                <w:lang w:eastAsia="es-ES"/>
              </w:rPr>
              <w:t xml:space="preserve"> se recibieron diversos comentarios, los cuales fueron valorados y, en su caso, integrados en la versión final del Anteproyecto. </w:t>
            </w:r>
            <w:r w:rsidR="00197F91">
              <w:rPr>
                <w:rFonts w:asciiTheme="majorHAnsi" w:eastAsia="Times New Roman" w:hAnsiTheme="majorHAnsi" w:cs="Arial"/>
                <w:sz w:val="20"/>
                <w:szCs w:val="20"/>
                <w:lang w:eastAsia="es-ES"/>
              </w:rPr>
              <w:t>A continuación se mencionan los participantes en la referida consulta</w:t>
            </w:r>
            <w:r w:rsidRPr="005D5F2E">
              <w:rPr>
                <w:rFonts w:asciiTheme="majorHAnsi" w:eastAsia="Times New Roman" w:hAnsiTheme="majorHAnsi" w:cs="Arial"/>
                <w:sz w:val="20"/>
                <w:szCs w:val="20"/>
                <w:lang w:eastAsia="es-ES"/>
              </w:rPr>
              <w:t>:</w:t>
            </w:r>
          </w:p>
          <w:p w:rsidR="00A26C3E" w:rsidRPr="005D5F2E" w:rsidRDefault="00A26C3E" w:rsidP="00230C19">
            <w:pPr>
              <w:jc w:val="both"/>
              <w:rPr>
                <w:rFonts w:asciiTheme="majorHAnsi" w:eastAsia="Times New Roman" w:hAnsiTheme="majorHAnsi" w:cs="Arial"/>
                <w:sz w:val="20"/>
                <w:szCs w:val="20"/>
                <w:lang w:eastAsia="es-ES"/>
              </w:rPr>
            </w:pPr>
          </w:p>
          <w:tbl>
            <w:tblPr>
              <w:tblW w:w="4216" w:type="pct"/>
              <w:jc w:val="center"/>
              <w:tblCellMar>
                <w:left w:w="70" w:type="dxa"/>
                <w:right w:w="70" w:type="dxa"/>
              </w:tblCellMar>
              <w:tblLook w:val="04A0" w:firstRow="1" w:lastRow="0" w:firstColumn="1" w:lastColumn="0" w:noHBand="0" w:noVBand="1"/>
            </w:tblPr>
            <w:tblGrid>
              <w:gridCol w:w="444"/>
              <w:gridCol w:w="6818"/>
            </w:tblGrid>
            <w:tr w:rsidR="00A26C3E" w:rsidRPr="00A60F4C" w:rsidTr="00A26C3E">
              <w:trPr>
                <w:trHeight w:val="470"/>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Pr>
                      <w:rFonts w:eastAsia="Times New Roman" w:cs="Times New Roman"/>
                      <w:color w:val="000000"/>
                      <w:sz w:val="20"/>
                      <w:szCs w:val="20"/>
                      <w:lang w:eastAsia="es-MX"/>
                    </w:rPr>
                    <w:t>1</w:t>
                  </w:r>
                </w:p>
              </w:tc>
              <w:tc>
                <w:tcPr>
                  <w:tcW w:w="4694"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A</w:t>
                  </w:r>
                  <w:r w:rsidRPr="00A60F4C">
                    <w:rPr>
                      <w:rFonts w:eastAsia="Times New Roman" w:cs="Times New Roman"/>
                      <w:color w:val="000000"/>
                      <w:sz w:val="20"/>
                      <w:szCs w:val="20"/>
                      <w:lang w:eastAsia="es-MX"/>
                    </w:rPr>
                    <w:t>LTÁN REDES</w:t>
                  </w:r>
                  <w:r w:rsidRPr="00482A9A">
                    <w:rPr>
                      <w:rFonts w:eastAsia="Times New Roman" w:cs="Times New Roman"/>
                      <w:color w:val="000000"/>
                      <w:sz w:val="20"/>
                      <w:szCs w:val="20"/>
                      <w:lang w:eastAsia="es-MX"/>
                    </w:rPr>
                    <w:t xml:space="preserve">, S.A.P.I. </w:t>
                  </w:r>
                  <w:r w:rsidRPr="00A60F4C">
                    <w:rPr>
                      <w:rFonts w:eastAsia="Times New Roman" w:cs="Times New Roman"/>
                      <w:color w:val="000000"/>
                      <w:sz w:val="20"/>
                      <w:szCs w:val="20"/>
                      <w:lang w:eastAsia="es-MX"/>
                    </w:rPr>
                    <w:t>DE C.V.</w:t>
                  </w:r>
                </w:p>
              </w:tc>
            </w:tr>
            <w:tr w:rsidR="00A26C3E" w:rsidRPr="00A60F4C" w:rsidTr="00A26C3E">
              <w:trPr>
                <w:trHeight w:val="417"/>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2</w:t>
                  </w:r>
                </w:p>
              </w:tc>
              <w:tc>
                <w:tcPr>
                  <w:tcW w:w="4694" w:type="pct"/>
                  <w:shd w:val="clear" w:color="auto" w:fill="auto"/>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O</w:t>
                  </w:r>
                  <w:r w:rsidRPr="00A60F4C">
                    <w:rPr>
                      <w:rFonts w:eastAsia="Times New Roman" w:cs="Times New Roman"/>
                      <w:color w:val="000000"/>
                      <w:sz w:val="20"/>
                      <w:szCs w:val="20"/>
                      <w:lang w:eastAsia="es-MX"/>
                    </w:rPr>
                    <w:t xml:space="preserve">MNISPACE </w:t>
                  </w:r>
                  <w:r w:rsidRPr="00482A9A">
                    <w:rPr>
                      <w:rFonts w:eastAsia="Times New Roman" w:cs="Times New Roman"/>
                      <w:color w:val="000000"/>
                      <w:sz w:val="20"/>
                      <w:szCs w:val="20"/>
                      <w:lang w:eastAsia="es-MX"/>
                    </w:rPr>
                    <w:t>M</w:t>
                  </w:r>
                  <w:r w:rsidRPr="00A60F4C">
                    <w:rPr>
                      <w:rFonts w:eastAsia="Times New Roman" w:cs="Times New Roman"/>
                      <w:color w:val="000000"/>
                      <w:sz w:val="20"/>
                      <w:szCs w:val="20"/>
                      <w:lang w:eastAsia="es-MX"/>
                    </w:rPr>
                    <w:t>ÉXICO</w:t>
                  </w:r>
                  <w:r w:rsidRPr="00482A9A">
                    <w:rPr>
                      <w:rFonts w:eastAsia="Times New Roman" w:cs="Times New Roman"/>
                      <w:color w:val="000000"/>
                      <w:sz w:val="20"/>
                      <w:szCs w:val="20"/>
                      <w:lang w:eastAsia="es-MX"/>
                    </w:rPr>
                    <w:t xml:space="preserve">, S. </w:t>
                  </w:r>
                  <w:r w:rsidRPr="00A60F4C">
                    <w:rPr>
                      <w:rFonts w:eastAsia="Times New Roman" w:cs="Times New Roman"/>
                      <w:color w:val="000000"/>
                      <w:sz w:val="20"/>
                      <w:szCs w:val="20"/>
                      <w:lang w:eastAsia="es-MX"/>
                    </w:rPr>
                    <w:t xml:space="preserve">DE </w:t>
                  </w:r>
                  <w:r w:rsidRPr="00482A9A">
                    <w:rPr>
                      <w:rFonts w:eastAsia="Times New Roman" w:cs="Times New Roman"/>
                      <w:color w:val="000000"/>
                      <w:sz w:val="20"/>
                      <w:szCs w:val="20"/>
                      <w:lang w:eastAsia="es-MX"/>
                    </w:rPr>
                    <w:t xml:space="preserve">R.L. </w:t>
                  </w:r>
                  <w:r w:rsidRPr="00A60F4C">
                    <w:rPr>
                      <w:rFonts w:eastAsia="Times New Roman" w:cs="Times New Roman"/>
                      <w:color w:val="000000"/>
                      <w:sz w:val="20"/>
                      <w:szCs w:val="20"/>
                      <w:lang w:eastAsia="es-MX"/>
                    </w:rPr>
                    <w:t>DE</w:t>
                  </w:r>
                  <w:r w:rsidRPr="00482A9A">
                    <w:rPr>
                      <w:rFonts w:eastAsia="Times New Roman" w:cs="Times New Roman"/>
                      <w:color w:val="000000"/>
                      <w:sz w:val="20"/>
                      <w:szCs w:val="20"/>
                      <w:lang w:eastAsia="es-MX"/>
                    </w:rPr>
                    <w:t xml:space="preserve"> C.V.</w:t>
                  </w:r>
                </w:p>
              </w:tc>
            </w:tr>
            <w:tr w:rsidR="00A26C3E" w:rsidRPr="00A60F4C" w:rsidTr="00A26C3E">
              <w:trPr>
                <w:trHeight w:val="411"/>
                <w:jc w:val="center"/>
              </w:trPr>
              <w:tc>
                <w:tcPr>
                  <w:tcW w:w="306" w:type="pct"/>
                  <w:shd w:val="clear" w:color="auto" w:fill="auto"/>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3</w:t>
                  </w:r>
                </w:p>
              </w:tc>
              <w:tc>
                <w:tcPr>
                  <w:tcW w:w="4694" w:type="pct"/>
                  <w:shd w:val="clear" w:color="auto" w:fill="auto"/>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 </w:t>
                  </w:r>
                  <w:r w:rsidRPr="00A60F4C">
                    <w:rPr>
                      <w:rFonts w:eastAsia="Times New Roman" w:cs="Times New Roman"/>
                      <w:color w:val="000000"/>
                      <w:sz w:val="20"/>
                      <w:szCs w:val="20"/>
                      <w:lang w:eastAsia="es-MX"/>
                    </w:rPr>
                    <w:t xml:space="preserve">ORGANISMO PROMOTOR DE INVERSIONES EN TELECOMUNICACIONES </w:t>
                  </w:r>
                  <w:r>
                    <w:rPr>
                      <w:rFonts w:eastAsia="Times New Roman" w:cs="Times New Roman"/>
                      <w:color w:val="000000"/>
                      <w:sz w:val="20"/>
                      <w:szCs w:val="20"/>
                      <w:lang w:eastAsia="es-MX"/>
                    </w:rPr>
                    <w:t>(PROMTEL)</w:t>
                  </w:r>
                </w:p>
              </w:tc>
            </w:tr>
            <w:tr w:rsidR="00A26C3E" w:rsidRPr="00A60F4C" w:rsidTr="00A26C3E">
              <w:trPr>
                <w:trHeight w:val="600"/>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4</w:t>
                  </w:r>
                </w:p>
              </w:tc>
              <w:tc>
                <w:tcPr>
                  <w:tcW w:w="4694" w:type="pct"/>
                  <w:shd w:val="clear" w:color="auto" w:fill="auto"/>
                  <w:noWrap/>
                  <w:vAlign w:val="center"/>
                  <w:hideMark/>
                </w:tcPr>
                <w:p w:rsidR="00A26C3E" w:rsidRDefault="00A26C3E" w:rsidP="00A26C3E">
                  <w:pPr>
                    <w:spacing w:after="0" w:line="240" w:lineRule="auto"/>
                    <w:jc w:val="both"/>
                    <w:rPr>
                      <w:rFonts w:eastAsia="Times New Roman" w:cs="Times New Roman"/>
                      <w:color w:val="000000"/>
                      <w:sz w:val="20"/>
                      <w:szCs w:val="20"/>
                      <w:lang w:eastAsia="es-MX"/>
                    </w:rPr>
                  </w:pPr>
                  <w:r w:rsidRPr="00B542D1">
                    <w:rPr>
                      <w:rFonts w:eastAsia="Times New Roman" w:cs="Times New Roman"/>
                      <w:color w:val="000000"/>
                      <w:sz w:val="20"/>
                      <w:szCs w:val="20"/>
                      <w:lang w:eastAsia="es-MX"/>
                    </w:rPr>
                    <w:t xml:space="preserve">CÁMARA NACIONAL DE LA INDUSTRIA ELECTRÓNICA, DE TELECOMUNICACIONES </w:t>
                  </w:r>
                </w:p>
                <w:p w:rsidR="00A26C3E" w:rsidRPr="00482A9A" w:rsidRDefault="00A26C3E" w:rsidP="00A26C3E">
                  <w:pPr>
                    <w:spacing w:after="0" w:line="240" w:lineRule="auto"/>
                    <w:jc w:val="both"/>
                    <w:rPr>
                      <w:rFonts w:eastAsia="Times New Roman" w:cs="Times New Roman"/>
                      <w:color w:val="000000"/>
                      <w:sz w:val="20"/>
                      <w:szCs w:val="20"/>
                      <w:lang w:eastAsia="es-MX"/>
                    </w:rPr>
                  </w:pPr>
                  <w:r w:rsidRPr="00B542D1">
                    <w:rPr>
                      <w:rFonts w:eastAsia="Times New Roman" w:cs="Times New Roman"/>
                      <w:color w:val="000000"/>
                      <w:sz w:val="20"/>
                      <w:szCs w:val="20"/>
                      <w:lang w:eastAsia="es-MX"/>
                    </w:rPr>
                    <w:t>Y TECNOLOGÍAS DE LA INFORMACIÓN</w:t>
                  </w:r>
                  <w:r>
                    <w:rPr>
                      <w:rFonts w:eastAsia="Times New Roman" w:cs="Times New Roman"/>
                      <w:color w:val="000000"/>
                      <w:sz w:val="20"/>
                      <w:szCs w:val="20"/>
                      <w:lang w:eastAsia="es-MX"/>
                    </w:rPr>
                    <w:t xml:space="preserve"> (</w:t>
                  </w:r>
                  <w:r w:rsidRPr="00482A9A">
                    <w:rPr>
                      <w:rFonts w:eastAsia="Times New Roman" w:cs="Times New Roman"/>
                      <w:color w:val="000000"/>
                      <w:sz w:val="20"/>
                      <w:szCs w:val="20"/>
                      <w:lang w:eastAsia="es-MX"/>
                    </w:rPr>
                    <w:t>CANIETI</w:t>
                  </w:r>
                  <w:r>
                    <w:rPr>
                      <w:rFonts w:eastAsia="Times New Roman" w:cs="Times New Roman"/>
                      <w:color w:val="000000"/>
                      <w:sz w:val="20"/>
                      <w:szCs w:val="20"/>
                      <w:lang w:eastAsia="es-MX"/>
                    </w:rPr>
                    <w:t>)</w:t>
                  </w:r>
                </w:p>
              </w:tc>
            </w:tr>
            <w:tr w:rsidR="00A26C3E" w:rsidRPr="00A60F4C" w:rsidTr="00A26C3E">
              <w:trPr>
                <w:trHeight w:val="421"/>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5</w:t>
                  </w:r>
                </w:p>
              </w:tc>
              <w:tc>
                <w:tcPr>
                  <w:tcW w:w="4694"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AXTEL</w:t>
                  </w:r>
                </w:p>
              </w:tc>
            </w:tr>
            <w:tr w:rsidR="00A26C3E" w:rsidRPr="00A60F4C" w:rsidTr="00A26C3E">
              <w:trPr>
                <w:trHeight w:val="419"/>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6</w:t>
                  </w:r>
                </w:p>
              </w:tc>
              <w:tc>
                <w:tcPr>
                  <w:tcW w:w="4694"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B542D1">
                    <w:rPr>
                      <w:rFonts w:eastAsia="Times New Roman" w:cs="Times New Roman"/>
                      <w:color w:val="000000"/>
                      <w:sz w:val="20"/>
                      <w:szCs w:val="20"/>
                      <w:lang w:eastAsia="es-MX"/>
                    </w:rPr>
                    <w:t>NORMALIZ</w:t>
                  </w:r>
                  <w:r>
                    <w:rPr>
                      <w:rFonts w:eastAsia="Times New Roman" w:cs="Times New Roman"/>
                      <w:color w:val="000000"/>
                      <w:sz w:val="20"/>
                      <w:szCs w:val="20"/>
                      <w:lang w:eastAsia="es-MX"/>
                    </w:rPr>
                    <w:t>ACIÓN Y CERTIFICACIÓN NYCE, SC. (</w:t>
                  </w:r>
                  <w:r w:rsidRPr="00482A9A">
                    <w:rPr>
                      <w:rFonts w:eastAsia="Times New Roman" w:cs="Times New Roman"/>
                      <w:color w:val="000000"/>
                      <w:sz w:val="20"/>
                      <w:szCs w:val="20"/>
                      <w:lang w:eastAsia="es-MX"/>
                    </w:rPr>
                    <w:t>NYCE</w:t>
                  </w:r>
                  <w:r>
                    <w:rPr>
                      <w:rFonts w:eastAsia="Times New Roman" w:cs="Times New Roman"/>
                      <w:color w:val="000000"/>
                      <w:sz w:val="20"/>
                      <w:szCs w:val="20"/>
                      <w:lang w:eastAsia="es-MX"/>
                    </w:rPr>
                    <w:t>)</w:t>
                  </w:r>
                </w:p>
              </w:tc>
            </w:tr>
            <w:tr w:rsidR="00A26C3E" w:rsidRPr="00A60F4C" w:rsidTr="00A26C3E">
              <w:trPr>
                <w:trHeight w:val="411"/>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7</w:t>
                  </w:r>
                </w:p>
              </w:tc>
              <w:tc>
                <w:tcPr>
                  <w:tcW w:w="4694"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B542D1">
                    <w:rPr>
                      <w:rFonts w:eastAsia="Times New Roman" w:cs="Times New Roman"/>
                      <w:color w:val="000000"/>
                      <w:sz w:val="20"/>
                      <w:szCs w:val="20"/>
                      <w:lang w:eastAsia="es-MX"/>
                    </w:rPr>
                    <w:t>ASOCIACIÓN NACIONAL DE TELECOMUNICACIONES, A.C.</w:t>
                  </w:r>
                  <w:r>
                    <w:rPr>
                      <w:rFonts w:eastAsia="Times New Roman" w:cs="Times New Roman"/>
                      <w:color w:val="000000"/>
                      <w:sz w:val="20"/>
                      <w:szCs w:val="20"/>
                      <w:lang w:eastAsia="es-MX"/>
                    </w:rPr>
                    <w:t xml:space="preserve"> (</w:t>
                  </w:r>
                  <w:r w:rsidRPr="00482A9A">
                    <w:rPr>
                      <w:rFonts w:eastAsia="Times New Roman" w:cs="Times New Roman"/>
                      <w:color w:val="000000"/>
                      <w:sz w:val="20"/>
                      <w:szCs w:val="20"/>
                      <w:lang w:eastAsia="es-MX"/>
                    </w:rPr>
                    <w:t>ANATEL</w:t>
                  </w:r>
                  <w:r>
                    <w:rPr>
                      <w:rFonts w:eastAsia="Times New Roman" w:cs="Times New Roman"/>
                      <w:color w:val="000000"/>
                      <w:sz w:val="20"/>
                      <w:szCs w:val="20"/>
                      <w:lang w:eastAsia="es-MX"/>
                    </w:rPr>
                    <w:t>)</w:t>
                  </w:r>
                </w:p>
              </w:tc>
            </w:tr>
            <w:tr w:rsidR="00A26C3E" w:rsidRPr="004221D4" w:rsidTr="00A26C3E">
              <w:trPr>
                <w:trHeight w:val="417"/>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8</w:t>
                  </w:r>
                </w:p>
              </w:tc>
              <w:tc>
                <w:tcPr>
                  <w:tcW w:w="4694" w:type="pct"/>
                  <w:shd w:val="clear" w:color="auto" w:fill="auto"/>
                  <w:vAlign w:val="center"/>
                  <w:hideMark/>
                </w:tcPr>
                <w:p w:rsidR="00A26C3E" w:rsidRPr="00452A3A" w:rsidRDefault="00A26C3E" w:rsidP="00A26C3E">
                  <w:pPr>
                    <w:spacing w:after="0" w:line="240" w:lineRule="auto"/>
                    <w:jc w:val="both"/>
                    <w:rPr>
                      <w:rFonts w:eastAsia="Times New Roman" w:cs="Times New Roman"/>
                      <w:color w:val="000000"/>
                      <w:sz w:val="20"/>
                      <w:szCs w:val="20"/>
                      <w:lang w:val="en-GB" w:eastAsia="es-MX"/>
                    </w:rPr>
                  </w:pPr>
                  <w:r w:rsidRPr="00452A3A">
                    <w:rPr>
                      <w:rFonts w:eastAsia="Times New Roman" w:cs="Times New Roman"/>
                      <w:color w:val="000000"/>
                      <w:sz w:val="20"/>
                      <w:szCs w:val="20"/>
                      <w:lang w:val="en-GB" w:eastAsia="es-MX"/>
                    </w:rPr>
                    <w:t>ADVANCE WIRE &amp; WIRELESS LABORATORIOS SC.</w:t>
                  </w:r>
                </w:p>
              </w:tc>
            </w:tr>
            <w:tr w:rsidR="00A26C3E" w:rsidRPr="00A60F4C" w:rsidTr="00A26C3E">
              <w:trPr>
                <w:trHeight w:val="423"/>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9</w:t>
                  </w:r>
                </w:p>
              </w:tc>
              <w:tc>
                <w:tcPr>
                  <w:tcW w:w="4694"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7A639E">
                    <w:rPr>
                      <w:rFonts w:eastAsia="Times New Roman" w:cs="Times New Roman"/>
                      <w:color w:val="000000"/>
                      <w:sz w:val="20"/>
                      <w:szCs w:val="20"/>
                      <w:lang w:eastAsia="es-MX"/>
                    </w:rPr>
                    <w:t xml:space="preserve"> QUALCOMM INTERNATIONAL</w:t>
                  </w:r>
                  <w:r>
                    <w:rPr>
                      <w:rFonts w:eastAsia="Times New Roman" w:cs="Times New Roman"/>
                      <w:color w:val="000000"/>
                      <w:sz w:val="20"/>
                      <w:szCs w:val="20"/>
                      <w:lang w:eastAsia="es-MX"/>
                    </w:rPr>
                    <w:t xml:space="preserve"> </w:t>
                  </w:r>
                  <w:r w:rsidRPr="007A639E">
                    <w:rPr>
                      <w:rFonts w:eastAsia="Times New Roman" w:cs="Times New Roman"/>
                      <w:color w:val="000000"/>
                      <w:sz w:val="20"/>
                      <w:szCs w:val="20"/>
                      <w:lang w:eastAsia="es-MX"/>
                    </w:rPr>
                    <w:t>INC.</w:t>
                  </w:r>
                </w:p>
              </w:tc>
            </w:tr>
            <w:tr w:rsidR="00A26C3E" w:rsidRPr="00A60F4C" w:rsidTr="00A26C3E">
              <w:trPr>
                <w:trHeight w:val="415"/>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Pr>
                      <w:rFonts w:eastAsia="Times New Roman" w:cs="Times New Roman"/>
                      <w:color w:val="000000"/>
                      <w:sz w:val="20"/>
                      <w:szCs w:val="20"/>
                      <w:lang w:eastAsia="es-MX"/>
                    </w:rPr>
                    <w:t>1</w:t>
                  </w:r>
                  <w:r w:rsidRPr="00482A9A">
                    <w:rPr>
                      <w:rFonts w:eastAsia="Times New Roman" w:cs="Times New Roman"/>
                      <w:color w:val="000000"/>
                      <w:sz w:val="20"/>
                      <w:szCs w:val="20"/>
                      <w:lang w:eastAsia="es-MX"/>
                    </w:rPr>
                    <w:t>0</w:t>
                  </w:r>
                </w:p>
              </w:tc>
              <w:tc>
                <w:tcPr>
                  <w:tcW w:w="4694" w:type="pct"/>
                  <w:shd w:val="clear" w:color="auto" w:fill="auto"/>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ASOCIACION DE NORMALIZACION Y CERTIFICACION, A.C</w:t>
                  </w:r>
                  <w:r w:rsidRPr="00A60F4C">
                    <w:rPr>
                      <w:rFonts w:eastAsia="Times New Roman" w:cs="Times New Roman"/>
                      <w:color w:val="000000"/>
                      <w:sz w:val="20"/>
                      <w:szCs w:val="20"/>
                      <w:lang w:eastAsia="es-MX"/>
                    </w:rPr>
                    <w:t>.</w:t>
                  </w:r>
                  <w:r>
                    <w:rPr>
                      <w:rFonts w:eastAsia="Times New Roman" w:cs="Times New Roman"/>
                      <w:color w:val="000000"/>
                      <w:sz w:val="20"/>
                      <w:szCs w:val="20"/>
                      <w:lang w:eastAsia="es-MX"/>
                    </w:rPr>
                    <w:t xml:space="preserve"> (ANCE)</w:t>
                  </w:r>
                </w:p>
              </w:tc>
            </w:tr>
            <w:tr w:rsidR="00A26C3E" w:rsidRPr="00A60F4C" w:rsidTr="00A26C3E">
              <w:trPr>
                <w:trHeight w:val="407"/>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11</w:t>
                  </w:r>
                </w:p>
              </w:tc>
              <w:tc>
                <w:tcPr>
                  <w:tcW w:w="4694" w:type="pct"/>
                  <w:shd w:val="clear" w:color="auto" w:fill="auto"/>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52A3A">
                    <w:rPr>
                      <w:rFonts w:eastAsia="Times New Roman" w:cs="Times New Roman"/>
                      <w:color w:val="000000"/>
                      <w:sz w:val="20"/>
                      <w:szCs w:val="20"/>
                      <w:lang w:val="en-GB" w:eastAsia="es-MX"/>
                    </w:rPr>
                    <w:t xml:space="preserve">NOKIA SOLUTIONS AND NETWORKS SA. </w:t>
                  </w:r>
                  <w:r w:rsidRPr="00482A9A">
                    <w:rPr>
                      <w:rFonts w:eastAsia="Times New Roman" w:cs="Times New Roman"/>
                      <w:color w:val="000000"/>
                      <w:sz w:val="20"/>
                      <w:szCs w:val="20"/>
                      <w:lang w:eastAsia="es-MX"/>
                    </w:rPr>
                    <w:t>DE CV</w:t>
                  </w:r>
                  <w:r w:rsidRPr="00A60F4C">
                    <w:rPr>
                      <w:rFonts w:eastAsia="Times New Roman" w:cs="Times New Roman"/>
                      <w:color w:val="000000"/>
                      <w:sz w:val="20"/>
                      <w:szCs w:val="20"/>
                      <w:lang w:eastAsia="es-MX"/>
                    </w:rPr>
                    <w:t>.</w:t>
                  </w:r>
                </w:p>
              </w:tc>
            </w:tr>
            <w:tr w:rsidR="00A26C3E" w:rsidRPr="00A60F4C" w:rsidTr="00A26C3E">
              <w:trPr>
                <w:trHeight w:val="427"/>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12</w:t>
                  </w:r>
                </w:p>
              </w:tc>
              <w:tc>
                <w:tcPr>
                  <w:tcW w:w="4694" w:type="pct"/>
                  <w:shd w:val="clear" w:color="auto" w:fill="auto"/>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O</w:t>
                  </w:r>
                  <w:r w:rsidRPr="00A60F4C">
                    <w:rPr>
                      <w:rFonts w:eastAsia="Times New Roman" w:cs="Times New Roman"/>
                      <w:color w:val="000000"/>
                      <w:sz w:val="20"/>
                      <w:szCs w:val="20"/>
                      <w:lang w:eastAsia="es-MX"/>
                    </w:rPr>
                    <w:t>PERBES</w:t>
                  </w:r>
                  <w:r w:rsidRPr="00482A9A">
                    <w:rPr>
                      <w:rFonts w:eastAsia="Times New Roman" w:cs="Times New Roman"/>
                      <w:color w:val="000000"/>
                      <w:sz w:val="20"/>
                      <w:szCs w:val="20"/>
                      <w:lang w:eastAsia="es-MX"/>
                    </w:rPr>
                    <w:t xml:space="preserve">, S.A. de </w:t>
                  </w:r>
                  <w:r w:rsidRPr="00A60F4C">
                    <w:rPr>
                      <w:rFonts w:eastAsia="Times New Roman" w:cs="Times New Roman"/>
                      <w:color w:val="000000"/>
                      <w:sz w:val="20"/>
                      <w:szCs w:val="20"/>
                      <w:lang w:eastAsia="es-MX"/>
                    </w:rPr>
                    <w:t>C.V.</w:t>
                  </w:r>
                </w:p>
              </w:tc>
            </w:tr>
            <w:tr w:rsidR="00A26C3E" w:rsidRPr="00A60F4C" w:rsidTr="00A26C3E">
              <w:trPr>
                <w:trHeight w:val="405"/>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13</w:t>
                  </w:r>
                </w:p>
              </w:tc>
              <w:tc>
                <w:tcPr>
                  <w:tcW w:w="4694" w:type="pct"/>
                  <w:shd w:val="clear" w:color="auto" w:fill="auto"/>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DIVERACY, S.A. DE C.V.</w:t>
                  </w:r>
                </w:p>
              </w:tc>
            </w:tr>
            <w:tr w:rsidR="00A26C3E" w:rsidRPr="00A60F4C" w:rsidTr="00A26C3E">
              <w:trPr>
                <w:trHeight w:val="425"/>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14</w:t>
                  </w:r>
                </w:p>
              </w:tc>
              <w:tc>
                <w:tcPr>
                  <w:tcW w:w="4694"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A60F4C">
                    <w:rPr>
                      <w:rFonts w:eastAsia="Times New Roman" w:cs="Times New Roman"/>
                      <w:color w:val="000000"/>
                      <w:sz w:val="20"/>
                      <w:szCs w:val="20"/>
                      <w:lang w:eastAsia="es-MX"/>
                    </w:rPr>
                    <w:t>CLUMTI, A.C.</w:t>
                  </w:r>
                </w:p>
              </w:tc>
            </w:tr>
            <w:tr w:rsidR="00A26C3E" w:rsidRPr="00A60F4C" w:rsidTr="00A26C3E">
              <w:trPr>
                <w:trHeight w:val="403"/>
                <w:jc w:val="center"/>
              </w:trPr>
              <w:tc>
                <w:tcPr>
                  <w:tcW w:w="306"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482A9A">
                    <w:rPr>
                      <w:rFonts w:eastAsia="Times New Roman" w:cs="Times New Roman"/>
                      <w:color w:val="000000"/>
                      <w:sz w:val="20"/>
                      <w:szCs w:val="20"/>
                      <w:lang w:eastAsia="es-MX"/>
                    </w:rPr>
                    <w:t>15</w:t>
                  </w:r>
                </w:p>
              </w:tc>
              <w:tc>
                <w:tcPr>
                  <w:tcW w:w="4694" w:type="pct"/>
                  <w:shd w:val="clear" w:color="auto" w:fill="auto"/>
                  <w:noWrap/>
                  <w:vAlign w:val="center"/>
                  <w:hideMark/>
                </w:tcPr>
                <w:p w:rsidR="00A26C3E" w:rsidRPr="00482A9A" w:rsidRDefault="00A26C3E" w:rsidP="00A26C3E">
                  <w:pPr>
                    <w:spacing w:after="0" w:line="240" w:lineRule="auto"/>
                    <w:jc w:val="both"/>
                    <w:rPr>
                      <w:rFonts w:eastAsia="Times New Roman" w:cs="Times New Roman"/>
                      <w:color w:val="000000"/>
                      <w:sz w:val="20"/>
                      <w:szCs w:val="20"/>
                      <w:lang w:eastAsia="es-MX"/>
                    </w:rPr>
                  </w:pPr>
                  <w:r w:rsidRPr="00A60F4C">
                    <w:rPr>
                      <w:rFonts w:eastAsia="Times New Roman" w:cs="Times New Roman"/>
                      <w:color w:val="000000"/>
                      <w:sz w:val="20"/>
                      <w:szCs w:val="20"/>
                      <w:lang w:eastAsia="es-MX"/>
                    </w:rPr>
                    <w:t>VIRTUALWARE MÉXICO, S.</w:t>
                  </w:r>
                  <w:r>
                    <w:rPr>
                      <w:rFonts w:eastAsia="Times New Roman" w:cs="Times New Roman"/>
                      <w:color w:val="000000"/>
                      <w:sz w:val="20"/>
                      <w:szCs w:val="20"/>
                      <w:lang w:eastAsia="es-MX"/>
                    </w:rPr>
                    <w:t xml:space="preserve"> </w:t>
                  </w:r>
                  <w:r w:rsidRPr="00A60F4C">
                    <w:rPr>
                      <w:rFonts w:eastAsia="Times New Roman" w:cs="Times New Roman"/>
                      <w:color w:val="000000"/>
                      <w:sz w:val="20"/>
                      <w:szCs w:val="20"/>
                      <w:lang w:eastAsia="es-MX"/>
                    </w:rPr>
                    <w:t>DE R.L DE C.V.</w:t>
                  </w:r>
                </w:p>
              </w:tc>
            </w:tr>
          </w:tbl>
          <w:p w:rsidR="00504476" w:rsidRPr="005D5F2E" w:rsidRDefault="00504476" w:rsidP="0034301C">
            <w:pPr>
              <w:pStyle w:val="Prrafodelista"/>
              <w:jc w:val="both"/>
            </w:pPr>
          </w:p>
        </w:tc>
      </w:tr>
    </w:tbl>
    <w:p w:rsidR="0086684A" w:rsidRPr="005D5F2E" w:rsidRDefault="0086684A" w:rsidP="0086684A">
      <w:pPr>
        <w:jc w:val="both"/>
      </w:pPr>
    </w:p>
    <w:p w:rsidR="00A73AD8" w:rsidRPr="005D5F2E" w:rsidRDefault="00A73AD8" w:rsidP="00A73AD8">
      <w:pPr>
        <w:shd w:val="clear" w:color="auto" w:fill="A8D08D" w:themeFill="accent6" w:themeFillTint="99"/>
        <w:jc w:val="both"/>
      </w:pPr>
      <w:r w:rsidRPr="005D5F2E">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4221D4" w:rsidTr="00121065">
        <w:trPr>
          <w:trHeight w:val="1031"/>
        </w:trPr>
        <w:tc>
          <w:tcPr>
            <w:tcW w:w="8828" w:type="dxa"/>
          </w:tcPr>
          <w:p w:rsidR="00B74C55" w:rsidRPr="00197F91" w:rsidRDefault="00A73AD8" w:rsidP="00A73AD8">
            <w:pPr>
              <w:jc w:val="both"/>
              <w:rPr>
                <w:b/>
                <w:sz w:val="20"/>
                <w:szCs w:val="20"/>
              </w:rPr>
            </w:pPr>
            <w:r w:rsidRPr="00197F91">
              <w:rPr>
                <w:b/>
                <w:sz w:val="20"/>
                <w:szCs w:val="20"/>
              </w:rPr>
              <w:t xml:space="preserve">20.- Enliste </w:t>
            </w:r>
            <w:r w:rsidR="00B74C55" w:rsidRPr="00197F91">
              <w:rPr>
                <w:b/>
                <w:sz w:val="20"/>
                <w:szCs w:val="20"/>
              </w:rPr>
              <w:t>los datos bibliográficos o las direcciones electrónicas consultadas para el diseño y redacción del anteproyecto de regulación.</w:t>
            </w:r>
          </w:p>
          <w:p w:rsidR="00A73AD8" w:rsidRPr="005D5F2E" w:rsidRDefault="00A73AD8" w:rsidP="0086684A">
            <w:pPr>
              <w:jc w:val="both"/>
              <w:rPr>
                <w:rFonts w:asciiTheme="majorHAnsi" w:eastAsia="Times New Roman" w:hAnsiTheme="majorHAnsi" w:cs="Arial"/>
                <w:sz w:val="20"/>
                <w:szCs w:val="20"/>
                <w:lang w:eastAsia="es-ES"/>
              </w:rPr>
            </w:pP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ETSI EN 301 908-13 V11.1.1 (2016-07). IMT cellular networks; Harmonised Standard covering the essential requirements of article 3.2 of the Directive 2014/53/EU; Part 13: Evolved Universal Terrestrial Radio Access (E-UTRA) User Equipment (UE).</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FCC. Electronic Code of Federal Regulations, Title 47, Chapter 1, Subchapter B, Part 22: Public Mobile Services, Subpart H.</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FCC. Electronic Code of Federal Regulations, Title 47, Chapter 1, Subchapter B, Part 24: Personal Communication Services", Subpart E.</w:t>
            </w:r>
          </w:p>
          <w:p w:rsidR="00F673C9" w:rsidRPr="00F673C9" w:rsidRDefault="00F673C9" w:rsidP="000D75EC">
            <w:pPr>
              <w:pStyle w:val="Prrafodelista"/>
              <w:numPr>
                <w:ilvl w:val="0"/>
                <w:numId w:val="4"/>
              </w:numPr>
              <w:jc w:val="both"/>
              <w:rPr>
                <w:rFonts w:asciiTheme="majorHAnsi" w:eastAsia="Times New Roman" w:hAnsiTheme="majorHAnsi" w:cs="Arial"/>
                <w:sz w:val="20"/>
                <w:szCs w:val="20"/>
                <w:lang w:eastAsia="es-ES"/>
              </w:rPr>
            </w:pPr>
            <w:r w:rsidRPr="00452A3A">
              <w:rPr>
                <w:rFonts w:asciiTheme="majorHAnsi" w:eastAsia="Times New Roman" w:hAnsiTheme="majorHAnsi" w:cs="Arial"/>
                <w:sz w:val="20"/>
                <w:szCs w:val="20"/>
                <w:lang w:val="en-GB" w:eastAsia="es-ES"/>
              </w:rPr>
              <w:t xml:space="preserve">FCC. Electronic Code of Federal Regulations Title 47, Chapter 1, Subchapter B, Part 27: Miscellaneous Wireless Services. </w:t>
            </w:r>
            <w:proofErr w:type="spellStart"/>
            <w:r w:rsidRPr="00F673C9">
              <w:rPr>
                <w:rFonts w:asciiTheme="majorHAnsi" w:eastAsia="Times New Roman" w:hAnsiTheme="majorHAnsi" w:cs="Arial"/>
                <w:sz w:val="20"/>
                <w:szCs w:val="20"/>
                <w:lang w:eastAsia="es-ES"/>
              </w:rPr>
              <w:t>Subpart</w:t>
            </w:r>
            <w:proofErr w:type="spellEnd"/>
            <w:r w:rsidRPr="00F673C9">
              <w:rPr>
                <w:rFonts w:asciiTheme="majorHAnsi" w:eastAsia="Times New Roman" w:hAnsiTheme="majorHAnsi" w:cs="Arial"/>
                <w:sz w:val="20"/>
                <w:szCs w:val="20"/>
                <w:lang w:eastAsia="es-ES"/>
              </w:rPr>
              <w:t xml:space="preserve"> C.</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Innovation, Science and Economic Development Canada, Spectrum Management and Telecommunications. Radio Standards Specification 132, Issue 3, Cellular Telephone Systems Operating in the Bands 824-849 MHz and 869-894 MHz, January 2013.</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Innovation, Science and Economic Development Canada, Spectrum Management and Telecommunications Radio Standards Specification RSS-133 Issue 6, 2 GHz Personal Communications Services, January 2013;</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Innovation, Science and Economic Development Canada, Spectrum Management and Telecommunications Radio Standards Specification 139, Issue 3, Advanced Wireless Services (AWS) Equipment Operating in the Bands 1710-1780 MHz and 2110-2180 MHz, July 2015.</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 xml:space="preserve">Innovation, Science and Economic Development Canada, Spectrum Management and Telecommunications, SRSP-503 - Technical Requirements for Cellular Radiotelephone Systems Operating in the Bands 824-849 MHz and 869-894 </w:t>
            </w:r>
            <w:proofErr w:type="spellStart"/>
            <w:r w:rsidRPr="00452A3A">
              <w:rPr>
                <w:rFonts w:asciiTheme="majorHAnsi" w:eastAsia="Times New Roman" w:hAnsiTheme="majorHAnsi" w:cs="Arial"/>
                <w:sz w:val="20"/>
                <w:szCs w:val="20"/>
                <w:lang w:val="en-GB" w:eastAsia="es-ES"/>
              </w:rPr>
              <w:t>MHz.</w:t>
            </w:r>
            <w:proofErr w:type="spellEnd"/>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 xml:space="preserve">Innovation, Science and Economic Development Canada, Spectrum Management and Telecommunications, SRSP-510 - Technical Requirements for Personal Communications Services (PCS) in the Bands 1850-1915 MHz and 1930-1995 </w:t>
            </w:r>
            <w:proofErr w:type="spellStart"/>
            <w:r w:rsidRPr="00452A3A">
              <w:rPr>
                <w:rFonts w:asciiTheme="majorHAnsi" w:eastAsia="Times New Roman" w:hAnsiTheme="majorHAnsi" w:cs="Arial"/>
                <w:sz w:val="20"/>
                <w:szCs w:val="20"/>
                <w:lang w:val="en-GB" w:eastAsia="es-ES"/>
              </w:rPr>
              <w:t>MHz.</w:t>
            </w:r>
            <w:proofErr w:type="spellEnd"/>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 xml:space="preserve">Innovation, Science and Economic Development Canada, Spectrum Management and Telecommunications, SRSP-513 - Technical Requirements for Advanced Wireless Services (AWS) in the Bands 1710-1780 MHz and 2110-2180 </w:t>
            </w:r>
            <w:proofErr w:type="spellStart"/>
            <w:r w:rsidRPr="00452A3A">
              <w:rPr>
                <w:rFonts w:asciiTheme="majorHAnsi" w:eastAsia="Times New Roman" w:hAnsiTheme="majorHAnsi" w:cs="Arial"/>
                <w:sz w:val="20"/>
                <w:szCs w:val="20"/>
                <w:lang w:val="en-GB" w:eastAsia="es-ES"/>
              </w:rPr>
              <w:t>MHz.</w:t>
            </w:r>
            <w:proofErr w:type="spellEnd"/>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ETSI TS 136 101 V14.3.0 (2017-04) LTE; Evolved Universal Terrestrial Radio Access (E-UTRA); User Equipment (UE) radio transmission and reception (3GPP TS 36.101 version 14.3.0 Release 14).</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ETSI TS 136 521-1 V13.1.0 (2016-05), LTE; Evolved Universal Terrestrial Radio Access (E-UTRA); User Equipment (UE) conformance specification; Radio transmission and reception; Part 1: Conformance testing (3GPP TS 36.521-1 version 13.1.0 Release 13).</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ETSI TS 134 121-1 V10.5.0 (2013-02) Universal Mobile Telecommunications System (UMTS); User Equipment (UE) conformance specification; Radio transmission and reception (FDD); Part 1: Conformance specification (3GPP TS 34.121-1 version 10.5.0 Release 10).</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ETSI TS 125 101 V14.0.0 (2017-05) Universal Mobile Telecommunications System (UMTS); User Equipment (UE) radio transmission and reception (FDD) (3GPP TS 25.101 version 14.0.0 Release 14).</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Measurement guidance for certifica</w:t>
            </w:r>
            <w:r w:rsidR="00987FCD">
              <w:rPr>
                <w:rFonts w:asciiTheme="majorHAnsi" w:eastAsia="Times New Roman" w:hAnsiTheme="majorHAnsi" w:cs="Arial"/>
                <w:sz w:val="20"/>
                <w:szCs w:val="20"/>
                <w:lang w:val="en-GB" w:eastAsia="es-ES"/>
              </w:rPr>
              <w:t>t</w:t>
            </w:r>
            <w:r w:rsidRPr="00452A3A">
              <w:rPr>
                <w:rFonts w:asciiTheme="majorHAnsi" w:eastAsia="Times New Roman" w:hAnsiTheme="majorHAnsi" w:cs="Arial"/>
                <w:sz w:val="20"/>
                <w:szCs w:val="20"/>
                <w:lang w:val="en-GB" w:eastAsia="es-ES"/>
              </w:rPr>
              <w:t xml:space="preserve">ion of licensed digital transmitters, FCC, KDB Publication 971168. </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NCC, Taiwan. Technical Specifications for Mobile Broadband Business Terminal Equipment, December 2015.</w:t>
            </w:r>
          </w:p>
          <w:p w:rsidR="00F673C9" w:rsidRPr="00F673C9" w:rsidRDefault="00F673C9" w:rsidP="000D75EC">
            <w:pPr>
              <w:pStyle w:val="Prrafodelista"/>
              <w:numPr>
                <w:ilvl w:val="0"/>
                <w:numId w:val="4"/>
              </w:numPr>
              <w:jc w:val="both"/>
              <w:rPr>
                <w:rFonts w:asciiTheme="majorHAnsi" w:eastAsia="Times New Roman" w:hAnsiTheme="majorHAnsi" w:cs="Arial"/>
                <w:sz w:val="20"/>
                <w:szCs w:val="20"/>
                <w:lang w:eastAsia="es-ES"/>
              </w:rPr>
            </w:pPr>
            <w:r w:rsidRPr="00F673C9">
              <w:rPr>
                <w:rFonts w:asciiTheme="majorHAnsi" w:eastAsia="Times New Roman" w:hAnsiTheme="majorHAnsi" w:cs="Arial"/>
                <w:sz w:val="20"/>
                <w:szCs w:val="20"/>
                <w:lang w:eastAsia="es-ES"/>
              </w:rPr>
              <w:t>Recomendación UIT-R SM.328-10, espectros y anchuras de banda de las emisiones (cuestión UIT-R 76/1).</w:t>
            </w:r>
          </w:p>
          <w:p w:rsidR="00F673C9"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TIA-603-E-2016 - Land Mobile FM or PM Communications Equipment Measurement and Performance Standards.</w:t>
            </w:r>
          </w:p>
          <w:p w:rsidR="00493D13" w:rsidRPr="00452A3A" w:rsidRDefault="00F673C9" w:rsidP="000D75EC">
            <w:pPr>
              <w:pStyle w:val="Prrafodelista"/>
              <w:numPr>
                <w:ilvl w:val="0"/>
                <w:numId w:val="4"/>
              </w:numPr>
              <w:jc w:val="both"/>
              <w:rPr>
                <w:rFonts w:asciiTheme="majorHAnsi" w:eastAsia="Times New Roman" w:hAnsiTheme="majorHAnsi" w:cs="Arial"/>
                <w:sz w:val="20"/>
                <w:szCs w:val="20"/>
                <w:lang w:val="en-GB" w:eastAsia="es-ES"/>
              </w:rPr>
            </w:pPr>
            <w:r w:rsidRPr="00452A3A">
              <w:rPr>
                <w:rFonts w:asciiTheme="majorHAnsi" w:eastAsia="Times New Roman" w:hAnsiTheme="majorHAnsi" w:cs="Arial"/>
                <w:sz w:val="20"/>
                <w:szCs w:val="20"/>
                <w:lang w:val="en-GB" w:eastAsia="es-ES"/>
              </w:rPr>
              <w:t>IEEE/ANSI C63.26-2015 - American National Standard for Compliance Testing of Transmitters Used in Licensed Radio Services</w:t>
            </w:r>
            <w:r w:rsidR="001C1EBA">
              <w:rPr>
                <w:rFonts w:asciiTheme="majorHAnsi" w:eastAsia="Times New Roman" w:hAnsiTheme="majorHAnsi" w:cs="Arial"/>
                <w:sz w:val="20"/>
                <w:szCs w:val="20"/>
                <w:lang w:val="en-GB" w:eastAsia="es-ES"/>
              </w:rPr>
              <w:t>.</w:t>
            </w:r>
          </w:p>
        </w:tc>
      </w:tr>
    </w:tbl>
    <w:p w:rsidR="004969DC" w:rsidRDefault="004969DC" w:rsidP="0086684A">
      <w:pPr>
        <w:jc w:val="both"/>
        <w:rPr>
          <w:rFonts w:asciiTheme="majorHAnsi" w:eastAsia="Times New Roman" w:hAnsiTheme="majorHAnsi" w:cs="Arial"/>
          <w:color w:val="BFBFBF" w:themeColor="background1" w:themeShade="BF"/>
          <w:sz w:val="20"/>
          <w:szCs w:val="20"/>
          <w:vertAlign w:val="superscript"/>
          <w:lang w:val="en-GB" w:eastAsia="es-ES"/>
        </w:rPr>
      </w:pPr>
    </w:p>
    <w:p w:rsidR="00121065" w:rsidRDefault="00121065" w:rsidP="0086684A">
      <w:pPr>
        <w:jc w:val="both"/>
        <w:rPr>
          <w:rFonts w:asciiTheme="majorHAnsi" w:eastAsia="Times New Roman" w:hAnsiTheme="majorHAnsi" w:cs="Arial"/>
          <w:color w:val="BFBFBF" w:themeColor="background1" w:themeShade="BF"/>
          <w:sz w:val="20"/>
          <w:szCs w:val="20"/>
          <w:vertAlign w:val="superscript"/>
          <w:lang w:val="en-GB" w:eastAsia="es-ES"/>
        </w:rPr>
      </w:pPr>
    </w:p>
    <w:p w:rsidR="00121065" w:rsidRDefault="00121065" w:rsidP="0086684A">
      <w:pPr>
        <w:jc w:val="both"/>
        <w:rPr>
          <w:rFonts w:asciiTheme="majorHAnsi" w:eastAsia="Times New Roman" w:hAnsiTheme="majorHAnsi" w:cs="Arial"/>
          <w:color w:val="BFBFBF" w:themeColor="background1" w:themeShade="BF"/>
          <w:sz w:val="20"/>
          <w:szCs w:val="20"/>
          <w:vertAlign w:val="superscript"/>
          <w:lang w:val="en-GB" w:eastAsia="es-ES"/>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121065">
      <w:pPr>
        <w:jc w:val="center"/>
        <w:rPr>
          <w:b/>
          <w:i/>
          <w:lang w:val="en-GB"/>
        </w:rPr>
      </w:pPr>
    </w:p>
    <w:p w:rsidR="00121065" w:rsidRPr="001C5241" w:rsidRDefault="00121065" w:rsidP="00CB5844">
      <w:pPr>
        <w:rPr>
          <w:b/>
          <w:i/>
          <w:lang w:val="en-GB"/>
        </w:rPr>
      </w:pPr>
    </w:p>
    <w:sectPr w:rsidR="00121065" w:rsidRPr="001C5241" w:rsidSect="0092609E">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CA" w:rsidRDefault="00FB63CA" w:rsidP="00501ADF">
      <w:pPr>
        <w:spacing w:after="0" w:line="240" w:lineRule="auto"/>
      </w:pPr>
      <w:r>
        <w:separator/>
      </w:r>
    </w:p>
  </w:endnote>
  <w:endnote w:type="continuationSeparator" w:id="0">
    <w:p w:rsidR="00FB63CA" w:rsidRDefault="00FB63CA"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88" w:rsidRDefault="00A32888" w:rsidP="0055258E">
    <w:pPr>
      <w:shd w:val="clear" w:color="auto" w:fill="FFFFFF"/>
      <w:autoSpaceDE w:val="0"/>
      <w:autoSpaceDN w:val="0"/>
      <w:adjustRightInd w:val="0"/>
      <w:spacing w:after="101"/>
      <w:jc w:val="both"/>
      <w:rPr>
        <w:rFonts w:asciiTheme="majorHAnsi" w:hAnsiTheme="majorHAnsi"/>
        <w:sz w:val="14"/>
        <w:szCs w:val="20"/>
      </w:rPr>
    </w:pPr>
  </w:p>
  <w:p w:rsidR="00A32888" w:rsidRDefault="00A328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CA" w:rsidRDefault="00FB63CA" w:rsidP="00501ADF">
      <w:pPr>
        <w:spacing w:after="0" w:line="240" w:lineRule="auto"/>
      </w:pPr>
      <w:r>
        <w:separator/>
      </w:r>
    </w:p>
  </w:footnote>
  <w:footnote w:type="continuationSeparator" w:id="0">
    <w:p w:rsidR="00FB63CA" w:rsidRDefault="00FB63CA" w:rsidP="00501ADF">
      <w:pPr>
        <w:spacing w:after="0" w:line="240" w:lineRule="auto"/>
      </w:pPr>
      <w:r>
        <w:continuationSeparator/>
      </w:r>
    </w:p>
  </w:footnote>
  <w:footnote w:id="1">
    <w:p w:rsidR="00A32888" w:rsidRPr="00DE7817" w:rsidRDefault="00A32888">
      <w:pPr>
        <w:pStyle w:val="Textonotapie"/>
        <w:rPr>
          <w:sz w:val="16"/>
          <w:szCs w:val="16"/>
          <w:lang w:val="es-MX"/>
        </w:rPr>
      </w:pPr>
      <w:r>
        <w:rPr>
          <w:rStyle w:val="Refdenotaalpie"/>
        </w:rPr>
        <w:footnoteRef/>
      </w:r>
      <w:r>
        <w:t xml:space="preserve"> </w:t>
      </w:r>
      <w:proofErr w:type="spellStart"/>
      <w:r w:rsidRPr="00DE7817">
        <w:rPr>
          <w:sz w:val="16"/>
          <w:szCs w:val="16"/>
          <w:lang w:val="es-MX"/>
        </w:rPr>
        <w:t>Asimakopoulus</w:t>
      </w:r>
      <w:proofErr w:type="spellEnd"/>
      <w:r w:rsidRPr="00DE7817">
        <w:rPr>
          <w:sz w:val="16"/>
          <w:szCs w:val="16"/>
          <w:lang w:val="es-MX"/>
        </w:rPr>
        <w:t xml:space="preserve">, 2012; </w:t>
      </w:r>
      <w:proofErr w:type="spellStart"/>
      <w:r w:rsidRPr="00DE7817">
        <w:rPr>
          <w:sz w:val="16"/>
          <w:szCs w:val="16"/>
          <w:lang w:val="es-MX"/>
        </w:rPr>
        <w:t>Czajkowski</w:t>
      </w:r>
      <w:proofErr w:type="spellEnd"/>
      <w:r w:rsidRPr="00DE7817">
        <w:rPr>
          <w:sz w:val="16"/>
          <w:szCs w:val="16"/>
          <w:lang w:val="es-MX"/>
        </w:rPr>
        <w:t xml:space="preserve"> y </w:t>
      </w:r>
      <w:proofErr w:type="spellStart"/>
      <w:r w:rsidRPr="00DE7817">
        <w:rPr>
          <w:sz w:val="16"/>
          <w:szCs w:val="16"/>
          <w:lang w:val="es-MX"/>
        </w:rPr>
        <w:t>Sobolewski</w:t>
      </w:r>
      <w:proofErr w:type="spellEnd"/>
      <w:r w:rsidRPr="00DE7817">
        <w:rPr>
          <w:sz w:val="16"/>
          <w:szCs w:val="16"/>
          <w:lang w:val="es-MX"/>
        </w:rPr>
        <w:t xml:space="preserve">, 2015; Park y </w:t>
      </w:r>
      <w:proofErr w:type="spellStart"/>
      <w:r w:rsidRPr="00DE7817">
        <w:rPr>
          <w:sz w:val="16"/>
          <w:szCs w:val="16"/>
          <w:lang w:val="es-MX"/>
        </w:rPr>
        <w:t>Koo</w:t>
      </w:r>
      <w:proofErr w:type="spellEnd"/>
      <w:r w:rsidRPr="00DE7817">
        <w:rPr>
          <w:sz w:val="16"/>
          <w:szCs w:val="16"/>
          <w:lang w:val="es-MX"/>
        </w:rPr>
        <w:t>, 2016</w:t>
      </w:r>
      <w:r>
        <w:rPr>
          <w:sz w:val="16"/>
          <w:szCs w:val="16"/>
          <w:lang w:val="es-MX"/>
        </w:rPr>
        <w:t>.</w:t>
      </w:r>
    </w:p>
  </w:footnote>
  <w:footnote w:id="2">
    <w:p w:rsidR="00A32888" w:rsidRPr="00DE7817" w:rsidRDefault="00A32888">
      <w:pPr>
        <w:pStyle w:val="Textonotapie"/>
        <w:rPr>
          <w:sz w:val="16"/>
          <w:szCs w:val="16"/>
          <w:lang w:val="es-MX"/>
        </w:rPr>
      </w:pPr>
      <w:r>
        <w:rPr>
          <w:rStyle w:val="Refdenotaalpie"/>
        </w:rPr>
        <w:footnoteRef/>
      </w:r>
      <w:r>
        <w:t xml:space="preserve"> </w:t>
      </w:r>
      <w:r w:rsidRPr="00DE7817">
        <w:rPr>
          <w:sz w:val="16"/>
          <w:szCs w:val="16"/>
          <w:lang w:val="es-MX"/>
        </w:rPr>
        <w:t>http://centrodeestudios.ift.org.mx/documentos/REB-costos-traspaso-portabilidad-PAA.pdf</w:t>
      </w:r>
    </w:p>
  </w:footnote>
  <w:footnote w:id="3">
    <w:p w:rsidR="00A32888" w:rsidRPr="005127C0" w:rsidRDefault="00A32888" w:rsidP="000A26FA">
      <w:pPr>
        <w:pStyle w:val="Textonotapie"/>
        <w:jc w:val="both"/>
        <w:rPr>
          <w:sz w:val="16"/>
          <w:szCs w:val="16"/>
          <w:lang w:val="es-MX"/>
        </w:rPr>
      </w:pPr>
      <w:r w:rsidRPr="005127C0">
        <w:rPr>
          <w:rStyle w:val="Refdenotaalpie"/>
          <w:sz w:val="16"/>
          <w:szCs w:val="16"/>
        </w:rPr>
        <w:footnoteRef/>
      </w:r>
      <w:r w:rsidRPr="005127C0">
        <w:rPr>
          <w:sz w:val="16"/>
          <w:szCs w:val="16"/>
        </w:rPr>
        <w:t xml:space="preserve"> </w:t>
      </w:r>
      <w:r w:rsidRPr="005127C0">
        <w:rPr>
          <w:sz w:val="16"/>
          <w:szCs w:val="16"/>
          <w:lang w:val="es-MX"/>
        </w:rPr>
        <w:t>APT Banda 28: Banda definida para el plan de segmentación de APT (</w:t>
      </w:r>
      <w:proofErr w:type="spellStart"/>
      <w:r w:rsidRPr="005127C0">
        <w:rPr>
          <w:sz w:val="16"/>
          <w:szCs w:val="16"/>
          <w:lang w:val="es-MX"/>
        </w:rPr>
        <w:t>Telecomunidad</w:t>
      </w:r>
      <w:proofErr w:type="spellEnd"/>
      <w:r w:rsidRPr="005127C0">
        <w:rPr>
          <w:sz w:val="16"/>
          <w:szCs w:val="16"/>
          <w:lang w:val="es-MX"/>
        </w:rPr>
        <w:t xml:space="preserve"> Asia Pacifico).</w:t>
      </w:r>
    </w:p>
  </w:footnote>
  <w:footnote w:id="4">
    <w:p w:rsidR="00A32888" w:rsidRPr="005127C0" w:rsidRDefault="00A32888" w:rsidP="00401874">
      <w:pPr>
        <w:pStyle w:val="Textonotapie"/>
        <w:jc w:val="both"/>
        <w:rPr>
          <w:sz w:val="16"/>
          <w:szCs w:val="16"/>
          <w:lang w:val="es-MX"/>
        </w:rPr>
      </w:pPr>
      <w:r w:rsidRPr="005127C0">
        <w:rPr>
          <w:rStyle w:val="Refdenotaalpie"/>
          <w:sz w:val="16"/>
          <w:szCs w:val="16"/>
        </w:rPr>
        <w:footnoteRef/>
      </w:r>
      <w:r w:rsidRPr="005127C0">
        <w:rPr>
          <w:sz w:val="16"/>
          <w:szCs w:val="16"/>
        </w:rPr>
        <w:t xml:space="preserve"> Una amplia mayoría de países de la región de América Latina (excepto Bolivia) fueron manifestando su decisión de adoptar el esquema de canalización APT700 a partir de la XX Reunión de </w:t>
      </w:r>
      <w:proofErr w:type="spellStart"/>
      <w:r w:rsidRPr="005127C0">
        <w:rPr>
          <w:sz w:val="16"/>
          <w:szCs w:val="16"/>
        </w:rPr>
        <w:t>CITEL’s</w:t>
      </w:r>
      <w:proofErr w:type="spellEnd"/>
      <w:r w:rsidRPr="005127C0">
        <w:rPr>
          <w:sz w:val="16"/>
          <w:szCs w:val="16"/>
        </w:rPr>
        <w:t xml:space="preserve"> PCC.II celebrada en Ciudad de México en octubre de 2012.</w:t>
      </w:r>
    </w:p>
  </w:footnote>
  <w:footnote w:id="5">
    <w:p w:rsidR="00A32888" w:rsidRPr="005127C0" w:rsidRDefault="00A32888" w:rsidP="00401874">
      <w:pPr>
        <w:pStyle w:val="Textonotapie"/>
        <w:jc w:val="both"/>
        <w:rPr>
          <w:sz w:val="16"/>
          <w:szCs w:val="16"/>
          <w:lang w:val="es-MX"/>
        </w:rPr>
      </w:pPr>
      <w:r w:rsidRPr="005127C0">
        <w:rPr>
          <w:rStyle w:val="Refdenotaalpie"/>
          <w:sz w:val="16"/>
          <w:szCs w:val="16"/>
        </w:rPr>
        <w:footnoteRef/>
      </w:r>
      <w:r w:rsidRPr="005127C0">
        <w:rPr>
          <w:sz w:val="16"/>
          <w:szCs w:val="16"/>
        </w:rPr>
        <w:t xml:space="preserve"> Fuente: “Status of </w:t>
      </w:r>
      <w:proofErr w:type="spellStart"/>
      <w:r w:rsidRPr="005127C0">
        <w:rPr>
          <w:sz w:val="16"/>
          <w:szCs w:val="16"/>
        </w:rPr>
        <w:t>the</w:t>
      </w:r>
      <w:proofErr w:type="spellEnd"/>
      <w:r w:rsidRPr="005127C0">
        <w:rPr>
          <w:sz w:val="16"/>
          <w:szCs w:val="16"/>
        </w:rPr>
        <w:t xml:space="preserve"> LTE </w:t>
      </w:r>
      <w:proofErr w:type="spellStart"/>
      <w:r w:rsidRPr="005127C0">
        <w:rPr>
          <w:sz w:val="16"/>
          <w:szCs w:val="16"/>
        </w:rPr>
        <w:t>Ecosystem</w:t>
      </w:r>
      <w:proofErr w:type="spellEnd"/>
      <w:r w:rsidRPr="005127C0">
        <w:rPr>
          <w:sz w:val="16"/>
          <w:szCs w:val="16"/>
        </w:rPr>
        <w:t>”, GSA, julio de 2017. Incluye Asia (excepto China), América Latina (excepto Bolivia y Caribe), e incluye gran parte de Europa, Oriente Medio y África.</w:t>
      </w:r>
    </w:p>
  </w:footnote>
  <w:footnote w:id="6">
    <w:p w:rsidR="00A32888" w:rsidRPr="00B06503" w:rsidRDefault="00A32888" w:rsidP="00B06503">
      <w:pPr>
        <w:pStyle w:val="Textonotapie"/>
        <w:jc w:val="both"/>
        <w:rPr>
          <w:lang w:val="es-MX"/>
        </w:rPr>
      </w:pPr>
      <w:r w:rsidRPr="005127C0">
        <w:rPr>
          <w:rStyle w:val="Refdenotaalpie"/>
          <w:sz w:val="16"/>
          <w:szCs w:val="16"/>
        </w:rPr>
        <w:footnoteRef/>
      </w:r>
      <w:r w:rsidRPr="005127C0">
        <w:rPr>
          <w:sz w:val="16"/>
          <w:szCs w:val="16"/>
        </w:rPr>
        <w:t xml:space="preserve"> https://www.ovumkc.com/Products/Service-Provider/Intelligent-Networks/LTE-Forecasts-by-Spectrum-2016-21/Summary</w:t>
      </w:r>
    </w:p>
  </w:footnote>
  <w:footnote w:id="7">
    <w:p w:rsidR="00A32888" w:rsidRPr="00CB6217" w:rsidRDefault="00A32888" w:rsidP="00CB6217">
      <w:pPr>
        <w:pStyle w:val="Default"/>
        <w:rPr>
          <w:rFonts w:ascii="Arial" w:hAnsi="Arial" w:cs="Arial"/>
          <w:sz w:val="18"/>
          <w:szCs w:val="18"/>
        </w:rPr>
      </w:pPr>
      <w:r w:rsidRPr="00CB6217">
        <w:rPr>
          <w:rStyle w:val="Refdenotaalpie"/>
          <w:sz w:val="18"/>
          <w:szCs w:val="18"/>
        </w:rPr>
        <w:footnoteRef/>
      </w:r>
      <w:r w:rsidRPr="00CB6217">
        <w:rPr>
          <w:sz w:val="18"/>
          <w:szCs w:val="18"/>
        </w:rPr>
        <w:t xml:space="preserve"> </w:t>
      </w:r>
      <w:r w:rsidRPr="00CB6217">
        <w:rPr>
          <w:rFonts w:asciiTheme="minorHAnsi" w:hAnsiTheme="minorHAnsi" w:cs="Arial"/>
          <w:iCs/>
          <w:sz w:val="20"/>
          <w:szCs w:val="18"/>
        </w:rPr>
        <w:t xml:space="preserve">[Fuente: </w:t>
      </w:r>
      <w:proofErr w:type="spellStart"/>
      <w:r w:rsidRPr="00CB6217">
        <w:rPr>
          <w:rFonts w:asciiTheme="minorHAnsi" w:hAnsiTheme="minorHAnsi" w:cs="Arial"/>
          <w:iCs/>
          <w:sz w:val="20"/>
          <w:szCs w:val="18"/>
        </w:rPr>
        <w:t>Analysys</w:t>
      </w:r>
      <w:proofErr w:type="spellEnd"/>
      <w:r w:rsidRPr="00CB6217">
        <w:rPr>
          <w:rFonts w:asciiTheme="minorHAnsi" w:hAnsiTheme="minorHAnsi" w:cs="Arial"/>
          <w:iCs/>
          <w:sz w:val="20"/>
          <w:szCs w:val="18"/>
        </w:rPr>
        <w:t xml:space="preserve"> Mason sobre datos de GSA </w:t>
      </w:r>
      <w:proofErr w:type="spellStart"/>
      <w:r w:rsidRPr="00CB6217">
        <w:rPr>
          <w:rFonts w:asciiTheme="minorHAnsi" w:hAnsiTheme="minorHAnsi" w:cs="Arial"/>
          <w:iCs/>
          <w:sz w:val="20"/>
          <w:szCs w:val="18"/>
        </w:rPr>
        <w:t>Analyzer</w:t>
      </w:r>
      <w:proofErr w:type="spellEnd"/>
      <w:r w:rsidRPr="00CB6217">
        <w:rPr>
          <w:rFonts w:asciiTheme="minorHAnsi" w:hAnsiTheme="minorHAnsi" w:cs="Arial"/>
          <w:iCs/>
          <w:sz w:val="20"/>
          <w:szCs w:val="18"/>
        </w:rPr>
        <w:t xml:space="preserve"> </w:t>
      </w:r>
      <w:proofErr w:type="spellStart"/>
      <w:r w:rsidRPr="00CB6217">
        <w:rPr>
          <w:rFonts w:asciiTheme="minorHAnsi" w:hAnsiTheme="minorHAnsi" w:cs="Arial"/>
          <w:iCs/>
          <w:sz w:val="20"/>
          <w:szCs w:val="18"/>
        </w:rPr>
        <w:t>for</w:t>
      </w:r>
      <w:proofErr w:type="spellEnd"/>
      <w:r w:rsidRPr="00CB6217">
        <w:rPr>
          <w:rFonts w:asciiTheme="minorHAnsi" w:hAnsiTheme="minorHAnsi" w:cs="Arial"/>
          <w:iCs/>
          <w:sz w:val="20"/>
          <w:szCs w:val="18"/>
        </w:rPr>
        <w:t xml:space="preserve"> Mobile </w:t>
      </w:r>
      <w:proofErr w:type="spellStart"/>
      <w:r w:rsidRPr="00CB6217">
        <w:rPr>
          <w:rFonts w:asciiTheme="minorHAnsi" w:hAnsiTheme="minorHAnsi" w:cs="Arial"/>
          <w:iCs/>
          <w:sz w:val="20"/>
          <w:szCs w:val="18"/>
        </w:rPr>
        <w:t>Broadband</w:t>
      </w:r>
      <w:proofErr w:type="spellEnd"/>
      <w:r w:rsidRPr="00CB6217">
        <w:rPr>
          <w:rFonts w:asciiTheme="minorHAnsi" w:hAnsiTheme="minorHAnsi" w:cs="Arial"/>
          <w:iCs/>
          <w:sz w:val="20"/>
          <w:szCs w:val="18"/>
        </w:rPr>
        <w:t xml:space="preserve"> </w:t>
      </w:r>
      <w:proofErr w:type="spellStart"/>
      <w:r w:rsidRPr="00CB6217">
        <w:rPr>
          <w:rFonts w:asciiTheme="minorHAnsi" w:hAnsiTheme="minorHAnsi" w:cs="Arial"/>
          <w:iCs/>
          <w:sz w:val="20"/>
          <w:szCs w:val="18"/>
        </w:rPr>
        <w:t>Devices</w:t>
      </w:r>
      <w:proofErr w:type="spellEnd"/>
      <w:r w:rsidRPr="00CB6217">
        <w:rPr>
          <w:rFonts w:asciiTheme="minorHAnsi" w:hAnsiTheme="minorHAnsi" w:cs="Arial"/>
          <w:iCs/>
          <w:sz w:val="20"/>
          <w:szCs w:val="18"/>
        </w:rPr>
        <w:t xml:space="preserve"> (</w:t>
      </w:r>
      <w:proofErr w:type="spellStart"/>
      <w:r w:rsidRPr="00CB6217">
        <w:rPr>
          <w:rFonts w:asciiTheme="minorHAnsi" w:hAnsiTheme="minorHAnsi" w:cs="Arial"/>
          <w:iCs/>
          <w:sz w:val="20"/>
          <w:szCs w:val="18"/>
        </w:rPr>
        <w:t>GAMBoD</w:t>
      </w:r>
      <w:proofErr w:type="spellEnd"/>
      <w:r w:rsidRPr="00CB6217">
        <w:rPr>
          <w:rFonts w:asciiTheme="minorHAnsi" w:hAnsiTheme="minorHAnsi" w:cs="Arial"/>
          <w:iCs/>
          <w:sz w:val="20"/>
          <w:szCs w:val="18"/>
        </w:rPr>
        <w:t>), GSA</w:t>
      </w:r>
      <w:r w:rsidRPr="00CB6217">
        <w:rPr>
          <w:rFonts w:ascii="Arial" w:hAnsi="Arial" w:cs="Arial"/>
          <w:i/>
          <w:iCs/>
          <w:sz w:val="20"/>
          <w:szCs w:val="18"/>
        </w:rPr>
        <w:t xml:space="preserve"> </w:t>
      </w:r>
    </w:p>
    <w:p w:rsidR="00A32888" w:rsidRPr="00CB6217" w:rsidRDefault="00A32888">
      <w:pPr>
        <w:pStyle w:val="Textonotapie"/>
        <w:rPr>
          <w:lang w:val="es-MX"/>
        </w:rPr>
      </w:pPr>
    </w:p>
  </w:footnote>
  <w:footnote w:id="8">
    <w:p w:rsidR="00A32888" w:rsidRPr="00F442F3" w:rsidRDefault="00A32888">
      <w:pPr>
        <w:pStyle w:val="Textonotapie"/>
        <w:rPr>
          <w:lang w:val="es-MX"/>
        </w:rPr>
      </w:pPr>
      <w:r>
        <w:rPr>
          <w:rStyle w:val="Refdenotaalpie"/>
        </w:rPr>
        <w:footnoteRef/>
      </w:r>
      <w:r>
        <w:t xml:space="preserve"> </w:t>
      </w:r>
      <w:r w:rsidRPr="000A6EC3">
        <w:t xml:space="preserve">Fuente: </w:t>
      </w:r>
      <w:proofErr w:type="spellStart"/>
      <w:r w:rsidRPr="000A6EC3">
        <w:t>Analysys</w:t>
      </w:r>
      <w:proofErr w:type="spellEnd"/>
      <w:r w:rsidRPr="000A6EC3">
        <w:t xml:space="preserve"> Mason con datos de IDC, 1T 2017.</w:t>
      </w:r>
    </w:p>
  </w:footnote>
  <w:footnote w:id="9">
    <w:p w:rsidR="00A32888" w:rsidRPr="00AA4BFC" w:rsidRDefault="00A32888">
      <w:pPr>
        <w:pStyle w:val="Textonotapie"/>
      </w:pPr>
      <w:r>
        <w:rPr>
          <w:rStyle w:val="Refdenotaalpie"/>
        </w:rPr>
        <w:footnoteRef/>
      </w:r>
      <w:r>
        <w:t xml:space="preserve"> </w:t>
      </w:r>
      <w:r w:rsidRPr="00AA4BFC">
        <w:t xml:space="preserve">Fuente: </w:t>
      </w:r>
      <w:proofErr w:type="spellStart"/>
      <w:r w:rsidRPr="00AA4BFC">
        <w:t>Analysys</w:t>
      </w:r>
      <w:proofErr w:type="spellEnd"/>
      <w:r w:rsidRPr="00AA4BFC">
        <w:t xml:space="preserve"> Mason</w:t>
      </w:r>
      <w:r>
        <w:t>.</w:t>
      </w:r>
    </w:p>
  </w:footnote>
  <w:footnote w:id="10">
    <w:p w:rsidR="00A32888" w:rsidRDefault="00A32888" w:rsidP="00553D0E">
      <w:pPr>
        <w:pStyle w:val="Textonotapie"/>
        <w:rPr>
          <w:sz w:val="14"/>
          <w:szCs w:val="14"/>
        </w:rPr>
      </w:pPr>
      <w:r w:rsidRPr="00B76DBB">
        <w:rPr>
          <w:rStyle w:val="Refdenotaalpie"/>
          <w:szCs w:val="14"/>
        </w:rPr>
        <w:footnoteRef/>
      </w:r>
      <w:r w:rsidRPr="00553D0E">
        <w:rPr>
          <w:sz w:val="14"/>
          <w:szCs w:val="14"/>
        </w:rPr>
        <w:t xml:space="preserve"> </w:t>
      </w:r>
      <w:hyperlink r:id="rId1" w:history="1">
        <w:r w:rsidRPr="003E7DE7">
          <w:rPr>
            <w:rStyle w:val="Hipervnculo"/>
            <w:sz w:val="14"/>
            <w:szCs w:val="14"/>
          </w:rPr>
          <w:t>https://www.ncc.gov.tw/english/news_detail.aspx?site_content_sn=102&amp;is_history=0&amp;pages=0&amp;sn_f=1417</w:t>
        </w:r>
      </w:hyperlink>
    </w:p>
    <w:p w:rsidR="00A32888" w:rsidRPr="00553D0E" w:rsidRDefault="00A32888" w:rsidP="00553D0E">
      <w:pPr>
        <w:pStyle w:val="Textonotapie"/>
        <w:rPr>
          <w:sz w:val="14"/>
          <w:szCs w:val="14"/>
          <w:lang w:val="es-MX"/>
        </w:rPr>
      </w:pPr>
    </w:p>
  </w:footnote>
  <w:footnote w:id="11">
    <w:p w:rsidR="00A32888" w:rsidRDefault="00A32888">
      <w:pPr>
        <w:pStyle w:val="Textonotapie"/>
        <w:rPr>
          <w:sz w:val="14"/>
          <w:szCs w:val="14"/>
        </w:rPr>
      </w:pPr>
      <w:r w:rsidRPr="00B76DBB">
        <w:rPr>
          <w:rStyle w:val="Refdenotaalpie"/>
          <w:szCs w:val="14"/>
        </w:rPr>
        <w:footnoteRef/>
      </w:r>
      <w:r w:rsidRPr="00B76DBB">
        <w:rPr>
          <w:rStyle w:val="Refdenotaalpie"/>
          <w:szCs w:val="14"/>
        </w:rPr>
        <w:t xml:space="preserve"> </w:t>
      </w:r>
      <w:hyperlink r:id="rId2" w:history="1">
        <w:r w:rsidRPr="003E7DE7">
          <w:rPr>
            <w:rStyle w:val="Hipervnculo"/>
            <w:sz w:val="14"/>
            <w:szCs w:val="14"/>
          </w:rPr>
          <w:t>https://sutel.go.cr/sites/default/files/homologacion_de_equipos._2013._sutel-rcs-332-2013_proced_para_terminales_moviles_y_reqstos_para_acreditacion_de_peritos_para_medir_desempeno_y_funcionamiento_de_equipos_terminales_de_tele.pdf</w:t>
        </w:r>
      </w:hyperlink>
    </w:p>
    <w:p w:rsidR="00A32888" w:rsidRPr="003D74E7" w:rsidRDefault="00A32888">
      <w:pPr>
        <w:pStyle w:val="Textonotapie"/>
        <w:rPr>
          <w:lang w:val="es-MX"/>
        </w:rPr>
      </w:pPr>
    </w:p>
  </w:footnote>
  <w:footnote w:id="12">
    <w:p w:rsidR="00A32888" w:rsidRDefault="00A32888">
      <w:pPr>
        <w:pStyle w:val="Textonotapie"/>
        <w:rPr>
          <w:sz w:val="14"/>
          <w:szCs w:val="14"/>
        </w:rPr>
      </w:pPr>
      <w:r w:rsidRPr="00B71862">
        <w:rPr>
          <w:rStyle w:val="Refdenotaalpie"/>
          <w:sz w:val="14"/>
          <w:szCs w:val="14"/>
        </w:rPr>
        <w:footnoteRef/>
      </w:r>
      <w:r w:rsidRPr="00B71862">
        <w:rPr>
          <w:sz w:val="14"/>
          <w:szCs w:val="14"/>
        </w:rPr>
        <w:t xml:space="preserve"> </w:t>
      </w:r>
      <w:hyperlink r:id="rId3" w:history="1">
        <w:r w:rsidRPr="003E21B0">
          <w:rPr>
            <w:rStyle w:val="Hipervnculo"/>
            <w:sz w:val="14"/>
            <w:szCs w:val="14"/>
          </w:rPr>
          <w:t>http://multibanda.cl/wp-content/uploads/2016/12/RES_1463_EXENTA_16_JUN_2016.pdf</w:t>
        </w:r>
      </w:hyperlink>
    </w:p>
    <w:p w:rsidR="00A32888" w:rsidRPr="00B71862" w:rsidRDefault="00A32888">
      <w:pPr>
        <w:pStyle w:val="Textonotapie"/>
        <w:rPr>
          <w:sz w:val="14"/>
          <w:szCs w:val="14"/>
          <w:lang w:val="es-MX"/>
        </w:rPr>
      </w:pPr>
    </w:p>
  </w:footnote>
  <w:footnote w:id="13">
    <w:p w:rsidR="00A32888" w:rsidRPr="00452A3A" w:rsidRDefault="00A32888" w:rsidP="00BA2ACD">
      <w:pPr>
        <w:pStyle w:val="Textonotapie"/>
        <w:jc w:val="both"/>
        <w:rPr>
          <w:lang w:val="en-GB"/>
        </w:rPr>
      </w:pPr>
      <w:r>
        <w:rPr>
          <w:rStyle w:val="Refdenotaalpie"/>
        </w:rPr>
        <w:footnoteRef/>
      </w:r>
      <w:r w:rsidRPr="00452A3A">
        <w:rPr>
          <w:lang w:val="en-GB"/>
        </w:rPr>
        <w:t xml:space="preserve"> </w:t>
      </w:r>
      <w:r w:rsidRPr="00452A3A">
        <w:rPr>
          <w:sz w:val="14"/>
          <w:szCs w:val="14"/>
          <w:lang w:val="en-GB"/>
        </w:rPr>
        <w:t xml:space="preserve">Fuente: </w:t>
      </w:r>
      <w:proofErr w:type="spellStart"/>
      <w:r w:rsidRPr="00452A3A">
        <w:rPr>
          <w:sz w:val="14"/>
          <w:szCs w:val="14"/>
          <w:lang w:val="en-GB"/>
        </w:rPr>
        <w:t>análisis</w:t>
      </w:r>
      <w:proofErr w:type="spellEnd"/>
      <w:r w:rsidRPr="00452A3A">
        <w:rPr>
          <w:sz w:val="14"/>
          <w:szCs w:val="14"/>
          <w:lang w:val="en-GB"/>
        </w:rPr>
        <w:t xml:space="preserve"> de </w:t>
      </w:r>
      <w:proofErr w:type="spellStart"/>
      <w:r w:rsidRPr="00452A3A">
        <w:rPr>
          <w:sz w:val="14"/>
          <w:szCs w:val="14"/>
          <w:lang w:val="en-GB"/>
        </w:rPr>
        <w:t>Analysys</w:t>
      </w:r>
      <w:proofErr w:type="spellEnd"/>
      <w:r w:rsidRPr="00452A3A">
        <w:rPr>
          <w:sz w:val="14"/>
          <w:szCs w:val="14"/>
          <w:lang w:val="en-GB"/>
        </w:rPr>
        <w:t xml:space="preserve"> Mason, </w:t>
      </w:r>
      <w:proofErr w:type="spellStart"/>
      <w:r w:rsidRPr="00452A3A">
        <w:rPr>
          <w:sz w:val="14"/>
          <w:szCs w:val="14"/>
          <w:lang w:val="en-GB"/>
        </w:rPr>
        <w:t>basado</w:t>
      </w:r>
      <w:proofErr w:type="spellEnd"/>
      <w:r w:rsidRPr="00452A3A">
        <w:rPr>
          <w:sz w:val="14"/>
          <w:szCs w:val="14"/>
          <w:lang w:val="en-GB"/>
        </w:rPr>
        <w:t xml:space="preserve"> </w:t>
      </w:r>
      <w:proofErr w:type="spellStart"/>
      <w:r w:rsidRPr="00452A3A">
        <w:rPr>
          <w:sz w:val="14"/>
          <w:szCs w:val="14"/>
          <w:lang w:val="en-GB"/>
        </w:rPr>
        <w:t>en</w:t>
      </w:r>
      <w:proofErr w:type="spellEnd"/>
      <w:r w:rsidRPr="00452A3A">
        <w:rPr>
          <w:sz w:val="14"/>
          <w:szCs w:val="14"/>
          <w:lang w:val="en-GB"/>
        </w:rPr>
        <w:t xml:space="preserve"> Morgan Stanley Research, “Radically Reducing the Cost and Size of </w:t>
      </w:r>
      <w:proofErr w:type="spellStart"/>
      <w:r w:rsidRPr="00452A3A">
        <w:rPr>
          <w:sz w:val="14"/>
          <w:szCs w:val="14"/>
          <w:lang w:val="en-GB"/>
        </w:rPr>
        <w:t>Cellphone</w:t>
      </w:r>
      <w:proofErr w:type="spellEnd"/>
      <w:r w:rsidRPr="00452A3A">
        <w:rPr>
          <w:sz w:val="14"/>
          <w:szCs w:val="14"/>
          <w:lang w:val="en-GB"/>
        </w:rPr>
        <w:t xml:space="preserve"> RF Filters to Fuel the Mobile Revolution” (Resonant Inc., Jun 2015) e </w:t>
      </w:r>
      <w:proofErr w:type="spellStart"/>
      <w:r w:rsidRPr="00452A3A">
        <w:rPr>
          <w:sz w:val="14"/>
          <w:szCs w:val="14"/>
          <w:lang w:val="en-GB"/>
        </w:rPr>
        <w:t>información</w:t>
      </w:r>
      <w:proofErr w:type="spellEnd"/>
      <w:r w:rsidRPr="00452A3A">
        <w:rPr>
          <w:sz w:val="14"/>
          <w:szCs w:val="14"/>
          <w:lang w:val="en-GB"/>
        </w:rPr>
        <w:t xml:space="preserve"> de </w:t>
      </w:r>
      <w:proofErr w:type="spellStart"/>
      <w:r w:rsidRPr="00452A3A">
        <w:rPr>
          <w:sz w:val="14"/>
          <w:szCs w:val="14"/>
          <w:lang w:val="en-GB"/>
        </w:rPr>
        <w:t>Qorvo</w:t>
      </w:r>
      <w:proofErr w:type="spellEnd"/>
      <w:r w:rsidRPr="00452A3A">
        <w:rPr>
          <w:sz w:val="14"/>
          <w:szCs w:val="14"/>
          <w:lang w:val="en-GB"/>
        </w:rPr>
        <w:t>, Avago, Skyworks y Qualcomm RF360; Anglia Components website.</w:t>
      </w:r>
      <w:r w:rsidRPr="00452A3A">
        <w:rPr>
          <w:lang w:val="en-GB"/>
        </w:rPr>
        <w:t xml:space="preserve"> </w:t>
      </w:r>
    </w:p>
  </w:footnote>
  <w:footnote w:id="14">
    <w:p w:rsidR="00A32888" w:rsidRPr="00452A3A" w:rsidRDefault="00A32888" w:rsidP="006A7C28">
      <w:pPr>
        <w:pStyle w:val="Textonotapie"/>
        <w:jc w:val="both"/>
        <w:rPr>
          <w:lang w:val="en-GB"/>
        </w:rPr>
      </w:pPr>
      <w:r>
        <w:rPr>
          <w:rStyle w:val="Refdenotaalpie"/>
        </w:rPr>
        <w:footnoteRef/>
      </w:r>
      <w:r w:rsidRPr="00452A3A">
        <w:rPr>
          <w:lang w:val="en-GB"/>
        </w:rPr>
        <w:t xml:space="preserve"> Fuente: IDC Mobile </w:t>
      </w:r>
      <w:proofErr w:type="spellStart"/>
      <w:r w:rsidRPr="00452A3A">
        <w:rPr>
          <w:lang w:val="en-GB"/>
        </w:rPr>
        <w:t>PhoneTracker</w:t>
      </w:r>
      <w:proofErr w:type="spellEnd"/>
      <w:r w:rsidRPr="00452A3A">
        <w:rPr>
          <w:lang w:val="en-GB"/>
        </w:rPr>
        <w:t>, 1T 2017.</w:t>
      </w:r>
    </w:p>
  </w:footnote>
  <w:footnote w:id="15">
    <w:p w:rsidR="00A32888" w:rsidRPr="009977BB" w:rsidRDefault="00A32888" w:rsidP="006A7C28">
      <w:pPr>
        <w:pStyle w:val="Textonotapie"/>
        <w:rPr>
          <w:lang w:val="es-MX"/>
        </w:rPr>
      </w:pPr>
      <w:r>
        <w:rPr>
          <w:rStyle w:val="Refdenotaalpie"/>
        </w:rPr>
        <w:footnoteRef/>
      </w:r>
      <w:r>
        <w:t xml:space="preserve"> </w:t>
      </w:r>
      <w:r w:rsidRPr="000A6EC3">
        <w:t xml:space="preserve">Fuente: IDC, análisis de </w:t>
      </w:r>
      <w:proofErr w:type="spellStart"/>
      <w:r w:rsidRPr="000A6EC3">
        <w:t>Analysys</w:t>
      </w:r>
      <w:proofErr w:type="spellEnd"/>
      <w:r w:rsidRPr="000A6EC3">
        <w:t xml:space="preserve"> Mason, 2017</w:t>
      </w:r>
      <w:r>
        <w:rPr>
          <w:rFonts w:ascii="Arial" w:hAnsi="Arial" w:cs="Arial"/>
          <w:iCs/>
          <w:sz w:val="18"/>
          <w:szCs w:val="18"/>
        </w:rPr>
        <w:t>.</w:t>
      </w:r>
    </w:p>
  </w:footnote>
  <w:footnote w:id="16">
    <w:p w:rsidR="00A32888" w:rsidRPr="00452A3A" w:rsidRDefault="00A32888" w:rsidP="006A7C28">
      <w:pPr>
        <w:pStyle w:val="Textonotapie"/>
        <w:jc w:val="both"/>
        <w:rPr>
          <w:lang w:val="en-GB"/>
        </w:rPr>
      </w:pPr>
      <w:r>
        <w:rPr>
          <w:rStyle w:val="Refdenotaalpie"/>
        </w:rPr>
        <w:footnoteRef/>
      </w:r>
      <w:r w:rsidRPr="00452A3A">
        <w:rPr>
          <w:lang w:val="en-GB"/>
        </w:rPr>
        <w:t xml:space="preserve"> Fuente: </w:t>
      </w:r>
      <w:proofErr w:type="spellStart"/>
      <w:r w:rsidRPr="00452A3A">
        <w:rPr>
          <w:lang w:val="en-GB"/>
        </w:rPr>
        <w:t>análisis</w:t>
      </w:r>
      <w:proofErr w:type="spellEnd"/>
      <w:r w:rsidRPr="00452A3A">
        <w:rPr>
          <w:lang w:val="en-GB"/>
        </w:rPr>
        <w:t xml:space="preserve"> de </w:t>
      </w:r>
      <w:proofErr w:type="spellStart"/>
      <w:r w:rsidRPr="00452A3A">
        <w:rPr>
          <w:lang w:val="en-GB"/>
        </w:rPr>
        <w:t>Analysys</w:t>
      </w:r>
      <w:proofErr w:type="spellEnd"/>
      <w:r w:rsidRPr="00452A3A">
        <w:rPr>
          <w:lang w:val="en-GB"/>
        </w:rPr>
        <w:t xml:space="preserve"> Mason, </w:t>
      </w:r>
      <w:proofErr w:type="spellStart"/>
      <w:r w:rsidRPr="00452A3A">
        <w:rPr>
          <w:lang w:val="en-GB"/>
        </w:rPr>
        <w:t>basado</w:t>
      </w:r>
      <w:proofErr w:type="spellEnd"/>
      <w:r w:rsidRPr="00452A3A">
        <w:rPr>
          <w:lang w:val="en-GB"/>
        </w:rPr>
        <w:t xml:space="preserve"> </w:t>
      </w:r>
      <w:proofErr w:type="spellStart"/>
      <w:r w:rsidRPr="00452A3A">
        <w:rPr>
          <w:lang w:val="en-GB"/>
        </w:rPr>
        <w:t>en</w:t>
      </w:r>
      <w:proofErr w:type="spellEnd"/>
      <w:r w:rsidRPr="00452A3A">
        <w:rPr>
          <w:lang w:val="en-GB"/>
        </w:rPr>
        <w:t xml:space="preserve"> Morgan Stanley Research, “Radically Reducing the Cost and Size of </w:t>
      </w:r>
      <w:proofErr w:type="spellStart"/>
      <w:r w:rsidRPr="00452A3A">
        <w:rPr>
          <w:lang w:val="en-GB"/>
        </w:rPr>
        <w:t>Cellphone</w:t>
      </w:r>
      <w:proofErr w:type="spellEnd"/>
      <w:r w:rsidRPr="00452A3A">
        <w:rPr>
          <w:lang w:val="en-GB"/>
        </w:rPr>
        <w:t xml:space="preserve"> RF Filters to Fuel the Mobile Revolution” (Resonant Inc., Jun 2015) e </w:t>
      </w:r>
      <w:proofErr w:type="spellStart"/>
      <w:r w:rsidRPr="00452A3A">
        <w:rPr>
          <w:lang w:val="en-GB"/>
        </w:rPr>
        <w:t>información</w:t>
      </w:r>
      <w:proofErr w:type="spellEnd"/>
      <w:r w:rsidRPr="00452A3A">
        <w:rPr>
          <w:lang w:val="en-GB"/>
        </w:rPr>
        <w:t xml:space="preserve"> de </w:t>
      </w:r>
      <w:proofErr w:type="spellStart"/>
      <w:r w:rsidRPr="00452A3A">
        <w:rPr>
          <w:lang w:val="en-GB"/>
        </w:rPr>
        <w:t>Qorvo</w:t>
      </w:r>
      <w:proofErr w:type="spellEnd"/>
      <w:r w:rsidRPr="00452A3A">
        <w:rPr>
          <w:lang w:val="en-GB"/>
        </w:rPr>
        <w:t xml:space="preserve">, Avago, Skyworks y Qualcomm RF360; Anglia Components website. </w:t>
      </w:r>
    </w:p>
  </w:footnote>
  <w:footnote w:id="17">
    <w:p w:rsidR="00A32888" w:rsidRPr="00BF5130" w:rsidRDefault="00A32888" w:rsidP="00BF5130">
      <w:pPr>
        <w:pStyle w:val="Textonotapie"/>
        <w:rPr>
          <w:sz w:val="16"/>
          <w:szCs w:val="16"/>
          <w:lang w:val="en-GB"/>
        </w:rPr>
      </w:pPr>
      <w:r>
        <w:rPr>
          <w:rStyle w:val="Refdenotaalpie"/>
        </w:rPr>
        <w:footnoteRef/>
      </w:r>
      <w:r w:rsidRPr="00BF5130">
        <w:rPr>
          <w:lang w:val="en-GB"/>
        </w:rPr>
        <w:t xml:space="preserve"> </w:t>
      </w:r>
      <w:r w:rsidRPr="00BF5130">
        <w:rPr>
          <w:sz w:val="16"/>
          <w:szCs w:val="16"/>
          <w:lang w:val="en-GB"/>
        </w:rPr>
        <w:t>http://centrodeestudios.ift.org.mx/documentos/REB-costos-traspaso-portabilidad-PAA.pdf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88" w:rsidRPr="00501ADF" w:rsidRDefault="00A32888"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val="en-GB" w:eastAsia="en-GB"/>
      </w:rPr>
      <w:drawing>
        <wp:anchor distT="0" distB="0" distL="114300" distR="114300" simplePos="0" relativeHeight="251658240" behindDoc="1" locked="0" layoutInCell="1" allowOverlap="1" wp14:anchorId="153524E3" wp14:editId="32D4D53C">
          <wp:simplePos x="0" y="0"/>
          <wp:positionH relativeFrom="column">
            <wp:posOffset>-3810</wp:posOffset>
          </wp:positionH>
          <wp:positionV relativeFrom="paragraph">
            <wp:posOffset>-1905</wp:posOffset>
          </wp:positionV>
          <wp:extent cx="1038225" cy="715765"/>
          <wp:effectExtent l="0" t="0" r="0" b="8255"/>
          <wp:wrapNone/>
          <wp:docPr id="7" name="Imagen 7"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anchor>
      </w:drawing>
    </w:r>
  </w:p>
  <w:p w:rsidR="00A32888" w:rsidRDefault="00A32888" w:rsidP="00501ADF">
    <w:pPr>
      <w:pStyle w:val="Encabezado"/>
      <w:jc w:val="right"/>
    </w:pPr>
    <w:r>
      <w:t>ANÁLISIS DE IMPACTO REGULATORIO</w:t>
    </w:r>
  </w:p>
  <w:p w:rsidR="00A32888" w:rsidRDefault="00A32888">
    <w:pPr>
      <w:pStyle w:val="Encabezado"/>
    </w:pPr>
  </w:p>
  <w:p w:rsidR="00A32888" w:rsidRDefault="00A32888">
    <w:pPr>
      <w:pStyle w:val="Encabezado"/>
    </w:pPr>
    <w:r>
      <w:rPr>
        <w:noProof/>
        <w:lang w:val="en-GB" w:eastAsia="en-GB"/>
      </w:rPr>
      <mc:AlternateContent>
        <mc:Choice Requires="wps">
          <w:drawing>
            <wp:anchor distT="0" distB="0" distL="114300" distR="114300" simplePos="0" relativeHeight="251659264" behindDoc="0" locked="0" layoutInCell="1" allowOverlap="1" wp14:anchorId="2A051E30" wp14:editId="2163E48A">
              <wp:simplePos x="0" y="0"/>
              <wp:positionH relativeFrom="margin">
                <wp:align>left</wp:align>
              </wp:positionH>
              <wp:positionV relativeFrom="paragraph">
                <wp:posOffset>132715</wp:posOffset>
              </wp:positionV>
              <wp:extent cx="5629275" cy="9525"/>
              <wp:effectExtent l="0" t="0" r="28575"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FB9E73"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" strokecolor="#70ad47 [3209]" strokeweight="1.5pt">
              <v:stroke joinstyle="miter"/>
              <o:lock v:ext="edit" shapetype="f"/>
              <w10:wrap anchorx="margin"/>
            </v:line>
          </w:pict>
        </mc:Fallback>
      </mc:AlternateContent>
    </w:r>
  </w:p>
  <w:p w:rsidR="00A32888" w:rsidRDefault="00A328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2412"/>
    <w:multiLevelType w:val="hybridMultilevel"/>
    <w:tmpl w:val="BC28D0A8"/>
    <w:lvl w:ilvl="0" w:tplc="4F90E042">
      <w:start w:val="1"/>
      <w:numFmt w:val="decimal"/>
      <w:lvlText w:val="%1."/>
      <w:lvlJc w:val="left"/>
      <w:pPr>
        <w:ind w:left="720" w:hanging="360"/>
      </w:pPr>
      <w:rPr>
        <w:rFonts w:asciiTheme="minorHAnsi" w:eastAsiaTheme="minorHAnsi" w:hAnsi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71445"/>
    <w:multiLevelType w:val="hybridMultilevel"/>
    <w:tmpl w:val="B39E2F3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653DD"/>
    <w:multiLevelType w:val="hybridMultilevel"/>
    <w:tmpl w:val="0B44A2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314F7"/>
    <w:multiLevelType w:val="hybridMultilevel"/>
    <w:tmpl w:val="45483DD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B4C06A8"/>
    <w:multiLevelType w:val="hybridMultilevel"/>
    <w:tmpl w:val="7E5E4D3A"/>
    <w:lvl w:ilvl="0" w:tplc="080A0013">
      <w:start w:val="1"/>
      <w:numFmt w:val="upperRoman"/>
      <w:lvlText w:val="%1."/>
      <w:lvlJc w:val="right"/>
      <w:pPr>
        <w:ind w:left="2148" w:hanging="360"/>
      </w:pPr>
    </w:lvl>
    <w:lvl w:ilvl="1" w:tplc="080A0019">
      <w:start w:val="1"/>
      <w:numFmt w:val="lowerLetter"/>
      <w:lvlText w:val="%2."/>
      <w:lvlJc w:val="left"/>
      <w:pPr>
        <w:ind w:left="2868" w:hanging="360"/>
      </w:pPr>
    </w:lvl>
    <w:lvl w:ilvl="2" w:tplc="080A001B">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start w:val="1"/>
      <w:numFmt w:val="lowerRoman"/>
      <w:lvlText w:val="%6."/>
      <w:lvlJc w:val="right"/>
      <w:pPr>
        <w:ind w:left="5748" w:hanging="180"/>
      </w:pPr>
    </w:lvl>
    <w:lvl w:ilvl="6" w:tplc="080A000F">
      <w:start w:val="1"/>
      <w:numFmt w:val="decimal"/>
      <w:lvlText w:val="%7."/>
      <w:lvlJc w:val="left"/>
      <w:pPr>
        <w:ind w:left="6468" w:hanging="360"/>
      </w:pPr>
    </w:lvl>
    <w:lvl w:ilvl="7" w:tplc="080A0019">
      <w:start w:val="1"/>
      <w:numFmt w:val="lowerLetter"/>
      <w:lvlText w:val="%8."/>
      <w:lvlJc w:val="left"/>
      <w:pPr>
        <w:ind w:left="7188" w:hanging="360"/>
      </w:pPr>
    </w:lvl>
    <w:lvl w:ilvl="8" w:tplc="080A001B">
      <w:start w:val="1"/>
      <w:numFmt w:val="lowerRoman"/>
      <w:lvlText w:val="%9."/>
      <w:lvlJc w:val="right"/>
      <w:pPr>
        <w:ind w:left="7908" w:hanging="180"/>
      </w:pPr>
    </w:lvl>
  </w:abstractNum>
  <w:abstractNum w:abstractNumId="5" w15:restartNumberingAfterBreak="0">
    <w:nsid w:val="0BD10013"/>
    <w:multiLevelType w:val="hybridMultilevel"/>
    <w:tmpl w:val="1F7A0D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067A95"/>
    <w:multiLevelType w:val="hybridMultilevel"/>
    <w:tmpl w:val="2A240B00"/>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7" w15:restartNumberingAfterBreak="0">
    <w:nsid w:val="11C56E1C"/>
    <w:multiLevelType w:val="hybridMultilevel"/>
    <w:tmpl w:val="0BDC42B4"/>
    <w:lvl w:ilvl="0" w:tplc="080A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8" w15:restartNumberingAfterBreak="0">
    <w:nsid w:val="169F0BDE"/>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AA59F5"/>
    <w:multiLevelType w:val="hybridMultilevel"/>
    <w:tmpl w:val="6734AC9A"/>
    <w:lvl w:ilvl="0" w:tplc="1B54D2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0A36F6"/>
    <w:multiLevelType w:val="hybridMultilevel"/>
    <w:tmpl w:val="5D6C8CEC"/>
    <w:lvl w:ilvl="0" w:tplc="080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D686D"/>
    <w:multiLevelType w:val="hybridMultilevel"/>
    <w:tmpl w:val="2A240B00"/>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12" w15:restartNumberingAfterBreak="0">
    <w:nsid w:val="21CD78DA"/>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3" w15:restartNumberingAfterBreak="0">
    <w:nsid w:val="2C6D193C"/>
    <w:multiLevelType w:val="hybridMultilevel"/>
    <w:tmpl w:val="8B026E3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09F0DD0"/>
    <w:multiLevelType w:val="hybridMultilevel"/>
    <w:tmpl w:val="E5B6208C"/>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15" w15:restartNumberingAfterBreak="0">
    <w:nsid w:val="331F5C5E"/>
    <w:multiLevelType w:val="hybridMultilevel"/>
    <w:tmpl w:val="A14EBE3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50D7604"/>
    <w:multiLevelType w:val="hybridMultilevel"/>
    <w:tmpl w:val="755CC394"/>
    <w:lvl w:ilvl="0" w:tplc="9C9CA820">
      <w:start w:val="1"/>
      <w:numFmt w:val="upperRoman"/>
      <w:lvlText w:val="%1."/>
      <w:lvlJc w:val="right"/>
      <w:pPr>
        <w:ind w:left="1073" w:hanging="360"/>
      </w:pPr>
      <w:rPr>
        <w:b w:val="0"/>
      </w:rPr>
    </w:lvl>
    <w:lvl w:ilvl="1" w:tplc="080A0019" w:tentative="1">
      <w:start w:val="1"/>
      <w:numFmt w:val="lowerLetter"/>
      <w:lvlText w:val="%2."/>
      <w:lvlJc w:val="left"/>
      <w:pPr>
        <w:ind w:left="1793" w:hanging="360"/>
      </w:pPr>
    </w:lvl>
    <w:lvl w:ilvl="2" w:tplc="080A001B" w:tentative="1">
      <w:start w:val="1"/>
      <w:numFmt w:val="lowerRoman"/>
      <w:lvlText w:val="%3."/>
      <w:lvlJc w:val="right"/>
      <w:pPr>
        <w:ind w:left="2513" w:hanging="180"/>
      </w:pPr>
    </w:lvl>
    <w:lvl w:ilvl="3" w:tplc="080A000F" w:tentative="1">
      <w:start w:val="1"/>
      <w:numFmt w:val="decimal"/>
      <w:lvlText w:val="%4."/>
      <w:lvlJc w:val="left"/>
      <w:pPr>
        <w:ind w:left="3233" w:hanging="360"/>
      </w:pPr>
    </w:lvl>
    <w:lvl w:ilvl="4" w:tplc="080A0019" w:tentative="1">
      <w:start w:val="1"/>
      <w:numFmt w:val="lowerLetter"/>
      <w:lvlText w:val="%5."/>
      <w:lvlJc w:val="left"/>
      <w:pPr>
        <w:ind w:left="3953" w:hanging="360"/>
      </w:pPr>
    </w:lvl>
    <w:lvl w:ilvl="5" w:tplc="080A001B" w:tentative="1">
      <w:start w:val="1"/>
      <w:numFmt w:val="lowerRoman"/>
      <w:lvlText w:val="%6."/>
      <w:lvlJc w:val="right"/>
      <w:pPr>
        <w:ind w:left="4673" w:hanging="180"/>
      </w:pPr>
    </w:lvl>
    <w:lvl w:ilvl="6" w:tplc="080A000F" w:tentative="1">
      <w:start w:val="1"/>
      <w:numFmt w:val="decimal"/>
      <w:lvlText w:val="%7."/>
      <w:lvlJc w:val="left"/>
      <w:pPr>
        <w:ind w:left="5393" w:hanging="360"/>
      </w:pPr>
    </w:lvl>
    <w:lvl w:ilvl="7" w:tplc="080A0019" w:tentative="1">
      <w:start w:val="1"/>
      <w:numFmt w:val="lowerLetter"/>
      <w:lvlText w:val="%8."/>
      <w:lvlJc w:val="left"/>
      <w:pPr>
        <w:ind w:left="6113" w:hanging="360"/>
      </w:pPr>
    </w:lvl>
    <w:lvl w:ilvl="8" w:tplc="080A001B" w:tentative="1">
      <w:start w:val="1"/>
      <w:numFmt w:val="lowerRoman"/>
      <w:lvlText w:val="%9."/>
      <w:lvlJc w:val="right"/>
      <w:pPr>
        <w:ind w:left="6833" w:hanging="180"/>
      </w:pPr>
    </w:lvl>
  </w:abstractNum>
  <w:abstractNum w:abstractNumId="17" w15:restartNumberingAfterBreak="0">
    <w:nsid w:val="3CA96CFC"/>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8" w15:restartNumberingAfterBreak="0">
    <w:nsid w:val="48F94002"/>
    <w:multiLevelType w:val="hybridMultilevel"/>
    <w:tmpl w:val="86DE8E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C66CD"/>
    <w:multiLevelType w:val="multilevel"/>
    <w:tmpl w:val="175C7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C686449"/>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1" w15:restartNumberingAfterBreak="0">
    <w:nsid w:val="4CD845A0"/>
    <w:multiLevelType w:val="hybridMultilevel"/>
    <w:tmpl w:val="A1549FDA"/>
    <w:lvl w:ilvl="0" w:tplc="24D8E9DC">
      <w:start w:val="1"/>
      <w:numFmt w:val="upperRoman"/>
      <w:lvlText w:val="%1."/>
      <w:lvlJc w:val="left"/>
      <w:pPr>
        <w:ind w:left="1600" w:hanging="720"/>
      </w:pPr>
      <w:rPr>
        <w:rFonts w:hint="default"/>
      </w:rPr>
    </w:lvl>
    <w:lvl w:ilvl="1" w:tplc="0D363DAE">
      <w:numFmt w:val="bullet"/>
      <w:lvlText w:val=""/>
      <w:lvlJc w:val="left"/>
      <w:pPr>
        <w:ind w:left="2305" w:hanging="705"/>
      </w:pPr>
      <w:rPr>
        <w:rFonts w:ascii="Symbol" w:eastAsiaTheme="minorHAnsi" w:hAnsi="Symbol" w:cstheme="minorBidi" w:hint="default"/>
      </w:rPr>
    </w:lvl>
    <w:lvl w:ilvl="2" w:tplc="080A001B" w:tentative="1">
      <w:start w:val="1"/>
      <w:numFmt w:val="lowerRoman"/>
      <w:lvlText w:val="%3."/>
      <w:lvlJc w:val="right"/>
      <w:pPr>
        <w:ind w:left="2680" w:hanging="180"/>
      </w:pPr>
    </w:lvl>
    <w:lvl w:ilvl="3" w:tplc="080A000F" w:tentative="1">
      <w:start w:val="1"/>
      <w:numFmt w:val="decimal"/>
      <w:lvlText w:val="%4."/>
      <w:lvlJc w:val="left"/>
      <w:pPr>
        <w:ind w:left="3400" w:hanging="360"/>
      </w:pPr>
    </w:lvl>
    <w:lvl w:ilvl="4" w:tplc="080A0019" w:tentative="1">
      <w:start w:val="1"/>
      <w:numFmt w:val="lowerLetter"/>
      <w:lvlText w:val="%5."/>
      <w:lvlJc w:val="left"/>
      <w:pPr>
        <w:ind w:left="4120" w:hanging="360"/>
      </w:pPr>
    </w:lvl>
    <w:lvl w:ilvl="5" w:tplc="080A001B" w:tentative="1">
      <w:start w:val="1"/>
      <w:numFmt w:val="lowerRoman"/>
      <w:lvlText w:val="%6."/>
      <w:lvlJc w:val="right"/>
      <w:pPr>
        <w:ind w:left="4840" w:hanging="180"/>
      </w:pPr>
    </w:lvl>
    <w:lvl w:ilvl="6" w:tplc="080A000F" w:tentative="1">
      <w:start w:val="1"/>
      <w:numFmt w:val="decimal"/>
      <w:lvlText w:val="%7."/>
      <w:lvlJc w:val="left"/>
      <w:pPr>
        <w:ind w:left="5560" w:hanging="360"/>
      </w:pPr>
    </w:lvl>
    <w:lvl w:ilvl="7" w:tplc="080A0019" w:tentative="1">
      <w:start w:val="1"/>
      <w:numFmt w:val="lowerLetter"/>
      <w:lvlText w:val="%8."/>
      <w:lvlJc w:val="left"/>
      <w:pPr>
        <w:ind w:left="6280" w:hanging="360"/>
      </w:pPr>
    </w:lvl>
    <w:lvl w:ilvl="8" w:tplc="080A001B" w:tentative="1">
      <w:start w:val="1"/>
      <w:numFmt w:val="lowerRoman"/>
      <w:lvlText w:val="%9."/>
      <w:lvlJc w:val="right"/>
      <w:pPr>
        <w:ind w:left="7000" w:hanging="180"/>
      </w:pPr>
    </w:lvl>
  </w:abstractNum>
  <w:abstractNum w:abstractNumId="22" w15:restartNumberingAfterBreak="0">
    <w:nsid w:val="511E386A"/>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3" w15:restartNumberingAfterBreak="0">
    <w:nsid w:val="528E566E"/>
    <w:multiLevelType w:val="hybridMultilevel"/>
    <w:tmpl w:val="14D6BE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A93071"/>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004CFA"/>
    <w:multiLevelType w:val="hybridMultilevel"/>
    <w:tmpl w:val="DD0811F0"/>
    <w:lvl w:ilvl="0" w:tplc="0DA028E4">
      <w:start w:val="1"/>
      <w:numFmt w:val="upperLetter"/>
      <w:lvlText w:val="%1."/>
      <w:lvlJc w:val="left"/>
      <w:pPr>
        <w:ind w:left="358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E54B7"/>
    <w:multiLevelType w:val="hybridMultilevel"/>
    <w:tmpl w:val="5ADC31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A63E39"/>
    <w:multiLevelType w:val="hybridMultilevel"/>
    <w:tmpl w:val="C19C04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8367C4"/>
    <w:multiLevelType w:val="hybridMultilevel"/>
    <w:tmpl w:val="4DAC4846"/>
    <w:lvl w:ilvl="0" w:tplc="080A000F">
      <w:start w:val="1"/>
      <w:numFmt w:val="decimal"/>
      <w:lvlText w:val="%1."/>
      <w:lvlJc w:val="left"/>
      <w:pPr>
        <w:ind w:left="1600" w:hanging="360"/>
      </w:pPr>
    </w:lvl>
    <w:lvl w:ilvl="1" w:tplc="080A0019" w:tentative="1">
      <w:start w:val="1"/>
      <w:numFmt w:val="lowerLetter"/>
      <w:lvlText w:val="%2."/>
      <w:lvlJc w:val="left"/>
      <w:pPr>
        <w:ind w:left="2320" w:hanging="360"/>
      </w:pPr>
    </w:lvl>
    <w:lvl w:ilvl="2" w:tplc="080A001B" w:tentative="1">
      <w:start w:val="1"/>
      <w:numFmt w:val="lowerRoman"/>
      <w:lvlText w:val="%3."/>
      <w:lvlJc w:val="right"/>
      <w:pPr>
        <w:ind w:left="3040" w:hanging="180"/>
      </w:pPr>
    </w:lvl>
    <w:lvl w:ilvl="3" w:tplc="080A000F" w:tentative="1">
      <w:start w:val="1"/>
      <w:numFmt w:val="decimal"/>
      <w:lvlText w:val="%4."/>
      <w:lvlJc w:val="left"/>
      <w:pPr>
        <w:ind w:left="3760" w:hanging="360"/>
      </w:pPr>
    </w:lvl>
    <w:lvl w:ilvl="4" w:tplc="080A0019" w:tentative="1">
      <w:start w:val="1"/>
      <w:numFmt w:val="lowerLetter"/>
      <w:lvlText w:val="%5."/>
      <w:lvlJc w:val="left"/>
      <w:pPr>
        <w:ind w:left="4480" w:hanging="360"/>
      </w:pPr>
    </w:lvl>
    <w:lvl w:ilvl="5" w:tplc="080A001B" w:tentative="1">
      <w:start w:val="1"/>
      <w:numFmt w:val="lowerRoman"/>
      <w:lvlText w:val="%6."/>
      <w:lvlJc w:val="right"/>
      <w:pPr>
        <w:ind w:left="5200" w:hanging="180"/>
      </w:pPr>
    </w:lvl>
    <w:lvl w:ilvl="6" w:tplc="080A000F" w:tentative="1">
      <w:start w:val="1"/>
      <w:numFmt w:val="decimal"/>
      <w:lvlText w:val="%7."/>
      <w:lvlJc w:val="left"/>
      <w:pPr>
        <w:ind w:left="5920" w:hanging="360"/>
      </w:pPr>
    </w:lvl>
    <w:lvl w:ilvl="7" w:tplc="080A0019" w:tentative="1">
      <w:start w:val="1"/>
      <w:numFmt w:val="lowerLetter"/>
      <w:lvlText w:val="%8."/>
      <w:lvlJc w:val="left"/>
      <w:pPr>
        <w:ind w:left="6640" w:hanging="360"/>
      </w:pPr>
    </w:lvl>
    <w:lvl w:ilvl="8" w:tplc="080A001B" w:tentative="1">
      <w:start w:val="1"/>
      <w:numFmt w:val="lowerRoman"/>
      <w:lvlText w:val="%9."/>
      <w:lvlJc w:val="right"/>
      <w:pPr>
        <w:ind w:left="7360" w:hanging="180"/>
      </w:pPr>
    </w:lvl>
  </w:abstractNum>
  <w:abstractNum w:abstractNumId="29" w15:restartNumberingAfterBreak="0">
    <w:nsid w:val="5D4F6C01"/>
    <w:multiLevelType w:val="hybridMultilevel"/>
    <w:tmpl w:val="521694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9D7905"/>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31" w15:restartNumberingAfterBreak="0">
    <w:nsid w:val="60C70AA0"/>
    <w:multiLevelType w:val="hybridMultilevel"/>
    <w:tmpl w:val="83AA9AC6"/>
    <w:lvl w:ilvl="0" w:tplc="080A0013">
      <w:start w:val="1"/>
      <w:numFmt w:val="upperRoman"/>
      <w:lvlText w:val="%1."/>
      <w:lvlJc w:val="right"/>
      <w:pPr>
        <w:ind w:left="358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5A110D"/>
    <w:multiLevelType w:val="hybridMultilevel"/>
    <w:tmpl w:val="8A24256C"/>
    <w:lvl w:ilvl="0" w:tplc="080A000B">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3" w15:restartNumberingAfterBreak="0">
    <w:nsid w:val="621B5E55"/>
    <w:multiLevelType w:val="hybridMultilevel"/>
    <w:tmpl w:val="A2A88316"/>
    <w:lvl w:ilvl="0" w:tplc="79A891F0">
      <w:start w:val="1"/>
      <w:numFmt w:val="lowerLetter"/>
      <w:lvlText w:val="%1)"/>
      <w:lvlJc w:val="left"/>
      <w:pPr>
        <w:ind w:left="1068" w:hanging="360"/>
      </w:pPr>
      <w:rPr>
        <w:rFonts w:asciiTheme="majorHAnsi" w:eastAsia="Times New Roman" w:hAnsiTheme="majorHAnsi" w:cs="Arial"/>
        <w:b/>
        <w:color w:val="000000" w:themeColor="text1"/>
        <w:sz w:val="18"/>
        <w:szCs w:val="18"/>
      </w:rPr>
    </w:lvl>
    <w:lvl w:ilvl="1" w:tplc="080A0019" w:tentative="1">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2F5336"/>
    <w:multiLevelType w:val="hybridMultilevel"/>
    <w:tmpl w:val="0ED8C496"/>
    <w:lvl w:ilvl="0" w:tplc="080A0013">
      <w:start w:val="1"/>
      <w:numFmt w:val="upperRoman"/>
      <w:lvlText w:val="%1."/>
      <w:lvlJc w:val="right"/>
      <w:pPr>
        <w:ind w:left="720" w:hanging="360"/>
      </w:pPr>
    </w:lvl>
    <w:lvl w:ilvl="1" w:tplc="59E4FBB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5E167C"/>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37" w15:restartNumberingAfterBreak="0">
    <w:nsid w:val="6A587F57"/>
    <w:multiLevelType w:val="hybridMultilevel"/>
    <w:tmpl w:val="2A240B00"/>
    <w:lvl w:ilvl="0" w:tplc="622A4CB4">
      <w:start w:val="1"/>
      <w:numFmt w:val="upperLetter"/>
      <w:lvlText w:val="%1."/>
      <w:lvlJc w:val="left"/>
      <w:pPr>
        <w:ind w:left="353" w:hanging="360"/>
      </w:pPr>
    </w:lvl>
    <w:lvl w:ilvl="1" w:tplc="080A0019">
      <w:start w:val="1"/>
      <w:numFmt w:val="lowerLetter"/>
      <w:lvlText w:val="%2."/>
      <w:lvlJc w:val="left"/>
      <w:pPr>
        <w:ind w:left="1073" w:hanging="360"/>
      </w:pPr>
    </w:lvl>
    <w:lvl w:ilvl="2" w:tplc="080A001B">
      <w:start w:val="1"/>
      <w:numFmt w:val="lowerRoman"/>
      <w:lvlText w:val="%3."/>
      <w:lvlJc w:val="right"/>
      <w:pPr>
        <w:ind w:left="1793" w:hanging="180"/>
      </w:pPr>
    </w:lvl>
    <w:lvl w:ilvl="3" w:tplc="080A000F">
      <w:start w:val="1"/>
      <w:numFmt w:val="decimal"/>
      <w:lvlText w:val="%4."/>
      <w:lvlJc w:val="left"/>
      <w:pPr>
        <w:ind w:left="2513" w:hanging="360"/>
      </w:pPr>
    </w:lvl>
    <w:lvl w:ilvl="4" w:tplc="080A0019">
      <w:start w:val="1"/>
      <w:numFmt w:val="lowerLetter"/>
      <w:lvlText w:val="%5."/>
      <w:lvlJc w:val="left"/>
      <w:pPr>
        <w:ind w:left="3233" w:hanging="360"/>
      </w:pPr>
    </w:lvl>
    <w:lvl w:ilvl="5" w:tplc="080A001B">
      <w:start w:val="1"/>
      <w:numFmt w:val="lowerRoman"/>
      <w:lvlText w:val="%6."/>
      <w:lvlJc w:val="right"/>
      <w:pPr>
        <w:ind w:left="3953" w:hanging="180"/>
      </w:pPr>
    </w:lvl>
    <w:lvl w:ilvl="6" w:tplc="080A000F">
      <w:start w:val="1"/>
      <w:numFmt w:val="decimal"/>
      <w:lvlText w:val="%7."/>
      <w:lvlJc w:val="left"/>
      <w:pPr>
        <w:ind w:left="4673" w:hanging="360"/>
      </w:pPr>
    </w:lvl>
    <w:lvl w:ilvl="7" w:tplc="080A0019">
      <w:start w:val="1"/>
      <w:numFmt w:val="lowerLetter"/>
      <w:lvlText w:val="%8."/>
      <w:lvlJc w:val="left"/>
      <w:pPr>
        <w:ind w:left="5393" w:hanging="360"/>
      </w:pPr>
    </w:lvl>
    <w:lvl w:ilvl="8" w:tplc="080A001B">
      <w:start w:val="1"/>
      <w:numFmt w:val="lowerRoman"/>
      <w:lvlText w:val="%9."/>
      <w:lvlJc w:val="right"/>
      <w:pPr>
        <w:ind w:left="6113" w:hanging="180"/>
      </w:pPr>
    </w:lvl>
  </w:abstractNum>
  <w:abstractNum w:abstractNumId="38" w15:restartNumberingAfterBreak="0">
    <w:nsid w:val="6CF37E2D"/>
    <w:multiLevelType w:val="hybridMultilevel"/>
    <w:tmpl w:val="614AE1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FE2C64"/>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052E98"/>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1" w15:restartNumberingAfterBreak="0">
    <w:nsid w:val="749A12EE"/>
    <w:multiLevelType w:val="hybridMultilevel"/>
    <w:tmpl w:val="2A240B00"/>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42" w15:restartNumberingAfterBreak="0">
    <w:nsid w:val="783259CD"/>
    <w:multiLevelType w:val="hybridMultilevel"/>
    <w:tmpl w:val="14AC69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EC31DB"/>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4" w15:restartNumberingAfterBreak="0">
    <w:nsid w:val="7A8F013C"/>
    <w:multiLevelType w:val="hybridMultilevel"/>
    <w:tmpl w:val="627CA7B6"/>
    <w:lvl w:ilvl="0" w:tplc="24D8E9DC">
      <w:start w:val="1"/>
      <w:numFmt w:val="upperRoman"/>
      <w:lvlText w:val="%1."/>
      <w:lvlJc w:val="left"/>
      <w:pPr>
        <w:ind w:left="1600" w:hanging="720"/>
      </w:pPr>
      <w:rPr>
        <w:rFonts w:hint="default"/>
      </w:rPr>
    </w:lvl>
    <w:lvl w:ilvl="1" w:tplc="080A0019" w:tentative="1">
      <w:start w:val="1"/>
      <w:numFmt w:val="lowerLetter"/>
      <w:lvlText w:val="%2."/>
      <w:lvlJc w:val="left"/>
      <w:pPr>
        <w:ind w:left="1960" w:hanging="360"/>
      </w:pPr>
    </w:lvl>
    <w:lvl w:ilvl="2" w:tplc="080A001B" w:tentative="1">
      <w:start w:val="1"/>
      <w:numFmt w:val="lowerRoman"/>
      <w:lvlText w:val="%3."/>
      <w:lvlJc w:val="right"/>
      <w:pPr>
        <w:ind w:left="2680" w:hanging="180"/>
      </w:pPr>
    </w:lvl>
    <w:lvl w:ilvl="3" w:tplc="080A000F" w:tentative="1">
      <w:start w:val="1"/>
      <w:numFmt w:val="decimal"/>
      <w:lvlText w:val="%4."/>
      <w:lvlJc w:val="left"/>
      <w:pPr>
        <w:ind w:left="3400" w:hanging="360"/>
      </w:pPr>
    </w:lvl>
    <w:lvl w:ilvl="4" w:tplc="080A0019" w:tentative="1">
      <w:start w:val="1"/>
      <w:numFmt w:val="lowerLetter"/>
      <w:lvlText w:val="%5."/>
      <w:lvlJc w:val="left"/>
      <w:pPr>
        <w:ind w:left="4120" w:hanging="360"/>
      </w:pPr>
    </w:lvl>
    <w:lvl w:ilvl="5" w:tplc="080A001B" w:tentative="1">
      <w:start w:val="1"/>
      <w:numFmt w:val="lowerRoman"/>
      <w:lvlText w:val="%6."/>
      <w:lvlJc w:val="right"/>
      <w:pPr>
        <w:ind w:left="4840" w:hanging="180"/>
      </w:pPr>
    </w:lvl>
    <w:lvl w:ilvl="6" w:tplc="080A000F" w:tentative="1">
      <w:start w:val="1"/>
      <w:numFmt w:val="decimal"/>
      <w:lvlText w:val="%7."/>
      <w:lvlJc w:val="left"/>
      <w:pPr>
        <w:ind w:left="5560" w:hanging="360"/>
      </w:pPr>
    </w:lvl>
    <w:lvl w:ilvl="7" w:tplc="080A0019" w:tentative="1">
      <w:start w:val="1"/>
      <w:numFmt w:val="lowerLetter"/>
      <w:lvlText w:val="%8."/>
      <w:lvlJc w:val="left"/>
      <w:pPr>
        <w:ind w:left="6280" w:hanging="360"/>
      </w:pPr>
    </w:lvl>
    <w:lvl w:ilvl="8" w:tplc="080A001B" w:tentative="1">
      <w:start w:val="1"/>
      <w:numFmt w:val="lowerRoman"/>
      <w:lvlText w:val="%9."/>
      <w:lvlJc w:val="right"/>
      <w:pPr>
        <w:ind w:left="7000" w:hanging="180"/>
      </w:pPr>
    </w:lvl>
  </w:abstractNum>
  <w:abstractNum w:abstractNumId="45" w15:restartNumberingAfterBreak="0">
    <w:nsid w:val="7B0422C0"/>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F07817"/>
    <w:multiLevelType w:val="hybridMultilevel"/>
    <w:tmpl w:val="99EA1FD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980ED0"/>
    <w:multiLevelType w:val="hybridMultilevel"/>
    <w:tmpl w:val="0A0010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7775D4"/>
    <w:multiLevelType w:val="hybridMultilevel"/>
    <w:tmpl w:val="DB76F340"/>
    <w:lvl w:ilvl="0" w:tplc="080A0013">
      <w:start w:val="1"/>
      <w:numFmt w:val="upperRoman"/>
      <w:lvlText w:val="%1."/>
      <w:lvlJc w:val="right"/>
      <w:pPr>
        <w:ind w:left="2148" w:hanging="360"/>
      </w:pPr>
    </w:lvl>
    <w:lvl w:ilvl="1" w:tplc="080A0019">
      <w:start w:val="1"/>
      <w:numFmt w:val="lowerLetter"/>
      <w:lvlText w:val="%2."/>
      <w:lvlJc w:val="left"/>
      <w:pPr>
        <w:ind w:left="2868" w:hanging="360"/>
      </w:pPr>
    </w:lvl>
    <w:lvl w:ilvl="2" w:tplc="080A001B">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start w:val="1"/>
      <w:numFmt w:val="lowerRoman"/>
      <w:lvlText w:val="%6."/>
      <w:lvlJc w:val="right"/>
      <w:pPr>
        <w:ind w:left="5748" w:hanging="180"/>
      </w:pPr>
    </w:lvl>
    <w:lvl w:ilvl="6" w:tplc="080A000F">
      <w:start w:val="1"/>
      <w:numFmt w:val="decimal"/>
      <w:lvlText w:val="%7."/>
      <w:lvlJc w:val="left"/>
      <w:pPr>
        <w:ind w:left="6468" w:hanging="360"/>
      </w:pPr>
    </w:lvl>
    <w:lvl w:ilvl="7" w:tplc="080A0019">
      <w:start w:val="1"/>
      <w:numFmt w:val="lowerLetter"/>
      <w:lvlText w:val="%8."/>
      <w:lvlJc w:val="left"/>
      <w:pPr>
        <w:ind w:left="7188" w:hanging="360"/>
      </w:pPr>
    </w:lvl>
    <w:lvl w:ilvl="8" w:tplc="080A001B">
      <w:start w:val="1"/>
      <w:numFmt w:val="lowerRoman"/>
      <w:lvlText w:val="%9."/>
      <w:lvlJc w:val="right"/>
      <w:pPr>
        <w:ind w:left="7908" w:hanging="180"/>
      </w:pPr>
    </w:lvl>
  </w:abstractNum>
  <w:num w:numId="1">
    <w:abstractNumId w:val="33"/>
  </w:num>
  <w:num w:numId="2">
    <w:abstractNumId w:val="0"/>
  </w:num>
  <w:num w:numId="3">
    <w:abstractNumId w:val="34"/>
  </w:num>
  <w:num w:numId="4">
    <w:abstractNumId w:val="15"/>
  </w:num>
  <w:num w:numId="5">
    <w:abstractNumId w:val="9"/>
  </w:num>
  <w:num w:numId="6">
    <w:abstractNumId w:val="35"/>
  </w:num>
  <w:num w:numId="7">
    <w:abstractNumId w:val="47"/>
  </w:num>
  <w:num w:numId="8">
    <w:abstractNumId w:val="23"/>
  </w:num>
  <w:num w:numId="9">
    <w:abstractNumId w:val="22"/>
  </w:num>
  <w:num w:numId="10">
    <w:abstractNumId w:val="45"/>
  </w:num>
  <w:num w:numId="11">
    <w:abstractNumId w:val="25"/>
  </w:num>
  <w:num w:numId="12">
    <w:abstractNumId w:val="30"/>
  </w:num>
  <w:num w:numId="13">
    <w:abstractNumId w:val="41"/>
  </w:num>
  <w:num w:numId="14">
    <w:abstractNumId w:val="24"/>
  </w:num>
  <w:num w:numId="15">
    <w:abstractNumId w:val="6"/>
  </w:num>
  <w:num w:numId="16">
    <w:abstractNumId w:val="36"/>
  </w:num>
  <w:num w:numId="17">
    <w:abstractNumId w:val="39"/>
  </w:num>
  <w:num w:numId="18">
    <w:abstractNumId w:val="12"/>
  </w:num>
  <w:num w:numId="19">
    <w:abstractNumId w:val="14"/>
  </w:num>
  <w:num w:numId="20">
    <w:abstractNumId w:val="8"/>
  </w:num>
  <w:num w:numId="21">
    <w:abstractNumId w:val="31"/>
  </w:num>
  <w:num w:numId="22">
    <w:abstractNumId w:val="43"/>
  </w:num>
  <w:num w:numId="23">
    <w:abstractNumId w:val="16"/>
  </w:num>
  <w:num w:numId="24">
    <w:abstractNumId w:val="44"/>
  </w:num>
  <w:num w:numId="25">
    <w:abstractNumId w:val="40"/>
  </w:num>
  <w:num w:numId="26">
    <w:abstractNumId w:val="11"/>
  </w:num>
  <w:num w:numId="27">
    <w:abstractNumId w:val="21"/>
  </w:num>
  <w:num w:numId="28">
    <w:abstractNumId w:val="17"/>
  </w:num>
  <w:num w:numId="29">
    <w:abstractNumId w:val="20"/>
  </w:num>
  <w:num w:numId="30">
    <w:abstractNumId w:val="26"/>
  </w:num>
  <w:num w:numId="31">
    <w:abstractNumId w:val="27"/>
  </w:num>
  <w:num w:numId="32">
    <w:abstractNumId w:val="1"/>
  </w:num>
  <w:num w:numId="33">
    <w:abstractNumId w:val="5"/>
  </w:num>
  <w:num w:numId="34">
    <w:abstractNumId w:val="1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7"/>
  </w:num>
  <w:num w:numId="41">
    <w:abstractNumId w:val="28"/>
  </w:num>
  <w:num w:numId="42">
    <w:abstractNumId w:val="42"/>
  </w:num>
  <w:num w:numId="43">
    <w:abstractNumId w:val="38"/>
  </w:num>
  <w:num w:numId="44">
    <w:abstractNumId w:val="2"/>
  </w:num>
  <w:num w:numId="45">
    <w:abstractNumId w:val="46"/>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9"/>
  </w:num>
  <w:num w:numId="54">
    <w:abstractNumId w:val="32"/>
  </w:num>
  <w:num w:numId="5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ED5"/>
    <w:rsid w:val="000030C7"/>
    <w:rsid w:val="00004829"/>
    <w:rsid w:val="00005BF4"/>
    <w:rsid w:val="0000731C"/>
    <w:rsid w:val="000102B1"/>
    <w:rsid w:val="00010DDD"/>
    <w:rsid w:val="0001160F"/>
    <w:rsid w:val="00011AD9"/>
    <w:rsid w:val="00012878"/>
    <w:rsid w:val="00014615"/>
    <w:rsid w:val="00015EBE"/>
    <w:rsid w:val="00015EE7"/>
    <w:rsid w:val="00017346"/>
    <w:rsid w:val="00020288"/>
    <w:rsid w:val="000204F4"/>
    <w:rsid w:val="0002143F"/>
    <w:rsid w:val="00021C9C"/>
    <w:rsid w:val="00022A80"/>
    <w:rsid w:val="000233C0"/>
    <w:rsid w:val="00025B9E"/>
    <w:rsid w:val="00027E18"/>
    <w:rsid w:val="00027F62"/>
    <w:rsid w:val="0003124E"/>
    <w:rsid w:val="0003389C"/>
    <w:rsid w:val="0003414B"/>
    <w:rsid w:val="00034FB9"/>
    <w:rsid w:val="000358A5"/>
    <w:rsid w:val="00037CD2"/>
    <w:rsid w:val="000404F2"/>
    <w:rsid w:val="00040C77"/>
    <w:rsid w:val="000420C7"/>
    <w:rsid w:val="00042156"/>
    <w:rsid w:val="0004281A"/>
    <w:rsid w:val="00043685"/>
    <w:rsid w:val="0004690C"/>
    <w:rsid w:val="00046DCA"/>
    <w:rsid w:val="000471F8"/>
    <w:rsid w:val="0004752C"/>
    <w:rsid w:val="00047915"/>
    <w:rsid w:val="00047ADF"/>
    <w:rsid w:val="00047FA1"/>
    <w:rsid w:val="000514C7"/>
    <w:rsid w:val="00052DB2"/>
    <w:rsid w:val="00052EBA"/>
    <w:rsid w:val="00054782"/>
    <w:rsid w:val="00054D9D"/>
    <w:rsid w:val="00054F2A"/>
    <w:rsid w:val="00056550"/>
    <w:rsid w:val="00057C96"/>
    <w:rsid w:val="0006203E"/>
    <w:rsid w:val="000642AC"/>
    <w:rsid w:val="00064458"/>
    <w:rsid w:val="00064791"/>
    <w:rsid w:val="00070944"/>
    <w:rsid w:val="00071C92"/>
    <w:rsid w:val="00072A08"/>
    <w:rsid w:val="0007300B"/>
    <w:rsid w:val="000745BD"/>
    <w:rsid w:val="00075173"/>
    <w:rsid w:val="00075B03"/>
    <w:rsid w:val="000772E0"/>
    <w:rsid w:val="000804F2"/>
    <w:rsid w:val="00081FC3"/>
    <w:rsid w:val="000829C3"/>
    <w:rsid w:val="0008409A"/>
    <w:rsid w:val="00084250"/>
    <w:rsid w:val="00085231"/>
    <w:rsid w:val="00085DFE"/>
    <w:rsid w:val="000862BD"/>
    <w:rsid w:val="00086455"/>
    <w:rsid w:val="0008795F"/>
    <w:rsid w:val="000906F9"/>
    <w:rsid w:val="00091A2B"/>
    <w:rsid w:val="0009305E"/>
    <w:rsid w:val="0009331A"/>
    <w:rsid w:val="00093E69"/>
    <w:rsid w:val="00095BE9"/>
    <w:rsid w:val="00095C10"/>
    <w:rsid w:val="00095E06"/>
    <w:rsid w:val="00096BFC"/>
    <w:rsid w:val="000A0104"/>
    <w:rsid w:val="000A0599"/>
    <w:rsid w:val="000A0BC6"/>
    <w:rsid w:val="000A1A7F"/>
    <w:rsid w:val="000A26FA"/>
    <w:rsid w:val="000A2A86"/>
    <w:rsid w:val="000A330B"/>
    <w:rsid w:val="000A3464"/>
    <w:rsid w:val="000A3821"/>
    <w:rsid w:val="000A42A1"/>
    <w:rsid w:val="000A6EC3"/>
    <w:rsid w:val="000B0DE1"/>
    <w:rsid w:val="000B1721"/>
    <w:rsid w:val="000B509B"/>
    <w:rsid w:val="000B5734"/>
    <w:rsid w:val="000B5881"/>
    <w:rsid w:val="000B75A0"/>
    <w:rsid w:val="000C0952"/>
    <w:rsid w:val="000C25DE"/>
    <w:rsid w:val="000C3139"/>
    <w:rsid w:val="000C32E8"/>
    <w:rsid w:val="000C574B"/>
    <w:rsid w:val="000C67C8"/>
    <w:rsid w:val="000C6B50"/>
    <w:rsid w:val="000D1476"/>
    <w:rsid w:val="000D16F3"/>
    <w:rsid w:val="000D20D5"/>
    <w:rsid w:val="000D26B4"/>
    <w:rsid w:val="000D2F94"/>
    <w:rsid w:val="000D32E0"/>
    <w:rsid w:val="000D3583"/>
    <w:rsid w:val="000D36AB"/>
    <w:rsid w:val="000D75EC"/>
    <w:rsid w:val="000D7F52"/>
    <w:rsid w:val="000E0781"/>
    <w:rsid w:val="000E0DAB"/>
    <w:rsid w:val="000E255F"/>
    <w:rsid w:val="000E483B"/>
    <w:rsid w:val="000E645B"/>
    <w:rsid w:val="000E6961"/>
    <w:rsid w:val="000E7645"/>
    <w:rsid w:val="000F0A0E"/>
    <w:rsid w:val="000F4413"/>
    <w:rsid w:val="000F4DBA"/>
    <w:rsid w:val="000F6FC1"/>
    <w:rsid w:val="001003B9"/>
    <w:rsid w:val="00100524"/>
    <w:rsid w:val="00100BD4"/>
    <w:rsid w:val="00102010"/>
    <w:rsid w:val="00103A0C"/>
    <w:rsid w:val="0010535B"/>
    <w:rsid w:val="001066B3"/>
    <w:rsid w:val="00110169"/>
    <w:rsid w:val="00111E2E"/>
    <w:rsid w:val="00112377"/>
    <w:rsid w:val="001133E1"/>
    <w:rsid w:val="00113A9C"/>
    <w:rsid w:val="00114C14"/>
    <w:rsid w:val="0011598C"/>
    <w:rsid w:val="00115B6E"/>
    <w:rsid w:val="00116035"/>
    <w:rsid w:val="001178F0"/>
    <w:rsid w:val="00117CA7"/>
    <w:rsid w:val="00120CE8"/>
    <w:rsid w:val="00121065"/>
    <w:rsid w:val="00123B35"/>
    <w:rsid w:val="001265EA"/>
    <w:rsid w:val="0012708C"/>
    <w:rsid w:val="001271CC"/>
    <w:rsid w:val="001320E9"/>
    <w:rsid w:val="00133384"/>
    <w:rsid w:val="00134412"/>
    <w:rsid w:val="001361F2"/>
    <w:rsid w:val="0013717E"/>
    <w:rsid w:val="00140F87"/>
    <w:rsid w:val="0014101F"/>
    <w:rsid w:val="00141F54"/>
    <w:rsid w:val="001427E8"/>
    <w:rsid w:val="0014366E"/>
    <w:rsid w:val="00144DF4"/>
    <w:rsid w:val="00145704"/>
    <w:rsid w:val="0014785F"/>
    <w:rsid w:val="00152580"/>
    <w:rsid w:val="0015297C"/>
    <w:rsid w:val="001536E7"/>
    <w:rsid w:val="001540F0"/>
    <w:rsid w:val="00154421"/>
    <w:rsid w:val="001550D0"/>
    <w:rsid w:val="001558DB"/>
    <w:rsid w:val="00155A89"/>
    <w:rsid w:val="0015648E"/>
    <w:rsid w:val="0015651F"/>
    <w:rsid w:val="0016097D"/>
    <w:rsid w:val="001615CC"/>
    <w:rsid w:val="001633CA"/>
    <w:rsid w:val="001638DF"/>
    <w:rsid w:val="00163DC4"/>
    <w:rsid w:val="00164AF1"/>
    <w:rsid w:val="00164EEF"/>
    <w:rsid w:val="001656EE"/>
    <w:rsid w:val="00165B11"/>
    <w:rsid w:val="00165FC3"/>
    <w:rsid w:val="001668A6"/>
    <w:rsid w:val="00166AC2"/>
    <w:rsid w:val="00167400"/>
    <w:rsid w:val="001678D3"/>
    <w:rsid w:val="001708DA"/>
    <w:rsid w:val="00170B92"/>
    <w:rsid w:val="001721F6"/>
    <w:rsid w:val="001723C2"/>
    <w:rsid w:val="001728B2"/>
    <w:rsid w:val="00172989"/>
    <w:rsid w:val="00173923"/>
    <w:rsid w:val="001757C3"/>
    <w:rsid w:val="001768E4"/>
    <w:rsid w:val="0017786B"/>
    <w:rsid w:val="00180825"/>
    <w:rsid w:val="001816A6"/>
    <w:rsid w:val="00181FCA"/>
    <w:rsid w:val="00182A83"/>
    <w:rsid w:val="00182C77"/>
    <w:rsid w:val="00183964"/>
    <w:rsid w:val="0018698A"/>
    <w:rsid w:val="00186E8F"/>
    <w:rsid w:val="00186F2D"/>
    <w:rsid w:val="001872D9"/>
    <w:rsid w:val="00190932"/>
    <w:rsid w:val="00191290"/>
    <w:rsid w:val="0019149F"/>
    <w:rsid w:val="00192345"/>
    <w:rsid w:val="001932FC"/>
    <w:rsid w:val="00193323"/>
    <w:rsid w:val="00193B5D"/>
    <w:rsid w:val="00193CDD"/>
    <w:rsid w:val="001966BE"/>
    <w:rsid w:val="00196C48"/>
    <w:rsid w:val="00197B55"/>
    <w:rsid w:val="00197F91"/>
    <w:rsid w:val="001A0022"/>
    <w:rsid w:val="001A2972"/>
    <w:rsid w:val="001A4A40"/>
    <w:rsid w:val="001A4C8B"/>
    <w:rsid w:val="001A4F53"/>
    <w:rsid w:val="001A571A"/>
    <w:rsid w:val="001A6184"/>
    <w:rsid w:val="001A6447"/>
    <w:rsid w:val="001B21FC"/>
    <w:rsid w:val="001B2B53"/>
    <w:rsid w:val="001B3365"/>
    <w:rsid w:val="001B3571"/>
    <w:rsid w:val="001B3E17"/>
    <w:rsid w:val="001B519A"/>
    <w:rsid w:val="001B6C70"/>
    <w:rsid w:val="001B7135"/>
    <w:rsid w:val="001B783F"/>
    <w:rsid w:val="001B7C99"/>
    <w:rsid w:val="001B7DC7"/>
    <w:rsid w:val="001C0846"/>
    <w:rsid w:val="001C1869"/>
    <w:rsid w:val="001C19F8"/>
    <w:rsid w:val="001C1EBA"/>
    <w:rsid w:val="001C23E9"/>
    <w:rsid w:val="001C2BA1"/>
    <w:rsid w:val="001C3D5F"/>
    <w:rsid w:val="001C3E42"/>
    <w:rsid w:val="001C5241"/>
    <w:rsid w:val="001C5637"/>
    <w:rsid w:val="001C5834"/>
    <w:rsid w:val="001C6CE8"/>
    <w:rsid w:val="001C7ED9"/>
    <w:rsid w:val="001D10C9"/>
    <w:rsid w:val="001D2521"/>
    <w:rsid w:val="001D290D"/>
    <w:rsid w:val="001D38B3"/>
    <w:rsid w:val="001D3AF1"/>
    <w:rsid w:val="001D7A7F"/>
    <w:rsid w:val="001D7F5A"/>
    <w:rsid w:val="001E1FC6"/>
    <w:rsid w:val="001E37CF"/>
    <w:rsid w:val="001E4D0C"/>
    <w:rsid w:val="001E691C"/>
    <w:rsid w:val="001E7DE3"/>
    <w:rsid w:val="001F028E"/>
    <w:rsid w:val="001F0ED9"/>
    <w:rsid w:val="001F14EA"/>
    <w:rsid w:val="001F18AF"/>
    <w:rsid w:val="001F20B8"/>
    <w:rsid w:val="001F311B"/>
    <w:rsid w:val="001F316B"/>
    <w:rsid w:val="001F34BB"/>
    <w:rsid w:val="001F4F37"/>
    <w:rsid w:val="001F55F3"/>
    <w:rsid w:val="001F6954"/>
    <w:rsid w:val="001F7BCA"/>
    <w:rsid w:val="00200928"/>
    <w:rsid w:val="00201126"/>
    <w:rsid w:val="00201F4B"/>
    <w:rsid w:val="00202B51"/>
    <w:rsid w:val="002043F3"/>
    <w:rsid w:val="00204466"/>
    <w:rsid w:val="002044D9"/>
    <w:rsid w:val="002046EA"/>
    <w:rsid w:val="0020513A"/>
    <w:rsid w:val="00205F54"/>
    <w:rsid w:val="0020624F"/>
    <w:rsid w:val="00206AA6"/>
    <w:rsid w:val="0020704E"/>
    <w:rsid w:val="0021182E"/>
    <w:rsid w:val="002127AF"/>
    <w:rsid w:val="00212FE1"/>
    <w:rsid w:val="00213B0A"/>
    <w:rsid w:val="00213FAF"/>
    <w:rsid w:val="00216B5A"/>
    <w:rsid w:val="00216EF8"/>
    <w:rsid w:val="002172C8"/>
    <w:rsid w:val="00217D57"/>
    <w:rsid w:val="00221D24"/>
    <w:rsid w:val="00225781"/>
    <w:rsid w:val="0022596D"/>
    <w:rsid w:val="00226FCC"/>
    <w:rsid w:val="00230056"/>
    <w:rsid w:val="00230A3A"/>
    <w:rsid w:val="00230C19"/>
    <w:rsid w:val="002319D5"/>
    <w:rsid w:val="002320CA"/>
    <w:rsid w:val="002331D8"/>
    <w:rsid w:val="00234FC4"/>
    <w:rsid w:val="0023566C"/>
    <w:rsid w:val="0023659C"/>
    <w:rsid w:val="002366C2"/>
    <w:rsid w:val="00236E7A"/>
    <w:rsid w:val="002379A9"/>
    <w:rsid w:val="002404CC"/>
    <w:rsid w:val="00240F7F"/>
    <w:rsid w:val="00241F5D"/>
    <w:rsid w:val="002426F3"/>
    <w:rsid w:val="00242792"/>
    <w:rsid w:val="002446F0"/>
    <w:rsid w:val="00245796"/>
    <w:rsid w:val="002474D3"/>
    <w:rsid w:val="00250C98"/>
    <w:rsid w:val="0025195A"/>
    <w:rsid w:val="00251D57"/>
    <w:rsid w:val="0025202D"/>
    <w:rsid w:val="00254DD4"/>
    <w:rsid w:val="002559C1"/>
    <w:rsid w:val="00255B2E"/>
    <w:rsid w:val="00256EB1"/>
    <w:rsid w:val="0026063A"/>
    <w:rsid w:val="002615BE"/>
    <w:rsid w:val="00261C41"/>
    <w:rsid w:val="00261FCB"/>
    <w:rsid w:val="002630F5"/>
    <w:rsid w:val="00264BC2"/>
    <w:rsid w:val="00266490"/>
    <w:rsid w:val="00266FED"/>
    <w:rsid w:val="00270369"/>
    <w:rsid w:val="00270D5F"/>
    <w:rsid w:val="00270E92"/>
    <w:rsid w:val="0027171D"/>
    <w:rsid w:val="002728FF"/>
    <w:rsid w:val="00272C33"/>
    <w:rsid w:val="00272ED1"/>
    <w:rsid w:val="0027373E"/>
    <w:rsid w:val="00274313"/>
    <w:rsid w:val="00274E30"/>
    <w:rsid w:val="00274FDA"/>
    <w:rsid w:val="00276A2F"/>
    <w:rsid w:val="00276D56"/>
    <w:rsid w:val="00280260"/>
    <w:rsid w:val="00280D64"/>
    <w:rsid w:val="00280E97"/>
    <w:rsid w:val="002829D1"/>
    <w:rsid w:val="002839FD"/>
    <w:rsid w:val="00284149"/>
    <w:rsid w:val="002850FB"/>
    <w:rsid w:val="002863E0"/>
    <w:rsid w:val="00286495"/>
    <w:rsid w:val="0028650C"/>
    <w:rsid w:val="00286B75"/>
    <w:rsid w:val="00290BB4"/>
    <w:rsid w:val="00295E97"/>
    <w:rsid w:val="002966EA"/>
    <w:rsid w:val="0029694A"/>
    <w:rsid w:val="00296E81"/>
    <w:rsid w:val="002976F3"/>
    <w:rsid w:val="002A2FB7"/>
    <w:rsid w:val="002A34FB"/>
    <w:rsid w:val="002A55A4"/>
    <w:rsid w:val="002A61D1"/>
    <w:rsid w:val="002A7A3F"/>
    <w:rsid w:val="002B02D2"/>
    <w:rsid w:val="002B1096"/>
    <w:rsid w:val="002B1D7E"/>
    <w:rsid w:val="002B20FF"/>
    <w:rsid w:val="002B35DA"/>
    <w:rsid w:val="002B3C54"/>
    <w:rsid w:val="002B47DD"/>
    <w:rsid w:val="002B5EEA"/>
    <w:rsid w:val="002B5F20"/>
    <w:rsid w:val="002B68CF"/>
    <w:rsid w:val="002B7551"/>
    <w:rsid w:val="002B7B39"/>
    <w:rsid w:val="002C070E"/>
    <w:rsid w:val="002C18AE"/>
    <w:rsid w:val="002C1FDE"/>
    <w:rsid w:val="002C22D5"/>
    <w:rsid w:val="002C2B99"/>
    <w:rsid w:val="002C2F4D"/>
    <w:rsid w:val="002C3FDF"/>
    <w:rsid w:val="002C410C"/>
    <w:rsid w:val="002C4669"/>
    <w:rsid w:val="002C4F0E"/>
    <w:rsid w:val="002C58F0"/>
    <w:rsid w:val="002C7B98"/>
    <w:rsid w:val="002D03A3"/>
    <w:rsid w:val="002D2D75"/>
    <w:rsid w:val="002D3B95"/>
    <w:rsid w:val="002D3D06"/>
    <w:rsid w:val="002D4659"/>
    <w:rsid w:val="002D4F25"/>
    <w:rsid w:val="002D5F02"/>
    <w:rsid w:val="002D6101"/>
    <w:rsid w:val="002D63F8"/>
    <w:rsid w:val="002D66B4"/>
    <w:rsid w:val="002D6C80"/>
    <w:rsid w:val="002D7E99"/>
    <w:rsid w:val="002E0377"/>
    <w:rsid w:val="002E10B7"/>
    <w:rsid w:val="002E2524"/>
    <w:rsid w:val="002E2B04"/>
    <w:rsid w:val="002E549B"/>
    <w:rsid w:val="002E5769"/>
    <w:rsid w:val="002E5B53"/>
    <w:rsid w:val="002E5C65"/>
    <w:rsid w:val="002E7585"/>
    <w:rsid w:val="002F1394"/>
    <w:rsid w:val="002F3075"/>
    <w:rsid w:val="002F3135"/>
    <w:rsid w:val="002F3695"/>
    <w:rsid w:val="002F39C3"/>
    <w:rsid w:val="002F3D9D"/>
    <w:rsid w:val="002F755A"/>
    <w:rsid w:val="002F7919"/>
    <w:rsid w:val="0030055F"/>
    <w:rsid w:val="00301772"/>
    <w:rsid w:val="00301976"/>
    <w:rsid w:val="003039BF"/>
    <w:rsid w:val="0030423D"/>
    <w:rsid w:val="00304EAE"/>
    <w:rsid w:val="0030510D"/>
    <w:rsid w:val="0030747C"/>
    <w:rsid w:val="00311772"/>
    <w:rsid w:val="0031211C"/>
    <w:rsid w:val="003129BE"/>
    <w:rsid w:val="00315BE2"/>
    <w:rsid w:val="00315F83"/>
    <w:rsid w:val="00316F71"/>
    <w:rsid w:val="00317C65"/>
    <w:rsid w:val="00317EA5"/>
    <w:rsid w:val="003221B7"/>
    <w:rsid w:val="003222FC"/>
    <w:rsid w:val="00322936"/>
    <w:rsid w:val="003231D6"/>
    <w:rsid w:val="00323767"/>
    <w:rsid w:val="00323EBC"/>
    <w:rsid w:val="00330068"/>
    <w:rsid w:val="00330C5E"/>
    <w:rsid w:val="00332F2E"/>
    <w:rsid w:val="00333BAD"/>
    <w:rsid w:val="00333CEA"/>
    <w:rsid w:val="00335707"/>
    <w:rsid w:val="00335B97"/>
    <w:rsid w:val="00335C3D"/>
    <w:rsid w:val="0033731E"/>
    <w:rsid w:val="00337EB7"/>
    <w:rsid w:val="003423CF"/>
    <w:rsid w:val="0034252F"/>
    <w:rsid w:val="00342ADA"/>
    <w:rsid w:val="00342DF4"/>
    <w:rsid w:val="0034301C"/>
    <w:rsid w:val="0034477B"/>
    <w:rsid w:val="00344902"/>
    <w:rsid w:val="00347534"/>
    <w:rsid w:val="00352411"/>
    <w:rsid w:val="00352448"/>
    <w:rsid w:val="00352678"/>
    <w:rsid w:val="00352D98"/>
    <w:rsid w:val="003536F5"/>
    <w:rsid w:val="0035502B"/>
    <w:rsid w:val="0035670A"/>
    <w:rsid w:val="00356AB5"/>
    <w:rsid w:val="003605ED"/>
    <w:rsid w:val="00360837"/>
    <w:rsid w:val="003608E8"/>
    <w:rsid w:val="00360DA6"/>
    <w:rsid w:val="003624B3"/>
    <w:rsid w:val="00362C7D"/>
    <w:rsid w:val="00363B83"/>
    <w:rsid w:val="0036415A"/>
    <w:rsid w:val="00364415"/>
    <w:rsid w:val="00364B95"/>
    <w:rsid w:val="00364DE9"/>
    <w:rsid w:val="0036569F"/>
    <w:rsid w:val="003673CA"/>
    <w:rsid w:val="003703A1"/>
    <w:rsid w:val="00371908"/>
    <w:rsid w:val="00371A8F"/>
    <w:rsid w:val="00371C7E"/>
    <w:rsid w:val="00372C88"/>
    <w:rsid w:val="003740C2"/>
    <w:rsid w:val="00375195"/>
    <w:rsid w:val="00375831"/>
    <w:rsid w:val="0037608F"/>
    <w:rsid w:val="003809C8"/>
    <w:rsid w:val="00382141"/>
    <w:rsid w:val="003823E5"/>
    <w:rsid w:val="003824F3"/>
    <w:rsid w:val="003831ED"/>
    <w:rsid w:val="00383F88"/>
    <w:rsid w:val="003840AC"/>
    <w:rsid w:val="003842A5"/>
    <w:rsid w:val="00386D20"/>
    <w:rsid w:val="0039103D"/>
    <w:rsid w:val="00391752"/>
    <w:rsid w:val="00393889"/>
    <w:rsid w:val="00393B57"/>
    <w:rsid w:val="003950B9"/>
    <w:rsid w:val="00397935"/>
    <w:rsid w:val="003A0040"/>
    <w:rsid w:val="003A0C5E"/>
    <w:rsid w:val="003A31AF"/>
    <w:rsid w:val="003A3EFB"/>
    <w:rsid w:val="003A45E0"/>
    <w:rsid w:val="003A541F"/>
    <w:rsid w:val="003A6E71"/>
    <w:rsid w:val="003A71BB"/>
    <w:rsid w:val="003B00B6"/>
    <w:rsid w:val="003B11C3"/>
    <w:rsid w:val="003B1B90"/>
    <w:rsid w:val="003B1E6A"/>
    <w:rsid w:val="003B1EBC"/>
    <w:rsid w:val="003B2732"/>
    <w:rsid w:val="003B3E32"/>
    <w:rsid w:val="003B3E81"/>
    <w:rsid w:val="003B44EB"/>
    <w:rsid w:val="003B76B9"/>
    <w:rsid w:val="003B7B38"/>
    <w:rsid w:val="003C0E86"/>
    <w:rsid w:val="003C256F"/>
    <w:rsid w:val="003C3E74"/>
    <w:rsid w:val="003C4DFB"/>
    <w:rsid w:val="003C57BB"/>
    <w:rsid w:val="003C7CF1"/>
    <w:rsid w:val="003D025B"/>
    <w:rsid w:val="003D2062"/>
    <w:rsid w:val="003D2418"/>
    <w:rsid w:val="003D27E6"/>
    <w:rsid w:val="003D27F6"/>
    <w:rsid w:val="003D346E"/>
    <w:rsid w:val="003D468B"/>
    <w:rsid w:val="003D5EA2"/>
    <w:rsid w:val="003D6688"/>
    <w:rsid w:val="003D6E85"/>
    <w:rsid w:val="003D74E7"/>
    <w:rsid w:val="003D7535"/>
    <w:rsid w:val="003E0FEF"/>
    <w:rsid w:val="003E12D4"/>
    <w:rsid w:val="003E1453"/>
    <w:rsid w:val="003E1567"/>
    <w:rsid w:val="003E57ED"/>
    <w:rsid w:val="003F0117"/>
    <w:rsid w:val="003F04E0"/>
    <w:rsid w:val="003F05E7"/>
    <w:rsid w:val="003F1837"/>
    <w:rsid w:val="003F260B"/>
    <w:rsid w:val="003F31EB"/>
    <w:rsid w:val="003F5FC3"/>
    <w:rsid w:val="003F79BD"/>
    <w:rsid w:val="003F7E84"/>
    <w:rsid w:val="004000BB"/>
    <w:rsid w:val="0040031C"/>
    <w:rsid w:val="00401098"/>
    <w:rsid w:val="0040144D"/>
    <w:rsid w:val="0040151E"/>
    <w:rsid w:val="00401874"/>
    <w:rsid w:val="004020DF"/>
    <w:rsid w:val="004034A1"/>
    <w:rsid w:val="00403BE0"/>
    <w:rsid w:val="00403EFA"/>
    <w:rsid w:val="00404194"/>
    <w:rsid w:val="00404B2F"/>
    <w:rsid w:val="00404D27"/>
    <w:rsid w:val="00405472"/>
    <w:rsid w:val="0040604E"/>
    <w:rsid w:val="004102EA"/>
    <w:rsid w:val="004105E7"/>
    <w:rsid w:val="00411266"/>
    <w:rsid w:val="00411B39"/>
    <w:rsid w:val="004125EA"/>
    <w:rsid w:val="00412C50"/>
    <w:rsid w:val="0041522A"/>
    <w:rsid w:val="00415C45"/>
    <w:rsid w:val="004175A2"/>
    <w:rsid w:val="00420832"/>
    <w:rsid w:val="004213BC"/>
    <w:rsid w:val="004221D4"/>
    <w:rsid w:val="004225EE"/>
    <w:rsid w:val="00423EAC"/>
    <w:rsid w:val="00424ED6"/>
    <w:rsid w:val="004254AC"/>
    <w:rsid w:val="0042573A"/>
    <w:rsid w:val="0043000C"/>
    <w:rsid w:val="004301F7"/>
    <w:rsid w:val="00431232"/>
    <w:rsid w:val="0043179A"/>
    <w:rsid w:val="004330F0"/>
    <w:rsid w:val="00434B51"/>
    <w:rsid w:val="004352F1"/>
    <w:rsid w:val="00436B88"/>
    <w:rsid w:val="00440A4D"/>
    <w:rsid w:val="00441F64"/>
    <w:rsid w:val="004426D3"/>
    <w:rsid w:val="00444912"/>
    <w:rsid w:val="00446AB2"/>
    <w:rsid w:val="00447CE5"/>
    <w:rsid w:val="00450C10"/>
    <w:rsid w:val="004510F2"/>
    <w:rsid w:val="00451BC0"/>
    <w:rsid w:val="00451EF6"/>
    <w:rsid w:val="00452A3A"/>
    <w:rsid w:val="00453C24"/>
    <w:rsid w:val="00454146"/>
    <w:rsid w:val="00454323"/>
    <w:rsid w:val="004555D7"/>
    <w:rsid w:val="00456E3A"/>
    <w:rsid w:val="00457C52"/>
    <w:rsid w:val="00460889"/>
    <w:rsid w:val="004608B5"/>
    <w:rsid w:val="004610EE"/>
    <w:rsid w:val="00461ABD"/>
    <w:rsid w:val="004633A6"/>
    <w:rsid w:val="00465AFA"/>
    <w:rsid w:val="004678EF"/>
    <w:rsid w:val="004703C9"/>
    <w:rsid w:val="004704D5"/>
    <w:rsid w:val="004708BD"/>
    <w:rsid w:val="0047093B"/>
    <w:rsid w:val="004715BE"/>
    <w:rsid w:val="004728C8"/>
    <w:rsid w:val="004731F6"/>
    <w:rsid w:val="00473415"/>
    <w:rsid w:val="004734CD"/>
    <w:rsid w:val="00476BCA"/>
    <w:rsid w:val="00476EB8"/>
    <w:rsid w:val="004770E5"/>
    <w:rsid w:val="004772B1"/>
    <w:rsid w:val="00481934"/>
    <w:rsid w:val="004822A1"/>
    <w:rsid w:val="00482364"/>
    <w:rsid w:val="00482A50"/>
    <w:rsid w:val="00484617"/>
    <w:rsid w:val="00486BDF"/>
    <w:rsid w:val="004874D1"/>
    <w:rsid w:val="00492083"/>
    <w:rsid w:val="00493D13"/>
    <w:rsid w:val="00495BE5"/>
    <w:rsid w:val="00495F1D"/>
    <w:rsid w:val="0049637E"/>
    <w:rsid w:val="00496859"/>
    <w:rsid w:val="004969DC"/>
    <w:rsid w:val="004971FD"/>
    <w:rsid w:val="004974BF"/>
    <w:rsid w:val="004A09F2"/>
    <w:rsid w:val="004A0AC5"/>
    <w:rsid w:val="004A1A94"/>
    <w:rsid w:val="004A40C4"/>
    <w:rsid w:val="004A6334"/>
    <w:rsid w:val="004A634A"/>
    <w:rsid w:val="004A6D82"/>
    <w:rsid w:val="004A77EE"/>
    <w:rsid w:val="004B36CC"/>
    <w:rsid w:val="004B4F14"/>
    <w:rsid w:val="004B50A0"/>
    <w:rsid w:val="004B5BC5"/>
    <w:rsid w:val="004B6D47"/>
    <w:rsid w:val="004B71B2"/>
    <w:rsid w:val="004C043A"/>
    <w:rsid w:val="004C1DB0"/>
    <w:rsid w:val="004C2404"/>
    <w:rsid w:val="004C351D"/>
    <w:rsid w:val="004C3FD0"/>
    <w:rsid w:val="004C56EC"/>
    <w:rsid w:val="004C5856"/>
    <w:rsid w:val="004C6941"/>
    <w:rsid w:val="004D0B85"/>
    <w:rsid w:val="004D2AB3"/>
    <w:rsid w:val="004D30CB"/>
    <w:rsid w:val="004D6C2E"/>
    <w:rsid w:val="004E0DA9"/>
    <w:rsid w:val="004E14B8"/>
    <w:rsid w:val="004E2C44"/>
    <w:rsid w:val="004E2D04"/>
    <w:rsid w:val="004E3C44"/>
    <w:rsid w:val="004E435F"/>
    <w:rsid w:val="004E48F2"/>
    <w:rsid w:val="004E5262"/>
    <w:rsid w:val="004E5267"/>
    <w:rsid w:val="004E5D84"/>
    <w:rsid w:val="004E7FEE"/>
    <w:rsid w:val="004E7FFC"/>
    <w:rsid w:val="004F03A4"/>
    <w:rsid w:val="004F169C"/>
    <w:rsid w:val="004F17AB"/>
    <w:rsid w:val="004F1B64"/>
    <w:rsid w:val="004F391B"/>
    <w:rsid w:val="004F4D23"/>
    <w:rsid w:val="004F4EF3"/>
    <w:rsid w:val="004F68CB"/>
    <w:rsid w:val="004F7E46"/>
    <w:rsid w:val="005006EF"/>
    <w:rsid w:val="00501ADF"/>
    <w:rsid w:val="00502080"/>
    <w:rsid w:val="00502159"/>
    <w:rsid w:val="00503F30"/>
    <w:rsid w:val="00504476"/>
    <w:rsid w:val="00504688"/>
    <w:rsid w:val="005127C0"/>
    <w:rsid w:val="00512CCA"/>
    <w:rsid w:val="00513035"/>
    <w:rsid w:val="0051399F"/>
    <w:rsid w:val="00513BF0"/>
    <w:rsid w:val="00514555"/>
    <w:rsid w:val="00515CD3"/>
    <w:rsid w:val="00516874"/>
    <w:rsid w:val="005173EC"/>
    <w:rsid w:val="0052036E"/>
    <w:rsid w:val="005243C2"/>
    <w:rsid w:val="005244D5"/>
    <w:rsid w:val="0052454D"/>
    <w:rsid w:val="00524DE0"/>
    <w:rsid w:val="00525B86"/>
    <w:rsid w:val="005266EE"/>
    <w:rsid w:val="0052694B"/>
    <w:rsid w:val="00531FF0"/>
    <w:rsid w:val="00532201"/>
    <w:rsid w:val="00533066"/>
    <w:rsid w:val="00534DDA"/>
    <w:rsid w:val="005350EA"/>
    <w:rsid w:val="005361EB"/>
    <w:rsid w:val="00536EA6"/>
    <w:rsid w:val="00540145"/>
    <w:rsid w:val="005414ED"/>
    <w:rsid w:val="0054182A"/>
    <w:rsid w:val="00542449"/>
    <w:rsid w:val="00543BA9"/>
    <w:rsid w:val="005456AC"/>
    <w:rsid w:val="00545983"/>
    <w:rsid w:val="00545C4D"/>
    <w:rsid w:val="00547100"/>
    <w:rsid w:val="00550560"/>
    <w:rsid w:val="00550C34"/>
    <w:rsid w:val="0055258E"/>
    <w:rsid w:val="005537A6"/>
    <w:rsid w:val="00553912"/>
    <w:rsid w:val="005539D6"/>
    <w:rsid w:val="00553D0E"/>
    <w:rsid w:val="00555E7F"/>
    <w:rsid w:val="00556431"/>
    <w:rsid w:val="00560196"/>
    <w:rsid w:val="00560941"/>
    <w:rsid w:val="005628AF"/>
    <w:rsid w:val="00564925"/>
    <w:rsid w:val="00565511"/>
    <w:rsid w:val="005667E4"/>
    <w:rsid w:val="00567625"/>
    <w:rsid w:val="005676AC"/>
    <w:rsid w:val="0057085A"/>
    <w:rsid w:val="00571C79"/>
    <w:rsid w:val="005733D0"/>
    <w:rsid w:val="00573D57"/>
    <w:rsid w:val="0057530C"/>
    <w:rsid w:val="00576B00"/>
    <w:rsid w:val="00582FC7"/>
    <w:rsid w:val="0058477F"/>
    <w:rsid w:val="0058510B"/>
    <w:rsid w:val="00585470"/>
    <w:rsid w:val="00585826"/>
    <w:rsid w:val="005879C7"/>
    <w:rsid w:val="005924C8"/>
    <w:rsid w:val="005925E1"/>
    <w:rsid w:val="00592856"/>
    <w:rsid w:val="00593789"/>
    <w:rsid w:val="005941AD"/>
    <w:rsid w:val="00594AD3"/>
    <w:rsid w:val="00594FD7"/>
    <w:rsid w:val="00594FD9"/>
    <w:rsid w:val="0059546B"/>
    <w:rsid w:val="00595A84"/>
    <w:rsid w:val="00595D92"/>
    <w:rsid w:val="005A1C08"/>
    <w:rsid w:val="005A3D8B"/>
    <w:rsid w:val="005A40FB"/>
    <w:rsid w:val="005A588B"/>
    <w:rsid w:val="005A5B26"/>
    <w:rsid w:val="005A7315"/>
    <w:rsid w:val="005A7F10"/>
    <w:rsid w:val="005B0609"/>
    <w:rsid w:val="005B0BFE"/>
    <w:rsid w:val="005B0F47"/>
    <w:rsid w:val="005B1A36"/>
    <w:rsid w:val="005B1DB2"/>
    <w:rsid w:val="005B3FBB"/>
    <w:rsid w:val="005B55D3"/>
    <w:rsid w:val="005C0FD9"/>
    <w:rsid w:val="005C10D5"/>
    <w:rsid w:val="005C1980"/>
    <w:rsid w:val="005C1E2F"/>
    <w:rsid w:val="005C2D80"/>
    <w:rsid w:val="005C3A43"/>
    <w:rsid w:val="005C4584"/>
    <w:rsid w:val="005C5E98"/>
    <w:rsid w:val="005C79D7"/>
    <w:rsid w:val="005D0BD1"/>
    <w:rsid w:val="005D127C"/>
    <w:rsid w:val="005D1AFD"/>
    <w:rsid w:val="005D1E65"/>
    <w:rsid w:val="005D1FE2"/>
    <w:rsid w:val="005D2518"/>
    <w:rsid w:val="005D4B8E"/>
    <w:rsid w:val="005D5542"/>
    <w:rsid w:val="005D5776"/>
    <w:rsid w:val="005D5F2E"/>
    <w:rsid w:val="005D759B"/>
    <w:rsid w:val="005E177C"/>
    <w:rsid w:val="005E55EF"/>
    <w:rsid w:val="005E6D4B"/>
    <w:rsid w:val="005F18DB"/>
    <w:rsid w:val="005F29C4"/>
    <w:rsid w:val="005F300F"/>
    <w:rsid w:val="005F333C"/>
    <w:rsid w:val="005F3E28"/>
    <w:rsid w:val="005F48ED"/>
    <w:rsid w:val="005F60E4"/>
    <w:rsid w:val="005F6198"/>
    <w:rsid w:val="006045A2"/>
    <w:rsid w:val="00604B06"/>
    <w:rsid w:val="00604DAE"/>
    <w:rsid w:val="00604E19"/>
    <w:rsid w:val="00604FA0"/>
    <w:rsid w:val="0060684C"/>
    <w:rsid w:val="00606D03"/>
    <w:rsid w:val="00607B6F"/>
    <w:rsid w:val="00610B18"/>
    <w:rsid w:val="00610FD2"/>
    <w:rsid w:val="0061190E"/>
    <w:rsid w:val="00611A75"/>
    <w:rsid w:val="0061283D"/>
    <w:rsid w:val="00612AF2"/>
    <w:rsid w:val="00613A5A"/>
    <w:rsid w:val="00615DCD"/>
    <w:rsid w:val="00616AAD"/>
    <w:rsid w:val="00616DA1"/>
    <w:rsid w:val="006200A8"/>
    <w:rsid w:val="006216B9"/>
    <w:rsid w:val="00621CB1"/>
    <w:rsid w:val="006222FE"/>
    <w:rsid w:val="00622CE6"/>
    <w:rsid w:val="00624439"/>
    <w:rsid w:val="0062498D"/>
    <w:rsid w:val="00625B6C"/>
    <w:rsid w:val="00625E50"/>
    <w:rsid w:val="00627CE6"/>
    <w:rsid w:val="00630E51"/>
    <w:rsid w:val="006319F4"/>
    <w:rsid w:val="006320EB"/>
    <w:rsid w:val="00632525"/>
    <w:rsid w:val="0063353C"/>
    <w:rsid w:val="006347B0"/>
    <w:rsid w:val="006361BE"/>
    <w:rsid w:val="006364DB"/>
    <w:rsid w:val="006400DB"/>
    <w:rsid w:val="00640DAB"/>
    <w:rsid w:val="00641487"/>
    <w:rsid w:val="006415D8"/>
    <w:rsid w:val="006438B7"/>
    <w:rsid w:val="006449B7"/>
    <w:rsid w:val="00645131"/>
    <w:rsid w:val="00646E3E"/>
    <w:rsid w:val="00651193"/>
    <w:rsid w:val="00651975"/>
    <w:rsid w:val="006530C4"/>
    <w:rsid w:val="006543D1"/>
    <w:rsid w:val="006568B7"/>
    <w:rsid w:val="0066033F"/>
    <w:rsid w:val="00660C39"/>
    <w:rsid w:val="00662980"/>
    <w:rsid w:val="0066330D"/>
    <w:rsid w:val="006640E3"/>
    <w:rsid w:val="00664945"/>
    <w:rsid w:val="00666237"/>
    <w:rsid w:val="00667AA9"/>
    <w:rsid w:val="006706C1"/>
    <w:rsid w:val="006707C3"/>
    <w:rsid w:val="00670A3C"/>
    <w:rsid w:val="006718B7"/>
    <w:rsid w:val="00673A43"/>
    <w:rsid w:val="00675DC5"/>
    <w:rsid w:val="00675F46"/>
    <w:rsid w:val="00680C02"/>
    <w:rsid w:val="00681E7D"/>
    <w:rsid w:val="0068307E"/>
    <w:rsid w:val="00683BCC"/>
    <w:rsid w:val="006848B4"/>
    <w:rsid w:val="00684BCC"/>
    <w:rsid w:val="00684F4F"/>
    <w:rsid w:val="00685609"/>
    <w:rsid w:val="0068574E"/>
    <w:rsid w:val="00685E71"/>
    <w:rsid w:val="006863F8"/>
    <w:rsid w:val="006864CC"/>
    <w:rsid w:val="00692004"/>
    <w:rsid w:val="006921FD"/>
    <w:rsid w:val="0069343A"/>
    <w:rsid w:val="00693720"/>
    <w:rsid w:val="0069550C"/>
    <w:rsid w:val="006955E6"/>
    <w:rsid w:val="00696DC9"/>
    <w:rsid w:val="00697EB1"/>
    <w:rsid w:val="006A0580"/>
    <w:rsid w:val="006A2BED"/>
    <w:rsid w:val="006A44FC"/>
    <w:rsid w:val="006A5A0D"/>
    <w:rsid w:val="006A6364"/>
    <w:rsid w:val="006A6EB7"/>
    <w:rsid w:val="006A735E"/>
    <w:rsid w:val="006A7C28"/>
    <w:rsid w:val="006B21CD"/>
    <w:rsid w:val="006B3467"/>
    <w:rsid w:val="006B3F71"/>
    <w:rsid w:val="006B4165"/>
    <w:rsid w:val="006B4A0D"/>
    <w:rsid w:val="006B4AF3"/>
    <w:rsid w:val="006B5D4F"/>
    <w:rsid w:val="006B6166"/>
    <w:rsid w:val="006B7594"/>
    <w:rsid w:val="006B7812"/>
    <w:rsid w:val="006B799A"/>
    <w:rsid w:val="006B7F02"/>
    <w:rsid w:val="006C0458"/>
    <w:rsid w:val="006C071B"/>
    <w:rsid w:val="006C07DD"/>
    <w:rsid w:val="006C2084"/>
    <w:rsid w:val="006C22E5"/>
    <w:rsid w:val="006C25CD"/>
    <w:rsid w:val="006C27BE"/>
    <w:rsid w:val="006C2BB7"/>
    <w:rsid w:val="006C4443"/>
    <w:rsid w:val="006C58EA"/>
    <w:rsid w:val="006C740E"/>
    <w:rsid w:val="006D2F75"/>
    <w:rsid w:val="006D3C72"/>
    <w:rsid w:val="006D4ED2"/>
    <w:rsid w:val="006D6E2A"/>
    <w:rsid w:val="006D7A08"/>
    <w:rsid w:val="006D7AF9"/>
    <w:rsid w:val="006E1439"/>
    <w:rsid w:val="006E1D5D"/>
    <w:rsid w:val="006E64D3"/>
    <w:rsid w:val="006E6A24"/>
    <w:rsid w:val="006E7AE3"/>
    <w:rsid w:val="006F01F2"/>
    <w:rsid w:val="006F1B9B"/>
    <w:rsid w:val="006F29B1"/>
    <w:rsid w:val="006F29EF"/>
    <w:rsid w:val="006F3BE3"/>
    <w:rsid w:val="006F3F85"/>
    <w:rsid w:val="006F5992"/>
    <w:rsid w:val="006F6564"/>
    <w:rsid w:val="006F67AA"/>
    <w:rsid w:val="0070159D"/>
    <w:rsid w:val="00702F3D"/>
    <w:rsid w:val="007037BA"/>
    <w:rsid w:val="00705E11"/>
    <w:rsid w:val="00706188"/>
    <w:rsid w:val="0071032B"/>
    <w:rsid w:val="007108FE"/>
    <w:rsid w:val="00710957"/>
    <w:rsid w:val="00710E30"/>
    <w:rsid w:val="00713AD6"/>
    <w:rsid w:val="00714B2F"/>
    <w:rsid w:val="0071620D"/>
    <w:rsid w:val="00717790"/>
    <w:rsid w:val="00721091"/>
    <w:rsid w:val="0072235C"/>
    <w:rsid w:val="00723E06"/>
    <w:rsid w:val="00723EB3"/>
    <w:rsid w:val="00725D62"/>
    <w:rsid w:val="0072664C"/>
    <w:rsid w:val="00732AA7"/>
    <w:rsid w:val="007337EB"/>
    <w:rsid w:val="00734D05"/>
    <w:rsid w:val="007353BC"/>
    <w:rsid w:val="007367E7"/>
    <w:rsid w:val="00737213"/>
    <w:rsid w:val="007410D0"/>
    <w:rsid w:val="00742234"/>
    <w:rsid w:val="00742663"/>
    <w:rsid w:val="0074375F"/>
    <w:rsid w:val="007448BB"/>
    <w:rsid w:val="00744B75"/>
    <w:rsid w:val="00744D5F"/>
    <w:rsid w:val="00745FE2"/>
    <w:rsid w:val="0074676F"/>
    <w:rsid w:val="00746D1E"/>
    <w:rsid w:val="00747485"/>
    <w:rsid w:val="00747BB2"/>
    <w:rsid w:val="007502C3"/>
    <w:rsid w:val="00750AAA"/>
    <w:rsid w:val="00751C0E"/>
    <w:rsid w:val="007521D0"/>
    <w:rsid w:val="00752231"/>
    <w:rsid w:val="00752556"/>
    <w:rsid w:val="00752AC4"/>
    <w:rsid w:val="00752B7B"/>
    <w:rsid w:val="007542BF"/>
    <w:rsid w:val="007543AC"/>
    <w:rsid w:val="00755930"/>
    <w:rsid w:val="007579A7"/>
    <w:rsid w:val="007613C9"/>
    <w:rsid w:val="00762A29"/>
    <w:rsid w:val="00763B05"/>
    <w:rsid w:val="0076449F"/>
    <w:rsid w:val="00766428"/>
    <w:rsid w:val="00766729"/>
    <w:rsid w:val="00770B55"/>
    <w:rsid w:val="007710F5"/>
    <w:rsid w:val="00772166"/>
    <w:rsid w:val="00772BD5"/>
    <w:rsid w:val="007735CA"/>
    <w:rsid w:val="00775550"/>
    <w:rsid w:val="00776279"/>
    <w:rsid w:val="00780382"/>
    <w:rsid w:val="00780A33"/>
    <w:rsid w:val="00780A60"/>
    <w:rsid w:val="00782430"/>
    <w:rsid w:val="007828AB"/>
    <w:rsid w:val="00783E7D"/>
    <w:rsid w:val="00784FBD"/>
    <w:rsid w:val="00785E91"/>
    <w:rsid w:val="00787FED"/>
    <w:rsid w:val="00790F2A"/>
    <w:rsid w:val="00794F6D"/>
    <w:rsid w:val="00795F31"/>
    <w:rsid w:val="0079713E"/>
    <w:rsid w:val="007971E6"/>
    <w:rsid w:val="00797507"/>
    <w:rsid w:val="007A0442"/>
    <w:rsid w:val="007A1BE0"/>
    <w:rsid w:val="007A2C18"/>
    <w:rsid w:val="007A425A"/>
    <w:rsid w:val="007A454E"/>
    <w:rsid w:val="007A597E"/>
    <w:rsid w:val="007A6533"/>
    <w:rsid w:val="007A65A2"/>
    <w:rsid w:val="007B02DD"/>
    <w:rsid w:val="007B0E00"/>
    <w:rsid w:val="007B22C1"/>
    <w:rsid w:val="007B231E"/>
    <w:rsid w:val="007B5C04"/>
    <w:rsid w:val="007B60EB"/>
    <w:rsid w:val="007B64EC"/>
    <w:rsid w:val="007B69B2"/>
    <w:rsid w:val="007B72ED"/>
    <w:rsid w:val="007B7DFC"/>
    <w:rsid w:val="007B7E75"/>
    <w:rsid w:val="007C2744"/>
    <w:rsid w:val="007C28BB"/>
    <w:rsid w:val="007C3FE7"/>
    <w:rsid w:val="007C4972"/>
    <w:rsid w:val="007C56E5"/>
    <w:rsid w:val="007C5BE5"/>
    <w:rsid w:val="007C6462"/>
    <w:rsid w:val="007C66AC"/>
    <w:rsid w:val="007C72C7"/>
    <w:rsid w:val="007D1345"/>
    <w:rsid w:val="007D24E5"/>
    <w:rsid w:val="007D2F86"/>
    <w:rsid w:val="007D41AE"/>
    <w:rsid w:val="007D4577"/>
    <w:rsid w:val="007D5B27"/>
    <w:rsid w:val="007D6B59"/>
    <w:rsid w:val="007E0BC7"/>
    <w:rsid w:val="007E0CF3"/>
    <w:rsid w:val="007E221B"/>
    <w:rsid w:val="007E29CD"/>
    <w:rsid w:val="007E2F63"/>
    <w:rsid w:val="007E362E"/>
    <w:rsid w:val="007E3D0A"/>
    <w:rsid w:val="007E4537"/>
    <w:rsid w:val="007E573D"/>
    <w:rsid w:val="007E767B"/>
    <w:rsid w:val="007E77BE"/>
    <w:rsid w:val="007F00A5"/>
    <w:rsid w:val="007F0437"/>
    <w:rsid w:val="007F20BD"/>
    <w:rsid w:val="007F342A"/>
    <w:rsid w:val="007F381B"/>
    <w:rsid w:val="007F40DB"/>
    <w:rsid w:val="007F52FA"/>
    <w:rsid w:val="007F61E5"/>
    <w:rsid w:val="007F689D"/>
    <w:rsid w:val="007F7B81"/>
    <w:rsid w:val="008004D1"/>
    <w:rsid w:val="00800A61"/>
    <w:rsid w:val="00801ADB"/>
    <w:rsid w:val="00801FED"/>
    <w:rsid w:val="008021DB"/>
    <w:rsid w:val="008022E3"/>
    <w:rsid w:val="0080346D"/>
    <w:rsid w:val="00803DBA"/>
    <w:rsid w:val="00804C72"/>
    <w:rsid w:val="008050FE"/>
    <w:rsid w:val="00807E92"/>
    <w:rsid w:val="008107AF"/>
    <w:rsid w:val="00810ADE"/>
    <w:rsid w:val="008120F4"/>
    <w:rsid w:val="00812E6F"/>
    <w:rsid w:val="00813922"/>
    <w:rsid w:val="00813B05"/>
    <w:rsid w:val="00813B93"/>
    <w:rsid w:val="00815B06"/>
    <w:rsid w:val="00815C28"/>
    <w:rsid w:val="00815E5F"/>
    <w:rsid w:val="00816600"/>
    <w:rsid w:val="00816B9F"/>
    <w:rsid w:val="0082013F"/>
    <w:rsid w:val="0082046E"/>
    <w:rsid w:val="0082087A"/>
    <w:rsid w:val="00821862"/>
    <w:rsid w:val="0082295C"/>
    <w:rsid w:val="0082353E"/>
    <w:rsid w:val="00826BD3"/>
    <w:rsid w:val="0083210C"/>
    <w:rsid w:val="00833C2F"/>
    <w:rsid w:val="00833DCD"/>
    <w:rsid w:val="00833F0A"/>
    <w:rsid w:val="00834725"/>
    <w:rsid w:val="00836F39"/>
    <w:rsid w:val="00837170"/>
    <w:rsid w:val="008405F6"/>
    <w:rsid w:val="00841008"/>
    <w:rsid w:val="00843129"/>
    <w:rsid w:val="00843DA0"/>
    <w:rsid w:val="0084410C"/>
    <w:rsid w:val="0084424F"/>
    <w:rsid w:val="008448B9"/>
    <w:rsid w:val="00844E41"/>
    <w:rsid w:val="00845622"/>
    <w:rsid w:val="00845830"/>
    <w:rsid w:val="00845CAF"/>
    <w:rsid w:val="008467EA"/>
    <w:rsid w:val="00850020"/>
    <w:rsid w:val="00851556"/>
    <w:rsid w:val="00851F5B"/>
    <w:rsid w:val="008524A1"/>
    <w:rsid w:val="008525E2"/>
    <w:rsid w:val="008534F5"/>
    <w:rsid w:val="00853A6E"/>
    <w:rsid w:val="00853BB8"/>
    <w:rsid w:val="00855C04"/>
    <w:rsid w:val="008569E1"/>
    <w:rsid w:val="008573E0"/>
    <w:rsid w:val="00857AB7"/>
    <w:rsid w:val="00860A68"/>
    <w:rsid w:val="00860E26"/>
    <w:rsid w:val="00860F8E"/>
    <w:rsid w:val="00861BA3"/>
    <w:rsid w:val="00862B0B"/>
    <w:rsid w:val="008648A3"/>
    <w:rsid w:val="00865E23"/>
    <w:rsid w:val="0086684A"/>
    <w:rsid w:val="00870931"/>
    <w:rsid w:val="0087115E"/>
    <w:rsid w:val="0087219A"/>
    <w:rsid w:val="00872F79"/>
    <w:rsid w:val="00873CD4"/>
    <w:rsid w:val="008749FD"/>
    <w:rsid w:val="00875355"/>
    <w:rsid w:val="008753F3"/>
    <w:rsid w:val="0087589D"/>
    <w:rsid w:val="00876ABA"/>
    <w:rsid w:val="00876D05"/>
    <w:rsid w:val="008824F3"/>
    <w:rsid w:val="008828A7"/>
    <w:rsid w:val="0088540B"/>
    <w:rsid w:val="00886267"/>
    <w:rsid w:val="008874F7"/>
    <w:rsid w:val="008879A1"/>
    <w:rsid w:val="00890EAD"/>
    <w:rsid w:val="008914C7"/>
    <w:rsid w:val="00892A35"/>
    <w:rsid w:val="008933D9"/>
    <w:rsid w:val="00893658"/>
    <w:rsid w:val="008943BE"/>
    <w:rsid w:val="00895C49"/>
    <w:rsid w:val="0089694B"/>
    <w:rsid w:val="00896CB6"/>
    <w:rsid w:val="0089753C"/>
    <w:rsid w:val="00897930"/>
    <w:rsid w:val="008A1751"/>
    <w:rsid w:val="008A1FC1"/>
    <w:rsid w:val="008A2942"/>
    <w:rsid w:val="008A42DA"/>
    <w:rsid w:val="008A4474"/>
    <w:rsid w:val="008A48B0"/>
    <w:rsid w:val="008A56F4"/>
    <w:rsid w:val="008A5AEB"/>
    <w:rsid w:val="008A6E7E"/>
    <w:rsid w:val="008A7043"/>
    <w:rsid w:val="008A7937"/>
    <w:rsid w:val="008B0842"/>
    <w:rsid w:val="008B1D78"/>
    <w:rsid w:val="008B28D0"/>
    <w:rsid w:val="008B332E"/>
    <w:rsid w:val="008B3432"/>
    <w:rsid w:val="008B3AAE"/>
    <w:rsid w:val="008B4FA2"/>
    <w:rsid w:val="008B63E9"/>
    <w:rsid w:val="008C0EE2"/>
    <w:rsid w:val="008C1924"/>
    <w:rsid w:val="008C3487"/>
    <w:rsid w:val="008C35FA"/>
    <w:rsid w:val="008C3D0A"/>
    <w:rsid w:val="008C46D8"/>
    <w:rsid w:val="008C494E"/>
    <w:rsid w:val="008C4ECE"/>
    <w:rsid w:val="008C6921"/>
    <w:rsid w:val="008C76AF"/>
    <w:rsid w:val="008C7E19"/>
    <w:rsid w:val="008D01C8"/>
    <w:rsid w:val="008D059D"/>
    <w:rsid w:val="008D0CCA"/>
    <w:rsid w:val="008D0F72"/>
    <w:rsid w:val="008D11BA"/>
    <w:rsid w:val="008D1989"/>
    <w:rsid w:val="008D3126"/>
    <w:rsid w:val="008D37DD"/>
    <w:rsid w:val="008D3E04"/>
    <w:rsid w:val="008E010C"/>
    <w:rsid w:val="008E012B"/>
    <w:rsid w:val="008E1445"/>
    <w:rsid w:val="008E2510"/>
    <w:rsid w:val="008E2FDA"/>
    <w:rsid w:val="008E35B0"/>
    <w:rsid w:val="008E39B5"/>
    <w:rsid w:val="008E4032"/>
    <w:rsid w:val="008E5ED5"/>
    <w:rsid w:val="008E6BDD"/>
    <w:rsid w:val="008E73C9"/>
    <w:rsid w:val="008F0C35"/>
    <w:rsid w:val="008F4540"/>
    <w:rsid w:val="008F5EBD"/>
    <w:rsid w:val="008F6474"/>
    <w:rsid w:val="008F6953"/>
    <w:rsid w:val="008F6AE5"/>
    <w:rsid w:val="0090037A"/>
    <w:rsid w:val="00900F96"/>
    <w:rsid w:val="009024B3"/>
    <w:rsid w:val="0090520E"/>
    <w:rsid w:val="009059C1"/>
    <w:rsid w:val="009070EA"/>
    <w:rsid w:val="00907A40"/>
    <w:rsid w:val="00910070"/>
    <w:rsid w:val="00910280"/>
    <w:rsid w:val="00911030"/>
    <w:rsid w:val="0091287E"/>
    <w:rsid w:val="00912F53"/>
    <w:rsid w:val="009138F3"/>
    <w:rsid w:val="009143EA"/>
    <w:rsid w:val="00914596"/>
    <w:rsid w:val="00917C1A"/>
    <w:rsid w:val="00921321"/>
    <w:rsid w:val="00921690"/>
    <w:rsid w:val="0092177E"/>
    <w:rsid w:val="00922DE9"/>
    <w:rsid w:val="00923F9B"/>
    <w:rsid w:val="0092460E"/>
    <w:rsid w:val="00924D04"/>
    <w:rsid w:val="00925AB8"/>
    <w:rsid w:val="00925C3B"/>
    <w:rsid w:val="0092609E"/>
    <w:rsid w:val="00926206"/>
    <w:rsid w:val="00926359"/>
    <w:rsid w:val="00926E7F"/>
    <w:rsid w:val="00927DDB"/>
    <w:rsid w:val="009324DE"/>
    <w:rsid w:val="00933B42"/>
    <w:rsid w:val="0093414C"/>
    <w:rsid w:val="00934DAC"/>
    <w:rsid w:val="00935925"/>
    <w:rsid w:val="009362A6"/>
    <w:rsid w:val="00936577"/>
    <w:rsid w:val="009367B8"/>
    <w:rsid w:val="0093689C"/>
    <w:rsid w:val="00936959"/>
    <w:rsid w:val="00940084"/>
    <w:rsid w:val="00941A9A"/>
    <w:rsid w:val="00942456"/>
    <w:rsid w:val="00943A2D"/>
    <w:rsid w:val="0094438C"/>
    <w:rsid w:val="00946C19"/>
    <w:rsid w:val="00950438"/>
    <w:rsid w:val="009529C8"/>
    <w:rsid w:val="00952DC4"/>
    <w:rsid w:val="009530E6"/>
    <w:rsid w:val="00954619"/>
    <w:rsid w:val="0095482E"/>
    <w:rsid w:val="00954E08"/>
    <w:rsid w:val="00955A44"/>
    <w:rsid w:val="00955B81"/>
    <w:rsid w:val="009562AD"/>
    <w:rsid w:val="00956B41"/>
    <w:rsid w:val="00956D59"/>
    <w:rsid w:val="00960888"/>
    <w:rsid w:val="00963C45"/>
    <w:rsid w:val="00963E10"/>
    <w:rsid w:val="00963E24"/>
    <w:rsid w:val="0096646B"/>
    <w:rsid w:val="00966847"/>
    <w:rsid w:val="009718E1"/>
    <w:rsid w:val="00971BC6"/>
    <w:rsid w:val="00971DFE"/>
    <w:rsid w:val="00973618"/>
    <w:rsid w:val="00973C9D"/>
    <w:rsid w:val="009742C8"/>
    <w:rsid w:val="00974758"/>
    <w:rsid w:val="009748FC"/>
    <w:rsid w:val="00974C25"/>
    <w:rsid w:val="00974C9D"/>
    <w:rsid w:val="00975BCD"/>
    <w:rsid w:val="00975E11"/>
    <w:rsid w:val="00976121"/>
    <w:rsid w:val="00976BFD"/>
    <w:rsid w:val="00976D26"/>
    <w:rsid w:val="00980407"/>
    <w:rsid w:val="0098250D"/>
    <w:rsid w:val="00983228"/>
    <w:rsid w:val="009847BB"/>
    <w:rsid w:val="00985E59"/>
    <w:rsid w:val="0098638C"/>
    <w:rsid w:val="009866E6"/>
    <w:rsid w:val="00986CE0"/>
    <w:rsid w:val="009872AA"/>
    <w:rsid w:val="00987E8A"/>
    <w:rsid w:val="00987FCD"/>
    <w:rsid w:val="009914C2"/>
    <w:rsid w:val="00991770"/>
    <w:rsid w:val="00991B64"/>
    <w:rsid w:val="00992128"/>
    <w:rsid w:val="009941BA"/>
    <w:rsid w:val="00994388"/>
    <w:rsid w:val="00995244"/>
    <w:rsid w:val="009977BB"/>
    <w:rsid w:val="009A3690"/>
    <w:rsid w:val="009A3AA2"/>
    <w:rsid w:val="009A5009"/>
    <w:rsid w:val="009B0191"/>
    <w:rsid w:val="009B0BD7"/>
    <w:rsid w:val="009B0C5A"/>
    <w:rsid w:val="009B137B"/>
    <w:rsid w:val="009B1603"/>
    <w:rsid w:val="009B28CA"/>
    <w:rsid w:val="009B3F90"/>
    <w:rsid w:val="009B3FE7"/>
    <w:rsid w:val="009B43AC"/>
    <w:rsid w:val="009B4B8F"/>
    <w:rsid w:val="009B5D7A"/>
    <w:rsid w:val="009B6F2B"/>
    <w:rsid w:val="009B6F76"/>
    <w:rsid w:val="009C0608"/>
    <w:rsid w:val="009C10DA"/>
    <w:rsid w:val="009C1653"/>
    <w:rsid w:val="009C2406"/>
    <w:rsid w:val="009C40A1"/>
    <w:rsid w:val="009C52D7"/>
    <w:rsid w:val="009C5B6F"/>
    <w:rsid w:val="009C71B9"/>
    <w:rsid w:val="009D04EE"/>
    <w:rsid w:val="009D1412"/>
    <w:rsid w:val="009D1B05"/>
    <w:rsid w:val="009D1EC8"/>
    <w:rsid w:val="009D2042"/>
    <w:rsid w:val="009D286A"/>
    <w:rsid w:val="009D6589"/>
    <w:rsid w:val="009D6990"/>
    <w:rsid w:val="009D6B2C"/>
    <w:rsid w:val="009D7415"/>
    <w:rsid w:val="009D787A"/>
    <w:rsid w:val="009E15F6"/>
    <w:rsid w:val="009E53EF"/>
    <w:rsid w:val="009E5464"/>
    <w:rsid w:val="009E62AF"/>
    <w:rsid w:val="009E67BC"/>
    <w:rsid w:val="009E73E8"/>
    <w:rsid w:val="009F0D96"/>
    <w:rsid w:val="009F2C48"/>
    <w:rsid w:val="009F2CD4"/>
    <w:rsid w:val="009F4A7F"/>
    <w:rsid w:val="009F5F3F"/>
    <w:rsid w:val="009F7CFD"/>
    <w:rsid w:val="00A00285"/>
    <w:rsid w:val="00A02EDA"/>
    <w:rsid w:val="00A03B37"/>
    <w:rsid w:val="00A04DB0"/>
    <w:rsid w:val="00A05644"/>
    <w:rsid w:val="00A064C1"/>
    <w:rsid w:val="00A11023"/>
    <w:rsid w:val="00A11703"/>
    <w:rsid w:val="00A12114"/>
    <w:rsid w:val="00A124B3"/>
    <w:rsid w:val="00A1280A"/>
    <w:rsid w:val="00A13A4B"/>
    <w:rsid w:val="00A141B6"/>
    <w:rsid w:val="00A14C87"/>
    <w:rsid w:val="00A15DD3"/>
    <w:rsid w:val="00A15FF2"/>
    <w:rsid w:val="00A1620E"/>
    <w:rsid w:val="00A1622C"/>
    <w:rsid w:val="00A167DF"/>
    <w:rsid w:val="00A16C12"/>
    <w:rsid w:val="00A16CCA"/>
    <w:rsid w:val="00A16ECB"/>
    <w:rsid w:val="00A17CC3"/>
    <w:rsid w:val="00A205A8"/>
    <w:rsid w:val="00A20DD4"/>
    <w:rsid w:val="00A21844"/>
    <w:rsid w:val="00A22110"/>
    <w:rsid w:val="00A223A1"/>
    <w:rsid w:val="00A232B1"/>
    <w:rsid w:val="00A23F6A"/>
    <w:rsid w:val="00A24667"/>
    <w:rsid w:val="00A24C58"/>
    <w:rsid w:val="00A25A03"/>
    <w:rsid w:val="00A26C3E"/>
    <w:rsid w:val="00A273B8"/>
    <w:rsid w:val="00A30B03"/>
    <w:rsid w:val="00A30EE3"/>
    <w:rsid w:val="00A31D89"/>
    <w:rsid w:val="00A32888"/>
    <w:rsid w:val="00A34DF3"/>
    <w:rsid w:val="00A357E8"/>
    <w:rsid w:val="00A36052"/>
    <w:rsid w:val="00A410FF"/>
    <w:rsid w:val="00A41831"/>
    <w:rsid w:val="00A4233C"/>
    <w:rsid w:val="00A433E5"/>
    <w:rsid w:val="00A43824"/>
    <w:rsid w:val="00A43B99"/>
    <w:rsid w:val="00A4523D"/>
    <w:rsid w:val="00A46571"/>
    <w:rsid w:val="00A4683F"/>
    <w:rsid w:val="00A469CA"/>
    <w:rsid w:val="00A474C6"/>
    <w:rsid w:val="00A4761D"/>
    <w:rsid w:val="00A5109E"/>
    <w:rsid w:val="00A51A0C"/>
    <w:rsid w:val="00A524C4"/>
    <w:rsid w:val="00A538D8"/>
    <w:rsid w:val="00A57306"/>
    <w:rsid w:val="00A61357"/>
    <w:rsid w:val="00A61450"/>
    <w:rsid w:val="00A615DA"/>
    <w:rsid w:val="00A61893"/>
    <w:rsid w:val="00A61D00"/>
    <w:rsid w:val="00A62640"/>
    <w:rsid w:val="00A62C91"/>
    <w:rsid w:val="00A63A31"/>
    <w:rsid w:val="00A66216"/>
    <w:rsid w:val="00A66670"/>
    <w:rsid w:val="00A67856"/>
    <w:rsid w:val="00A67A05"/>
    <w:rsid w:val="00A70307"/>
    <w:rsid w:val="00A703CF"/>
    <w:rsid w:val="00A71821"/>
    <w:rsid w:val="00A71E67"/>
    <w:rsid w:val="00A73AD8"/>
    <w:rsid w:val="00A74703"/>
    <w:rsid w:val="00A7680C"/>
    <w:rsid w:val="00A76ED1"/>
    <w:rsid w:val="00A76FD8"/>
    <w:rsid w:val="00A8033A"/>
    <w:rsid w:val="00A82B98"/>
    <w:rsid w:val="00A83413"/>
    <w:rsid w:val="00A83EB1"/>
    <w:rsid w:val="00A84496"/>
    <w:rsid w:val="00A84CE6"/>
    <w:rsid w:val="00A851D5"/>
    <w:rsid w:val="00A85998"/>
    <w:rsid w:val="00A87984"/>
    <w:rsid w:val="00A90275"/>
    <w:rsid w:val="00A915BE"/>
    <w:rsid w:val="00A91848"/>
    <w:rsid w:val="00A922B2"/>
    <w:rsid w:val="00A95B55"/>
    <w:rsid w:val="00A96ECC"/>
    <w:rsid w:val="00A96ED0"/>
    <w:rsid w:val="00A97527"/>
    <w:rsid w:val="00AA0382"/>
    <w:rsid w:val="00AA07AE"/>
    <w:rsid w:val="00AA1695"/>
    <w:rsid w:val="00AA16C6"/>
    <w:rsid w:val="00AA28EA"/>
    <w:rsid w:val="00AA2C29"/>
    <w:rsid w:val="00AA2D3C"/>
    <w:rsid w:val="00AA30C5"/>
    <w:rsid w:val="00AA3518"/>
    <w:rsid w:val="00AA4063"/>
    <w:rsid w:val="00AA4BFC"/>
    <w:rsid w:val="00AA4C9E"/>
    <w:rsid w:val="00AA5143"/>
    <w:rsid w:val="00AA5DF1"/>
    <w:rsid w:val="00AB0941"/>
    <w:rsid w:val="00AB3374"/>
    <w:rsid w:val="00AB44D4"/>
    <w:rsid w:val="00AC24E1"/>
    <w:rsid w:val="00AC2585"/>
    <w:rsid w:val="00AC275E"/>
    <w:rsid w:val="00AC313F"/>
    <w:rsid w:val="00AC39D7"/>
    <w:rsid w:val="00AC536E"/>
    <w:rsid w:val="00AC542C"/>
    <w:rsid w:val="00AC671D"/>
    <w:rsid w:val="00AC6B9B"/>
    <w:rsid w:val="00AD05F0"/>
    <w:rsid w:val="00AD0815"/>
    <w:rsid w:val="00AD086C"/>
    <w:rsid w:val="00AD2A7D"/>
    <w:rsid w:val="00AD4885"/>
    <w:rsid w:val="00AD5145"/>
    <w:rsid w:val="00AD59CB"/>
    <w:rsid w:val="00AD5DF6"/>
    <w:rsid w:val="00AD6029"/>
    <w:rsid w:val="00AD62D8"/>
    <w:rsid w:val="00AD7A0A"/>
    <w:rsid w:val="00AE10B9"/>
    <w:rsid w:val="00AE1121"/>
    <w:rsid w:val="00AE1551"/>
    <w:rsid w:val="00AE16BA"/>
    <w:rsid w:val="00AE1F1E"/>
    <w:rsid w:val="00AE2EDB"/>
    <w:rsid w:val="00AE3890"/>
    <w:rsid w:val="00AE3908"/>
    <w:rsid w:val="00AE48F7"/>
    <w:rsid w:val="00AE4F35"/>
    <w:rsid w:val="00AE56B8"/>
    <w:rsid w:val="00AE70AD"/>
    <w:rsid w:val="00AF1133"/>
    <w:rsid w:val="00AF1F71"/>
    <w:rsid w:val="00AF22B3"/>
    <w:rsid w:val="00AF25EE"/>
    <w:rsid w:val="00AF2FD1"/>
    <w:rsid w:val="00AF334A"/>
    <w:rsid w:val="00AF3D11"/>
    <w:rsid w:val="00AF4AC9"/>
    <w:rsid w:val="00AF648D"/>
    <w:rsid w:val="00AF79BF"/>
    <w:rsid w:val="00B0002C"/>
    <w:rsid w:val="00B01B2D"/>
    <w:rsid w:val="00B023CB"/>
    <w:rsid w:val="00B0280B"/>
    <w:rsid w:val="00B02EE7"/>
    <w:rsid w:val="00B0317C"/>
    <w:rsid w:val="00B04F0A"/>
    <w:rsid w:val="00B053E2"/>
    <w:rsid w:val="00B05D5F"/>
    <w:rsid w:val="00B06069"/>
    <w:rsid w:val="00B06503"/>
    <w:rsid w:val="00B06E80"/>
    <w:rsid w:val="00B102C8"/>
    <w:rsid w:val="00B10378"/>
    <w:rsid w:val="00B10B50"/>
    <w:rsid w:val="00B12825"/>
    <w:rsid w:val="00B130E1"/>
    <w:rsid w:val="00B131EE"/>
    <w:rsid w:val="00B1525D"/>
    <w:rsid w:val="00B1539F"/>
    <w:rsid w:val="00B16718"/>
    <w:rsid w:val="00B16772"/>
    <w:rsid w:val="00B20613"/>
    <w:rsid w:val="00B209F3"/>
    <w:rsid w:val="00B2129A"/>
    <w:rsid w:val="00B21C45"/>
    <w:rsid w:val="00B2213A"/>
    <w:rsid w:val="00B224CF"/>
    <w:rsid w:val="00B232B1"/>
    <w:rsid w:val="00B23D46"/>
    <w:rsid w:val="00B27D74"/>
    <w:rsid w:val="00B32444"/>
    <w:rsid w:val="00B32585"/>
    <w:rsid w:val="00B33D8F"/>
    <w:rsid w:val="00B35CD3"/>
    <w:rsid w:val="00B35FF7"/>
    <w:rsid w:val="00B40191"/>
    <w:rsid w:val="00B418AE"/>
    <w:rsid w:val="00B431C6"/>
    <w:rsid w:val="00B44579"/>
    <w:rsid w:val="00B44CA2"/>
    <w:rsid w:val="00B50E07"/>
    <w:rsid w:val="00B5119D"/>
    <w:rsid w:val="00B51E99"/>
    <w:rsid w:val="00B53B36"/>
    <w:rsid w:val="00B551B0"/>
    <w:rsid w:val="00B57EB1"/>
    <w:rsid w:val="00B62F02"/>
    <w:rsid w:val="00B64400"/>
    <w:rsid w:val="00B64517"/>
    <w:rsid w:val="00B6461E"/>
    <w:rsid w:val="00B64B45"/>
    <w:rsid w:val="00B64FAC"/>
    <w:rsid w:val="00B653E8"/>
    <w:rsid w:val="00B65C89"/>
    <w:rsid w:val="00B71862"/>
    <w:rsid w:val="00B73A5C"/>
    <w:rsid w:val="00B746F3"/>
    <w:rsid w:val="00B74C55"/>
    <w:rsid w:val="00B76017"/>
    <w:rsid w:val="00B76D17"/>
    <w:rsid w:val="00B76DAE"/>
    <w:rsid w:val="00B76DBB"/>
    <w:rsid w:val="00B7770D"/>
    <w:rsid w:val="00B80B3B"/>
    <w:rsid w:val="00B810C0"/>
    <w:rsid w:val="00B81634"/>
    <w:rsid w:val="00B81BD3"/>
    <w:rsid w:val="00B81BFE"/>
    <w:rsid w:val="00B820ED"/>
    <w:rsid w:val="00B82D5E"/>
    <w:rsid w:val="00B83082"/>
    <w:rsid w:val="00B8385E"/>
    <w:rsid w:val="00B83AF4"/>
    <w:rsid w:val="00B83EEA"/>
    <w:rsid w:val="00B844E0"/>
    <w:rsid w:val="00B8470F"/>
    <w:rsid w:val="00B84B50"/>
    <w:rsid w:val="00B90905"/>
    <w:rsid w:val="00B9193C"/>
    <w:rsid w:val="00B9369C"/>
    <w:rsid w:val="00B95126"/>
    <w:rsid w:val="00B96824"/>
    <w:rsid w:val="00B97DA2"/>
    <w:rsid w:val="00BA046E"/>
    <w:rsid w:val="00BA1CE1"/>
    <w:rsid w:val="00BA2236"/>
    <w:rsid w:val="00BA2ACD"/>
    <w:rsid w:val="00BA35E0"/>
    <w:rsid w:val="00BA3A63"/>
    <w:rsid w:val="00BA4316"/>
    <w:rsid w:val="00BA4FBA"/>
    <w:rsid w:val="00BA5C50"/>
    <w:rsid w:val="00BA5FD3"/>
    <w:rsid w:val="00BA631C"/>
    <w:rsid w:val="00BB099C"/>
    <w:rsid w:val="00BB38AD"/>
    <w:rsid w:val="00BB4338"/>
    <w:rsid w:val="00BB532F"/>
    <w:rsid w:val="00BB71FA"/>
    <w:rsid w:val="00BC1BD9"/>
    <w:rsid w:val="00BC40F7"/>
    <w:rsid w:val="00BC5857"/>
    <w:rsid w:val="00BC6B85"/>
    <w:rsid w:val="00BD09B7"/>
    <w:rsid w:val="00BD1E26"/>
    <w:rsid w:val="00BD2038"/>
    <w:rsid w:val="00BD20DD"/>
    <w:rsid w:val="00BD492F"/>
    <w:rsid w:val="00BD65B3"/>
    <w:rsid w:val="00BD7159"/>
    <w:rsid w:val="00BD74C0"/>
    <w:rsid w:val="00BD7EB8"/>
    <w:rsid w:val="00BE1096"/>
    <w:rsid w:val="00BE16DB"/>
    <w:rsid w:val="00BE1EC1"/>
    <w:rsid w:val="00BE2350"/>
    <w:rsid w:val="00BE2EBC"/>
    <w:rsid w:val="00BE42BB"/>
    <w:rsid w:val="00BE4315"/>
    <w:rsid w:val="00BE4644"/>
    <w:rsid w:val="00BE67AB"/>
    <w:rsid w:val="00BE6DBA"/>
    <w:rsid w:val="00BE6ED8"/>
    <w:rsid w:val="00BE7313"/>
    <w:rsid w:val="00BE767D"/>
    <w:rsid w:val="00BF30C6"/>
    <w:rsid w:val="00BF31C1"/>
    <w:rsid w:val="00BF39C0"/>
    <w:rsid w:val="00BF4E2F"/>
    <w:rsid w:val="00BF5130"/>
    <w:rsid w:val="00BF558C"/>
    <w:rsid w:val="00BF6099"/>
    <w:rsid w:val="00BF7ADD"/>
    <w:rsid w:val="00BF7B9B"/>
    <w:rsid w:val="00C00B97"/>
    <w:rsid w:val="00C01497"/>
    <w:rsid w:val="00C01AF1"/>
    <w:rsid w:val="00C022B4"/>
    <w:rsid w:val="00C027F2"/>
    <w:rsid w:val="00C03057"/>
    <w:rsid w:val="00C03D99"/>
    <w:rsid w:val="00C04D9A"/>
    <w:rsid w:val="00C052BD"/>
    <w:rsid w:val="00C0557E"/>
    <w:rsid w:val="00C06D5C"/>
    <w:rsid w:val="00C07C94"/>
    <w:rsid w:val="00C108BF"/>
    <w:rsid w:val="00C117B8"/>
    <w:rsid w:val="00C11FFC"/>
    <w:rsid w:val="00C1348F"/>
    <w:rsid w:val="00C1497D"/>
    <w:rsid w:val="00C155AF"/>
    <w:rsid w:val="00C161EA"/>
    <w:rsid w:val="00C16E1D"/>
    <w:rsid w:val="00C227EB"/>
    <w:rsid w:val="00C24B8F"/>
    <w:rsid w:val="00C25032"/>
    <w:rsid w:val="00C26DA9"/>
    <w:rsid w:val="00C26F73"/>
    <w:rsid w:val="00C271F5"/>
    <w:rsid w:val="00C30D23"/>
    <w:rsid w:val="00C30D6B"/>
    <w:rsid w:val="00C31218"/>
    <w:rsid w:val="00C316E0"/>
    <w:rsid w:val="00C322DA"/>
    <w:rsid w:val="00C323D5"/>
    <w:rsid w:val="00C32A64"/>
    <w:rsid w:val="00C32B2A"/>
    <w:rsid w:val="00C33627"/>
    <w:rsid w:val="00C343C3"/>
    <w:rsid w:val="00C35DA8"/>
    <w:rsid w:val="00C375E5"/>
    <w:rsid w:val="00C4192A"/>
    <w:rsid w:val="00C4296C"/>
    <w:rsid w:val="00C42C81"/>
    <w:rsid w:val="00C42D84"/>
    <w:rsid w:val="00C43191"/>
    <w:rsid w:val="00C44995"/>
    <w:rsid w:val="00C45676"/>
    <w:rsid w:val="00C45C50"/>
    <w:rsid w:val="00C4656B"/>
    <w:rsid w:val="00C5012C"/>
    <w:rsid w:val="00C50164"/>
    <w:rsid w:val="00C505A1"/>
    <w:rsid w:val="00C51011"/>
    <w:rsid w:val="00C514FA"/>
    <w:rsid w:val="00C53FE7"/>
    <w:rsid w:val="00C54A8B"/>
    <w:rsid w:val="00C55F60"/>
    <w:rsid w:val="00C564E3"/>
    <w:rsid w:val="00C57D0D"/>
    <w:rsid w:val="00C601FC"/>
    <w:rsid w:val="00C6360D"/>
    <w:rsid w:val="00C63CF2"/>
    <w:rsid w:val="00C63EE2"/>
    <w:rsid w:val="00C65A7C"/>
    <w:rsid w:val="00C668A9"/>
    <w:rsid w:val="00C67244"/>
    <w:rsid w:val="00C70118"/>
    <w:rsid w:val="00C7020D"/>
    <w:rsid w:val="00C710E5"/>
    <w:rsid w:val="00C71C6C"/>
    <w:rsid w:val="00C71C96"/>
    <w:rsid w:val="00C72220"/>
    <w:rsid w:val="00C7226D"/>
    <w:rsid w:val="00C728F6"/>
    <w:rsid w:val="00C72F32"/>
    <w:rsid w:val="00C73B25"/>
    <w:rsid w:val="00C7449E"/>
    <w:rsid w:val="00C746DA"/>
    <w:rsid w:val="00C74B45"/>
    <w:rsid w:val="00C76007"/>
    <w:rsid w:val="00C80AC4"/>
    <w:rsid w:val="00C81CA5"/>
    <w:rsid w:val="00C82900"/>
    <w:rsid w:val="00C855C3"/>
    <w:rsid w:val="00C858FA"/>
    <w:rsid w:val="00C87780"/>
    <w:rsid w:val="00C90A82"/>
    <w:rsid w:val="00C917FC"/>
    <w:rsid w:val="00C959E3"/>
    <w:rsid w:val="00C95F73"/>
    <w:rsid w:val="00C96592"/>
    <w:rsid w:val="00C96821"/>
    <w:rsid w:val="00C96F67"/>
    <w:rsid w:val="00CA28EC"/>
    <w:rsid w:val="00CA42C1"/>
    <w:rsid w:val="00CA5335"/>
    <w:rsid w:val="00CA631E"/>
    <w:rsid w:val="00CA672D"/>
    <w:rsid w:val="00CA7C1D"/>
    <w:rsid w:val="00CB04B4"/>
    <w:rsid w:val="00CB18F9"/>
    <w:rsid w:val="00CB32AF"/>
    <w:rsid w:val="00CB4293"/>
    <w:rsid w:val="00CB4820"/>
    <w:rsid w:val="00CB4A83"/>
    <w:rsid w:val="00CB5222"/>
    <w:rsid w:val="00CB5844"/>
    <w:rsid w:val="00CB619F"/>
    <w:rsid w:val="00CB6217"/>
    <w:rsid w:val="00CB66DC"/>
    <w:rsid w:val="00CB6D66"/>
    <w:rsid w:val="00CC37DE"/>
    <w:rsid w:val="00CC3A53"/>
    <w:rsid w:val="00CC465E"/>
    <w:rsid w:val="00CC4A53"/>
    <w:rsid w:val="00CC5E0F"/>
    <w:rsid w:val="00CC6641"/>
    <w:rsid w:val="00CC67BC"/>
    <w:rsid w:val="00CC6CD3"/>
    <w:rsid w:val="00CD0F79"/>
    <w:rsid w:val="00CD1947"/>
    <w:rsid w:val="00CD2094"/>
    <w:rsid w:val="00CD37B4"/>
    <w:rsid w:val="00CD47EF"/>
    <w:rsid w:val="00CD4895"/>
    <w:rsid w:val="00CD5E0C"/>
    <w:rsid w:val="00CD7B96"/>
    <w:rsid w:val="00CE104F"/>
    <w:rsid w:val="00CE1A32"/>
    <w:rsid w:val="00CE21B3"/>
    <w:rsid w:val="00CE42AE"/>
    <w:rsid w:val="00CF009D"/>
    <w:rsid w:val="00CF00FC"/>
    <w:rsid w:val="00CF0A03"/>
    <w:rsid w:val="00CF3845"/>
    <w:rsid w:val="00CF3985"/>
    <w:rsid w:val="00CF39DB"/>
    <w:rsid w:val="00CF4956"/>
    <w:rsid w:val="00CF540E"/>
    <w:rsid w:val="00CF7929"/>
    <w:rsid w:val="00CF7E6E"/>
    <w:rsid w:val="00D00093"/>
    <w:rsid w:val="00D009F0"/>
    <w:rsid w:val="00D00AA1"/>
    <w:rsid w:val="00D0158D"/>
    <w:rsid w:val="00D01B60"/>
    <w:rsid w:val="00D02002"/>
    <w:rsid w:val="00D02A2C"/>
    <w:rsid w:val="00D05385"/>
    <w:rsid w:val="00D05AE2"/>
    <w:rsid w:val="00D062FB"/>
    <w:rsid w:val="00D06599"/>
    <w:rsid w:val="00D06689"/>
    <w:rsid w:val="00D06C4E"/>
    <w:rsid w:val="00D1107C"/>
    <w:rsid w:val="00D16D45"/>
    <w:rsid w:val="00D200AB"/>
    <w:rsid w:val="00D202FF"/>
    <w:rsid w:val="00D21032"/>
    <w:rsid w:val="00D2295D"/>
    <w:rsid w:val="00D23625"/>
    <w:rsid w:val="00D236DA"/>
    <w:rsid w:val="00D23E46"/>
    <w:rsid w:val="00D24676"/>
    <w:rsid w:val="00D24974"/>
    <w:rsid w:val="00D24F6C"/>
    <w:rsid w:val="00D25259"/>
    <w:rsid w:val="00D2545D"/>
    <w:rsid w:val="00D254D2"/>
    <w:rsid w:val="00D2583F"/>
    <w:rsid w:val="00D258AF"/>
    <w:rsid w:val="00D25D32"/>
    <w:rsid w:val="00D27C85"/>
    <w:rsid w:val="00D30528"/>
    <w:rsid w:val="00D30FF4"/>
    <w:rsid w:val="00D329BA"/>
    <w:rsid w:val="00D32DC3"/>
    <w:rsid w:val="00D3307D"/>
    <w:rsid w:val="00D33846"/>
    <w:rsid w:val="00D3459C"/>
    <w:rsid w:val="00D3476B"/>
    <w:rsid w:val="00D35E97"/>
    <w:rsid w:val="00D36543"/>
    <w:rsid w:val="00D36AB8"/>
    <w:rsid w:val="00D374E3"/>
    <w:rsid w:val="00D40DD6"/>
    <w:rsid w:val="00D41560"/>
    <w:rsid w:val="00D415D6"/>
    <w:rsid w:val="00D41720"/>
    <w:rsid w:val="00D43687"/>
    <w:rsid w:val="00D43CEC"/>
    <w:rsid w:val="00D43EBA"/>
    <w:rsid w:val="00D44213"/>
    <w:rsid w:val="00D45B90"/>
    <w:rsid w:val="00D47948"/>
    <w:rsid w:val="00D47F48"/>
    <w:rsid w:val="00D50AAC"/>
    <w:rsid w:val="00D51809"/>
    <w:rsid w:val="00D54628"/>
    <w:rsid w:val="00D5474F"/>
    <w:rsid w:val="00D55BFF"/>
    <w:rsid w:val="00D55C9A"/>
    <w:rsid w:val="00D56182"/>
    <w:rsid w:val="00D5667F"/>
    <w:rsid w:val="00D56B2D"/>
    <w:rsid w:val="00D57540"/>
    <w:rsid w:val="00D57F6C"/>
    <w:rsid w:val="00D61255"/>
    <w:rsid w:val="00D6175D"/>
    <w:rsid w:val="00D629BF"/>
    <w:rsid w:val="00D62D7F"/>
    <w:rsid w:val="00D6368F"/>
    <w:rsid w:val="00D6426B"/>
    <w:rsid w:val="00D647D5"/>
    <w:rsid w:val="00D64BD5"/>
    <w:rsid w:val="00D65FDD"/>
    <w:rsid w:val="00D665F4"/>
    <w:rsid w:val="00D666A7"/>
    <w:rsid w:val="00D66A1D"/>
    <w:rsid w:val="00D67C23"/>
    <w:rsid w:val="00D7111A"/>
    <w:rsid w:val="00D72BE0"/>
    <w:rsid w:val="00D73094"/>
    <w:rsid w:val="00D736D7"/>
    <w:rsid w:val="00D73FA8"/>
    <w:rsid w:val="00D750EB"/>
    <w:rsid w:val="00D76FCA"/>
    <w:rsid w:val="00D77017"/>
    <w:rsid w:val="00D774E9"/>
    <w:rsid w:val="00D7751A"/>
    <w:rsid w:val="00D814A8"/>
    <w:rsid w:val="00D8236E"/>
    <w:rsid w:val="00D8247E"/>
    <w:rsid w:val="00D82A84"/>
    <w:rsid w:val="00D82D78"/>
    <w:rsid w:val="00D84625"/>
    <w:rsid w:val="00D84928"/>
    <w:rsid w:val="00D87D9A"/>
    <w:rsid w:val="00D914CE"/>
    <w:rsid w:val="00D92354"/>
    <w:rsid w:val="00D92890"/>
    <w:rsid w:val="00D93272"/>
    <w:rsid w:val="00D9361E"/>
    <w:rsid w:val="00D9576B"/>
    <w:rsid w:val="00D97078"/>
    <w:rsid w:val="00DA1F90"/>
    <w:rsid w:val="00DA34C8"/>
    <w:rsid w:val="00DA39FC"/>
    <w:rsid w:val="00DA494D"/>
    <w:rsid w:val="00DA6DBC"/>
    <w:rsid w:val="00DA7DF6"/>
    <w:rsid w:val="00DB09DA"/>
    <w:rsid w:val="00DB2228"/>
    <w:rsid w:val="00DB40C4"/>
    <w:rsid w:val="00DB44BD"/>
    <w:rsid w:val="00DB52CA"/>
    <w:rsid w:val="00DB59AC"/>
    <w:rsid w:val="00DB67DC"/>
    <w:rsid w:val="00DB72CF"/>
    <w:rsid w:val="00DB73B4"/>
    <w:rsid w:val="00DB7A73"/>
    <w:rsid w:val="00DC0680"/>
    <w:rsid w:val="00DC1A37"/>
    <w:rsid w:val="00DC212D"/>
    <w:rsid w:val="00DC2FFF"/>
    <w:rsid w:val="00DC4E94"/>
    <w:rsid w:val="00DC5F4B"/>
    <w:rsid w:val="00DD07FB"/>
    <w:rsid w:val="00DD1944"/>
    <w:rsid w:val="00DD25CC"/>
    <w:rsid w:val="00DD3D5C"/>
    <w:rsid w:val="00DD4EB1"/>
    <w:rsid w:val="00DD6C4D"/>
    <w:rsid w:val="00DD7C6C"/>
    <w:rsid w:val="00DE1555"/>
    <w:rsid w:val="00DE1F48"/>
    <w:rsid w:val="00DE223B"/>
    <w:rsid w:val="00DE3EF7"/>
    <w:rsid w:val="00DE45D6"/>
    <w:rsid w:val="00DE51FA"/>
    <w:rsid w:val="00DE75B9"/>
    <w:rsid w:val="00DE7817"/>
    <w:rsid w:val="00DF0ED3"/>
    <w:rsid w:val="00DF2D63"/>
    <w:rsid w:val="00DF3405"/>
    <w:rsid w:val="00DF3F40"/>
    <w:rsid w:val="00DF48A0"/>
    <w:rsid w:val="00DF4A9E"/>
    <w:rsid w:val="00DF704F"/>
    <w:rsid w:val="00DF7E84"/>
    <w:rsid w:val="00E0000D"/>
    <w:rsid w:val="00E00871"/>
    <w:rsid w:val="00E00B13"/>
    <w:rsid w:val="00E00D21"/>
    <w:rsid w:val="00E01481"/>
    <w:rsid w:val="00E023F5"/>
    <w:rsid w:val="00E02EFC"/>
    <w:rsid w:val="00E03088"/>
    <w:rsid w:val="00E0321E"/>
    <w:rsid w:val="00E03A33"/>
    <w:rsid w:val="00E057AA"/>
    <w:rsid w:val="00E06BEE"/>
    <w:rsid w:val="00E06F65"/>
    <w:rsid w:val="00E07FD0"/>
    <w:rsid w:val="00E10E34"/>
    <w:rsid w:val="00E11574"/>
    <w:rsid w:val="00E118AE"/>
    <w:rsid w:val="00E1195C"/>
    <w:rsid w:val="00E12023"/>
    <w:rsid w:val="00E13D31"/>
    <w:rsid w:val="00E13D55"/>
    <w:rsid w:val="00E15CC7"/>
    <w:rsid w:val="00E2153B"/>
    <w:rsid w:val="00E22082"/>
    <w:rsid w:val="00E22A40"/>
    <w:rsid w:val="00E24FBD"/>
    <w:rsid w:val="00E25844"/>
    <w:rsid w:val="00E25EEC"/>
    <w:rsid w:val="00E27972"/>
    <w:rsid w:val="00E3055C"/>
    <w:rsid w:val="00E30FF4"/>
    <w:rsid w:val="00E32451"/>
    <w:rsid w:val="00E327A5"/>
    <w:rsid w:val="00E32DB2"/>
    <w:rsid w:val="00E33378"/>
    <w:rsid w:val="00E33AC4"/>
    <w:rsid w:val="00E35698"/>
    <w:rsid w:val="00E35AE8"/>
    <w:rsid w:val="00E37412"/>
    <w:rsid w:val="00E37B36"/>
    <w:rsid w:val="00E40253"/>
    <w:rsid w:val="00E41F87"/>
    <w:rsid w:val="00E42BDE"/>
    <w:rsid w:val="00E4398F"/>
    <w:rsid w:val="00E44A79"/>
    <w:rsid w:val="00E478BF"/>
    <w:rsid w:val="00E5012D"/>
    <w:rsid w:val="00E51768"/>
    <w:rsid w:val="00E520E8"/>
    <w:rsid w:val="00E53BE4"/>
    <w:rsid w:val="00E53C6F"/>
    <w:rsid w:val="00E55431"/>
    <w:rsid w:val="00E557F6"/>
    <w:rsid w:val="00E55AA4"/>
    <w:rsid w:val="00E56B40"/>
    <w:rsid w:val="00E56B78"/>
    <w:rsid w:val="00E56D62"/>
    <w:rsid w:val="00E56DEF"/>
    <w:rsid w:val="00E570B5"/>
    <w:rsid w:val="00E57476"/>
    <w:rsid w:val="00E6080B"/>
    <w:rsid w:val="00E6254E"/>
    <w:rsid w:val="00E63944"/>
    <w:rsid w:val="00E63F18"/>
    <w:rsid w:val="00E64047"/>
    <w:rsid w:val="00E67F04"/>
    <w:rsid w:val="00E7029A"/>
    <w:rsid w:val="00E70D16"/>
    <w:rsid w:val="00E70E56"/>
    <w:rsid w:val="00E72FA6"/>
    <w:rsid w:val="00E73185"/>
    <w:rsid w:val="00E73C3D"/>
    <w:rsid w:val="00E73DD6"/>
    <w:rsid w:val="00E747DF"/>
    <w:rsid w:val="00E75683"/>
    <w:rsid w:val="00E77050"/>
    <w:rsid w:val="00E8024C"/>
    <w:rsid w:val="00E81ACC"/>
    <w:rsid w:val="00E82267"/>
    <w:rsid w:val="00E82C0A"/>
    <w:rsid w:val="00E83260"/>
    <w:rsid w:val="00E8452E"/>
    <w:rsid w:val="00E86D01"/>
    <w:rsid w:val="00E917A4"/>
    <w:rsid w:val="00E91A36"/>
    <w:rsid w:val="00E91D56"/>
    <w:rsid w:val="00E929DD"/>
    <w:rsid w:val="00E92A81"/>
    <w:rsid w:val="00E95532"/>
    <w:rsid w:val="00E9570E"/>
    <w:rsid w:val="00E95FF1"/>
    <w:rsid w:val="00E960D0"/>
    <w:rsid w:val="00E96929"/>
    <w:rsid w:val="00E972E0"/>
    <w:rsid w:val="00EA0CA8"/>
    <w:rsid w:val="00EA1530"/>
    <w:rsid w:val="00EA27F7"/>
    <w:rsid w:val="00EA3028"/>
    <w:rsid w:val="00EA4FD4"/>
    <w:rsid w:val="00EA55A7"/>
    <w:rsid w:val="00EA73FE"/>
    <w:rsid w:val="00EB088A"/>
    <w:rsid w:val="00EB0B6F"/>
    <w:rsid w:val="00EB12D5"/>
    <w:rsid w:val="00EB20A6"/>
    <w:rsid w:val="00EB2D05"/>
    <w:rsid w:val="00EB365E"/>
    <w:rsid w:val="00EB38E8"/>
    <w:rsid w:val="00EB4993"/>
    <w:rsid w:val="00EB4A95"/>
    <w:rsid w:val="00EB5BFB"/>
    <w:rsid w:val="00EB5D9D"/>
    <w:rsid w:val="00EB6717"/>
    <w:rsid w:val="00EB6BCE"/>
    <w:rsid w:val="00EB77C1"/>
    <w:rsid w:val="00EC0973"/>
    <w:rsid w:val="00EC1159"/>
    <w:rsid w:val="00EC11ED"/>
    <w:rsid w:val="00EC2A57"/>
    <w:rsid w:val="00EC2B3C"/>
    <w:rsid w:val="00EC2DCD"/>
    <w:rsid w:val="00EC40D4"/>
    <w:rsid w:val="00EC656C"/>
    <w:rsid w:val="00ED0A4A"/>
    <w:rsid w:val="00ED15A6"/>
    <w:rsid w:val="00ED2613"/>
    <w:rsid w:val="00ED2B5C"/>
    <w:rsid w:val="00ED3317"/>
    <w:rsid w:val="00ED371A"/>
    <w:rsid w:val="00ED716D"/>
    <w:rsid w:val="00EE1C56"/>
    <w:rsid w:val="00EE47B3"/>
    <w:rsid w:val="00EE50A3"/>
    <w:rsid w:val="00EE61F4"/>
    <w:rsid w:val="00EE6D00"/>
    <w:rsid w:val="00EF377D"/>
    <w:rsid w:val="00EF4B77"/>
    <w:rsid w:val="00EF524D"/>
    <w:rsid w:val="00F05BFC"/>
    <w:rsid w:val="00F05E15"/>
    <w:rsid w:val="00F061C4"/>
    <w:rsid w:val="00F108F6"/>
    <w:rsid w:val="00F12A89"/>
    <w:rsid w:val="00F1304C"/>
    <w:rsid w:val="00F1485A"/>
    <w:rsid w:val="00F14909"/>
    <w:rsid w:val="00F16209"/>
    <w:rsid w:val="00F167D6"/>
    <w:rsid w:val="00F17104"/>
    <w:rsid w:val="00F17495"/>
    <w:rsid w:val="00F17722"/>
    <w:rsid w:val="00F17985"/>
    <w:rsid w:val="00F24D8D"/>
    <w:rsid w:val="00F24FE3"/>
    <w:rsid w:val="00F25C74"/>
    <w:rsid w:val="00F30E0F"/>
    <w:rsid w:val="00F31A01"/>
    <w:rsid w:val="00F32197"/>
    <w:rsid w:val="00F32934"/>
    <w:rsid w:val="00F33030"/>
    <w:rsid w:val="00F35526"/>
    <w:rsid w:val="00F35B2A"/>
    <w:rsid w:val="00F361AE"/>
    <w:rsid w:val="00F3709C"/>
    <w:rsid w:val="00F37398"/>
    <w:rsid w:val="00F37EEF"/>
    <w:rsid w:val="00F40DD7"/>
    <w:rsid w:val="00F442F3"/>
    <w:rsid w:val="00F50C28"/>
    <w:rsid w:val="00F5116D"/>
    <w:rsid w:val="00F516FE"/>
    <w:rsid w:val="00F532F5"/>
    <w:rsid w:val="00F533D9"/>
    <w:rsid w:val="00F53410"/>
    <w:rsid w:val="00F5348C"/>
    <w:rsid w:val="00F53BB1"/>
    <w:rsid w:val="00F5575B"/>
    <w:rsid w:val="00F55F5E"/>
    <w:rsid w:val="00F55FCF"/>
    <w:rsid w:val="00F574CA"/>
    <w:rsid w:val="00F60836"/>
    <w:rsid w:val="00F60BC7"/>
    <w:rsid w:val="00F61B3E"/>
    <w:rsid w:val="00F61ED7"/>
    <w:rsid w:val="00F64BBE"/>
    <w:rsid w:val="00F64FB6"/>
    <w:rsid w:val="00F673C9"/>
    <w:rsid w:val="00F67A29"/>
    <w:rsid w:val="00F70C71"/>
    <w:rsid w:val="00F71618"/>
    <w:rsid w:val="00F71B30"/>
    <w:rsid w:val="00F7611E"/>
    <w:rsid w:val="00F81E75"/>
    <w:rsid w:val="00F82AB1"/>
    <w:rsid w:val="00F83AC7"/>
    <w:rsid w:val="00F84500"/>
    <w:rsid w:val="00F84A47"/>
    <w:rsid w:val="00F84D90"/>
    <w:rsid w:val="00F85114"/>
    <w:rsid w:val="00F865C2"/>
    <w:rsid w:val="00F869F0"/>
    <w:rsid w:val="00F86EBE"/>
    <w:rsid w:val="00F8733B"/>
    <w:rsid w:val="00F87DFF"/>
    <w:rsid w:val="00F9184C"/>
    <w:rsid w:val="00F9292B"/>
    <w:rsid w:val="00F93F34"/>
    <w:rsid w:val="00F9401C"/>
    <w:rsid w:val="00F945A6"/>
    <w:rsid w:val="00F946C2"/>
    <w:rsid w:val="00F97627"/>
    <w:rsid w:val="00FA1BFE"/>
    <w:rsid w:val="00FA1E50"/>
    <w:rsid w:val="00FA2784"/>
    <w:rsid w:val="00FA3C05"/>
    <w:rsid w:val="00FA4069"/>
    <w:rsid w:val="00FA7CA5"/>
    <w:rsid w:val="00FA7CDE"/>
    <w:rsid w:val="00FB14C4"/>
    <w:rsid w:val="00FB1CAE"/>
    <w:rsid w:val="00FB1E70"/>
    <w:rsid w:val="00FB478D"/>
    <w:rsid w:val="00FB56FB"/>
    <w:rsid w:val="00FB5C14"/>
    <w:rsid w:val="00FB63CA"/>
    <w:rsid w:val="00FB67A0"/>
    <w:rsid w:val="00FB73CB"/>
    <w:rsid w:val="00FC081D"/>
    <w:rsid w:val="00FC2184"/>
    <w:rsid w:val="00FC30D3"/>
    <w:rsid w:val="00FC31B7"/>
    <w:rsid w:val="00FC423A"/>
    <w:rsid w:val="00FC430D"/>
    <w:rsid w:val="00FC584E"/>
    <w:rsid w:val="00FC5F7B"/>
    <w:rsid w:val="00FC7898"/>
    <w:rsid w:val="00FD0F53"/>
    <w:rsid w:val="00FD4169"/>
    <w:rsid w:val="00FD4D88"/>
    <w:rsid w:val="00FD66AC"/>
    <w:rsid w:val="00FD6BC4"/>
    <w:rsid w:val="00FD6C31"/>
    <w:rsid w:val="00FD7191"/>
    <w:rsid w:val="00FE06DB"/>
    <w:rsid w:val="00FE0E1F"/>
    <w:rsid w:val="00FE1CFB"/>
    <w:rsid w:val="00FE3FE4"/>
    <w:rsid w:val="00FE4091"/>
    <w:rsid w:val="00FE4403"/>
    <w:rsid w:val="00FE4F34"/>
    <w:rsid w:val="00FE4FDF"/>
    <w:rsid w:val="00FE79D3"/>
    <w:rsid w:val="00FE7AB5"/>
    <w:rsid w:val="00FE7F01"/>
    <w:rsid w:val="00FF0249"/>
    <w:rsid w:val="00FF0E4A"/>
    <w:rsid w:val="00FF1484"/>
    <w:rsid w:val="00FF4963"/>
    <w:rsid w:val="00FF5A4C"/>
    <w:rsid w:val="00FF6B33"/>
    <w:rsid w:val="00FF6EA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6414EFC-821E-46BC-9B7A-7469E36C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130"/>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iPriority w:val="99"/>
    <w:unhideWhenUsed/>
    <w:rsid w:val="00B820ED"/>
    <w:rPr>
      <w:sz w:val="16"/>
      <w:szCs w:val="16"/>
    </w:rPr>
  </w:style>
  <w:style w:type="paragraph" w:styleId="Textocomentario">
    <w:name w:val="annotation text"/>
    <w:basedOn w:val="Normal"/>
    <w:link w:val="TextocomentarioCar"/>
    <w:unhideWhenUsed/>
    <w:rsid w:val="00B820ED"/>
    <w:pPr>
      <w:spacing w:after="200" w:line="240" w:lineRule="auto"/>
    </w:pPr>
    <w:rPr>
      <w:sz w:val="20"/>
      <w:szCs w:val="20"/>
      <w:lang w:val="es-ES"/>
    </w:rPr>
  </w:style>
  <w:style w:type="character" w:customStyle="1" w:styleId="TextocomentarioCar">
    <w:name w:val="Texto comentario Car"/>
    <w:basedOn w:val="Fuentedeprrafopredeter"/>
    <w:link w:val="Textocomentario"/>
    <w:rsid w:val="00B820ED"/>
    <w:rPr>
      <w:sz w:val="20"/>
      <w:szCs w:val="20"/>
      <w:lang w:val="es-ES"/>
    </w:rPr>
  </w:style>
  <w:style w:type="paragraph" w:styleId="Textodeglobo">
    <w:name w:val="Balloon Text"/>
    <w:basedOn w:val="Normal"/>
    <w:link w:val="TextodegloboCar"/>
    <w:uiPriority w:val="99"/>
    <w:semiHidden/>
    <w:unhideWhenUsed/>
    <w:rsid w:val="00B820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0ED"/>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848B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848B4"/>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unhideWhenUsed/>
    <w:qFormat/>
    <w:rsid w:val="006848B4"/>
    <w:rPr>
      <w:vertAlign w:val="superscript"/>
    </w:rPr>
  </w:style>
  <w:style w:type="character" w:customStyle="1" w:styleId="apple-converted-space">
    <w:name w:val="apple-converted-space"/>
    <w:basedOn w:val="Fuentedeprrafopredeter"/>
    <w:rsid w:val="006848B4"/>
  </w:style>
  <w:style w:type="paragraph" w:customStyle="1" w:styleId="Default">
    <w:name w:val="Default"/>
    <w:rsid w:val="00F05BFC"/>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4301F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301F7"/>
    <w:rPr>
      <w:rFonts w:ascii="Arial" w:eastAsia="Times New Roman" w:hAnsi="Arial" w:cs="Arial"/>
      <w:sz w:val="18"/>
      <w:szCs w:val="20"/>
      <w:lang w:eastAsia="es-ES"/>
    </w:rPr>
  </w:style>
  <w:style w:type="character" w:customStyle="1" w:styleId="PrrafodelistaCar">
    <w:name w:val="Párrafo de lista Car"/>
    <w:basedOn w:val="Fuentedeprrafopredeter"/>
    <w:link w:val="Prrafodelista"/>
    <w:uiPriority w:val="34"/>
    <w:rsid w:val="00342DF4"/>
  </w:style>
  <w:style w:type="paragraph" w:styleId="Asuntodelcomentario">
    <w:name w:val="annotation subject"/>
    <w:basedOn w:val="Textocomentario"/>
    <w:next w:val="Textocomentario"/>
    <w:link w:val="AsuntodelcomentarioCar"/>
    <w:uiPriority w:val="99"/>
    <w:semiHidden/>
    <w:unhideWhenUsed/>
    <w:rsid w:val="00254DD4"/>
    <w:pPr>
      <w:spacing w:after="160"/>
    </w:pPr>
    <w:rPr>
      <w:b/>
      <w:bCs/>
      <w:lang w:val="es-MX"/>
    </w:rPr>
  </w:style>
  <w:style w:type="character" w:customStyle="1" w:styleId="AsuntodelcomentarioCar">
    <w:name w:val="Asunto del comentario Car"/>
    <w:basedOn w:val="TextocomentarioCar"/>
    <w:link w:val="Asuntodelcomentario"/>
    <w:uiPriority w:val="99"/>
    <w:semiHidden/>
    <w:rsid w:val="00254DD4"/>
    <w:rPr>
      <w:b/>
      <w:bCs/>
      <w:sz w:val="20"/>
      <w:szCs w:val="20"/>
      <w:lang w:val="es-ES"/>
    </w:rPr>
  </w:style>
  <w:style w:type="paragraph" w:styleId="Revisin">
    <w:name w:val="Revision"/>
    <w:hidden/>
    <w:uiPriority w:val="99"/>
    <w:semiHidden/>
    <w:rsid w:val="00582FC7"/>
    <w:pPr>
      <w:spacing w:after="0" w:line="240" w:lineRule="auto"/>
    </w:pPr>
  </w:style>
  <w:style w:type="character" w:styleId="Hipervnculovisitado">
    <w:name w:val="FollowedHyperlink"/>
    <w:basedOn w:val="Fuentedeprrafopredeter"/>
    <w:uiPriority w:val="99"/>
    <w:semiHidden/>
    <w:unhideWhenUsed/>
    <w:rsid w:val="00BA2236"/>
    <w:rPr>
      <w:color w:val="954F72" w:themeColor="followedHyperlink"/>
      <w:u w:val="single"/>
    </w:rPr>
  </w:style>
  <w:style w:type="paragraph" w:customStyle="1" w:styleId="CABEZA">
    <w:name w:val="CABEZA"/>
    <w:basedOn w:val="Normal"/>
    <w:rsid w:val="00983228"/>
    <w:pPr>
      <w:spacing w:after="0" w:line="240" w:lineRule="auto"/>
      <w:jc w:val="center"/>
    </w:pPr>
    <w:rPr>
      <w:rFonts w:ascii="Times New Roman" w:eastAsia="Times New Roman" w:hAnsi="Times New Roman" w:cs="Arial"/>
      <w:b/>
      <w:sz w:val="28"/>
      <w:szCs w:val="28"/>
      <w:lang w:eastAsia="es-MX"/>
    </w:rPr>
  </w:style>
  <w:style w:type="character" w:styleId="Textodelmarcadordeposicin">
    <w:name w:val="Placeholder Text"/>
    <w:basedOn w:val="Fuentedeprrafopredeter"/>
    <w:uiPriority w:val="99"/>
    <w:semiHidden/>
    <w:rsid w:val="00FA4069"/>
    <w:rPr>
      <w:color w:val="808080"/>
    </w:rPr>
  </w:style>
  <w:style w:type="paragraph" w:styleId="NormalWeb">
    <w:name w:val="Normal (Web)"/>
    <w:basedOn w:val="Normal"/>
    <w:uiPriority w:val="99"/>
    <w:unhideWhenUsed/>
    <w:rsid w:val="007A044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121065"/>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semiHidden/>
    <w:rsid w:val="00121065"/>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35">
      <w:bodyDiv w:val="1"/>
      <w:marLeft w:val="0"/>
      <w:marRight w:val="0"/>
      <w:marTop w:val="0"/>
      <w:marBottom w:val="0"/>
      <w:divBdr>
        <w:top w:val="none" w:sz="0" w:space="0" w:color="auto"/>
        <w:left w:val="none" w:sz="0" w:space="0" w:color="auto"/>
        <w:bottom w:val="none" w:sz="0" w:space="0" w:color="auto"/>
        <w:right w:val="none" w:sz="0" w:space="0" w:color="auto"/>
      </w:divBdr>
    </w:div>
    <w:div w:id="27881702">
      <w:bodyDiv w:val="1"/>
      <w:marLeft w:val="0"/>
      <w:marRight w:val="0"/>
      <w:marTop w:val="0"/>
      <w:marBottom w:val="0"/>
      <w:divBdr>
        <w:top w:val="none" w:sz="0" w:space="0" w:color="auto"/>
        <w:left w:val="none" w:sz="0" w:space="0" w:color="auto"/>
        <w:bottom w:val="none" w:sz="0" w:space="0" w:color="auto"/>
        <w:right w:val="none" w:sz="0" w:space="0" w:color="auto"/>
      </w:divBdr>
    </w:div>
    <w:div w:id="28144240">
      <w:bodyDiv w:val="1"/>
      <w:marLeft w:val="0"/>
      <w:marRight w:val="0"/>
      <w:marTop w:val="0"/>
      <w:marBottom w:val="0"/>
      <w:divBdr>
        <w:top w:val="none" w:sz="0" w:space="0" w:color="auto"/>
        <w:left w:val="none" w:sz="0" w:space="0" w:color="auto"/>
        <w:bottom w:val="none" w:sz="0" w:space="0" w:color="auto"/>
        <w:right w:val="none" w:sz="0" w:space="0" w:color="auto"/>
      </w:divBdr>
      <w:divsChild>
        <w:div w:id="1279338819">
          <w:marLeft w:val="0"/>
          <w:marRight w:val="0"/>
          <w:marTop w:val="0"/>
          <w:marBottom w:val="101"/>
          <w:divBdr>
            <w:top w:val="none" w:sz="0" w:space="0" w:color="auto"/>
            <w:left w:val="none" w:sz="0" w:space="0" w:color="auto"/>
            <w:bottom w:val="none" w:sz="0" w:space="0" w:color="auto"/>
            <w:right w:val="none" w:sz="0" w:space="0" w:color="auto"/>
          </w:divBdr>
        </w:div>
      </w:divsChild>
    </w:div>
    <w:div w:id="61878729">
      <w:bodyDiv w:val="1"/>
      <w:marLeft w:val="0"/>
      <w:marRight w:val="0"/>
      <w:marTop w:val="0"/>
      <w:marBottom w:val="0"/>
      <w:divBdr>
        <w:top w:val="none" w:sz="0" w:space="0" w:color="auto"/>
        <w:left w:val="none" w:sz="0" w:space="0" w:color="auto"/>
        <w:bottom w:val="none" w:sz="0" w:space="0" w:color="auto"/>
        <w:right w:val="none" w:sz="0" w:space="0" w:color="auto"/>
      </w:divBdr>
    </w:div>
    <w:div w:id="61948678">
      <w:bodyDiv w:val="1"/>
      <w:marLeft w:val="0"/>
      <w:marRight w:val="0"/>
      <w:marTop w:val="0"/>
      <w:marBottom w:val="0"/>
      <w:divBdr>
        <w:top w:val="none" w:sz="0" w:space="0" w:color="auto"/>
        <w:left w:val="none" w:sz="0" w:space="0" w:color="auto"/>
        <w:bottom w:val="none" w:sz="0" w:space="0" w:color="auto"/>
        <w:right w:val="none" w:sz="0" w:space="0" w:color="auto"/>
      </w:divBdr>
    </w:div>
    <w:div w:id="93599852">
      <w:bodyDiv w:val="1"/>
      <w:marLeft w:val="0"/>
      <w:marRight w:val="0"/>
      <w:marTop w:val="0"/>
      <w:marBottom w:val="0"/>
      <w:divBdr>
        <w:top w:val="none" w:sz="0" w:space="0" w:color="auto"/>
        <w:left w:val="none" w:sz="0" w:space="0" w:color="auto"/>
        <w:bottom w:val="none" w:sz="0" w:space="0" w:color="auto"/>
        <w:right w:val="none" w:sz="0" w:space="0" w:color="auto"/>
      </w:divBdr>
      <w:divsChild>
        <w:div w:id="1289431103">
          <w:marLeft w:val="0"/>
          <w:marRight w:val="0"/>
          <w:marTop w:val="0"/>
          <w:marBottom w:val="0"/>
          <w:divBdr>
            <w:top w:val="none" w:sz="0" w:space="0" w:color="auto"/>
            <w:left w:val="none" w:sz="0" w:space="0" w:color="auto"/>
            <w:bottom w:val="none" w:sz="0" w:space="0" w:color="auto"/>
            <w:right w:val="none" w:sz="0" w:space="0" w:color="auto"/>
          </w:divBdr>
        </w:div>
        <w:div w:id="1711296467">
          <w:marLeft w:val="0"/>
          <w:marRight w:val="0"/>
          <w:marTop w:val="0"/>
          <w:marBottom w:val="0"/>
          <w:divBdr>
            <w:top w:val="none" w:sz="0" w:space="0" w:color="auto"/>
            <w:left w:val="none" w:sz="0" w:space="0" w:color="auto"/>
            <w:bottom w:val="none" w:sz="0" w:space="0" w:color="auto"/>
            <w:right w:val="none" w:sz="0" w:space="0" w:color="auto"/>
          </w:divBdr>
        </w:div>
        <w:div w:id="1959218086">
          <w:marLeft w:val="0"/>
          <w:marRight w:val="0"/>
          <w:marTop w:val="0"/>
          <w:marBottom w:val="0"/>
          <w:divBdr>
            <w:top w:val="none" w:sz="0" w:space="0" w:color="auto"/>
            <w:left w:val="none" w:sz="0" w:space="0" w:color="auto"/>
            <w:bottom w:val="none" w:sz="0" w:space="0" w:color="auto"/>
            <w:right w:val="none" w:sz="0" w:space="0" w:color="auto"/>
          </w:divBdr>
        </w:div>
      </w:divsChild>
    </w:div>
    <w:div w:id="135613645">
      <w:bodyDiv w:val="1"/>
      <w:marLeft w:val="0"/>
      <w:marRight w:val="0"/>
      <w:marTop w:val="0"/>
      <w:marBottom w:val="0"/>
      <w:divBdr>
        <w:top w:val="none" w:sz="0" w:space="0" w:color="auto"/>
        <w:left w:val="none" w:sz="0" w:space="0" w:color="auto"/>
        <w:bottom w:val="none" w:sz="0" w:space="0" w:color="auto"/>
        <w:right w:val="none" w:sz="0" w:space="0" w:color="auto"/>
      </w:divBdr>
    </w:div>
    <w:div w:id="169375692">
      <w:bodyDiv w:val="1"/>
      <w:marLeft w:val="0"/>
      <w:marRight w:val="0"/>
      <w:marTop w:val="0"/>
      <w:marBottom w:val="0"/>
      <w:divBdr>
        <w:top w:val="none" w:sz="0" w:space="0" w:color="auto"/>
        <w:left w:val="none" w:sz="0" w:space="0" w:color="auto"/>
        <w:bottom w:val="none" w:sz="0" w:space="0" w:color="auto"/>
        <w:right w:val="none" w:sz="0" w:space="0" w:color="auto"/>
      </w:divBdr>
      <w:divsChild>
        <w:div w:id="506024226">
          <w:marLeft w:val="0"/>
          <w:marRight w:val="0"/>
          <w:marTop w:val="0"/>
          <w:marBottom w:val="101"/>
          <w:divBdr>
            <w:top w:val="none" w:sz="0" w:space="0" w:color="auto"/>
            <w:left w:val="none" w:sz="0" w:space="0" w:color="auto"/>
            <w:bottom w:val="none" w:sz="0" w:space="0" w:color="auto"/>
            <w:right w:val="none" w:sz="0" w:space="0" w:color="auto"/>
          </w:divBdr>
        </w:div>
        <w:div w:id="664236751">
          <w:marLeft w:val="0"/>
          <w:marRight w:val="0"/>
          <w:marTop w:val="0"/>
          <w:marBottom w:val="101"/>
          <w:divBdr>
            <w:top w:val="none" w:sz="0" w:space="0" w:color="auto"/>
            <w:left w:val="none" w:sz="0" w:space="0" w:color="auto"/>
            <w:bottom w:val="none" w:sz="0" w:space="0" w:color="auto"/>
            <w:right w:val="none" w:sz="0" w:space="0" w:color="auto"/>
          </w:divBdr>
        </w:div>
      </w:divsChild>
    </w:div>
    <w:div w:id="203253824">
      <w:bodyDiv w:val="1"/>
      <w:marLeft w:val="0"/>
      <w:marRight w:val="0"/>
      <w:marTop w:val="0"/>
      <w:marBottom w:val="0"/>
      <w:divBdr>
        <w:top w:val="none" w:sz="0" w:space="0" w:color="auto"/>
        <w:left w:val="none" w:sz="0" w:space="0" w:color="auto"/>
        <w:bottom w:val="none" w:sz="0" w:space="0" w:color="auto"/>
        <w:right w:val="none" w:sz="0" w:space="0" w:color="auto"/>
      </w:divBdr>
    </w:div>
    <w:div w:id="211121428">
      <w:bodyDiv w:val="1"/>
      <w:marLeft w:val="0"/>
      <w:marRight w:val="0"/>
      <w:marTop w:val="0"/>
      <w:marBottom w:val="0"/>
      <w:divBdr>
        <w:top w:val="none" w:sz="0" w:space="0" w:color="auto"/>
        <w:left w:val="none" w:sz="0" w:space="0" w:color="auto"/>
        <w:bottom w:val="none" w:sz="0" w:space="0" w:color="auto"/>
        <w:right w:val="none" w:sz="0" w:space="0" w:color="auto"/>
      </w:divBdr>
    </w:div>
    <w:div w:id="234097790">
      <w:bodyDiv w:val="1"/>
      <w:marLeft w:val="0"/>
      <w:marRight w:val="0"/>
      <w:marTop w:val="0"/>
      <w:marBottom w:val="0"/>
      <w:divBdr>
        <w:top w:val="none" w:sz="0" w:space="0" w:color="auto"/>
        <w:left w:val="none" w:sz="0" w:space="0" w:color="auto"/>
        <w:bottom w:val="none" w:sz="0" w:space="0" w:color="auto"/>
        <w:right w:val="none" w:sz="0" w:space="0" w:color="auto"/>
      </w:divBdr>
    </w:div>
    <w:div w:id="248851895">
      <w:bodyDiv w:val="1"/>
      <w:marLeft w:val="0"/>
      <w:marRight w:val="0"/>
      <w:marTop w:val="0"/>
      <w:marBottom w:val="0"/>
      <w:divBdr>
        <w:top w:val="none" w:sz="0" w:space="0" w:color="auto"/>
        <w:left w:val="none" w:sz="0" w:space="0" w:color="auto"/>
        <w:bottom w:val="none" w:sz="0" w:space="0" w:color="auto"/>
        <w:right w:val="none" w:sz="0" w:space="0" w:color="auto"/>
      </w:divBdr>
    </w:div>
    <w:div w:id="391731066">
      <w:bodyDiv w:val="1"/>
      <w:marLeft w:val="0"/>
      <w:marRight w:val="0"/>
      <w:marTop w:val="0"/>
      <w:marBottom w:val="0"/>
      <w:divBdr>
        <w:top w:val="none" w:sz="0" w:space="0" w:color="auto"/>
        <w:left w:val="none" w:sz="0" w:space="0" w:color="auto"/>
        <w:bottom w:val="none" w:sz="0" w:space="0" w:color="auto"/>
        <w:right w:val="none" w:sz="0" w:space="0" w:color="auto"/>
      </w:divBdr>
    </w:div>
    <w:div w:id="468282494">
      <w:bodyDiv w:val="1"/>
      <w:marLeft w:val="0"/>
      <w:marRight w:val="0"/>
      <w:marTop w:val="0"/>
      <w:marBottom w:val="0"/>
      <w:divBdr>
        <w:top w:val="none" w:sz="0" w:space="0" w:color="auto"/>
        <w:left w:val="none" w:sz="0" w:space="0" w:color="auto"/>
        <w:bottom w:val="none" w:sz="0" w:space="0" w:color="auto"/>
        <w:right w:val="none" w:sz="0" w:space="0" w:color="auto"/>
      </w:divBdr>
      <w:divsChild>
        <w:div w:id="2166791">
          <w:marLeft w:val="1354"/>
          <w:marRight w:val="0"/>
          <w:marTop w:val="86"/>
          <w:marBottom w:val="0"/>
          <w:divBdr>
            <w:top w:val="none" w:sz="0" w:space="0" w:color="auto"/>
            <w:left w:val="none" w:sz="0" w:space="0" w:color="auto"/>
            <w:bottom w:val="none" w:sz="0" w:space="0" w:color="auto"/>
            <w:right w:val="none" w:sz="0" w:space="0" w:color="auto"/>
          </w:divBdr>
        </w:div>
        <w:div w:id="77557218">
          <w:marLeft w:val="1354"/>
          <w:marRight w:val="0"/>
          <w:marTop w:val="86"/>
          <w:marBottom w:val="0"/>
          <w:divBdr>
            <w:top w:val="none" w:sz="0" w:space="0" w:color="auto"/>
            <w:left w:val="none" w:sz="0" w:space="0" w:color="auto"/>
            <w:bottom w:val="none" w:sz="0" w:space="0" w:color="auto"/>
            <w:right w:val="none" w:sz="0" w:space="0" w:color="auto"/>
          </w:divBdr>
        </w:div>
        <w:div w:id="1661805661">
          <w:marLeft w:val="1354"/>
          <w:marRight w:val="0"/>
          <w:marTop w:val="86"/>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081604">
      <w:bodyDiv w:val="1"/>
      <w:marLeft w:val="0"/>
      <w:marRight w:val="0"/>
      <w:marTop w:val="0"/>
      <w:marBottom w:val="0"/>
      <w:divBdr>
        <w:top w:val="none" w:sz="0" w:space="0" w:color="auto"/>
        <w:left w:val="none" w:sz="0" w:space="0" w:color="auto"/>
        <w:bottom w:val="none" w:sz="0" w:space="0" w:color="auto"/>
        <w:right w:val="none" w:sz="0" w:space="0" w:color="auto"/>
      </w:divBdr>
      <w:divsChild>
        <w:div w:id="875653272">
          <w:marLeft w:val="0"/>
          <w:marRight w:val="0"/>
          <w:marTop w:val="0"/>
          <w:marBottom w:val="0"/>
          <w:divBdr>
            <w:top w:val="none" w:sz="0" w:space="0" w:color="auto"/>
            <w:left w:val="none" w:sz="0" w:space="0" w:color="auto"/>
            <w:bottom w:val="none" w:sz="0" w:space="0" w:color="auto"/>
            <w:right w:val="none" w:sz="0" w:space="0" w:color="auto"/>
          </w:divBdr>
        </w:div>
        <w:div w:id="1004091680">
          <w:marLeft w:val="0"/>
          <w:marRight w:val="0"/>
          <w:marTop w:val="0"/>
          <w:marBottom w:val="0"/>
          <w:divBdr>
            <w:top w:val="none" w:sz="0" w:space="0" w:color="auto"/>
            <w:left w:val="none" w:sz="0" w:space="0" w:color="auto"/>
            <w:bottom w:val="none" w:sz="0" w:space="0" w:color="auto"/>
            <w:right w:val="none" w:sz="0" w:space="0" w:color="auto"/>
          </w:divBdr>
        </w:div>
      </w:divsChild>
    </w:div>
    <w:div w:id="573126256">
      <w:bodyDiv w:val="1"/>
      <w:marLeft w:val="0"/>
      <w:marRight w:val="0"/>
      <w:marTop w:val="0"/>
      <w:marBottom w:val="0"/>
      <w:divBdr>
        <w:top w:val="none" w:sz="0" w:space="0" w:color="auto"/>
        <w:left w:val="none" w:sz="0" w:space="0" w:color="auto"/>
        <w:bottom w:val="none" w:sz="0" w:space="0" w:color="auto"/>
        <w:right w:val="none" w:sz="0" w:space="0" w:color="auto"/>
      </w:divBdr>
    </w:div>
    <w:div w:id="614824891">
      <w:bodyDiv w:val="1"/>
      <w:marLeft w:val="0"/>
      <w:marRight w:val="0"/>
      <w:marTop w:val="0"/>
      <w:marBottom w:val="0"/>
      <w:divBdr>
        <w:top w:val="none" w:sz="0" w:space="0" w:color="auto"/>
        <w:left w:val="none" w:sz="0" w:space="0" w:color="auto"/>
        <w:bottom w:val="none" w:sz="0" w:space="0" w:color="auto"/>
        <w:right w:val="none" w:sz="0" w:space="0" w:color="auto"/>
      </w:divBdr>
      <w:divsChild>
        <w:div w:id="283074155">
          <w:marLeft w:val="0"/>
          <w:marRight w:val="0"/>
          <w:marTop w:val="0"/>
          <w:marBottom w:val="101"/>
          <w:divBdr>
            <w:top w:val="none" w:sz="0" w:space="0" w:color="auto"/>
            <w:left w:val="none" w:sz="0" w:space="0" w:color="auto"/>
            <w:bottom w:val="none" w:sz="0" w:space="0" w:color="auto"/>
            <w:right w:val="none" w:sz="0" w:space="0" w:color="auto"/>
          </w:divBdr>
        </w:div>
        <w:div w:id="1346128979">
          <w:marLeft w:val="0"/>
          <w:marRight w:val="0"/>
          <w:marTop w:val="0"/>
          <w:marBottom w:val="101"/>
          <w:divBdr>
            <w:top w:val="none" w:sz="0" w:space="0" w:color="auto"/>
            <w:left w:val="none" w:sz="0" w:space="0" w:color="auto"/>
            <w:bottom w:val="none" w:sz="0" w:space="0" w:color="auto"/>
            <w:right w:val="none" w:sz="0" w:space="0" w:color="auto"/>
          </w:divBdr>
        </w:div>
      </w:divsChild>
    </w:div>
    <w:div w:id="706099193">
      <w:bodyDiv w:val="1"/>
      <w:marLeft w:val="0"/>
      <w:marRight w:val="0"/>
      <w:marTop w:val="0"/>
      <w:marBottom w:val="0"/>
      <w:divBdr>
        <w:top w:val="none" w:sz="0" w:space="0" w:color="auto"/>
        <w:left w:val="none" w:sz="0" w:space="0" w:color="auto"/>
        <w:bottom w:val="none" w:sz="0" w:space="0" w:color="auto"/>
        <w:right w:val="none" w:sz="0" w:space="0" w:color="auto"/>
      </w:divBdr>
    </w:div>
    <w:div w:id="746271572">
      <w:bodyDiv w:val="1"/>
      <w:marLeft w:val="0"/>
      <w:marRight w:val="0"/>
      <w:marTop w:val="0"/>
      <w:marBottom w:val="0"/>
      <w:divBdr>
        <w:top w:val="none" w:sz="0" w:space="0" w:color="auto"/>
        <w:left w:val="none" w:sz="0" w:space="0" w:color="auto"/>
        <w:bottom w:val="none" w:sz="0" w:space="0" w:color="auto"/>
        <w:right w:val="none" w:sz="0" w:space="0" w:color="auto"/>
      </w:divBdr>
    </w:div>
    <w:div w:id="769355515">
      <w:bodyDiv w:val="1"/>
      <w:marLeft w:val="0"/>
      <w:marRight w:val="0"/>
      <w:marTop w:val="0"/>
      <w:marBottom w:val="0"/>
      <w:divBdr>
        <w:top w:val="none" w:sz="0" w:space="0" w:color="auto"/>
        <w:left w:val="none" w:sz="0" w:space="0" w:color="auto"/>
        <w:bottom w:val="none" w:sz="0" w:space="0" w:color="auto"/>
        <w:right w:val="none" w:sz="0" w:space="0" w:color="auto"/>
      </w:divBdr>
    </w:div>
    <w:div w:id="827290366">
      <w:bodyDiv w:val="1"/>
      <w:marLeft w:val="0"/>
      <w:marRight w:val="0"/>
      <w:marTop w:val="0"/>
      <w:marBottom w:val="0"/>
      <w:divBdr>
        <w:top w:val="none" w:sz="0" w:space="0" w:color="auto"/>
        <w:left w:val="none" w:sz="0" w:space="0" w:color="auto"/>
        <w:bottom w:val="none" w:sz="0" w:space="0" w:color="auto"/>
        <w:right w:val="none" w:sz="0" w:space="0" w:color="auto"/>
      </w:divBdr>
    </w:div>
    <w:div w:id="862288444">
      <w:bodyDiv w:val="1"/>
      <w:marLeft w:val="0"/>
      <w:marRight w:val="0"/>
      <w:marTop w:val="0"/>
      <w:marBottom w:val="0"/>
      <w:divBdr>
        <w:top w:val="none" w:sz="0" w:space="0" w:color="auto"/>
        <w:left w:val="none" w:sz="0" w:space="0" w:color="auto"/>
        <w:bottom w:val="none" w:sz="0" w:space="0" w:color="auto"/>
        <w:right w:val="none" w:sz="0" w:space="0" w:color="auto"/>
      </w:divBdr>
    </w:div>
    <w:div w:id="896285565">
      <w:bodyDiv w:val="1"/>
      <w:marLeft w:val="0"/>
      <w:marRight w:val="0"/>
      <w:marTop w:val="0"/>
      <w:marBottom w:val="0"/>
      <w:divBdr>
        <w:top w:val="none" w:sz="0" w:space="0" w:color="auto"/>
        <w:left w:val="none" w:sz="0" w:space="0" w:color="auto"/>
        <w:bottom w:val="none" w:sz="0" w:space="0" w:color="auto"/>
        <w:right w:val="none" w:sz="0" w:space="0" w:color="auto"/>
      </w:divBdr>
    </w:div>
    <w:div w:id="928273138">
      <w:bodyDiv w:val="1"/>
      <w:marLeft w:val="0"/>
      <w:marRight w:val="0"/>
      <w:marTop w:val="0"/>
      <w:marBottom w:val="0"/>
      <w:divBdr>
        <w:top w:val="none" w:sz="0" w:space="0" w:color="auto"/>
        <w:left w:val="none" w:sz="0" w:space="0" w:color="auto"/>
        <w:bottom w:val="none" w:sz="0" w:space="0" w:color="auto"/>
        <w:right w:val="none" w:sz="0" w:space="0" w:color="auto"/>
      </w:divBdr>
    </w:div>
    <w:div w:id="1008556259">
      <w:bodyDiv w:val="1"/>
      <w:marLeft w:val="0"/>
      <w:marRight w:val="0"/>
      <w:marTop w:val="0"/>
      <w:marBottom w:val="0"/>
      <w:divBdr>
        <w:top w:val="none" w:sz="0" w:space="0" w:color="auto"/>
        <w:left w:val="none" w:sz="0" w:space="0" w:color="auto"/>
        <w:bottom w:val="none" w:sz="0" w:space="0" w:color="auto"/>
        <w:right w:val="none" w:sz="0" w:space="0" w:color="auto"/>
      </w:divBdr>
    </w:div>
    <w:div w:id="1025061500">
      <w:bodyDiv w:val="1"/>
      <w:marLeft w:val="0"/>
      <w:marRight w:val="0"/>
      <w:marTop w:val="0"/>
      <w:marBottom w:val="0"/>
      <w:divBdr>
        <w:top w:val="none" w:sz="0" w:space="0" w:color="auto"/>
        <w:left w:val="none" w:sz="0" w:space="0" w:color="auto"/>
        <w:bottom w:val="none" w:sz="0" w:space="0" w:color="auto"/>
        <w:right w:val="none" w:sz="0" w:space="0" w:color="auto"/>
      </w:divBdr>
    </w:div>
    <w:div w:id="1046875250">
      <w:bodyDiv w:val="1"/>
      <w:marLeft w:val="0"/>
      <w:marRight w:val="0"/>
      <w:marTop w:val="0"/>
      <w:marBottom w:val="0"/>
      <w:divBdr>
        <w:top w:val="none" w:sz="0" w:space="0" w:color="auto"/>
        <w:left w:val="none" w:sz="0" w:space="0" w:color="auto"/>
        <w:bottom w:val="none" w:sz="0" w:space="0" w:color="auto"/>
        <w:right w:val="none" w:sz="0" w:space="0" w:color="auto"/>
      </w:divBdr>
    </w:div>
    <w:div w:id="1109081718">
      <w:bodyDiv w:val="1"/>
      <w:marLeft w:val="0"/>
      <w:marRight w:val="0"/>
      <w:marTop w:val="0"/>
      <w:marBottom w:val="0"/>
      <w:divBdr>
        <w:top w:val="none" w:sz="0" w:space="0" w:color="auto"/>
        <w:left w:val="none" w:sz="0" w:space="0" w:color="auto"/>
        <w:bottom w:val="none" w:sz="0" w:space="0" w:color="auto"/>
        <w:right w:val="none" w:sz="0" w:space="0" w:color="auto"/>
      </w:divBdr>
    </w:div>
    <w:div w:id="1183938692">
      <w:bodyDiv w:val="1"/>
      <w:marLeft w:val="0"/>
      <w:marRight w:val="0"/>
      <w:marTop w:val="0"/>
      <w:marBottom w:val="0"/>
      <w:divBdr>
        <w:top w:val="none" w:sz="0" w:space="0" w:color="auto"/>
        <w:left w:val="none" w:sz="0" w:space="0" w:color="auto"/>
        <w:bottom w:val="none" w:sz="0" w:space="0" w:color="auto"/>
        <w:right w:val="none" w:sz="0" w:space="0" w:color="auto"/>
      </w:divBdr>
      <w:divsChild>
        <w:div w:id="1057045934">
          <w:marLeft w:val="0"/>
          <w:marRight w:val="0"/>
          <w:marTop w:val="0"/>
          <w:marBottom w:val="101"/>
          <w:divBdr>
            <w:top w:val="none" w:sz="0" w:space="0" w:color="auto"/>
            <w:left w:val="none" w:sz="0" w:space="0" w:color="auto"/>
            <w:bottom w:val="none" w:sz="0" w:space="0" w:color="auto"/>
            <w:right w:val="none" w:sz="0" w:space="0" w:color="auto"/>
          </w:divBdr>
        </w:div>
        <w:div w:id="1510947802">
          <w:marLeft w:val="0"/>
          <w:marRight w:val="0"/>
          <w:marTop w:val="0"/>
          <w:marBottom w:val="101"/>
          <w:divBdr>
            <w:top w:val="none" w:sz="0" w:space="0" w:color="auto"/>
            <w:left w:val="none" w:sz="0" w:space="0" w:color="auto"/>
            <w:bottom w:val="none" w:sz="0" w:space="0" w:color="auto"/>
            <w:right w:val="none" w:sz="0" w:space="0" w:color="auto"/>
          </w:divBdr>
        </w:div>
        <w:div w:id="1753622446">
          <w:marLeft w:val="0"/>
          <w:marRight w:val="0"/>
          <w:marTop w:val="0"/>
          <w:marBottom w:val="101"/>
          <w:divBdr>
            <w:top w:val="none" w:sz="0" w:space="0" w:color="auto"/>
            <w:left w:val="none" w:sz="0" w:space="0" w:color="auto"/>
            <w:bottom w:val="none" w:sz="0" w:space="0" w:color="auto"/>
            <w:right w:val="none" w:sz="0" w:space="0" w:color="auto"/>
          </w:divBdr>
        </w:div>
      </w:divsChild>
    </w:div>
    <w:div w:id="1218857349">
      <w:bodyDiv w:val="1"/>
      <w:marLeft w:val="0"/>
      <w:marRight w:val="0"/>
      <w:marTop w:val="0"/>
      <w:marBottom w:val="0"/>
      <w:divBdr>
        <w:top w:val="none" w:sz="0" w:space="0" w:color="auto"/>
        <w:left w:val="none" w:sz="0" w:space="0" w:color="auto"/>
        <w:bottom w:val="none" w:sz="0" w:space="0" w:color="auto"/>
        <w:right w:val="none" w:sz="0" w:space="0" w:color="auto"/>
      </w:divBdr>
    </w:div>
    <w:div w:id="1244875195">
      <w:bodyDiv w:val="1"/>
      <w:marLeft w:val="0"/>
      <w:marRight w:val="0"/>
      <w:marTop w:val="0"/>
      <w:marBottom w:val="0"/>
      <w:divBdr>
        <w:top w:val="none" w:sz="0" w:space="0" w:color="auto"/>
        <w:left w:val="none" w:sz="0" w:space="0" w:color="auto"/>
        <w:bottom w:val="none" w:sz="0" w:space="0" w:color="auto"/>
        <w:right w:val="none" w:sz="0" w:space="0" w:color="auto"/>
      </w:divBdr>
    </w:div>
    <w:div w:id="1343122884">
      <w:bodyDiv w:val="1"/>
      <w:marLeft w:val="0"/>
      <w:marRight w:val="0"/>
      <w:marTop w:val="0"/>
      <w:marBottom w:val="0"/>
      <w:divBdr>
        <w:top w:val="none" w:sz="0" w:space="0" w:color="auto"/>
        <w:left w:val="none" w:sz="0" w:space="0" w:color="auto"/>
        <w:bottom w:val="none" w:sz="0" w:space="0" w:color="auto"/>
        <w:right w:val="none" w:sz="0" w:space="0" w:color="auto"/>
      </w:divBdr>
    </w:div>
    <w:div w:id="1376738466">
      <w:bodyDiv w:val="1"/>
      <w:marLeft w:val="0"/>
      <w:marRight w:val="0"/>
      <w:marTop w:val="0"/>
      <w:marBottom w:val="0"/>
      <w:divBdr>
        <w:top w:val="none" w:sz="0" w:space="0" w:color="auto"/>
        <w:left w:val="none" w:sz="0" w:space="0" w:color="auto"/>
        <w:bottom w:val="none" w:sz="0" w:space="0" w:color="auto"/>
        <w:right w:val="none" w:sz="0" w:space="0" w:color="auto"/>
      </w:divBdr>
    </w:div>
    <w:div w:id="1408265994">
      <w:bodyDiv w:val="1"/>
      <w:marLeft w:val="0"/>
      <w:marRight w:val="0"/>
      <w:marTop w:val="0"/>
      <w:marBottom w:val="0"/>
      <w:divBdr>
        <w:top w:val="none" w:sz="0" w:space="0" w:color="auto"/>
        <w:left w:val="none" w:sz="0" w:space="0" w:color="auto"/>
        <w:bottom w:val="none" w:sz="0" w:space="0" w:color="auto"/>
        <w:right w:val="none" w:sz="0" w:space="0" w:color="auto"/>
      </w:divBdr>
      <w:divsChild>
        <w:div w:id="43992091">
          <w:marLeft w:val="720"/>
          <w:marRight w:val="0"/>
          <w:marTop w:val="0"/>
          <w:marBottom w:val="90"/>
          <w:divBdr>
            <w:top w:val="none" w:sz="0" w:space="0" w:color="auto"/>
            <w:left w:val="none" w:sz="0" w:space="0" w:color="auto"/>
            <w:bottom w:val="none" w:sz="0" w:space="0" w:color="auto"/>
            <w:right w:val="none" w:sz="0" w:space="0" w:color="auto"/>
          </w:divBdr>
        </w:div>
        <w:div w:id="1767723916">
          <w:marLeft w:val="0"/>
          <w:marRight w:val="0"/>
          <w:marTop w:val="0"/>
          <w:marBottom w:val="90"/>
          <w:divBdr>
            <w:top w:val="none" w:sz="0" w:space="0" w:color="auto"/>
            <w:left w:val="none" w:sz="0" w:space="0" w:color="auto"/>
            <w:bottom w:val="none" w:sz="0" w:space="0" w:color="auto"/>
            <w:right w:val="none" w:sz="0" w:space="0" w:color="auto"/>
          </w:divBdr>
        </w:div>
      </w:divsChild>
    </w:div>
    <w:div w:id="1471366493">
      <w:bodyDiv w:val="1"/>
      <w:marLeft w:val="0"/>
      <w:marRight w:val="0"/>
      <w:marTop w:val="0"/>
      <w:marBottom w:val="0"/>
      <w:divBdr>
        <w:top w:val="none" w:sz="0" w:space="0" w:color="auto"/>
        <w:left w:val="none" w:sz="0" w:space="0" w:color="auto"/>
        <w:bottom w:val="none" w:sz="0" w:space="0" w:color="auto"/>
        <w:right w:val="none" w:sz="0" w:space="0" w:color="auto"/>
      </w:divBdr>
      <w:divsChild>
        <w:div w:id="244800844">
          <w:marLeft w:val="288"/>
          <w:marRight w:val="0"/>
          <w:marTop w:val="0"/>
          <w:marBottom w:val="100"/>
          <w:divBdr>
            <w:top w:val="none" w:sz="0" w:space="0" w:color="auto"/>
            <w:left w:val="none" w:sz="0" w:space="0" w:color="auto"/>
            <w:bottom w:val="none" w:sz="0" w:space="0" w:color="auto"/>
            <w:right w:val="none" w:sz="0" w:space="0" w:color="auto"/>
          </w:divBdr>
        </w:div>
        <w:div w:id="309789767">
          <w:marLeft w:val="0"/>
          <w:marRight w:val="0"/>
          <w:marTop w:val="0"/>
          <w:marBottom w:val="100"/>
          <w:divBdr>
            <w:top w:val="none" w:sz="0" w:space="0" w:color="auto"/>
            <w:left w:val="none" w:sz="0" w:space="0" w:color="auto"/>
            <w:bottom w:val="none" w:sz="0" w:space="0" w:color="auto"/>
            <w:right w:val="none" w:sz="0" w:space="0" w:color="auto"/>
          </w:divBdr>
        </w:div>
        <w:div w:id="1242716882">
          <w:marLeft w:val="288"/>
          <w:marRight w:val="0"/>
          <w:marTop w:val="0"/>
          <w:marBottom w:val="100"/>
          <w:divBdr>
            <w:top w:val="none" w:sz="0" w:space="0" w:color="auto"/>
            <w:left w:val="none" w:sz="0" w:space="0" w:color="auto"/>
            <w:bottom w:val="none" w:sz="0" w:space="0" w:color="auto"/>
            <w:right w:val="none" w:sz="0" w:space="0" w:color="auto"/>
          </w:divBdr>
        </w:div>
      </w:divsChild>
    </w:div>
    <w:div w:id="1474833245">
      <w:bodyDiv w:val="1"/>
      <w:marLeft w:val="0"/>
      <w:marRight w:val="0"/>
      <w:marTop w:val="0"/>
      <w:marBottom w:val="0"/>
      <w:divBdr>
        <w:top w:val="none" w:sz="0" w:space="0" w:color="auto"/>
        <w:left w:val="none" w:sz="0" w:space="0" w:color="auto"/>
        <w:bottom w:val="none" w:sz="0" w:space="0" w:color="auto"/>
        <w:right w:val="none" w:sz="0" w:space="0" w:color="auto"/>
      </w:divBdr>
    </w:div>
    <w:div w:id="1484464018">
      <w:bodyDiv w:val="1"/>
      <w:marLeft w:val="0"/>
      <w:marRight w:val="0"/>
      <w:marTop w:val="0"/>
      <w:marBottom w:val="0"/>
      <w:divBdr>
        <w:top w:val="none" w:sz="0" w:space="0" w:color="auto"/>
        <w:left w:val="none" w:sz="0" w:space="0" w:color="auto"/>
        <w:bottom w:val="none" w:sz="0" w:space="0" w:color="auto"/>
        <w:right w:val="none" w:sz="0" w:space="0" w:color="auto"/>
      </w:divBdr>
    </w:div>
    <w:div w:id="1520317224">
      <w:bodyDiv w:val="1"/>
      <w:marLeft w:val="0"/>
      <w:marRight w:val="0"/>
      <w:marTop w:val="0"/>
      <w:marBottom w:val="0"/>
      <w:divBdr>
        <w:top w:val="none" w:sz="0" w:space="0" w:color="auto"/>
        <w:left w:val="none" w:sz="0" w:space="0" w:color="auto"/>
        <w:bottom w:val="none" w:sz="0" w:space="0" w:color="auto"/>
        <w:right w:val="none" w:sz="0" w:space="0" w:color="auto"/>
      </w:divBdr>
    </w:div>
    <w:div w:id="1531843464">
      <w:bodyDiv w:val="1"/>
      <w:marLeft w:val="0"/>
      <w:marRight w:val="0"/>
      <w:marTop w:val="0"/>
      <w:marBottom w:val="0"/>
      <w:divBdr>
        <w:top w:val="none" w:sz="0" w:space="0" w:color="auto"/>
        <w:left w:val="none" w:sz="0" w:space="0" w:color="auto"/>
        <w:bottom w:val="none" w:sz="0" w:space="0" w:color="auto"/>
        <w:right w:val="none" w:sz="0" w:space="0" w:color="auto"/>
      </w:divBdr>
    </w:div>
    <w:div w:id="1608272356">
      <w:bodyDiv w:val="1"/>
      <w:marLeft w:val="0"/>
      <w:marRight w:val="0"/>
      <w:marTop w:val="0"/>
      <w:marBottom w:val="0"/>
      <w:divBdr>
        <w:top w:val="none" w:sz="0" w:space="0" w:color="auto"/>
        <w:left w:val="none" w:sz="0" w:space="0" w:color="auto"/>
        <w:bottom w:val="none" w:sz="0" w:space="0" w:color="auto"/>
        <w:right w:val="none" w:sz="0" w:space="0" w:color="auto"/>
      </w:divBdr>
    </w:div>
    <w:div w:id="1667629536">
      <w:bodyDiv w:val="1"/>
      <w:marLeft w:val="0"/>
      <w:marRight w:val="0"/>
      <w:marTop w:val="0"/>
      <w:marBottom w:val="0"/>
      <w:divBdr>
        <w:top w:val="none" w:sz="0" w:space="0" w:color="auto"/>
        <w:left w:val="none" w:sz="0" w:space="0" w:color="auto"/>
        <w:bottom w:val="none" w:sz="0" w:space="0" w:color="auto"/>
        <w:right w:val="none" w:sz="0" w:space="0" w:color="auto"/>
      </w:divBdr>
    </w:div>
    <w:div w:id="1669598772">
      <w:bodyDiv w:val="1"/>
      <w:marLeft w:val="0"/>
      <w:marRight w:val="0"/>
      <w:marTop w:val="0"/>
      <w:marBottom w:val="0"/>
      <w:divBdr>
        <w:top w:val="none" w:sz="0" w:space="0" w:color="auto"/>
        <w:left w:val="none" w:sz="0" w:space="0" w:color="auto"/>
        <w:bottom w:val="none" w:sz="0" w:space="0" w:color="auto"/>
        <w:right w:val="none" w:sz="0" w:space="0" w:color="auto"/>
      </w:divBdr>
    </w:div>
    <w:div w:id="1763335262">
      <w:bodyDiv w:val="1"/>
      <w:marLeft w:val="0"/>
      <w:marRight w:val="0"/>
      <w:marTop w:val="0"/>
      <w:marBottom w:val="0"/>
      <w:divBdr>
        <w:top w:val="none" w:sz="0" w:space="0" w:color="auto"/>
        <w:left w:val="none" w:sz="0" w:space="0" w:color="auto"/>
        <w:bottom w:val="none" w:sz="0" w:space="0" w:color="auto"/>
        <w:right w:val="none" w:sz="0" w:space="0" w:color="auto"/>
      </w:divBdr>
    </w:div>
    <w:div w:id="1767844057">
      <w:bodyDiv w:val="1"/>
      <w:marLeft w:val="0"/>
      <w:marRight w:val="0"/>
      <w:marTop w:val="0"/>
      <w:marBottom w:val="0"/>
      <w:divBdr>
        <w:top w:val="none" w:sz="0" w:space="0" w:color="auto"/>
        <w:left w:val="none" w:sz="0" w:space="0" w:color="auto"/>
        <w:bottom w:val="none" w:sz="0" w:space="0" w:color="auto"/>
        <w:right w:val="none" w:sz="0" w:space="0" w:color="auto"/>
      </w:divBdr>
    </w:div>
    <w:div w:id="1792016788">
      <w:bodyDiv w:val="1"/>
      <w:marLeft w:val="0"/>
      <w:marRight w:val="0"/>
      <w:marTop w:val="0"/>
      <w:marBottom w:val="0"/>
      <w:divBdr>
        <w:top w:val="none" w:sz="0" w:space="0" w:color="auto"/>
        <w:left w:val="none" w:sz="0" w:space="0" w:color="auto"/>
        <w:bottom w:val="none" w:sz="0" w:space="0" w:color="auto"/>
        <w:right w:val="none" w:sz="0" w:space="0" w:color="auto"/>
      </w:divBdr>
      <w:divsChild>
        <w:div w:id="79958967">
          <w:marLeft w:val="0"/>
          <w:marRight w:val="0"/>
          <w:marTop w:val="101"/>
          <w:marBottom w:val="101"/>
          <w:divBdr>
            <w:top w:val="none" w:sz="0" w:space="0" w:color="auto"/>
            <w:left w:val="none" w:sz="0" w:space="0" w:color="auto"/>
            <w:bottom w:val="none" w:sz="0" w:space="0" w:color="auto"/>
            <w:right w:val="none" w:sz="0" w:space="0" w:color="auto"/>
          </w:divBdr>
        </w:div>
      </w:divsChild>
    </w:div>
    <w:div w:id="1823504954">
      <w:bodyDiv w:val="1"/>
      <w:marLeft w:val="0"/>
      <w:marRight w:val="0"/>
      <w:marTop w:val="0"/>
      <w:marBottom w:val="0"/>
      <w:divBdr>
        <w:top w:val="none" w:sz="0" w:space="0" w:color="auto"/>
        <w:left w:val="none" w:sz="0" w:space="0" w:color="auto"/>
        <w:bottom w:val="none" w:sz="0" w:space="0" w:color="auto"/>
        <w:right w:val="none" w:sz="0" w:space="0" w:color="auto"/>
      </w:divBdr>
    </w:div>
    <w:div w:id="1849562557">
      <w:bodyDiv w:val="1"/>
      <w:marLeft w:val="0"/>
      <w:marRight w:val="0"/>
      <w:marTop w:val="0"/>
      <w:marBottom w:val="0"/>
      <w:divBdr>
        <w:top w:val="none" w:sz="0" w:space="0" w:color="auto"/>
        <w:left w:val="none" w:sz="0" w:space="0" w:color="auto"/>
        <w:bottom w:val="none" w:sz="0" w:space="0" w:color="auto"/>
        <w:right w:val="none" w:sz="0" w:space="0" w:color="auto"/>
      </w:divBdr>
    </w:div>
    <w:div w:id="1881671227">
      <w:bodyDiv w:val="1"/>
      <w:marLeft w:val="0"/>
      <w:marRight w:val="0"/>
      <w:marTop w:val="0"/>
      <w:marBottom w:val="0"/>
      <w:divBdr>
        <w:top w:val="none" w:sz="0" w:space="0" w:color="auto"/>
        <w:left w:val="none" w:sz="0" w:space="0" w:color="auto"/>
        <w:bottom w:val="none" w:sz="0" w:space="0" w:color="auto"/>
        <w:right w:val="none" w:sz="0" w:space="0" w:color="auto"/>
      </w:divBdr>
    </w:div>
    <w:div w:id="1937791154">
      <w:bodyDiv w:val="1"/>
      <w:marLeft w:val="0"/>
      <w:marRight w:val="0"/>
      <w:marTop w:val="0"/>
      <w:marBottom w:val="0"/>
      <w:divBdr>
        <w:top w:val="none" w:sz="0" w:space="0" w:color="auto"/>
        <w:left w:val="none" w:sz="0" w:space="0" w:color="auto"/>
        <w:bottom w:val="none" w:sz="0" w:space="0" w:color="auto"/>
        <w:right w:val="none" w:sz="0" w:space="0" w:color="auto"/>
      </w:divBdr>
    </w:div>
    <w:div w:id="1953172562">
      <w:bodyDiv w:val="1"/>
      <w:marLeft w:val="0"/>
      <w:marRight w:val="0"/>
      <w:marTop w:val="0"/>
      <w:marBottom w:val="0"/>
      <w:divBdr>
        <w:top w:val="none" w:sz="0" w:space="0" w:color="auto"/>
        <w:left w:val="none" w:sz="0" w:space="0" w:color="auto"/>
        <w:bottom w:val="none" w:sz="0" w:space="0" w:color="auto"/>
        <w:right w:val="none" w:sz="0" w:space="0" w:color="auto"/>
      </w:divBdr>
    </w:div>
    <w:div w:id="1975065613">
      <w:bodyDiv w:val="1"/>
      <w:marLeft w:val="0"/>
      <w:marRight w:val="0"/>
      <w:marTop w:val="0"/>
      <w:marBottom w:val="0"/>
      <w:divBdr>
        <w:top w:val="none" w:sz="0" w:space="0" w:color="auto"/>
        <w:left w:val="none" w:sz="0" w:space="0" w:color="auto"/>
        <w:bottom w:val="none" w:sz="0" w:space="0" w:color="auto"/>
        <w:right w:val="none" w:sz="0" w:space="0" w:color="auto"/>
      </w:divBdr>
    </w:div>
    <w:div w:id="1988973363">
      <w:bodyDiv w:val="1"/>
      <w:marLeft w:val="0"/>
      <w:marRight w:val="0"/>
      <w:marTop w:val="0"/>
      <w:marBottom w:val="0"/>
      <w:divBdr>
        <w:top w:val="none" w:sz="0" w:space="0" w:color="auto"/>
        <w:left w:val="none" w:sz="0" w:space="0" w:color="auto"/>
        <w:bottom w:val="none" w:sz="0" w:space="0" w:color="auto"/>
        <w:right w:val="none" w:sz="0" w:space="0" w:color="auto"/>
      </w:divBdr>
      <w:divsChild>
        <w:div w:id="175580369">
          <w:marLeft w:val="0"/>
          <w:marRight w:val="0"/>
          <w:marTop w:val="0"/>
          <w:marBottom w:val="101"/>
          <w:divBdr>
            <w:top w:val="none" w:sz="0" w:space="0" w:color="auto"/>
            <w:left w:val="none" w:sz="0" w:space="0" w:color="auto"/>
            <w:bottom w:val="none" w:sz="0" w:space="0" w:color="auto"/>
            <w:right w:val="none" w:sz="0" w:space="0" w:color="auto"/>
          </w:divBdr>
        </w:div>
        <w:div w:id="235940076">
          <w:marLeft w:val="0"/>
          <w:marRight w:val="0"/>
          <w:marTop w:val="0"/>
          <w:marBottom w:val="101"/>
          <w:divBdr>
            <w:top w:val="none" w:sz="0" w:space="0" w:color="auto"/>
            <w:left w:val="none" w:sz="0" w:space="0" w:color="auto"/>
            <w:bottom w:val="none" w:sz="0" w:space="0" w:color="auto"/>
            <w:right w:val="none" w:sz="0" w:space="0" w:color="auto"/>
          </w:divBdr>
        </w:div>
        <w:div w:id="532377873">
          <w:marLeft w:val="0"/>
          <w:marRight w:val="0"/>
          <w:marTop w:val="0"/>
          <w:marBottom w:val="101"/>
          <w:divBdr>
            <w:top w:val="none" w:sz="0" w:space="0" w:color="auto"/>
            <w:left w:val="none" w:sz="0" w:space="0" w:color="auto"/>
            <w:bottom w:val="none" w:sz="0" w:space="0" w:color="auto"/>
            <w:right w:val="none" w:sz="0" w:space="0" w:color="auto"/>
          </w:divBdr>
        </w:div>
        <w:div w:id="1070268433">
          <w:marLeft w:val="0"/>
          <w:marRight w:val="0"/>
          <w:marTop w:val="0"/>
          <w:marBottom w:val="101"/>
          <w:divBdr>
            <w:top w:val="none" w:sz="0" w:space="0" w:color="auto"/>
            <w:left w:val="none" w:sz="0" w:space="0" w:color="auto"/>
            <w:bottom w:val="none" w:sz="0" w:space="0" w:color="auto"/>
            <w:right w:val="none" w:sz="0" w:space="0" w:color="auto"/>
          </w:divBdr>
        </w:div>
        <w:div w:id="1440949887">
          <w:marLeft w:val="0"/>
          <w:marRight w:val="0"/>
          <w:marTop w:val="0"/>
          <w:marBottom w:val="101"/>
          <w:divBdr>
            <w:top w:val="none" w:sz="0" w:space="0" w:color="auto"/>
            <w:left w:val="none" w:sz="0" w:space="0" w:color="auto"/>
            <w:bottom w:val="none" w:sz="0" w:space="0" w:color="auto"/>
            <w:right w:val="none" w:sz="0" w:space="0" w:color="auto"/>
          </w:divBdr>
        </w:div>
        <w:div w:id="1662852265">
          <w:marLeft w:val="0"/>
          <w:marRight w:val="0"/>
          <w:marTop w:val="0"/>
          <w:marBottom w:val="101"/>
          <w:divBdr>
            <w:top w:val="none" w:sz="0" w:space="0" w:color="auto"/>
            <w:left w:val="none" w:sz="0" w:space="0" w:color="auto"/>
            <w:bottom w:val="none" w:sz="0" w:space="0" w:color="auto"/>
            <w:right w:val="none" w:sz="0" w:space="0" w:color="auto"/>
          </w:divBdr>
        </w:div>
        <w:div w:id="1782341402">
          <w:marLeft w:val="0"/>
          <w:marRight w:val="0"/>
          <w:marTop w:val="0"/>
          <w:marBottom w:val="101"/>
          <w:divBdr>
            <w:top w:val="none" w:sz="0" w:space="0" w:color="auto"/>
            <w:left w:val="none" w:sz="0" w:space="0" w:color="auto"/>
            <w:bottom w:val="none" w:sz="0" w:space="0" w:color="auto"/>
            <w:right w:val="none" w:sz="0" w:space="0" w:color="auto"/>
          </w:divBdr>
        </w:div>
        <w:div w:id="1787772390">
          <w:marLeft w:val="0"/>
          <w:marRight w:val="0"/>
          <w:marTop w:val="0"/>
          <w:marBottom w:val="101"/>
          <w:divBdr>
            <w:top w:val="none" w:sz="0" w:space="0" w:color="auto"/>
            <w:left w:val="none" w:sz="0" w:space="0" w:color="auto"/>
            <w:bottom w:val="none" w:sz="0" w:space="0" w:color="auto"/>
            <w:right w:val="none" w:sz="0" w:space="0" w:color="auto"/>
          </w:divBdr>
        </w:div>
        <w:div w:id="1820070242">
          <w:marLeft w:val="0"/>
          <w:marRight w:val="0"/>
          <w:marTop w:val="0"/>
          <w:marBottom w:val="101"/>
          <w:divBdr>
            <w:top w:val="none" w:sz="0" w:space="0" w:color="auto"/>
            <w:left w:val="none" w:sz="0" w:space="0" w:color="auto"/>
            <w:bottom w:val="none" w:sz="0" w:space="0" w:color="auto"/>
            <w:right w:val="none" w:sz="0" w:space="0" w:color="auto"/>
          </w:divBdr>
        </w:div>
      </w:divsChild>
    </w:div>
    <w:div w:id="1994868279">
      <w:bodyDiv w:val="1"/>
      <w:marLeft w:val="0"/>
      <w:marRight w:val="0"/>
      <w:marTop w:val="0"/>
      <w:marBottom w:val="0"/>
      <w:divBdr>
        <w:top w:val="none" w:sz="0" w:space="0" w:color="auto"/>
        <w:left w:val="none" w:sz="0" w:space="0" w:color="auto"/>
        <w:bottom w:val="none" w:sz="0" w:space="0" w:color="auto"/>
        <w:right w:val="none" w:sz="0" w:space="0" w:color="auto"/>
      </w:divBdr>
    </w:div>
    <w:div w:id="2019383496">
      <w:bodyDiv w:val="1"/>
      <w:marLeft w:val="0"/>
      <w:marRight w:val="0"/>
      <w:marTop w:val="0"/>
      <w:marBottom w:val="0"/>
      <w:divBdr>
        <w:top w:val="none" w:sz="0" w:space="0" w:color="auto"/>
        <w:left w:val="none" w:sz="0" w:space="0" w:color="auto"/>
        <w:bottom w:val="none" w:sz="0" w:space="0" w:color="auto"/>
        <w:right w:val="none" w:sz="0" w:space="0" w:color="auto"/>
      </w:divBdr>
    </w:div>
    <w:div w:id="2037459757">
      <w:bodyDiv w:val="1"/>
      <w:marLeft w:val="0"/>
      <w:marRight w:val="0"/>
      <w:marTop w:val="0"/>
      <w:marBottom w:val="0"/>
      <w:divBdr>
        <w:top w:val="none" w:sz="0" w:space="0" w:color="auto"/>
        <w:left w:val="none" w:sz="0" w:space="0" w:color="auto"/>
        <w:bottom w:val="none" w:sz="0" w:space="0" w:color="auto"/>
        <w:right w:val="none" w:sz="0" w:space="0" w:color="auto"/>
      </w:divBdr>
    </w:div>
    <w:div w:id="2056198755">
      <w:bodyDiv w:val="1"/>
      <w:marLeft w:val="0"/>
      <w:marRight w:val="0"/>
      <w:marTop w:val="0"/>
      <w:marBottom w:val="0"/>
      <w:divBdr>
        <w:top w:val="none" w:sz="0" w:space="0" w:color="auto"/>
        <w:left w:val="none" w:sz="0" w:space="0" w:color="auto"/>
        <w:bottom w:val="none" w:sz="0" w:space="0" w:color="auto"/>
        <w:right w:val="none" w:sz="0" w:space="0" w:color="auto"/>
      </w:divBdr>
    </w:div>
    <w:div w:id="2096507507">
      <w:bodyDiv w:val="1"/>
      <w:marLeft w:val="0"/>
      <w:marRight w:val="0"/>
      <w:marTop w:val="0"/>
      <w:marBottom w:val="0"/>
      <w:divBdr>
        <w:top w:val="none" w:sz="0" w:space="0" w:color="auto"/>
        <w:left w:val="none" w:sz="0" w:space="0" w:color="auto"/>
        <w:bottom w:val="none" w:sz="0" w:space="0" w:color="auto"/>
        <w:right w:val="none" w:sz="0" w:space="0" w:color="auto"/>
      </w:divBdr>
    </w:div>
    <w:div w:id="2102942576">
      <w:bodyDiv w:val="1"/>
      <w:marLeft w:val="0"/>
      <w:marRight w:val="0"/>
      <w:marTop w:val="0"/>
      <w:marBottom w:val="0"/>
      <w:divBdr>
        <w:top w:val="none" w:sz="0" w:space="0" w:color="auto"/>
        <w:left w:val="none" w:sz="0" w:space="0" w:color="auto"/>
        <w:bottom w:val="none" w:sz="0" w:space="0" w:color="auto"/>
        <w:right w:val="none" w:sz="0" w:space="0" w:color="auto"/>
      </w:divBdr>
    </w:div>
    <w:div w:id="2140342155">
      <w:bodyDiv w:val="1"/>
      <w:marLeft w:val="0"/>
      <w:marRight w:val="0"/>
      <w:marTop w:val="0"/>
      <w:marBottom w:val="0"/>
      <w:divBdr>
        <w:top w:val="none" w:sz="0" w:space="0" w:color="auto"/>
        <w:left w:val="none" w:sz="0" w:space="0" w:color="auto"/>
        <w:bottom w:val="none" w:sz="0" w:space="0" w:color="auto"/>
        <w:right w:val="none" w:sz="0" w:space="0" w:color="auto"/>
      </w:divBdr>
      <w:divsChild>
        <w:div w:id="90975408">
          <w:marLeft w:val="0"/>
          <w:marRight w:val="0"/>
          <w:marTop w:val="0"/>
          <w:marBottom w:val="0"/>
          <w:divBdr>
            <w:top w:val="none" w:sz="0" w:space="0" w:color="auto"/>
            <w:left w:val="none" w:sz="0" w:space="0" w:color="auto"/>
            <w:bottom w:val="none" w:sz="0" w:space="0" w:color="auto"/>
            <w:right w:val="none" w:sz="0" w:space="0" w:color="auto"/>
          </w:divBdr>
        </w:div>
        <w:div w:id="134029267">
          <w:marLeft w:val="0"/>
          <w:marRight w:val="0"/>
          <w:marTop w:val="0"/>
          <w:marBottom w:val="0"/>
          <w:divBdr>
            <w:top w:val="none" w:sz="0" w:space="0" w:color="auto"/>
            <w:left w:val="none" w:sz="0" w:space="0" w:color="auto"/>
            <w:bottom w:val="none" w:sz="0" w:space="0" w:color="auto"/>
            <w:right w:val="none" w:sz="0" w:space="0" w:color="auto"/>
          </w:divBdr>
        </w:div>
        <w:div w:id="136147949">
          <w:marLeft w:val="0"/>
          <w:marRight w:val="0"/>
          <w:marTop w:val="0"/>
          <w:marBottom w:val="0"/>
          <w:divBdr>
            <w:top w:val="none" w:sz="0" w:space="0" w:color="auto"/>
            <w:left w:val="none" w:sz="0" w:space="0" w:color="auto"/>
            <w:bottom w:val="none" w:sz="0" w:space="0" w:color="auto"/>
            <w:right w:val="none" w:sz="0" w:space="0" w:color="auto"/>
          </w:divBdr>
        </w:div>
        <w:div w:id="268468047">
          <w:marLeft w:val="0"/>
          <w:marRight w:val="0"/>
          <w:marTop w:val="0"/>
          <w:marBottom w:val="0"/>
          <w:divBdr>
            <w:top w:val="none" w:sz="0" w:space="0" w:color="auto"/>
            <w:left w:val="none" w:sz="0" w:space="0" w:color="auto"/>
            <w:bottom w:val="none" w:sz="0" w:space="0" w:color="auto"/>
            <w:right w:val="none" w:sz="0" w:space="0" w:color="auto"/>
          </w:divBdr>
        </w:div>
        <w:div w:id="543521256">
          <w:marLeft w:val="0"/>
          <w:marRight w:val="0"/>
          <w:marTop w:val="0"/>
          <w:marBottom w:val="0"/>
          <w:divBdr>
            <w:top w:val="none" w:sz="0" w:space="0" w:color="auto"/>
            <w:left w:val="none" w:sz="0" w:space="0" w:color="auto"/>
            <w:bottom w:val="none" w:sz="0" w:space="0" w:color="auto"/>
            <w:right w:val="none" w:sz="0" w:space="0" w:color="auto"/>
          </w:divBdr>
        </w:div>
        <w:div w:id="587228082">
          <w:marLeft w:val="0"/>
          <w:marRight w:val="0"/>
          <w:marTop w:val="0"/>
          <w:marBottom w:val="0"/>
          <w:divBdr>
            <w:top w:val="none" w:sz="0" w:space="0" w:color="auto"/>
            <w:left w:val="none" w:sz="0" w:space="0" w:color="auto"/>
            <w:bottom w:val="none" w:sz="0" w:space="0" w:color="auto"/>
            <w:right w:val="none" w:sz="0" w:space="0" w:color="auto"/>
          </w:divBdr>
        </w:div>
        <w:div w:id="729813377">
          <w:marLeft w:val="0"/>
          <w:marRight w:val="0"/>
          <w:marTop w:val="0"/>
          <w:marBottom w:val="0"/>
          <w:divBdr>
            <w:top w:val="none" w:sz="0" w:space="0" w:color="auto"/>
            <w:left w:val="none" w:sz="0" w:space="0" w:color="auto"/>
            <w:bottom w:val="none" w:sz="0" w:space="0" w:color="auto"/>
            <w:right w:val="none" w:sz="0" w:space="0" w:color="auto"/>
          </w:divBdr>
        </w:div>
        <w:div w:id="1073772151">
          <w:marLeft w:val="0"/>
          <w:marRight w:val="0"/>
          <w:marTop w:val="0"/>
          <w:marBottom w:val="0"/>
          <w:divBdr>
            <w:top w:val="none" w:sz="0" w:space="0" w:color="auto"/>
            <w:left w:val="none" w:sz="0" w:space="0" w:color="auto"/>
            <w:bottom w:val="none" w:sz="0" w:space="0" w:color="auto"/>
            <w:right w:val="none" w:sz="0" w:space="0" w:color="auto"/>
          </w:divBdr>
        </w:div>
        <w:div w:id="1095398174">
          <w:marLeft w:val="0"/>
          <w:marRight w:val="0"/>
          <w:marTop w:val="0"/>
          <w:marBottom w:val="0"/>
          <w:divBdr>
            <w:top w:val="none" w:sz="0" w:space="0" w:color="auto"/>
            <w:left w:val="none" w:sz="0" w:space="0" w:color="auto"/>
            <w:bottom w:val="none" w:sz="0" w:space="0" w:color="auto"/>
            <w:right w:val="none" w:sz="0" w:space="0" w:color="auto"/>
          </w:divBdr>
        </w:div>
        <w:div w:id="1145706167">
          <w:marLeft w:val="0"/>
          <w:marRight w:val="0"/>
          <w:marTop w:val="0"/>
          <w:marBottom w:val="0"/>
          <w:divBdr>
            <w:top w:val="none" w:sz="0" w:space="0" w:color="auto"/>
            <w:left w:val="none" w:sz="0" w:space="0" w:color="auto"/>
            <w:bottom w:val="none" w:sz="0" w:space="0" w:color="auto"/>
            <w:right w:val="none" w:sz="0" w:space="0" w:color="auto"/>
          </w:divBdr>
        </w:div>
        <w:div w:id="117630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710650">
          <w:marLeft w:val="0"/>
          <w:marRight w:val="0"/>
          <w:marTop w:val="0"/>
          <w:marBottom w:val="0"/>
          <w:divBdr>
            <w:top w:val="none" w:sz="0" w:space="0" w:color="auto"/>
            <w:left w:val="none" w:sz="0" w:space="0" w:color="auto"/>
            <w:bottom w:val="none" w:sz="0" w:space="0" w:color="auto"/>
            <w:right w:val="none" w:sz="0" w:space="0" w:color="auto"/>
          </w:divBdr>
        </w:div>
        <w:div w:id="1461024273">
          <w:marLeft w:val="0"/>
          <w:marRight w:val="0"/>
          <w:marTop w:val="0"/>
          <w:marBottom w:val="0"/>
          <w:divBdr>
            <w:top w:val="none" w:sz="0" w:space="0" w:color="auto"/>
            <w:left w:val="none" w:sz="0" w:space="0" w:color="auto"/>
            <w:bottom w:val="none" w:sz="0" w:space="0" w:color="auto"/>
            <w:right w:val="none" w:sz="0" w:space="0" w:color="auto"/>
          </w:divBdr>
        </w:div>
        <w:div w:id="1467774380">
          <w:marLeft w:val="0"/>
          <w:marRight w:val="0"/>
          <w:marTop w:val="0"/>
          <w:marBottom w:val="0"/>
          <w:divBdr>
            <w:top w:val="none" w:sz="0" w:space="0" w:color="auto"/>
            <w:left w:val="none" w:sz="0" w:space="0" w:color="auto"/>
            <w:bottom w:val="none" w:sz="0" w:space="0" w:color="auto"/>
            <w:right w:val="none" w:sz="0" w:space="0" w:color="auto"/>
          </w:divBdr>
        </w:div>
        <w:div w:id="1489979028">
          <w:marLeft w:val="0"/>
          <w:marRight w:val="0"/>
          <w:marTop w:val="0"/>
          <w:marBottom w:val="0"/>
          <w:divBdr>
            <w:top w:val="none" w:sz="0" w:space="0" w:color="auto"/>
            <w:left w:val="none" w:sz="0" w:space="0" w:color="auto"/>
            <w:bottom w:val="none" w:sz="0" w:space="0" w:color="auto"/>
            <w:right w:val="none" w:sz="0" w:space="0" w:color="auto"/>
          </w:divBdr>
        </w:div>
        <w:div w:id="1635255564">
          <w:marLeft w:val="0"/>
          <w:marRight w:val="0"/>
          <w:marTop w:val="0"/>
          <w:marBottom w:val="0"/>
          <w:divBdr>
            <w:top w:val="none" w:sz="0" w:space="0" w:color="auto"/>
            <w:left w:val="none" w:sz="0" w:space="0" w:color="auto"/>
            <w:bottom w:val="none" w:sz="0" w:space="0" w:color="auto"/>
            <w:right w:val="none" w:sz="0" w:space="0" w:color="auto"/>
          </w:divBdr>
        </w:div>
        <w:div w:id="1678730132">
          <w:marLeft w:val="0"/>
          <w:marRight w:val="0"/>
          <w:marTop w:val="0"/>
          <w:marBottom w:val="0"/>
          <w:divBdr>
            <w:top w:val="none" w:sz="0" w:space="0" w:color="auto"/>
            <w:left w:val="none" w:sz="0" w:space="0" w:color="auto"/>
            <w:bottom w:val="none" w:sz="0" w:space="0" w:color="auto"/>
            <w:right w:val="none" w:sz="0" w:space="0" w:color="auto"/>
          </w:divBdr>
        </w:div>
        <w:div w:id="1772433203">
          <w:marLeft w:val="0"/>
          <w:marRight w:val="0"/>
          <w:marTop w:val="0"/>
          <w:marBottom w:val="0"/>
          <w:divBdr>
            <w:top w:val="none" w:sz="0" w:space="0" w:color="auto"/>
            <w:left w:val="none" w:sz="0" w:space="0" w:color="auto"/>
            <w:bottom w:val="none" w:sz="0" w:space="0" w:color="auto"/>
            <w:right w:val="none" w:sz="0" w:space="0" w:color="auto"/>
          </w:divBdr>
        </w:div>
        <w:div w:id="1999574179">
          <w:marLeft w:val="0"/>
          <w:marRight w:val="0"/>
          <w:marTop w:val="0"/>
          <w:marBottom w:val="0"/>
          <w:divBdr>
            <w:top w:val="none" w:sz="0" w:space="0" w:color="auto"/>
            <w:left w:val="none" w:sz="0" w:space="0" w:color="auto"/>
            <w:bottom w:val="none" w:sz="0" w:space="0" w:color="auto"/>
            <w:right w:val="none" w:sz="0" w:space="0" w:color="auto"/>
          </w:divBdr>
        </w:div>
        <w:div w:id="2129926690">
          <w:marLeft w:val="0"/>
          <w:marRight w:val="0"/>
          <w:marTop w:val="0"/>
          <w:marBottom w:val="0"/>
          <w:divBdr>
            <w:top w:val="none" w:sz="0" w:space="0" w:color="auto"/>
            <w:left w:val="none" w:sz="0" w:space="0" w:color="auto"/>
            <w:bottom w:val="none" w:sz="0" w:space="0" w:color="auto"/>
            <w:right w:val="none" w:sz="0" w:space="0" w:color="auto"/>
          </w:divBdr>
        </w:div>
      </w:divsChild>
    </w:div>
    <w:div w:id="21444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be.ewald@ift.org.mx"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racio.villalobos@ift.org.mx"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multibanda.cl/wp-content/uploads/2016/12/RES_1463_EXENTA_16_JUN_2016.pdf" TargetMode="External"/><Relationship Id="rId2" Type="http://schemas.openxmlformats.org/officeDocument/2006/relationships/hyperlink" Target="https://sutel.go.cr/sites/default/files/homologacion_de_equipos._2013._sutel-rcs-332-2013_proced_para_terminales_moviles_y_reqstos_para_acreditacion_de_peritos_para_medir_desempeno_y_funcionamiento_de_equipos_terminales_de_tele.pdf" TargetMode="External"/><Relationship Id="rId1" Type="http://schemas.openxmlformats.org/officeDocument/2006/relationships/hyperlink" Target="https://www.ncc.gov.tw/english/news_detail.aspx?site_content_sn=102&amp;is_history=0&amp;pages=0&amp;sn_f=14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174F-EFD8-40F7-A3D0-3E992FAB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15035</Words>
  <Characters>85706</Characters>
  <Application>Microsoft Office Word</Application>
  <DocSecurity>0</DocSecurity>
  <Lines>714</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Nimbe Leonor Ewald Arostegui</cp:lastModifiedBy>
  <cp:revision>2</cp:revision>
  <cp:lastPrinted>2017-03-14T14:11:00Z</cp:lastPrinted>
  <dcterms:created xsi:type="dcterms:W3CDTF">2017-11-16T16:37:00Z</dcterms:created>
  <dcterms:modified xsi:type="dcterms:W3CDTF">2017-11-16T16:37:00Z</dcterms:modified>
</cp:coreProperties>
</file>