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9FEC3" w14:textId="229A9298" w:rsidR="006E341B" w:rsidRPr="006E341B" w:rsidRDefault="006E341B" w:rsidP="006E341B">
      <w:pPr>
        <w:spacing w:after="101" w:line="214" w:lineRule="exact"/>
        <w:jc w:val="both"/>
        <w:rPr>
          <w:rFonts w:ascii="ITC Avant Garde" w:eastAsia="Times New Roman" w:hAnsi="ITC Avant Garde" w:cs="Tahoma"/>
          <w:b/>
          <w:bCs/>
          <w:lang w:val="es-ES_tradnl" w:eastAsia="es-MX"/>
        </w:rPr>
      </w:pPr>
      <w:r w:rsidRPr="006E341B">
        <w:rPr>
          <w:rFonts w:ascii="ITC Avant Garde" w:eastAsia="Times New Roman" w:hAnsi="ITC Avant Garde" w:cs="Tahoma"/>
          <w:b/>
          <w:bCs/>
          <w:lang w:val="es-ES_tradnl" w:eastAsia="es-MX"/>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59FF6890" w14:textId="77777777" w:rsidR="006E341B" w:rsidRPr="006E341B" w:rsidRDefault="006E341B" w:rsidP="006E341B">
      <w:pPr>
        <w:spacing w:after="101" w:line="214" w:lineRule="exact"/>
        <w:jc w:val="both"/>
        <w:rPr>
          <w:rFonts w:ascii="ITC Avant Garde" w:eastAsia="Times New Roman" w:hAnsi="ITC Avant Garde" w:cs="Tahoma"/>
          <w:b/>
          <w:bCs/>
          <w:lang w:val="es-ES_tradnl" w:eastAsia="es-MX"/>
        </w:rPr>
      </w:pPr>
    </w:p>
    <w:p w14:paraId="365B4177" w14:textId="77777777" w:rsidR="006E341B" w:rsidRPr="006E341B" w:rsidRDefault="006E341B" w:rsidP="006E341B">
      <w:pPr>
        <w:spacing w:after="101" w:line="214" w:lineRule="exact"/>
        <w:jc w:val="center"/>
        <w:rPr>
          <w:rFonts w:ascii="ITC Avant Garde" w:eastAsia="Times New Roman" w:hAnsi="ITC Avant Garde" w:cs="Tahoma"/>
          <w:b/>
          <w:bCs/>
          <w:lang w:val="es-ES_tradnl" w:eastAsia="es-MX"/>
        </w:rPr>
      </w:pPr>
      <w:r w:rsidRPr="006E341B">
        <w:rPr>
          <w:rFonts w:ascii="ITC Avant Garde" w:eastAsia="Times New Roman" w:hAnsi="ITC Avant Garde" w:cs="Tahoma"/>
          <w:b/>
          <w:lang w:val="es-ES_tradnl" w:eastAsia="es-MX"/>
        </w:rPr>
        <w:t>ANTECEDENTES</w:t>
      </w:r>
    </w:p>
    <w:p w14:paraId="65EB544F" w14:textId="77777777" w:rsidR="006E341B" w:rsidRPr="006E341B" w:rsidRDefault="006E341B" w:rsidP="00945DEA">
      <w:pPr>
        <w:tabs>
          <w:tab w:val="left" w:pos="720"/>
        </w:tabs>
        <w:spacing w:after="101" w:line="214" w:lineRule="exact"/>
        <w:jc w:val="both"/>
        <w:rPr>
          <w:rFonts w:ascii="ITC Avant Garde" w:eastAsia="Times New Roman" w:hAnsi="ITC Avant Garde" w:cs="Times New Roman"/>
          <w:lang w:val="es-ES" w:eastAsia="es-ES"/>
        </w:rPr>
      </w:pPr>
    </w:p>
    <w:p w14:paraId="100E51FD" w14:textId="77777777" w:rsidR="006E341B" w:rsidRPr="006E341B" w:rsidRDefault="006E341B" w:rsidP="006E341B">
      <w:pPr>
        <w:numPr>
          <w:ilvl w:val="0"/>
          <w:numId w:val="5"/>
        </w:num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11 de junio de 2013 se publicó en el Diario Oficial de la Federación (en lo sucesivo, el “DOF”) el </w:t>
      </w:r>
      <w:r w:rsidRPr="006E341B">
        <w:rPr>
          <w:rFonts w:ascii="ITC Avant Garde" w:eastAsia="Times New Roman" w:hAnsi="ITC Avant Garde" w:cs="Calibri"/>
          <w:i/>
          <w:lang w:eastAsia="es-MX"/>
        </w:rPr>
        <w:t>"Decreto por el que se reforman y adicionan diversas disposiciones de los artículos 6o., 7o., 27, 28, 73, 78, 94 y 105 de la Constitución Política de los Estados Unidos Mexicanos, en materia de telecomunicaciones"</w:t>
      </w:r>
      <w:r w:rsidRPr="006E341B">
        <w:rPr>
          <w:rFonts w:ascii="ITC Avant Garde" w:eastAsia="Times New Roman" w:hAnsi="ITC Avant Garde" w:cs="Calibri"/>
          <w:lang w:eastAsia="es-MX"/>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106C10FC" w14:textId="77777777" w:rsidR="006E341B" w:rsidRPr="006E341B" w:rsidRDefault="006E341B" w:rsidP="006E341B">
      <w:pPr>
        <w:spacing w:after="0" w:line="276" w:lineRule="auto"/>
        <w:ind w:left="1080"/>
        <w:jc w:val="both"/>
        <w:rPr>
          <w:rFonts w:ascii="ITC Avant Garde" w:eastAsia="Times New Roman" w:hAnsi="ITC Avant Garde" w:cs="Times New Roman"/>
          <w:sz w:val="20"/>
          <w:szCs w:val="24"/>
          <w:lang w:val="es-ES" w:eastAsia="es-ES"/>
        </w:rPr>
      </w:pPr>
    </w:p>
    <w:p w14:paraId="1CD43E42" w14:textId="77777777" w:rsidR="006E341B" w:rsidRPr="006E341B" w:rsidRDefault="006E341B" w:rsidP="006E341B">
      <w:pPr>
        <w:numPr>
          <w:ilvl w:val="0"/>
          <w:numId w:val="5"/>
        </w:num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w:t>
      </w:r>
      <w:r w:rsidR="00A42605">
        <w:rPr>
          <w:rFonts w:ascii="ITC Avant Garde" w:eastAsia="Times New Roman" w:hAnsi="ITC Avant Garde" w:cs="Calibri"/>
          <w:lang w:eastAsia="es-MX"/>
        </w:rPr>
        <w:t>e</w:t>
      </w:r>
      <w:r w:rsidRPr="006E341B">
        <w:rPr>
          <w:rFonts w:ascii="ITC Avant Garde" w:eastAsia="Times New Roman" w:hAnsi="ITC Avant Garde" w:cs="Calibri"/>
          <w:lang w:eastAsia="es-MX"/>
        </w:rPr>
        <w:t>l “</w:t>
      </w:r>
      <w:r w:rsidR="00A42605">
        <w:rPr>
          <w:rFonts w:ascii="ITC Avant Garde" w:eastAsia="Times New Roman" w:hAnsi="ITC Avant Garde" w:cs="Calibri"/>
          <w:lang w:eastAsia="es-MX"/>
        </w:rPr>
        <w:t>Decreto de Ley</w:t>
      </w:r>
      <w:r w:rsidRPr="006E341B">
        <w:rPr>
          <w:rFonts w:ascii="ITC Avant Garde" w:eastAsia="Times New Roman" w:hAnsi="ITC Avant Garde" w:cs="Calibri"/>
          <w:lang w:eastAsia="es-MX"/>
        </w:rPr>
        <w:t>”), ordenamiento que entró en vigor treinta días naturales siguientes a su publicación, es decir, el 13 de agosto de 2014.</w:t>
      </w:r>
    </w:p>
    <w:p w14:paraId="156531FC" w14:textId="77777777" w:rsidR="006E341B" w:rsidRPr="006E341B" w:rsidRDefault="006E341B" w:rsidP="006E341B">
      <w:pPr>
        <w:spacing w:line="259" w:lineRule="atLeast"/>
        <w:ind w:left="720"/>
        <w:rPr>
          <w:rFonts w:ascii="ITC Avant Garde" w:eastAsia="Times New Roman" w:hAnsi="ITC Avant Garde" w:cs="Calibri"/>
          <w:lang w:eastAsia="es-MX"/>
        </w:rPr>
      </w:pPr>
    </w:p>
    <w:p w14:paraId="663B5960" w14:textId="77777777" w:rsidR="006E341B" w:rsidRPr="006E341B" w:rsidRDefault="006E341B" w:rsidP="006E341B">
      <w:pPr>
        <w:numPr>
          <w:ilvl w:val="0"/>
          <w:numId w:val="5"/>
        </w:num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4 de septiembre de 2014, se publicó en el DOF el Estatuto Orgánico del Instituto Federal de Telecomunicaciones (en lo sucesivo, el "Estatuto Orgánico"), mismo que entró en vigor el día 26 del mismo mes y año y el </w:t>
      </w:r>
      <w:r w:rsidR="00AB3416">
        <w:rPr>
          <w:rFonts w:ascii="ITC Avant Garde" w:eastAsia="Times New Roman" w:hAnsi="ITC Avant Garde" w:cs="Calibri"/>
          <w:lang w:eastAsia="es-MX"/>
        </w:rPr>
        <w:t>20</w:t>
      </w:r>
      <w:r w:rsidRPr="006E341B">
        <w:rPr>
          <w:rFonts w:ascii="ITC Avant Garde" w:eastAsia="Times New Roman" w:hAnsi="ITC Avant Garde" w:cs="Calibri"/>
          <w:lang w:eastAsia="es-MX"/>
        </w:rPr>
        <w:t xml:space="preserve"> de </w:t>
      </w:r>
      <w:r w:rsidR="00AB3416">
        <w:rPr>
          <w:rFonts w:ascii="ITC Avant Garde" w:eastAsia="Times New Roman" w:hAnsi="ITC Avant Garde" w:cs="Calibri"/>
          <w:lang w:eastAsia="es-MX"/>
        </w:rPr>
        <w:t>julio</w:t>
      </w:r>
      <w:r w:rsidR="00AB3416" w:rsidRPr="006E341B">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de 201</w:t>
      </w:r>
      <w:r w:rsidR="00AB3416">
        <w:rPr>
          <w:rFonts w:ascii="ITC Avant Garde" w:eastAsia="Times New Roman" w:hAnsi="ITC Avant Garde" w:cs="Calibri"/>
          <w:lang w:eastAsia="es-MX"/>
        </w:rPr>
        <w:t>7</w:t>
      </w:r>
      <w:r w:rsidRPr="006E341B">
        <w:rPr>
          <w:rFonts w:ascii="ITC Avant Garde" w:eastAsia="Times New Roman" w:hAnsi="ITC Avant Garde" w:cs="Calibri"/>
          <w:lang w:eastAsia="es-MX"/>
        </w:rPr>
        <w:t xml:space="preserve"> se publicó en el DOF la última modificación al mismo.</w:t>
      </w:r>
    </w:p>
    <w:p w14:paraId="0DE0A6FF" w14:textId="77777777" w:rsidR="006E341B" w:rsidRPr="006E341B" w:rsidRDefault="006E341B" w:rsidP="006E341B">
      <w:pPr>
        <w:spacing w:line="259" w:lineRule="atLeast"/>
        <w:ind w:left="720"/>
        <w:rPr>
          <w:rFonts w:ascii="ITC Avant Garde" w:eastAsia="Times New Roman" w:hAnsi="ITC Avant Garde" w:cs="Calibri"/>
          <w:lang w:eastAsia="es-MX"/>
        </w:rPr>
      </w:pPr>
    </w:p>
    <w:p w14:paraId="7E73466C" w14:textId="77777777" w:rsidR="000E3F33" w:rsidRDefault="006E341B" w:rsidP="006E341B">
      <w:pPr>
        <w:numPr>
          <w:ilvl w:val="0"/>
          <w:numId w:val="5"/>
        </w:num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27 de abril de 2017, se publicó en el DOF la “Disposición Técnica IFT-011-2017: Especificaciones de los Equipos Terminales Móviles que puedan hacer uso del espectro radioeléctrico o ser conectados a redes de telecomunicaciones. Parte 1. Código de Identidad de Fabricación del </w:t>
      </w:r>
      <w:r w:rsidRPr="006E341B">
        <w:rPr>
          <w:rFonts w:ascii="ITC Avant Garde" w:eastAsia="Times New Roman" w:hAnsi="ITC Avant Garde" w:cs="Calibri"/>
          <w:lang w:eastAsia="es-MX"/>
        </w:rPr>
        <w:lastRenderedPageBreak/>
        <w:t>Equipo (IMEI) y Funcionalidad de Receptor de Radiodifusión Sonora en Frecuencia Modulada (FM)” la cual establece las especificaciones relativas al IMEI, así como el requerimiento de no bloqueo de la funcionalidad de receptor de radiodifusión sonora en FM de los Equipos Terminales Móviles que puedan hacer uso del espectro radioeléctrico o puedan ser conectados a redes de telecomunicaciones; así como los métodos de prueba para comprobar el cumplimiento de dichas especificaciones y requerimiento</w:t>
      </w:r>
      <w:r w:rsidR="000E3F33">
        <w:rPr>
          <w:rFonts w:ascii="ITC Avant Garde" w:eastAsia="Times New Roman" w:hAnsi="ITC Avant Garde" w:cs="Calibri"/>
          <w:lang w:eastAsia="es-MX"/>
        </w:rPr>
        <w:t>s.</w:t>
      </w:r>
    </w:p>
    <w:p w14:paraId="27618982" w14:textId="77777777" w:rsidR="000E3F33" w:rsidRDefault="000E3F33" w:rsidP="000E3F33">
      <w:pPr>
        <w:pStyle w:val="Prrafodelista"/>
        <w:rPr>
          <w:rFonts w:ascii="ITC Avant Garde" w:hAnsi="ITC Avant Garde"/>
        </w:rPr>
      </w:pPr>
    </w:p>
    <w:p w14:paraId="63E505D5" w14:textId="77777777" w:rsidR="006E341B" w:rsidRDefault="000E3F33" w:rsidP="000E3F33">
      <w:pPr>
        <w:numPr>
          <w:ilvl w:val="0"/>
          <w:numId w:val="5"/>
        </w:numPr>
        <w:spacing w:after="0"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 xml:space="preserve">El 12 de julio de 2017, el Pleno del Instituto Federal de Telecomunicaciones </w:t>
      </w:r>
      <w:r w:rsidR="00D55846">
        <w:rPr>
          <w:rFonts w:ascii="ITC Avant Garde" w:eastAsia="Times New Roman" w:hAnsi="ITC Avant Garde" w:cs="Calibri"/>
          <w:lang w:eastAsia="es-MX"/>
        </w:rPr>
        <w:t xml:space="preserve">mediante </w:t>
      </w:r>
      <w:r>
        <w:rPr>
          <w:rFonts w:ascii="ITC Avant Garde" w:eastAsia="Times New Roman" w:hAnsi="ITC Avant Garde" w:cs="Calibri"/>
          <w:lang w:eastAsia="es-MX"/>
        </w:rPr>
        <w:t xml:space="preserve">Acuerdo </w:t>
      </w:r>
      <w:r w:rsidR="00046548">
        <w:rPr>
          <w:rFonts w:ascii="ITC Avant Garde" w:eastAsia="Times New Roman" w:hAnsi="ITC Avant Garde" w:cs="Calibri"/>
          <w:lang w:eastAsia="es-MX"/>
        </w:rPr>
        <w:t>P/IFT/120717/419</w:t>
      </w:r>
      <w:r w:rsidR="00D55846">
        <w:rPr>
          <w:rFonts w:ascii="ITC Avant Garde" w:eastAsia="Times New Roman" w:hAnsi="ITC Avant Garde" w:cs="Calibri"/>
          <w:lang w:eastAsia="es-MX"/>
        </w:rPr>
        <w:t xml:space="preserve">, aprobó someter a consulta pública el </w:t>
      </w:r>
      <w:r w:rsidRPr="000E3F33">
        <w:rPr>
          <w:rFonts w:ascii="ITC Avant Garde" w:eastAsia="Times New Roman" w:hAnsi="ITC Avant Garde" w:cs="Calibri"/>
          <w:lang w:eastAsia="es-MX"/>
        </w:rPr>
        <w:t>“ANTEPROYECTO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w:t>
      </w:r>
      <w:r>
        <w:rPr>
          <w:rFonts w:ascii="ITC Avant Garde" w:eastAsia="Times New Roman" w:hAnsi="ITC Avant Garde" w:cs="Calibri"/>
          <w:lang w:eastAsia="es-MX"/>
        </w:rPr>
        <w:t xml:space="preserve">, </w:t>
      </w:r>
      <w:r w:rsidRPr="000E3F33">
        <w:rPr>
          <w:rFonts w:ascii="ITC Avant Garde" w:eastAsia="Times New Roman" w:hAnsi="ITC Avant Garde" w:cs="Calibri"/>
          <w:lang w:eastAsia="es-MX"/>
        </w:rPr>
        <w:t>durante un periodo de treinta días naturales, comprendido del 14 de julio de 2017 al 12 de agosto de 2017.</w:t>
      </w:r>
    </w:p>
    <w:p w14:paraId="641DB2C4" w14:textId="77777777" w:rsidR="00A93823" w:rsidRDefault="00A93823" w:rsidP="00A93823">
      <w:pPr>
        <w:pStyle w:val="Prrafodelista"/>
        <w:rPr>
          <w:rFonts w:ascii="ITC Avant Garde" w:hAnsi="ITC Avant Garde"/>
        </w:rPr>
      </w:pPr>
    </w:p>
    <w:p w14:paraId="625FE2BE" w14:textId="77777777" w:rsidR="00A93823" w:rsidRPr="000E3F33" w:rsidRDefault="00A93823" w:rsidP="00A93823">
      <w:pPr>
        <w:numPr>
          <w:ilvl w:val="0"/>
          <w:numId w:val="5"/>
        </w:numPr>
        <w:spacing w:after="0"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El 21 de septiembre de 2017 se publicó en el DOF el “</w:t>
      </w:r>
      <w:r w:rsidRPr="00A93823">
        <w:rPr>
          <w:rFonts w:ascii="ITC Avant Garde" w:eastAsia="Times New Roman" w:hAnsi="ITC Avant Garde" w:cs="Calibri"/>
          <w:lang w:eastAsia="es-MX"/>
        </w:rPr>
        <w:t>ACUERDO mediante el cual el Pleno del Instituto Federal de Telecomunicaciones modifica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Pr>
          <w:rFonts w:ascii="ITC Avant Garde" w:eastAsia="Times New Roman" w:hAnsi="ITC Avant Garde" w:cs="Calibri"/>
          <w:lang w:eastAsia="es-MX"/>
        </w:rPr>
        <w:t>” que permite</w:t>
      </w:r>
      <w:r w:rsidRPr="00A93823">
        <w:rPr>
          <w:rFonts w:ascii="ITC Avant Garde" w:eastAsia="Times New Roman" w:hAnsi="ITC Avant Garde" w:cs="Calibri"/>
          <w:lang w:eastAsia="es-MX"/>
        </w:rPr>
        <w:t xml:space="preserve"> hacer más eficiente la evaluación de la conformidad de </w:t>
      </w:r>
      <w:r>
        <w:rPr>
          <w:rFonts w:ascii="ITC Avant Garde" w:eastAsia="Times New Roman" w:hAnsi="ITC Avant Garde" w:cs="Calibri"/>
          <w:lang w:eastAsia="es-MX"/>
        </w:rPr>
        <w:t>dicha</w:t>
      </w:r>
      <w:r w:rsidRPr="00A93823">
        <w:rPr>
          <w:rFonts w:ascii="ITC Avant Garde" w:eastAsia="Times New Roman" w:hAnsi="ITC Avant Garde" w:cs="Calibri"/>
          <w:lang w:eastAsia="es-MX"/>
        </w:rPr>
        <w:t xml:space="preserve"> Disposición Técnica.</w:t>
      </w:r>
    </w:p>
    <w:p w14:paraId="138A6F30" w14:textId="77777777" w:rsidR="006E341B" w:rsidRPr="006E341B" w:rsidRDefault="006E341B" w:rsidP="006E341B">
      <w:pPr>
        <w:spacing w:line="259" w:lineRule="atLeast"/>
        <w:ind w:left="720"/>
        <w:rPr>
          <w:rFonts w:ascii="ITC Avant Garde" w:eastAsia="Times New Roman" w:hAnsi="ITC Avant Garde" w:cs="Calibri"/>
          <w:lang w:eastAsia="es-MX"/>
        </w:rPr>
      </w:pPr>
    </w:p>
    <w:p w14:paraId="40D847F3" w14:textId="77777777" w:rsidR="006E341B" w:rsidRPr="006E341B" w:rsidRDefault="006E341B" w:rsidP="006E341B">
      <w:pPr>
        <w:tabs>
          <w:tab w:val="left" w:pos="0"/>
        </w:tabs>
        <w:autoSpaceDE w:val="0"/>
        <w:autoSpaceDN w:val="0"/>
        <w:adjustRightInd w:val="0"/>
        <w:spacing w:after="0" w:line="276" w:lineRule="auto"/>
        <w:jc w:val="center"/>
        <w:rPr>
          <w:rFonts w:ascii="ITC Avant Garde" w:eastAsia="MS Mincho" w:hAnsi="ITC Avant Garde" w:cs="Times New Roman"/>
          <w:b/>
          <w:bCs/>
          <w:lang w:val="es-ES_tradnl" w:eastAsia="es-MX"/>
        </w:rPr>
      </w:pPr>
      <w:r w:rsidRPr="006E341B">
        <w:rPr>
          <w:rFonts w:ascii="ITC Avant Garde" w:eastAsia="MS Mincho" w:hAnsi="ITC Avant Garde" w:cs="Times New Roman"/>
          <w:b/>
          <w:bCs/>
          <w:lang w:val="es-ES_tradnl" w:eastAsia="es-MX"/>
        </w:rPr>
        <w:t>C O N S I D E R A N D O</w:t>
      </w:r>
    </w:p>
    <w:p w14:paraId="444D0201" w14:textId="77777777" w:rsidR="006E341B" w:rsidRPr="006E341B" w:rsidRDefault="006E341B" w:rsidP="006E341B">
      <w:pPr>
        <w:spacing w:after="0" w:line="276" w:lineRule="auto"/>
        <w:jc w:val="center"/>
        <w:rPr>
          <w:rFonts w:ascii="ITC Avant Garde" w:eastAsia="Times New Roman" w:hAnsi="ITC Avant Garde" w:cs="Arial"/>
          <w:b/>
          <w:bCs/>
          <w:sz w:val="20"/>
          <w:lang w:val="es-ES_tradnl" w:eastAsia="es-MX"/>
        </w:rPr>
      </w:pPr>
    </w:p>
    <w:p w14:paraId="5952BA33" w14:textId="77777777" w:rsidR="006E341B" w:rsidRP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Times New Roman"/>
          <w:b/>
          <w:bCs/>
          <w:lang w:val="es-ES_tradnl" w:eastAsia="es-MX"/>
        </w:rPr>
        <w:t xml:space="preserve">Primero.- Competencia del Instituto. </w:t>
      </w:r>
      <w:r w:rsidRPr="006E341B">
        <w:rPr>
          <w:rFonts w:ascii="ITC Avant Garde" w:eastAsia="Calibri" w:hAnsi="ITC Avant Garde" w:cs="Arial"/>
          <w:bCs/>
        </w:rPr>
        <w:t>De conformidad con el artículo 28, párrafos décimo quinto de la Constitución Política de los</w:t>
      </w:r>
      <w:r w:rsidRPr="006E341B">
        <w:rPr>
          <w:rFonts w:ascii="ITC Avant Garde" w:eastAsia="Times New Roman" w:hAnsi="ITC Avant Garde" w:cs="Calibri"/>
          <w:lang w:eastAsia="es-MX"/>
        </w:rPr>
        <w:t xml:space="preserve"> Estados Unidos Mexicanos (en lo sucesivo, la “Constitución”), el Instituto tiene por objeto el desarrollo eficiente de la radiodifusión y las telecomunicaciones, conforme a lo dispuesto en la propia Constitución y en los términos que fijen las leyes.</w:t>
      </w:r>
    </w:p>
    <w:p w14:paraId="55BE2E90" w14:textId="77777777" w:rsidR="006E341B" w:rsidRPr="006E341B" w:rsidRDefault="006E341B" w:rsidP="006E341B">
      <w:pPr>
        <w:spacing w:after="0" w:line="276" w:lineRule="auto"/>
        <w:jc w:val="both"/>
        <w:rPr>
          <w:rFonts w:ascii="ITC Avant Garde" w:eastAsia="Times New Roman" w:hAnsi="ITC Avant Garde" w:cs="Calibri"/>
          <w:lang w:eastAsia="es-MX"/>
        </w:rPr>
      </w:pPr>
    </w:p>
    <w:p w14:paraId="7C0D23B3" w14:textId="77777777" w:rsidR="006E341B" w:rsidRP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lastRenderedPageBreak/>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1F1F7E9E" w14:textId="77777777" w:rsidR="006E341B" w:rsidRPr="006E341B" w:rsidRDefault="006E341B" w:rsidP="006E341B">
      <w:pPr>
        <w:spacing w:after="0" w:line="276" w:lineRule="auto"/>
        <w:jc w:val="both"/>
        <w:rPr>
          <w:rFonts w:ascii="ITC Avant Garde" w:eastAsia="Times New Roman" w:hAnsi="ITC Avant Garde" w:cs="Calibri"/>
          <w:lang w:eastAsia="es-MX"/>
        </w:rPr>
      </w:pPr>
    </w:p>
    <w:p w14:paraId="16493F27" w14:textId="77777777" w:rsidR="006E341B" w:rsidRP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Por otra parte, el artículo 6o. Constitucional, en su apartado B, fracción II, señala que la</w:t>
      </w:r>
      <w:r w:rsidR="00A42605">
        <w:rPr>
          <w:rFonts w:ascii="ITC Avant Garde" w:eastAsia="Times New Roman" w:hAnsi="ITC Avant Garde" w:cs="Calibri"/>
          <w:lang w:eastAsia="es-MX"/>
        </w:rPr>
        <w:t xml:space="preserve">s telecomunicaciones son </w:t>
      </w:r>
      <w:r w:rsidRPr="006E341B">
        <w:rPr>
          <w:rFonts w:ascii="ITC Avant Garde" w:eastAsia="Times New Roman" w:hAnsi="ITC Avant Garde" w:cs="Calibri"/>
          <w:lang w:eastAsia="es-MX"/>
        </w:rPr>
        <w:t>servicio</w:t>
      </w:r>
      <w:r w:rsidR="00A42605">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público</w:t>
      </w:r>
      <w:r w:rsidR="00A42605">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de interés general, por lo que el Estado garantizará que sea</w:t>
      </w:r>
      <w:r w:rsidR="00A42605">
        <w:rPr>
          <w:rFonts w:ascii="ITC Avant Garde" w:eastAsia="Times New Roman" w:hAnsi="ITC Avant Garde" w:cs="Calibri"/>
          <w:lang w:eastAsia="es-MX"/>
        </w:rPr>
        <w:t>n</w:t>
      </w:r>
      <w:r w:rsidRPr="006E341B">
        <w:rPr>
          <w:rFonts w:ascii="ITC Avant Garde" w:eastAsia="Times New Roman" w:hAnsi="ITC Avant Garde" w:cs="Calibri"/>
          <w:lang w:eastAsia="es-MX"/>
        </w:rPr>
        <w:t xml:space="preserve"> prestado</w:t>
      </w:r>
      <w:r w:rsidR="00A42605">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en condiciones de competencia</w:t>
      </w:r>
      <w:r w:rsidR="00A42605">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calidad</w:t>
      </w:r>
      <w:r w:rsidR="00A42605">
        <w:rPr>
          <w:rFonts w:ascii="ITC Avant Garde" w:eastAsia="Times New Roman" w:hAnsi="ITC Avant Garde" w:cs="Calibri"/>
          <w:lang w:eastAsia="es-MX"/>
        </w:rPr>
        <w:t>, pluralidad, cobertura universal, interconexión, convergencia, continuidad, acceso libre y sin injerencias arbitrarias</w:t>
      </w:r>
      <w:r w:rsidRPr="006E341B">
        <w:rPr>
          <w:rFonts w:ascii="ITC Avant Garde" w:eastAsia="Times New Roman" w:hAnsi="ITC Avant Garde" w:cs="Calibri"/>
          <w:lang w:eastAsia="es-MX"/>
        </w:rPr>
        <w:t>.</w:t>
      </w:r>
    </w:p>
    <w:p w14:paraId="13088726" w14:textId="77777777" w:rsidR="006E341B" w:rsidRPr="006E341B" w:rsidRDefault="006E341B" w:rsidP="006E341B">
      <w:pPr>
        <w:spacing w:after="0" w:line="276" w:lineRule="auto"/>
        <w:jc w:val="both"/>
        <w:rPr>
          <w:rFonts w:ascii="ITC Avant Garde" w:eastAsia="Times New Roman" w:hAnsi="ITC Avant Garde" w:cs="Calibri"/>
          <w:lang w:eastAsia="es-MX"/>
        </w:rPr>
      </w:pPr>
    </w:p>
    <w:p w14:paraId="49357753" w14:textId="77777777" w:rsid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232F7FAC" w14:textId="77777777" w:rsidR="004A4F53" w:rsidRPr="006E341B" w:rsidRDefault="004A4F53" w:rsidP="006E341B">
      <w:pPr>
        <w:spacing w:after="0" w:line="276" w:lineRule="auto"/>
        <w:jc w:val="both"/>
        <w:rPr>
          <w:rFonts w:ascii="ITC Avant Garde" w:eastAsia="Times New Roman" w:hAnsi="ITC Avant Garde" w:cs="Calibri"/>
          <w:lang w:eastAsia="es-MX"/>
        </w:rPr>
      </w:pPr>
    </w:p>
    <w:p w14:paraId="7041BF20" w14:textId="77777777" w:rsidR="006E341B" w:rsidRP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párrafo segundo del artículo 7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que se conecten a las redes de telecomunicaciones, así como en materia de homologación y evaluación de la conformidad de dicha infraestructura y equipos.</w:t>
      </w:r>
    </w:p>
    <w:p w14:paraId="254E2012" w14:textId="77777777" w:rsidR="006E341B" w:rsidRPr="006E341B" w:rsidRDefault="006E341B" w:rsidP="006E341B">
      <w:pPr>
        <w:spacing w:after="0" w:line="276" w:lineRule="auto"/>
        <w:jc w:val="both"/>
        <w:rPr>
          <w:rFonts w:ascii="ITC Avant Garde" w:eastAsia="Times New Roman" w:hAnsi="ITC Avant Garde" w:cs="Calibri"/>
          <w:lang w:eastAsia="es-MX"/>
        </w:rPr>
      </w:pPr>
    </w:p>
    <w:p w14:paraId="41310651" w14:textId="77777777" w:rsidR="006E341B" w:rsidRPr="006E341B" w:rsidRDefault="006E341B" w:rsidP="006E341B">
      <w:pPr>
        <w:spacing w:after="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10CC189C" w14:textId="77777777" w:rsidR="006E341B" w:rsidRPr="006E341B" w:rsidRDefault="006E341B" w:rsidP="006E341B">
      <w:pPr>
        <w:spacing w:after="0" w:line="276" w:lineRule="auto"/>
        <w:jc w:val="both"/>
        <w:rPr>
          <w:rFonts w:ascii="ITC Avant Garde" w:eastAsia="Times New Roman" w:hAnsi="ITC Avant Garde" w:cs="Calibri"/>
          <w:lang w:eastAsia="es-MX"/>
        </w:rPr>
      </w:pPr>
    </w:p>
    <w:p w14:paraId="00D8E195" w14:textId="77777777" w:rsidR="006E341B" w:rsidRP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lastRenderedPageBreak/>
        <w:t>Esto es, el Instituto es la autoridad en materia de lineamientos técnicos relativos a la infraestructura y a los Equipos Terminales Móviles que hacen uso del espectro radioeléctrico o que se conectan a redes de telecomunicaciones, así como los métodos de prueba para comprobar la observancia de dichas especificaciones.</w:t>
      </w:r>
    </w:p>
    <w:p w14:paraId="1B52BA7E" w14:textId="77777777" w:rsidR="006E341B" w:rsidRPr="006E341B" w:rsidRDefault="006E341B" w:rsidP="006E341B">
      <w:pPr>
        <w:spacing w:after="101" w:line="276" w:lineRule="auto"/>
        <w:jc w:val="both"/>
        <w:rPr>
          <w:rFonts w:ascii="ITC Avant Garde" w:eastAsia="Times New Roman" w:hAnsi="ITC Avant Garde" w:cs="Calibri"/>
          <w:lang w:eastAsia="es-MX"/>
        </w:rPr>
      </w:pPr>
    </w:p>
    <w:p w14:paraId="4FC93171" w14:textId="45D419DA" w:rsidR="006E341B" w:rsidRP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Conforme a lo anterior, el Instituto cuenta con atribuciones para emitir el presente Acuerdo y expedir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196A33">
        <w:rPr>
          <w:rFonts w:ascii="ITC Avant Garde" w:eastAsia="Times New Roman" w:hAnsi="ITC Avant Garde" w:cs="Calibri"/>
          <w:lang w:eastAsia="es-MX"/>
        </w:rPr>
        <w:t xml:space="preserve"> (en lo</w:t>
      </w:r>
      <w:r w:rsidR="00C21ECC">
        <w:rPr>
          <w:rFonts w:ascii="ITC Avant Garde" w:eastAsia="Times New Roman" w:hAnsi="ITC Avant Garde" w:cs="Calibri"/>
          <w:lang w:eastAsia="es-MX"/>
        </w:rPr>
        <w:t xml:space="preserve"> sucesivo, se referirá indistintamente por el nombre completo o Disposición Técnica IFT-011-2017 parte2)</w:t>
      </w:r>
      <w:r w:rsidRPr="006E341B">
        <w:rPr>
          <w:rFonts w:ascii="ITC Avant Garde" w:eastAsia="Times New Roman" w:hAnsi="ITC Avant Garde" w:cs="Calibri"/>
          <w:lang w:eastAsia="es-MX"/>
        </w:rPr>
        <w:t xml:space="preserve">, conforme </w:t>
      </w:r>
      <w:r w:rsidR="004A4F53">
        <w:rPr>
          <w:rFonts w:ascii="ITC Avant Garde" w:eastAsia="Times New Roman" w:hAnsi="ITC Avant Garde" w:cs="Calibri"/>
          <w:lang w:eastAsia="es-MX"/>
        </w:rPr>
        <w:t>a las</w:t>
      </w:r>
      <w:r w:rsidRPr="006E341B">
        <w:rPr>
          <w:rFonts w:ascii="ITC Avant Garde" w:eastAsia="Times New Roman" w:hAnsi="ITC Avant Garde" w:cs="Calibri"/>
          <w:lang w:eastAsia="es-MX"/>
        </w:rPr>
        <w:t xml:space="preserve"> conferidas en los artículos 15 fracción I, LVI, </w:t>
      </w:r>
      <w:r w:rsidRPr="009E435B">
        <w:rPr>
          <w:rFonts w:ascii="ITC Avant Garde" w:eastAsia="Times New Roman" w:hAnsi="ITC Avant Garde" w:cs="Calibri"/>
          <w:lang w:eastAsia="es-MX"/>
        </w:rPr>
        <w:t>289</w:t>
      </w:r>
      <w:r w:rsidRPr="006E341B">
        <w:rPr>
          <w:rFonts w:ascii="ITC Avant Garde" w:eastAsia="Times New Roman" w:hAnsi="ITC Avant Garde" w:cs="Calibri"/>
          <w:lang w:eastAsia="es-MX"/>
        </w:rPr>
        <w:t>, y 29</w:t>
      </w:r>
      <w:r w:rsidR="00AB3416">
        <w:rPr>
          <w:rFonts w:ascii="ITC Avant Garde" w:eastAsia="Times New Roman" w:hAnsi="ITC Avant Garde" w:cs="Calibri"/>
          <w:lang w:eastAsia="es-MX"/>
        </w:rPr>
        <w:t>0</w:t>
      </w:r>
      <w:r w:rsidRPr="006E341B">
        <w:rPr>
          <w:rFonts w:ascii="ITC Avant Garde" w:eastAsia="Times New Roman" w:hAnsi="ITC Avant Garde" w:cs="Calibri"/>
          <w:lang w:eastAsia="es-MX"/>
        </w:rPr>
        <w:t xml:space="preserve"> de la LFTR y 6 fracción I del Estatuto Orgánico del Instituto Federal de Telecomunicaciones</w:t>
      </w:r>
    </w:p>
    <w:p w14:paraId="747A8DD5" w14:textId="77777777" w:rsidR="006E341B" w:rsidRPr="006E341B" w:rsidRDefault="006E341B" w:rsidP="006E341B">
      <w:pPr>
        <w:spacing w:after="101" w:line="276" w:lineRule="auto"/>
        <w:jc w:val="both"/>
        <w:rPr>
          <w:rFonts w:ascii="ITC Avant Garde" w:eastAsia="Times New Roman" w:hAnsi="ITC Avant Garde" w:cs="Calibri"/>
          <w:lang w:eastAsia="es-MX"/>
        </w:rPr>
      </w:pPr>
    </w:p>
    <w:p w14:paraId="1CA01B5E" w14:textId="77777777" w:rsidR="00B63BB3" w:rsidRDefault="006E341B" w:rsidP="00B63BB3">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t xml:space="preserve">SEGUNDO.- </w:t>
      </w:r>
      <w:r w:rsidR="00B63BB3" w:rsidRPr="00B63BB3">
        <w:rPr>
          <w:rFonts w:ascii="ITC Avant Garde" w:eastAsia="Times New Roman" w:hAnsi="ITC Avant Garde" w:cs="Calibri"/>
          <w:b/>
          <w:lang w:eastAsia="es-MX"/>
        </w:rPr>
        <w:t>Especificaciones técnicas de los equipos terminales móviles</w:t>
      </w:r>
      <w:r w:rsidR="00B63BB3" w:rsidRPr="00B63BB3">
        <w:rPr>
          <w:rFonts w:ascii="ITC Avant Garde" w:eastAsia="Times New Roman" w:hAnsi="ITC Avant Garde" w:cs="Calibri"/>
          <w:lang w:eastAsia="es-MX"/>
        </w:rPr>
        <w:t xml:space="preserve">. La Norma Oficial Mexicana NOM-081-SCT1-1993, “Sistemas de radiotelefonía con tecnología celular que operan en la banda de 800 MHz”, tiene por objeto establecer los requerimientos técnicos mínimos para estandarizar la compatibilidad de los sistemas de radiotelefonía móvil con tecnología celular en la banda de 800 MHz; norma que conforme a lo dispuesto por el artículo 51 de la Ley Federal sobre Metrología y Normalización (en lo sucesivo, LFMN), </w:t>
      </w:r>
      <w:r w:rsidR="00A93823">
        <w:rPr>
          <w:rFonts w:ascii="ITC Avant Garde" w:eastAsia="Times New Roman" w:hAnsi="ITC Avant Garde" w:cs="Calibri"/>
          <w:lang w:eastAsia="es-MX"/>
        </w:rPr>
        <w:t>perdió</w:t>
      </w:r>
      <w:r w:rsidR="00A93823" w:rsidRPr="00B63BB3">
        <w:rPr>
          <w:rFonts w:ascii="ITC Avant Garde" w:eastAsia="Times New Roman" w:hAnsi="ITC Avant Garde" w:cs="Calibri"/>
          <w:lang w:eastAsia="es-MX"/>
        </w:rPr>
        <w:t xml:space="preserve"> </w:t>
      </w:r>
      <w:r w:rsidR="00B63BB3" w:rsidRPr="00B63BB3">
        <w:rPr>
          <w:rFonts w:ascii="ITC Avant Garde" w:eastAsia="Times New Roman" w:hAnsi="ITC Avant Garde" w:cs="Calibri"/>
          <w:lang w:eastAsia="es-MX"/>
        </w:rPr>
        <w:t>su vigencia el  29 de septiembre de 2017, al no ser jurídicamente procedente realizar la revisión de la misma en términos de la propia LFMN.</w:t>
      </w:r>
    </w:p>
    <w:p w14:paraId="4546A9B5" w14:textId="77777777" w:rsidR="00B63BB3" w:rsidRPr="00B63BB3" w:rsidRDefault="00B63BB3" w:rsidP="00B63BB3">
      <w:pPr>
        <w:spacing w:after="101" w:line="276" w:lineRule="auto"/>
        <w:jc w:val="both"/>
        <w:rPr>
          <w:rFonts w:ascii="ITC Avant Garde" w:eastAsia="Times New Roman" w:hAnsi="ITC Avant Garde" w:cs="Calibri"/>
          <w:lang w:eastAsia="es-MX"/>
        </w:rPr>
      </w:pPr>
    </w:p>
    <w:p w14:paraId="42E96650" w14:textId="77777777" w:rsidR="00B63BB3" w:rsidRDefault="005126C6" w:rsidP="00B63BB3">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D</w:t>
      </w:r>
      <w:r w:rsidR="00B63BB3" w:rsidRPr="00B63BB3">
        <w:rPr>
          <w:rFonts w:ascii="ITC Avant Garde" w:eastAsia="Times New Roman" w:hAnsi="ITC Avant Garde" w:cs="Calibri"/>
          <w:lang w:eastAsia="es-MX"/>
        </w:rPr>
        <w:t>icha NOM únicamente establece los requerimientos técnicos mínimos de los Equipos Terminales Móviles (ETM) para la banda de frecuencia de 800 MHz, y no contiene métodos de prueba. Esto es, dicha NOM no contiene requerimientos técnicos para otras bandas de frecuencia de operación en el territorio nacional ni prevé la evaluación de la conformidad de los ETM.</w:t>
      </w:r>
    </w:p>
    <w:p w14:paraId="0F06D193" w14:textId="77777777" w:rsidR="00B63BB3" w:rsidRPr="00B63BB3" w:rsidRDefault="00B63BB3" w:rsidP="00B63BB3">
      <w:pPr>
        <w:spacing w:after="101" w:line="276" w:lineRule="auto"/>
        <w:jc w:val="both"/>
        <w:rPr>
          <w:rFonts w:ascii="ITC Avant Garde" w:eastAsia="Times New Roman" w:hAnsi="ITC Avant Garde" w:cs="Calibri"/>
          <w:lang w:eastAsia="es-MX"/>
        </w:rPr>
      </w:pPr>
    </w:p>
    <w:p w14:paraId="13A2A4F5" w14:textId="77777777" w:rsidR="00C53C9B" w:rsidRPr="00C53C9B" w:rsidRDefault="00B63BB3" w:rsidP="00C53C9B">
      <w:pPr>
        <w:spacing w:after="101" w:line="276" w:lineRule="auto"/>
        <w:jc w:val="both"/>
        <w:rPr>
          <w:rFonts w:ascii="ITC Avant Garde" w:eastAsia="Times New Roman" w:hAnsi="ITC Avant Garde" w:cs="Calibri"/>
          <w:lang w:val="es-ES_tradnl" w:eastAsia="es-MX"/>
        </w:rPr>
      </w:pPr>
      <w:r>
        <w:rPr>
          <w:rFonts w:ascii="ITC Avant Garde" w:eastAsia="Times New Roman" w:hAnsi="ITC Avant Garde" w:cs="Calibri"/>
          <w:lang w:eastAsia="es-MX"/>
        </w:rPr>
        <w:t>A</w:t>
      </w:r>
      <w:r w:rsidRPr="00B63BB3">
        <w:rPr>
          <w:rFonts w:ascii="ITC Avant Garde" w:eastAsia="Times New Roman" w:hAnsi="ITC Avant Garde" w:cs="Calibri"/>
          <w:lang w:eastAsia="es-MX"/>
        </w:rPr>
        <w:t xml:space="preserve"> efecto de establecer un marco normativo técnico robusto y confiable, acorde a las necesidades de los sectores de telecomunicaciones y radiodifusión y a la evolución tecnológica, el cual fomente la competencia y la libre concurrencia</w:t>
      </w:r>
      <w:r>
        <w:rPr>
          <w:rFonts w:ascii="ITC Avant Garde" w:eastAsia="Times New Roman" w:hAnsi="ITC Avant Garde" w:cs="Calibri"/>
          <w:lang w:eastAsia="es-MX"/>
        </w:rPr>
        <w:t>,</w:t>
      </w:r>
      <w:r w:rsidRPr="00B63BB3">
        <w:rPr>
          <w:rFonts w:ascii="ITC Avant Garde" w:eastAsia="Times New Roman" w:hAnsi="ITC Avant Garde" w:cs="Calibri"/>
          <w:lang w:eastAsia="es-MX"/>
        </w:rPr>
        <w:t xml:space="preserve"> </w:t>
      </w:r>
      <w:r>
        <w:rPr>
          <w:rFonts w:ascii="ITC Avant Garde" w:eastAsia="Times New Roman" w:hAnsi="ITC Avant Garde" w:cs="Calibri"/>
          <w:lang w:eastAsia="es-MX"/>
        </w:rPr>
        <w:t>y</w:t>
      </w:r>
      <w:r w:rsidR="00C53C9B">
        <w:rPr>
          <w:rFonts w:ascii="ITC Avant Garde" w:eastAsia="Times New Roman" w:hAnsi="ITC Avant Garde" w:cs="Calibri"/>
          <w:lang w:eastAsia="es-MX"/>
        </w:rPr>
        <w:t xml:space="preserve"> con el </w:t>
      </w:r>
      <w:r w:rsidR="005126C6">
        <w:rPr>
          <w:rFonts w:ascii="ITC Avant Garde" w:eastAsia="Times New Roman" w:hAnsi="ITC Avant Garde" w:cs="Calibri"/>
          <w:lang w:eastAsia="es-MX"/>
        </w:rPr>
        <w:t xml:space="preserve">fin de </w:t>
      </w:r>
      <w:r>
        <w:rPr>
          <w:rFonts w:ascii="ITC Avant Garde" w:eastAsia="Times New Roman" w:hAnsi="ITC Avant Garde" w:cs="Calibri"/>
          <w:lang w:eastAsia="es-MX"/>
        </w:rPr>
        <w:t xml:space="preserve">evitar un vacío regulatorio, se considera necesario la emisión de la </w:t>
      </w:r>
      <w:r>
        <w:rPr>
          <w:rFonts w:ascii="ITC Avant Garde" w:eastAsia="Times New Roman" w:hAnsi="ITC Avant Garde" w:cs="Calibri"/>
          <w:lang w:eastAsia="es-MX"/>
        </w:rPr>
        <w:lastRenderedPageBreak/>
        <w:t>presente Disposición Técnica IFT-011-2017</w:t>
      </w:r>
      <w:r w:rsidR="00455522">
        <w:rPr>
          <w:rFonts w:ascii="ITC Avant Garde" w:eastAsia="Times New Roman" w:hAnsi="ITC Avant Garde" w:cs="Calibri"/>
          <w:lang w:eastAsia="es-MX"/>
        </w:rPr>
        <w:t xml:space="preserve"> parte 2</w:t>
      </w:r>
      <w:r w:rsidR="005126C6">
        <w:rPr>
          <w:rFonts w:ascii="ITC Avant Garde" w:eastAsia="Times New Roman" w:hAnsi="ITC Avant Garde" w:cs="Calibri"/>
          <w:lang w:eastAsia="es-MX"/>
        </w:rPr>
        <w:t xml:space="preserve">, para dar continuidad a los efectos regulatorios que derivan de la </w:t>
      </w:r>
      <w:r w:rsidR="005126C6" w:rsidRPr="00B63BB3">
        <w:rPr>
          <w:rFonts w:ascii="ITC Avant Garde" w:eastAsia="Times New Roman" w:hAnsi="ITC Avant Garde" w:cs="Calibri"/>
          <w:lang w:eastAsia="es-MX"/>
        </w:rPr>
        <w:t xml:space="preserve">NOM-081-SCT1-1993, </w:t>
      </w:r>
      <w:r w:rsidR="00C53C9B">
        <w:rPr>
          <w:rFonts w:ascii="ITC Avant Garde" w:eastAsia="Times New Roman" w:hAnsi="ITC Avant Garde" w:cs="Calibri"/>
          <w:lang w:eastAsia="es-MX"/>
        </w:rPr>
        <w:t>e incluir las especificaciones técnicas para las bandas de frecuencia</w:t>
      </w:r>
      <w:r w:rsidR="005126C6" w:rsidRPr="00B63BB3">
        <w:rPr>
          <w:rFonts w:ascii="ITC Avant Garde" w:eastAsia="Times New Roman" w:hAnsi="ITC Avant Garde" w:cs="Calibri"/>
          <w:lang w:eastAsia="es-MX"/>
        </w:rPr>
        <w:t>,</w:t>
      </w:r>
      <w:r w:rsidR="00C53C9B" w:rsidRPr="00C53C9B">
        <w:rPr>
          <w:rFonts w:asciiTheme="majorHAnsi" w:hAnsiTheme="majorHAnsi"/>
          <w:sz w:val="20"/>
          <w:szCs w:val="20"/>
          <w:lang w:val="es-ES_tradnl"/>
        </w:rPr>
        <w:t xml:space="preserve"> </w:t>
      </w:r>
      <w:r w:rsidR="00C53C9B" w:rsidRPr="00C53C9B">
        <w:rPr>
          <w:rFonts w:ascii="ITC Avant Garde" w:eastAsia="Times New Roman" w:hAnsi="ITC Avant Garde" w:cs="Calibri"/>
          <w:lang w:val="es-ES_tradnl" w:eastAsia="es-MX"/>
        </w:rPr>
        <w:t>700 MHz, 800 MHz,</w:t>
      </w:r>
      <w:r w:rsidR="00CF6DB9">
        <w:rPr>
          <w:rFonts w:ascii="ITC Avant Garde" w:eastAsia="Times New Roman" w:hAnsi="ITC Avant Garde" w:cs="Calibri"/>
          <w:lang w:val="es-ES_tradnl" w:eastAsia="es-MX"/>
        </w:rPr>
        <w:t xml:space="preserve"> 85</w:t>
      </w:r>
      <w:r w:rsidR="00CF6DB9" w:rsidRPr="00C53C9B">
        <w:rPr>
          <w:rFonts w:ascii="ITC Avant Garde" w:eastAsia="Times New Roman" w:hAnsi="ITC Avant Garde" w:cs="Calibri"/>
          <w:lang w:val="es-ES_tradnl" w:eastAsia="es-MX"/>
        </w:rPr>
        <w:t>0 MHz</w:t>
      </w:r>
      <w:r w:rsidR="00CF6DB9">
        <w:rPr>
          <w:rFonts w:ascii="ITC Avant Garde" w:eastAsia="Times New Roman" w:hAnsi="ITC Avant Garde" w:cs="Calibri"/>
          <w:lang w:val="es-ES_tradnl" w:eastAsia="es-MX"/>
        </w:rPr>
        <w:t>,</w:t>
      </w:r>
      <w:r w:rsidR="00C53C9B" w:rsidRPr="00C53C9B">
        <w:rPr>
          <w:rFonts w:ascii="ITC Avant Garde" w:eastAsia="Times New Roman" w:hAnsi="ITC Avant Garde" w:cs="Calibri"/>
          <w:lang w:val="es-ES_tradnl" w:eastAsia="es-MX"/>
        </w:rPr>
        <w:t xml:space="preserve"> 1900 MHz, 1700 MHz/2100 MHz y/o 2500 MHz, asignadas para la provisión del servicio móvil en México. </w:t>
      </w:r>
    </w:p>
    <w:p w14:paraId="619F1974" w14:textId="77777777" w:rsidR="00B63BB3" w:rsidRDefault="00B63BB3" w:rsidP="00B63BB3">
      <w:pPr>
        <w:spacing w:after="101" w:line="276" w:lineRule="auto"/>
        <w:jc w:val="both"/>
        <w:rPr>
          <w:rFonts w:ascii="ITC Avant Garde" w:eastAsia="Times New Roman" w:hAnsi="ITC Avant Garde" w:cs="Calibri"/>
          <w:lang w:eastAsia="es-MX"/>
        </w:rPr>
      </w:pPr>
    </w:p>
    <w:p w14:paraId="32946AF5" w14:textId="41D9AD43" w:rsidR="006E47CD" w:rsidRDefault="00B63BB3" w:rsidP="006E47CD">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 xml:space="preserve">Ahora bien, </w:t>
      </w:r>
      <w:r w:rsidR="007C5543" w:rsidRPr="007C5543">
        <w:rPr>
          <w:rFonts w:ascii="ITC Avant Garde" w:eastAsia="Times New Roman" w:hAnsi="ITC Avant Garde" w:cs="Calibri"/>
          <w:lang w:eastAsia="es-MX"/>
        </w:rPr>
        <w:t xml:space="preserve">coadyuvando al derecho de acceso a la banda ancha e </w:t>
      </w:r>
      <w:r w:rsidR="00CF6DB9">
        <w:rPr>
          <w:rFonts w:ascii="ITC Avant Garde" w:eastAsia="Times New Roman" w:hAnsi="ITC Avant Garde" w:cs="Calibri"/>
          <w:lang w:eastAsia="es-MX"/>
        </w:rPr>
        <w:t>I</w:t>
      </w:r>
      <w:r w:rsidR="007C5543" w:rsidRPr="007C5543">
        <w:rPr>
          <w:rFonts w:ascii="ITC Avant Garde" w:eastAsia="Times New Roman" w:hAnsi="ITC Avant Garde" w:cs="Calibri"/>
          <w:lang w:eastAsia="es-MX"/>
        </w:rPr>
        <w:t>nternet, establecido e</w:t>
      </w:r>
      <w:r w:rsidR="007C5543">
        <w:rPr>
          <w:rFonts w:ascii="ITC Avant Garde" w:eastAsia="Times New Roman" w:hAnsi="ITC Avant Garde" w:cs="Calibri"/>
          <w:lang w:eastAsia="es-MX"/>
        </w:rPr>
        <w:t xml:space="preserve">n el artículo 6o Constitucional y </w:t>
      </w:r>
      <w:r>
        <w:rPr>
          <w:rFonts w:ascii="ITC Avant Garde" w:eastAsia="Times New Roman" w:hAnsi="ITC Avant Garde" w:cs="Calibri"/>
          <w:lang w:eastAsia="es-MX"/>
        </w:rPr>
        <w:t xml:space="preserve">con el fin de que los </w:t>
      </w:r>
      <w:r w:rsidRPr="00B63BB3">
        <w:rPr>
          <w:rFonts w:ascii="ITC Avant Garde" w:eastAsia="Times New Roman" w:hAnsi="ITC Avant Garde" w:cs="Calibri"/>
          <w:lang w:eastAsia="es-MX"/>
        </w:rPr>
        <w:t xml:space="preserve">usuarios puedan ejercer </w:t>
      </w:r>
      <w:r w:rsidR="005E1124">
        <w:rPr>
          <w:rFonts w:ascii="ITC Avant Garde" w:eastAsia="Times New Roman" w:hAnsi="ITC Avant Garde" w:cs="Calibri"/>
          <w:lang w:eastAsia="es-MX"/>
        </w:rPr>
        <w:t>su derecho a la portabilidad y</w:t>
      </w:r>
      <w:r w:rsidRPr="00B63BB3">
        <w:rPr>
          <w:rFonts w:ascii="ITC Avant Garde" w:eastAsia="Times New Roman" w:hAnsi="ITC Avant Garde" w:cs="Calibri"/>
          <w:lang w:eastAsia="es-MX"/>
        </w:rPr>
        <w:t xml:space="preserve"> elegir libremente a su proveedor de servicio</w:t>
      </w:r>
      <w:r>
        <w:rPr>
          <w:rFonts w:ascii="ITC Avant Garde" w:eastAsia="Times New Roman" w:hAnsi="ITC Avant Garde" w:cs="Calibri"/>
          <w:lang w:eastAsia="es-MX"/>
        </w:rPr>
        <w:t xml:space="preserve">s de telecomunicaciones, la presente Disposición Técnica </w:t>
      </w:r>
      <w:r w:rsidR="00C53C9B">
        <w:rPr>
          <w:rFonts w:ascii="ITC Avant Garde" w:eastAsia="Times New Roman" w:hAnsi="ITC Avant Garde" w:cs="Calibri"/>
          <w:lang w:eastAsia="es-MX"/>
        </w:rPr>
        <w:t xml:space="preserve">IFT-011-2017 parte 2, </w:t>
      </w:r>
      <w:r>
        <w:rPr>
          <w:rFonts w:ascii="ITC Avant Garde" w:eastAsia="Times New Roman" w:hAnsi="ITC Avant Garde" w:cs="Calibri"/>
          <w:lang w:eastAsia="es-MX"/>
        </w:rPr>
        <w:t xml:space="preserve">establece que los ETM </w:t>
      </w:r>
      <w:r w:rsidR="009E6014" w:rsidRPr="009E6014">
        <w:rPr>
          <w:rFonts w:ascii="ITC Avant Garde" w:eastAsia="Times New Roman" w:hAnsi="ITC Avant Garde" w:cs="Calibri"/>
          <w:lang w:eastAsia="es-MX"/>
        </w:rPr>
        <w:t>que</w:t>
      </w:r>
      <w:r w:rsidR="00EC568E" w:rsidRPr="00EC568E">
        <w:rPr>
          <w:rFonts w:ascii="ITC Avant Garde" w:eastAsia="Times New Roman" w:hAnsi="ITC Avant Garde" w:cs="Calibri"/>
          <w:lang w:eastAsia="es-MX"/>
        </w:rPr>
        <w:t xml:space="preserve"> se utilicen particularmente cerca del oído </w:t>
      </w:r>
      <w:r w:rsidR="00EC568E">
        <w:rPr>
          <w:rFonts w:ascii="ITC Avant Garde" w:eastAsia="Times New Roman" w:hAnsi="ITC Avant Garde" w:cs="Calibri"/>
          <w:lang w:eastAsia="es-MX"/>
        </w:rPr>
        <w:t xml:space="preserve">(ej. teléfonos celulares) y </w:t>
      </w:r>
      <w:r w:rsidR="009E6014" w:rsidRPr="009E6014">
        <w:rPr>
          <w:rFonts w:ascii="ITC Avant Garde" w:eastAsia="Times New Roman" w:hAnsi="ITC Avant Garde" w:cs="Calibri"/>
          <w:lang w:eastAsia="es-MX"/>
        </w:rPr>
        <w:t>soporten el estándar tecnológico LTE deben soportar y tener habilitada la banda 28 (700 MHz) APT.</w:t>
      </w:r>
    </w:p>
    <w:p w14:paraId="1F9368CF" w14:textId="77777777" w:rsidR="005F2859" w:rsidRPr="006E47CD" w:rsidRDefault="005F2859" w:rsidP="006E47CD">
      <w:pPr>
        <w:spacing w:after="101" w:line="276" w:lineRule="auto"/>
        <w:jc w:val="both"/>
        <w:rPr>
          <w:rFonts w:ascii="ITC Avant Garde" w:eastAsia="Times New Roman" w:hAnsi="ITC Avant Garde" w:cs="Calibri"/>
          <w:lang w:eastAsia="es-MX"/>
        </w:rPr>
      </w:pPr>
    </w:p>
    <w:p w14:paraId="02D7F733" w14:textId="56D8BA1B" w:rsidR="00860C69" w:rsidRDefault="005F2859" w:rsidP="006E47CD">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A</w:t>
      </w:r>
      <w:r w:rsidR="006E47CD" w:rsidRPr="006E47CD">
        <w:rPr>
          <w:rFonts w:ascii="ITC Avant Garde" w:eastAsia="Times New Roman" w:hAnsi="ITC Avant Garde" w:cs="Calibri"/>
          <w:lang w:eastAsia="es-MX"/>
        </w:rPr>
        <w:t xml:space="preserve">l incluir </w:t>
      </w:r>
      <w:r w:rsidR="00E359DA">
        <w:rPr>
          <w:rFonts w:ascii="ITC Avant Garde" w:eastAsia="Times New Roman" w:hAnsi="ITC Avant Garde" w:cs="Calibri"/>
          <w:lang w:eastAsia="es-MX"/>
        </w:rPr>
        <w:t xml:space="preserve">la </w:t>
      </w:r>
      <w:r w:rsidR="006E47CD" w:rsidRPr="00E359DA">
        <w:rPr>
          <w:rFonts w:ascii="ITC Avant Garde" w:eastAsia="Times New Roman" w:hAnsi="ITC Avant Garde" w:cs="Calibri"/>
          <w:lang w:eastAsia="es-MX"/>
        </w:rPr>
        <w:t xml:space="preserve">banda </w:t>
      </w:r>
      <w:r w:rsidR="00924108">
        <w:rPr>
          <w:rFonts w:ascii="ITC Avant Garde" w:eastAsia="Times New Roman" w:hAnsi="ITC Avant Garde" w:cs="Calibri"/>
          <w:lang w:eastAsia="es-MX"/>
        </w:rPr>
        <w:t xml:space="preserve">de </w:t>
      </w:r>
      <w:r w:rsidR="006E47CD" w:rsidRPr="00E359DA">
        <w:rPr>
          <w:rFonts w:ascii="ITC Avant Garde" w:eastAsia="Times New Roman" w:hAnsi="ITC Avant Garde" w:cs="Calibri"/>
          <w:lang w:eastAsia="es-MX"/>
        </w:rPr>
        <w:t>700</w:t>
      </w:r>
      <w:r w:rsidR="00924108">
        <w:rPr>
          <w:rFonts w:ascii="ITC Avant Garde" w:eastAsia="Times New Roman" w:hAnsi="ITC Avant Garde" w:cs="Calibri"/>
          <w:lang w:eastAsia="es-MX"/>
        </w:rPr>
        <w:t xml:space="preserve"> MHz</w:t>
      </w:r>
      <w:r w:rsidR="006E47CD" w:rsidRPr="00E359DA">
        <w:rPr>
          <w:rFonts w:ascii="ITC Avant Garde" w:eastAsia="Times New Roman" w:hAnsi="ITC Avant Garde" w:cs="Calibri"/>
          <w:lang w:eastAsia="es-MX"/>
        </w:rPr>
        <w:t xml:space="preserve"> en la Disposición Técnica IFT-0</w:t>
      </w:r>
      <w:r>
        <w:rPr>
          <w:rFonts w:ascii="ITC Avant Garde" w:eastAsia="Times New Roman" w:hAnsi="ITC Avant Garde" w:cs="Calibri"/>
          <w:lang w:eastAsia="es-MX"/>
        </w:rPr>
        <w:t>11-2017 parte 2 se coadyuva</w:t>
      </w:r>
      <w:r w:rsidR="009711BA">
        <w:rPr>
          <w:rFonts w:ascii="ITC Avant Garde" w:eastAsia="Times New Roman" w:hAnsi="ITC Avant Garde" w:cs="Calibri"/>
          <w:lang w:eastAsia="es-MX"/>
        </w:rPr>
        <w:t xml:space="preserve"> a fomentar el</w:t>
      </w:r>
      <w:r w:rsidR="006E47CD" w:rsidRPr="00E359DA">
        <w:rPr>
          <w:rFonts w:ascii="ITC Avant Garde" w:eastAsia="Times New Roman" w:hAnsi="ITC Avant Garde" w:cs="Calibri"/>
          <w:lang w:eastAsia="es-MX"/>
        </w:rPr>
        <w:t xml:space="preserve"> uso de la nueva red </w:t>
      </w:r>
      <w:r w:rsidR="009711BA">
        <w:rPr>
          <w:rFonts w:ascii="ITC Avant Garde" w:eastAsia="Times New Roman" w:hAnsi="ITC Avant Garde" w:cs="Calibri"/>
          <w:lang w:eastAsia="es-MX"/>
        </w:rPr>
        <w:t>compartida mayorista</w:t>
      </w:r>
      <w:r w:rsidR="006E47CD" w:rsidRPr="00E359DA">
        <w:rPr>
          <w:rFonts w:ascii="ITC Avant Garde" w:eastAsia="Times New Roman" w:hAnsi="ITC Avant Garde" w:cs="Calibri"/>
          <w:lang w:eastAsia="es-MX"/>
        </w:rPr>
        <w:t xml:space="preserve">, es decir, para cuando inicie operaciones </w:t>
      </w:r>
      <w:r w:rsidR="009711BA">
        <w:rPr>
          <w:rFonts w:ascii="ITC Avant Garde" w:eastAsia="Times New Roman" w:hAnsi="ITC Avant Garde" w:cs="Calibri"/>
          <w:lang w:eastAsia="es-MX"/>
        </w:rPr>
        <w:t>dicha red</w:t>
      </w:r>
      <w:r w:rsidR="006E47CD" w:rsidRPr="00E359DA">
        <w:rPr>
          <w:rFonts w:ascii="ITC Avant Garde" w:eastAsia="Times New Roman" w:hAnsi="ITC Avant Garde" w:cs="Calibri"/>
          <w:lang w:eastAsia="es-MX"/>
        </w:rPr>
        <w:t xml:space="preserve"> no existirán barreras técnicas que impidan a los usuarios y/o proveedores de servicios e</w:t>
      </w:r>
      <w:r w:rsidR="006E47CD" w:rsidRPr="006E47CD">
        <w:rPr>
          <w:rFonts w:ascii="ITC Avant Garde" w:eastAsia="Times New Roman" w:hAnsi="ITC Avant Garde" w:cs="Calibri"/>
          <w:lang w:eastAsia="es-MX"/>
        </w:rPr>
        <w:t xml:space="preserve">l uso de los servicios que provea dicha red, haciéndolos más asequibles, al contar con dispositivos con capacidades </w:t>
      </w:r>
      <w:bookmarkStart w:id="0" w:name="_GoBack"/>
      <w:bookmarkEnd w:id="0"/>
      <w:r w:rsidR="006E47CD" w:rsidRPr="006E47CD">
        <w:rPr>
          <w:rFonts w:ascii="ITC Avant Garde" w:eastAsia="Times New Roman" w:hAnsi="ITC Avant Garde" w:cs="Calibri"/>
          <w:lang w:eastAsia="es-MX"/>
        </w:rPr>
        <w:t>que permitan el acceso a la banda ancha.</w:t>
      </w:r>
    </w:p>
    <w:p w14:paraId="4A1F55B9" w14:textId="77777777" w:rsidR="005F2859" w:rsidRDefault="005F2859" w:rsidP="006E47CD">
      <w:pPr>
        <w:spacing w:after="101" w:line="276" w:lineRule="auto"/>
        <w:jc w:val="both"/>
        <w:rPr>
          <w:rFonts w:ascii="ITC Avant Garde" w:eastAsia="Times New Roman" w:hAnsi="ITC Avant Garde" w:cs="Calibri"/>
          <w:lang w:eastAsia="es-MX"/>
        </w:rPr>
      </w:pPr>
    </w:p>
    <w:p w14:paraId="7528A10B" w14:textId="2C170BD8" w:rsidR="005F2859" w:rsidRDefault="005F2859" w:rsidP="006E47CD">
      <w:pPr>
        <w:spacing w:after="101" w:line="276" w:lineRule="auto"/>
        <w:jc w:val="both"/>
        <w:rPr>
          <w:rFonts w:ascii="ITC Avant Garde" w:eastAsia="Times New Roman" w:hAnsi="ITC Avant Garde" w:cs="Calibri"/>
          <w:lang w:eastAsia="es-MX"/>
        </w:rPr>
      </w:pPr>
      <w:r w:rsidRPr="005F2859">
        <w:rPr>
          <w:rFonts w:ascii="ITC Avant Garde" w:eastAsia="Times New Roman" w:hAnsi="ITC Avant Garde" w:cs="Calibri"/>
          <w:lang w:eastAsia="es-MX"/>
        </w:rPr>
        <w:t>Con ello, se coadyuvará al ejercicio del derecho de la portabilidad de los usuarios; por ejemplo, los usuarios que quieran ejercer su derecho a la portabilidad podrán utilizar el mismo ETM, sin tener que adquirir un nuevo disp</w:t>
      </w:r>
      <w:r>
        <w:rPr>
          <w:rFonts w:ascii="ITC Avant Garde" w:eastAsia="Times New Roman" w:hAnsi="ITC Avant Garde" w:cs="Calibri"/>
          <w:lang w:eastAsia="es-MX"/>
        </w:rPr>
        <w:t>ositivo. Se estima que al reducir los c</w:t>
      </w:r>
      <w:r w:rsidRPr="005F2859">
        <w:rPr>
          <w:rFonts w:ascii="ITC Avant Garde" w:eastAsia="Times New Roman" w:hAnsi="ITC Avant Garde" w:cs="Calibri"/>
          <w:lang w:eastAsia="es-MX"/>
        </w:rPr>
        <w:t>ostos d</w:t>
      </w:r>
      <w:r>
        <w:rPr>
          <w:rFonts w:ascii="ITC Avant Garde" w:eastAsia="Times New Roman" w:hAnsi="ITC Avant Garde" w:cs="Calibri"/>
          <w:lang w:eastAsia="es-MX"/>
        </w:rPr>
        <w:t>e t</w:t>
      </w:r>
      <w:r w:rsidRPr="005F2859">
        <w:rPr>
          <w:rFonts w:ascii="ITC Avant Garde" w:eastAsia="Times New Roman" w:hAnsi="ITC Avant Garde" w:cs="Calibri"/>
          <w:lang w:eastAsia="es-MX"/>
        </w:rPr>
        <w:t>ransacción mediante la portabilidad numérica en los servicios móviles, se incentiva</w:t>
      </w:r>
      <w:r>
        <w:rPr>
          <w:rFonts w:ascii="ITC Avant Garde" w:eastAsia="Times New Roman" w:hAnsi="ITC Avant Garde" w:cs="Calibri"/>
          <w:lang w:eastAsia="es-MX"/>
        </w:rPr>
        <w:t>rá</w:t>
      </w:r>
      <w:r w:rsidRPr="005F2859">
        <w:rPr>
          <w:rFonts w:ascii="ITC Avant Garde" w:eastAsia="Times New Roman" w:hAnsi="ITC Avant Garde" w:cs="Calibri"/>
          <w:lang w:eastAsia="es-MX"/>
        </w:rPr>
        <w:t xml:space="preserve"> el movimiento de los suscriptores entre oferentes móviles</w:t>
      </w:r>
      <w:r>
        <w:rPr>
          <w:rFonts w:ascii="ITC Avant Garde" w:eastAsia="Times New Roman" w:hAnsi="ITC Avant Garde" w:cs="Calibri"/>
          <w:lang w:eastAsia="es-MX"/>
        </w:rPr>
        <w:t xml:space="preserve"> fomentando la competencia.</w:t>
      </w:r>
    </w:p>
    <w:p w14:paraId="32B706A7" w14:textId="77777777" w:rsidR="005F2859" w:rsidRDefault="005F2859" w:rsidP="006E47CD">
      <w:pPr>
        <w:spacing w:after="101" w:line="276" w:lineRule="auto"/>
        <w:jc w:val="both"/>
        <w:rPr>
          <w:rFonts w:ascii="ITC Avant Garde" w:eastAsia="Times New Roman" w:hAnsi="ITC Avant Garde" w:cs="Calibri"/>
          <w:lang w:eastAsia="es-MX"/>
        </w:rPr>
      </w:pPr>
    </w:p>
    <w:p w14:paraId="7EE98DE2"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t>TERCERO.-</w:t>
      </w:r>
      <w:r w:rsidR="004313D1">
        <w:rPr>
          <w:rFonts w:ascii="ITC Avant Garde" w:eastAsia="Times New Roman" w:hAnsi="ITC Avant Garde" w:cs="Calibri"/>
          <w:b/>
          <w:lang w:eastAsia="es-MX"/>
        </w:rPr>
        <w:t xml:space="preserve"> </w:t>
      </w:r>
      <w:r w:rsidRPr="006E341B">
        <w:rPr>
          <w:rFonts w:ascii="ITC Avant Garde" w:eastAsia="Times New Roman" w:hAnsi="ITC Avant Garde" w:cs="Calibri"/>
          <w:b/>
          <w:lang w:eastAsia="es-MX"/>
        </w:rPr>
        <w:t>Las telecomunicaciones y la radiodifusión como servicios públicos de interés general.</w:t>
      </w:r>
      <w:r w:rsidRPr="006E341B">
        <w:rPr>
          <w:rFonts w:ascii="ITC Avant Garde" w:eastAsia="Times New Roman" w:hAnsi="ITC Avant Garde" w:cs="Calibri"/>
          <w:lang w:eastAsia="es-MX"/>
        </w:rPr>
        <w:t xml:space="preserve"> El artículo 28 de la Constitución, establece la obligación del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60F501F3"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3258A204"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lastRenderedPageBreak/>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D4C4C06"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430D2A1E" w14:textId="77777777" w:rsidR="006E341B" w:rsidRP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6B15939E" w14:textId="77777777" w:rsidR="006E341B" w:rsidRPr="006E341B" w:rsidRDefault="006E341B" w:rsidP="006E341B">
      <w:pPr>
        <w:spacing w:after="101" w:line="276" w:lineRule="auto"/>
        <w:jc w:val="both"/>
        <w:rPr>
          <w:rFonts w:ascii="ITC Avant Garde" w:eastAsia="Times New Roman" w:hAnsi="ITC Avant Garde" w:cs="Calibri"/>
          <w:lang w:eastAsia="es-MX"/>
        </w:rPr>
      </w:pPr>
    </w:p>
    <w:p w14:paraId="35CD029E" w14:textId="77777777" w:rsidR="00BD37BE"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t>CUARTO.- Marco técnico regulatorio.</w:t>
      </w:r>
      <w:r w:rsidRPr="006E341B">
        <w:rPr>
          <w:rFonts w:ascii="ITC Avant Garde" w:eastAsia="Times New Roman" w:hAnsi="ITC Avant Garde" w:cs="Calibri"/>
          <w:lang w:eastAsia="es-MX"/>
        </w:rPr>
        <w:t xml:space="preserve"> Las Disposiciones Técnicas son instrumentos de observancia general expedidos por el Instituto conforme a lo establecido en el artículo 15, fracción I de la LFTR, a través de los cuales se regula</w:t>
      </w:r>
      <w:r w:rsidR="00BD37BE">
        <w:rPr>
          <w:rFonts w:ascii="ITC Avant Garde" w:eastAsia="Times New Roman" w:hAnsi="ITC Avant Garde" w:cs="Calibri"/>
          <w:lang w:eastAsia="es-MX"/>
        </w:rPr>
        <w:t xml:space="preserve">n las </w:t>
      </w:r>
      <w:r w:rsidRPr="006E341B">
        <w:rPr>
          <w:rFonts w:ascii="ITC Avant Garde" w:eastAsia="Times New Roman" w:hAnsi="ITC Avant Garde" w:cs="Calibri"/>
          <w:lang w:eastAsia="es-MX"/>
        </w:rPr>
        <w:t>características y la operación de productos, dispositivos y servicios de telecomunicaciones y radiodifusión y, en su caso, instalación de los equipos, sistemas y la infraestructura en general asociada a éstos</w:t>
      </w:r>
      <w:r w:rsidR="00BD37BE">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así como las especificaciones que se refieran a su cumplimiento o aplicación.</w:t>
      </w:r>
    </w:p>
    <w:p w14:paraId="14EA48BC" w14:textId="77777777" w:rsidR="007C5543" w:rsidRPr="006E341B" w:rsidRDefault="007C5543" w:rsidP="006E341B">
      <w:pPr>
        <w:spacing w:after="101" w:line="276" w:lineRule="auto"/>
        <w:jc w:val="both"/>
        <w:rPr>
          <w:rFonts w:ascii="ITC Avant Garde" w:eastAsia="Times New Roman" w:hAnsi="ITC Avant Garde" w:cs="Calibri"/>
          <w:lang w:eastAsia="es-MX"/>
        </w:rPr>
      </w:pPr>
    </w:p>
    <w:p w14:paraId="7AF505E5" w14:textId="0D48B880" w:rsidR="006E341B" w:rsidRP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este sentido</w:t>
      </w:r>
      <w:r w:rsidR="00BD37BE">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esta Disposición Técnica IFT-011-2017 parte 2, tiene como objetivo principal establecer las especificaciones técnicas de los Equipos Terminales Móviles que puedan hacer uso del espectro radioeléctrico en las bandas de frecuencias de 700 MHz, 800 MHz, 850</w:t>
      </w:r>
      <w:r w:rsidR="00161F42">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 xml:space="preserve">MHz, </w:t>
      </w:r>
      <w:r w:rsidR="00924108" w:rsidRPr="006E341B">
        <w:rPr>
          <w:rFonts w:ascii="ITC Avant Garde" w:eastAsia="Times New Roman" w:hAnsi="ITC Avant Garde" w:cs="Calibri"/>
          <w:lang w:eastAsia="es-MX"/>
        </w:rPr>
        <w:t>1900 MHz</w:t>
      </w:r>
      <w:r w:rsidR="00924108">
        <w:rPr>
          <w:rFonts w:ascii="ITC Avant Garde" w:eastAsia="Times New Roman" w:hAnsi="ITC Avant Garde" w:cs="Calibri"/>
          <w:lang w:eastAsia="es-MX"/>
        </w:rPr>
        <w:t>,</w:t>
      </w:r>
      <w:r w:rsidR="00924108" w:rsidRPr="006E341B">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1700 MHz</w:t>
      </w:r>
      <w:r w:rsidR="00924108">
        <w:rPr>
          <w:rFonts w:ascii="ITC Avant Garde" w:eastAsia="Times New Roman" w:hAnsi="ITC Avant Garde" w:cs="Calibri"/>
          <w:lang w:eastAsia="es-MX"/>
        </w:rPr>
        <w:t>/</w:t>
      </w:r>
      <w:r w:rsidR="00924108" w:rsidRPr="006E341B">
        <w:rPr>
          <w:rFonts w:ascii="ITC Avant Garde" w:eastAsia="Times New Roman" w:hAnsi="ITC Avant Garde" w:cs="Calibri"/>
          <w:lang w:eastAsia="es-MX"/>
        </w:rPr>
        <w:t>2100 MHz</w:t>
      </w:r>
      <w:r w:rsidRPr="006E341B">
        <w:rPr>
          <w:rFonts w:ascii="ITC Avant Garde" w:eastAsia="Times New Roman" w:hAnsi="ITC Avant Garde" w:cs="Calibri"/>
          <w:lang w:eastAsia="es-MX"/>
        </w:rPr>
        <w:t xml:space="preserve">,  y/o 2500 MHz o ser conectados a redes </w:t>
      </w:r>
      <w:r w:rsidR="008111F6">
        <w:rPr>
          <w:rFonts w:ascii="ITC Avant Garde" w:eastAsia="Times New Roman" w:hAnsi="ITC Avant Garde" w:cs="Calibri"/>
          <w:lang w:eastAsia="es-MX"/>
        </w:rPr>
        <w:t xml:space="preserve">públicas </w:t>
      </w:r>
      <w:r w:rsidRPr="006E341B">
        <w:rPr>
          <w:rFonts w:ascii="ITC Avant Garde" w:eastAsia="Times New Roman" w:hAnsi="ITC Avant Garde" w:cs="Calibri"/>
          <w:lang w:eastAsia="es-MX"/>
        </w:rPr>
        <w:t>de telecomunicaciones; así como los métodos de prueba para comprobar el cumplimi</w:t>
      </w:r>
      <w:r w:rsidR="007549F6">
        <w:rPr>
          <w:rFonts w:ascii="ITC Avant Garde" w:eastAsia="Times New Roman" w:hAnsi="ITC Avant Garde" w:cs="Calibri"/>
          <w:lang w:eastAsia="es-MX"/>
        </w:rPr>
        <w:t>en</w:t>
      </w:r>
      <w:r w:rsidR="001E4B87">
        <w:rPr>
          <w:rFonts w:ascii="ITC Avant Garde" w:eastAsia="Times New Roman" w:hAnsi="ITC Avant Garde" w:cs="Calibri"/>
          <w:lang w:eastAsia="es-MX"/>
        </w:rPr>
        <w:t>to de dichas especificaciones. E</w:t>
      </w:r>
      <w:r w:rsidR="007549F6">
        <w:rPr>
          <w:rFonts w:ascii="ITC Avant Garde" w:eastAsia="Times New Roman" w:hAnsi="ITC Avant Garde" w:cs="Calibri"/>
          <w:lang w:eastAsia="es-MX"/>
        </w:rPr>
        <w:t>l I</w:t>
      </w:r>
      <w:r w:rsidRPr="006E341B">
        <w:rPr>
          <w:rFonts w:ascii="ITC Avant Garde" w:eastAsia="Times New Roman" w:hAnsi="ITC Avant Garde" w:cs="Calibri"/>
          <w:lang w:eastAsia="es-MX"/>
        </w:rPr>
        <w:t xml:space="preserve">nstituto bajo el marco de las atribuciones que le confieren las leyes en la materia, establece como una mejor práctica regulatoria revisar la Disposición Técnica </w:t>
      </w:r>
      <w:r w:rsidR="007549F6">
        <w:rPr>
          <w:rFonts w:ascii="ITC Avant Garde" w:eastAsia="Times New Roman" w:hAnsi="ITC Avant Garde" w:cs="Calibri"/>
          <w:lang w:eastAsia="es-MX"/>
        </w:rPr>
        <w:t xml:space="preserve">de mérito, </w:t>
      </w:r>
      <w:r w:rsidRPr="006E341B">
        <w:rPr>
          <w:rFonts w:ascii="ITC Avant Garde" w:eastAsia="Times New Roman" w:hAnsi="ITC Avant Garde" w:cs="Calibri"/>
          <w:lang w:eastAsia="es-MX"/>
        </w:rPr>
        <w:t>al menos a los cinco años a partir de su entrada en vigor, a fin de identificar si la misma aún se requiere o si deben realizarse cambios en función de las condiciones que prevalezcan en el sector de Telecomunicaciones y Radiodifusión y en el mercado en general. Lo anterior, de ninguna manera limita las atribuciones del Instituto para realizar dicha revisión en cualquier momento, dentro del periodo establecido.</w:t>
      </w:r>
    </w:p>
    <w:p w14:paraId="24F02BD6" w14:textId="77777777" w:rsidR="00BD37BE" w:rsidRDefault="00BD37BE" w:rsidP="006E341B">
      <w:pPr>
        <w:spacing w:after="101" w:line="276" w:lineRule="auto"/>
        <w:jc w:val="both"/>
        <w:rPr>
          <w:rFonts w:ascii="ITC Avant Garde" w:eastAsia="Times New Roman" w:hAnsi="ITC Avant Garde" w:cs="Calibri"/>
          <w:b/>
          <w:lang w:eastAsia="es-MX"/>
        </w:rPr>
      </w:pPr>
    </w:p>
    <w:p w14:paraId="2CCE7E25" w14:textId="77777777" w:rsidR="006E341B" w:rsidRDefault="006E341B" w:rsidP="006E341B">
      <w:pPr>
        <w:spacing w:after="101" w:line="276" w:lineRule="auto"/>
        <w:jc w:val="both"/>
        <w:rPr>
          <w:rFonts w:ascii="Arial" w:eastAsia="Times New Roman" w:hAnsi="Arial" w:cs="Arial"/>
          <w:sz w:val="18"/>
          <w:szCs w:val="20"/>
          <w:lang w:val="es-ES" w:eastAsia="es-ES"/>
        </w:rPr>
      </w:pPr>
      <w:r w:rsidRPr="006E341B">
        <w:rPr>
          <w:rFonts w:ascii="ITC Avant Garde" w:eastAsia="Times New Roman" w:hAnsi="ITC Avant Garde" w:cs="Calibri"/>
          <w:b/>
          <w:lang w:eastAsia="es-MX"/>
        </w:rPr>
        <w:lastRenderedPageBreak/>
        <w:t>QUINTO.- Impacto en el comercio exterior.</w:t>
      </w:r>
      <w:r w:rsidRPr="006E341B">
        <w:rPr>
          <w:rFonts w:ascii="ITC Avant Garde" w:eastAsia="Times New Roman" w:hAnsi="ITC Avant Garde" w:cs="Calibri"/>
          <w:lang w:eastAsia="es-MX"/>
        </w:rPr>
        <w:t xml:space="preserve"> Si bien el Instituto está facultado por la Constitución, la LFTR y su Estatuto Orgánico para emitir las disposiciones técnicas relativas a la infraestructura y los equipos que se conecten a las redes de telecomunicaciones y hagan uso del espectro radioeléctrico, así como en materia de evaluación de la conformidad de dicha infraestructura y equipos, también es importante resaltar que la regulación de las telecomunicaciones se encuentra estrechamente vinculada a otros se</w:t>
      </w:r>
      <w:r w:rsidR="00C21ECC">
        <w:rPr>
          <w:rFonts w:ascii="ITC Avant Garde" w:eastAsia="Times New Roman" w:hAnsi="ITC Avant Garde" w:cs="Calibri"/>
          <w:lang w:eastAsia="es-MX"/>
        </w:rPr>
        <w:t>ctores y materias que escapan del</w:t>
      </w:r>
      <w:r w:rsidRPr="006E341B">
        <w:rPr>
          <w:rFonts w:ascii="ITC Avant Garde" w:eastAsia="Times New Roman" w:hAnsi="ITC Avant Garde" w:cs="Calibri"/>
          <w:lang w:eastAsia="es-MX"/>
        </w:rPr>
        <w:t xml:space="preserve"> ámbito de su competencia y que corresponden a dependencias de la Administración Pública Federal, como es el caso de la importación, comercialización, distribución y consumo de productos en el país</w:t>
      </w:r>
      <w:r w:rsidRPr="006E341B">
        <w:rPr>
          <w:rFonts w:ascii="Arial" w:eastAsia="Times New Roman" w:hAnsi="Arial" w:cs="Arial"/>
          <w:sz w:val="18"/>
          <w:szCs w:val="20"/>
          <w:lang w:val="es-ES" w:eastAsia="es-ES"/>
        </w:rPr>
        <w:t>.</w:t>
      </w:r>
    </w:p>
    <w:p w14:paraId="08CA1D46" w14:textId="77777777" w:rsidR="006E637C" w:rsidRPr="006E341B" w:rsidRDefault="006E637C" w:rsidP="006E341B">
      <w:pPr>
        <w:spacing w:after="101" w:line="276" w:lineRule="auto"/>
        <w:jc w:val="both"/>
        <w:rPr>
          <w:rFonts w:ascii="Arial" w:eastAsia="Times New Roman" w:hAnsi="Arial" w:cs="Arial"/>
          <w:sz w:val="18"/>
          <w:szCs w:val="20"/>
          <w:lang w:val="es-ES" w:eastAsia="es-ES"/>
        </w:rPr>
      </w:pPr>
    </w:p>
    <w:p w14:paraId="4CD1B303"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Es de señalarse que en términos de los </w:t>
      </w:r>
      <w:r w:rsidRPr="009E435B">
        <w:rPr>
          <w:rFonts w:ascii="ITC Avant Garde" w:eastAsia="Times New Roman" w:hAnsi="ITC Avant Garde" w:cs="Calibri"/>
          <w:lang w:eastAsia="es-MX"/>
        </w:rPr>
        <w:t>artículos 34, fracciones II, V y XXXIII, de la Ley Orgánica de la Administración Pública Federal; 38, fracción II, y 39, fracción XII, de la L</w:t>
      </w:r>
      <w:r w:rsidR="009E435B" w:rsidRPr="009E435B">
        <w:rPr>
          <w:rFonts w:ascii="ITC Avant Garde" w:eastAsia="Times New Roman" w:hAnsi="ITC Avant Garde" w:cs="Calibri"/>
          <w:lang w:eastAsia="es-MX"/>
        </w:rPr>
        <w:t>ey Federal sobre Metrología y Normalización (en lo sucesivo, la “LFMN”)</w:t>
      </w:r>
      <w:r w:rsidRPr="009E435B">
        <w:rPr>
          <w:rFonts w:ascii="ITC Avant Garde" w:eastAsia="Times New Roman" w:hAnsi="ITC Avant Garde" w:cs="Calibri"/>
          <w:lang w:eastAsia="es-MX"/>
        </w:rPr>
        <w:t>, en relación con los artículos 1o., 2o., 4o., fracciones III y IV, 5o., fracciones III y XIII, 16, 17, 26 y 27 de la Ley de Comercio Exterior (en lo sucesivo, la “</w:t>
      </w:r>
      <w:r w:rsidRPr="006E341B">
        <w:rPr>
          <w:rFonts w:ascii="ITC Avant Garde" w:eastAsia="Times New Roman" w:hAnsi="ITC Avant Garde" w:cs="Calibri"/>
          <w:lang w:eastAsia="es-MX"/>
        </w:rPr>
        <w:t>LCE”),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23CD56DA"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1789BE18"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artículo 4o. de la LCE establece que el Ejecutivo Federal tendrá, entre otras</w:t>
      </w:r>
      <w:r w:rsidR="00C21ECC">
        <w:rPr>
          <w:rFonts w:ascii="ITC Avant Garde" w:eastAsia="Times New Roman" w:hAnsi="ITC Avant Garde" w:cs="Calibri"/>
          <w:lang w:eastAsia="es-MX"/>
        </w:rPr>
        <w:t>,</w:t>
      </w:r>
      <w:r w:rsidR="0045346B">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14:paraId="1A4E4A7B"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488C0728"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w:t>
      </w:r>
      <w:r w:rsidRPr="006E341B">
        <w:rPr>
          <w:rFonts w:ascii="ITC Avant Garde" w:eastAsia="Times New Roman" w:hAnsi="ITC Avant Garde" w:cs="Calibri"/>
          <w:lang w:eastAsia="es-MX"/>
        </w:rPr>
        <w:lastRenderedPageBreak/>
        <w:t>las normas oficiales mexicanas. Las mercancías sujetas a normas oficiales mexicanas se identificarán en términos de sus fracciones arancelarias y de la nomenclatura que les corresponda conforme a la tarifa respectiva”.</w:t>
      </w:r>
    </w:p>
    <w:p w14:paraId="3EFB6565"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4D6DA1B1"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01E0E084"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2B11D9EF"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A su vez, el artículo Tercero Transitorio del Decreto por el que se expidió la LFTR establece:</w:t>
      </w:r>
    </w:p>
    <w:p w14:paraId="66E25F38"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156BDD6F" w14:textId="77777777" w:rsidR="006E341B" w:rsidRDefault="006E341B" w:rsidP="006E341B">
      <w:pPr>
        <w:spacing w:after="101" w:line="231" w:lineRule="exact"/>
        <w:ind w:left="720"/>
        <w:jc w:val="both"/>
        <w:rPr>
          <w:rFonts w:ascii="Arial" w:eastAsia="Times New Roman" w:hAnsi="Arial" w:cs="Arial"/>
          <w:i/>
          <w:sz w:val="18"/>
          <w:szCs w:val="18"/>
          <w:lang w:val="es-ES" w:eastAsia="es-ES"/>
        </w:rPr>
      </w:pPr>
      <w:r w:rsidRPr="006E341B">
        <w:rPr>
          <w:rFonts w:ascii="Arial" w:eastAsia="Times New Roman" w:hAnsi="Arial" w:cs="Arial"/>
          <w:i/>
          <w:sz w:val="18"/>
          <w:szCs w:val="18"/>
          <w:lang w:val="es-ES" w:eastAsia="es-ES"/>
        </w:rPr>
        <w:t>“</w:t>
      </w:r>
      <w:r w:rsidRPr="006E341B">
        <w:rPr>
          <w:rFonts w:ascii="ITC Avant Garde" w:eastAsia="Times New Roman" w:hAnsi="ITC Avant Garde" w:cs="Calibri"/>
          <w:b/>
          <w:i/>
          <w:sz w:val="18"/>
          <w:szCs w:val="18"/>
          <w:lang w:eastAsia="es-MX"/>
        </w:rPr>
        <w:t>TERCERO.</w:t>
      </w:r>
      <w:r w:rsidRPr="006E341B">
        <w:rPr>
          <w:rFonts w:ascii="ITC Avant Garde" w:eastAsia="Times New Roman" w:hAnsi="ITC Avant Garde" w:cs="Calibri"/>
          <w:i/>
          <w:sz w:val="18"/>
          <w:szCs w:val="18"/>
          <w:lang w:eastAsia="es-MX"/>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r w:rsidRPr="006E341B">
        <w:rPr>
          <w:rFonts w:ascii="Arial" w:eastAsia="Times New Roman" w:hAnsi="Arial" w:cs="Arial"/>
          <w:i/>
          <w:sz w:val="18"/>
          <w:szCs w:val="18"/>
          <w:lang w:val="es-ES" w:eastAsia="es-ES"/>
        </w:rPr>
        <w:t>.”</w:t>
      </w:r>
    </w:p>
    <w:p w14:paraId="661AA8FD" w14:textId="77777777" w:rsidR="00C21ECC" w:rsidRPr="006E341B" w:rsidRDefault="00C21ECC" w:rsidP="006E341B">
      <w:pPr>
        <w:spacing w:after="101" w:line="231" w:lineRule="exact"/>
        <w:ind w:left="720"/>
        <w:jc w:val="both"/>
        <w:rPr>
          <w:rFonts w:ascii="Arial" w:eastAsia="Times New Roman" w:hAnsi="Arial" w:cs="Arial"/>
          <w:i/>
          <w:sz w:val="18"/>
          <w:szCs w:val="18"/>
          <w:lang w:val="es-ES" w:eastAsia="es-ES"/>
        </w:rPr>
      </w:pPr>
    </w:p>
    <w:p w14:paraId="27D1DE8F"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Adicionalmente, el “Acuerdo por el que la Secretaría de Economía emite reglas y criterios de carácter general en materia de Comercio Exterior” (en lo sucesivo, el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(en lo sucesivo, el “Anexo de NOM’S”).</w:t>
      </w:r>
    </w:p>
    <w:p w14:paraId="3953D5F6"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6044192E"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este sentido, los Equipos Terminales Móviles que deben cumplir con la Disposición Técnica IFT-011-2017 parte 2 estarían contenidos en el Anexo de NOM’S, y serían tratados en los términos dispuestos por el mismo.</w:t>
      </w:r>
    </w:p>
    <w:p w14:paraId="2F86D93F"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63491010" w14:textId="7777777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lastRenderedPageBreak/>
        <w:t>De ahí que la Secretaría de Economía, en el ámbito de su competencia, emita la norma oficial mexicana correspondiente, que regule la importación, comercialización y/o distribución dentro del territorio de los Estados Unidos Mexicanos de Equipos Terminales Móviles cuyas especificaciones se prevén en la Disposición Técnica que emita el Instituto.</w:t>
      </w:r>
    </w:p>
    <w:p w14:paraId="04FA2F46"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0CF454C5" w14:textId="45C1819F"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este orden de ideas, en el marco de la coordinación y colaboración entre el Instituto y la Secretaría de Economía que prevén la LFTR y la LFMN, al emitirse por el Instituto la Disposición Técnica IFT-011-2017</w:t>
      </w:r>
      <w:r w:rsidR="002123C7">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parte 2, la Secretaría de Economía realizaría los actos jurídicos correspondientes como son, por una parte, la emisión de la norma oficial mexicana que regule la importación, comercialización y/o distribución dentro del territorio de los Estados Unidos Mexicanos de Equipos Terminales Móviles y, por la otra, la actualización del Acuerdo citado.</w:t>
      </w:r>
    </w:p>
    <w:p w14:paraId="1464AFDC" w14:textId="77777777" w:rsidR="00C21ECC" w:rsidRPr="006E341B" w:rsidRDefault="00C21ECC" w:rsidP="006E341B">
      <w:pPr>
        <w:spacing w:after="101" w:line="276" w:lineRule="auto"/>
        <w:jc w:val="both"/>
        <w:rPr>
          <w:rFonts w:ascii="ITC Avant Garde" w:eastAsia="Times New Roman" w:hAnsi="ITC Avant Garde" w:cs="Calibri"/>
          <w:lang w:eastAsia="es-MX"/>
        </w:rPr>
      </w:pPr>
    </w:p>
    <w:p w14:paraId="75BB376D" w14:textId="77777777" w:rsidR="006E341B" w:rsidRDefault="006E341B" w:rsidP="006E341B">
      <w:pPr>
        <w:spacing w:after="101" w:line="276" w:lineRule="auto"/>
        <w:jc w:val="both"/>
        <w:rPr>
          <w:rFonts w:ascii="ITC Avant Garde" w:eastAsia="Times New Roman" w:hAnsi="ITC Avant Garde" w:cs="Calibri"/>
          <w:lang w:eastAsia="es-MX"/>
        </w:rPr>
      </w:pPr>
      <w:r w:rsidRPr="00C21ECC">
        <w:rPr>
          <w:rFonts w:ascii="ITC Avant Garde" w:eastAsia="Times New Roman" w:hAnsi="ITC Avant Garde" w:cs="Calibri"/>
          <w:lang w:eastAsia="es-MX"/>
        </w:rPr>
        <w:t>Tal situación se fortalece con lo señalado en el referido Acuerdo,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2A4A4CC1" w14:textId="77777777" w:rsidR="00C21ECC" w:rsidRPr="00C21ECC" w:rsidRDefault="00C21ECC" w:rsidP="006E341B">
      <w:pPr>
        <w:spacing w:after="101" w:line="276" w:lineRule="auto"/>
        <w:jc w:val="both"/>
        <w:rPr>
          <w:rFonts w:ascii="ITC Avant Garde" w:eastAsia="Times New Roman" w:hAnsi="ITC Avant Garde" w:cs="Calibri"/>
          <w:lang w:eastAsia="es-MX"/>
        </w:rPr>
      </w:pPr>
    </w:p>
    <w:p w14:paraId="7F6F6133" w14:textId="6DE36587" w:rsidR="006E341B" w:rsidRDefault="006E341B" w:rsidP="006E341B">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Derivado de lo anterior, en el punto de entrada a México, respecto de los productos identificados en las Fracciones Arancelarias del Anexo 2.4.1 como derivados de la Disposición Técnica IFT-011-2017 parte 2, las autoridades aduaneras deberán hacer cumplir lo dispuesto por la norma oficial mexicana correspondiente que regule la importación, comercialización y/o distribución dentro del territorio de los Estados Unidos Mexicanos de Equipos Terminales Móviles, cuyas especificaciones se prevén en la Disposición Técnica IFT-011-2017, parte 2.</w:t>
      </w:r>
    </w:p>
    <w:p w14:paraId="6EF0E09A" w14:textId="77777777" w:rsidR="002E7F16" w:rsidRPr="006E341B" w:rsidRDefault="002E7F16" w:rsidP="006E341B">
      <w:pPr>
        <w:spacing w:after="101" w:line="276" w:lineRule="auto"/>
        <w:jc w:val="both"/>
        <w:rPr>
          <w:rFonts w:ascii="ITC Avant Garde" w:eastAsia="Times New Roman" w:hAnsi="ITC Avant Garde" w:cs="Calibri"/>
          <w:lang w:eastAsia="es-MX"/>
        </w:rPr>
      </w:pPr>
    </w:p>
    <w:p w14:paraId="29E5768C" w14:textId="77777777" w:rsidR="006E341B" w:rsidRDefault="006E341B" w:rsidP="003B1248">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t>SEXTO.- Necesidad de emitir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6E341B">
        <w:rPr>
          <w:rFonts w:ascii="ITC Avant Garde" w:eastAsia="Times New Roman" w:hAnsi="ITC Avant Garde" w:cs="Calibri"/>
          <w:lang w:eastAsia="es-MX"/>
        </w:rPr>
        <w:t xml:space="preserve"> Con fundamento en los párrafos décimo quinto y vigésimo, fracción IV, del artículo 28 de la Constitución y los artículos 1, 2, 7, párrafos segundo y cuarto, y 15, </w:t>
      </w:r>
      <w:r w:rsidRPr="006E341B">
        <w:rPr>
          <w:rFonts w:ascii="ITC Avant Garde" w:eastAsia="Times New Roman" w:hAnsi="ITC Avant Garde" w:cs="Calibri"/>
          <w:lang w:eastAsia="es-MX"/>
        </w:rPr>
        <w:lastRenderedPageBreak/>
        <w:t>fracción I, de la LFTR, corresponde exclusivamente al Instituto, como órgano constitucional autónomo, emitir una disposición de observancia general que establezca las especificaciones relativas a las especificaciones técnicas de los Equipos Terminales Móviles que puedan hacer uso del espectro radioeléctrico o ser conectados a redes de telecomunicaciones; así como los métodos de prueba para comprobar el cumplimiento de dichas especificaciones, previéndose</w:t>
      </w:r>
      <w:r w:rsidRPr="006E341B">
        <w:rPr>
          <w:rFonts w:ascii="Arial" w:eastAsia="Times New Roman" w:hAnsi="Arial" w:cs="Arial"/>
          <w:sz w:val="18"/>
          <w:szCs w:val="20"/>
          <w:lang w:val="es-ES" w:eastAsia="es-ES"/>
        </w:rPr>
        <w:t xml:space="preserve"> </w:t>
      </w:r>
      <w:r w:rsidRPr="006E341B">
        <w:rPr>
          <w:rFonts w:ascii="ITC Avant Garde" w:eastAsia="Times New Roman" w:hAnsi="ITC Avant Garde" w:cs="Calibri"/>
          <w:lang w:eastAsia="es-MX"/>
        </w:rPr>
        <w:t>que cuando operen, no causen interferencias perjudiciales a otros equipos de operación autorizada, ni a las redes y servicios de telecomunicaciones autorizados por el Instituto Federal de Telecomunicaciones. Lo anterior, sin perjuicio de lo que al efecto dispongan otras disposiciones legales y administrativas que resulten aplicables.</w:t>
      </w:r>
    </w:p>
    <w:p w14:paraId="6301A369" w14:textId="77777777" w:rsidR="003B1248" w:rsidRPr="006E341B" w:rsidRDefault="003B1248" w:rsidP="003B1248">
      <w:pPr>
        <w:spacing w:after="101" w:line="276" w:lineRule="auto"/>
        <w:jc w:val="both"/>
        <w:rPr>
          <w:rFonts w:ascii="ITC Avant Garde" w:eastAsia="Times New Roman" w:hAnsi="ITC Avant Garde" w:cs="Calibri"/>
          <w:lang w:eastAsia="es-MX"/>
        </w:rPr>
      </w:pPr>
    </w:p>
    <w:p w14:paraId="50E6E915" w14:textId="77777777" w:rsidR="00B913FE" w:rsidRDefault="00B913FE" w:rsidP="003B1248">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 xml:space="preserve">Los beneficios que se pretenden al emitir la Disposición Técnica de mérito son </w:t>
      </w:r>
      <w:r w:rsidR="003B1248">
        <w:rPr>
          <w:rFonts w:ascii="ITC Avant Garde" w:eastAsia="Times New Roman" w:hAnsi="ITC Avant Garde" w:cs="Calibri"/>
          <w:lang w:eastAsia="es-MX"/>
        </w:rPr>
        <w:t>primordialmente</w:t>
      </w:r>
      <w:r>
        <w:rPr>
          <w:rFonts w:ascii="ITC Avant Garde" w:eastAsia="Times New Roman" w:hAnsi="ITC Avant Garde" w:cs="Calibri"/>
          <w:lang w:eastAsia="es-MX"/>
        </w:rPr>
        <w:t>:</w:t>
      </w:r>
    </w:p>
    <w:p w14:paraId="4588A0B9" w14:textId="77777777" w:rsidR="003B1248" w:rsidRDefault="003B1248" w:rsidP="003B1248">
      <w:pPr>
        <w:spacing w:after="101" w:line="276" w:lineRule="auto"/>
        <w:jc w:val="both"/>
        <w:rPr>
          <w:rFonts w:ascii="ITC Avant Garde" w:eastAsia="Times New Roman" w:hAnsi="ITC Avant Garde" w:cs="Calibri"/>
          <w:lang w:eastAsia="es-MX"/>
        </w:rPr>
      </w:pPr>
    </w:p>
    <w:p w14:paraId="258AA7BC" w14:textId="77777777" w:rsidR="00B913FE" w:rsidRPr="00B913FE" w:rsidRDefault="00B913FE" w:rsidP="003B1248">
      <w:pPr>
        <w:pStyle w:val="Prrafodelista"/>
        <w:numPr>
          <w:ilvl w:val="0"/>
          <w:numId w:val="6"/>
        </w:numPr>
        <w:spacing w:after="101" w:line="276" w:lineRule="auto"/>
        <w:jc w:val="both"/>
        <w:rPr>
          <w:rFonts w:ascii="ITC Avant Garde" w:hAnsi="ITC Avant Garde"/>
        </w:rPr>
      </w:pPr>
      <w:r w:rsidRPr="003B1248">
        <w:rPr>
          <w:rFonts w:ascii="ITC Avant Garde" w:hAnsi="ITC Avant Garde"/>
          <w:szCs w:val="22"/>
        </w:rPr>
        <w:t xml:space="preserve">Dar certidumbre jurídica respecto a las especificaciones técnicas y métodos de prueba de los Equipos Terminales Móviles que puedan hacer uso del espectro radioeléctrico (en las bandas de frecuencias de 700 MHz, 800 MHz, 850 MHz, 1900 MHz, 1700 MHz/2100 MHz y/o 2500 MHz) o ser conectados a redes de telecomunicaciones previendo que cuando operen no causen interferencias perjudiciales a otros equipos de operación autorizada, ni a las redes y servicios de telecomunicaciones autorizados por el Instituto Federal de Telecomunicaciones. </w:t>
      </w:r>
    </w:p>
    <w:p w14:paraId="5351988F" w14:textId="77777777" w:rsidR="00B913FE" w:rsidRPr="00B913FE" w:rsidRDefault="00B913FE" w:rsidP="003B1248">
      <w:pPr>
        <w:spacing w:after="101" w:line="276" w:lineRule="auto"/>
        <w:jc w:val="both"/>
        <w:rPr>
          <w:rFonts w:ascii="ITC Avant Garde" w:eastAsia="Times New Roman" w:hAnsi="ITC Avant Garde" w:cs="Calibri"/>
          <w:lang w:eastAsia="es-MX"/>
        </w:rPr>
      </w:pPr>
    </w:p>
    <w:p w14:paraId="7C5687CD" w14:textId="519102B7" w:rsidR="0048718E" w:rsidRPr="00B913FE" w:rsidRDefault="00B913FE" w:rsidP="003B1248">
      <w:pPr>
        <w:pStyle w:val="Prrafodelista"/>
        <w:numPr>
          <w:ilvl w:val="0"/>
          <w:numId w:val="6"/>
        </w:numPr>
        <w:spacing w:after="101" w:line="276" w:lineRule="auto"/>
        <w:jc w:val="both"/>
        <w:rPr>
          <w:rFonts w:ascii="ITC Avant Garde" w:hAnsi="ITC Avant Garde"/>
        </w:rPr>
      </w:pPr>
      <w:r w:rsidRPr="00B913FE">
        <w:rPr>
          <w:rFonts w:ascii="ITC Avant Garde" w:hAnsi="ITC Avant Garde"/>
        </w:rPr>
        <w:t>Contribuir</w:t>
      </w:r>
      <w:r>
        <w:rPr>
          <w:rFonts w:ascii="ITC Avant Garde" w:hAnsi="ITC Avant Garde"/>
        </w:rPr>
        <w:t xml:space="preserve"> con los usuarios de los servicios de telecomunicaciones móviles, en el ejercicio del d</w:t>
      </w:r>
      <w:r w:rsidRPr="00B913FE">
        <w:rPr>
          <w:rFonts w:ascii="ITC Avant Garde" w:hAnsi="ITC Avant Garde"/>
        </w:rPr>
        <w:t>erecho a la portabilidad,</w:t>
      </w:r>
      <w:r w:rsidR="00374D57">
        <w:rPr>
          <w:rFonts w:ascii="ITC Avant Garde" w:hAnsi="ITC Avant Garde"/>
        </w:rPr>
        <w:t xml:space="preserve"> </w:t>
      </w:r>
      <w:r w:rsidRPr="00B913FE">
        <w:rPr>
          <w:rFonts w:ascii="ITC Avant Garde" w:hAnsi="ITC Avant Garde"/>
        </w:rPr>
        <w:t xml:space="preserve">coadyuvando </w:t>
      </w:r>
      <w:r w:rsidR="00374D57">
        <w:rPr>
          <w:rFonts w:ascii="ITC Avant Garde" w:hAnsi="ITC Avant Garde"/>
        </w:rPr>
        <w:t xml:space="preserve">asimismo </w:t>
      </w:r>
      <w:r w:rsidRPr="00B913FE">
        <w:rPr>
          <w:rFonts w:ascii="ITC Avant Garde" w:hAnsi="ITC Avant Garde"/>
        </w:rPr>
        <w:t xml:space="preserve">al </w:t>
      </w:r>
      <w:r>
        <w:rPr>
          <w:rFonts w:ascii="ITC Avant Garde" w:hAnsi="ITC Avant Garde"/>
        </w:rPr>
        <w:t xml:space="preserve">derecho de </w:t>
      </w:r>
      <w:r w:rsidRPr="00B913FE">
        <w:rPr>
          <w:rFonts w:ascii="ITC Avant Garde" w:hAnsi="ITC Avant Garde"/>
        </w:rPr>
        <w:t>acceso</w:t>
      </w:r>
      <w:r>
        <w:rPr>
          <w:rFonts w:ascii="ITC Avant Garde" w:hAnsi="ITC Avant Garde"/>
        </w:rPr>
        <w:t xml:space="preserve"> a la banda ancha e </w:t>
      </w:r>
      <w:r w:rsidR="004313D1">
        <w:rPr>
          <w:rFonts w:ascii="ITC Avant Garde" w:hAnsi="ITC Avant Garde"/>
        </w:rPr>
        <w:t>I</w:t>
      </w:r>
      <w:r>
        <w:rPr>
          <w:rFonts w:ascii="ITC Avant Garde" w:hAnsi="ITC Avant Garde"/>
        </w:rPr>
        <w:t>nternet, establecido en el artículo 6o</w:t>
      </w:r>
      <w:r w:rsidR="003B1248">
        <w:rPr>
          <w:rFonts w:ascii="ITC Avant Garde" w:hAnsi="ITC Avant Garde"/>
        </w:rPr>
        <w:t xml:space="preserve"> Constitucional</w:t>
      </w:r>
      <w:r w:rsidRPr="00B913FE">
        <w:rPr>
          <w:rFonts w:ascii="ITC Avant Garde" w:hAnsi="ITC Avant Garde"/>
        </w:rPr>
        <w:t>.</w:t>
      </w:r>
    </w:p>
    <w:p w14:paraId="1EA4CC38" w14:textId="77777777" w:rsidR="006E341B" w:rsidRPr="006E341B" w:rsidRDefault="006E341B" w:rsidP="006E341B">
      <w:pPr>
        <w:spacing w:after="80" w:line="213" w:lineRule="exact"/>
        <w:jc w:val="both"/>
        <w:rPr>
          <w:rFonts w:ascii="ITC Avant Garde" w:eastAsia="Times New Roman" w:hAnsi="ITC Avant Garde" w:cs="Calibri"/>
          <w:lang w:eastAsia="es-MX"/>
        </w:rPr>
      </w:pPr>
    </w:p>
    <w:p w14:paraId="333B46DA" w14:textId="77777777" w:rsidR="006E341B" w:rsidRDefault="006E341B" w:rsidP="006E341B">
      <w:pPr>
        <w:spacing w:after="80"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t>SÉPTIMO. Consulta pública.</w:t>
      </w:r>
      <w:r w:rsidRPr="006E341B">
        <w:rPr>
          <w:rFonts w:ascii="ITC Avant Garde" w:eastAsia="Times New Roman" w:hAnsi="ITC Avant Garde" w:cs="Calibri"/>
          <w:lang w:eastAsia="es-MX"/>
        </w:rPr>
        <w:t xml:space="preserve"> Con fundamento en lo establecido en el artículo 51 de la LFTR, el Instituto sometió a consulta pública bajo los principios de transparencia y participación ciudadana, el “ANTEPROYECTO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 durante </w:t>
      </w:r>
      <w:r w:rsidRPr="006E341B">
        <w:rPr>
          <w:rFonts w:ascii="ITC Avant Garde" w:eastAsia="Times New Roman" w:hAnsi="ITC Avant Garde" w:cs="Calibri"/>
          <w:lang w:eastAsia="es-MX"/>
        </w:rPr>
        <w:lastRenderedPageBreak/>
        <w:t>un periodo de treinta días naturales, comprendido del 14 de julio de 2017 al 12 de agosto de 2017.</w:t>
      </w:r>
    </w:p>
    <w:p w14:paraId="0419F01E" w14:textId="77777777" w:rsidR="00C21ECC" w:rsidRPr="006E341B" w:rsidRDefault="00C21ECC" w:rsidP="006E341B">
      <w:pPr>
        <w:spacing w:after="80" w:line="276" w:lineRule="auto"/>
        <w:jc w:val="both"/>
        <w:rPr>
          <w:rFonts w:ascii="ITC Avant Garde" w:eastAsia="Times New Roman" w:hAnsi="ITC Avant Garde" w:cs="Calibri"/>
          <w:lang w:eastAsia="es-MX"/>
        </w:rPr>
      </w:pPr>
    </w:p>
    <w:p w14:paraId="721D56FB" w14:textId="77777777" w:rsidR="006E341B" w:rsidRDefault="006E341B" w:rsidP="006E341B">
      <w:pPr>
        <w:spacing w:after="8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Durante la consulta pública de mérito, se recibieron 15 participaciones de personas morales; dichas participaciones se centraron fundamentalmente en </w:t>
      </w:r>
      <w:r w:rsidR="00EB7113">
        <w:rPr>
          <w:rFonts w:ascii="ITC Avant Garde" w:eastAsia="Times New Roman" w:hAnsi="ITC Avant Garde" w:cs="Calibri"/>
          <w:lang w:eastAsia="es-MX"/>
        </w:rPr>
        <w:t>realizar precisiones a las especificaciones técnicas y los métodos de prueba, así como a la inclusión de bandas de frecuencia asignadas a servicios móviles en el territorio nacional con el fin de fortalecer y coadyuvar con el usuario en el ejercicio de su derecho a la portabilidad</w:t>
      </w:r>
      <w:r w:rsidRPr="006E341B">
        <w:rPr>
          <w:rFonts w:ascii="ITC Avant Garde" w:eastAsia="Times New Roman" w:hAnsi="ITC Avant Garde" w:cs="Calibri"/>
          <w:lang w:eastAsia="es-MX"/>
        </w:rPr>
        <w:t>. Las participaciones, así como las respuestas emitidas a los comentarios, se encuentran disponibles en el portal de Internet del Instituto.</w:t>
      </w:r>
    </w:p>
    <w:p w14:paraId="6A9EE234" w14:textId="77777777" w:rsidR="002E7F16" w:rsidRPr="006E341B" w:rsidRDefault="002E7F16" w:rsidP="006E341B">
      <w:pPr>
        <w:spacing w:after="80" w:line="276" w:lineRule="auto"/>
        <w:jc w:val="both"/>
        <w:rPr>
          <w:rFonts w:ascii="ITC Avant Garde" w:eastAsia="Times New Roman" w:hAnsi="ITC Avant Garde" w:cs="Calibri"/>
          <w:lang w:eastAsia="es-MX"/>
        </w:rPr>
      </w:pPr>
    </w:p>
    <w:p w14:paraId="07741B45" w14:textId="76373C85" w:rsidR="00057DE9" w:rsidRDefault="006E341B" w:rsidP="006E341B">
      <w:pPr>
        <w:spacing w:after="80" w:line="276" w:lineRule="auto"/>
        <w:jc w:val="both"/>
        <w:rPr>
          <w:rFonts w:ascii="ITC Avant Garde" w:hAnsi="ITC Avant Garde"/>
        </w:rPr>
      </w:pPr>
      <w:r w:rsidRPr="006E341B">
        <w:rPr>
          <w:rFonts w:ascii="ITC Avant Garde" w:hAnsi="ITC Avant Garde"/>
          <w:b/>
        </w:rPr>
        <w:t>NOVENO. Análisis de Impacto Regulatorio.</w:t>
      </w:r>
      <w:r w:rsidRPr="006E341B">
        <w:rPr>
          <w:rFonts w:ascii="ITC Avant Garde" w:hAnsi="ITC Avant Garde"/>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IFT/211/CGMR/</w:t>
      </w:r>
      <w:r w:rsidR="0045346B" w:rsidRPr="008111F6">
        <w:rPr>
          <w:rFonts w:ascii="ITC Avant Garde" w:hAnsi="ITC Avant Garde"/>
        </w:rPr>
        <w:t>125</w:t>
      </w:r>
      <w:r w:rsidRPr="008111F6">
        <w:rPr>
          <w:rFonts w:ascii="ITC Avant Garde" w:hAnsi="ITC Avant Garde"/>
        </w:rPr>
        <w:t xml:space="preserve">/2017, </w:t>
      </w:r>
      <w:r w:rsidR="009E435B" w:rsidRPr="008111F6">
        <w:rPr>
          <w:rFonts w:ascii="ITC Avant Garde" w:hAnsi="ITC Avant Garde"/>
        </w:rPr>
        <w:t xml:space="preserve">emitió </w:t>
      </w:r>
      <w:r w:rsidRPr="008111F6">
        <w:rPr>
          <w:rFonts w:ascii="ITC Avant Garde" w:hAnsi="ITC Avant Garde"/>
        </w:rPr>
        <w:t xml:space="preserve">la opinión no vinculante respecto del proyecto de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en dicha opinión, </w:t>
      </w:r>
      <w:r w:rsidR="00057DE9">
        <w:rPr>
          <w:rFonts w:ascii="ITC Avant Garde" w:hAnsi="ITC Avant Garde"/>
        </w:rPr>
        <w:t>manifestó</w:t>
      </w:r>
      <w:r w:rsidRPr="008111F6">
        <w:rPr>
          <w:rFonts w:ascii="ITC Avant Garde" w:hAnsi="ITC Avant Garde"/>
        </w:rPr>
        <w:t xml:space="preserve"> diversas recomendaciones</w:t>
      </w:r>
      <w:r w:rsidR="00FD7FBC" w:rsidRPr="008111F6">
        <w:rPr>
          <w:rFonts w:ascii="ITC Avant Garde" w:hAnsi="ITC Avant Garde"/>
        </w:rPr>
        <w:t xml:space="preserve"> </w:t>
      </w:r>
      <w:r w:rsidR="00057DE9">
        <w:rPr>
          <w:rFonts w:ascii="ITC Avant Garde" w:hAnsi="ITC Avant Garde"/>
        </w:rPr>
        <w:t xml:space="preserve">a efectos de robustecer y mejorar tanto el Análisis de Impacto Regulatorio como algunas disposiciones del proyecto, las cuales fueron analizadas y, en su caso, atendidas. </w:t>
      </w:r>
    </w:p>
    <w:p w14:paraId="5DF52E3F" w14:textId="77777777" w:rsidR="009E435B" w:rsidRPr="006E341B" w:rsidRDefault="009E435B" w:rsidP="006E341B">
      <w:pPr>
        <w:spacing w:after="80" w:line="276" w:lineRule="auto"/>
        <w:jc w:val="both"/>
        <w:rPr>
          <w:rFonts w:ascii="ITC Avant Garde" w:eastAsia="Times New Roman" w:hAnsi="ITC Avant Garde" w:cs="Calibri"/>
          <w:lang w:eastAsia="es-MX"/>
        </w:rPr>
      </w:pPr>
    </w:p>
    <w:p w14:paraId="21FC0EAA" w14:textId="77777777" w:rsidR="006E341B" w:rsidRPr="006E341B" w:rsidRDefault="006E341B" w:rsidP="006E341B">
      <w:pPr>
        <w:spacing w:after="80"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Por lo anterior y con fundamento en los artículos 6o., apartado B, fracciones II y III, y 28, párrafos décimo quinto y vigésimo, fracción IV, de la Constitución Política de los Estados Unidos Mexicanos; 1, 2, 7, 15, fracciones I, y LVI, </w:t>
      </w:r>
      <w:r w:rsidRPr="009E435B">
        <w:rPr>
          <w:rFonts w:ascii="ITC Avant Garde" w:eastAsia="Times New Roman" w:hAnsi="ITC Avant Garde" w:cs="Calibri"/>
          <w:lang w:eastAsia="es-MX"/>
        </w:rPr>
        <w:t>51, y 289 de la Ley</w:t>
      </w:r>
      <w:r w:rsidRPr="006E341B">
        <w:rPr>
          <w:rFonts w:ascii="ITC Avant Garde" w:eastAsia="Times New Roman" w:hAnsi="ITC Avant Garde" w:cs="Calibri"/>
          <w:lang w:eastAsia="es-MX"/>
        </w:rPr>
        <w:t xml:space="preserve"> Federal de Telecomunicaciones y Radiodifusión; 4, fracción I, y 6, fracción I, del Estatuto Orgánico del Instituto Federal de Telecomunicaciones, el Pleno del Instituto Federal de Telecomunicaciones emite el siguiente:</w:t>
      </w:r>
    </w:p>
    <w:p w14:paraId="5DCB5930" w14:textId="77777777" w:rsidR="006E341B" w:rsidRPr="006E341B" w:rsidRDefault="006E341B" w:rsidP="006E341B">
      <w:pPr>
        <w:spacing w:after="80" w:line="276" w:lineRule="auto"/>
        <w:jc w:val="both"/>
        <w:rPr>
          <w:rFonts w:ascii="ITC Avant Garde" w:eastAsia="Times New Roman" w:hAnsi="ITC Avant Garde" w:cs="Calibri"/>
          <w:lang w:eastAsia="es-MX"/>
        </w:rPr>
      </w:pPr>
    </w:p>
    <w:p w14:paraId="5D296093" w14:textId="77777777" w:rsidR="006E341B" w:rsidRPr="006E341B" w:rsidRDefault="006E341B" w:rsidP="006E341B">
      <w:pPr>
        <w:spacing w:after="80" w:line="276" w:lineRule="auto"/>
        <w:jc w:val="center"/>
        <w:rPr>
          <w:rFonts w:ascii="ITC Avant Garde" w:eastAsia="Times New Roman" w:hAnsi="ITC Avant Garde" w:cs="Calibri"/>
          <w:b/>
          <w:lang w:eastAsia="es-MX"/>
        </w:rPr>
      </w:pPr>
      <w:r w:rsidRPr="006E341B">
        <w:rPr>
          <w:rFonts w:ascii="ITC Avant Garde" w:eastAsia="Times New Roman" w:hAnsi="ITC Avant Garde" w:cs="Calibri"/>
          <w:b/>
          <w:lang w:eastAsia="es-MX"/>
        </w:rPr>
        <w:t>ACUERDO</w:t>
      </w:r>
    </w:p>
    <w:p w14:paraId="176AD4F3" w14:textId="77777777" w:rsidR="006E341B" w:rsidRPr="006E341B" w:rsidRDefault="006E341B" w:rsidP="006E341B">
      <w:pPr>
        <w:spacing w:after="80" w:line="276" w:lineRule="auto"/>
        <w:jc w:val="both"/>
        <w:rPr>
          <w:rFonts w:ascii="ITC Avant Garde" w:eastAsia="Times New Roman" w:hAnsi="ITC Avant Garde" w:cs="Calibri"/>
          <w:lang w:eastAsia="es-MX"/>
        </w:rPr>
      </w:pPr>
    </w:p>
    <w:p w14:paraId="7878372E" w14:textId="77777777" w:rsidR="002E7F16" w:rsidRDefault="006E341B" w:rsidP="006E341B">
      <w:pPr>
        <w:spacing w:after="80" w:line="276" w:lineRule="auto"/>
        <w:jc w:val="both"/>
        <w:rPr>
          <w:rFonts w:ascii="ITC Avant Garde" w:eastAsia="Times New Roman" w:hAnsi="ITC Avant Garde" w:cs="Calibri"/>
          <w:lang w:eastAsia="es-MX"/>
        </w:rPr>
      </w:pPr>
      <w:r w:rsidRPr="006E341B">
        <w:rPr>
          <w:rFonts w:ascii="ITC Avant Garde" w:eastAsia="Times New Roman" w:hAnsi="ITC Avant Garde" w:cs="Calibri"/>
          <w:b/>
          <w:lang w:eastAsia="es-MX"/>
        </w:rPr>
        <w:lastRenderedPageBreak/>
        <w:t>PRIMERO.-</w:t>
      </w:r>
      <w:r w:rsidRPr="006E341B">
        <w:rPr>
          <w:rFonts w:ascii="ITC Avant Garde" w:eastAsia="Times New Roman" w:hAnsi="ITC Avant Garde" w:cs="Calibri"/>
          <w:lang w:eastAsia="es-MX"/>
        </w:rPr>
        <w:t xml:space="preserve"> Se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misma que se encuentra como Anexo Único del presente Acuerdo y que forma parte integrante de este, la cual comenzará su vigencia </w:t>
      </w:r>
      <w:r w:rsidR="000F35D3">
        <w:rPr>
          <w:rFonts w:ascii="ITC Avant Garde" w:eastAsia="Times New Roman" w:hAnsi="ITC Avant Garde" w:cs="Calibri"/>
          <w:lang w:eastAsia="es-MX"/>
        </w:rPr>
        <w:t>a partir de su publicaci</w:t>
      </w:r>
      <w:r w:rsidR="00BA2E0C">
        <w:rPr>
          <w:rFonts w:ascii="ITC Avant Garde" w:eastAsia="Times New Roman" w:hAnsi="ITC Avant Garde" w:cs="Calibri"/>
          <w:lang w:eastAsia="es-MX"/>
        </w:rPr>
        <w:t>ó</w:t>
      </w:r>
      <w:r w:rsidR="000F35D3">
        <w:rPr>
          <w:rFonts w:ascii="ITC Avant Garde" w:eastAsia="Times New Roman" w:hAnsi="ITC Avant Garde" w:cs="Calibri"/>
          <w:lang w:eastAsia="es-MX"/>
        </w:rPr>
        <w:t>n en el Diario Oficial de la Federación</w:t>
      </w:r>
      <w:r w:rsidR="007549F6">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y será revisada por el Instituto al menos a los 5 años contados a partir de su entrada en vigor. Lo anterior, de ninguna manera limita las atribuciones del Instituto para realizar dicha revisión en cualquier momento, dentro del periodo establecid</w:t>
      </w:r>
      <w:r w:rsidR="002E7F16">
        <w:rPr>
          <w:rFonts w:ascii="ITC Avant Garde" w:eastAsia="Times New Roman" w:hAnsi="ITC Avant Garde" w:cs="Calibri"/>
          <w:lang w:eastAsia="es-MX"/>
        </w:rPr>
        <w:t>o.</w:t>
      </w:r>
    </w:p>
    <w:p w14:paraId="36E9D5CC" w14:textId="77777777" w:rsidR="002E7F16" w:rsidRDefault="002E7F16" w:rsidP="006E341B">
      <w:pPr>
        <w:spacing w:after="80" w:line="276" w:lineRule="auto"/>
        <w:jc w:val="both"/>
        <w:rPr>
          <w:rFonts w:ascii="ITC Avant Garde" w:eastAsia="Times New Roman" w:hAnsi="ITC Avant Garde" w:cs="Calibri"/>
          <w:lang w:eastAsia="es-MX"/>
        </w:rPr>
      </w:pPr>
    </w:p>
    <w:p w14:paraId="43BBD724" w14:textId="77777777" w:rsidR="002E7F16" w:rsidRDefault="002E7F16" w:rsidP="006E341B">
      <w:pPr>
        <w:spacing w:after="80" w:line="276" w:lineRule="auto"/>
        <w:jc w:val="both"/>
        <w:rPr>
          <w:rFonts w:ascii="ITC Avant Garde" w:eastAsia="Times New Roman" w:hAnsi="ITC Avant Garde" w:cs="Calibri"/>
          <w:lang w:eastAsia="es-MX"/>
        </w:rPr>
      </w:pPr>
      <w:r>
        <w:rPr>
          <w:rFonts w:ascii="ITC Avant Garde" w:eastAsia="Times New Roman" w:hAnsi="ITC Avant Garde" w:cs="Calibri"/>
          <w:b/>
          <w:lang w:eastAsia="es-MX"/>
        </w:rPr>
        <w:t>SEGUNDO.-</w:t>
      </w:r>
      <w:r>
        <w:rPr>
          <w:rFonts w:ascii="ITC Avant Garde" w:eastAsia="Times New Roman" w:hAnsi="ITC Avant Garde" w:cs="Calibri"/>
          <w:lang w:eastAsia="es-MX"/>
        </w:rPr>
        <w:t xml:space="preserve"> Publíquese el presente Acuerdo y su Anexo Único en el Diario Oficial de la Federación. </w:t>
      </w:r>
    </w:p>
    <w:p w14:paraId="1839465D" w14:textId="77777777" w:rsidR="002E7F16" w:rsidRDefault="002E7F16" w:rsidP="006E341B">
      <w:pPr>
        <w:spacing w:after="80" w:line="276" w:lineRule="auto"/>
        <w:jc w:val="both"/>
        <w:rPr>
          <w:rFonts w:ascii="ITC Avant Garde" w:eastAsia="Times New Roman" w:hAnsi="ITC Avant Garde" w:cs="Calibri"/>
          <w:lang w:eastAsia="es-MX"/>
        </w:rPr>
      </w:pPr>
    </w:p>
    <w:p w14:paraId="684D1FCB" w14:textId="77777777" w:rsidR="000A3352" w:rsidRDefault="000A3352" w:rsidP="000A3352"/>
    <w:p w14:paraId="71C9AFEB" w14:textId="77777777" w:rsidR="00BA2E0C" w:rsidRDefault="00BA2E0C" w:rsidP="00BA2E0C">
      <w:pPr>
        <w:jc w:val="center"/>
      </w:pPr>
      <w:r>
        <w:rPr>
          <w:rFonts w:ascii="ITC Avant Garde" w:hAnsi="ITC Avant Garde"/>
          <w:b/>
          <w:bCs/>
          <w:lang w:val="es-ES" w:eastAsia="es-ES"/>
        </w:rPr>
        <w:t>Gabriel Oswaldo Contreras Saldívar</w:t>
      </w:r>
    </w:p>
    <w:p w14:paraId="616ED044" w14:textId="77777777" w:rsidR="000A3352" w:rsidRDefault="000A3352" w:rsidP="000A3352">
      <w:pPr>
        <w:jc w:val="center"/>
      </w:pPr>
      <w:r>
        <w:rPr>
          <w:rFonts w:ascii="ITC Avant Garde" w:hAnsi="ITC Avant Garde"/>
          <w:b/>
          <w:bCs/>
          <w:lang w:val="es-ES" w:eastAsia="es-ES"/>
        </w:rPr>
        <w:t>Comisionada President</w:t>
      </w:r>
      <w:r w:rsidR="00BA2E0C">
        <w:rPr>
          <w:rFonts w:ascii="ITC Avant Garde" w:hAnsi="ITC Avant Garde"/>
          <w:b/>
          <w:bCs/>
          <w:lang w:val="es-ES" w:eastAsia="es-ES"/>
        </w:rPr>
        <w:t>e</w:t>
      </w:r>
      <w:r>
        <w:rPr>
          <w:rFonts w:ascii="ITC Avant Garde" w:hAnsi="ITC Avant Garde"/>
          <w:b/>
          <w:bCs/>
          <w:lang w:val="es-ES" w:eastAsia="es-ES"/>
        </w:rPr>
        <w:t xml:space="preserve"> </w:t>
      </w:r>
    </w:p>
    <w:p w14:paraId="7338B151" w14:textId="77777777" w:rsidR="000A3352" w:rsidRDefault="000A3352" w:rsidP="000A3352">
      <w:pPr>
        <w:jc w:val="center"/>
        <w:rPr>
          <w:rFonts w:ascii="ITC Avant Garde" w:hAnsi="ITC Avant Garde"/>
          <w:b/>
          <w:bCs/>
          <w:lang w:val="es-ES" w:eastAsia="es-ES"/>
        </w:rPr>
      </w:pPr>
    </w:p>
    <w:p w14:paraId="60F770DA" w14:textId="77777777" w:rsidR="000A3352" w:rsidRDefault="000A3352" w:rsidP="000A3352">
      <w:pPr>
        <w:jc w:val="center"/>
        <w:rPr>
          <w:rFonts w:ascii="ITC Avant Garde" w:hAnsi="ITC Avant Garde"/>
          <w:b/>
          <w:bCs/>
          <w:lang w:val="es-ES" w:eastAsia="es-ES"/>
        </w:rPr>
      </w:pPr>
    </w:p>
    <w:p w14:paraId="0FB141ED" w14:textId="77777777" w:rsidR="000A3352" w:rsidRDefault="000A3352" w:rsidP="000A3352"/>
    <w:tbl>
      <w:tblPr>
        <w:tblW w:w="4983" w:type="pct"/>
        <w:tblCellMar>
          <w:left w:w="0" w:type="dxa"/>
          <w:right w:w="0" w:type="dxa"/>
        </w:tblCellMar>
        <w:tblLook w:val="04A0" w:firstRow="1" w:lastRow="0" w:firstColumn="1" w:lastColumn="0" w:noHBand="0" w:noVBand="1"/>
      </w:tblPr>
      <w:tblGrid>
        <w:gridCol w:w="3699"/>
        <w:gridCol w:w="1115"/>
        <w:gridCol w:w="3994"/>
      </w:tblGrid>
      <w:tr w:rsidR="000A3352" w14:paraId="3A147804" w14:textId="77777777" w:rsidTr="000A3352">
        <w:trPr>
          <w:trHeight w:val="1869"/>
        </w:trPr>
        <w:tc>
          <w:tcPr>
            <w:tcW w:w="2100" w:type="pct"/>
            <w:tcMar>
              <w:top w:w="0" w:type="dxa"/>
              <w:left w:w="70" w:type="dxa"/>
              <w:bottom w:w="0" w:type="dxa"/>
              <w:right w:w="70" w:type="dxa"/>
            </w:tcMar>
            <w:hideMark/>
          </w:tcPr>
          <w:p w14:paraId="1E3AD5B3" w14:textId="77777777" w:rsidR="000A3352" w:rsidRDefault="000A3352">
            <w:pPr>
              <w:jc w:val="center"/>
            </w:pPr>
            <w:r>
              <w:rPr>
                <w:rFonts w:ascii="ITC Avant Garde" w:hAnsi="ITC Avant Garde"/>
                <w:b/>
                <w:bCs/>
                <w:lang w:val="es-ES" w:eastAsia="es-ES"/>
              </w:rPr>
              <w:t>María Elena Estavillo Flores</w:t>
            </w:r>
          </w:p>
          <w:p w14:paraId="5224FB22" w14:textId="77777777" w:rsidR="000A3352" w:rsidRDefault="000A3352">
            <w:pPr>
              <w:jc w:val="center"/>
            </w:pPr>
            <w:r>
              <w:rPr>
                <w:rFonts w:ascii="ITC Avant Garde" w:hAnsi="ITC Avant Garde"/>
                <w:b/>
                <w:bCs/>
                <w:lang w:val="es-ES" w:eastAsia="es-ES"/>
              </w:rPr>
              <w:t>Comisionada</w:t>
            </w:r>
          </w:p>
        </w:tc>
        <w:tc>
          <w:tcPr>
            <w:tcW w:w="633" w:type="pct"/>
            <w:tcMar>
              <w:top w:w="0" w:type="dxa"/>
              <w:left w:w="70" w:type="dxa"/>
              <w:bottom w:w="0" w:type="dxa"/>
              <w:right w:w="70" w:type="dxa"/>
            </w:tcMar>
            <w:hideMark/>
          </w:tcPr>
          <w:p w14:paraId="6FC32FA6" w14:textId="77777777" w:rsidR="000A3352" w:rsidRDefault="000A3352">
            <w:pPr>
              <w:jc w:val="center"/>
            </w:pPr>
            <w:r>
              <w:rPr>
                <w:rFonts w:ascii="ITC Avant Garde" w:hAnsi="ITC Avant Garde"/>
                <w:lang w:val="es-ES" w:eastAsia="es-ES"/>
              </w:rPr>
              <w:t> </w:t>
            </w:r>
          </w:p>
        </w:tc>
        <w:tc>
          <w:tcPr>
            <w:tcW w:w="2267" w:type="pct"/>
            <w:tcMar>
              <w:top w:w="0" w:type="dxa"/>
              <w:left w:w="70" w:type="dxa"/>
              <w:bottom w:w="0" w:type="dxa"/>
              <w:right w:w="70" w:type="dxa"/>
            </w:tcMar>
            <w:hideMark/>
          </w:tcPr>
          <w:p w14:paraId="2E07ED84" w14:textId="77777777" w:rsidR="00BA2E0C" w:rsidRDefault="00BA2E0C" w:rsidP="00BA2E0C">
            <w:pPr>
              <w:jc w:val="center"/>
            </w:pPr>
            <w:r>
              <w:rPr>
                <w:rFonts w:ascii="ITC Avant Garde" w:hAnsi="ITC Avant Garde"/>
                <w:b/>
                <w:bCs/>
                <w:lang w:val="es-ES" w:eastAsia="es-ES"/>
              </w:rPr>
              <w:t>Adriana Sofía Labardini Inzunza</w:t>
            </w:r>
          </w:p>
          <w:p w14:paraId="012F9E53" w14:textId="77777777" w:rsidR="000A3352" w:rsidRDefault="000A3352">
            <w:pPr>
              <w:jc w:val="center"/>
            </w:pPr>
            <w:r>
              <w:rPr>
                <w:rFonts w:ascii="ITC Avant Garde" w:hAnsi="ITC Avant Garde"/>
                <w:b/>
                <w:bCs/>
                <w:lang w:val="es-ES" w:eastAsia="es-ES"/>
              </w:rPr>
              <w:t>Comisionad</w:t>
            </w:r>
            <w:r w:rsidR="00BA2E0C">
              <w:rPr>
                <w:rFonts w:ascii="ITC Avant Garde" w:hAnsi="ITC Avant Garde"/>
                <w:b/>
                <w:bCs/>
                <w:lang w:val="es-ES" w:eastAsia="es-ES"/>
              </w:rPr>
              <w:t>a</w:t>
            </w:r>
          </w:p>
          <w:p w14:paraId="1AD98090" w14:textId="77777777" w:rsidR="000A3352" w:rsidRDefault="000A3352">
            <w:pPr>
              <w:jc w:val="center"/>
            </w:pPr>
          </w:p>
          <w:p w14:paraId="2525E6D0" w14:textId="77777777" w:rsidR="000A3352" w:rsidRDefault="000A3352">
            <w:pPr>
              <w:jc w:val="center"/>
            </w:pPr>
            <w:r>
              <w:rPr>
                <w:rFonts w:ascii="ITC Avant Garde" w:hAnsi="ITC Avant Garde"/>
                <w:lang w:val="es-ES" w:eastAsia="es-ES"/>
              </w:rPr>
              <w:t> </w:t>
            </w:r>
          </w:p>
        </w:tc>
      </w:tr>
      <w:tr w:rsidR="000A3352" w14:paraId="733D3099" w14:textId="77777777" w:rsidTr="000A3352">
        <w:trPr>
          <w:trHeight w:val="1414"/>
        </w:trPr>
        <w:tc>
          <w:tcPr>
            <w:tcW w:w="2100" w:type="pct"/>
            <w:tcMar>
              <w:top w:w="0" w:type="dxa"/>
              <w:left w:w="70" w:type="dxa"/>
              <w:bottom w:w="0" w:type="dxa"/>
              <w:right w:w="70" w:type="dxa"/>
            </w:tcMar>
            <w:hideMark/>
          </w:tcPr>
          <w:p w14:paraId="3E4D075C" w14:textId="77777777" w:rsidR="000A3352" w:rsidRDefault="000A3352">
            <w:pPr>
              <w:jc w:val="center"/>
            </w:pPr>
            <w:r>
              <w:rPr>
                <w:rFonts w:ascii="ITC Avant Garde" w:hAnsi="ITC Avant Garde"/>
                <w:b/>
                <w:bCs/>
                <w:lang w:val="es-ES" w:eastAsia="es-ES"/>
              </w:rPr>
              <w:t>Mario Germán Fromow Rangel</w:t>
            </w:r>
          </w:p>
          <w:p w14:paraId="2C2024BF" w14:textId="77777777" w:rsidR="000A3352" w:rsidRDefault="000A3352">
            <w:pPr>
              <w:jc w:val="center"/>
            </w:pPr>
            <w:r>
              <w:rPr>
                <w:rFonts w:ascii="ITC Avant Garde" w:hAnsi="ITC Avant Garde"/>
                <w:b/>
                <w:bCs/>
                <w:lang w:val="es-ES" w:eastAsia="es-ES"/>
              </w:rPr>
              <w:t>Comisionado</w:t>
            </w:r>
          </w:p>
          <w:p w14:paraId="682E826F" w14:textId="77777777" w:rsidR="000A3352" w:rsidRDefault="000A3352">
            <w:pPr>
              <w:jc w:val="center"/>
            </w:pPr>
          </w:p>
        </w:tc>
        <w:tc>
          <w:tcPr>
            <w:tcW w:w="633" w:type="pct"/>
            <w:tcMar>
              <w:top w:w="0" w:type="dxa"/>
              <w:left w:w="70" w:type="dxa"/>
              <w:bottom w:w="0" w:type="dxa"/>
              <w:right w:w="70" w:type="dxa"/>
            </w:tcMar>
            <w:hideMark/>
          </w:tcPr>
          <w:p w14:paraId="5B4ECE5D" w14:textId="77777777" w:rsidR="000A3352" w:rsidRDefault="000A3352">
            <w:pPr>
              <w:jc w:val="center"/>
            </w:pPr>
            <w:r>
              <w:rPr>
                <w:rFonts w:ascii="ITC Avant Garde" w:hAnsi="ITC Avant Garde"/>
                <w:lang w:val="es-ES" w:eastAsia="es-ES"/>
              </w:rPr>
              <w:t> </w:t>
            </w:r>
          </w:p>
        </w:tc>
        <w:tc>
          <w:tcPr>
            <w:tcW w:w="2267" w:type="pct"/>
            <w:tcMar>
              <w:top w:w="0" w:type="dxa"/>
              <w:left w:w="70" w:type="dxa"/>
              <w:bottom w:w="0" w:type="dxa"/>
              <w:right w:w="70" w:type="dxa"/>
            </w:tcMar>
            <w:hideMark/>
          </w:tcPr>
          <w:p w14:paraId="794FB127" w14:textId="77777777" w:rsidR="000A3352" w:rsidRDefault="000A3352">
            <w:pPr>
              <w:jc w:val="center"/>
            </w:pPr>
            <w:r>
              <w:rPr>
                <w:rFonts w:ascii="ITC Avant Garde" w:hAnsi="ITC Avant Garde"/>
                <w:b/>
                <w:bCs/>
                <w:lang w:val="es-ES" w:eastAsia="es-ES"/>
              </w:rPr>
              <w:t>Adolfo Cuevas Teja</w:t>
            </w:r>
          </w:p>
          <w:p w14:paraId="014C308A" w14:textId="77777777" w:rsidR="000A3352" w:rsidRDefault="000A3352">
            <w:pPr>
              <w:jc w:val="center"/>
            </w:pPr>
            <w:r>
              <w:rPr>
                <w:rFonts w:ascii="ITC Avant Garde" w:hAnsi="ITC Avant Garde"/>
                <w:b/>
                <w:bCs/>
                <w:lang w:val="es-ES" w:eastAsia="es-ES"/>
              </w:rPr>
              <w:t>Comisionado</w:t>
            </w:r>
            <w:r>
              <w:rPr>
                <w:rFonts w:ascii="ITC Avant Garde" w:hAnsi="ITC Avant Garde"/>
                <w:lang w:val="es-ES" w:eastAsia="es-ES"/>
              </w:rPr>
              <w:t xml:space="preserve"> </w:t>
            </w:r>
          </w:p>
          <w:p w14:paraId="62EECBEA" w14:textId="77777777" w:rsidR="000A3352" w:rsidRDefault="000A3352">
            <w:pPr>
              <w:jc w:val="center"/>
            </w:pPr>
          </w:p>
          <w:p w14:paraId="7E11A92C" w14:textId="77777777" w:rsidR="000A3352" w:rsidRDefault="000A3352">
            <w:pPr>
              <w:jc w:val="center"/>
            </w:pPr>
          </w:p>
          <w:p w14:paraId="0693E823" w14:textId="77777777" w:rsidR="000A3352" w:rsidRDefault="000A3352" w:rsidP="000A3352"/>
        </w:tc>
      </w:tr>
      <w:tr w:rsidR="000A3352" w14:paraId="766C21FF" w14:textId="77777777" w:rsidTr="000A3352">
        <w:trPr>
          <w:trHeight w:val="398"/>
        </w:trPr>
        <w:tc>
          <w:tcPr>
            <w:tcW w:w="2100" w:type="pct"/>
            <w:tcMar>
              <w:top w:w="0" w:type="dxa"/>
              <w:left w:w="70" w:type="dxa"/>
              <w:bottom w:w="0" w:type="dxa"/>
              <w:right w:w="70" w:type="dxa"/>
            </w:tcMar>
            <w:hideMark/>
          </w:tcPr>
          <w:p w14:paraId="0D7E4C08" w14:textId="77777777" w:rsidR="000A3352" w:rsidRDefault="000A3352">
            <w:pPr>
              <w:jc w:val="center"/>
            </w:pPr>
            <w:r>
              <w:rPr>
                <w:rFonts w:ascii="ITC Avant Garde" w:hAnsi="ITC Avant Garde"/>
                <w:b/>
                <w:bCs/>
                <w:lang w:val="es-ES" w:eastAsia="es-ES"/>
              </w:rPr>
              <w:lastRenderedPageBreak/>
              <w:t>Javier Juárez Mojica</w:t>
            </w:r>
          </w:p>
          <w:p w14:paraId="4137787E" w14:textId="77777777" w:rsidR="000A3352" w:rsidRDefault="000A3352">
            <w:pPr>
              <w:jc w:val="center"/>
            </w:pPr>
            <w:r>
              <w:rPr>
                <w:rFonts w:ascii="ITC Avant Garde" w:hAnsi="ITC Avant Garde"/>
                <w:b/>
                <w:bCs/>
                <w:lang w:val="es-ES" w:eastAsia="es-ES"/>
              </w:rPr>
              <w:t>Comisionado</w:t>
            </w:r>
          </w:p>
        </w:tc>
        <w:tc>
          <w:tcPr>
            <w:tcW w:w="633" w:type="pct"/>
            <w:tcMar>
              <w:top w:w="0" w:type="dxa"/>
              <w:left w:w="70" w:type="dxa"/>
              <w:bottom w:w="0" w:type="dxa"/>
              <w:right w:w="70" w:type="dxa"/>
            </w:tcMar>
            <w:hideMark/>
          </w:tcPr>
          <w:p w14:paraId="08164C59" w14:textId="77777777" w:rsidR="000A3352" w:rsidRDefault="000A3352">
            <w:pPr>
              <w:jc w:val="center"/>
            </w:pPr>
          </w:p>
        </w:tc>
        <w:tc>
          <w:tcPr>
            <w:tcW w:w="2267" w:type="pct"/>
            <w:tcMar>
              <w:top w:w="0" w:type="dxa"/>
              <w:left w:w="70" w:type="dxa"/>
              <w:bottom w:w="0" w:type="dxa"/>
              <w:right w:w="70" w:type="dxa"/>
            </w:tcMar>
            <w:hideMark/>
          </w:tcPr>
          <w:p w14:paraId="5A7BAC40" w14:textId="77777777" w:rsidR="000A3352" w:rsidRDefault="000A3352">
            <w:pPr>
              <w:jc w:val="center"/>
            </w:pPr>
            <w:r>
              <w:rPr>
                <w:rFonts w:ascii="ITC Avant Garde" w:hAnsi="ITC Avant Garde"/>
                <w:b/>
                <w:bCs/>
                <w:lang w:val="es-ES" w:eastAsia="es-ES"/>
              </w:rPr>
              <w:t>Arturo Robles Rovalo</w:t>
            </w:r>
          </w:p>
          <w:p w14:paraId="558BFCBF" w14:textId="77777777" w:rsidR="000A3352" w:rsidRDefault="000A3352">
            <w:pPr>
              <w:jc w:val="center"/>
            </w:pPr>
            <w:r>
              <w:rPr>
                <w:rFonts w:ascii="ITC Avant Garde" w:hAnsi="ITC Avant Garde"/>
                <w:b/>
                <w:bCs/>
                <w:lang w:val="es-ES" w:eastAsia="es-ES"/>
              </w:rPr>
              <w:t>Comisionado</w:t>
            </w:r>
          </w:p>
        </w:tc>
      </w:tr>
    </w:tbl>
    <w:p w14:paraId="2D612215" w14:textId="77777777" w:rsidR="000A3352" w:rsidRDefault="000A3352" w:rsidP="000A3352">
      <w:pPr>
        <w:rPr>
          <w:rFonts w:ascii="Calibri" w:hAnsi="Calibri"/>
        </w:rPr>
      </w:pPr>
    </w:p>
    <w:p w14:paraId="02654F95" w14:textId="77777777" w:rsidR="000A3352" w:rsidRDefault="000A3352" w:rsidP="006E341B">
      <w:pPr>
        <w:spacing w:after="80" w:line="276" w:lineRule="auto"/>
        <w:jc w:val="both"/>
        <w:rPr>
          <w:rFonts w:ascii="ITC Avant Garde" w:eastAsia="Times New Roman" w:hAnsi="ITC Avant Garde" w:cs="Calibri"/>
          <w:lang w:eastAsia="es-MX"/>
        </w:rPr>
      </w:pPr>
    </w:p>
    <w:p w14:paraId="03AAB357" w14:textId="77777777" w:rsidR="000A3352" w:rsidRDefault="000A3352" w:rsidP="006E341B">
      <w:pPr>
        <w:spacing w:after="80" w:line="276" w:lineRule="auto"/>
        <w:jc w:val="both"/>
        <w:rPr>
          <w:rFonts w:ascii="ITC Avant Garde" w:eastAsia="Times New Roman" w:hAnsi="ITC Avant Garde" w:cs="Calibri"/>
          <w:lang w:eastAsia="es-MX"/>
        </w:rPr>
      </w:pPr>
    </w:p>
    <w:p w14:paraId="2F5D4A19" w14:textId="77777777" w:rsidR="00083D8E" w:rsidRDefault="00083D8E" w:rsidP="006E341B">
      <w:pPr>
        <w:spacing w:after="80" w:line="276" w:lineRule="auto"/>
        <w:jc w:val="both"/>
        <w:rPr>
          <w:rFonts w:ascii="ITC Avant Garde" w:eastAsia="Times New Roman" w:hAnsi="ITC Avant Garde" w:cs="Calibri"/>
          <w:lang w:eastAsia="es-MX"/>
        </w:rPr>
      </w:pPr>
    </w:p>
    <w:sectPr w:rsidR="00083D8E" w:rsidSect="004A4F53">
      <w:pgSz w:w="12240" w:h="15840" w:code="1"/>
      <w:pgMar w:top="2268" w:right="1701" w:bottom="1298" w:left="1701"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51BEA" w14:textId="77777777" w:rsidR="00D6698B" w:rsidRDefault="00D6698B" w:rsidP="000A3352">
      <w:pPr>
        <w:spacing w:after="0" w:line="240" w:lineRule="auto"/>
      </w:pPr>
      <w:r>
        <w:separator/>
      </w:r>
    </w:p>
  </w:endnote>
  <w:endnote w:type="continuationSeparator" w:id="0">
    <w:p w14:paraId="278C08EB" w14:textId="77777777" w:rsidR="00D6698B" w:rsidRDefault="00D6698B" w:rsidP="000A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8289" w14:textId="77777777" w:rsidR="00D6698B" w:rsidRDefault="00D6698B" w:rsidP="000A3352">
      <w:pPr>
        <w:spacing w:after="0" w:line="240" w:lineRule="auto"/>
      </w:pPr>
      <w:r>
        <w:separator/>
      </w:r>
    </w:p>
  </w:footnote>
  <w:footnote w:type="continuationSeparator" w:id="0">
    <w:p w14:paraId="11F2878E" w14:textId="77777777" w:rsidR="00D6698B" w:rsidRDefault="00D6698B" w:rsidP="000A3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911B0"/>
    <w:multiLevelType w:val="hybridMultilevel"/>
    <w:tmpl w:val="5A1EBCDA"/>
    <w:lvl w:ilvl="0" w:tplc="55E493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33D7054F"/>
    <w:multiLevelType w:val="hybridMultilevel"/>
    <w:tmpl w:val="9C1A28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C74C04"/>
    <w:multiLevelType w:val="hybridMultilevel"/>
    <w:tmpl w:val="17C2DE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B"/>
    <w:rsid w:val="00013F4B"/>
    <w:rsid w:val="0002367A"/>
    <w:rsid w:val="0003722C"/>
    <w:rsid w:val="00046548"/>
    <w:rsid w:val="00057DE9"/>
    <w:rsid w:val="00062D33"/>
    <w:rsid w:val="000703CD"/>
    <w:rsid w:val="00083D8E"/>
    <w:rsid w:val="000859FF"/>
    <w:rsid w:val="00095420"/>
    <w:rsid w:val="000A3352"/>
    <w:rsid w:val="000E3F33"/>
    <w:rsid w:val="000F0B12"/>
    <w:rsid w:val="000F35D3"/>
    <w:rsid w:val="00110395"/>
    <w:rsid w:val="00120B0D"/>
    <w:rsid w:val="001349E9"/>
    <w:rsid w:val="00134B85"/>
    <w:rsid w:val="00150D48"/>
    <w:rsid w:val="00161F42"/>
    <w:rsid w:val="00174700"/>
    <w:rsid w:val="00196A33"/>
    <w:rsid w:val="001A7C9D"/>
    <w:rsid w:val="001E40D0"/>
    <w:rsid w:val="001E4B87"/>
    <w:rsid w:val="002123C7"/>
    <w:rsid w:val="002836CD"/>
    <w:rsid w:val="002A6565"/>
    <w:rsid w:val="002D67A6"/>
    <w:rsid w:val="002E7F16"/>
    <w:rsid w:val="002F3987"/>
    <w:rsid w:val="002F3BEE"/>
    <w:rsid w:val="00325E28"/>
    <w:rsid w:val="00374D57"/>
    <w:rsid w:val="0037733A"/>
    <w:rsid w:val="003B1248"/>
    <w:rsid w:val="003E45BE"/>
    <w:rsid w:val="003F16C0"/>
    <w:rsid w:val="00415E17"/>
    <w:rsid w:val="004313D1"/>
    <w:rsid w:val="0045346B"/>
    <w:rsid w:val="00455522"/>
    <w:rsid w:val="00466554"/>
    <w:rsid w:val="0048718E"/>
    <w:rsid w:val="004A4F53"/>
    <w:rsid w:val="004B2394"/>
    <w:rsid w:val="004C3338"/>
    <w:rsid w:val="004D2A39"/>
    <w:rsid w:val="004D3832"/>
    <w:rsid w:val="004E531A"/>
    <w:rsid w:val="00504C9C"/>
    <w:rsid w:val="005126C6"/>
    <w:rsid w:val="00540F3F"/>
    <w:rsid w:val="00553E7E"/>
    <w:rsid w:val="00555A3D"/>
    <w:rsid w:val="005B6E19"/>
    <w:rsid w:val="005E1124"/>
    <w:rsid w:val="005F01E8"/>
    <w:rsid w:val="005F2859"/>
    <w:rsid w:val="0060791C"/>
    <w:rsid w:val="00614E54"/>
    <w:rsid w:val="00616970"/>
    <w:rsid w:val="0063128E"/>
    <w:rsid w:val="00641ABA"/>
    <w:rsid w:val="006656D1"/>
    <w:rsid w:val="0068629C"/>
    <w:rsid w:val="00696659"/>
    <w:rsid w:val="006C1D87"/>
    <w:rsid w:val="006E341B"/>
    <w:rsid w:val="006E47CD"/>
    <w:rsid w:val="006E637C"/>
    <w:rsid w:val="007227C4"/>
    <w:rsid w:val="007432AA"/>
    <w:rsid w:val="007549F6"/>
    <w:rsid w:val="00756B95"/>
    <w:rsid w:val="007B6CC7"/>
    <w:rsid w:val="007B7BBC"/>
    <w:rsid w:val="007C5543"/>
    <w:rsid w:val="007F0048"/>
    <w:rsid w:val="007F6D2C"/>
    <w:rsid w:val="00800C7B"/>
    <w:rsid w:val="00804765"/>
    <w:rsid w:val="008111F6"/>
    <w:rsid w:val="00850101"/>
    <w:rsid w:val="00860C69"/>
    <w:rsid w:val="008675E7"/>
    <w:rsid w:val="0088229E"/>
    <w:rsid w:val="00886A1F"/>
    <w:rsid w:val="008959BE"/>
    <w:rsid w:val="008A0E92"/>
    <w:rsid w:val="008E1662"/>
    <w:rsid w:val="008E6C3A"/>
    <w:rsid w:val="008F6CD9"/>
    <w:rsid w:val="009140B4"/>
    <w:rsid w:val="00924108"/>
    <w:rsid w:val="00945DEA"/>
    <w:rsid w:val="009616DB"/>
    <w:rsid w:val="009711BA"/>
    <w:rsid w:val="009767AD"/>
    <w:rsid w:val="00991882"/>
    <w:rsid w:val="009A07C4"/>
    <w:rsid w:val="009C5546"/>
    <w:rsid w:val="009E435B"/>
    <w:rsid w:val="009E6014"/>
    <w:rsid w:val="00A10960"/>
    <w:rsid w:val="00A22C07"/>
    <w:rsid w:val="00A42605"/>
    <w:rsid w:val="00A44834"/>
    <w:rsid w:val="00A74A97"/>
    <w:rsid w:val="00A774CE"/>
    <w:rsid w:val="00A93823"/>
    <w:rsid w:val="00AB3416"/>
    <w:rsid w:val="00AC31E7"/>
    <w:rsid w:val="00AC6432"/>
    <w:rsid w:val="00AD0BED"/>
    <w:rsid w:val="00B63BB3"/>
    <w:rsid w:val="00B66A48"/>
    <w:rsid w:val="00B70142"/>
    <w:rsid w:val="00B756F2"/>
    <w:rsid w:val="00B913FE"/>
    <w:rsid w:val="00BA2E0C"/>
    <w:rsid w:val="00BA33E6"/>
    <w:rsid w:val="00BC44CF"/>
    <w:rsid w:val="00BD37BE"/>
    <w:rsid w:val="00C21ECC"/>
    <w:rsid w:val="00C53C9B"/>
    <w:rsid w:val="00C708B2"/>
    <w:rsid w:val="00C8013C"/>
    <w:rsid w:val="00C93EF8"/>
    <w:rsid w:val="00CA3289"/>
    <w:rsid w:val="00CC26F2"/>
    <w:rsid w:val="00CF6DB9"/>
    <w:rsid w:val="00D136B7"/>
    <w:rsid w:val="00D55846"/>
    <w:rsid w:val="00D66839"/>
    <w:rsid w:val="00D6698B"/>
    <w:rsid w:val="00D8283F"/>
    <w:rsid w:val="00DC7459"/>
    <w:rsid w:val="00DE3C7E"/>
    <w:rsid w:val="00E2646A"/>
    <w:rsid w:val="00E30BC7"/>
    <w:rsid w:val="00E3412C"/>
    <w:rsid w:val="00E359DA"/>
    <w:rsid w:val="00E62D5A"/>
    <w:rsid w:val="00EB7113"/>
    <w:rsid w:val="00EC0ED5"/>
    <w:rsid w:val="00EC1BA3"/>
    <w:rsid w:val="00EC568E"/>
    <w:rsid w:val="00F339D3"/>
    <w:rsid w:val="00F65FEE"/>
    <w:rsid w:val="00F90C09"/>
    <w:rsid w:val="00F9183E"/>
    <w:rsid w:val="00FB6AD6"/>
    <w:rsid w:val="00FD7FBC"/>
    <w:rsid w:val="00FF2C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49595"/>
  <w15:docId w15:val="{C26C8B4A-E31A-4441-B02C-F5753B6F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E341B"/>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6E341B"/>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unhideWhenUsed/>
    <w:qFormat/>
    <w:rsid w:val="006E341B"/>
    <w:pPr>
      <w:keepNext/>
      <w:keepLines/>
      <w:spacing w:before="40" w:after="0"/>
      <w:outlineLvl w:val="2"/>
    </w:pPr>
    <w:rPr>
      <w:rFonts w:ascii="Cambria" w:eastAsia="MS Gothic" w:hAnsi="Cambria" w:cs="Times New Roman"/>
      <w:b/>
      <w:bCs/>
      <w:color w:val="4F81BD"/>
      <w:sz w:val="24"/>
      <w:szCs w:val="20"/>
    </w:rPr>
  </w:style>
  <w:style w:type="paragraph" w:styleId="Ttulo4">
    <w:name w:val="heading 4"/>
    <w:basedOn w:val="Normal"/>
    <w:next w:val="Normal"/>
    <w:link w:val="Ttulo4Car"/>
    <w:uiPriority w:val="9"/>
    <w:unhideWhenUsed/>
    <w:qFormat/>
    <w:rsid w:val="006E341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341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6E341B"/>
    <w:rPr>
      <w:rFonts w:ascii="Arial" w:eastAsia="Times New Roman" w:hAnsi="Arial" w:cs="Helv"/>
      <w:sz w:val="18"/>
      <w:szCs w:val="20"/>
      <w:lang w:val="es-ES_tradnl" w:eastAsia="es-MX"/>
    </w:rPr>
  </w:style>
  <w:style w:type="character" w:customStyle="1" w:styleId="Ttulo3Car">
    <w:name w:val="Título 3 Car"/>
    <w:basedOn w:val="Fuentedeprrafopredeter"/>
    <w:link w:val="Ttulo3"/>
    <w:uiPriority w:val="9"/>
    <w:rsid w:val="006E341B"/>
    <w:rPr>
      <w:rFonts w:ascii="Cambria" w:eastAsia="MS Gothic" w:hAnsi="Cambria" w:cs="Times New Roman"/>
      <w:b/>
      <w:bCs/>
      <w:color w:val="4F81BD"/>
      <w:sz w:val="24"/>
      <w:szCs w:val="20"/>
    </w:rPr>
  </w:style>
  <w:style w:type="character" w:customStyle="1" w:styleId="Ttulo4Car">
    <w:name w:val="Título 4 Car"/>
    <w:basedOn w:val="Fuentedeprrafopredeter"/>
    <w:link w:val="Ttulo4"/>
    <w:uiPriority w:val="9"/>
    <w:rsid w:val="006E341B"/>
    <w:rPr>
      <w:rFonts w:asciiTheme="majorHAnsi" w:eastAsiaTheme="majorEastAsia" w:hAnsiTheme="majorHAnsi" w:cstheme="majorBidi"/>
      <w:i/>
      <w:iCs/>
      <w:color w:val="2E74B5" w:themeColor="accent1" w:themeShade="BF"/>
      <w:sz w:val="24"/>
      <w:szCs w:val="24"/>
      <w:lang w:val="es-ES" w:eastAsia="es-ES"/>
    </w:rPr>
  </w:style>
  <w:style w:type="numbering" w:customStyle="1" w:styleId="Sinlista1">
    <w:name w:val="Sin lista1"/>
    <w:next w:val="Sinlista"/>
    <w:uiPriority w:val="99"/>
    <w:semiHidden/>
    <w:unhideWhenUsed/>
    <w:rsid w:val="006E341B"/>
  </w:style>
  <w:style w:type="paragraph" w:customStyle="1" w:styleId="Texto">
    <w:name w:val="Texto"/>
    <w:basedOn w:val="Normal"/>
    <w:link w:val="TextoCar"/>
    <w:rsid w:val="006E341B"/>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6E341B"/>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6E341B"/>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41B"/>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6E341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E341B"/>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6E341B"/>
    <w:pPr>
      <w:ind w:left="1987" w:hanging="720"/>
    </w:pPr>
    <w:rPr>
      <w:lang w:val="es-MX"/>
    </w:rPr>
  </w:style>
  <w:style w:type="paragraph" w:customStyle="1" w:styleId="Titulo1">
    <w:name w:val="Titulo 1"/>
    <w:basedOn w:val="Texto"/>
    <w:rsid w:val="006E341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E341B"/>
    <w:pPr>
      <w:pBdr>
        <w:top w:val="double" w:sz="6" w:space="1" w:color="auto"/>
      </w:pBdr>
      <w:spacing w:line="240" w:lineRule="auto"/>
      <w:ind w:firstLine="0"/>
      <w:outlineLvl w:val="1"/>
    </w:pPr>
    <w:rPr>
      <w:lang w:val="es-MX"/>
    </w:rPr>
  </w:style>
  <w:style w:type="paragraph" w:customStyle="1" w:styleId="tt">
    <w:name w:val="tt"/>
    <w:basedOn w:val="Texto"/>
    <w:rsid w:val="006E341B"/>
    <w:pPr>
      <w:tabs>
        <w:tab w:val="left" w:pos="1320"/>
        <w:tab w:val="left" w:pos="1629"/>
      </w:tabs>
      <w:ind w:left="1647" w:hanging="1440"/>
    </w:pPr>
    <w:rPr>
      <w:lang w:val="es-ES_tradnl"/>
    </w:rPr>
  </w:style>
  <w:style w:type="paragraph" w:customStyle="1" w:styleId="sum">
    <w:name w:val="sum"/>
    <w:basedOn w:val="Texto"/>
    <w:rsid w:val="006E341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6E341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E341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6E341B"/>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6E341B"/>
    <w:rPr>
      <w:rFonts w:ascii="Arial" w:eastAsia="Times New Roman" w:hAnsi="Arial" w:cs="Arial"/>
      <w:sz w:val="18"/>
      <w:szCs w:val="20"/>
      <w:lang w:val="es-ES" w:eastAsia="es-ES"/>
    </w:rPr>
  </w:style>
  <w:style w:type="character" w:customStyle="1" w:styleId="ROMANOSCar">
    <w:name w:val="ROMANOS Car"/>
    <w:link w:val="ROMANOS"/>
    <w:locked/>
    <w:rsid w:val="006E341B"/>
    <w:rPr>
      <w:rFonts w:ascii="Arial" w:eastAsia="Times New Roman" w:hAnsi="Arial" w:cs="Arial"/>
      <w:sz w:val="18"/>
      <w:szCs w:val="18"/>
      <w:lang w:val="es-ES" w:eastAsia="es-ES"/>
    </w:rPr>
  </w:style>
  <w:style w:type="character" w:customStyle="1" w:styleId="ANOTACIONCar">
    <w:name w:val="ANOTACION Car"/>
    <w:link w:val="ANOTACION"/>
    <w:locked/>
    <w:rsid w:val="006E341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6E341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E34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E341B"/>
  </w:style>
  <w:style w:type="paragraph" w:customStyle="1" w:styleId="texto0">
    <w:name w:val="texto"/>
    <w:basedOn w:val="Normal"/>
    <w:rsid w:val="006E341B"/>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rsid w:val="006E341B"/>
    <w:pPr>
      <w:spacing w:line="240" w:lineRule="auto"/>
    </w:pPr>
    <w:rPr>
      <w:rFonts w:ascii="Calibri" w:eastAsia="Times New Roman" w:hAnsi="Calibri" w:cs="Calibri"/>
      <w:sz w:val="20"/>
      <w:szCs w:val="20"/>
      <w:lang w:eastAsia="es-MX"/>
    </w:rPr>
  </w:style>
  <w:style w:type="character" w:customStyle="1" w:styleId="TextocomentarioCar">
    <w:name w:val="Texto comentario Car"/>
    <w:basedOn w:val="Fuentedeprrafopredeter"/>
    <w:link w:val="Textocomentario"/>
    <w:rsid w:val="006E341B"/>
    <w:rPr>
      <w:rFonts w:ascii="Calibri" w:eastAsia="Times New Roman" w:hAnsi="Calibri" w:cs="Calibri"/>
      <w:sz w:val="20"/>
      <w:szCs w:val="20"/>
      <w:lang w:eastAsia="es-MX"/>
    </w:rPr>
  </w:style>
  <w:style w:type="paragraph" w:styleId="Textonotapie">
    <w:name w:val="footnote text"/>
    <w:basedOn w:val="Normal"/>
    <w:link w:val="TextonotapieCar"/>
    <w:uiPriority w:val="99"/>
    <w:rsid w:val="006E341B"/>
    <w:pPr>
      <w:spacing w:after="0" w:line="240" w:lineRule="auto"/>
    </w:pPr>
    <w:rPr>
      <w:rFonts w:ascii="Calibri" w:eastAsia="Times New Roman" w:hAnsi="Calibri" w:cs="Calibri"/>
      <w:sz w:val="20"/>
      <w:szCs w:val="20"/>
      <w:lang w:val="es-ES_tradnl" w:eastAsia="es-MX"/>
    </w:rPr>
  </w:style>
  <w:style w:type="character" w:customStyle="1" w:styleId="TextonotapieCar">
    <w:name w:val="Texto nota pie Car"/>
    <w:basedOn w:val="Fuentedeprrafopredeter"/>
    <w:link w:val="Textonotapie"/>
    <w:uiPriority w:val="99"/>
    <w:rsid w:val="006E341B"/>
    <w:rPr>
      <w:rFonts w:ascii="Calibri" w:eastAsia="Times New Roman" w:hAnsi="Calibri" w:cs="Calibri"/>
      <w:sz w:val="20"/>
      <w:szCs w:val="20"/>
      <w:lang w:val="es-ES_tradnl" w:eastAsia="es-MX"/>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6E341B"/>
    <w:pPr>
      <w:spacing w:line="259" w:lineRule="atLeast"/>
      <w:ind w:left="720"/>
    </w:pPr>
    <w:rPr>
      <w:rFonts w:ascii="Calibri" w:eastAsia="Times New Roman" w:hAnsi="Calibri" w:cs="Calibri"/>
      <w:szCs w:val="20"/>
      <w:lang w:eastAsia="es-MX"/>
    </w:rPr>
  </w:style>
  <w:style w:type="paragraph" w:customStyle="1" w:styleId="Asuntodelcomentario1">
    <w:name w:val="Asunto del comentario1"/>
    <w:basedOn w:val="Textocomentario"/>
    <w:next w:val="Textocomentario"/>
    <w:rsid w:val="006E341B"/>
    <w:rPr>
      <w:b/>
    </w:rPr>
  </w:style>
  <w:style w:type="paragraph" w:customStyle="1" w:styleId="Textodeglobo1">
    <w:name w:val="Texto de globo1"/>
    <w:basedOn w:val="Normal"/>
    <w:rsid w:val="006E341B"/>
    <w:pPr>
      <w:spacing w:after="0" w:line="240" w:lineRule="auto"/>
    </w:pPr>
    <w:rPr>
      <w:rFonts w:ascii="Segoe UI" w:eastAsia="Times New Roman" w:hAnsi="Segoe UI" w:cs="Segoe UI"/>
      <w:sz w:val="18"/>
      <w:szCs w:val="20"/>
      <w:lang w:eastAsia="es-MX"/>
    </w:rPr>
  </w:style>
  <w:style w:type="paragraph" w:styleId="Revisin">
    <w:name w:val="Revision"/>
    <w:rsid w:val="006E341B"/>
    <w:pPr>
      <w:spacing w:after="0" w:line="240" w:lineRule="auto"/>
    </w:pPr>
    <w:rPr>
      <w:rFonts w:ascii="Calibri" w:eastAsia="Times New Roman" w:hAnsi="Calibri" w:cs="Calibri"/>
      <w:szCs w:val="20"/>
      <w:lang w:eastAsia="es-MX"/>
    </w:rPr>
  </w:style>
  <w:style w:type="paragraph" w:styleId="NormalWeb">
    <w:name w:val="Normal (Web)"/>
    <w:basedOn w:val="Normal"/>
    <w:rsid w:val="006E341B"/>
    <w:pPr>
      <w:spacing w:before="100" w:after="100" w:line="240" w:lineRule="auto"/>
    </w:pPr>
    <w:rPr>
      <w:rFonts w:ascii="Times New Roman" w:eastAsia="Times New Roman" w:hAnsi="Times New Roman" w:cs="Times New Roman"/>
      <w:sz w:val="24"/>
      <w:szCs w:val="20"/>
      <w:lang w:eastAsia="es-MX"/>
    </w:rPr>
  </w:style>
  <w:style w:type="paragraph" w:customStyle="1" w:styleId="Default">
    <w:name w:val="Default"/>
    <w:rsid w:val="006E341B"/>
    <w:pPr>
      <w:spacing w:after="0" w:line="240" w:lineRule="auto"/>
    </w:pPr>
    <w:rPr>
      <w:rFonts w:ascii="Arial" w:eastAsia="Times New Roman" w:hAnsi="Arial" w:cs="Arial"/>
      <w:color w:val="000000"/>
      <w:sz w:val="24"/>
      <w:szCs w:val="20"/>
      <w:lang w:eastAsia="es-MX"/>
    </w:rPr>
  </w:style>
  <w:style w:type="paragraph" w:styleId="Sinespaciado">
    <w:name w:val="No Spacing"/>
    <w:qFormat/>
    <w:rsid w:val="006E341B"/>
    <w:pPr>
      <w:spacing w:after="0" w:line="240" w:lineRule="auto"/>
    </w:pPr>
    <w:rPr>
      <w:rFonts w:ascii="Calibri" w:eastAsia="Times New Roman" w:hAnsi="Calibri" w:cs="Calibri"/>
      <w:szCs w:val="20"/>
      <w:lang w:eastAsia="es-MX"/>
    </w:rPr>
  </w:style>
  <w:style w:type="paragraph" w:styleId="Textodeglobo">
    <w:name w:val="Balloon Text"/>
    <w:basedOn w:val="Normal"/>
    <w:link w:val="TextodegloboCar"/>
    <w:uiPriority w:val="99"/>
    <w:semiHidden/>
    <w:unhideWhenUsed/>
    <w:rsid w:val="006E341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6E341B"/>
    <w:rPr>
      <w:rFonts w:ascii="Tahoma" w:eastAsia="Times New Roman" w:hAnsi="Tahoma" w:cs="Tahoma"/>
      <w:sz w:val="16"/>
      <w:szCs w:val="16"/>
      <w:lang w:val="es-ES" w:eastAsia="es-ES"/>
    </w:rPr>
  </w:style>
  <w:style w:type="character" w:styleId="Refdenotaalpie">
    <w:name w:val="footnote reference"/>
    <w:uiPriority w:val="99"/>
    <w:rsid w:val="006E341B"/>
    <w:rPr>
      <w:vertAlign w:val="superscript"/>
    </w:rPr>
  </w:style>
  <w:style w:type="paragraph" w:customStyle="1" w:styleId="Sumario">
    <w:name w:val="Sumario"/>
    <w:basedOn w:val="Normal"/>
    <w:rsid w:val="006E341B"/>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6E341B"/>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styleId="Refdecomentario">
    <w:name w:val="annotation reference"/>
    <w:basedOn w:val="Fuentedeprrafopredeter"/>
    <w:uiPriority w:val="99"/>
    <w:semiHidden/>
    <w:unhideWhenUsed/>
    <w:rsid w:val="006E341B"/>
    <w:rPr>
      <w:sz w:val="16"/>
      <w:szCs w:val="16"/>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6E341B"/>
    <w:rPr>
      <w:rFonts w:ascii="Calibri" w:eastAsia="Times New Roman" w:hAnsi="Calibri" w:cs="Calibri"/>
      <w:szCs w:val="20"/>
      <w:lang w:eastAsia="es-MX"/>
    </w:rPr>
  </w:style>
  <w:style w:type="paragraph" w:styleId="Asuntodelcomentario">
    <w:name w:val="annotation subject"/>
    <w:basedOn w:val="Textocomentario"/>
    <w:next w:val="Textocomentario"/>
    <w:link w:val="AsuntodelcomentarioCar"/>
    <w:uiPriority w:val="99"/>
    <w:semiHidden/>
    <w:unhideWhenUsed/>
    <w:rsid w:val="00C53C9B"/>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53C9B"/>
    <w:rPr>
      <w:rFonts w:ascii="Calibri" w:eastAsia="Times New Roman"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5718">
      <w:bodyDiv w:val="1"/>
      <w:marLeft w:val="0"/>
      <w:marRight w:val="0"/>
      <w:marTop w:val="0"/>
      <w:marBottom w:val="0"/>
      <w:divBdr>
        <w:top w:val="none" w:sz="0" w:space="0" w:color="auto"/>
        <w:left w:val="none" w:sz="0" w:space="0" w:color="auto"/>
        <w:bottom w:val="none" w:sz="0" w:space="0" w:color="auto"/>
        <w:right w:val="none" w:sz="0" w:space="0" w:color="auto"/>
      </w:divBdr>
    </w:div>
    <w:div w:id="771514416">
      <w:bodyDiv w:val="1"/>
      <w:marLeft w:val="0"/>
      <w:marRight w:val="0"/>
      <w:marTop w:val="0"/>
      <w:marBottom w:val="0"/>
      <w:divBdr>
        <w:top w:val="none" w:sz="0" w:space="0" w:color="auto"/>
        <w:left w:val="none" w:sz="0" w:space="0" w:color="auto"/>
        <w:bottom w:val="none" w:sz="0" w:space="0" w:color="auto"/>
        <w:right w:val="none" w:sz="0" w:space="0" w:color="auto"/>
      </w:divBdr>
    </w:div>
    <w:div w:id="1353145705">
      <w:bodyDiv w:val="1"/>
      <w:marLeft w:val="0"/>
      <w:marRight w:val="0"/>
      <w:marTop w:val="0"/>
      <w:marBottom w:val="0"/>
      <w:divBdr>
        <w:top w:val="none" w:sz="0" w:space="0" w:color="auto"/>
        <w:left w:val="none" w:sz="0" w:space="0" w:color="auto"/>
        <w:bottom w:val="none" w:sz="0" w:space="0" w:color="auto"/>
        <w:right w:val="none" w:sz="0" w:space="0" w:color="auto"/>
      </w:divBdr>
    </w:div>
    <w:div w:id="13820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7530-257A-4336-9DA8-643CC486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4041</Words>
  <Characters>23038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Nimbe Leonor Ewald Arostegui</cp:lastModifiedBy>
  <cp:revision>11</cp:revision>
  <dcterms:created xsi:type="dcterms:W3CDTF">2017-10-27T19:44:00Z</dcterms:created>
  <dcterms:modified xsi:type="dcterms:W3CDTF">2017-11-01T00:13:00Z</dcterms:modified>
</cp:coreProperties>
</file>