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9273" w14:textId="4EB2CD51" w:rsidR="0073258A" w:rsidRDefault="009C4009" w:rsidP="00D407F2">
      <w:pPr>
        <w:spacing w:after="0" w:line="276" w:lineRule="auto"/>
        <w:jc w:val="both"/>
        <w:rPr>
          <w:rFonts w:ascii="ITC Avant Garde" w:hAnsi="ITC Avant Garde" w:cs="Arial"/>
          <w:b/>
          <w:sz w:val="20"/>
          <w:szCs w:val="20"/>
        </w:rPr>
      </w:pPr>
      <w:r w:rsidRPr="00CD0592">
        <w:rPr>
          <w:rFonts w:ascii="ITC Avant Garde" w:hAnsi="ITC Avant Garde"/>
          <w:b/>
          <w:sz w:val="20"/>
          <w:szCs w:val="20"/>
        </w:rPr>
        <w:t xml:space="preserve">INFORME DE CONSIDERACIONES DEL INSTITUTO FEDERAL DE TELECOMUNICACIONES A LA </w:t>
      </w:r>
      <w:r w:rsidR="00E1597C" w:rsidRPr="00E1597C">
        <w:rPr>
          <w:rFonts w:ascii="ITC Avant Garde" w:hAnsi="ITC Avant Garde"/>
          <w:b/>
          <w:sz w:val="20"/>
          <w:szCs w:val="20"/>
        </w:rPr>
        <w:t xml:space="preserve">OPINIÓN PÚBLICA SOBRE EL </w:t>
      </w:r>
      <w:r w:rsidR="00E1597C" w:rsidRPr="00E1597C">
        <w:rPr>
          <w:rFonts w:ascii="ITC Avant Garde" w:hAnsi="ITC Avant Garde"/>
          <w:b/>
          <w:i/>
          <w:sz w:val="20"/>
          <w:szCs w:val="20"/>
        </w:rPr>
        <w:t>“PROYECTO DE BASES DE LICITACIÓN PÚBLICA PARA CONCESIONAR EL USO, APROVECHAMIENTO Y EXPLOTACIÓN COMERCIAL DE 130 MHZ DE ESPECTRO RADIOELÉCTRICO DISPONIBLES EN LA BANDA DE FRECUENC</w:t>
      </w:r>
      <w:r w:rsidR="00374FAF">
        <w:rPr>
          <w:rFonts w:ascii="ITC Avant Garde" w:hAnsi="ITC Avant Garde"/>
          <w:b/>
          <w:i/>
          <w:sz w:val="20"/>
          <w:szCs w:val="20"/>
        </w:rPr>
        <w:t>IAS 2500-2690 MHZ (LICITACIÓN No</w:t>
      </w:r>
      <w:r w:rsidR="00E1597C" w:rsidRPr="00E1597C">
        <w:rPr>
          <w:rFonts w:ascii="ITC Avant Garde" w:hAnsi="ITC Avant Garde"/>
          <w:b/>
          <w:i/>
          <w:sz w:val="20"/>
          <w:szCs w:val="20"/>
        </w:rPr>
        <w:t>. IFT-7)”</w:t>
      </w:r>
      <w:r w:rsidR="00D407F2">
        <w:rPr>
          <w:rFonts w:ascii="ITC Avant Garde" w:hAnsi="ITC Avant Garde" w:cs="Arial"/>
          <w:b/>
          <w:sz w:val="20"/>
          <w:szCs w:val="20"/>
        </w:rPr>
        <w:t>.</w:t>
      </w:r>
      <w:r w:rsidR="00B543F9">
        <w:rPr>
          <w:rFonts w:ascii="ITC Avant Garde" w:hAnsi="ITC Avant Garde" w:cs="Arial"/>
          <w:b/>
          <w:sz w:val="20"/>
          <w:szCs w:val="20"/>
        </w:rPr>
        <w:t xml:space="preserve"> </w:t>
      </w:r>
    </w:p>
    <w:p w14:paraId="2B5D961A" w14:textId="0725C6BF" w:rsidR="00D407F2" w:rsidRPr="00CD0592" w:rsidRDefault="00D407F2" w:rsidP="00D407F2">
      <w:pPr>
        <w:spacing w:after="0" w:line="276" w:lineRule="auto"/>
        <w:jc w:val="both"/>
        <w:rPr>
          <w:rFonts w:ascii="ITC Avant Garde" w:hAnsi="ITC Avant Garde" w:cs="Arial"/>
          <w:b/>
          <w:sz w:val="20"/>
          <w:szCs w:val="20"/>
        </w:rPr>
      </w:pPr>
    </w:p>
    <w:p w14:paraId="5C608ACA" w14:textId="77777777" w:rsidR="00D407F2" w:rsidRPr="00CD0592" w:rsidRDefault="00D407F2" w:rsidP="00D407F2">
      <w:pPr>
        <w:spacing w:after="0" w:line="276" w:lineRule="auto"/>
        <w:rPr>
          <w:rFonts w:ascii="ITC Avant Garde" w:hAnsi="ITC Avant Garde" w:cs="ITC Avant Garde"/>
          <w:sz w:val="20"/>
          <w:szCs w:val="20"/>
        </w:rPr>
      </w:pPr>
    </w:p>
    <w:p w14:paraId="097577F0" w14:textId="00D34AEF" w:rsidR="00B556E9" w:rsidRPr="00CD0592" w:rsidRDefault="00B556E9" w:rsidP="00D407F2">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 xml:space="preserve">Descripción de la </w:t>
      </w:r>
      <w:r w:rsidR="006E1553">
        <w:rPr>
          <w:rFonts w:ascii="ITC Avant Garde" w:hAnsi="ITC Avant Garde" w:cs="ITC Avant Garde"/>
          <w:b/>
          <w:sz w:val="20"/>
          <w:szCs w:val="20"/>
        </w:rPr>
        <w:t>Opinión</w:t>
      </w:r>
      <w:r w:rsidRPr="00CD0592">
        <w:rPr>
          <w:rFonts w:ascii="ITC Avant Garde" w:hAnsi="ITC Avant Garde" w:cs="ITC Avant Garde"/>
          <w:b/>
          <w:sz w:val="20"/>
          <w:szCs w:val="20"/>
        </w:rPr>
        <w:t xml:space="preserve"> Pública</w:t>
      </w:r>
      <w:r w:rsidR="001238C4" w:rsidRPr="00CD0592">
        <w:rPr>
          <w:rFonts w:ascii="ITC Avant Garde" w:hAnsi="ITC Avant Garde" w:cs="ITC Avant Garde"/>
          <w:b/>
          <w:sz w:val="20"/>
          <w:szCs w:val="20"/>
        </w:rPr>
        <w:t>:</w:t>
      </w:r>
    </w:p>
    <w:p w14:paraId="32CC626D" w14:textId="77777777" w:rsidR="001238C4" w:rsidRPr="00CD0592" w:rsidRDefault="001238C4" w:rsidP="00D407F2">
      <w:pPr>
        <w:pStyle w:val="Prrafodelista"/>
        <w:tabs>
          <w:tab w:val="left" w:pos="426"/>
        </w:tabs>
        <w:spacing w:after="0" w:line="276" w:lineRule="auto"/>
        <w:ind w:left="0" w:right="2"/>
        <w:jc w:val="both"/>
        <w:rPr>
          <w:rFonts w:ascii="ITC Avant Garde" w:hAnsi="ITC Avant Garde" w:cs="ITC Avant Garde"/>
          <w:b/>
          <w:sz w:val="20"/>
          <w:szCs w:val="20"/>
        </w:rPr>
      </w:pPr>
    </w:p>
    <w:p w14:paraId="67188D54" w14:textId="6ACEB9C4" w:rsidR="00221098" w:rsidRDefault="008538A7" w:rsidP="00D407F2">
      <w:pPr>
        <w:spacing w:after="0" w:line="276" w:lineRule="auto"/>
        <w:jc w:val="both"/>
        <w:rPr>
          <w:rFonts w:ascii="ITC Avant Garde" w:eastAsia="Avant Garde" w:hAnsi="ITC Avant Garde" w:cs="Avant Garde"/>
          <w:color w:val="000000"/>
          <w:sz w:val="20"/>
          <w:szCs w:val="20"/>
          <w:lang w:eastAsia="es-MX"/>
        </w:rPr>
      </w:pPr>
      <w:r w:rsidRPr="00CD0592">
        <w:rPr>
          <w:rFonts w:ascii="ITC Avant Garde" w:eastAsia="Avant Garde" w:hAnsi="ITC Avant Garde" w:cs="Avant Garde"/>
          <w:color w:val="000000"/>
          <w:sz w:val="20"/>
          <w:szCs w:val="20"/>
          <w:lang w:eastAsia="es-MX"/>
        </w:rPr>
        <w:t>El Instituto Federal de Telecomunicaciones (Instituto)</w:t>
      </w:r>
      <w:r w:rsidR="00221098">
        <w:rPr>
          <w:rFonts w:ascii="ITC Avant Garde" w:eastAsia="Avant Garde" w:hAnsi="ITC Avant Garde" w:cs="Avant Garde"/>
          <w:color w:val="000000"/>
          <w:sz w:val="20"/>
          <w:szCs w:val="20"/>
          <w:lang w:eastAsia="es-MX"/>
        </w:rPr>
        <w:t>,</w:t>
      </w:r>
      <w:r w:rsidR="00221098" w:rsidRPr="00221098">
        <w:t xml:space="preserve"> </w:t>
      </w:r>
      <w:r w:rsidR="00221098" w:rsidRPr="00221098">
        <w:rPr>
          <w:rFonts w:ascii="ITC Avant Garde" w:eastAsia="Avant Garde" w:hAnsi="ITC Avant Garde" w:cs="Avant Garde"/>
          <w:color w:val="000000"/>
          <w:sz w:val="20"/>
          <w:szCs w:val="20"/>
          <w:lang w:eastAsia="es-MX"/>
        </w:rPr>
        <w:t>convencido de la importancia y relevancia de transparentar el proceso de elaboración de sus proyectos de Bases de Licitación Pública</w:t>
      </w:r>
      <w:r w:rsidR="00221098">
        <w:rPr>
          <w:rFonts w:ascii="ITC Avant Garde" w:eastAsia="Avant Garde" w:hAnsi="ITC Avant Garde" w:cs="Avant Garde"/>
          <w:color w:val="000000"/>
          <w:sz w:val="20"/>
          <w:szCs w:val="20"/>
          <w:lang w:eastAsia="es-MX"/>
        </w:rPr>
        <w:t xml:space="preserve">, </w:t>
      </w:r>
      <w:r w:rsidRPr="00CD0592">
        <w:rPr>
          <w:rFonts w:ascii="ITC Avant Garde" w:eastAsia="Avant Garde" w:hAnsi="ITC Avant Garde" w:cs="Avant Garde"/>
          <w:color w:val="000000"/>
          <w:sz w:val="20"/>
          <w:szCs w:val="20"/>
          <w:lang w:eastAsia="es-MX"/>
        </w:rPr>
        <w:t xml:space="preserve"> recibió comentarios, opiniones y aportaciones con relación </w:t>
      </w:r>
      <w:r w:rsidR="00221098">
        <w:rPr>
          <w:rFonts w:ascii="ITC Avant Garde" w:eastAsia="Avant Garde" w:hAnsi="ITC Avant Garde" w:cs="Avant Garde"/>
          <w:color w:val="000000"/>
          <w:sz w:val="20"/>
          <w:szCs w:val="20"/>
          <w:lang w:eastAsia="es-MX"/>
        </w:rPr>
        <w:t>a</w:t>
      </w:r>
      <w:r w:rsidRPr="00CD0592">
        <w:rPr>
          <w:rFonts w:ascii="ITC Avant Garde" w:eastAsia="Avant Garde" w:hAnsi="ITC Avant Garde" w:cs="Avant Garde"/>
          <w:color w:val="000000"/>
          <w:sz w:val="20"/>
          <w:szCs w:val="20"/>
          <w:lang w:eastAsia="es-MX"/>
        </w:rPr>
        <w:t xml:space="preserve"> la </w:t>
      </w:r>
      <w:r w:rsidR="006E1553">
        <w:rPr>
          <w:rFonts w:ascii="ITC Avant Garde" w:eastAsia="Avant Garde" w:hAnsi="ITC Avant Garde" w:cs="Avant Garde"/>
          <w:color w:val="000000"/>
          <w:sz w:val="20"/>
          <w:szCs w:val="20"/>
          <w:lang w:eastAsia="es-MX"/>
        </w:rPr>
        <w:t>opinión</w:t>
      </w:r>
      <w:r w:rsidRPr="00CD0592">
        <w:rPr>
          <w:rFonts w:ascii="ITC Avant Garde" w:eastAsia="Avant Garde" w:hAnsi="ITC Avant Garde" w:cs="Avant Garde"/>
          <w:color w:val="000000"/>
          <w:sz w:val="20"/>
          <w:szCs w:val="20"/>
          <w:lang w:eastAsia="es-MX"/>
        </w:rPr>
        <w:t xml:space="preserve"> </w:t>
      </w:r>
      <w:r w:rsidR="00794FE6" w:rsidRPr="00CD0592">
        <w:rPr>
          <w:rFonts w:ascii="ITC Avant Garde" w:eastAsia="Avant Garde" w:hAnsi="ITC Avant Garde" w:cs="Avant Garde"/>
          <w:color w:val="000000"/>
          <w:sz w:val="20"/>
          <w:szCs w:val="20"/>
          <w:lang w:eastAsia="es-MX"/>
        </w:rPr>
        <w:t>pública</w:t>
      </w:r>
      <w:r w:rsidR="00F40005" w:rsidRPr="00705399">
        <w:rPr>
          <w:rFonts w:ascii="ITC Avant Garde" w:eastAsia="Avant Garde" w:hAnsi="ITC Avant Garde" w:cs="Avant Garde"/>
          <w:color w:val="000000"/>
          <w:sz w:val="20"/>
          <w:szCs w:val="20"/>
          <w:vertAlign w:val="superscript"/>
          <w:lang w:eastAsia="es-MX"/>
        </w:rPr>
        <w:footnoteReference w:id="2"/>
      </w:r>
      <w:r w:rsidR="00221098" w:rsidRPr="00221098">
        <w:rPr>
          <w:rFonts w:ascii="ITC Avant Garde" w:eastAsia="Avant Garde" w:hAnsi="ITC Avant Garde" w:cs="Avant Garde"/>
          <w:color w:val="000000"/>
          <w:sz w:val="20"/>
          <w:szCs w:val="20"/>
          <w:lang w:eastAsia="es-MX"/>
        </w:rPr>
        <w:t xml:space="preserve"> </w:t>
      </w:r>
      <w:r w:rsidR="00221098" w:rsidRPr="00CD0592">
        <w:rPr>
          <w:rFonts w:ascii="ITC Avant Garde" w:eastAsia="Avant Garde" w:hAnsi="ITC Avant Garde" w:cs="Avant Garde"/>
          <w:color w:val="000000"/>
          <w:sz w:val="20"/>
          <w:szCs w:val="20"/>
          <w:lang w:eastAsia="es-MX"/>
        </w:rPr>
        <w:t xml:space="preserve">del </w:t>
      </w:r>
      <w:r w:rsidR="00221098" w:rsidRPr="00221098">
        <w:rPr>
          <w:rFonts w:ascii="ITC Avant Garde" w:eastAsia="Avant Garde" w:hAnsi="ITC Avant Garde" w:cs="Avant Garde"/>
          <w:b/>
          <w:i/>
          <w:color w:val="000000"/>
          <w:sz w:val="20"/>
          <w:szCs w:val="20"/>
          <w:lang w:eastAsia="es-MX"/>
        </w:rPr>
        <w:t>“Proyecto de Bases de Licitación Pública para concesionar el uso, aprovechamiento y explotación comercial de 130 MHz de espectro radioeléctrico disponibles en la banda de frecuencias 2500-2690 MHz (Licitación No. IFT-7)”</w:t>
      </w:r>
      <w:r w:rsidR="00221098">
        <w:rPr>
          <w:rFonts w:ascii="ITC Avant Garde" w:eastAsia="Avant Garde" w:hAnsi="ITC Avant Garde" w:cs="Avant Garde"/>
          <w:color w:val="000000"/>
          <w:sz w:val="20"/>
          <w:szCs w:val="20"/>
          <w:lang w:eastAsia="es-MX"/>
        </w:rPr>
        <w:t>, la cual comprendió</w:t>
      </w:r>
      <w:r w:rsidR="00705399">
        <w:rPr>
          <w:rFonts w:ascii="ITC Avant Garde" w:eastAsia="Avant Garde" w:hAnsi="ITC Avant Garde" w:cs="Avant Garde"/>
          <w:color w:val="000000"/>
          <w:sz w:val="20"/>
          <w:szCs w:val="20"/>
          <w:lang w:eastAsia="es-MX"/>
        </w:rPr>
        <w:t xml:space="preserve"> </w:t>
      </w:r>
      <w:r w:rsidR="00DA2A8A" w:rsidRPr="00CD0592">
        <w:rPr>
          <w:rFonts w:ascii="ITC Avant Garde" w:eastAsia="Avant Garde" w:hAnsi="ITC Avant Garde" w:cs="Avant Garde"/>
          <w:color w:val="000000"/>
          <w:sz w:val="20"/>
          <w:szCs w:val="20"/>
          <w:lang w:eastAsia="es-MX"/>
        </w:rPr>
        <w:t xml:space="preserve">del </w:t>
      </w:r>
      <w:r w:rsidR="00774A40">
        <w:rPr>
          <w:rFonts w:ascii="ITC Avant Garde" w:eastAsia="Avant Garde" w:hAnsi="ITC Avant Garde" w:cs="Avant Garde"/>
          <w:color w:val="000000"/>
          <w:sz w:val="20"/>
          <w:szCs w:val="20"/>
          <w:lang w:eastAsia="es-MX"/>
        </w:rPr>
        <w:t>8</w:t>
      </w:r>
      <w:r w:rsidR="00DA2A8A" w:rsidRPr="00CD0592">
        <w:rPr>
          <w:rFonts w:ascii="ITC Avant Garde" w:eastAsia="Avant Garde" w:hAnsi="ITC Avant Garde" w:cs="Avant Garde"/>
          <w:color w:val="000000"/>
          <w:sz w:val="20"/>
          <w:szCs w:val="20"/>
          <w:lang w:eastAsia="es-MX"/>
        </w:rPr>
        <w:t xml:space="preserve"> de agosto al </w:t>
      </w:r>
      <w:r w:rsidR="00774A40">
        <w:rPr>
          <w:rFonts w:ascii="ITC Avant Garde" w:eastAsia="Avant Garde" w:hAnsi="ITC Avant Garde" w:cs="Avant Garde"/>
          <w:color w:val="000000"/>
          <w:sz w:val="20"/>
          <w:szCs w:val="20"/>
          <w:lang w:eastAsia="es-MX"/>
        </w:rPr>
        <w:t>8</w:t>
      </w:r>
      <w:r w:rsidR="00B45BF5">
        <w:rPr>
          <w:rFonts w:ascii="ITC Avant Garde" w:eastAsia="Avant Garde" w:hAnsi="ITC Avant Garde" w:cs="Avant Garde"/>
          <w:color w:val="000000"/>
          <w:sz w:val="20"/>
          <w:szCs w:val="20"/>
          <w:lang w:eastAsia="es-MX"/>
        </w:rPr>
        <w:t xml:space="preserve"> de </w:t>
      </w:r>
      <w:r w:rsidR="00774A40">
        <w:rPr>
          <w:rFonts w:ascii="ITC Avant Garde" w:eastAsia="Avant Garde" w:hAnsi="ITC Avant Garde" w:cs="Avant Garde"/>
          <w:color w:val="000000"/>
          <w:sz w:val="20"/>
          <w:szCs w:val="20"/>
          <w:lang w:eastAsia="es-MX"/>
        </w:rPr>
        <w:t>septiembre</w:t>
      </w:r>
      <w:r w:rsidR="00B45BF5">
        <w:rPr>
          <w:rFonts w:ascii="ITC Avant Garde" w:eastAsia="Avant Garde" w:hAnsi="ITC Avant Garde" w:cs="Avant Garde"/>
          <w:color w:val="000000"/>
          <w:sz w:val="20"/>
          <w:szCs w:val="20"/>
          <w:lang w:eastAsia="es-MX"/>
        </w:rPr>
        <w:t xml:space="preserve"> </w:t>
      </w:r>
      <w:r w:rsidR="00221098">
        <w:rPr>
          <w:rFonts w:ascii="ITC Avant Garde" w:eastAsia="Avant Garde" w:hAnsi="ITC Avant Garde" w:cs="Avant Garde"/>
          <w:color w:val="000000"/>
          <w:sz w:val="20"/>
          <w:szCs w:val="20"/>
          <w:lang w:eastAsia="es-MX"/>
        </w:rPr>
        <w:t>de 2017.</w:t>
      </w:r>
      <w:r w:rsidR="00774A40">
        <w:rPr>
          <w:rFonts w:ascii="ITC Avant Garde" w:eastAsia="Avant Garde" w:hAnsi="ITC Avant Garde" w:cs="Avant Garde"/>
          <w:color w:val="000000"/>
          <w:sz w:val="20"/>
          <w:szCs w:val="20"/>
          <w:lang w:eastAsia="es-MX"/>
        </w:rPr>
        <w:t xml:space="preserve"> </w:t>
      </w:r>
    </w:p>
    <w:p w14:paraId="4147CC83" w14:textId="38202A85" w:rsidR="0070628B" w:rsidRPr="00221098" w:rsidRDefault="0070628B" w:rsidP="00D407F2">
      <w:pPr>
        <w:spacing w:after="0" w:line="276" w:lineRule="auto"/>
        <w:jc w:val="both"/>
        <w:rPr>
          <w:rFonts w:ascii="ITC Avant Garde" w:eastAsia="Avant Garde" w:hAnsi="ITC Avant Garde" w:cs="Avant Garde"/>
          <w:color w:val="000000"/>
          <w:sz w:val="20"/>
          <w:szCs w:val="20"/>
          <w:lang w:eastAsia="es-MX"/>
        </w:rPr>
      </w:pPr>
    </w:p>
    <w:p w14:paraId="56F8B300" w14:textId="35BEEBAA" w:rsidR="00B556E9" w:rsidRPr="00CD0592" w:rsidRDefault="00B556E9" w:rsidP="00D407F2">
      <w:pPr>
        <w:pStyle w:val="Prrafodelista"/>
        <w:numPr>
          <w:ilvl w:val="0"/>
          <w:numId w:val="3"/>
        </w:numPr>
        <w:tabs>
          <w:tab w:val="left" w:pos="426"/>
        </w:tabs>
        <w:spacing w:after="3"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 xml:space="preserve">Objetivo de la </w:t>
      </w:r>
      <w:r w:rsidR="006E1553">
        <w:rPr>
          <w:rFonts w:ascii="ITC Avant Garde" w:hAnsi="ITC Avant Garde" w:cs="ITC Avant Garde"/>
          <w:b/>
          <w:sz w:val="20"/>
          <w:szCs w:val="20"/>
        </w:rPr>
        <w:t>Opinión</w:t>
      </w:r>
      <w:r w:rsidRPr="00CD0592">
        <w:rPr>
          <w:rFonts w:ascii="ITC Avant Garde" w:hAnsi="ITC Avant Garde" w:cs="ITC Avant Garde"/>
          <w:b/>
          <w:sz w:val="20"/>
          <w:szCs w:val="20"/>
        </w:rPr>
        <w:t xml:space="preserve"> Pública</w:t>
      </w:r>
    </w:p>
    <w:p w14:paraId="492EC424" w14:textId="77777777" w:rsidR="00B556E9" w:rsidRPr="00CD0592" w:rsidRDefault="00B556E9" w:rsidP="00D407F2">
      <w:pPr>
        <w:pStyle w:val="Prrafodelista"/>
        <w:tabs>
          <w:tab w:val="left" w:pos="426"/>
        </w:tabs>
        <w:spacing w:after="3" w:line="276" w:lineRule="auto"/>
        <w:ind w:left="0" w:right="2"/>
        <w:jc w:val="both"/>
        <w:rPr>
          <w:rFonts w:ascii="ITC Avant Garde" w:hAnsi="ITC Avant Garde" w:cs="ITC Avant Garde"/>
          <w:b/>
          <w:sz w:val="20"/>
          <w:szCs w:val="20"/>
        </w:rPr>
      </w:pPr>
    </w:p>
    <w:p w14:paraId="2834694E" w14:textId="0E3FBF04" w:rsidR="00221098" w:rsidRDefault="00221098" w:rsidP="00D407F2">
      <w:pPr>
        <w:pStyle w:val="Prrafodelista"/>
        <w:tabs>
          <w:tab w:val="left" w:pos="426"/>
        </w:tabs>
        <w:spacing w:after="3" w:line="276" w:lineRule="auto"/>
        <w:ind w:left="0" w:right="2"/>
        <w:jc w:val="both"/>
        <w:rPr>
          <w:rFonts w:ascii="ITC Avant Garde" w:hAnsi="ITC Avant Garde"/>
          <w:sz w:val="20"/>
          <w:szCs w:val="20"/>
        </w:rPr>
      </w:pPr>
      <w:r>
        <w:rPr>
          <w:rFonts w:ascii="ITC Avant Garde" w:hAnsi="ITC Avant Garde"/>
          <w:sz w:val="20"/>
          <w:szCs w:val="20"/>
        </w:rPr>
        <w:t>El presente a</w:t>
      </w:r>
      <w:r w:rsidR="0070628B" w:rsidRPr="00CD0592">
        <w:rPr>
          <w:rFonts w:ascii="ITC Avant Garde" w:hAnsi="ITC Avant Garde"/>
          <w:sz w:val="20"/>
          <w:szCs w:val="20"/>
        </w:rPr>
        <w:t xml:space="preserve">nteproyecto </w:t>
      </w:r>
      <w:r w:rsidR="006C2884" w:rsidRPr="00CD0592">
        <w:rPr>
          <w:rFonts w:ascii="ITC Avant Garde" w:hAnsi="ITC Avant Garde"/>
          <w:sz w:val="20"/>
          <w:szCs w:val="20"/>
        </w:rPr>
        <w:t xml:space="preserve">tuvo </w:t>
      </w:r>
      <w:r w:rsidR="00854ABC" w:rsidRPr="00CD0592">
        <w:rPr>
          <w:rFonts w:ascii="ITC Avant Garde" w:hAnsi="ITC Avant Garde"/>
          <w:sz w:val="20"/>
          <w:szCs w:val="20"/>
        </w:rPr>
        <w:t xml:space="preserve">como </w:t>
      </w:r>
      <w:r w:rsidR="00DA2A8A" w:rsidRPr="00CD0592">
        <w:rPr>
          <w:rFonts w:ascii="ITC Avant Garde" w:hAnsi="ITC Avant Garde"/>
          <w:sz w:val="20"/>
          <w:szCs w:val="20"/>
        </w:rPr>
        <w:t>objet</w:t>
      </w:r>
      <w:r w:rsidR="00DA2A8A" w:rsidRPr="00271F82">
        <w:rPr>
          <w:rFonts w:ascii="ITC Avant Garde" w:hAnsi="ITC Avant Garde"/>
          <w:sz w:val="20"/>
          <w:szCs w:val="20"/>
        </w:rPr>
        <w:t>ivo</w:t>
      </w:r>
      <w:r w:rsidR="00854ABC" w:rsidRPr="00271F82">
        <w:rPr>
          <w:rFonts w:ascii="ITC Avant Garde" w:hAnsi="ITC Avant Garde"/>
          <w:sz w:val="20"/>
          <w:szCs w:val="20"/>
        </w:rPr>
        <w:t>s</w:t>
      </w:r>
      <w:r w:rsidR="00DA2A8A" w:rsidRPr="00271F82">
        <w:rPr>
          <w:rFonts w:ascii="ITC Avant Garde" w:hAnsi="ITC Avant Garde"/>
          <w:sz w:val="20"/>
          <w:szCs w:val="20"/>
        </w:rPr>
        <w:t xml:space="preserve"> principal</w:t>
      </w:r>
      <w:r w:rsidR="00854ABC" w:rsidRPr="00271F82">
        <w:rPr>
          <w:rFonts w:ascii="ITC Avant Garde" w:hAnsi="ITC Avant Garde"/>
          <w:sz w:val="20"/>
          <w:szCs w:val="20"/>
        </w:rPr>
        <w:t>es</w:t>
      </w:r>
      <w:r w:rsidR="00DA2A8A" w:rsidRPr="00271F82">
        <w:rPr>
          <w:rFonts w:ascii="ITC Avant Garde" w:hAnsi="ITC Avant Garde"/>
          <w:sz w:val="20"/>
          <w:szCs w:val="20"/>
        </w:rPr>
        <w:t xml:space="preserve">: </w:t>
      </w:r>
      <w:r w:rsidRPr="00271F82">
        <w:rPr>
          <w:rFonts w:ascii="ITC Avant Garde" w:hAnsi="ITC Avant Garde"/>
          <w:bCs/>
          <w:sz w:val="20"/>
          <w:szCs w:val="20"/>
        </w:rPr>
        <w:t>i)</w:t>
      </w:r>
      <w:r w:rsidRPr="00271F82">
        <w:rPr>
          <w:rFonts w:ascii="ITC Avant Garde" w:hAnsi="ITC Avant Garde"/>
          <w:sz w:val="20"/>
          <w:szCs w:val="20"/>
        </w:rPr>
        <w:t> transparentar y fomentar la participación ciudadana en el proceso de elaboración de los proyectos de Bases de Licitación a cargo de este Instituto; </w:t>
      </w:r>
      <w:r w:rsidRPr="00271F82">
        <w:rPr>
          <w:rFonts w:ascii="ITC Avant Garde" w:hAnsi="ITC Avant Garde"/>
          <w:bCs/>
          <w:sz w:val="20"/>
          <w:szCs w:val="20"/>
        </w:rPr>
        <w:t>ii)</w:t>
      </w:r>
      <w:r w:rsidRPr="00271F82">
        <w:rPr>
          <w:rFonts w:ascii="ITC Avant Garde" w:hAnsi="ITC Avant Garde"/>
          <w:sz w:val="20"/>
          <w:szCs w:val="20"/>
        </w:rPr>
        <w:t> otorgar mayores elementos de análisis sobre los asuntos competencia de este órgano constitucional autónomo y otorgar certidumbre a los regulados sobre los mismos y, </w:t>
      </w:r>
      <w:r w:rsidRPr="00271F82">
        <w:rPr>
          <w:rFonts w:ascii="ITC Avant Garde" w:hAnsi="ITC Avant Garde"/>
          <w:bCs/>
          <w:sz w:val="20"/>
          <w:szCs w:val="20"/>
        </w:rPr>
        <w:t>iii)</w:t>
      </w:r>
      <w:r w:rsidRPr="00271F82">
        <w:rPr>
          <w:rFonts w:ascii="ITC Avant Garde" w:hAnsi="ITC Avant Garde"/>
          <w:sz w:val="20"/>
          <w:szCs w:val="20"/>
        </w:rPr>
        <w:t> recibir</w:t>
      </w:r>
      <w:r w:rsidRPr="00221098">
        <w:rPr>
          <w:rFonts w:ascii="ITC Avant Garde" w:hAnsi="ITC Avant Garde"/>
          <w:sz w:val="20"/>
          <w:szCs w:val="20"/>
        </w:rPr>
        <w:t xml:space="preserve"> comentarios, opiniones y aportaciones de todos los interesados que permitan mejorar la calidad del Proyectos de Bases de Licitación.</w:t>
      </w:r>
    </w:p>
    <w:p w14:paraId="0B4A6C34" w14:textId="620C2A8A" w:rsidR="0070628B" w:rsidRPr="00271F82" w:rsidRDefault="0070628B" w:rsidP="00D407F2">
      <w:pPr>
        <w:pStyle w:val="Prrafodelista"/>
        <w:tabs>
          <w:tab w:val="left" w:pos="426"/>
        </w:tabs>
        <w:spacing w:after="3" w:line="276" w:lineRule="auto"/>
        <w:ind w:left="0" w:right="2"/>
        <w:jc w:val="both"/>
        <w:rPr>
          <w:rFonts w:ascii="ITC Avant Garde" w:hAnsi="ITC Avant Garde"/>
          <w:sz w:val="20"/>
          <w:szCs w:val="20"/>
        </w:rPr>
      </w:pPr>
    </w:p>
    <w:p w14:paraId="0C8C7E65" w14:textId="25095AC5" w:rsidR="0070628B" w:rsidRPr="00CD0592" w:rsidRDefault="0070628B" w:rsidP="00D407F2">
      <w:pPr>
        <w:pStyle w:val="Prrafodelista"/>
        <w:numPr>
          <w:ilvl w:val="0"/>
          <w:numId w:val="3"/>
        </w:numPr>
        <w:tabs>
          <w:tab w:val="left" w:pos="426"/>
        </w:tabs>
        <w:spacing w:after="3"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 xml:space="preserve">Unidad Administrativa responsable de la </w:t>
      </w:r>
      <w:r w:rsidR="006E1553">
        <w:rPr>
          <w:rFonts w:ascii="ITC Avant Garde" w:hAnsi="ITC Avant Garde" w:cs="ITC Avant Garde"/>
          <w:b/>
          <w:sz w:val="20"/>
          <w:szCs w:val="20"/>
        </w:rPr>
        <w:t>Opinión</w:t>
      </w:r>
      <w:r w:rsidRPr="00CD0592">
        <w:rPr>
          <w:rFonts w:ascii="ITC Avant Garde" w:hAnsi="ITC Avant Garde" w:cs="ITC Avant Garde"/>
          <w:b/>
          <w:sz w:val="20"/>
          <w:szCs w:val="20"/>
        </w:rPr>
        <w:t xml:space="preserve"> Pública: </w:t>
      </w:r>
    </w:p>
    <w:p w14:paraId="243FE180" w14:textId="77777777" w:rsidR="00271F82" w:rsidRDefault="00271F82" w:rsidP="00221098">
      <w:pPr>
        <w:spacing w:after="0" w:line="276" w:lineRule="auto"/>
        <w:rPr>
          <w:rFonts w:ascii="ITC Avant Garde" w:hAnsi="ITC Avant Garde"/>
          <w:sz w:val="20"/>
          <w:szCs w:val="20"/>
        </w:rPr>
      </w:pPr>
    </w:p>
    <w:p w14:paraId="00A03DFB" w14:textId="22CCC21F" w:rsidR="0020706C" w:rsidRPr="00CD0592" w:rsidRDefault="0070628B" w:rsidP="00221098">
      <w:pPr>
        <w:spacing w:after="0" w:line="276" w:lineRule="auto"/>
        <w:rPr>
          <w:rFonts w:ascii="ITC Avant Garde" w:hAnsi="ITC Avant Garde" w:cs="Arial"/>
          <w:sz w:val="20"/>
          <w:szCs w:val="20"/>
        </w:rPr>
      </w:pPr>
      <w:r w:rsidRPr="00CD0592">
        <w:rPr>
          <w:rFonts w:ascii="ITC Avant Garde" w:hAnsi="ITC Avant Garde"/>
          <w:sz w:val="20"/>
          <w:szCs w:val="20"/>
        </w:rPr>
        <w:t>Unidad de Espectro Radioeléctrico</w:t>
      </w:r>
      <w:r w:rsidR="0002712E" w:rsidRPr="00CD0592">
        <w:rPr>
          <w:rFonts w:ascii="ITC Avant Garde" w:hAnsi="ITC Avant Garde" w:cs="Arial"/>
          <w:sz w:val="20"/>
          <w:szCs w:val="20"/>
        </w:rPr>
        <w:t xml:space="preserve"> </w:t>
      </w:r>
      <w:r w:rsidR="00073AA4" w:rsidRPr="00CD0592">
        <w:rPr>
          <w:rFonts w:ascii="ITC Avant Garde" w:hAnsi="ITC Avant Garde" w:cs="Arial"/>
          <w:sz w:val="20"/>
          <w:szCs w:val="20"/>
        </w:rPr>
        <w:t>(UER)</w:t>
      </w:r>
      <w:r w:rsidR="009A3B7F" w:rsidRPr="00CD0592">
        <w:rPr>
          <w:rFonts w:ascii="ITC Avant Garde" w:hAnsi="ITC Avant Garde" w:cs="Arial"/>
          <w:sz w:val="20"/>
          <w:szCs w:val="20"/>
        </w:rPr>
        <w:t>.</w:t>
      </w:r>
    </w:p>
    <w:p w14:paraId="3E71EC43" w14:textId="77777777" w:rsidR="0070628B" w:rsidRPr="00CD0592" w:rsidRDefault="0070628B" w:rsidP="00221098">
      <w:pPr>
        <w:spacing w:after="0" w:line="276" w:lineRule="auto"/>
        <w:rPr>
          <w:rFonts w:ascii="ITC Avant Garde" w:hAnsi="ITC Avant Garde"/>
          <w:sz w:val="20"/>
          <w:szCs w:val="20"/>
        </w:rPr>
      </w:pPr>
    </w:p>
    <w:p w14:paraId="312E1EE9" w14:textId="652B170A" w:rsidR="00B556E9" w:rsidRPr="00CD0592" w:rsidRDefault="00B556E9" w:rsidP="00D407F2">
      <w:pPr>
        <w:pStyle w:val="Prrafodelista"/>
        <w:numPr>
          <w:ilvl w:val="0"/>
          <w:numId w:val="3"/>
        </w:numPr>
        <w:tabs>
          <w:tab w:val="left" w:pos="426"/>
        </w:tabs>
        <w:spacing w:after="0" w:line="276" w:lineRule="auto"/>
        <w:ind w:left="0" w:right="2" w:firstLine="0"/>
        <w:jc w:val="both"/>
        <w:rPr>
          <w:rFonts w:ascii="ITC Avant Garde" w:hAnsi="ITC Avant Garde" w:cs="ITC Avant Garde"/>
          <w:sz w:val="20"/>
          <w:szCs w:val="20"/>
        </w:rPr>
      </w:pPr>
      <w:r w:rsidRPr="00CD0592">
        <w:rPr>
          <w:rFonts w:ascii="ITC Avant Garde" w:hAnsi="ITC Avant Garde" w:cs="ITC Avant Garde"/>
          <w:b/>
          <w:sz w:val="20"/>
          <w:szCs w:val="20"/>
        </w:rPr>
        <w:t xml:space="preserve">Participantes de la </w:t>
      </w:r>
      <w:r w:rsidR="006E1553">
        <w:rPr>
          <w:rFonts w:ascii="ITC Avant Garde" w:hAnsi="ITC Avant Garde" w:cs="ITC Avant Garde"/>
          <w:b/>
          <w:sz w:val="20"/>
          <w:szCs w:val="20"/>
        </w:rPr>
        <w:t>Opinión</w:t>
      </w:r>
      <w:r w:rsidRPr="00CD0592">
        <w:rPr>
          <w:rFonts w:ascii="ITC Avant Garde" w:hAnsi="ITC Avant Garde" w:cs="ITC Avant Garde"/>
          <w:b/>
          <w:sz w:val="20"/>
          <w:szCs w:val="20"/>
        </w:rPr>
        <w:t xml:space="preserve"> Pública:</w:t>
      </w:r>
    </w:p>
    <w:p w14:paraId="6546F49C" w14:textId="77777777" w:rsidR="00B556E9" w:rsidRPr="00CD0592" w:rsidRDefault="00B556E9" w:rsidP="00D407F2">
      <w:pPr>
        <w:pStyle w:val="Prrafodelista"/>
        <w:tabs>
          <w:tab w:val="left" w:pos="426"/>
        </w:tabs>
        <w:spacing w:after="0" w:line="276" w:lineRule="auto"/>
        <w:ind w:left="0" w:right="2"/>
        <w:jc w:val="both"/>
        <w:rPr>
          <w:rFonts w:ascii="ITC Avant Garde" w:hAnsi="ITC Avant Garde" w:cs="ITC Avant Garde"/>
          <w:sz w:val="20"/>
          <w:szCs w:val="20"/>
        </w:rPr>
      </w:pPr>
    </w:p>
    <w:p w14:paraId="7258819C" w14:textId="2D8AE4F4" w:rsidR="0056500B" w:rsidRPr="0056500B" w:rsidRDefault="00B556E9" w:rsidP="00D407F2">
      <w:pPr>
        <w:spacing w:line="276" w:lineRule="auto"/>
        <w:jc w:val="both"/>
        <w:rPr>
          <w:rFonts w:ascii="ITC Avant Garde" w:hAnsi="ITC Avant Garde" w:cs="Arial"/>
          <w:color w:val="000000"/>
          <w:sz w:val="20"/>
          <w:szCs w:val="20"/>
        </w:rPr>
      </w:pPr>
      <w:r w:rsidRPr="00CD0592">
        <w:rPr>
          <w:rFonts w:ascii="ITC Avant Garde" w:hAnsi="ITC Avant Garde"/>
          <w:sz w:val="20"/>
          <w:szCs w:val="20"/>
        </w:rPr>
        <w:t xml:space="preserve">Una vez concluido el plazo de </w:t>
      </w:r>
      <w:r w:rsidR="006E1553">
        <w:rPr>
          <w:rFonts w:ascii="ITC Avant Garde" w:hAnsi="ITC Avant Garde"/>
          <w:sz w:val="20"/>
          <w:szCs w:val="20"/>
        </w:rPr>
        <w:t>opinión</w:t>
      </w:r>
      <w:r w:rsidRPr="00CD0592">
        <w:rPr>
          <w:rFonts w:ascii="ITC Avant Garde" w:hAnsi="ITC Avant Garde"/>
          <w:sz w:val="20"/>
          <w:szCs w:val="20"/>
        </w:rPr>
        <w:t xml:space="preserve"> respectiva, se publicaron en el portal de Internet del Instituto todos y cada uno de los comentarios, opiniones y propuestas concretas recibidas. </w:t>
      </w:r>
      <w:r w:rsidR="00271F82">
        <w:rPr>
          <w:rFonts w:ascii="ITC Avant Garde" w:hAnsi="ITC Avant Garde" w:cs="Arial"/>
          <w:sz w:val="20"/>
          <w:szCs w:val="20"/>
        </w:rPr>
        <w:t>L</w:t>
      </w:r>
      <w:r w:rsidR="00DA2A8A" w:rsidRPr="00CD0592">
        <w:rPr>
          <w:rFonts w:ascii="ITC Avant Garde" w:hAnsi="ITC Avant Garde" w:cs="Arial"/>
          <w:sz w:val="20"/>
          <w:szCs w:val="20"/>
        </w:rPr>
        <w:t>as manifestaciones, opiniones, comentarios y propuestas recibidas</w:t>
      </w:r>
      <w:r w:rsidR="00DA2A8A" w:rsidRPr="00CD0592">
        <w:rPr>
          <w:rFonts w:ascii="ITC Avant Garde" w:hAnsi="ITC Avant Garde" w:cs="Arial"/>
          <w:color w:val="000000"/>
          <w:sz w:val="20"/>
          <w:szCs w:val="20"/>
        </w:rPr>
        <w:t xml:space="preserve"> </w:t>
      </w:r>
      <w:r w:rsidR="00271F82">
        <w:rPr>
          <w:rFonts w:ascii="ITC Avant Garde" w:hAnsi="ITC Avant Garde" w:cs="Arial"/>
          <w:color w:val="000000"/>
          <w:sz w:val="20"/>
          <w:szCs w:val="20"/>
        </w:rPr>
        <w:t>se agruparon</w:t>
      </w:r>
      <w:r w:rsidR="00DA2A8A" w:rsidRPr="00CD0592">
        <w:rPr>
          <w:rFonts w:ascii="ITC Avant Garde" w:hAnsi="ITC Avant Garde" w:cs="Arial"/>
          <w:color w:val="000000"/>
          <w:sz w:val="20"/>
          <w:szCs w:val="20"/>
        </w:rPr>
        <w:t xml:space="preserve"> </w:t>
      </w:r>
      <w:r w:rsidR="00271F82">
        <w:rPr>
          <w:rFonts w:ascii="ITC Avant Garde" w:hAnsi="ITC Avant Garde" w:cs="Arial"/>
          <w:color w:val="000000"/>
          <w:sz w:val="20"/>
          <w:szCs w:val="20"/>
        </w:rPr>
        <w:t>por</w:t>
      </w:r>
      <w:r w:rsidR="00DA2A8A" w:rsidRPr="00CD0592">
        <w:rPr>
          <w:rFonts w:ascii="ITC Avant Garde" w:hAnsi="ITC Avant Garde" w:cs="Arial"/>
          <w:color w:val="000000"/>
          <w:sz w:val="20"/>
          <w:szCs w:val="20"/>
        </w:rPr>
        <w:t xml:space="preserve"> </w:t>
      </w:r>
      <w:r w:rsidR="00DA2A8A" w:rsidRPr="00CD0592">
        <w:rPr>
          <w:rFonts w:ascii="ITC Avant Garde" w:hAnsi="ITC Avant Garde" w:cs="Arial"/>
          <w:color w:val="000000"/>
          <w:sz w:val="20"/>
          <w:szCs w:val="20"/>
        </w:rPr>
        <w:lastRenderedPageBreak/>
        <w:t>temas, por lo que, para efectos de su atención, estos han sido resumidos de manera genérica para su mejor identificación. No obstante, se menciona que todas las opiniones y pronunciamientos recibidos, se encuentran disponibles en la página de Internet del Instituto</w:t>
      </w:r>
      <w:r w:rsidR="0024795D">
        <w:rPr>
          <w:rFonts w:ascii="ITC Avant Garde" w:hAnsi="ITC Avant Garde" w:cs="Arial"/>
          <w:color w:val="000000"/>
          <w:sz w:val="20"/>
          <w:szCs w:val="20"/>
        </w:rPr>
        <w:t xml:space="preserve"> en el vínculo:</w:t>
      </w:r>
    </w:p>
    <w:p w14:paraId="2C5ABE3E" w14:textId="48BC8652" w:rsidR="00926959" w:rsidRPr="00CD0592" w:rsidRDefault="0009589C" w:rsidP="00D407F2">
      <w:pPr>
        <w:spacing w:line="276" w:lineRule="auto"/>
        <w:jc w:val="both"/>
        <w:rPr>
          <w:rFonts w:ascii="ITC Avant Garde" w:hAnsi="ITC Avant Garde" w:cs="Arial"/>
          <w:color w:val="000000"/>
          <w:sz w:val="20"/>
          <w:szCs w:val="20"/>
        </w:rPr>
      </w:pPr>
      <w:hyperlink r:id="rId11" w:history="1">
        <w:r w:rsidR="0056500B" w:rsidRPr="0056500B">
          <w:rPr>
            <w:rStyle w:val="Hipervnculo"/>
            <w:rFonts w:ascii="ITC Avant Garde" w:hAnsi="ITC Avant Garde"/>
            <w:sz w:val="20"/>
            <w:szCs w:val="20"/>
          </w:rPr>
          <w:t>http://www.ift.org.mx/industria/consultas-publicas/licitacion-ift-7-130-mhz-en-la-banda-de-frecuencias-2500-2690-mhz</w:t>
        </w:r>
      </w:hyperlink>
      <w:r w:rsidR="0056500B" w:rsidRPr="0056500B">
        <w:rPr>
          <w:rFonts w:ascii="ITC Avant Garde" w:hAnsi="ITC Avant Garde"/>
          <w:sz w:val="20"/>
          <w:szCs w:val="20"/>
        </w:rPr>
        <w:t xml:space="preserve"> </w:t>
      </w:r>
    </w:p>
    <w:p w14:paraId="7E3576F2" w14:textId="75CEDEB5" w:rsidR="00DA2A8A" w:rsidRPr="00CD0592" w:rsidRDefault="00DA2A8A" w:rsidP="00D407F2">
      <w:pPr>
        <w:spacing w:line="276" w:lineRule="auto"/>
        <w:jc w:val="both"/>
        <w:rPr>
          <w:rFonts w:ascii="ITC Avant Garde" w:hAnsi="ITC Avant Garde" w:cs="Arial"/>
          <w:color w:val="000000"/>
          <w:sz w:val="20"/>
          <w:szCs w:val="20"/>
        </w:rPr>
      </w:pPr>
      <w:r w:rsidRPr="00CD0592">
        <w:rPr>
          <w:rFonts w:ascii="ITC Avant Garde" w:hAnsi="ITC Avant Garde" w:cs="Arial"/>
          <w:color w:val="000000"/>
          <w:sz w:val="20"/>
          <w:szCs w:val="20"/>
        </w:rPr>
        <w:t xml:space="preserve">Con relación a lo anterior, se menciona que se presentaron </w:t>
      </w:r>
      <w:r w:rsidR="0056500B">
        <w:rPr>
          <w:rFonts w:ascii="ITC Avant Garde" w:hAnsi="ITC Avant Garde" w:cs="Arial"/>
          <w:color w:val="000000"/>
          <w:sz w:val="20"/>
          <w:szCs w:val="20"/>
        </w:rPr>
        <w:t>15</w:t>
      </w:r>
      <w:r w:rsidR="00CF0DE3" w:rsidRPr="00CD0592">
        <w:rPr>
          <w:rFonts w:ascii="ITC Avant Garde" w:hAnsi="ITC Avant Garde" w:cs="Arial"/>
          <w:color w:val="000000"/>
          <w:sz w:val="20"/>
          <w:szCs w:val="20"/>
        </w:rPr>
        <w:t xml:space="preserve"> (</w:t>
      </w:r>
      <w:r w:rsidR="0056500B">
        <w:rPr>
          <w:rFonts w:ascii="ITC Avant Garde" w:hAnsi="ITC Avant Garde" w:cs="Arial"/>
          <w:color w:val="000000"/>
          <w:sz w:val="20"/>
          <w:szCs w:val="20"/>
        </w:rPr>
        <w:t>quince</w:t>
      </w:r>
      <w:r w:rsidR="00CF0DE3" w:rsidRPr="00CD0592">
        <w:rPr>
          <w:rFonts w:ascii="ITC Avant Garde" w:hAnsi="ITC Avant Garde" w:cs="Arial"/>
          <w:color w:val="000000"/>
          <w:sz w:val="20"/>
          <w:szCs w:val="20"/>
        </w:rPr>
        <w:t xml:space="preserve">) </w:t>
      </w:r>
      <w:r w:rsidRPr="00CD0592">
        <w:rPr>
          <w:rFonts w:ascii="ITC Avant Garde" w:hAnsi="ITC Avant Garde" w:cs="Arial"/>
          <w:color w:val="000000"/>
          <w:sz w:val="20"/>
          <w:szCs w:val="20"/>
        </w:rPr>
        <w:t xml:space="preserve">participaciones, de las cuales </w:t>
      </w:r>
      <w:r w:rsidR="0056500B">
        <w:rPr>
          <w:rFonts w:ascii="ITC Avant Garde" w:hAnsi="ITC Avant Garde" w:cs="Arial"/>
          <w:color w:val="000000"/>
          <w:sz w:val="20"/>
          <w:szCs w:val="20"/>
        </w:rPr>
        <w:t>11</w:t>
      </w:r>
      <w:r w:rsidR="000B72F1" w:rsidRPr="00CD0592">
        <w:rPr>
          <w:rFonts w:ascii="ITC Avant Garde" w:hAnsi="ITC Avant Garde" w:cs="Arial"/>
          <w:color w:val="000000"/>
          <w:sz w:val="20"/>
          <w:szCs w:val="20"/>
        </w:rPr>
        <w:t xml:space="preserve"> </w:t>
      </w:r>
      <w:r w:rsidRPr="00CD0592">
        <w:rPr>
          <w:rFonts w:ascii="ITC Avant Garde" w:hAnsi="ITC Avant Garde" w:cs="Arial"/>
          <w:color w:val="000000"/>
          <w:sz w:val="20"/>
          <w:szCs w:val="20"/>
        </w:rPr>
        <w:t>(</w:t>
      </w:r>
      <w:r w:rsidR="0056500B">
        <w:rPr>
          <w:rFonts w:ascii="ITC Avant Garde" w:hAnsi="ITC Avant Garde" w:cs="Arial"/>
          <w:color w:val="000000"/>
          <w:sz w:val="20"/>
          <w:szCs w:val="20"/>
        </w:rPr>
        <w:t>once</w:t>
      </w:r>
      <w:r w:rsidRPr="00CD0592">
        <w:rPr>
          <w:rFonts w:ascii="ITC Avant Garde" w:hAnsi="ITC Avant Garde" w:cs="Arial"/>
          <w:color w:val="000000"/>
          <w:sz w:val="20"/>
          <w:szCs w:val="20"/>
        </w:rPr>
        <w:t xml:space="preserve">) corresponden a personas morales y </w:t>
      </w:r>
      <w:r w:rsidR="0056500B">
        <w:rPr>
          <w:rFonts w:ascii="ITC Avant Garde" w:hAnsi="ITC Avant Garde" w:cs="Arial"/>
          <w:color w:val="000000"/>
          <w:sz w:val="20"/>
          <w:szCs w:val="20"/>
        </w:rPr>
        <w:t>cuatro</w:t>
      </w:r>
      <w:r w:rsidR="00271F82">
        <w:rPr>
          <w:rFonts w:ascii="ITC Avant Garde" w:hAnsi="ITC Avant Garde" w:cs="Arial"/>
          <w:color w:val="000000"/>
          <w:sz w:val="20"/>
          <w:szCs w:val="20"/>
        </w:rPr>
        <w:t xml:space="preserve"> (4)</w:t>
      </w:r>
      <w:r w:rsidRPr="00CD0592">
        <w:rPr>
          <w:rFonts w:ascii="ITC Avant Garde" w:hAnsi="ITC Avant Garde" w:cs="Arial"/>
          <w:color w:val="000000"/>
          <w:sz w:val="20"/>
          <w:szCs w:val="20"/>
        </w:rPr>
        <w:t xml:space="preserve"> a persona</w:t>
      </w:r>
      <w:r w:rsidR="007964D6" w:rsidRPr="00CD0592">
        <w:rPr>
          <w:rFonts w:ascii="ITC Avant Garde" w:hAnsi="ITC Avant Garde" w:cs="Arial"/>
          <w:color w:val="000000"/>
          <w:sz w:val="20"/>
          <w:szCs w:val="20"/>
        </w:rPr>
        <w:t>s</w:t>
      </w:r>
      <w:r w:rsidRPr="00CD0592">
        <w:rPr>
          <w:rFonts w:ascii="ITC Avant Garde" w:hAnsi="ITC Avant Garde" w:cs="Arial"/>
          <w:color w:val="000000"/>
          <w:sz w:val="20"/>
          <w:szCs w:val="20"/>
        </w:rPr>
        <w:t xml:space="preserve"> física</w:t>
      </w:r>
      <w:r w:rsidR="007964D6" w:rsidRPr="00CD0592">
        <w:rPr>
          <w:rFonts w:ascii="ITC Avant Garde" w:hAnsi="ITC Avant Garde" w:cs="Arial"/>
          <w:color w:val="000000"/>
          <w:sz w:val="20"/>
          <w:szCs w:val="20"/>
        </w:rPr>
        <w:t>s</w:t>
      </w:r>
      <w:r w:rsidRPr="00CD0592">
        <w:rPr>
          <w:rFonts w:ascii="ITC Avant Garde" w:hAnsi="ITC Avant Garde" w:cs="Arial"/>
          <w:color w:val="000000"/>
          <w:sz w:val="20"/>
          <w:szCs w:val="20"/>
        </w:rPr>
        <w:t xml:space="preserve">. Los participantes del proceso de </w:t>
      </w:r>
      <w:r w:rsidR="006E1553">
        <w:rPr>
          <w:rFonts w:ascii="ITC Avant Garde" w:hAnsi="ITC Avant Garde" w:cs="Arial"/>
          <w:color w:val="000000"/>
          <w:sz w:val="20"/>
          <w:szCs w:val="20"/>
        </w:rPr>
        <w:t>opinión</w:t>
      </w:r>
      <w:r w:rsidRPr="00CD0592">
        <w:rPr>
          <w:rFonts w:ascii="ITC Avant Garde" w:hAnsi="ITC Avant Garde" w:cs="Arial"/>
          <w:color w:val="000000"/>
          <w:sz w:val="20"/>
          <w:szCs w:val="20"/>
        </w:rPr>
        <w:t xml:space="preserve"> pública </w:t>
      </w:r>
      <w:r w:rsidR="00F04A46" w:rsidRPr="00CD0592">
        <w:rPr>
          <w:rFonts w:ascii="ITC Avant Garde" w:hAnsi="ITC Avant Garde" w:cs="Arial"/>
          <w:color w:val="000000"/>
          <w:sz w:val="20"/>
          <w:szCs w:val="20"/>
        </w:rPr>
        <w:t xml:space="preserve">conforme al orden de la presentación de sus aportaciones </w:t>
      </w:r>
      <w:r w:rsidRPr="00CD0592">
        <w:rPr>
          <w:rFonts w:ascii="ITC Avant Garde" w:hAnsi="ITC Avant Garde" w:cs="Arial"/>
          <w:color w:val="000000"/>
          <w:sz w:val="20"/>
          <w:szCs w:val="20"/>
        </w:rPr>
        <w:t>fueron los siguientes:</w:t>
      </w:r>
    </w:p>
    <w:p w14:paraId="1917093A" w14:textId="1740326D" w:rsidR="00DA2A8A" w:rsidRPr="00CD0592" w:rsidRDefault="00DA2A8A" w:rsidP="00D407F2">
      <w:pPr>
        <w:spacing w:line="276" w:lineRule="auto"/>
        <w:jc w:val="both"/>
        <w:rPr>
          <w:rFonts w:ascii="ITC Avant Garde" w:hAnsi="ITC Avant Garde" w:cs="Arial"/>
          <w:color w:val="000000"/>
          <w:sz w:val="20"/>
          <w:szCs w:val="20"/>
        </w:rPr>
      </w:pPr>
    </w:p>
    <w:tbl>
      <w:tblPr>
        <w:tblStyle w:val="Tabladecuadrcula4-nfasis6"/>
        <w:tblW w:w="0" w:type="auto"/>
        <w:tblLook w:val="04A0" w:firstRow="1" w:lastRow="0" w:firstColumn="1" w:lastColumn="0" w:noHBand="0" w:noVBand="1"/>
      </w:tblPr>
      <w:tblGrid>
        <w:gridCol w:w="988"/>
        <w:gridCol w:w="5670"/>
        <w:gridCol w:w="1984"/>
      </w:tblGrid>
      <w:tr w:rsidR="008A71F4" w:rsidRPr="00271F82" w14:paraId="1E54DBB1" w14:textId="77777777" w:rsidTr="00271F82">
        <w:trPr>
          <w:cnfStyle w:val="100000000000" w:firstRow="1" w:lastRow="0" w:firstColumn="0" w:lastColumn="0" w:oddVBand="0" w:evenVBand="0" w:oddHBand="0" w:evenHBand="0" w:firstRowFirstColumn="0" w:firstRowLastColumn="0" w:lastRowFirstColumn="0" w:lastRowLastColumn="0"/>
          <w:trHeight w:val="772"/>
          <w:tblHead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vAlign w:val="center"/>
          </w:tcPr>
          <w:p w14:paraId="4A3E3278" w14:textId="77777777" w:rsidR="008A71F4" w:rsidRPr="00271F82" w:rsidRDefault="008A71F4" w:rsidP="00D407F2">
            <w:pPr>
              <w:spacing w:line="276" w:lineRule="auto"/>
              <w:jc w:val="center"/>
              <w:rPr>
                <w:rFonts w:ascii="ITC Avant Garde" w:hAnsi="ITC Avant Garde" w:cs="Arial"/>
                <w:color w:val="000000"/>
                <w:sz w:val="18"/>
                <w:szCs w:val="18"/>
              </w:rPr>
            </w:pPr>
          </w:p>
          <w:p w14:paraId="51A90C96" w14:textId="1859DB49" w:rsidR="008A71F4" w:rsidRPr="00271F82" w:rsidRDefault="008A71F4" w:rsidP="00D407F2">
            <w:pPr>
              <w:spacing w:line="276" w:lineRule="auto"/>
              <w:jc w:val="center"/>
              <w:rPr>
                <w:rFonts w:ascii="ITC Avant Garde" w:eastAsia="Calibri" w:hAnsi="ITC Avant Garde" w:cs="Arial"/>
                <w:b w:val="0"/>
                <w:bCs w:val="0"/>
                <w:sz w:val="18"/>
                <w:szCs w:val="18"/>
              </w:rPr>
            </w:pPr>
            <w:r w:rsidRPr="00271F82">
              <w:rPr>
                <w:rFonts w:ascii="ITC Avant Garde" w:hAnsi="ITC Avant Garde"/>
                <w:sz w:val="18"/>
                <w:szCs w:val="18"/>
              </w:rPr>
              <w:t>No.</w:t>
            </w:r>
          </w:p>
          <w:p w14:paraId="431C38F8" w14:textId="657CBAF4" w:rsidR="008A71F4" w:rsidRPr="00271F82" w:rsidRDefault="008A71F4" w:rsidP="00D407F2">
            <w:pPr>
              <w:spacing w:line="276" w:lineRule="auto"/>
              <w:jc w:val="center"/>
              <w:rPr>
                <w:rFonts w:ascii="ITC Avant Garde" w:eastAsia="Calibri" w:hAnsi="ITC Avant Garde" w:cs="Arial"/>
                <w:sz w:val="18"/>
                <w:szCs w:val="18"/>
              </w:rPr>
            </w:pPr>
          </w:p>
        </w:tc>
        <w:tc>
          <w:tcPr>
            <w:tcW w:w="5670" w:type="dxa"/>
            <w:tcBorders>
              <w:top w:val="none" w:sz="0" w:space="0" w:color="auto"/>
              <w:left w:val="none" w:sz="0" w:space="0" w:color="auto"/>
              <w:bottom w:val="none" w:sz="0" w:space="0" w:color="auto"/>
              <w:right w:val="none" w:sz="0" w:space="0" w:color="auto"/>
            </w:tcBorders>
            <w:vAlign w:val="center"/>
          </w:tcPr>
          <w:p w14:paraId="15D234FC" w14:textId="7D1D0B2A" w:rsidR="008A71F4" w:rsidRPr="00271F82" w:rsidRDefault="008A71F4" w:rsidP="00D407F2">
            <w:pPr>
              <w:spacing w:line="276" w:lineRule="auto"/>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b w:val="0"/>
                <w:bCs w:val="0"/>
                <w:sz w:val="18"/>
                <w:szCs w:val="18"/>
              </w:rPr>
            </w:pPr>
            <w:r w:rsidRPr="00271F82">
              <w:rPr>
                <w:rFonts w:ascii="ITC Avant Garde" w:hAnsi="ITC Avant Garde"/>
                <w:sz w:val="18"/>
                <w:szCs w:val="18"/>
              </w:rPr>
              <w:t>Nombre del participante</w:t>
            </w:r>
          </w:p>
        </w:tc>
        <w:tc>
          <w:tcPr>
            <w:tcW w:w="1984" w:type="dxa"/>
            <w:tcBorders>
              <w:top w:val="none" w:sz="0" w:space="0" w:color="auto"/>
              <w:left w:val="none" w:sz="0" w:space="0" w:color="auto"/>
              <w:bottom w:val="none" w:sz="0" w:space="0" w:color="auto"/>
              <w:right w:val="none" w:sz="0" w:space="0" w:color="auto"/>
            </w:tcBorders>
            <w:vAlign w:val="center"/>
          </w:tcPr>
          <w:p w14:paraId="18B54445" w14:textId="2D8B6A8F" w:rsidR="008A71F4" w:rsidRPr="00271F82" w:rsidRDefault="008A71F4" w:rsidP="00271F82">
            <w:pPr>
              <w:spacing w:line="276" w:lineRule="auto"/>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b w:val="0"/>
                <w:bCs w:val="0"/>
                <w:sz w:val="18"/>
                <w:szCs w:val="18"/>
              </w:rPr>
            </w:pPr>
            <w:r w:rsidRPr="00271F82">
              <w:rPr>
                <w:rFonts w:ascii="ITC Avant Garde" w:hAnsi="ITC Avant Garde"/>
                <w:sz w:val="18"/>
                <w:szCs w:val="18"/>
              </w:rPr>
              <w:t>Fecha de recepción</w:t>
            </w:r>
          </w:p>
        </w:tc>
      </w:tr>
      <w:tr w:rsidR="00AF2FB5" w:rsidRPr="00271F82" w14:paraId="0F5BA8AF" w14:textId="77777777" w:rsidTr="00271F8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B57678F" w14:textId="2CC25E8F"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1</w:t>
            </w:r>
          </w:p>
        </w:tc>
        <w:tc>
          <w:tcPr>
            <w:tcW w:w="5670" w:type="dxa"/>
            <w:vAlign w:val="center"/>
          </w:tcPr>
          <w:p w14:paraId="632CE058" w14:textId="3F100B06" w:rsidR="00AF2FB5" w:rsidRPr="00271F82" w:rsidRDefault="00AF2FB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 SIHI México, S. de R.L. de C.V.  </w:t>
            </w:r>
          </w:p>
        </w:tc>
        <w:tc>
          <w:tcPr>
            <w:tcW w:w="1984" w:type="dxa"/>
            <w:vAlign w:val="center"/>
          </w:tcPr>
          <w:p w14:paraId="49BD6EB8" w14:textId="6FE4203E" w:rsidR="00AF2FB5" w:rsidRPr="00271F82" w:rsidRDefault="00AF2FB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08/09/2017 - 16:06</w:t>
            </w:r>
          </w:p>
        </w:tc>
      </w:tr>
      <w:tr w:rsidR="00AF2FB5" w:rsidRPr="00271F82" w14:paraId="35815A8E" w14:textId="77777777" w:rsidTr="00271F82">
        <w:trPr>
          <w:trHeight w:val="55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A630695"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2</w:t>
            </w:r>
          </w:p>
        </w:tc>
        <w:tc>
          <w:tcPr>
            <w:tcW w:w="5670" w:type="dxa"/>
            <w:vAlign w:val="center"/>
          </w:tcPr>
          <w:p w14:paraId="54006722" w14:textId="152460EB" w:rsidR="00AF2FB5" w:rsidRPr="00271F82" w:rsidRDefault="00AF2FB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 Pegaso PCS, S.A. de C.V.  </w:t>
            </w:r>
          </w:p>
        </w:tc>
        <w:tc>
          <w:tcPr>
            <w:tcW w:w="1984" w:type="dxa"/>
            <w:vAlign w:val="center"/>
          </w:tcPr>
          <w:p w14:paraId="1ADB75A9" w14:textId="6184EFDE" w:rsidR="00AF2FB5" w:rsidRPr="00271F82" w:rsidRDefault="00AF2FB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271F82">
              <w:rPr>
                <w:rFonts w:ascii="ITC Avant Garde" w:hAnsi="ITC Avant Garde"/>
                <w:sz w:val="18"/>
                <w:szCs w:val="18"/>
              </w:rPr>
              <w:t>08/09/2017 - 16:03</w:t>
            </w:r>
          </w:p>
        </w:tc>
      </w:tr>
      <w:tr w:rsidR="00AF2FB5" w:rsidRPr="00271F82" w14:paraId="2106DFE4" w14:textId="77777777" w:rsidTr="00271F8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E7BC62A"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3</w:t>
            </w:r>
          </w:p>
        </w:tc>
        <w:tc>
          <w:tcPr>
            <w:tcW w:w="5670" w:type="dxa"/>
            <w:vAlign w:val="center"/>
          </w:tcPr>
          <w:p w14:paraId="2D6E1C2A" w14:textId="6ADA6452" w:rsidR="00AF2FB5" w:rsidRPr="00271F82" w:rsidRDefault="00271F82"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Pr>
                <w:rFonts w:ascii="ITC Avant Garde" w:hAnsi="ITC Avant Garde"/>
                <w:sz w:val="18"/>
                <w:szCs w:val="18"/>
              </w:rPr>
              <w:t xml:space="preserve"> </w:t>
            </w:r>
            <w:r w:rsidR="00AF2FB5" w:rsidRPr="00271F82">
              <w:rPr>
                <w:rFonts w:ascii="ITC Avant Garde" w:hAnsi="ITC Avant Garde"/>
                <w:sz w:val="18"/>
                <w:szCs w:val="18"/>
              </w:rPr>
              <w:t xml:space="preserve">Rivada Networks, S. de R.L. de C.V.  </w:t>
            </w:r>
          </w:p>
        </w:tc>
        <w:tc>
          <w:tcPr>
            <w:tcW w:w="1984" w:type="dxa"/>
            <w:vAlign w:val="center"/>
          </w:tcPr>
          <w:p w14:paraId="6A8C807F" w14:textId="29BA2870" w:rsidR="00AF2FB5" w:rsidRPr="00271F82" w:rsidRDefault="00AF2FB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08/09/2017 - 14:34</w:t>
            </w:r>
          </w:p>
        </w:tc>
      </w:tr>
      <w:tr w:rsidR="00AF2FB5" w:rsidRPr="00271F82" w14:paraId="7FB8EEEA" w14:textId="77777777" w:rsidTr="00271F82">
        <w:trPr>
          <w:trHeight w:val="566"/>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FC80280"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4</w:t>
            </w:r>
          </w:p>
        </w:tc>
        <w:tc>
          <w:tcPr>
            <w:tcW w:w="5670" w:type="dxa"/>
            <w:vAlign w:val="center"/>
          </w:tcPr>
          <w:p w14:paraId="5714A5B7" w14:textId="2EF38CA6" w:rsidR="00AF2FB5" w:rsidRPr="00271F82" w:rsidRDefault="00AF2FB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 Lucas Gallito  </w:t>
            </w:r>
          </w:p>
        </w:tc>
        <w:tc>
          <w:tcPr>
            <w:tcW w:w="1984" w:type="dxa"/>
            <w:vAlign w:val="center"/>
          </w:tcPr>
          <w:p w14:paraId="4CD699C5" w14:textId="701C2F31" w:rsidR="00AF2FB5" w:rsidRPr="00271F82" w:rsidRDefault="00AF2FB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07/09/2017 - 19:55</w:t>
            </w:r>
          </w:p>
        </w:tc>
      </w:tr>
      <w:tr w:rsidR="00AF2FB5" w:rsidRPr="00271F82" w14:paraId="53E6214D" w14:textId="77777777" w:rsidTr="00271F8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4B27E5E"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5</w:t>
            </w:r>
          </w:p>
        </w:tc>
        <w:tc>
          <w:tcPr>
            <w:tcW w:w="5670" w:type="dxa"/>
            <w:vAlign w:val="center"/>
          </w:tcPr>
          <w:p w14:paraId="7EA6C39F" w14:textId="054ED165" w:rsidR="00AF2FB5" w:rsidRPr="00271F82" w:rsidRDefault="00AF2FB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 Ultravisión, S.A. de C.V. </w:t>
            </w:r>
          </w:p>
        </w:tc>
        <w:tc>
          <w:tcPr>
            <w:tcW w:w="1984" w:type="dxa"/>
            <w:vAlign w:val="center"/>
          </w:tcPr>
          <w:p w14:paraId="37B38480" w14:textId="4FB21E30" w:rsidR="00AF2FB5" w:rsidRPr="00271F82" w:rsidRDefault="00AF2FB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07/09/2017 - 13:17</w:t>
            </w:r>
          </w:p>
        </w:tc>
      </w:tr>
      <w:tr w:rsidR="00AF2FB5" w:rsidRPr="00271F82" w14:paraId="527D6F83" w14:textId="77777777" w:rsidTr="00271F82">
        <w:trPr>
          <w:trHeight w:val="55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E985CC4"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6</w:t>
            </w:r>
          </w:p>
        </w:tc>
        <w:tc>
          <w:tcPr>
            <w:tcW w:w="5670" w:type="dxa"/>
            <w:vAlign w:val="center"/>
          </w:tcPr>
          <w:p w14:paraId="762BA437" w14:textId="45F8502D" w:rsidR="00AF2FB5" w:rsidRPr="00271F82" w:rsidRDefault="00AF2FB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Qualcomm International Inc.  </w:t>
            </w:r>
          </w:p>
        </w:tc>
        <w:tc>
          <w:tcPr>
            <w:tcW w:w="1984" w:type="dxa"/>
            <w:vAlign w:val="center"/>
          </w:tcPr>
          <w:p w14:paraId="7D9AB996" w14:textId="56BC5000" w:rsidR="00AF2FB5" w:rsidRPr="00271F82" w:rsidRDefault="00AF2FB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05/09/2017 - 09:15</w:t>
            </w:r>
          </w:p>
        </w:tc>
      </w:tr>
      <w:tr w:rsidR="00AF2FB5" w:rsidRPr="00271F82" w14:paraId="575D5F84" w14:textId="77777777" w:rsidTr="00271F8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12BD65F"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7</w:t>
            </w:r>
          </w:p>
        </w:tc>
        <w:tc>
          <w:tcPr>
            <w:tcW w:w="5670" w:type="dxa"/>
            <w:vAlign w:val="center"/>
          </w:tcPr>
          <w:p w14:paraId="79CBD5EC" w14:textId="4A7807AD" w:rsidR="00AF2FB5" w:rsidRPr="00271F82" w:rsidRDefault="00AF2FB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Pegaso PCS, S.A. de C.V.  </w:t>
            </w:r>
          </w:p>
        </w:tc>
        <w:tc>
          <w:tcPr>
            <w:tcW w:w="1984" w:type="dxa"/>
            <w:vAlign w:val="center"/>
          </w:tcPr>
          <w:p w14:paraId="7882257C" w14:textId="0B40FF32" w:rsidR="00AF2FB5" w:rsidRPr="00271F82" w:rsidRDefault="00AF2FB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04/09/2017 - 21:07</w:t>
            </w:r>
          </w:p>
        </w:tc>
      </w:tr>
      <w:tr w:rsidR="00AF2FB5" w:rsidRPr="00271F82" w14:paraId="7412C431" w14:textId="77777777" w:rsidTr="00F84B2E">
        <w:trPr>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4263AF9"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8</w:t>
            </w:r>
          </w:p>
        </w:tc>
        <w:tc>
          <w:tcPr>
            <w:tcW w:w="5670" w:type="dxa"/>
            <w:vAlign w:val="center"/>
          </w:tcPr>
          <w:p w14:paraId="068AF5EB" w14:textId="1241C823" w:rsidR="00AF2FB5" w:rsidRPr="00271F82" w:rsidRDefault="00271F82" w:rsidP="00271F8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Pr>
                <w:rFonts w:ascii="ITC Avant Garde" w:hAnsi="ITC Avant Garde"/>
                <w:sz w:val="18"/>
                <w:szCs w:val="18"/>
              </w:rPr>
              <w:t>Axtel, S.A.B. de C.V.</w:t>
            </w:r>
          </w:p>
        </w:tc>
        <w:tc>
          <w:tcPr>
            <w:tcW w:w="1984" w:type="dxa"/>
            <w:vAlign w:val="center"/>
          </w:tcPr>
          <w:p w14:paraId="6AE8753E" w14:textId="471C7DF0" w:rsidR="00AF2FB5" w:rsidRPr="00271F82" w:rsidRDefault="00AF2FB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271F82">
              <w:rPr>
                <w:rFonts w:ascii="ITC Avant Garde" w:hAnsi="ITC Avant Garde"/>
                <w:sz w:val="18"/>
                <w:szCs w:val="18"/>
              </w:rPr>
              <w:t>04/09/2017 - 19:40</w:t>
            </w:r>
          </w:p>
        </w:tc>
      </w:tr>
      <w:tr w:rsidR="00AF2FB5" w:rsidRPr="00271F82" w14:paraId="64A103B4" w14:textId="77777777" w:rsidTr="00A77F0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EFD8A48"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eastAsia="Calibri" w:hAnsi="ITC Avant Garde" w:cs="Arial"/>
                <w:sz w:val="18"/>
                <w:szCs w:val="18"/>
              </w:rPr>
              <w:t>9</w:t>
            </w:r>
          </w:p>
        </w:tc>
        <w:tc>
          <w:tcPr>
            <w:tcW w:w="5670" w:type="dxa"/>
            <w:vAlign w:val="center"/>
          </w:tcPr>
          <w:p w14:paraId="2FAEB703" w14:textId="4A772016" w:rsidR="00AF2FB5" w:rsidRPr="00271F82" w:rsidRDefault="00AF2FB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Altán Redes, S.A.P.I. de C.V.  </w:t>
            </w:r>
          </w:p>
        </w:tc>
        <w:tc>
          <w:tcPr>
            <w:tcW w:w="1984" w:type="dxa"/>
            <w:vAlign w:val="center"/>
          </w:tcPr>
          <w:p w14:paraId="59654B15" w14:textId="28F83B7C" w:rsidR="00AF2FB5" w:rsidRPr="00271F82" w:rsidRDefault="00AF2FB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04/09/2017 - 19:21</w:t>
            </w:r>
          </w:p>
        </w:tc>
      </w:tr>
      <w:tr w:rsidR="00AF2FB5" w:rsidRPr="00271F82" w14:paraId="1087C9BB" w14:textId="77777777" w:rsidTr="00A77F08">
        <w:trPr>
          <w:trHeight w:val="55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017EA3C" w14:textId="77777777" w:rsidR="00AF2FB5" w:rsidRPr="00271F82" w:rsidRDefault="00AF2FB5" w:rsidP="00D407F2">
            <w:pPr>
              <w:spacing w:line="276" w:lineRule="auto"/>
              <w:jc w:val="center"/>
              <w:rPr>
                <w:rFonts w:ascii="ITC Avant Garde" w:eastAsia="Calibri" w:hAnsi="ITC Avant Garde" w:cs="Arial"/>
                <w:sz w:val="18"/>
                <w:szCs w:val="18"/>
              </w:rPr>
            </w:pPr>
            <w:r w:rsidRPr="00271F82">
              <w:rPr>
                <w:rFonts w:ascii="ITC Avant Garde" w:hAnsi="ITC Avant Garde"/>
                <w:sz w:val="18"/>
                <w:szCs w:val="18"/>
              </w:rPr>
              <w:t>10</w:t>
            </w:r>
          </w:p>
        </w:tc>
        <w:tc>
          <w:tcPr>
            <w:tcW w:w="5670" w:type="dxa"/>
            <w:vAlign w:val="center"/>
          </w:tcPr>
          <w:p w14:paraId="0081AB1C" w14:textId="5D9874B2" w:rsidR="00AF2FB5" w:rsidRPr="00271F82" w:rsidRDefault="00AF2FB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Octavio Lecona Morales y Blanca Luévano García  </w:t>
            </w:r>
          </w:p>
        </w:tc>
        <w:tc>
          <w:tcPr>
            <w:tcW w:w="1984" w:type="dxa"/>
            <w:vAlign w:val="center"/>
          </w:tcPr>
          <w:p w14:paraId="04565DC7" w14:textId="1145B784" w:rsidR="00AF2FB5" w:rsidRPr="00271F82" w:rsidRDefault="00AF2FB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04/09/2017 - 18:50</w:t>
            </w:r>
          </w:p>
        </w:tc>
      </w:tr>
      <w:tr w:rsidR="00CB7B85" w:rsidRPr="00271F82" w14:paraId="0ACC609F" w14:textId="77777777" w:rsidTr="00F84B2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452BFE8" w14:textId="77777777" w:rsidR="00CB7B85" w:rsidRPr="00271F82" w:rsidRDefault="00CB7B85" w:rsidP="00D407F2">
            <w:pPr>
              <w:spacing w:line="276" w:lineRule="auto"/>
              <w:jc w:val="center"/>
              <w:rPr>
                <w:rFonts w:ascii="ITC Avant Garde" w:eastAsia="Calibri" w:hAnsi="ITC Avant Garde" w:cs="Arial"/>
                <w:sz w:val="18"/>
                <w:szCs w:val="18"/>
              </w:rPr>
            </w:pPr>
            <w:r w:rsidRPr="00271F82">
              <w:rPr>
                <w:rFonts w:ascii="ITC Avant Garde" w:hAnsi="ITC Avant Garde"/>
                <w:sz w:val="18"/>
                <w:szCs w:val="18"/>
              </w:rPr>
              <w:lastRenderedPageBreak/>
              <w:t>11</w:t>
            </w:r>
          </w:p>
        </w:tc>
        <w:tc>
          <w:tcPr>
            <w:tcW w:w="5670" w:type="dxa"/>
            <w:vAlign w:val="center"/>
          </w:tcPr>
          <w:p w14:paraId="3599113B" w14:textId="3A603BD4" w:rsidR="00CB7B85" w:rsidRPr="00271F82" w:rsidRDefault="00CB7B8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Radiomóvil Dipsa, S.A. de C.V.  </w:t>
            </w:r>
          </w:p>
        </w:tc>
        <w:tc>
          <w:tcPr>
            <w:tcW w:w="1984" w:type="dxa"/>
            <w:vAlign w:val="center"/>
          </w:tcPr>
          <w:p w14:paraId="1E26926B" w14:textId="0DA8D926" w:rsidR="00CB7B85" w:rsidRPr="00271F82" w:rsidRDefault="00CB7B8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04/09/2017 - 17:53</w:t>
            </w:r>
          </w:p>
        </w:tc>
      </w:tr>
      <w:tr w:rsidR="00CB7B85" w:rsidRPr="00271F82" w14:paraId="352C99D5" w14:textId="77777777" w:rsidTr="00271F82">
        <w:trPr>
          <w:trHeight w:val="102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DA376D2" w14:textId="77777777" w:rsidR="00CB7B85" w:rsidRPr="00271F82" w:rsidRDefault="00CB7B85" w:rsidP="00D407F2">
            <w:pPr>
              <w:spacing w:line="276" w:lineRule="auto"/>
              <w:jc w:val="center"/>
              <w:rPr>
                <w:rFonts w:ascii="ITC Avant Garde" w:eastAsia="Calibri" w:hAnsi="ITC Avant Garde" w:cs="Arial"/>
                <w:sz w:val="18"/>
                <w:szCs w:val="18"/>
              </w:rPr>
            </w:pPr>
            <w:r w:rsidRPr="00271F82">
              <w:rPr>
                <w:rFonts w:ascii="ITC Avant Garde" w:hAnsi="ITC Avant Garde"/>
                <w:sz w:val="18"/>
                <w:szCs w:val="18"/>
              </w:rPr>
              <w:t>12</w:t>
            </w:r>
          </w:p>
        </w:tc>
        <w:tc>
          <w:tcPr>
            <w:tcW w:w="5670" w:type="dxa"/>
            <w:vAlign w:val="center"/>
          </w:tcPr>
          <w:p w14:paraId="631245EE" w14:textId="0CB7783A" w:rsidR="00CB7B85" w:rsidRPr="00271F82" w:rsidRDefault="00CB7B8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271F82">
              <w:rPr>
                <w:rFonts w:ascii="ITC Avant Garde" w:hAnsi="ITC Avant Garde"/>
                <w:sz w:val="18"/>
                <w:szCs w:val="18"/>
              </w:rPr>
              <w:t xml:space="preserve">AT&amp;T Comunicaciones Digitales, S. de R.L. de C.V.; Grupo AT&amp;T Celullar, S. de R.L. de C.V.; AT&amp;T Norte, S. de R.L. de C.V.; AT&amp;T Comercialización Móvil, S. de R.L. de C.V., y AT&amp;T Desarrollo en Comunicaciones de México, S. de R.L. de C.V.  </w:t>
            </w:r>
          </w:p>
        </w:tc>
        <w:tc>
          <w:tcPr>
            <w:tcW w:w="1984" w:type="dxa"/>
            <w:vAlign w:val="center"/>
          </w:tcPr>
          <w:p w14:paraId="08FFB118" w14:textId="1810FBC6" w:rsidR="00CB7B85" w:rsidRPr="00F84B2E" w:rsidRDefault="00CB7B8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04/09/2017 - 17:51</w:t>
            </w:r>
          </w:p>
        </w:tc>
      </w:tr>
      <w:tr w:rsidR="00CB7B85" w:rsidRPr="00271F82" w14:paraId="390F7633" w14:textId="77777777" w:rsidTr="00F84B2E">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B163FEC" w14:textId="77777777" w:rsidR="00CB7B85" w:rsidRPr="00271F82" w:rsidRDefault="00CB7B85" w:rsidP="00D407F2">
            <w:pPr>
              <w:spacing w:line="276" w:lineRule="auto"/>
              <w:jc w:val="center"/>
              <w:rPr>
                <w:rFonts w:ascii="ITC Avant Garde" w:eastAsia="Calibri" w:hAnsi="ITC Avant Garde" w:cs="Arial"/>
                <w:sz w:val="18"/>
                <w:szCs w:val="18"/>
              </w:rPr>
            </w:pPr>
            <w:r w:rsidRPr="00271F82">
              <w:rPr>
                <w:rFonts w:ascii="ITC Avant Garde" w:hAnsi="ITC Avant Garde"/>
                <w:sz w:val="18"/>
                <w:szCs w:val="18"/>
              </w:rPr>
              <w:t>13</w:t>
            </w:r>
          </w:p>
        </w:tc>
        <w:tc>
          <w:tcPr>
            <w:tcW w:w="5670" w:type="dxa"/>
            <w:vAlign w:val="center"/>
          </w:tcPr>
          <w:p w14:paraId="6F9EF568" w14:textId="2C9059A3" w:rsidR="00CB7B85" w:rsidRPr="00271F82" w:rsidRDefault="00CB7B8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271F82">
              <w:rPr>
                <w:rFonts w:ascii="ITC Avant Garde" w:hAnsi="ITC Avant Garde"/>
                <w:sz w:val="18"/>
                <w:szCs w:val="18"/>
              </w:rPr>
              <w:t xml:space="preserve">Cablevisión, S.A. de C.V.; Cablemás Telecomunicaciones, S.A. de C.V.; Cablevisión Red, S.A. de C.V., TV Cable Oriente, S.A. de C.V., y Televisión Internacional, S.A. de C.V. </w:t>
            </w:r>
          </w:p>
        </w:tc>
        <w:tc>
          <w:tcPr>
            <w:tcW w:w="1984" w:type="dxa"/>
            <w:vAlign w:val="center"/>
          </w:tcPr>
          <w:p w14:paraId="2E9241A6" w14:textId="66E55BFB" w:rsidR="00CB7B85" w:rsidRPr="00F84B2E" w:rsidRDefault="00CB7B8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04/09/2017 - 17:08</w:t>
            </w:r>
          </w:p>
        </w:tc>
      </w:tr>
      <w:tr w:rsidR="00CB7B85" w:rsidRPr="00271F82" w14:paraId="4504ADA2" w14:textId="77777777" w:rsidTr="00F84B2E">
        <w:trPr>
          <w:trHeight w:val="56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1364A50" w14:textId="77777777" w:rsidR="00CB7B85" w:rsidRPr="00271F82" w:rsidRDefault="00CB7B85" w:rsidP="00D407F2">
            <w:pPr>
              <w:spacing w:line="276" w:lineRule="auto"/>
              <w:jc w:val="center"/>
              <w:rPr>
                <w:rFonts w:ascii="ITC Avant Garde" w:eastAsia="Calibri" w:hAnsi="ITC Avant Garde" w:cs="Arial"/>
                <w:sz w:val="18"/>
                <w:szCs w:val="18"/>
              </w:rPr>
            </w:pPr>
            <w:r w:rsidRPr="00271F82">
              <w:rPr>
                <w:rFonts w:ascii="ITC Avant Garde" w:hAnsi="ITC Avant Garde"/>
                <w:sz w:val="18"/>
                <w:szCs w:val="18"/>
              </w:rPr>
              <w:t>14</w:t>
            </w:r>
          </w:p>
        </w:tc>
        <w:tc>
          <w:tcPr>
            <w:tcW w:w="5670" w:type="dxa"/>
            <w:vAlign w:val="center"/>
          </w:tcPr>
          <w:p w14:paraId="3ACD92FD" w14:textId="3B50BF8C" w:rsidR="00CB7B85" w:rsidRPr="00F84B2E" w:rsidRDefault="00CB7B8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Total Play Telecomunicaciones, S.A. de C.V.</w:t>
            </w:r>
          </w:p>
        </w:tc>
        <w:tc>
          <w:tcPr>
            <w:tcW w:w="1984" w:type="dxa"/>
            <w:vAlign w:val="center"/>
          </w:tcPr>
          <w:p w14:paraId="06266373" w14:textId="48A5F302" w:rsidR="00CB7B85" w:rsidRPr="00F84B2E" w:rsidRDefault="00CB7B8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04/09/2017 - 14:21</w:t>
            </w:r>
          </w:p>
        </w:tc>
      </w:tr>
      <w:tr w:rsidR="00CB7B85" w:rsidRPr="00271F82" w14:paraId="168273AD" w14:textId="77777777" w:rsidTr="00F84B2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F8602FB" w14:textId="77777777" w:rsidR="00CB7B85" w:rsidRPr="00271F82" w:rsidRDefault="00CB7B85" w:rsidP="00D407F2">
            <w:pPr>
              <w:spacing w:line="276" w:lineRule="auto"/>
              <w:jc w:val="center"/>
              <w:rPr>
                <w:rFonts w:ascii="ITC Avant Garde" w:eastAsia="Calibri" w:hAnsi="ITC Avant Garde" w:cs="Arial"/>
                <w:sz w:val="18"/>
                <w:szCs w:val="18"/>
              </w:rPr>
            </w:pPr>
            <w:r w:rsidRPr="00271F82">
              <w:rPr>
                <w:rFonts w:ascii="ITC Avant Garde" w:hAnsi="ITC Avant Garde"/>
                <w:sz w:val="18"/>
                <w:szCs w:val="18"/>
              </w:rPr>
              <w:t>15</w:t>
            </w:r>
          </w:p>
        </w:tc>
        <w:tc>
          <w:tcPr>
            <w:tcW w:w="5670" w:type="dxa"/>
            <w:vAlign w:val="center"/>
          </w:tcPr>
          <w:p w14:paraId="332D3CF0" w14:textId="2EAA6C0E" w:rsidR="00CB7B85" w:rsidRPr="00F84B2E" w:rsidRDefault="00CB7B85" w:rsidP="00D407F2">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Federico Hernández Arroyo  </w:t>
            </w:r>
          </w:p>
        </w:tc>
        <w:tc>
          <w:tcPr>
            <w:tcW w:w="1984" w:type="dxa"/>
            <w:vAlign w:val="center"/>
          </w:tcPr>
          <w:p w14:paraId="68988244" w14:textId="6BCB8237" w:rsidR="00CB7B85" w:rsidRPr="00F84B2E" w:rsidRDefault="00CB7B85" w:rsidP="00F84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01/09/2017 - 22:34</w:t>
            </w:r>
          </w:p>
        </w:tc>
      </w:tr>
      <w:tr w:rsidR="00CB7B85" w:rsidRPr="00271F82" w14:paraId="3951E0C5" w14:textId="77777777" w:rsidTr="00F84B2E">
        <w:trPr>
          <w:trHeight w:val="56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98BC8FD" w14:textId="204DABAF" w:rsidR="00CB7B85" w:rsidRPr="00271F82" w:rsidRDefault="00CB7B85" w:rsidP="00D407F2">
            <w:pPr>
              <w:spacing w:line="276" w:lineRule="auto"/>
              <w:jc w:val="center"/>
              <w:rPr>
                <w:rFonts w:ascii="ITC Avant Garde" w:hAnsi="ITC Avant Garde"/>
                <w:sz w:val="18"/>
                <w:szCs w:val="18"/>
              </w:rPr>
            </w:pPr>
            <w:r w:rsidRPr="00271F82">
              <w:rPr>
                <w:rFonts w:ascii="ITC Avant Garde" w:hAnsi="ITC Avant Garde"/>
                <w:sz w:val="18"/>
                <w:szCs w:val="18"/>
              </w:rPr>
              <w:t>16</w:t>
            </w:r>
          </w:p>
        </w:tc>
        <w:tc>
          <w:tcPr>
            <w:tcW w:w="5670" w:type="dxa"/>
            <w:vAlign w:val="center"/>
          </w:tcPr>
          <w:p w14:paraId="62AA769D" w14:textId="33EBFB0E" w:rsidR="00CB7B85" w:rsidRPr="00F84B2E" w:rsidRDefault="00CB7B85" w:rsidP="00D407F2">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 xml:space="preserve">Miguel Tentei Cortés Solórzano  </w:t>
            </w:r>
          </w:p>
        </w:tc>
        <w:tc>
          <w:tcPr>
            <w:tcW w:w="1984" w:type="dxa"/>
            <w:vAlign w:val="center"/>
          </w:tcPr>
          <w:p w14:paraId="409543AB" w14:textId="4B76E100" w:rsidR="00CB7B85" w:rsidRPr="00F84B2E" w:rsidRDefault="00CB7B85" w:rsidP="00F84B2E">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271F82">
              <w:rPr>
                <w:rFonts w:ascii="ITC Avant Garde" w:hAnsi="ITC Avant Garde"/>
                <w:sz w:val="18"/>
                <w:szCs w:val="18"/>
              </w:rPr>
              <w:t>10/08/2017 - 23:17</w:t>
            </w:r>
          </w:p>
        </w:tc>
      </w:tr>
    </w:tbl>
    <w:p w14:paraId="6A1696BE" w14:textId="62EEB1A2" w:rsidR="008A71F4" w:rsidRPr="00CD0592" w:rsidRDefault="008A71F4" w:rsidP="00F84B2E">
      <w:pPr>
        <w:spacing w:after="0" w:line="276" w:lineRule="auto"/>
        <w:jc w:val="both"/>
        <w:rPr>
          <w:rFonts w:ascii="ITC Avant Garde" w:hAnsi="ITC Avant Garde" w:cs="Arial"/>
          <w:color w:val="000000"/>
          <w:sz w:val="20"/>
          <w:szCs w:val="20"/>
        </w:rPr>
      </w:pPr>
    </w:p>
    <w:p w14:paraId="6F221783" w14:textId="77777777" w:rsidR="007D3AF8" w:rsidRPr="00CD0592" w:rsidRDefault="007D3AF8" w:rsidP="00D407F2">
      <w:pPr>
        <w:pStyle w:val="Prrafodelista"/>
        <w:numPr>
          <w:ilvl w:val="0"/>
          <w:numId w:val="3"/>
        </w:numPr>
        <w:spacing w:after="0" w:line="276" w:lineRule="auto"/>
        <w:jc w:val="both"/>
        <w:rPr>
          <w:rFonts w:ascii="ITC Avant Garde" w:eastAsia="Calibri" w:hAnsi="ITC Avant Garde" w:cs="Arial"/>
          <w:b/>
          <w:sz w:val="20"/>
          <w:szCs w:val="20"/>
        </w:rPr>
      </w:pPr>
      <w:r w:rsidRPr="00CD0592">
        <w:rPr>
          <w:rFonts w:ascii="ITC Avant Garde" w:eastAsia="Calibri" w:hAnsi="ITC Avant Garde" w:cs="Arial"/>
          <w:b/>
          <w:sz w:val="20"/>
          <w:szCs w:val="20"/>
        </w:rPr>
        <w:t>Posicionamiento del Instituto:</w:t>
      </w:r>
    </w:p>
    <w:p w14:paraId="09ECE32C" w14:textId="77777777" w:rsidR="007D3AF8" w:rsidRPr="00CD0592" w:rsidRDefault="007D3AF8" w:rsidP="00D407F2">
      <w:pPr>
        <w:spacing w:after="0" w:line="276" w:lineRule="auto"/>
        <w:jc w:val="both"/>
        <w:rPr>
          <w:rFonts w:ascii="ITC Avant Garde" w:eastAsia="Calibri" w:hAnsi="ITC Avant Garde" w:cs="Arial"/>
          <w:sz w:val="20"/>
          <w:szCs w:val="20"/>
        </w:rPr>
      </w:pPr>
    </w:p>
    <w:p w14:paraId="557C741B" w14:textId="6BBC6F94" w:rsidR="007D3AF8" w:rsidRDefault="007D3AF8" w:rsidP="00D407F2">
      <w:pPr>
        <w:spacing w:after="0" w:line="276" w:lineRule="auto"/>
        <w:jc w:val="both"/>
        <w:rPr>
          <w:rFonts w:ascii="ITC Avant Garde" w:hAnsi="ITC Avant Garde"/>
          <w:sz w:val="20"/>
          <w:szCs w:val="20"/>
        </w:rPr>
      </w:pPr>
      <w:r w:rsidRPr="00CD0592">
        <w:rPr>
          <w:rFonts w:ascii="ITC Avant Garde" w:hAnsi="ITC Avant Garde"/>
          <w:sz w:val="20"/>
          <w:szCs w:val="20"/>
        </w:rPr>
        <w:t xml:space="preserve">El Instituto agradece la participación de todos los interesados del Anteproyecto sometido a </w:t>
      </w:r>
      <w:r w:rsidR="006E1553">
        <w:rPr>
          <w:rFonts w:ascii="ITC Avant Garde" w:hAnsi="ITC Avant Garde"/>
          <w:sz w:val="20"/>
          <w:szCs w:val="20"/>
        </w:rPr>
        <w:t>opinión</w:t>
      </w:r>
      <w:r w:rsidR="00F84B2E">
        <w:rPr>
          <w:rFonts w:ascii="ITC Avant Garde" w:hAnsi="ITC Avant Garde"/>
          <w:sz w:val="20"/>
          <w:szCs w:val="20"/>
        </w:rPr>
        <w:t xml:space="preserve"> pública.</w:t>
      </w:r>
      <w:r w:rsidRPr="00CD0592">
        <w:rPr>
          <w:rFonts w:ascii="ITC Avant Garde" w:hAnsi="ITC Avant Garde"/>
          <w:sz w:val="20"/>
          <w:szCs w:val="20"/>
        </w:rPr>
        <w:t xml:space="preserve"> </w:t>
      </w:r>
      <w:r w:rsidR="00F84B2E">
        <w:rPr>
          <w:rFonts w:ascii="ITC Avant Garde" w:hAnsi="ITC Avant Garde"/>
          <w:sz w:val="20"/>
          <w:szCs w:val="20"/>
        </w:rPr>
        <w:t>L</w:t>
      </w:r>
      <w:r w:rsidR="00832100" w:rsidRPr="00CD0592">
        <w:rPr>
          <w:rFonts w:ascii="ITC Avant Garde" w:hAnsi="ITC Avant Garde"/>
          <w:sz w:val="20"/>
          <w:szCs w:val="20"/>
        </w:rPr>
        <w:t xml:space="preserve">os </w:t>
      </w:r>
      <w:r w:rsidRPr="00CD0592">
        <w:rPr>
          <w:rFonts w:ascii="ITC Avant Garde" w:hAnsi="ITC Avant Garde"/>
          <w:sz w:val="20"/>
          <w:szCs w:val="20"/>
        </w:rPr>
        <w:t>comentarios, opiniones y aportac</w:t>
      </w:r>
      <w:r w:rsidR="00F84B2E">
        <w:rPr>
          <w:rFonts w:ascii="ITC Avant Garde" w:hAnsi="ITC Avant Garde"/>
          <w:sz w:val="20"/>
          <w:szCs w:val="20"/>
        </w:rPr>
        <w:t>iones recibidos</w:t>
      </w:r>
      <w:r w:rsidR="00832100" w:rsidRPr="00CD0592">
        <w:rPr>
          <w:rFonts w:ascii="ITC Avant Garde" w:hAnsi="ITC Avant Garde"/>
          <w:sz w:val="20"/>
          <w:szCs w:val="20"/>
        </w:rPr>
        <w:t xml:space="preserve"> se detallan en el numeral VI del presente informe.</w:t>
      </w:r>
    </w:p>
    <w:p w14:paraId="5CEA91B7" w14:textId="77777777" w:rsidR="00975407" w:rsidRPr="00975407" w:rsidRDefault="00975407" w:rsidP="00D407F2">
      <w:pPr>
        <w:spacing w:after="0" w:line="276" w:lineRule="auto"/>
        <w:jc w:val="both"/>
        <w:rPr>
          <w:rFonts w:ascii="ITC Avant Garde" w:hAnsi="ITC Avant Garde"/>
          <w:sz w:val="20"/>
          <w:szCs w:val="20"/>
        </w:rPr>
      </w:pPr>
    </w:p>
    <w:p w14:paraId="5E1DFFFE" w14:textId="44B16A2A" w:rsidR="00DA2A8A" w:rsidRPr="00CD0592" w:rsidRDefault="00494F7F" w:rsidP="00F84B2E">
      <w:pPr>
        <w:spacing w:after="0" w:line="276" w:lineRule="auto"/>
        <w:jc w:val="both"/>
        <w:rPr>
          <w:rFonts w:ascii="ITC Avant Garde" w:hAnsi="ITC Avant Garde"/>
          <w:sz w:val="20"/>
          <w:szCs w:val="20"/>
        </w:rPr>
      </w:pPr>
      <w:r w:rsidRPr="00CD0592">
        <w:rPr>
          <w:rFonts w:ascii="ITC Avant Garde" w:hAnsi="ITC Avant Garde" w:cs="Arial"/>
          <w:color w:val="000000"/>
          <w:sz w:val="20"/>
          <w:szCs w:val="20"/>
        </w:rPr>
        <w:t>A continuación</w:t>
      </w:r>
      <w:r w:rsidR="00DA2A8A" w:rsidRPr="00CD0592">
        <w:rPr>
          <w:rFonts w:ascii="ITC Avant Garde" w:hAnsi="ITC Avant Garde" w:cs="Arial"/>
          <w:color w:val="000000"/>
          <w:sz w:val="20"/>
          <w:szCs w:val="20"/>
        </w:rPr>
        <w:t>, se presenta una respuesta o posicionamiento de manera agrupada acerca de la información que los participantes hayan aportado.</w:t>
      </w:r>
    </w:p>
    <w:p w14:paraId="44E910D2" w14:textId="23FA0C99" w:rsidR="00975407" w:rsidRPr="00CD0592" w:rsidRDefault="00975407" w:rsidP="00D407F2">
      <w:pPr>
        <w:pStyle w:val="Prrafodelista"/>
        <w:tabs>
          <w:tab w:val="left" w:pos="426"/>
        </w:tabs>
        <w:spacing w:after="0" w:line="276" w:lineRule="auto"/>
        <w:ind w:left="0" w:right="2"/>
        <w:jc w:val="both"/>
        <w:rPr>
          <w:rFonts w:ascii="ITC Avant Garde" w:hAnsi="ITC Avant Garde" w:cs="ITC Avant Garde"/>
          <w:b/>
          <w:sz w:val="20"/>
          <w:szCs w:val="20"/>
        </w:rPr>
      </w:pPr>
    </w:p>
    <w:p w14:paraId="2C4615FB" w14:textId="77777777" w:rsidR="00096B1D" w:rsidRPr="00CD0592" w:rsidRDefault="00D400DB" w:rsidP="00D407F2">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Comentarios, opiniones y aportaciones sobre el anteproyecto</w:t>
      </w:r>
      <w:r w:rsidR="00494F7F" w:rsidRPr="00CD0592">
        <w:rPr>
          <w:rFonts w:ascii="ITC Avant Garde" w:hAnsi="ITC Avant Garde" w:cs="ITC Avant Garde"/>
          <w:b/>
          <w:sz w:val="20"/>
          <w:szCs w:val="20"/>
        </w:rPr>
        <w:t>.</w:t>
      </w:r>
    </w:p>
    <w:p w14:paraId="414A8902" w14:textId="77777777" w:rsidR="00D400DB" w:rsidRPr="00CD0592" w:rsidRDefault="00D400DB" w:rsidP="00D407F2">
      <w:pPr>
        <w:pStyle w:val="Prrafodelista"/>
        <w:tabs>
          <w:tab w:val="left" w:pos="426"/>
        </w:tabs>
        <w:spacing w:after="0" w:line="276" w:lineRule="auto"/>
        <w:ind w:left="0" w:right="2"/>
        <w:jc w:val="both"/>
        <w:rPr>
          <w:rFonts w:ascii="ITC Avant Garde" w:hAnsi="ITC Avant Garde" w:cs="ITC Avant Garde"/>
          <w:b/>
          <w:sz w:val="20"/>
          <w:szCs w:val="20"/>
        </w:rPr>
      </w:pPr>
    </w:p>
    <w:p w14:paraId="58660789" w14:textId="1A02C1A7" w:rsidR="00F00A3F" w:rsidRPr="00CD0592" w:rsidRDefault="00F00A3F" w:rsidP="00D407F2">
      <w:pPr>
        <w:spacing w:line="276" w:lineRule="auto"/>
        <w:jc w:val="both"/>
        <w:rPr>
          <w:rFonts w:ascii="ITC Avant Garde" w:hAnsi="ITC Avant Garde" w:cs="Arial"/>
          <w:sz w:val="20"/>
          <w:szCs w:val="20"/>
        </w:rPr>
      </w:pPr>
    </w:p>
    <w:p w14:paraId="76CBDAF6" w14:textId="059C1186" w:rsidR="00601E99" w:rsidRPr="00CD0592" w:rsidRDefault="00601E99" w:rsidP="00D407F2">
      <w:pPr>
        <w:spacing w:line="276" w:lineRule="auto"/>
        <w:jc w:val="both"/>
        <w:rPr>
          <w:rFonts w:ascii="ITC Avant Garde" w:hAnsi="ITC Avant Garde" w:cs="Arial"/>
          <w:sz w:val="20"/>
          <w:szCs w:val="20"/>
        </w:rPr>
      </w:pPr>
    </w:p>
    <w:p w14:paraId="74598CE2" w14:textId="77777777" w:rsidR="00DE5E88" w:rsidRPr="00CD0592" w:rsidRDefault="00DE5E88" w:rsidP="00D407F2">
      <w:pPr>
        <w:spacing w:line="276" w:lineRule="auto"/>
        <w:jc w:val="both"/>
        <w:rPr>
          <w:rFonts w:ascii="ITC Avant Garde" w:hAnsi="ITC Avant Garde" w:cs="Arial"/>
          <w:sz w:val="20"/>
          <w:szCs w:val="20"/>
        </w:rPr>
        <w:sectPr w:rsidR="00DE5E88" w:rsidRPr="00CD0592" w:rsidSect="00601E99">
          <w:headerReference w:type="default" r:id="rId12"/>
          <w:footerReference w:type="default" r:id="rId13"/>
          <w:pgSz w:w="12240" w:h="15840"/>
          <w:pgMar w:top="1702" w:right="1701" w:bottom="1417" w:left="1701" w:header="2268" w:footer="2268" w:gutter="0"/>
          <w:cols w:space="708"/>
          <w:docGrid w:linePitch="360"/>
        </w:sectPr>
      </w:pPr>
    </w:p>
    <w:p w14:paraId="6B3D3911" w14:textId="77777777" w:rsidR="00B60026" w:rsidRPr="00CD0592" w:rsidRDefault="00B60026" w:rsidP="00D407F2">
      <w:pPr>
        <w:spacing w:line="276" w:lineRule="auto"/>
        <w:jc w:val="both"/>
        <w:rPr>
          <w:rFonts w:ascii="ITC Avant Garde" w:hAnsi="ITC Avant Garde" w:cs="Arial"/>
          <w:sz w:val="20"/>
          <w:szCs w:val="20"/>
        </w:rPr>
        <w:sectPr w:rsidR="00B60026" w:rsidRPr="00CD0592" w:rsidSect="00DE5E88">
          <w:type w:val="continuous"/>
          <w:pgSz w:w="12240" w:h="15840"/>
          <w:pgMar w:top="1702" w:right="1701" w:bottom="1417" w:left="1701" w:header="2268" w:footer="2268" w:gutter="0"/>
          <w:cols w:space="708"/>
          <w:docGrid w:linePitch="360"/>
        </w:sectPr>
      </w:pPr>
    </w:p>
    <w:p w14:paraId="03D82C9D" w14:textId="0E3A3889" w:rsidR="00B60026" w:rsidRPr="00975407" w:rsidRDefault="00975407" w:rsidP="00D407F2">
      <w:pPr>
        <w:spacing w:line="276" w:lineRule="auto"/>
        <w:jc w:val="center"/>
        <w:rPr>
          <w:rFonts w:ascii="ITC Avant Garde" w:eastAsia="Calibri" w:hAnsi="ITC Avant Garde" w:cs="Arial"/>
          <w:b/>
          <w:sz w:val="20"/>
          <w:szCs w:val="20"/>
        </w:rPr>
      </w:pPr>
      <w:r>
        <w:rPr>
          <w:rFonts w:ascii="ITC Avant Garde" w:eastAsia="Calibri" w:hAnsi="ITC Avant Garde" w:cs="Arial"/>
          <w:b/>
          <w:sz w:val="20"/>
          <w:szCs w:val="20"/>
        </w:rPr>
        <w:lastRenderedPageBreak/>
        <w:t>Concentrado de comentarios</w:t>
      </w:r>
    </w:p>
    <w:tbl>
      <w:tblPr>
        <w:tblStyle w:val="Tablaconcuadrcula"/>
        <w:tblW w:w="7226" w:type="dxa"/>
        <w:tblInd w:w="6753" w:type="dxa"/>
        <w:tblLook w:val="04A0" w:firstRow="1" w:lastRow="0" w:firstColumn="1" w:lastColumn="0" w:noHBand="0" w:noVBand="1"/>
      </w:tblPr>
      <w:tblGrid>
        <w:gridCol w:w="7226"/>
      </w:tblGrid>
      <w:tr w:rsidR="00B60026" w:rsidRPr="00CD0592" w14:paraId="49CD1474" w14:textId="77777777" w:rsidTr="00B60026">
        <w:trPr>
          <w:trHeight w:val="962"/>
        </w:trPr>
        <w:tc>
          <w:tcPr>
            <w:tcW w:w="7226" w:type="dxa"/>
          </w:tcPr>
          <w:p w14:paraId="68D83744" w14:textId="53BC891F" w:rsidR="00B60026" w:rsidRPr="009F4A25" w:rsidRDefault="00B60026" w:rsidP="00F84B2E">
            <w:pPr>
              <w:spacing w:line="276" w:lineRule="auto"/>
              <w:jc w:val="both"/>
              <w:rPr>
                <w:rFonts w:ascii="ITC Avant Garde" w:hAnsi="ITC Avant Garde"/>
                <w:sz w:val="18"/>
                <w:szCs w:val="18"/>
                <w:highlight w:val="yellow"/>
              </w:rPr>
            </w:pPr>
            <w:r w:rsidRPr="009F4A25">
              <w:rPr>
                <w:rFonts w:ascii="ITC Avant Garde" w:hAnsi="ITC Avant Garde"/>
                <w:sz w:val="18"/>
                <w:szCs w:val="18"/>
              </w:rPr>
              <w:t xml:space="preserve">Los comentarios contenidos en la presente tabla son los extractos de los proporcionados por los participantes con relación a las preguntas realizadas en la </w:t>
            </w:r>
            <w:r w:rsidR="006E1553">
              <w:rPr>
                <w:rFonts w:ascii="ITC Avant Garde" w:hAnsi="ITC Avant Garde"/>
                <w:sz w:val="18"/>
                <w:szCs w:val="18"/>
              </w:rPr>
              <w:t>opinión</w:t>
            </w:r>
            <w:r w:rsidRPr="009F4A25">
              <w:rPr>
                <w:rFonts w:ascii="ITC Avant Garde" w:hAnsi="ITC Avant Garde"/>
                <w:sz w:val="18"/>
                <w:szCs w:val="18"/>
              </w:rPr>
              <w:t xml:space="preserve"> pública. La </w:t>
            </w:r>
            <w:r w:rsidRPr="00164D24">
              <w:rPr>
                <w:rFonts w:ascii="ITC Avant Garde" w:hAnsi="ITC Avant Garde"/>
                <w:sz w:val="18"/>
                <w:szCs w:val="18"/>
              </w:rPr>
              <w:t xml:space="preserve">versión completa de los comentarios de cada participante puede </w:t>
            </w:r>
            <w:r w:rsidR="00164D24">
              <w:rPr>
                <w:rFonts w:ascii="ITC Avant Garde" w:hAnsi="ITC Avant Garde"/>
                <w:sz w:val="18"/>
                <w:szCs w:val="18"/>
              </w:rPr>
              <w:t>consultarse</w:t>
            </w:r>
            <w:r w:rsidRPr="00164D24">
              <w:rPr>
                <w:rFonts w:ascii="ITC Avant Garde" w:hAnsi="ITC Avant Garde"/>
                <w:sz w:val="18"/>
                <w:szCs w:val="18"/>
              </w:rPr>
              <w:t xml:space="preserve"> en la liga</w:t>
            </w:r>
            <w:r w:rsidR="003E7F0F" w:rsidRPr="00164D24">
              <w:rPr>
                <w:rFonts w:ascii="ITC Avant Garde" w:hAnsi="ITC Avant Garde"/>
                <w:sz w:val="18"/>
                <w:szCs w:val="18"/>
              </w:rPr>
              <w:t xml:space="preserve">: </w:t>
            </w:r>
            <w:hyperlink r:id="rId14" w:history="1">
              <w:r w:rsidR="0024795D" w:rsidRPr="00164D24">
                <w:rPr>
                  <w:rStyle w:val="Hipervnculo"/>
                  <w:rFonts w:ascii="ITC Avant Garde" w:hAnsi="ITC Avant Garde"/>
                  <w:sz w:val="18"/>
                  <w:szCs w:val="18"/>
                </w:rPr>
                <w:t>http://www.ift.org.mx/industria/consultas-publicas/opinion-publica-sobre-el-proyecto-de-bases-de-licitacion-publica-para-concesionar-el-uso-0?page=1</w:t>
              </w:r>
            </w:hyperlink>
            <w:r w:rsidR="0024795D" w:rsidRPr="00164D24">
              <w:rPr>
                <w:rFonts w:ascii="ITC Avant Garde" w:hAnsi="ITC Avant Garde"/>
              </w:rPr>
              <w:t xml:space="preserve"> </w:t>
            </w:r>
          </w:p>
        </w:tc>
      </w:tr>
    </w:tbl>
    <w:p w14:paraId="63A17749" w14:textId="5ACE344B" w:rsidR="002D7B65" w:rsidRPr="00CD0592" w:rsidRDefault="002D7B65" w:rsidP="00D407F2">
      <w:pPr>
        <w:spacing w:line="276" w:lineRule="auto"/>
        <w:jc w:val="both"/>
        <w:rPr>
          <w:rFonts w:ascii="ITC Avant Garde" w:hAnsi="ITC Avant Garde" w:cs="Arial"/>
          <w:sz w:val="20"/>
          <w:szCs w:val="20"/>
        </w:rPr>
      </w:pPr>
    </w:p>
    <w:tbl>
      <w:tblPr>
        <w:tblpPr w:leftFromText="141" w:rightFromText="141" w:vertAnchor="text" w:horzAnchor="margin" w:tblpX="-1145" w:tblpY="58"/>
        <w:tblW w:w="6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4"/>
        <w:gridCol w:w="1745"/>
        <w:gridCol w:w="6018"/>
        <w:gridCol w:w="6097"/>
      </w:tblGrid>
      <w:tr w:rsidR="00AA08F9" w:rsidRPr="00637136" w14:paraId="08EA5699" w14:textId="182E5BEF" w:rsidTr="009155A1">
        <w:trPr>
          <w:cantSplit/>
        </w:trPr>
        <w:tc>
          <w:tcPr>
            <w:tcW w:w="5000" w:type="pct"/>
            <w:gridSpan w:val="4"/>
            <w:shd w:val="clear" w:color="auto" w:fill="D9D9D9"/>
          </w:tcPr>
          <w:p w14:paraId="45899061" w14:textId="5CFBBEFD" w:rsidR="00AA08F9" w:rsidRPr="00637136" w:rsidRDefault="00633724" w:rsidP="00D407F2">
            <w:pPr>
              <w:spacing w:after="0" w:line="276" w:lineRule="auto"/>
              <w:ind w:right="1069"/>
              <w:jc w:val="center"/>
              <w:rPr>
                <w:rFonts w:ascii="ITC Avant Garde" w:eastAsia="Times New Roman" w:hAnsi="ITC Avant Garde"/>
                <w:b/>
                <w:bCs/>
                <w:color w:val="000000"/>
                <w:sz w:val="20"/>
                <w:szCs w:val="20"/>
                <w:lang w:eastAsia="es-MX"/>
              </w:rPr>
            </w:pPr>
            <w:r>
              <w:rPr>
                <w:rFonts w:ascii="ITC Avant Garde" w:eastAsia="Times New Roman" w:hAnsi="ITC Avant Garde"/>
                <w:b/>
                <w:bCs/>
                <w:color w:val="000000"/>
                <w:sz w:val="20"/>
                <w:szCs w:val="20"/>
                <w:lang w:eastAsia="es-MX"/>
              </w:rPr>
              <w:t xml:space="preserve">II. </w:t>
            </w:r>
            <w:r w:rsidR="00AF3A37" w:rsidRPr="00AF3A37">
              <w:rPr>
                <w:rFonts w:ascii="ITC Avant Garde" w:eastAsia="Times New Roman" w:hAnsi="ITC Avant Garde"/>
                <w:b/>
                <w:bCs/>
                <w:color w:val="000000"/>
                <w:sz w:val="20"/>
                <w:szCs w:val="20"/>
                <w:lang w:eastAsia="es-MX"/>
              </w:rPr>
              <w:t>Comentarios, opini</w:t>
            </w:r>
            <w:r w:rsidR="00AF3A37">
              <w:rPr>
                <w:rFonts w:ascii="ITC Avant Garde" w:eastAsia="Times New Roman" w:hAnsi="ITC Avant Garde"/>
                <w:b/>
                <w:bCs/>
                <w:color w:val="000000"/>
                <w:sz w:val="20"/>
                <w:szCs w:val="20"/>
                <w:lang w:eastAsia="es-MX"/>
              </w:rPr>
              <w:t xml:space="preserve">ones y aportaciones específicos </w:t>
            </w:r>
            <w:r w:rsidR="00AF3A37" w:rsidRPr="00AF3A37">
              <w:rPr>
                <w:rFonts w:ascii="ITC Avant Garde" w:eastAsia="Times New Roman" w:hAnsi="ITC Avant Garde"/>
                <w:b/>
                <w:bCs/>
                <w:color w:val="000000"/>
                <w:sz w:val="20"/>
                <w:szCs w:val="20"/>
                <w:lang w:eastAsia="es-MX"/>
              </w:rPr>
              <w:t>del participante sobre el asunto en opinión pública</w:t>
            </w:r>
          </w:p>
        </w:tc>
      </w:tr>
      <w:tr w:rsidR="00AA08F9" w:rsidRPr="00637136" w14:paraId="31490E52" w14:textId="4974A7B0" w:rsidTr="009155A1">
        <w:trPr>
          <w:trHeight w:val="399"/>
          <w:tblHeader/>
        </w:trPr>
        <w:tc>
          <w:tcPr>
            <w:tcW w:w="472" w:type="pct"/>
            <w:shd w:val="clear" w:color="auto" w:fill="C5E0B3"/>
            <w:vAlign w:val="center"/>
          </w:tcPr>
          <w:p w14:paraId="79B84875" w14:textId="2D62E4E2" w:rsidR="00AA08F9" w:rsidRPr="00637136" w:rsidRDefault="00AA08F9" w:rsidP="00F51FED">
            <w:pPr>
              <w:spacing w:after="0" w:line="276"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570" w:type="pct"/>
            <w:shd w:val="clear" w:color="auto" w:fill="C5E0B3"/>
            <w:vAlign w:val="center"/>
            <w:hideMark/>
          </w:tcPr>
          <w:p w14:paraId="46281F1B" w14:textId="77777777" w:rsidR="00700290" w:rsidRPr="00700290"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Proyecto de</w:t>
            </w:r>
          </w:p>
          <w:p w14:paraId="0C3E220F" w14:textId="77777777" w:rsidR="00700290" w:rsidRPr="00700290"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Bases de</w:t>
            </w:r>
          </w:p>
          <w:p w14:paraId="46AD455B" w14:textId="77777777" w:rsidR="00700290" w:rsidRPr="00700290"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Licitación y sus</w:t>
            </w:r>
          </w:p>
          <w:p w14:paraId="004A9ED6" w14:textId="77777777" w:rsidR="00700290" w:rsidRPr="00700290"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Apéndices</w:t>
            </w:r>
          </w:p>
          <w:p w14:paraId="49BC2500" w14:textId="77777777" w:rsidR="00700290" w:rsidRPr="00700290"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sujetos a este</w:t>
            </w:r>
          </w:p>
          <w:p w14:paraId="51E43FC0" w14:textId="77777777" w:rsidR="00700290" w:rsidRPr="00700290"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proceso</w:t>
            </w:r>
          </w:p>
          <w:p w14:paraId="2108D5B2" w14:textId="3C6E8D4E" w:rsidR="00AA08F9" w:rsidRPr="00637136" w:rsidRDefault="00700290" w:rsidP="00F51FED">
            <w:pPr>
              <w:spacing w:after="0" w:line="276" w:lineRule="auto"/>
              <w:jc w:val="center"/>
              <w:rPr>
                <w:rFonts w:ascii="ITC Avant Garde" w:eastAsia="Times New Roman" w:hAnsi="ITC Avant Garde"/>
                <w:color w:val="000000"/>
                <w:sz w:val="18"/>
                <w:szCs w:val="18"/>
                <w:lang w:eastAsia="es-MX"/>
              </w:rPr>
            </w:pPr>
            <w:r w:rsidRPr="00700290">
              <w:rPr>
                <w:rFonts w:ascii="ITC Avant Garde" w:eastAsia="Times New Roman" w:hAnsi="ITC Avant Garde"/>
                <w:color w:val="000000"/>
                <w:sz w:val="18"/>
                <w:szCs w:val="18"/>
                <w:lang w:eastAsia="es-MX"/>
              </w:rPr>
              <w:t>consultivo</w:t>
            </w:r>
          </w:p>
        </w:tc>
        <w:tc>
          <w:tcPr>
            <w:tcW w:w="1966" w:type="pct"/>
            <w:shd w:val="clear" w:color="auto" w:fill="C5E0B3"/>
            <w:vAlign w:val="center"/>
            <w:hideMark/>
          </w:tcPr>
          <w:p w14:paraId="6AFAC449" w14:textId="77777777" w:rsidR="00AA08F9" w:rsidRPr="00637136" w:rsidRDefault="00AA08F9" w:rsidP="00F51FED">
            <w:pPr>
              <w:spacing w:after="0" w:line="276"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 opiniones o aportaciones</w:t>
            </w:r>
          </w:p>
        </w:tc>
        <w:tc>
          <w:tcPr>
            <w:tcW w:w="1992" w:type="pct"/>
            <w:shd w:val="clear" w:color="auto" w:fill="C5E0B3"/>
            <w:vAlign w:val="center"/>
          </w:tcPr>
          <w:p w14:paraId="1B51EB99" w14:textId="42B60895" w:rsidR="00AA08F9" w:rsidRPr="00637136" w:rsidRDefault="003423E4" w:rsidP="00F51FED">
            <w:pPr>
              <w:spacing w:after="0" w:line="276"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A21E14" w:rsidRPr="00637136" w14:paraId="6BB78E0C" w14:textId="77777777" w:rsidTr="009155A1">
        <w:trPr>
          <w:trHeight w:val="290"/>
          <w:tblHeader/>
        </w:trPr>
        <w:tc>
          <w:tcPr>
            <w:tcW w:w="472" w:type="pct"/>
          </w:tcPr>
          <w:p w14:paraId="2FE00416" w14:textId="5C8A357A" w:rsidR="00A21E14" w:rsidRPr="00AF3A37" w:rsidRDefault="00A21E14" w:rsidP="00D407F2">
            <w:pPr>
              <w:spacing w:after="0" w:line="276" w:lineRule="auto"/>
              <w:rPr>
                <w:rFonts w:ascii="ITC Avant Garde" w:hAnsi="ITC Avant Garde" w:cs="Arial"/>
                <w:b/>
                <w:sz w:val="18"/>
                <w:szCs w:val="18"/>
              </w:rPr>
            </w:pPr>
            <w:r w:rsidRPr="00AF3A37">
              <w:rPr>
                <w:rFonts w:ascii="ITC Avant Garde" w:hAnsi="ITC Avant Garde" w:cs="Arial"/>
                <w:b/>
                <w:sz w:val="18"/>
                <w:szCs w:val="18"/>
              </w:rPr>
              <w:t>SIHI México, S. de R.L. de C.V.</w:t>
            </w:r>
          </w:p>
        </w:tc>
        <w:tc>
          <w:tcPr>
            <w:tcW w:w="570" w:type="pct"/>
            <w:shd w:val="clear" w:color="auto" w:fill="auto"/>
          </w:tcPr>
          <w:p w14:paraId="40099171" w14:textId="6558F2ED" w:rsidR="00A21E14" w:rsidRPr="00700290" w:rsidRDefault="00A21E14" w:rsidP="00D407F2">
            <w:pPr>
              <w:spacing w:after="0" w:line="276" w:lineRule="auto"/>
              <w:jc w:val="both"/>
              <w:rPr>
                <w:rFonts w:ascii="ITC Avant Garde" w:hAnsi="ITC Avant Garde" w:cs="Arial"/>
                <w:b/>
                <w:sz w:val="18"/>
                <w:szCs w:val="18"/>
              </w:rPr>
            </w:pPr>
            <w:r w:rsidRPr="00700290">
              <w:rPr>
                <w:rFonts w:ascii="ITC Avant Garde" w:hAnsi="ITC Avant Garde" w:cs="Arial"/>
                <w:b/>
                <w:sz w:val="18"/>
                <w:szCs w:val="18"/>
              </w:rPr>
              <w:t>Sección 3 y Sección 3.1</w:t>
            </w:r>
          </w:p>
        </w:tc>
        <w:tc>
          <w:tcPr>
            <w:tcW w:w="1966" w:type="pct"/>
            <w:shd w:val="clear" w:color="auto" w:fill="auto"/>
          </w:tcPr>
          <w:p w14:paraId="357EC47E" w14:textId="77777777" w:rsidR="00A21E14" w:rsidRDefault="00A21E14" w:rsidP="00A21E14">
            <w:pPr>
              <w:spacing w:line="276" w:lineRule="auto"/>
              <w:jc w:val="both"/>
              <w:rPr>
                <w:rFonts w:ascii="ITC Avant Garde" w:hAnsi="ITC Avant Garde" w:cs="Arial"/>
                <w:i/>
                <w:sz w:val="18"/>
                <w:szCs w:val="18"/>
              </w:rPr>
            </w:pPr>
            <w:r>
              <w:rPr>
                <w:rFonts w:ascii="ITC Avant Garde" w:hAnsi="ITC Avant Garde" w:cs="Arial"/>
                <w:i/>
                <w:sz w:val="18"/>
                <w:szCs w:val="18"/>
              </w:rPr>
              <w:t xml:space="preserve">… </w:t>
            </w:r>
            <w:r w:rsidRPr="006A6098">
              <w:rPr>
                <w:rFonts w:ascii="ITC Avant Garde" w:hAnsi="ITC Avant Garde" w:cs="Arial"/>
                <w:i/>
                <w:sz w:val="18"/>
                <w:szCs w:val="18"/>
              </w:rPr>
              <w:t xml:space="preserve">Sprint solicita </w:t>
            </w:r>
            <w:r w:rsidRPr="00191B18">
              <w:rPr>
                <w:rFonts w:ascii="ITC Avant Garde" w:hAnsi="ITC Avant Garde" w:cs="Arial"/>
                <w:i/>
                <w:sz w:val="18"/>
                <w:szCs w:val="18"/>
              </w:rPr>
              <w:t xml:space="preserve">respetuosamente que el IFT adopte reglas técnicas y requisitos (i) antes de, y/o (ii) como parte de cualquier proceso de licitación, </w:t>
            </w:r>
            <w:r w:rsidRPr="00191B18">
              <w:rPr>
                <w:rFonts w:ascii="ITC Avant Garde" w:hAnsi="ITC Avant Garde"/>
                <w:i/>
                <w:sz w:val="18"/>
              </w:rPr>
              <w:t>que informe a los potenciales concesionarios de la banda de 2.5 GHz de los riesgos de interferencia perjudicial</w:t>
            </w:r>
            <w:r w:rsidRPr="00191B18">
              <w:rPr>
                <w:rFonts w:ascii="ITC Avant Garde" w:hAnsi="ITC Avant Garde" w:cs="Arial"/>
                <w:i/>
                <w:sz w:val="18"/>
                <w:szCs w:val="18"/>
              </w:rPr>
              <w:t xml:space="preserve"> y establezca expresamente en las concesiones que otorgue en la banda de 2.5 GHz en México la obligación de: (a) prevenir la interferencia en las operaciones pre-existentes de los </w:t>
            </w:r>
            <w:r w:rsidRPr="00F46484">
              <w:rPr>
                <w:rFonts w:ascii="ITC Avant Garde" w:hAnsi="ITC Avant Garde" w:cs="Arial"/>
                <w:i/>
                <w:sz w:val="18"/>
                <w:szCs w:val="18"/>
              </w:rPr>
              <w:t xml:space="preserve">Estados Unidos de América en la zona fronteriza; y (b) coordinar el uso a lo largo de la frontera para evitar cualquier interferencia perjudicial. Igualmente, Sprint </w:t>
            </w:r>
            <w:r w:rsidRPr="00F46484">
              <w:rPr>
                <w:rFonts w:ascii="ITC Avant Garde" w:hAnsi="ITC Avant Garde"/>
                <w:i/>
                <w:sz w:val="18"/>
              </w:rPr>
              <w:lastRenderedPageBreak/>
              <w:t>respetuosamente solicita que el IFT y la FCC revisen el acuerdo internacional entre los dos países para coordinar el mejor uso de la banda de 2.5 GHz</w:t>
            </w:r>
            <w:r w:rsidRPr="00F46484">
              <w:rPr>
                <w:rFonts w:ascii="ITC Avant Garde" w:hAnsi="ITC Avant Garde" w:cs="Arial"/>
                <w:i/>
                <w:sz w:val="18"/>
                <w:szCs w:val="18"/>
              </w:rPr>
              <w:t>. El último acuerdo entre los Estados Unidos de América y México en relación al uso de la banda 2500-2686 MHz fue celebrado hace veinticinco años, precisamente en el año de 1992. Dicho acuerdo buscaba coordinar la asignación de frecuencias para servicios de distribución punto a multipunto</w:t>
            </w:r>
            <w:r w:rsidRPr="006A6098">
              <w:rPr>
                <w:rFonts w:ascii="ITC Avant Garde" w:hAnsi="ITC Avant Garde" w:cs="Arial"/>
                <w:i/>
                <w:sz w:val="18"/>
                <w:szCs w:val="18"/>
              </w:rPr>
              <w:t xml:space="preserve"> en un radio de 80 kilómetros a cada lado de la frontera común</w:t>
            </w:r>
            <w:r>
              <w:rPr>
                <w:rFonts w:ascii="ITC Avant Garde" w:hAnsi="ITC Avant Garde" w:cs="Arial"/>
                <w:i/>
                <w:sz w:val="18"/>
                <w:szCs w:val="18"/>
              </w:rPr>
              <w:t xml:space="preserve"> …</w:t>
            </w:r>
          </w:p>
          <w:p w14:paraId="5B44EB91" w14:textId="77777777" w:rsidR="00A21E14" w:rsidRDefault="00A21E14" w:rsidP="00A21E14">
            <w:pPr>
              <w:spacing w:line="276" w:lineRule="auto"/>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 completo:</w:t>
            </w:r>
          </w:p>
          <w:p w14:paraId="4A1D6089" w14:textId="7E0DF2B0" w:rsidR="00A21E14" w:rsidRDefault="0009589C" w:rsidP="00A21E14">
            <w:pPr>
              <w:spacing w:line="276" w:lineRule="auto"/>
              <w:jc w:val="both"/>
              <w:rPr>
                <w:rFonts w:ascii="ITC Avant Garde" w:hAnsi="ITC Avant Garde" w:cs="Arial"/>
                <w:i/>
                <w:sz w:val="18"/>
                <w:szCs w:val="18"/>
              </w:rPr>
            </w:pPr>
            <w:hyperlink r:id="rId15" w:history="1">
              <w:r w:rsidR="00A21E14" w:rsidRPr="00700290">
                <w:rPr>
                  <w:rStyle w:val="Hipervnculo"/>
                  <w:rFonts w:ascii="ITC Avant Garde" w:hAnsi="ITC Avant Garde"/>
                  <w:sz w:val="18"/>
                  <w:szCs w:val="18"/>
                </w:rPr>
                <w:t>http://www.ift.org.mx/sites/default/files/industria/temasrelevantes/consultaspublicas/documentos/comentariossihisprintlicitacionift-7-pdf.pdf</w:t>
              </w:r>
            </w:hyperlink>
          </w:p>
        </w:tc>
        <w:tc>
          <w:tcPr>
            <w:tcW w:w="1992" w:type="pct"/>
            <w:shd w:val="clear" w:color="auto" w:fill="FFFFFF" w:themeFill="background1"/>
          </w:tcPr>
          <w:p w14:paraId="21CA9837" w14:textId="7E86808D" w:rsidR="00A21E14" w:rsidRPr="008D329E" w:rsidRDefault="006F15C5" w:rsidP="00A21E14">
            <w:pPr>
              <w:spacing w:line="276" w:lineRule="auto"/>
              <w:jc w:val="both"/>
              <w:rPr>
                <w:rFonts w:ascii="ITC Avant Garde" w:hAnsi="ITC Avant Garde"/>
                <w:sz w:val="18"/>
                <w:szCs w:val="18"/>
              </w:rPr>
            </w:pPr>
            <w:r>
              <w:rPr>
                <w:rFonts w:ascii="ITC Avant Garde" w:hAnsi="ITC Avant Garde"/>
                <w:sz w:val="18"/>
                <w:szCs w:val="18"/>
              </w:rPr>
              <w:lastRenderedPageBreak/>
              <w:t>Con</w:t>
            </w:r>
            <w:r w:rsidR="00A21E14">
              <w:rPr>
                <w:rFonts w:ascii="ITC Avant Garde" w:hAnsi="ITC Avant Garde"/>
                <w:sz w:val="18"/>
                <w:szCs w:val="18"/>
              </w:rPr>
              <w:t xml:space="preserve"> relación al comentario de </w:t>
            </w:r>
            <w:r w:rsidR="00A21E14" w:rsidRPr="00B33557">
              <w:rPr>
                <w:rFonts w:ascii="ITC Avant Garde" w:hAnsi="ITC Avant Garde"/>
                <w:b/>
                <w:sz w:val="18"/>
                <w:szCs w:val="18"/>
              </w:rPr>
              <w:t>SIHI México, S. de R.L. de C.V.</w:t>
            </w:r>
            <w:r w:rsidR="00A21E14">
              <w:rPr>
                <w:rFonts w:ascii="ITC Avant Garde" w:hAnsi="ITC Avant Garde"/>
                <w:sz w:val="18"/>
                <w:szCs w:val="18"/>
              </w:rPr>
              <w:t xml:space="preserve"> relativo </w:t>
            </w:r>
            <w:r w:rsidR="00A21E14" w:rsidRPr="00D6078C">
              <w:rPr>
                <w:rFonts w:ascii="ITC Avant Garde" w:hAnsi="ITC Avant Garde"/>
                <w:sz w:val="18"/>
              </w:rPr>
              <w:t xml:space="preserve">a la adopción de reglas </w:t>
            </w:r>
            <w:r w:rsidR="00A21E14" w:rsidRPr="00191B18">
              <w:rPr>
                <w:rFonts w:ascii="ITC Avant Garde" w:hAnsi="ITC Avant Garde"/>
                <w:sz w:val="18"/>
              </w:rPr>
              <w:t>técnicas y requisitos</w:t>
            </w:r>
            <w:r w:rsidR="00A21E14" w:rsidRPr="00191B18">
              <w:rPr>
                <w:rFonts w:ascii="ITC Avant Garde" w:hAnsi="ITC Avant Garde"/>
                <w:sz w:val="18"/>
                <w:szCs w:val="18"/>
              </w:rPr>
              <w:t>, que informe a potenciales concesionarios de la banda 2.5 GHz de</w:t>
            </w:r>
            <w:r w:rsidR="00A21E14" w:rsidRPr="00191B18">
              <w:rPr>
                <w:rFonts w:ascii="ITC Avant Garde" w:hAnsi="ITC Avant Garde"/>
                <w:sz w:val="18"/>
              </w:rPr>
              <w:t xml:space="preserve"> riesgos de interferencias perjudiciales</w:t>
            </w:r>
            <w:r w:rsidR="00A21E14" w:rsidRPr="00191B18">
              <w:rPr>
                <w:rFonts w:ascii="ITC Avant Garde" w:hAnsi="ITC Avant Garde"/>
                <w:sz w:val="18"/>
                <w:szCs w:val="18"/>
              </w:rPr>
              <w:t xml:space="preserve"> y establezca en las respectivas concesiones la obligación de prevenir interferencias perjudiciales en las operaciones pre-existentes y coordinar el uso a lo largo de la zona fronteriza entre EE. UU. y México, se</w:t>
            </w:r>
            <w:r w:rsidR="00A21E14">
              <w:rPr>
                <w:rFonts w:ascii="ITC Avant Garde" w:hAnsi="ITC Avant Garde"/>
                <w:sz w:val="18"/>
                <w:szCs w:val="18"/>
              </w:rPr>
              <w:t xml:space="preserve"> informa que respecto a la </w:t>
            </w:r>
            <w:r w:rsidR="00A21E14" w:rsidRPr="008D329E">
              <w:rPr>
                <w:rFonts w:ascii="ITC Avant Garde" w:hAnsi="ITC Avant Garde"/>
                <w:sz w:val="18"/>
                <w:szCs w:val="18"/>
              </w:rPr>
              <w:t xml:space="preserve">utilización de las </w:t>
            </w:r>
            <w:r w:rsidR="00A21E14">
              <w:rPr>
                <w:rFonts w:ascii="ITC Avant Garde" w:hAnsi="ITC Avant Garde"/>
                <w:sz w:val="18"/>
                <w:szCs w:val="18"/>
              </w:rPr>
              <w:t xml:space="preserve">bandas de frecuencias objeto del Anteproyecto </w:t>
            </w:r>
            <w:r w:rsidR="00A21E14" w:rsidRPr="008D329E">
              <w:rPr>
                <w:rFonts w:ascii="ITC Avant Garde" w:hAnsi="ITC Avant Garde"/>
                <w:sz w:val="18"/>
                <w:szCs w:val="18"/>
              </w:rPr>
              <w:lastRenderedPageBreak/>
              <w:t xml:space="preserve">debe sujetarse a lo establecido en el </w:t>
            </w:r>
            <w:r w:rsidR="00A21E14">
              <w:t xml:space="preserve"> “</w:t>
            </w:r>
            <w:r w:rsidR="00A21E14" w:rsidRPr="00677488">
              <w:rPr>
                <w:rFonts w:ascii="ITC Avant Garde" w:hAnsi="ITC Avant Garde"/>
                <w:i/>
                <w:sz w:val="18"/>
                <w:szCs w:val="18"/>
              </w:rPr>
              <w:t>Acuerdo entre el Gobierno de los Estados Unidos Mexicanos y el Gobierno de los Estados</w:t>
            </w:r>
            <w:r w:rsidR="00A21E14" w:rsidRPr="00A21E14">
              <w:rPr>
                <w:rFonts w:ascii="ITC Avant Garde" w:hAnsi="ITC Avant Garde"/>
                <w:i/>
                <w:sz w:val="18"/>
                <w:szCs w:val="18"/>
              </w:rPr>
              <w:t xml:space="preserve"> </w:t>
            </w:r>
            <w:r w:rsidR="00A21E14" w:rsidRPr="00677488">
              <w:rPr>
                <w:rFonts w:ascii="ITC Avant Garde" w:hAnsi="ITC Avant Garde"/>
                <w:i/>
                <w:sz w:val="18"/>
                <w:szCs w:val="18"/>
              </w:rPr>
              <w:t xml:space="preserve">Unidos de América concerniente a la asignación de frecuencias y uso de la banda de 2500 a 2686 MHz a lo largo de la frontera México-Estados Unidos” </w:t>
            </w:r>
            <w:r w:rsidR="00A21E14" w:rsidRPr="009E7892">
              <w:rPr>
                <w:rFonts w:ascii="ITC Avant Garde" w:hAnsi="ITC Avant Garde"/>
                <w:i/>
                <w:sz w:val="18"/>
                <w:szCs w:val="18"/>
              </w:rPr>
              <w:t xml:space="preserve">firmado en la Ciudad de Querétaro, Querétaro el 11 de agosto de 1992 y su modificación, formalizada mediante Canje de Notas fechadas en la ciudad de Washington, D.C., el 1° y 23 de octubre de 1998” </w:t>
            </w:r>
            <w:r w:rsidR="00A21E14">
              <w:rPr>
                <w:rFonts w:ascii="ITC Avant Garde" w:hAnsi="ITC Avant Garde"/>
                <w:sz w:val="18"/>
                <w:szCs w:val="18"/>
              </w:rPr>
              <w:t>(Protocolo)</w:t>
            </w:r>
            <w:r w:rsidR="009E7892">
              <w:rPr>
                <w:rFonts w:ascii="ITC Avant Garde" w:hAnsi="ITC Avant Garde"/>
                <w:sz w:val="18"/>
                <w:szCs w:val="18"/>
              </w:rPr>
              <w:t>. Dicho documento</w:t>
            </w:r>
            <w:r w:rsidR="00A21E14" w:rsidRPr="008D329E">
              <w:rPr>
                <w:rFonts w:ascii="ITC Avant Garde" w:hAnsi="ITC Avant Garde"/>
                <w:sz w:val="18"/>
                <w:szCs w:val="18"/>
              </w:rPr>
              <w:t xml:space="preserve"> rige la utilización de las bandas de frecuencias dentro de una franja de 80 km a cada lado de la frontera común de ambos países para la prestación de los servicios de distribución punto a multipunto, sin que este instrumento contenga actualmente condiciones</w:t>
            </w:r>
            <w:r w:rsidR="00A21E14">
              <w:rPr>
                <w:rFonts w:ascii="ITC Avant Garde" w:hAnsi="ITC Avant Garde"/>
                <w:sz w:val="18"/>
                <w:szCs w:val="18"/>
              </w:rPr>
              <w:t xml:space="preserve"> aplicables a los servicios de acceso i</w:t>
            </w:r>
            <w:r w:rsidR="00A21E14" w:rsidRPr="008D329E">
              <w:rPr>
                <w:rFonts w:ascii="ITC Avant Garde" w:hAnsi="ITC Avant Garde"/>
                <w:sz w:val="18"/>
                <w:szCs w:val="18"/>
              </w:rPr>
              <w:t>nalámbrico.</w:t>
            </w:r>
          </w:p>
          <w:p w14:paraId="640D425B" w14:textId="686C0B3B" w:rsidR="00A21E14" w:rsidRDefault="00A21E14" w:rsidP="006F15C5">
            <w:pPr>
              <w:spacing w:line="276" w:lineRule="auto"/>
              <w:jc w:val="both"/>
              <w:rPr>
                <w:rFonts w:ascii="ITC Avant Garde" w:hAnsi="ITC Avant Garde"/>
                <w:sz w:val="18"/>
                <w:szCs w:val="18"/>
              </w:rPr>
            </w:pPr>
            <w:r w:rsidRPr="008D329E">
              <w:rPr>
                <w:rFonts w:ascii="ITC Avant Garde" w:hAnsi="ITC Avant Garde"/>
                <w:sz w:val="18"/>
                <w:szCs w:val="18"/>
              </w:rPr>
              <w:t xml:space="preserve">En tanto no existan condiciones aplicables a la prestación de servicios de </w:t>
            </w:r>
            <w:r w:rsidR="009E7892">
              <w:rPr>
                <w:rFonts w:ascii="ITC Avant Garde" w:hAnsi="ITC Avant Garde"/>
                <w:sz w:val="18"/>
                <w:szCs w:val="18"/>
              </w:rPr>
              <w:t>a</w:t>
            </w:r>
            <w:r w:rsidRPr="008D329E">
              <w:rPr>
                <w:rFonts w:ascii="ITC Avant Garde" w:hAnsi="ITC Avant Garde"/>
                <w:sz w:val="18"/>
                <w:szCs w:val="18"/>
              </w:rPr>
              <w:t xml:space="preserve">cceso </w:t>
            </w:r>
            <w:r w:rsidR="009E7892">
              <w:rPr>
                <w:rFonts w:ascii="ITC Avant Garde" w:hAnsi="ITC Avant Garde"/>
                <w:sz w:val="18"/>
                <w:szCs w:val="18"/>
              </w:rPr>
              <w:t>i</w:t>
            </w:r>
            <w:r w:rsidRPr="008D329E">
              <w:rPr>
                <w:rFonts w:ascii="ITC Avant Garde" w:hAnsi="ITC Avant Garde"/>
                <w:sz w:val="18"/>
                <w:szCs w:val="18"/>
              </w:rPr>
              <w:t>nalámbrico, con la finalidad de facilitar el despliegue de los mismos y</w:t>
            </w:r>
            <w:r w:rsidR="009E7892">
              <w:rPr>
                <w:rFonts w:ascii="ITC Avant Garde" w:hAnsi="ITC Avant Garde"/>
                <w:sz w:val="18"/>
                <w:szCs w:val="18"/>
              </w:rPr>
              <w:t>,</w:t>
            </w:r>
            <w:r w:rsidRPr="008D329E">
              <w:rPr>
                <w:rFonts w:ascii="ITC Avant Garde" w:hAnsi="ITC Avant Garde"/>
                <w:sz w:val="18"/>
                <w:szCs w:val="18"/>
              </w:rPr>
              <w:t xml:space="preserve"> sin menoscabo de lo establecido en el Protocolo, </w:t>
            </w:r>
            <w:r>
              <w:rPr>
                <w:rFonts w:ascii="ITC Avant Garde" w:hAnsi="ITC Avant Garde"/>
                <w:sz w:val="18"/>
                <w:szCs w:val="18"/>
              </w:rPr>
              <w:t>será necesario que el concesionario potencial</w:t>
            </w:r>
            <w:r w:rsidRPr="008D329E">
              <w:rPr>
                <w:rFonts w:ascii="ITC Avant Garde" w:hAnsi="ITC Avant Garde"/>
                <w:sz w:val="18"/>
                <w:szCs w:val="18"/>
              </w:rPr>
              <w:t xml:space="preserve"> establezca</w:t>
            </w:r>
            <w:r w:rsidR="00677488" w:rsidRPr="008D329E">
              <w:rPr>
                <w:rFonts w:ascii="ITC Avant Garde" w:hAnsi="ITC Avant Garde"/>
                <w:sz w:val="18"/>
                <w:szCs w:val="18"/>
              </w:rPr>
              <w:t xml:space="preserve"> acuerdos de coordinación técnica con los operadores de los Estados Unidos de América y, en su caso, de otros países, que operen redes en la banda de 2500-2690 MHz o en partes de la misma, en zonas colindantes, con la finalidad de asegurar el funcionamiento compatible y libre de interferencias perjudiciales de las respectivas redes de los</w:t>
            </w:r>
            <w:r w:rsidR="00677488">
              <w:rPr>
                <w:rFonts w:ascii="ITC Avant Garde" w:hAnsi="ITC Avant Garde"/>
                <w:sz w:val="18"/>
                <w:szCs w:val="18"/>
              </w:rPr>
              <w:t xml:space="preserve"> países colindantes con México</w:t>
            </w:r>
            <w:r w:rsidR="00F96A8E">
              <w:rPr>
                <w:rFonts w:ascii="ITC Avant Garde" w:hAnsi="ITC Avant Garde"/>
                <w:sz w:val="18"/>
                <w:szCs w:val="18"/>
              </w:rPr>
              <w:t>.</w:t>
            </w:r>
          </w:p>
        </w:tc>
      </w:tr>
      <w:tr w:rsidR="00A450DF" w:rsidRPr="00637136" w14:paraId="645FC38D" w14:textId="77777777" w:rsidTr="009155A1">
        <w:trPr>
          <w:trHeight w:val="290"/>
          <w:tblHeader/>
        </w:trPr>
        <w:tc>
          <w:tcPr>
            <w:tcW w:w="472" w:type="pct"/>
          </w:tcPr>
          <w:p w14:paraId="0179E79A" w14:textId="45EA5B92" w:rsidR="00A450DF" w:rsidRDefault="00A450DF" w:rsidP="00D407F2">
            <w:pPr>
              <w:spacing w:after="0" w:line="276" w:lineRule="auto"/>
              <w:rPr>
                <w:rFonts w:ascii="ITC Avant Garde" w:hAnsi="ITC Avant Garde" w:cs="Arial"/>
                <w:b/>
                <w:sz w:val="18"/>
                <w:szCs w:val="18"/>
              </w:rPr>
            </w:pPr>
            <w:r w:rsidRPr="000D79BE">
              <w:rPr>
                <w:rFonts w:ascii="ITC Avant Garde" w:hAnsi="ITC Avant Garde" w:cs="Arial"/>
                <w:b/>
                <w:sz w:val="18"/>
                <w:szCs w:val="18"/>
              </w:rPr>
              <w:lastRenderedPageBreak/>
              <w:t xml:space="preserve">Pegaso PCS, S.A. </w:t>
            </w:r>
            <w:r>
              <w:rPr>
                <w:rFonts w:ascii="ITC Avant Garde" w:hAnsi="ITC Avant Garde" w:cs="Arial"/>
                <w:b/>
                <w:sz w:val="18"/>
                <w:szCs w:val="18"/>
              </w:rPr>
              <w:t>de</w:t>
            </w:r>
            <w:r w:rsidRPr="000D79BE">
              <w:rPr>
                <w:rFonts w:ascii="ITC Avant Garde" w:hAnsi="ITC Avant Garde" w:cs="Arial"/>
                <w:b/>
                <w:sz w:val="18"/>
                <w:szCs w:val="18"/>
              </w:rPr>
              <w:t xml:space="preserve"> C.V.</w:t>
            </w:r>
          </w:p>
        </w:tc>
        <w:tc>
          <w:tcPr>
            <w:tcW w:w="570" w:type="pct"/>
            <w:shd w:val="clear" w:color="auto" w:fill="auto"/>
            <w:vAlign w:val="center"/>
          </w:tcPr>
          <w:p w14:paraId="3CB6BE1C" w14:textId="77777777" w:rsidR="00A450DF" w:rsidRPr="00637136" w:rsidRDefault="00A450DF" w:rsidP="00D407F2">
            <w:pPr>
              <w:spacing w:after="0" w:line="276" w:lineRule="auto"/>
              <w:jc w:val="both"/>
              <w:rPr>
                <w:rFonts w:ascii="ITC Avant Garde" w:eastAsia="Times New Roman" w:hAnsi="ITC Avant Garde"/>
                <w:color w:val="000000" w:themeColor="text1"/>
                <w:sz w:val="18"/>
                <w:szCs w:val="18"/>
                <w:lang w:eastAsia="es-MX"/>
              </w:rPr>
            </w:pPr>
          </w:p>
        </w:tc>
        <w:tc>
          <w:tcPr>
            <w:tcW w:w="1966" w:type="pct"/>
            <w:shd w:val="clear" w:color="auto" w:fill="auto"/>
          </w:tcPr>
          <w:p w14:paraId="3B1A884B" w14:textId="77777777" w:rsidR="00A450DF" w:rsidRPr="002A4BDC" w:rsidRDefault="00A450DF" w:rsidP="00A450DF">
            <w:pPr>
              <w:spacing w:line="276" w:lineRule="auto"/>
              <w:jc w:val="both"/>
              <w:rPr>
                <w:rFonts w:ascii="ITC Avant Garde" w:hAnsi="ITC Avant Garde"/>
                <w:i/>
                <w:sz w:val="18"/>
                <w:szCs w:val="18"/>
              </w:rPr>
            </w:pPr>
            <w:r w:rsidRPr="002A4BDC">
              <w:rPr>
                <w:rFonts w:ascii="ITC Avant Garde" w:hAnsi="ITC Avant Garde"/>
                <w:i/>
                <w:sz w:val="18"/>
                <w:szCs w:val="18"/>
              </w:rPr>
              <w:t xml:space="preserve">…1. Telefónica México considera que no es posible avanzar en una subasta hasta no tener certidumbre en temas relevantes para la industria como son: </w:t>
            </w:r>
          </w:p>
          <w:p w14:paraId="03EB7EF0" w14:textId="77777777" w:rsidR="00A450DF" w:rsidRPr="002A4BDC" w:rsidRDefault="00A450DF" w:rsidP="00A450DF">
            <w:pPr>
              <w:spacing w:line="276" w:lineRule="auto"/>
              <w:jc w:val="both"/>
              <w:rPr>
                <w:rFonts w:ascii="ITC Avant Garde" w:hAnsi="ITC Avant Garde"/>
                <w:i/>
                <w:sz w:val="18"/>
                <w:szCs w:val="18"/>
              </w:rPr>
            </w:pPr>
            <w:r w:rsidRPr="002A4BDC">
              <w:rPr>
                <w:rFonts w:ascii="ITC Avant Garde" w:hAnsi="ITC Avant Garde"/>
                <w:i/>
                <w:sz w:val="18"/>
                <w:szCs w:val="18"/>
              </w:rPr>
              <w:t xml:space="preserve">a. </w:t>
            </w:r>
            <w:r w:rsidRPr="00C85801">
              <w:rPr>
                <w:rFonts w:ascii="ITC Avant Garde" w:hAnsi="ITC Avant Garde"/>
                <w:i/>
                <w:sz w:val="18"/>
                <w:szCs w:val="18"/>
              </w:rPr>
              <w:t>El monto de los derechos anuales que deberá cubrirse por el uso de la banda</w:t>
            </w:r>
            <w:r w:rsidRPr="002A4BDC">
              <w:rPr>
                <w:rFonts w:ascii="ITC Avant Garde" w:hAnsi="ITC Avant Garde"/>
                <w:i/>
                <w:sz w:val="18"/>
                <w:szCs w:val="18"/>
              </w:rPr>
              <w:t>, de conformidad con las recientes recomendaciones de la OCDE al estado mexicano.</w:t>
            </w:r>
          </w:p>
          <w:p w14:paraId="7C7180EB" w14:textId="77777777" w:rsidR="00A450DF" w:rsidRPr="002A4BDC" w:rsidRDefault="00A450DF" w:rsidP="00A450DF">
            <w:pPr>
              <w:spacing w:line="276" w:lineRule="auto"/>
              <w:jc w:val="both"/>
              <w:rPr>
                <w:rFonts w:ascii="ITC Avant Garde" w:hAnsi="ITC Avant Garde"/>
                <w:i/>
                <w:sz w:val="18"/>
                <w:szCs w:val="18"/>
              </w:rPr>
            </w:pPr>
            <w:r w:rsidRPr="002A4BDC">
              <w:rPr>
                <w:rFonts w:ascii="ITC Avant Garde" w:hAnsi="ITC Avant Garde"/>
                <w:i/>
                <w:sz w:val="18"/>
                <w:szCs w:val="18"/>
              </w:rPr>
              <w:t xml:space="preserve">b. La </w:t>
            </w:r>
            <w:r w:rsidRPr="00C85801">
              <w:rPr>
                <w:rFonts w:ascii="ITC Avant Garde" w:hAnsi="ITC Avant Garde"/>
                <w:i/>
                <w:sz w:val="18"/>
                <w:szCs w:val="18"/>
              </w:rPr>
              <w:t>definición de tarifas de interconexión que aplicarán tanto a los operadores alternativos, como al Agente Económico Preponderante a partir del 1º de enero de 2018.</w:t>
            </w:r>
            <w:r w:rsidRPr="002A4BDC">
              <w:rPr>
                <w:rFonts w:ascii="ITC Avant Garde" w:hAnsi="ITC Avant Garde"/>
                <w:i/>
                <w:sz w:val="18"/>
                <w:szCs w:val="18"/>
              </w:rPr>
              <w:t xml:space="preserve"> Debido a la incertidumbre que puede ocasionarse debido a lo anterior, es necesario que se revise la fecha de presentación de la garantía de seriedad, ya que esta no debería de ocurrir en una fecha previa a tener pleno conocimiento que tanto el IFT como el Congreso de la Unión tomen respecto de los aspectos antes mencionados y así poder generar las proyecciones de flujos de caja para poder realizar una valoración de espectro. </w:t>
            </w:r>
          </w:p>
          <w:p w14:paraId="296BBF5E" w14:textId="77777777" w:rsidR="00A450DF" w:rsidRPr="002A4BDC" w:rsidRDefault="00A450DF" w:rsidP="00A450DF">
            <w:pPr>
              <w:spacing w:line="276" w:lineRule="auto"/>
              <w:jc w:val="both"/>
              <w:rPr>
                <w:rFonts w:ascii="ITC Avant Garde" w:hAnsi="ITC Avant Garde"/>
                <w:i/>
                <w:sz w:val="18"/>
                <w:szCs w:val="18"/>
              </w:rPr>
            </w:pPr>
            <w:r w:rsidRPr="000E16F4">
              <w:rPr>
                <w:rFonts w:ascii="ITC Avant Garde" w:hAnsi="ITC Avant Garde"/>
                <w:i/>
                <w:sz w:val="18"/>
                <w:szCs w:val="18"/>
              </w:rPr>
              <w:t>2. Telefónica México, con información de varias consultoras expertas en la materia, considera que</w:t>
            </w:r>
            <w:r w:rsidRPr="002A4BDC">
              <w:rPr>
                <w:rFonts w:ascii="ITC Avant Garde" w:hAnsi="ITC Avant Garde"/>
                <w:i/>
                <w:sz w:val="18"/>
                <w:szCs w:val="18"/>
              </w:rPr>
              <w:t xml:space="preserve"> ésta </w:t>
            </w:r>
            <w:r w:rsidRPr="00C85801">
              <w:rPr>
                <w:rFonts w:ascii="ITC Avant Garde" w:hAnsi="ITC Avant Garde"/>
                <w:i/>
                <w:sz w:val="18"/>
                <w:szCs w:val="18"/>
              </w:rPr>
              <w:t>sería una de las licitaciones más caras del mundo -si se toma en cuenta el pago del guante y de los derechos anuales asociados</w:t>
            </w:r>
            <w:r w:rsidRPr="002A4BDC">
              <w:rPr>
                <w:rFonts w:ascii="ITC Avant Garde" w:hAnsi="ITC Avant Garde"/>
                <w:i/>
                <w:sz w:val="18"/>
                <w:szCs w:val="18"/>
              </w:rPr>
              <w:t xml:space="preserve">- y se alejaría de los objetivos constitucionales de promover un mercado competitivo en el sector de las telecomunicaciones. </w:t>
            </w:r>
          </w:p>
          <w:p w14:paraId="259946B3" w14:textId="77777777" w:rsidR="00A450DF" w:rsidRPr="002A4BDC" w:rsidRDefault="00A450DF" w:rsidP="00A450DF">
            <w:pPr>
              <w:spacing w:line="276" w:lineRule="auto"/>
              <w:jc w:val="both"/>
              <w:rPr>
                <w:rFonts w:ascii="ITC Avant Garde" w:hAnsi="ITC Avant Garde"/>
                <w:i/>
                <w:sz w:val="18"/>
                <w:szCs w:val="18"/>
              </w:rPr>
            </w:pPr>
            <w:r w:rsidRPr="002B5A32">
              <w:rPr>
                <w:rFonts w:ascii="ITC Avant Garde" w:hAnsi="ITC Avant Garde"/>
                <w:i/>
                <w:sz w:val="18"/>
                <w:szCs w:val="18"/>
              </w:rPr>
              <w:t xml:space="preserve">3. Se solicita considerar la utilización de un </w:t>
            </w:r>
            <w:r w:rsidRPr="00A83964">
              <w:rPr>
                <w:rFonts w:ascii="ITC Avant Garde" w:hAnsi="ITC Avant Garde"/>
                <w:i/>
                <w:sz w:val="18"/>
                <w:szCs w:val="18"/>
              </w:rPr>
              <w:t>formato de subasta SMRA</w:t>
            </w:r>
            <w:r w:rsidRPr="002B5A32">
              <w:rPr>
                <w:rFonts w:ascii="ITC Avant Garde" w:hAnsi="ITC Avant Garde"/>
                <w:i/>
                <w:sz w:val="18"/>
                <w:szCs w:val="18"/>
              </w:rPr>
              <w:t xml:space="preserve">, el cual ya ha sido utilizado en México para otras licitaciones </w:t>
            </w:r>
            <w:r w:rsidRPr="002B5A32">
              <w:rPr>
                <w:rFonts w:ascii="ITC Avant Garde" w:hAnsi="ITC Avant Garde"/>
                <w:i/>
                <w:sz w:val="18"/>
                <w:szCs w:val="18"/>
              </w:rPr>
              <w:lastRenderedPageBreak/>
              <w:t>y, podría resultar más eficiente, al permitir diferenciar las</w:t>
            </w:r>
            <w:r w:rsidRPr="002A4BDC">
              <w:rPr>
                <w:rFonts w:ascii="ITC Avant Garde" w:hAnsi="ITC Avant Garde"/>
                <w:i/>
                <w:sz w:val="18"/>
                <w:szCs w:val="18"/>
              </w:rPr>
              <w:t xml:space="preserve"> dos bandas subastadas, FDD y TDD, diferenciando los bloques según la banda, pero manteniendo su carácter genérico dentro de cada banda. </w:t>
            </w:r>
          </w:p>
          <w:p w14:paraId="33DD07A3" w14:textId="77777777" w:rsidR="00A450DF" w:rsidRDefault="00A450DF" w:rsidP="00A450DF">
            <w:pPr>
              <w:spacing w:line="276" w:lineRule="auto"/>
              <w:jc w:val="both"/>
              <w:rPr>
                <w:rFonts w:ascii="ITC Avant Garde" w:hAnsi="ITC Avant Garde"/>
                <w:i/>
                <w:sz w:val="18"/>
                <w:szCs w:val="18"/>
              </w:rPr>
            </w:pPr>
            <w:r w:rsidRPr="002B5A32">
              <w:rPr>
                <w:rFonts w:ascii="ITC Avant Garde" w:hAnsi="ITC Avant Garde"/>
                <w:i/>
                <w:sz w:val="18"/>
                <w:szCs w:val="18"/>
              </w:rPr>
              <w:t xml:space="preserve">4. En la medición de tenencia de espectro, </w:t>
            </w:r>
            <w:r w:rsidRPr="00C85801">
              <w:rPr>
                <w:rFonts w:ascii="ITC Avant Garde" w:hAnsi="ITC Avant Garde"/>
                <w:i/>
                <w:sz w:val="18"/>
                <w:szCs w:val="18"/>
              </w:rPr>
              <w:t>no se puede incluir la tenencia de la banda de 700 MHz asignada a la Red Compartida Mayorista,</w:t>
            </w:r>
            <w:r w:rsidRPr="002B5A32">
              <w:rPr>
                <w:rFonts w:ascii="ITC Avant Garde" w:hAnsi="ITC Avant Garde"/>
                <w:i/>
                <w:sz w:val="18"/>
                <w:szCs w:val="18"/>
              </w:rPr>
              <w:t xml:space="preserve"> pues por mandato constitucional esa red presta servicios a todos los operadores, incluido al Agente Económico Preponderante (en lo sucesivo el “AEP”). Por lo anterior, no se le puede permitir al AEP participar en ninguna fase de la licitación pues ganaría más del 40% del espectro disponible en las ciudades más importantes del país convirtiéndose en una amenaza para la competencia. </w:t>
            </w:r>
          </w:p>
          <w:p w14:paraId="4D05E2CF" w14:textId="7CC88681" w:rsidR="00A450DF" w:rsidRPr="002A4BDC" w:rsidRDefault="00A450DF" w:rsidP="00A450DF">
            <w:pPr>
              <w:spacing w:line="276" w:lineRule="auto"/>
              <w:jc w:val="both"/>
              <w:rPr>
                <w:rFonts w:ascii="ITC Avant Garde" w:hAnsi="ITC Avant Garde"/>
                <w:i/>
                <w:sz w:val="18"/>
                <w:szCs w:val="18"/>
              </w:rPr>
            </w:pPr>
            <w:r w:rsidRPr="002B5A32">
              <w:rPr>
                <w:rFonts w:ascii="ITC Avant Garde" w:hAnsi="ITC Avant Garde"/>
                <w:i/>
                <w:sz w:val="18"/>
                <w:szCs w:val="18"/>
              </w:rPr>
              <w:t xml:space="preserve">5. Recomendamos que </w:t>
            </w:r>
            <w:r w:rsidRPr="00BE5FD2">
              <w:rPr>
                <w:rFonts w:ascii="ITC Avant Garde" w:hAnsi="ITC Avant Garde"/>
                <w:i/>
                <w:sz w:val="18"/>
                <w:szCs w:val="18"/>
              </w:rPr>
              <w:t>la estructura de los derechos anuales para el espectro móvil cambie, en línea con las recomendaciones de la OCDE para México</w:t>
            </w:r>
            <w:r w:rsidRPr="002A4BDC">
              <w:rPr>
                <w:rFonts w:ascii="ITC Avant Garde" w:hAnsi="ITC Avant Garde"/>
                <w:i/>
                <w:sz w:val="18"/>
                <w:szCs w:val="18"/>
              </w:rPr>
              <w:t xml:space="preserve">, a fin de que éstos sólo sean fijados para cubrir los costos administrativos asociados a su concesionamiento. En este sentido se propone que los derechos anuales para el espectro de 2.5 GHz sean equivalentes a los actualmente se aplican para la banda de 700 MHz. </w:t>
            </w:r>
          </w:p>
          <w:p w14:paraId="75DB0639" w14:textId="77777777" w:rsidR="00A450DF" w:rsidRPr="003C26C9" w:rsidRDefault="00A450DF" w:rsidP="00A450DF">
            <w:pPr>
              <w:spacing w:line="276" w:lineRule="auto"/>
              <w:jc w:val="both"/>
              <w:rPr>
                <w:rFonts w:ascii="ITC Avant Garde" w:hAnsi="ITC Avant Garde"/>
                <w:i/>
                <w:sz w:val="18"/>
                <w:szCs w:val="18"/>
              </w:rPr>
            </w:pPr>
            <w:r w:rsidRPr="003C26C9">
              <w:rPr>
                <w:rFonts w:ascii="ITC Avant Garde" w:hAnsi="ITC Avant Garde"/>
                <w:i/>
                <w:sz w:val="18"/>
                <w:szCs w:val="18"/>
              </w:rPr>
              <w:t xml:space="preserve">6. Recomendamos que </w:t>
            </w:r>
            <w:r w:rsidRPr="00BE5FD2">
              <w:rPr>
                <w:rFonts w:ascii="ITC Avant Garde" w:hAnsi="ITC Avant Garde"/>
                <w:i/>
                <w:sz w:val="18"/>
                <w:szCs w:val="18"/>
              </w:rPr>
              <w:t>el área de cobertura de las concesiones pueda ser reducida por los concesionarios ganadores a sólo las zonas de alta densidad urbana</w:t>
            </w:r>
            <w:r w:rsidRPr="003C26C9">
              <w:rPr>
                <w:rFonts w:ascii="ITC Avant Garde" w:hAnsi="ITC Avant Garde"/>
                <w:i/>
                <w:sz w:val="18"/>
                <w:szCs w:val="18"/>
              </w:rPr>
              <w:t xml:space="preserve"> donde la frecuencia sería eficientemente utilizada o que, en su defecto, los derechos de dicha banda se ajusten a la población ubicada solamente en las </w:t>
            </w:r>
            <w:r w:rsidRPr="003C26C9">
              <w:rPr>
                <w:rFonts w:ascii="ITC Avant Garde" w:hAnsi="ITC Avant Garde"/>
                <w:i/>
                <w:sz w:val="18"/>
                <w:szCs w:val="18"/>
              </w:rPr>
              <w:lastRenderedPageBreak/>
              <w:t xml:space="preserve">ciudades de alta densidad poblacional donde la banda tenga un uso real. </w:t>
            </w:r>
          </w:p>
          <w:p w14:paraId="6E8AAF8A" w14:textId="77777777" w:rsidR="00A450DF" w:rsidRPr="002A4BDC" w:rsidRDefault="00A450DF" w:rsidP="00A450DF">
            <w:pPr>
              <w:spacing w:line="276" w:lineRule="auto"/>
              <w:jc w:val="both"/>
              <w:rPr>
                <w:rFonts w:ascii="ITC Avant Garde" w:hAnsi="ITC Avant Garde"/>
                <w:i/>
                <w:sz w:val="18"/>
                <w:szCs w:val="18"/>
              </w:rPr>
            </w:pPr>
            <w:r w:rsidRPr="003C26C9">
              <w:rPr>
                <w:rFonts w:ascii="ITC Avant Garde" w:hAnsi="ITC Avant Garde"/>
                <w:i/>
                <w:sz w:val="18"/>
                <w:szCs w:val="18"/>
              </w:rPr>
              <w:t xml:space="preserve">7. Recomendamos que </w:t>
            </w:r>
            <w:r w:rsidRPr="00BE5FD2">
              <w:rPr>
                <w:rFonts w:ascii="ITC Avant Garde" w:hAnsi="ITC Avant Garde"/>
                <w:i/>
                <w:sz w:val="18"/>
                <w:szCs w:val="18"/>
              </w:rPr>
              <w:t>las vigencias de las concesiones sean flexibles dependiendo de la resolución final de las bases de licitación</w:t>
            </w:r>
            <w:r w:rsidRPr="003C26C9">
              <w:rPr>
                <w:rFonts w:ascii="ITC Avant Garde" w:hAnsi="ITC Avant Garde"/>
                <w:i/>
                <w:sz w:val="18"/>
                <w:szCs w:val="18"/>
              </w:rPr>
              <w:t xml:space="preserve"> conforme a estos comentarios…</w:t>
            </w:r>
          </w:p>
          <w:p w14:paraId="597D44A1" w14:textId="77777777" w:rsidR="00A450DF" w:rsidRDefault="00A450DF" w:rsidP="00A450DF">
            <w:pPr>
              <w:spacing w:line="276" w:lineRule="auto"/>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 completo:</w:t>
            </w:r>
          </w:p>
          <w:p w14:paraId="043A1ACC" w14:textId="35BECC4D" w:rsidR="00A450DF" w:rsidRPr="002B5A32" w:rsidRDefault="0009589C" w:rsidP="00A450DF">
            <w:pPr>
              <w:spacing w:line="276" w:lineRule="auto"/>
              <w:jc w:val="both"/>
              <w:rPr>
                <w:rFonts w:ascii="ITC Avant Garde" w:hAnsi="ITC Avant Garde"/>
                <w:i/>
                <w:sz w:val="18"/>
                <w:szCs w:val="18"/>
              </w:rPr>
            </w:pPr>
            <w:hyperlink r:id="rId16" w:history="1">
              <w:r w:rsidR="00A450DF" w:rsidRPr="009B58D7">
                <w:rPr>
                  <w:rStyle w:val="Hipervnculo"/>
                  <w:rFonts w:ascii="ITC Avant Garde" w:hAnsi="ITC Avant Garde"/>
                  <w:sz w:val="18"/>
                  <w:szCs w:val="18"/>
                </w:rPr>
                <w:t>http://www.ift.org.mx/sites/default/files/industria/temasrelevantes/consultaspublicas/documentos/opinionpegasopcsconcorreo.pdf</w:t>
              </w:r>
            </w:hyperlink>
          </w:p>
          <w:p w14:paraId="49A816BB" w14:textId="77777777" w:rsidR="00A450DF" w:rsidRPr="002A4BDC" w:rsidRDefault="00A450DF" w:rsidP="00D407F2">
            <w:pPr>
              <w:spacing w:line="276" w:lineRule="auto"/>
              <w:jc w:val="both"/>
              <w:rPr>
                <w:rFonts w:ascii="ITC Avant Garde" w:hAnsi="ITC Avant Garde"/>
                <w:i/>
                <w:sz w:val="18"/>
                <w:szCs w:val="18"/>
              </w:rPr>
            </w:pPr>
          </w:p>
        </w:tc>
        <w:tc>
          <w:tcPr>
            <w:tcW w:w="1992" w:type="pct"/>
            <w:shd w:val="clear" w:color="auto" w:fill="FFFFFF" w:themeFill="background1"/>
          </w:tcPr>
          <w:p w14:paraId="28D7F1D8" w14:textId="35387536" w:rsidR="00A450DF" w:rsidRDefault="00A450DF" w:rsidP="00A450DF">
            <w:pPr>
              <w:spacing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Pr>
                <w:rFonts w:ascii="ITC Avant Garde" w:hAnsi="ITC Avant Garde"/>
                <w:b/>
                <w:sz w:val="18"/>
                <w:szCs w:val="18"/>
              </w:rPr>
              <w:t>Pegaso PCS, S.A. de C.V.</w:t>
            </w:r>
            <w:r>
              <w:rPr>
                <w:rFonts w:ascii="ITC Avant Garde" w:hAnsi="ITC Avant Garde"/>
                <w:sz w:val="18"/>
                <w:szCs w:val="18"/>
              </w:rPr>
              <w:t xml:space="preserve"> relativo al </w:t>
            </w:r>
            <w:r w:rsidRPr="00C85801">
              <w:rPr>
                <w:rFonts w:ascii="ITC Avant Garde" w:hAnsi="ITC Avant Garde"/>
                <w:sz w:val="18"/>
                <w:szCs w:val="18"/>
              </w:rPr>
              <w:t>monto de los derechos anuales a cubrirse por el uso de la banda</w:t>
            </w:r>
            <w:r>
              <w:rPr>
                <w:rFonts w:ascii="ITC Avant Garde" w:hAnsi="ITC Avant Garde"/>
                <w:sz w:val="18"/>
                <w:szCs w:val="18"/>
              </w:rPr>
              <w:t>, no se emite manifestación alguna por no corresponder a los documentos sometidos a opinión pública.</w:t>
            </w:r>
          </w:p>
          <w:p w14:paraId="5063389D" w14:textId="49E20538" w:rsidR="00A450DF" w:rsidRDefault="006F15C5" w:rsidP="00A450DF">
            <w:pPr>
              <w:spacing w:line="276" w:lineRule="auto"/>
              <w:jc w:val="both"/>
              <w:rPr>
                <w:rFonts w:ascii="ITC Avant Garde" w:hAnsi="ITC Avant Garde"/>
                <w:sz w:val="18"/>
                <w:szCs w:val="18"/>
              </w:rPr>
            </w:pPr>
            <w:r>
              <w:rPr>
                <w:rFonts w:ascii="ITC Avant Garde" w:hAnsi="ITC Avant Garde"/>
                <w:sz w:val="18"/>
                <w:szCs w:val="18"/>
              </w:rPr>
              <w:t>En</w:t>
            </w:r>
            <w:r w:rsidR="00A450DF">
              <w:rPr>
                <w:rFonts w:ascii="ITC Avant Garde" w:hAnsi="ITC Avant Garde"/>
                <w:sz w:val="18"/>
                <w:szCs w:val="18"/>
              </w:rPr>
              <w:t xml:space="preserve"> relación al comentario de </w:t>
            </w:r>
            <w:r w:rsidR="00A450DF">
              <w:rPr>
                <w:rFonts w:ascii="ITC Avant Garde" w:hAnsi="ITC Avant Garde"/>
                <w:b/>
                <w:sz w:val="18"/>
                <w:szCs w:val="18"/>
              </w:rPr>
              <w:t>Pegaso PCS, S.A. de C.V.</w:t>
            </w:r>
            <w:r w:rsidR="00A450DF">
              <w:rPr>
                <w:rFonts w:ascii="ITC Avant Garde" w:hAnsi="ITC Avant Garde"/>
                <w:sz w:val="18"/>
                <w:szCs w:val="18"/>
              </w:rPr>
              <w:t xml:space="preserve"> relativo a </w:t>
            </w:r>
            <w:r w:rsidR="00A450DF" w:rsidRPr="00C85801">
              <w:rPr>
                <w:rFonts w:ascii="ITC Avant Garde" w:hAnsi="ITC Avant Garde"/>
                <w:sz w:val="18"/>
                <w:szCs w:val="18"/>
              </w:rPr>
              <w:t>la definición de las tarifas de interconexión que aplicarán tanto a los operadores alternativos, como al Agente Económico Preponderante (AEP),</w:t>
            </w:r>
            <w:r w:rsidR="00A450DF">
              <w:rPr>
                <w:rFonts w:ascii="ITC Avant Garde" w:hAnsi="ITC Avant Garde"/>
                <w:sz w:val="18"/>
                <w:szCs w:val="18"/>
              </w:rPr>
              <w:t xml:space="preserve"> no se emite manifestación alguna por no corresponder a los documentos sometidos a opinión pública.</w:t>
            </w:r>
            <w:r w:rsidR="00F96A8E">
              <w:rPr>
                <w:rFonts w:ascii="ITC Avant Garde" w:hAnsi="ITC Avant Garde"/>
                <w:sz w:val="18"/>
                <w:szCs w:val="18"/>
              </w:rPr>
              <w:t xml:space="preserve"> </w:t>
            </w:r>
            <w:r>
              <w:rPr>
                <w:rFonts w:ascii="ITC Avant Garde" w:hAnsi="ITC Avant Garde"/>
                <w:sz w:val="18"/>
                <w:szCs w:val="18"/>
              </w:rPr>
              <w:t>En</w:t>
            </w:r>
            <w:r w:rsidR="00A450DF">
              <w:rPr>
                <w:rFonts w:ascii="ITC Avant Garde" w:hAnsi="ITC Avant Garde"/>
                <w:sz w:val="18"/>
                <w:szCs w:val="18"/>
              </w:rPr>
              <w:t xml:space="preserve"> relación al comentario de </w:t>
            </w:r>
            <w:r w:rsidR="00A450DF">
              <w:rPr>
                <w:rFonts w:ascii="ITC Avant Garde" w:hAnsi="ITC Avant Garde"/>
                <w:b/>
                <w:sz w:val="18"/>
                <w:szCs w:val="18"/>
              </w:rPr>
              <w:t>Pegaso PCS, S.A. de C.V.</w:t>
            </w:r>
            <w:r w:rsidR="00A450DF">
              <w:rPr>
                <w:rFonts w:ascii="ITC Avant Garde" w:hAnsi="ITC Avant Garde"/>
                <w:sz w:val="18"/>
                <w:szCs w:val="18"/>
              </w:rPr>
              <w:t xml:space="preserve"> relativo a que la </w:t>
            </w:r>
            <w:r w:rsidR="00A450DF" w:rsidRPr="00C85801">
              <w:rPr>
                <w:rFonts w:ascii="ITC Avant Garde" w:hAnsi="ITC Avant Garde"/>
                <w:sz w:val="18"/>
                <w:szCs w:val="18"/>
              </w:rPr>
              <w:t>licitación sería cara si se toma en consideración el pago del guante y los derechos</w:t>
            </w:r>
            <w:r w:rsidR="00A450DF">
              <w:rPr>
                <w:rFonts w:ascii="ITC Avant Garde" w:hAnsi="ITC Avant Garde"/>
                <w:sz w:val="18"/>
                <w:szCs w:val="18"/>
              </w:rPr>
              <w:t xml:space="preserve"> anuales asociados y que esto alejaría la promoción de un mercado competitivo en el sector, no se emite manifestación alguna por no corresponder a los documentos sometidos a opinión pública.</w:t>
            </w:r>
          </w:p>
          <w:p w14:paraId="033D8E3B" w14:textId="74D28ACF" w:rsidR="00A450DF" w:rsidRDefault="006F15C5" w:rsidP="00A450DF">
            <w:pPr>
              <w:spacing w:line="276" w:lineRule="auto"/>
              <w:jc w:val="both"/>
              <w:rPr>
                <w:rFonts w:ascii="ITC Avant Garde" w:hAnsi="ITC Avant Garde"/>
                <w:sz w:val="18"/>
                <w:szCs w:val="18"/>
              </w:rPr>
            </w:pPr>
            <w:r>
              <w:rPr>
                <w:rFonts w:ascii="ITC Avant Garde" w:hAnsi="ITC Avant Garde"/>
                <w:sz w:val="18"/>
                <w:szCs w:val="18"/>
              </w:rPr>
              <w:t>En</w:t>
            </w:r>
            <w:r w:rsidR="00A450DF">
              <w:rPr>
                <w:rFonts w:ascii="ITC Avant Garde" w:hAnsi="ITC Avant Garde"/>
                <w:sz w:val="18"/>
                <w:szCs w:val="18"/>
              </w:rPr>
              <w:t xml:space="preserve"> relación al comentario de </w:t>
            </w:r>
            <w:r w:rsidR="00A450DF">
              <w:rPr>
                <w:rFonts w:ascii="ITC Avant Garde" w:hAnsi="ITC Avant Garde"/>
                <w:b/>
                <w:sz w:val="18"/>
                <w:szCs w:val="18"/>
              </w:rPr>
              <w:t>Pegaso PCS, S.A. de C.V.</w:t>
            </w:r>
            <w:r w:rsidR="00A450DF">
              <w:rPr>
                <w:rFonts w:ascii="ITC Avant Garde" w:hAnsi="ITC Avant Garde"/>
                <w:sz w:val="18"/>
                <w:szCs w:val="18"/>
              </w:rPr>
              <w:t xml:space="preserve"> relativo a </w:t>
            </w:r>
            <w:r w:rsidR="00A450DF" w:rsidRPr="00A83964">
              <w:rPr>
                <w:rFonts w:ascii="ITC Avant Garde" w:hAnsi="ITC Avant Garde"/>
                <w:sz w:val="18"/>
                <w:szCs w:val="18"/>
              </w:rPr>
              <w:t>la sugerencia de utilizar un formato de subasta SMRA,</w:t>
            </w:r>
            <w:r w:rsidR="00A450DF">
              <w:rPr>
                <w:rFonts w:ascii="ITC Avant Garde" w:hAnsi="ITC Avant Garde"/>
                <w:sz w:val="18"/>
                <w:szCs w:val="18"/>
              </w:rPr>
              <w:t xml:space="preserve"> </w:t>
            </w:r>
            <w:r w:rsidR="00A450DF" w:rsidRPr="00DF2E1F">
              <w:rPr>
                <w:rFonts w:ascii="ITC Avant Garde" w:hAnsi="ITC Avant Garde"/>
                <w:sz w:val="18"/>
                <w:szCs w:val="18"/>
              </w:rPr>
              <w:t xml:space="preserve">se hace de su conocimiento que en el Anteproyecto se prevé un mecanismo de asignación consistentes </w:t>
            </w:r>
            <w:r w:rsidR="00A450DF" w:rsidRPr="00F96A8E">
              <w:rPr>
                <w:rFonts w:ascii="ITC Avant Garde" w:hAnsi="ITC Avant Garde"/>
                <w:sz w:val="18"/>
                <w:szCs w:val="18"/>
              </w:rPr>
              <w:t>en las dos siguientes</w:t>
            </w:r>
            <w:r w:rsidR="00A450DF">
              <w:rPr>
                <w:rFonts w:ascii="ITC Avant Garde" w:hAnsi="ITC Avant Garde"/>
                <w:sz w:val="18"/>
                <w:szCs w:val="18"/>
              </w:rPr>
              <w:t xml:space="preserve"> etapas:</w:t>
            </w:r>
          </w:p>
          <w:p w14:paraId="6B86281A" w14:textId="77777777" w:rsidR="00A450DF" w:rsidRPr="00C0317A" w:rsidRDefault="00A450DF" w:rsidP="00DF2E1F">
            <w:pPr>
              <w:spacing w:line="276" w:lineRule="auto"/>
              <w:ind w:left="500" w:hanging="283"/>
              <w:jc w:val="both"/>
              <w:rPr>
                <w:rFonts w:ascii="ITC Avant Garde" w:hAnsi="ITC Avant Garde"/>
                <w:sz w:val="18"/>
                <w:szCs w:val="18"/>
              </w:rPr>
            </w:pPr>
            <w:r>
              <w:t xml:space="preserve"> </w:t>
            </w:r>
            <w:r>
              <w:rPr>
                <w:rFonts w:ascii="ITC Avant Garde" w:hAnsi="ITC Avant Garde"/>
                <w:sz w:val="18"/>
                <w:szCs w:val="18"/>
              </w:rPr>
              <w:t>•</w:t>
            </w:r>
            <w:r>
              <w:rPr>
                <w:rFonts w:ascii="ITC Avant Garde" w:hAnsi="ITC Avant Garde"/>
                <w:sz w:val="18"/>
                <w:szCs w:val="18"/>
              </w:rPr>
              <w:tab/>
              <w:t>Etapa a</w:t>
            </w:r>
            <w:r w:rsidRPr="00C0317A">
              <w:rPr>
                <w:rFonts w:ascii="ITC Avant Garde" w:hAnsi="ITC Avant Garde"/>
                <w:sz w:val="18"/>
                <w:szCs w:val="18"/>
              </w:rPr>
              <w:t>djudicación: L</w:t>
            </w:r>
            <w:r>
              <w:rPr>
                <w:rFonts w:ascii="ITC Avant Garde" w:hAnsi="ITC Avant Garde"/>
                <w:sz w:val="18"/>
                <w:szCs w:val="18"/>
              </w:rPr>
              <w:t>a cual consistirá en una o más rondas de r</w:t>
            </w:r>
            <w:r w:rsidRPr="00C0317A">
              <w:rPr>
                <w:rFonts w:ascii="ITC Avant Garde" w:hAnsi="ITC Avant Garde"/>
                <w:sz w:val="18"/>
                <w:szCs w:val="18"/>
              </w:rPr>
              <w:t xml:space="preserve">eloj en hasta dos fases diferentes; se basa en un sistema de puntos. </w:t>
            </w:r>
          </w:p>
          <w:p w14:paraId="14BD4FE8" w14:textId="77777777" w:rsidR="00A450DF" w:rsidRDefault="00A450DF" w:rsidP="00DF2E1F">
            <w:pPr>
              <w:spacing w:line="276" w:lineRule="auto"/>
              <w:ind w:left="500" w:hanging="283"/>
              <w:jc w:val="both"/>
              <w:rPr>
                <w:rFonts w:ascii="ITC Avant Garde" w:hAnsi="ITC Avant Garde"/>
                <w:sz w:val="18"/>
                <w:szCs w:val="18"/>
              </w:rPr>
            </w:pPr>
            <w:r>
              <w:rPr>
                <w:rFonts w:ascii="ITC Avant Garde" w:hAnsi="ITC Avant Garde"/>
                <w:sz w:val="18"/>
                <w:szCs w:val="18"/>
              </w:rPr>
              <w:lastRenderedPageBreak/>
              <w:t>•</w:t>
            </w:r>
            <w:r>
              <w:rPr>
                <w:rFonts w:ascii="ITC Avant Garde" w:hAnsi="ITC Avant Garde"/>
                <w:sz w:val="18"/>
                <w:szCs w:val="18"/>
              </w:rPr>
              <w:tab/>
              <w:t>Etapa de a</w:t>
            </w:r>
            <w:r w:rsidRPr="00C0317A">
              <w:rPr>
                <w:rFonts w:ascii="ITC Avant Garde" w:hAnsi="ITC Avant Garde"/>
                <w:sz w:val="18"/>
                <w:szCs w:val="18"/>
              </w:rPr>
              <w:t>signación: La cual consistirá, en su caso, de una sola Ronda de Sobre Cerrado</w:t>
            </w:r>
            <w:r>
              <w:rPr>
                <w:rFonts w:ascii="ITC Avant Garde" w:hAnsi="ITC Avant Garde"/>
                <w:sz w:val="18"/>
                <w:szCs w:val="18"/>
              </w:rPr>
              <w:t xml:space="preserve"> electrónico</w:t>
            </w:r>
            <w:r w:rsidRPr="00C0317A">
              <w:rPr>
                <w:rFonts w:ascii="ITC Avant Garde" w:hAnsi="ITC Avant Garde"/>
                <w:sz w:val="18"/>
                <w:szCs w:val="18"/>
              </w:rPr>
              <w:t>; se basa en valores monetarios expresados en pesos mexicanos.</w:t>
            </w:r>
          </w:p>
          <w:p w14:paraId="3DAF3566" w14:textId="5BC10447" w:rsidR="00A450DF" w:rsidRDefault="00A450DF" w:rsidP="00A450DF">
            <w:pPr>
              <w:spacing w:line="276" w:lineRule="auto"/>
              <w:jc w:val="both"/>
              <w:rPr>
                <w:rFonts w:ascii="ITC Avant Garde" w:hAnsi="ITC Avant Garde"/>
                <w:sz w:val="18"/>
                <w:szCs w:val="18"/>
              </w:rPr>
            </w:pPr>
            <w:r>
              <w:rPr>
                <w:rFonts w:ascii="ITC Avant Garde" w:hAnsi="ITC Avant Garde"/>
                <w:sz w:val="18"/>
                <w:szCs w:val="18"/>
              </w:rPr>
              <w:t xml:space="preserve">En este sentido, la </w:t>
            </w:r>
            <w:r w:rsidR="00A83964">
              <w:rPr>
                <w:rFonts w:ascii="ITC Avant Garde" w:hAnsi="ITC Avant Garde"/>
                <w:sz w:val="18"/>
                <w:szCs w:val="18"/>
              </w:rPr>
              <w:t>e</w:t>
            </w:r>
            <w:r>
              <w:rPr>
                <w:rFonts w:ascii="ITC Avant Garde" w:hAnsi="ITC Avant Garde"/>
                <w:sz w:val="18"/>
                <w:szCs w:val="18"/>
              </w:rPr>
              <w:t xml:space="preserve">tapa de adjudicación de los bloques genéricos se realizará bajo un mecanismo de reloj ascendente que, al igual que la SMRA, permite el cambio y retiro de bloques, con la ventaja de que se pueden presentar ofertas conjuntas por </w:t>
            </w:r>
            <w:r w:rsidR="00A83964">
              <w:rPr>
                <w:rFonts w:ascii="ITC Avant Garde" w:hAnsi="ITC Avant Garde"/>
                <w:sz w:val="18"/>
                <w:szCs w:val="18"/>
              </w:rPr>
              <w:t>dos</w:t>
            </w:r>
            <w:r>
              <w:rPr>
                <w:rFonts w:ascii="ITC Avant Garde" w:hAnsi="ITC Avant Garde"/>
                <w:sz w:val="18"/>
                <w:szCs w:val="18"/>
              </w:rPr>
              <w:t xml:space="preserve"> o más bloques de la misma categoría.</w:t>
            </w:r>
          </w:p>
          <w:p w14:paraId="05A053CA" w14:textId="77777777" w:rsidR="00A450DF" w:rsidRDefault="00A450DF" w:rsidP="00A450DF">
            <w:pPr>
              <w:spacing w:line="276" w:lineRule="auto"/>
              <w:jc w:val="both"/>
              <w:rPr>
                <w:rFonts w:ascii="ITC Avant Garde" w:hAnsi="ITC Avant Garde"/>
                <w:sz w:val="18"/>
                <w:szCs w:val="18"/>
              </w:rPr>
            </w:pPr>
            <w:r>
              <w:rPr>
                <w:rFonts w:ascii="ITC Avant Garde" w:hAnsi="ITC Avant Garde"/>
                <w:sz w:val="18"/>
                <w:szCs w:val="18"/>
              </w:rPr>
              <w:t>Una vez adjudicados los bloques genéricos, la etapa de asignación permitirá hacer una oferta por la posición específica de un bloque, permitiendo a los participantes ganadores, en su caso, garantizar la contigüidad del espectro adjudicado.</w:t>
            </w:r>
          </w:p>
          <w:p w14:paraId="72BB15AA" w14:textId="7C62EE79" w:rsidR="00A450DF" w:rsidRPr="00C0317A" w:rsidRDefault="00A450DF" w:rsidP="00A450DF">
            <w:pPr>
              <w:spacing w:line="276" w:lineRule="auto"/>
              <w:jc w:val="both"/>
              <w:rPr>
                <w:rFonts w:ascii="ITC Avant Garde" w:hAnsi="ITC Avant Garde"/>
                <w:sz w:val="18"/>
                <w:szCs w:val="18"/>
              </w:rPr>
            </w:pPr>
            <w:r>
              <w:rPr>
                <w:rFonts w:ascii="ITC Avant Garde" w:hAnsi="ITC Avant Garde"/>
                <w:sz w:val="18"/>
                <w:szCs w:val="18"/>
              </w:rPr>
              <w:t xml:space="preserve">En este sentido, con base en el análisis de la segmentación de los bloques realizado previo a este </w:t>
            </w:r>
            <w:r w:rsidR="00A83964">
              <w:rPr>
                <w:rFonts w:ascii="ITC Avant Garde" w:hAnsi="ITC Avant Garde"/>
                <w:sz w:val="18"/>
                <w:szCs w:val="18"/>
              </w:rPr>
              <w:t>procedimiento</w:t>
            </w:r>
            <w:r>
              <w:rPr>
                <w:rFonts w:ascii="ITC Avant Garde" w:hAnsi="ITC Avant Garde"/>
                <w:sz w:val="18"/>
                <w:szCs w:val="18"/>
              </w:rPr>
              <w:t>, se considera que el mecanismo de asignación seleccionado es el adecuado.</w:t>
            </w:r>
          </w:p>
          <w:p w14:paraId="354BD1EF" w14:textId="0E471001" w:rsidR="00A450DF" w:rsidRDefault="00A450DF" w:rsidP="00A450DF">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Pegaso PCS, S.A. de C.V.</w:t>
            </w:r>
            <w:r>
              <w:rPr>
                <w:rFonts w:ascii="ITC Avant Garde" w:hAnsi="ITC Avant Garde"/>
                <w:sz w:val="18"/>
                <w:szCs w:val="18"/>
              </w:rPr>
              <w:t xml:space="preserve"> relativo a la no </w:t>
            </w:r>
            <w:r w:rsidRPr="00C85801">
              <w:rPr>
                <w:rFonts w:ascii="ITC Avant Garde" w:hAnsi="ITC Avant Garde"/>
                <w:sz w:val="18"/>
                <w:szCs w:val="18"/>
              </w:rPr>
              <w:t>inclusión de la tenencia de la banda de 700 MHz asignada a la Red Compartida Mayorista</w:t>
            </w:r>
            <w:r>
              <w:rPr>
                <w:rFonts w:ascii="ITC Avant Garde" w:hAnsi="ITC Avant Garde"/>
                <w:sz w:val="18"/>
                <w:szCs w:val="18"/>
              </w:rPr>
              <w:t>, se informa que los límites de acumulación de e</w:t>
            </w:r>
            <w:r w:rsidRPr="00F45F0B">
              <w:rPr>
                <w:rFonts w:ascii="ITC Avant Garde" w:hAnsi="ITC Avant Garde"/>
                <w:sz w:val="18"/>
                <w:szCs w:val="18"/>
              </w:rPr>
              <w:t xml:space="preserve">spectro se calcularán para cada </w:t>
            </w:r>
            <w:r w:rsidR="00C85801" w:rsidRPr="00C85801">
              <w:rPr>
                <w:rFonts w:ascii="ITC Avant Garde" w:hAnsi="ITC Avant Garde"/>
                <w:sz w:val="18"/>
                <w:szCs w:val="18"/>
              </w:rPr>
              <w:t>i</w:t>
            </w:r>
            <w:r w:rsidRPr="00C85801">
              <w:rPr>
                <w:rFonts w:ascii="ITC Avant Garde" w:hAnsi="ITC Avant Garde"/>
                <w:sz w:val="18"/>
                <w:szCs w:val="18"/>
              </w:rPr>
              <w:t>nteresado</w:t>
            </w:r>
            <w:r w:rsidRPr="00F45F0B">
              <w:rPr>
                <w:rFonts w:ascii="ITC Avant Garde" w:hAnsi="ITC Avant Garde"/>
                <w:sz w:val="18"/>
                <w:szCs w:val="18"/>
              </w:rPr>
              <w:t xml:space="preserve"> en su dimensión de GIE, </w:t>
            </w:r>
            <w:r>
              <w:rPr>
                <w:rFonts w:ascii="ITC Avant Garde" w:hAnsi="ITC Avant Garde"/>
                <w:sz w:val="18"/>
                <w:szCs w:val="18"/>
              </w:rPr>
              <w:t xml:space="preserve">conforme a la </w:t>
            </w:r>
            <w:r w:rsidRPr="00F45F0B">
              <w:rPr>
                <w:rFonts w:ascii="ITC Avant Garde" w:hAnsi="ITC Avant Garde"/>
                <w:sz w:val="18"/>
                <w:szCs w:val="18"/>
              </w:rPr>
              <w:t xml:space="preserve"> Tabla 2</w:t>
            </w:r>
            <w:r>
              <w:rPr>
                <w:rFonts w:ascii="ITC Avant Garde" w:hAnsi="ITC Avant Garde"/>
                <w:sz w:val="18"/>
                <w:szCs w:val="18"/>
              </w:rPr>
              <w:t xml:space="preserve">  del Antep</w:t>
            </w:r>
            <w:r w:rsidR="00F96A8E">
              <w:rPr>
                <w:rFonts w:ascii="ITC Avant Garde" w:hAnsi="ITC Avant Garde"/>
                <w:sz w:val="18"/>
                <w:szCs w:val="18"/>
              </w:rPr>
              <w:t>ro</w:t>
            </w:r>
            <w:r>
              <w:rPr>
                <w:rFonts w:ascii="ITC Avant Garde" w:hAnsi="ITC Avant Garde"/>
                <w:sz w:val="18"/>
                <w:szCs w:val="18"/>
              </w:rPr>
              <w:t>yecto, misma que</w:t>
            </w:r>
            <w:r w:rsidRPr="00F45F0B">
              <w:rPr>
                <w:rFonts w:ascii="ITC Avant Garde" w:hAnsi="ITC Avant Garde"/>
                <w:sz w:val="18"/>
                <w:szCs w:val="18"/>
              </w:rPr>
              <w:t xml:space="preserve"> ejemplifica la tenencia espectral en bandas de frecuencias óptimas para la prestación del servicio de acceso inalámbrico móvil, por lo que la evaluación en materia de competencia económica que realice el Instituto a los </w:t>
            </w:r>
            <w:r w:rsidR="00C85801">
              <w:rPr>
                <w:rFonts w:ascii="ITC Avant Garde" w:hAnsi="ITC Avant Garde"/>
                <w:sz w:val="18"/>
                <w:szCs w:val="18"/>
              </w:rPr>
              <w:t>i</w:t>
            </w:r>
            <w:r w:rsidRPr="00F45F0B">
              <w:rPr>
                <w:rFonts w:ascii="ITC Avant Garde" w:hAnsi="ITC Avant Garde"/>
                <w:sz w:val="18"/>
                <w:szCs w:val="18"/>
              </w:rPr>
              <w:t xml:space="preserve">nteresados para determinar su calidad </w:t>
            </w:r>
            <w:r w:rsidRPr="00F45F0B">
              <w:rPr>
                <w:rFonts w:ascii="ITC Avant Garde" w:hAnsi="ITC Avant Garde"/>
                <w:sz w:val="18"/>
                <w:szCs w:val="18"/>
              </w:rPr>
              <w:lastRenderedPageBreak/>
              <w:t>de participantes en la Licitación</w:t>
            </w:r>
            <w:r w:rsidR="00C85801">
              <w:rPr>
                <w:rFonts w:ascii="ITC Avant Garde" w:hAnsi="ITC Avant Garde"/>
                <w:sz w:val="18"/>
                <w:szCs w:val="18"/>
              </w:rPr>
              <w:t>,</w:t>
            </w:r>
            <w:r w:rsidRPr="00F45F0B">
              <w:rPr>
                <w:rFonts w:ascii="ITC Avant Garde" w:hAnsi="ITC Avant Garde"/>
                <w:sz w:val="18"/>
                <w:szCs w:val="18"/>
              </w:rPr>
              <w:t xml:space="preserve"> se realizará conforme a la tenencia espectral de cada participante a la fecha de aprobación de las Bases, con independencia de las transacciones y operaciones que pudieran llegar a realizar y/o a notificar los interesados en fecha posterior a ésta. Dicha tenencia es calculada a nivel nacional.</w:t>
            </w:r>
            <w:r>
              <w:rPr>
                <w:rFonts w:ascii="ITC Avant Garde" w:hAnsi="ITC Avant Garde"/>
                <w:sz w:val="18"/>
                <w:szCs w:val="18"/>
              </w:rPr>
              <w:t xml:space="preserve"> En este sentido</w:t>
            </w:r>
            <w:r w:rsidR="00C85801">
              <w:rPr>
                <w:rFonts w:ascii="ITC Avant Garde" w:hAnsi="ITC Avant Garde"/>
                <w:sz w:val="18"/>
                <w:szCs w:val="18"/>
              </w:rPr>
              <w:t>,</w:t>
            </w:r>
            <w:r>
              <w:rPr>
                <w:rFonts w:ascii="ITC Avant Garde" w:hAnsi="ITC Avant Garde"/>
                <w:sz w:val="18"/>
                <w:szCs w:val="18"/>
              </w:rPr>
              <w:t xml:space="preserve"> se considera relevante incluir las bandas de frecuencias para servicios de acceso inalámbrico móvil a fin de evitar concentraciones de espectro radioeléctrico para este servicio que pudieran afectar el interés público.</w:t>
            </w:r>
          </w:p>
          <w:p w14:paraId="5D03B93C" w14:textId="6EA436DC" w:rsidR="00BE5FD2" w:rsidRDefault="00A450DF" w:rsidP="00F96A8E">
            <w:pPr>
              <w:spacing w:line="276" w:lineRule="auto"/>
              <w:jc w:val="both"/>
              <w:rPr>
                <w:rFonts w:ascii="ITC Avant Garde" w:hAnsi="ITC Avant Garde"/>
                <w:sz w:val="18"/>
                <w:szCs w:val="18"/>
              </w:rPr>
            </w:pPr>
            <w:r>
              <w:rPr>
                <w:rFonts w:ascii="ITC Avant Garde" w:hAnsi="ITC Avant Garde"/>
                <w:sz w:val="18"/>
                <w:szCs w:val="18"/>
              </w:rPr>
              <w:t xml:space="preserve">Con relación al </w:t>
            </w:r>
            <w:r w:rsidRPr="00BE5FD2">
              <w:rPr>
                <w:rFonts w:ascii="ITC Avant Garde" w:hAnsi="ITC Avant Garde"/>
                <w:sz w:val="18"/>
                <w:szCs w:val="18"/>
              </w:rPr>
              <w:t xml:space="preserve">comentario de </w:t>
            </w:r>
            <w:r w:rsidRPr="00BE5FD2">
              <w:rPr>
                <w:rFonts w:ascii="ITC Avant Garde" w:hAnsi="ITC Avant Garde"/>
                <w:b/>
                <w:sz w:val="18"/>
                <w:szCs w:val="18"/>
              </w:rPr>
              <w:t>Pegaso PCS, S.A. de C.V.</w:t>
            </w:r>
            <w:r w:rsidRPr="00BE5FD2">
              <w:rPr>
                <w:rFonts w:ascii="ITC Avant Garde" w:hAnsi="ITC Avant Garde"/>
                <w:sz w:val="18"/>
                <w:szCs w:val="18"/>
              </w:rPr>
              <w:t xml:space="preserve"> relativo a la sugerencia de cambiar la estructura de los derechos anuales para el espectro móvil, en línea con las recomendaciones de la OCDE para México,</w:t>
            </w:r>
            <w:r w:rsidR="00735F48" w:rsidRPr="00BE5FD2">
              <w:rPr>
                <w:rFonts w:ascii="ITC Avant Garde" w:hAnsi="ITC Avant Garde"/>
                <w:sz w:val="18"/>
                <w:szCs w:val="18"/>
              </w:rPr>
              <w:t xml:space="preserve"> </w:t>
            </w:r>
            <w:r w:rsidR="00F96A8E" w:rsidRPr="00BE5FD2">
              <w:rPr>
                <w:rFonts w:ascii="ITC Avant Garde" w:hAnsi="ITC Avant Garde"/>
                <w:sz w:val="18"/>
                <w:szCs w:val="18"/>
              </w:rPr>
              <w:t>no se emite manifestación alguna por no corresponder a los documentos sometidos a</w:t>
            </w:r>
            <w:r w:rsidR="00BE5FD2">
              <w:rPr>
                <w:rFonts w:ascii="ITC Avant Garde" w:hAnsi="ITC Avant Garde"/>
                <w:sz w:val="18"/>
                <w:szCs w:val="18"/>
              </w:rPr>
              <w:t xml:space="preserve"> opinión pública. </w:t>
            </w:r>
          </w:p>
          <w:p w14:paraId="795D27A1" w14:textId="5CEFF371" w:rsidR="00F96A8E" w:rsidRPr="00C0317A" w:rsidRDefault="00A450DF" w:rsidP="00F96A8E">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Pegaso PCS, S.A. de C.V.</w:t>
            </w:r>
            <w:r>
              <w:rPr>
                <w:rFonts w:ascii="ITC Avant Garde" w:hAnsi="ITC Avant Garde"/>
                <w:sz w:val="18"/>
                <w:szCs w:val="18"/>
              </w:rPr>
              <w:t xml:space="preserve"> relativo a la </w:t>
            </w:r>
            <w:r w:rsidRPr="00BE5FD2">
              <w:rPr>
                <w:rFonts w:ascii="ITC Avant Garde" w:hAnsi="ITC Avant Garde"/>
                <w:sz w:val="18"/>
                <w:szCs w:val="18"/>
              </w:rPr>
              <w:t>recomendación para que el área de cobertura de las concesiones pueda ser reducida por los concesionarios ganadores a sólo las zonas de alta densidad urbana</w:t>
            </w:r>
            <w:r>
              <w:rPr>
                <w:rFonts w:ascii="ITC Avant Garde" w:hAnsi="ITC Avant Garde"/>
                <w:sz w:val="18"/>
                <w:szCs w:val="18"/>
              </w:rPr>
              <w:t xml:space="preserve">, </w:t>
            </w:r>
            <w:r w:rsidR="00F96A8E">
              <w:rPr>
                <w:rFonts w:ascii="ITC Avant Garde" w:hAnsi="ITC Avant Garde"/>
                <w:sz w:val="18"/>
                <w:szCs w:val="18"/>
              </w:rPr>
              <w:t>se hace de su conocimiento que, con base en el análisis de la banda realizado previo a este proceso, se considera adecuado ofrecer el espectro disponible en bloques con cobertura nacional, considerand</w:t>
            </w:r>
            <w:r w:rsidR="00F726F2">
              <w:rPr>
                <w:rFonts w:ascii="ITC Avant Garde" w:hAnsi="ITC Avant Garde"/>
                <w:sz w:val="18"/>
                <w:szCs w:val="18"/>
              </w:rPr>
              <w:t>o los participantes potenciales y</w:t>
            </w:r>
            <w:r w:rsidR="00F96A8E">
              <w:rPr>
                <w:rFonts w:ascii="ITC Avant Garde" w:hAnsi="ITC Avant Garde"/>
                <w:sz w:val="18"/>
                <w:szCs w:val="18"/>
              </w:rPr>
              <w:t xml:space="preserve"> el uso de la banda.</w:t>
            </w:r>
          </w:p>
          <w:p w14:paraId="68230DB0" w14:textId="6B0A44F6" w:rsidR="00A450DF" w:rsidRDefault="00A450DF" w:rsidP="00A450DF">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Pegaso PCS, S.A. de C.V.</w:t>
            </w:r>
            <w:r>
              <w:rPr>
                <w:rFonts w:ascii="ITC Avant Garde" w:hAnsi="ITC Avant Garde"/>
                <w:sz w:val="18"/>
                <w:szCs w:val="18"/>
              </w:rPr>
              <w:t xml:space="preserve"> relativo a </w:t>
            </w:r>
            <w:r w:rsidRPr="00BE5FD2">
              <w:rPr>
                <w:rFonts w:ascii="ITC Avant Garde" w:hAnsi="ITC Avant Garde"/>
                <w:sz w:val="18"/>
                <w:szCs w:val="18"/>
              </w:rPr>
              <w:t xml:space="preserve">la recomendación de que las vigencias de las concesiones sean flexibles dependiendo de la resolución final de las bases de </w:t>
            </w:r>
            <w:r w:rsidRPr="00BE5FD2">
              <w:rPr>
                <w:rFonts w:ascii="ITC Avant Garde" w:hAnsi="ITC Avant Garde"/>
                <w:sz w:val="18"/>
                <w:szCs w:val="18"/>
              </w:rPr>
              <w:lastRenderedPageBreak/>
              <w:t>licitación,</w:t>
            </w:r>
            <w:r>
              <w:rPr>
                <w:rFonts w:ascii="ITC Avant Garde" w:hAnsi="ITC Avant Garde"/>
                <w:sz w:val="18"/>
                <w:szCs w:val="18"/>
              </w:rPr>
              <w:t xml:space="preserve"> </w:t>
            </w:r>
            <w:r w:rsidR="00F726F2">
              <w:rPr>
                <w:rFonts w:ascii="ITC Avant Garde" w:hAnsi="ITC Avant Garde"/>
                <w:sz w:val="18"/>
                <w:szCs w:val="18"/>
              </w:rPr>
              <w:t xml:space="preserve">se manifiesta que el Anteproyecto considera el plazo máximo de vigencia establecido en la Ley Federal de Telecomunicaciones y Radiodifusión con el fin de otorgar certeza </w:t>
            </w:r>
            <w:r w:rsidR="00BE5FD2">
              <w:rPr>
                <w:rFonts w:ascii="ITC Avant Garde" w:hAnsi="ITC Avant Garde"/>
                <w:sz w:val="18"/>
                <w:szCs w:val="18"/>
              </w:rPr>
              <w:t xml:space="preserve">en sus inversiones a largo plazo </w:t>
            </w:r>
            <w:r w:rsidR="00F726F2">
              <w:rPr>
                <w:rFonts w:ascii="ITC Avant Garde" w:hAnsi="ITC Avant Garde"/>
                <w:sz w:val="18"/>
                <w:szCs w:val="18"/>
              </w:rPr>
              <w:t>a los concesionarios.</w:t>
            </w:r>
          </w:p>
          <w:p w14:paraId="507CF214" w14:textId="77777777" w:rsidR="00A450DF" w:rsidRDefault="00A450DF" w:rsidP="00B33557">
            <w:pPr>
              <w:spacing w:line="276" w:lineRule="auto"/>
              <w:jc w:val="both"/>
              <w:rPr>
                <w:rFonts w:ascii="ITC Avant Garde" w:hAnsi="ITC Avant Garde"/>
                <w:sz w:val="18"/>
                <w:szCs w:val="18"/>
              </w:rPr>
            </w:pPr>
          </w:p>
        </w:tc>
      </w:tr>
      <w:tr w:rsidR="00A450DF" w:rsidRPr="00637136" w14:paraId="65D40D38" w14:textId="77777777" w:rsidTr="009155A1">
        <w:trPr>
          <w:trHeight w:val="290"/>
          <w:tblHeader/>
        </w:trPr>
        <w:tc>
          <w:tcPr>
            <w:tcW w:w="472" w:type="pct"/>
          </w:tcPr>
          <w:p w14:paraId="72D073C6" w14:textId="26E11E7B" w:rsidR="00A450DF" w:rsidRDefault="00A450DF" w:rsidP="00D407F2">
            <w:pPr>
              <w:spacing w:after="0" w:line="276" w:lineRule="auto"/>
              <w:rPr>
                <w:rFonts w:ascii="ITC Avant Garde" w:eastAsia="Calibri" w:hAnsi="ITC Avant Garde" w:cs="Arial"/>
                <w:b/>
                <w:bCs/>
                <w:color w:val="000000" w:themeColor="text1"/>
                <w:sz w:val="18"/>
                <w:szCs w:val="18"/>
              </w:rPr>
            </w:pPr>
            <w:r>
              <w:rPr>
                <w:rFonts w:ascii="ITC Avant Garde" w:hAnsi="ITC Avant Garde" w:cs="Arial"/>
                <w:b/>
                <w:sz w:val="18"/>
                <w:szCs w:val="18"/>
              </w:rPr>
              <w:lastRenderedPageBreak/>
              <w:t>Lucas Gallito</w:t>
            </w:r>
          </w:p>
        </w:tc>
        <w:tc>
          <w:tcPr>
            <w:tcW w:w="570" w:type="pct"/>
            <w:shd w:val="clear" w:color="auto" w:fill="auto"/>
          </w:tcPr>
          <w:p w14:paraId="41F67275" w14:textId="77777777" w:rsidR="00A450DF" w:rsidRPr="0035139E" w:rsidRDefault="00A450DF" w:rsidP="00D407F2">
            <w:pPr>
              <w:spacing w:after="0" w:line="276" w:lineRule="auto"/>
              <w:jc w:val="both"/>
              <w:rPr>
                <w:rFonts w:ascii="ITC Avant Garde" w:hAnsi="ITC Avant Garde" w:cs="Arial"/>
                <w:b/>
                <w:sz w:val="18"/>
                <w:szCs w:val="18"/>
              </w:rPr>
            </w:pPr>
          </w:p>
        </w:tc>
        <w:tc>
          <w:tcPr>
            <w:tcW w:w="1966" w:type="pct"/>
            <w:shd w:val="clear" w:color="auto" w:fill="auto"/>
          </w:tcPr>
          <w:p w14:paraId="55AE6961" w14:textId="77777777" w:rsidR="00A450DF" w:rsidRDefault="00A450DF" w:rsidP="00A450DF">
            <w:pPr>
              <w:tabs>
                <w:tab w:val="left" w:pos="2010"/>
              </w:tabs>
              <w:spacing w:line="276" w:lineRule="auto"/>
              <w:jc w:val="both"/>
              <w:rPr>
                <w:rFonts w:ascii="ITC Avant Garde" w:hAnsi="ITC Avant Garde" w:cs="Arial"/>
                <w:iCs/>
                <w:sz w:val="18"/>
                <w:szCs w:val="18"/>
              </w:rPr>
            </w:pPr>
            <w:r>
              <w:rPr>
                <w:rFonts w:ascii="ITC Avant Garde" w:hAnsi="ITC Avant Garde" w:cs="Arial"/>
                <w:iCs/>
                <w:sz w:val="18"/>
                <w:szCs w:val="18"/>
              </w:rPr>
              <w:t xml:space="preserve">El participante envió el documento </w:t>
            </w:r>
            <w:r w:rsidRPr="00FD503B">
              <w:rPr>
                <w:rFonts w:ascii="ITC Avant Garde" w:hAnsi="ITC Avant Garde" w:cs="Arial"/>
                <w:i/>
                <w:iCs/>
                <w:sz w:val="18"/>
                <w:szCs w:val="18"/>
              </w:rPr>
              <w:t>Supporting Mexican digitisation</w:t>
            </w:r>
            <w:r>
              <w:rPr>
                <w:rFonts w:ascii="ITC Avant Garde" w:hAnsi="ITC Avant Garde" w:cs="Arial"/>
                <w:iCs/>
                <w:sz w:val="18"/>
                <w:szCs w:val="18"/>
              </w:rPr>
              <w:t xml:space="preserve"> con fecha 24 de junio de 2017 elaborado por Coleago Consulting.</w:t>
            </w:r>
          </w:p>
          <w:p w14:paraId="1F0D9125" w14:textId="77777777" w:rsidR="00A450DF" w:rsidRPr="0035139E" w:rsidRDefault="00A450DF" w:rsidP="00A450DF">
            <w:pPr>
              <w:tabs>
                <w:tab w:val="left" w:pos="2010"/>
              </w:tabs>
              <w:spacing w:line="276" w:lineRule="auto"/>
              <w:jc w:val="both"/>
              <w:rPr>
                <w:rFonts w:ascii="ITC Avant Garde" w:hAnsi="ITC Avant Garde" w:cs="Arial"/>
                <w:i/>
                <w:sz w:val="18"/>
                <w:szCs w:val="18"/>
              </w:rPr>
            </w:pPr>
            <w:r w:rsidRPr="0035139E">
              <w:rPr>
                <w:rFonts w:ascii="ITC Avant Garde" w:hAnsi="ITC Avant Garde" w:cs="Arial"/>
                <w:iCs/>
                <w:sz w:val="18"/>
                <w:szCs w:val="18"/>
              </w:rPr>
              <w:t xml:space="preserve">En el siguiente hipervínculo se podrá </w:t>
            </w:r>
            <w:r>
              <w:rPr>
                <w:rFonts w:ascii="ITC Avant Garde" w:hAnsi="ITC Avant Garde" w:cs="Arial"/>
                <w:iCs/>
                <w:sz w:val="18"/>
                <w:szCs w:val="18"/>
              </w:rPr>
              <w:t>consultar</w:t>
            </w:r>
            <w:r w:rsidRPr="0035139E">
              <w:rPr>
                <w:rFonts w:ascii="ITC Avant Garde" w:hAnsi="ITC Avant Garde" w:cs="Arial"/>
                <w:iCs/>
                <w:sz w:val="18"/>
                <w:szCs w:val="18"/>
              </w:rPr>
              <w:t xml:space="preserve"> el comentario</w:t>
            </w:r>
            <w:r>
              <w:rPr>
                <w:rFonts w:ascii="ITC Avant Garde" w:hAnsi="ITC Avant Garde" w:cs="Arial"/>
                <w:iCs/>
                <w:sz w:val="18"/>
                <w:szCs w:val="18"/>
              </w:rPr>
              <w:t xml:space="preserve"> completo</w:t>
            </w:r>
            <w:r w:rsidRPr="0035139E">
              <w:rPr>
                <w:rFonts w:ascii="ITC Avant Garde" w:hAnsi="ITC Avant Garde" w:cs="Arial"/>
                <w:iCs/>
                <w:sz w:val="18"/>
                <w:szCs w:val="18"/>
              </w:rPr>
              <w:t xml:space="preserve">: </w:t>
            </w:r>
          </w:p>
          <w:p w14:paraId="2691D257" w14:textId="66860949" w:rsidR="00A450DF" w:rsidRDefault="0009589C" w:rsidP="00A450DF">
            <w:pPr>
              <w:tabs>
                <w:tab w:val="left" w:pos="2010"/>
              </w:tabs>
              <w:spacing w:line="276" w:lineRule="auto"/>
              <w:jc w:val="both"/>
              <w:rPr>
                <w:rFonts w:ascii="ITC Avant Garde" w:hAnsi="ITC Avant Garde" w:cs="Arial"/>
                <w:iCs/>
                <w:sz w:val="18"/>
                <w:szCs w:val="18"/>
              </w:rPr>
            </w:pPr>
            <w:hyperlink r:id="rId17" w:history="1">
              <w:r w:rsidR="00A450DF" w:rsidRPr="0035139E">
                <w:rPr>
                  <w:rStyle w:val="Hipervnculo"/>
                  <w:rFonts w:ascii="ITC Avant Garde" w:hAnsi="ITC Avant Garde"/>
                  <w:sz w:val="18"/>
                  <w:szCs w:val="18"/>
                </w:rPr>
                <w:t>http://www.ift.org.mx/sites/default/files/industria/temasrelevantes/consultaspublicas/documentos/supportingthemexicandigitisationwhitepapergsma.pdf</w:t>
              </w:r>
            </w:hyperlink>
          </w:p>
        </w:tc>
        <w:tc>
          <w:tcPr>
            <w:tcW w:w="1992" w:type="pct"/>
            <w:shd w:val="clear" w:color="auto" w:fill="FFFFFF" w:themeFill="background1"/>
          </w:tcPr>
          <w:p w14:paraId="433F134B" w14:textId="4894DB8E" w:rsidR="00A450DF" w:rsidRDefault="00A450DF" w:rsidP="00F726F2">
            <w:pPr>
              <w:spacing w:line="276" w:lineRule="auto"/>
              <w:jc w:val="both"/>
              <w:rPr>
                <w:rFonts w:ascii="ITC Avant Garde" w:hAnsi="ITC Avant Garde"/>
                <w:sz w:val="18"/>
                <w:szCs w:val="18"/>
              </w:rPr>
            </w:pPr>
            <w:r>
              <w:rPr>
                <w:rFonts w:ascii="ITC Avant Garde" w:hAnsi="ITC Avant Garde"/>
                <w:sz w:val="18"/>
                <w:szCs w:val="18"/>
              </w:rPr>
              <w:t xml:space="preserve">Con relación al documento presentado por </w:t>
            </w:r>
            <w:r>
              <w:rPr>
                <w:rFonts w:ascii="ITC Avant Garde" w:hAnsi="ITC Avant Garde"/>
                <w:b/>
                <w:sz w:val="18"/>
                <w:szCs w:val="18"/>
              </w:rPr>
              <w:t>Lucas Gallito</w:t>
            </w:r>
            <w:r w:rsidRPr="0035261B">
              <w:rPr>
                <w:rFonts w:ascii="ITC Avant Garde" w:hAnsi="ITC Avant Garde"/>
                <w:sz w:val="18"/>
                <w:szCs w:val="18"/>
              </w:rPr>
              <w:t xml:space="preserve">, no se emite consideraciones, debido a que </w:t>
            </w:r>
            <w:r w:rsidR="00F726F2">
              <w:rPr>
                <w:rFonts w:ascii="ITC Avant Garde" w:hAnsi="ITC Avant Garde"/>
                <w:sz w:val="18"/>
                <w:szCs w:val="18"/>
              </w:rPr>
              <w:t>la información remitida no se refiere a los documentos sometidos a opinión pública</w:t>
            </w:r>
            <w:r>
              <w:rPr>
                <w:rFonts w:ascii="ITC Avant Garde" w:hAnsi="ITC Avant Garde"/>
                <w:sz w:val="18"/>
                <w:szCs w:val="18"/>
              </w:rPr>
              <w:t>.</w:t>
            </w:r>
          </w:p>
        </w:tc>
      </w:tr>
      <w:tr w:rsidR="00A450DF" w:rsidRPr="00637136" w14:paraId="242A896B" w14:textId="77777777" w:rsidTr="009155A1">
        <w:trPr>
          <w:trHeight w:val="290"/>
          <w:tblHeader/>
        </w:trPr>
        <w:tc>
          <w:tcPr>
            <w:tcW w:w="472" w:type="pct"/>
          </w:tcPr>
          <w:p w14:paraId="2C1595D0" w14:textId="7601B6DF" w:rsidR="00A450DF" w:rsidRDefault="00A450DF" w:rsidP="00D407F2">
            <w:pPr>
              <w:spacing w:after="0" w:line="276" w:lineRule="auto"/>
              <w:rPr>
                <w:rFonts w:ascii="ITC Avant Garde" w:eastAsia="Calibri" w:hAnsi="ITC Avant Garde" w:cs="Arial"/>
                <w:b/>
                <w:bCs/>
                <w:color w:val="000000" w:themeColor="text1"/>
                <w:sz w:val="18"/>
                <w:szCs w:val="18"/>
              </w:rPr>
            </w:pPr>
            <w:r w:rsidRPr="0080499D">
              <w:rPr>
                <w:rFonts w:ascii="ITC Avant Garde" w:hAnsi="ITC Avant Garde" w:cs="Arial"/>
                <w:b/>
                <w:sz w:val="18"/>
                <w:szCs w:val="18"/>
              </w:rPr>
              <w:t>Qualcomm International</w:t>
            </w:r>
            <w:r>
              <w:rPr>
                <w:rFonts w:ascii="ITC Avant Garde" w:hAnsi="ITC Avant Garde" w:cs="Arial"/>
                <w:b/>
                <w:sz w:val="18"/>
                <w:szCs w:val="18"/>
              </w:rPr>
              <w:t>,</w:t>
            </w:r>
            <w:r w:rsidRPr="0080499D">
              <w:rPr>
                <w:rFonts w:ascii="ITC Avant Garde" w:hAnsi="ITC Avant Garde" w:cs="Arial"/>
                <w:b/>
                <w:sz w:val="18"/>
                <w:szCs w:val="18"/>
              </w:rPr>
              <w:t xml:space="preserve"> Inc.  </w:t>
            </w:r>
          </w:p>
        </w:tc>
        <w:tc>
          <w:tcPr>
            <w:tcW w:w="570" w:type="pct"/>
            <w:shd w:val="clear" w:color="auto" w:fill="auto"/>
          </w:tcPr>
          <w:p w14:paraId="532110E5" w14:textId="77777777" w:rsidR="00A450DF" w:rsidRPr="00637136" w:rsidRDefault="00A450DF" w:rsidP="00D407F2">
            <w:pPr>
              <w:pStyle w:val="Ttulo3"/>
              <w:spacing w:before="0" w:line="276" w:lineRule="auto"/>
              <w:jc w:val="both"/>
              <w:rPr>
                <w:rFonts w:ascii="ITC Avant Garde" w:eastAsia="Calibri" w:hAnsi="ITC Avant Garde" w:cs="Arial"/>
                <w:b/>
                <w:bCs/>
                <w:color w:val="000000" w:themeColor="text1"/>
                <w:sz w:val="18"/>
                <w:szCs w:val="18"/>
              </w:rPr>
            </w:pPr>
          </w:p>
        </w:tc>
        <w:tc>
          <w:tcPr>
            <w:tcW w:w="1966" w:type="pct"/>
            <w:shd w:val="clear" w:color="auto" w:fill="auto"/>
          </w:tcPr>
          <w:p w14:paraId="283C43B3" w14:textId="77777777" w:rsidR="00A450DF" w:rsidRDefault="00A450DF" w:rsidP="00A450DF">
            <w:pPr>
              <w:tabs>
                <w:tab w:val="left" w:pos="2010"/>
              </w:tabs>
              <w:spacing w:line="276" w:lineRule="auto"/>
              <w:jc w:val="both"/>
              <w:rPr>
                <w:rFonts w:ascii="ITC Avant Garde" w:hAnsi="ITC Avant Garde" w:cs="Arial"/>
                <w:i/>
                <w:color w:val="000000"/>
                <w:sz w:val="18"/>
                <w:szCs w:val="18"/>
              </w:rPr>
            </w:pPr>
            <w:r w:rsidRPr="0080499D">
              <w:rPr>
                <w:rFonts w:ascii="ITC Avant Garde" w:hAnsi="ITC Avant Garde" w:cs="Arial"/>
                <w:i/>
                <w:color w:val="000000"/>
                <w:sz w:val="18"/>
                <w:szCs w:val="18"/>
              </w:rPr>
              <w:t xml:space="preserve">Qualcomm apoya la iniciativa del IFT de iniciar un procedimiento de subasta para concesionar espectro comercial en las bandas 2530-2570 MHz pareada con 2650-2690 MHz y en la banda 2575-2615 MHz en México, y agradece la oportunidad brindada por el IFT para presentar comentarios en este procedimiento de consulta pública. </w:t>
            </w:r>
          </w:p>
          <w:p w14:paraId="2AFDFE19" w14:textId="77777777" w:rsidR="00A450DF" w:rsidRDefault="00A450DF" w:rsidP="00A450DF">
            <w:pPr>
              <w:tabs>
                <w:tab w:val="left" w:pos="2010"/>
              </w:tabs>
              <w:spacing w:line="276" w:lineRule="auto"/>
              <w:jc w:val="both"/>
              <w:rPr>
                <w:rFonts w:ascii="ITC Avant Garde" w:hAnsi="ITC Avant Garde" w:cs="Arial"/>
                <w:i/>
                <w:color w:val="000000"/>
                <w:sz w:val="18"/>
                <w:szCs w:val="18"/>
              </w:rPr>
            </w:pPr>
            <w:r w:rsidRPr="0080499D">
              <w:rPr>
                <w:rFonts w:ascii="ITC Avant Garde" w:hAnsi="ITC Avant Garde" w:cs="Arial"/>
                <w:i/>
                <w:color w:val="000000"/>
                <w:sz w:val="18"/>
                <w:szCs w:val="18"/>
              </w:rPr>
              <w:t xml:space="preserve">Qualcomm considera que las políticas que están siendo adelantadas por el gobierno de México con relación al uso de las bandas referidas para servicios de acceso inalámbrico móvil, contribuirán significativamente a maximizar los beneficios económicos y sociales asociados con la asignación de estas </w:t>
            </w:r>
            <w:r w:rsidRPr="0080499D">
              <w:rPr>
                <w:rFonts w:ascii="ITC Avant Garde" w:hAnsi="ITC Avant Garde" w:cs="Arial"/>
                <w:i/>
                <w:color w:val="000000"/>
                <w:sz w:val="18"/>
                <w:szCs w:val="18"/>
              </w:rPr>
              <w:lastRenderedPageBreak/>
              <w:t>nuevas bandas, incrementando la penetración de servicios móviles de banda ancha y servicios de última generación en el país. Por tanto, consideramos acertada la iniciativa del IFT de proceder a</w:t>
            </w:r>
            <w:r w:rsidRPr="0080499D">
              <w:t xml:space="preserve"> </w:t>
            </w:r>
            <w:r w:rsidRPr="0080499D">
              <w:rPr>
                <w:rFonts w:ascii="ITC Avant Garde" w:hAnsi="ITC Avant Garde" w:cs="Arial"/>
                <w:i/>
                <w:color w:val="000000"/>
                <w:sz w:val="18"/>
                <w:szCs w:val="18"/>
              </w:rPr>
              <w:t xml:space="preserve">la asignación de 120 MHz de espectro adicionales en la banda de 2500 MHz. Ello servirá para continuar generando mayor competencia, mejor calidad en los servicios y para impulsar la masificación del uso de Internet en México, entre otros beneficios. </w:t>
            </w:r>
          </w:p>
          <w:p w14:paraId="34C17762" w14:textId="77777777" w:rsidR="00A450DF" w:rsidRDefault="00A450DF" w:rsidP="00A450DF">
            <w:pPr>
              <w:tabs>
                <w:tab w:val="left" w:pos="2010"/>
              </w:tabs>
              <w:spacing w:line="276" w:lineRule="auto"/>
              <w:jc w:val="both"/>
              <w:rPr>
                <w:rFonts w:ascii="ITC Avant Garde" w:hAnsi="ITC Avant Garde" w:cs="Arial"/>
                <w:i/>
                <w:color w:val="000000"/>
                <w:sz w:val="18"/>
                <w:szCs w:val="18"/>
              </w:rPr>
            </w:pPr>
            <w:r w:rsidRPr="0080499D">
              <w:rPr>
                <w:rFonts w:ascii="ITC Avant Garde" w:hAnsi="ITC Avant Garde" w:cs="Arial"/>
                <w:i/>
                <w:color w:val="000000"/>
                <w:sz w:val="18"/>
                <w:szCs w:val="18"/>
              </w:rPr>
              <w:t xml:space="preserve">Las comunicaciones de banda ancha móvil se han desarrollado de manera exponencial en los últimos años. Los sistemas móviles ya son la plataforma tecnológica más grande de la historia, y las tecnologías de cuarta (4G) y quinta generación (5G) tienen la oportunidad de expandirla aún más, transformando personas, sociedades e industrias. </w:t>
            </w:r>
          </w:p>
          <w:p w14:paraId="7D0DAF15" w14:textId="77777777" w:rsidR="00A450DF" w:rsidRDefault="00A450DF" w:rsidP="00A450DF">
            <w:pPr>
              <w:tabs>
                <w:tab w:val="left" w:pos="2010"/>
              </w:tabs>
              <w:spacing w:line="276" w:lineRule="auto"/>
              <w:jc w:val="both"/>
              <w:rPr>
                <w:rFonts w:ascii="ITC Avant Garde" w:hAnsi="ITC Avant Garde" w:cs="Arial"/>
                <w:i/>
                <w:color w:val="000000"/>
                <w:sz w:val="18"/>
                <w:szCs w:val="18"/>
              </w:rPr>
            </w:pPr>
            <w:r w:rsidRPr="0080499D">
              <w:rPr>
                <w:rFonts w:ascii="ITC Avant Garde" w:hAnsi="ITC Avant Garde" w:cs="Arial"/>
                <w:i/>
                <w:color w:val="000000"/>
                <w:sz w:val="18"/>
                <w:szCs w:val="18"/>
              </w:rPr>
              <w:t xml:space="preserve">Dado el proceso de promoción de servicios móviles de banda ancha que viene adelantando el IFT, queremos enfatizar la importancia del uso eficiente del espectro como herramienta fundamental para lograr los objetivos de la política regulatoria del IFT. El despliegue de tecnologías y bandas de frecuencia en línea con estándares internacionales es un paso clave para fortalecer la conectividad, aumentar la velocidad y asegurar la confiabilidad en el uso de nuevas tecnologías inalámbricas. Igualmente, las políticas gubernamentales deben promocionar y dar soporte a un ambiente apropiado, que fomente la inversión y la transparencia en los procesos de asignación de espectro. El diseño de un proceso de subasta abierto y transparente, con reglas claras sometidas a </w:t>
            </w:r>
            <w:r w:rsidRPr="0080499D">
              <w:rPr>
                <w:rFonts w:ascii="ITC Avant Garde" w:hAnsi="ITC Avant Garde" w:cs="Arial"/>
                <w:i/>
                <w:color w:val="000000"/>
                <w:sz w:val="18"/>
                <w:szCs w:val="18"/>
              </w:rPr>
              <w:lastRenderedPageBreak/>
              <w:t xml:space="preserve">consulta pública como el propuesto por el IFT, es un ejemplo de este tipo de políticas. </w:t>
            </w:r>
          </w:p>
          <w:p w14:paraId="2FAA8B75" w14:textId="77777777" w:rsidR="00A450DF" w:rsidRDefault="00A450DF" w:rsidP="00A450DF">
            <w:pPr>
              <w:tabs>
                <w:tab w:val="left" w:pos="2010"/>
              </w:tabs>
              <w:spacing w:line="276" w:lineRule="auto"/>
              <w:jc w:val="both"/>
              <w:rPr>
                <w:rFonts w:ascii="ITC Avant Garde" w:hAnsi="ITC Avant Garde" w:cs="Arial"/>
                <w:i/>
                <w:color w:val="000000"/>
                <w:sz w:val="18"/>
                <w:szCs w:val="18"/>
              </w:rPr>
            </w:pPr>
            <w:r w:rsidRPr="0080499D">
              <w:rPr>
                <w:rFonts w:ascii="ITC Avant Garde" w:hAnsi="ITC Avant Garde" w:cs="Arial"/>
                <w:i/>
                <w:color w:val="000000"/>
                <w:sz w:val="18"/>
                <w:szCs w:val="18"/>
              </w:rPr>
              <w:t xml:space="preserve">Por otro lado, Qualcomm desea resaltar su apoyo al IFT por continuar implementando políticas que promuevan la armonización internacional en el uso del espectro radioeléctrico. Una vez más, ello juega un papel instrumental para el desarrollo de las tecnologías inalámbricas, así como para promover el bienestar de los consumidores mexicanos. </w:t>
            </w:r>
          </w:p>
          <w:p w14:paraId="36921435" w14:textId="3CB4DFC5" w:rsidR="00A450DF" w:rsidRPr="0080499D" w:rsidRDefault="00A450DF" w:rsidP="00A450DF">
            <w:pPr>
              <w:tabs>
                <w:tab w:val="left" w:pos="2010"/>
              </w:tabs>
              <w:spacing w:line="276" w:lineRule="auto"/>
              <w:jc w:val="both"/>
              <w:rPr>
                <w:rFonts w:ascii="ITC Avant Garde" w:hAnsi="ITC Avant Garde" w:cs="Arial"/>
                <w:i/>
                <w:color w:val="000000"/>
                <w:sz w:val="18"/>
                <w:szCs w:val="18"/>
              </w:rPr>
            </w:pPr>
            <w:r w:rsidRPr="0080499D">
              <w:rPr>
                <w:rFonts w:ascii="ITC Avant Garde" w:hAnsi="ITC Avant Garde" w:cs="Arial"/>
                <w:i/>
                <w:color w:val="000000"/>
                <w:sz w:val="18"/>
                <w:szCs w:val="18"/>
              </w:rPr>
              <w:t>Por último, Qualcomm agradece nuevamente la oportunidad de poder presentar comentarios y visión sobre el desarrollo del sector de tecnologías inalámbricas y manifestar que apoya plenamente las iniciativas regulatorias que, como la presente, busquen asegurar la competencia e innovación en el sector de tecnologías y servicios de comunicaciones.</w:t>
            </w:r>
          </w:p>
        </w:tc>
        <w:tc>
          <w:tcPr>
            <w:tcW w:w="1992" w:type="pct"/>
            <w:shd w:val="clear" w:color="auto" w:fill="FFFFFF" w:themeFill="background1"/>
          </w:tcPr>
          <w:p w14:paraId="59F59DEC" w14:textId="39D70DA8" w:rsidR="00A450DF" w:rsidRDefault="00A450DF" w:rsidP="00A450DF">
            <w:pPr>
              <w:spacing w:line="276" w:lineRule="auto"/>
              <w:jc w:val="both"/>
              <w:rPr>
                <w:rFonts w:ascii="ITC Avant Garde" w:hAnsi="ITC Avant Garde"/>
                <w:sz w:val="18"/>
                <w:szCs w:val="18"/>
              </w:rPr>
            </w:pPr>
            <w:r>
              <w:rPr>
                <w:rFonts w:ascii="ITC Avant Garde" w:hAnsi="ITC Avant Garde"/>
                <w:sz w:val="18"/>
                <w:szCs w:val="18"/>
              </w:rPr>
              <w:lastRenderedPageBreak/>
              <w:t>Con relación a</w:t>
            </w:r>
            <w:r w:rsidR="00756BF8">
              <w:rPr>
                <w:rFonts w:ascii="ITC Avant Garde" w:hAnsi="ITC Avant Garde"/>
                <w:sz w:val="18"/>
                <w:szCs w:val="18"/>
              </w:rPr>
              <w:t xml:space="preserve"> los </w:t>
            </w:r>
            <w:r>
              <w:rPr>
                <w:rFonts w:ascii="ITC Avant Garde" w:hAnsi="ITC Avant Garde"/>
                <w:sz w:val="18"/>
                <w:szCs w:val="18"/>
              </w:rPr>
              <w:t>comentario</w:t>
            </w:r>
            <w:r w:rsidR="00756BF8">
              <w:rPr>
                <w:rFonts w:ascii="ITC Avant Garde" w:hAnsi="ITC Avant Garde"/>
                <w:sz w:val="18"/>
                <w:szCs w:val="18"/>
              </w:rPr>
              <w:t>s</w:t>
            </w:r>
            <w:r>
              <w:rPr>
                <w:rFonts w:ascii="ITC Avant Garde" w:hAnsi="ITC Avant Garde"/>
                <w:sz w:val="18"/>
                <w:szCs w:val="18"/>
              </w:rPr>
              <w:t xml:space="preserve"> de </w:t>
            </w:r>
            <w:r>
              <w:rPr>
                <w:rFonts w:ascii="ITC Avant Garde" w:hAnsi="ITC Avant Garde"/>
                <w:b/>
                <w:sz w:val="18"/>
                <w:szCs w:val="18"/>
              </w:rPr>
              <w:t>Qualcomm International, Inc.</w:t>
            </w:r>
            <w:r>
              <w:rPr>
                <w:rFonts w:ascii="ITC Avant Garde" w:hAnsi="ITC Avant Garde"/>
                <w:sz w:val="18"/>
                <w:szCs w:val="18"/>
              </w:rPr>
              <w:t xml:space="preserve"> relativo al apoyo del procedimiento de Licitación</w:t>
            </w:r>
            <w:r w:rsidRPr="00A3519C">
              <w:rPr>
                <w:rFonts w:ascii="ITC Avant Garde" w:hAnsi="ITC Avant Garde"/>
                <w:sz w:val="18"/>
                <w:szCs w:val="18"/>
              </w:rPr>
              <w:t>, el Instituto toma</w:t>
            </w:r>
            <w:r w:rsidR="00756BF8">
              <w:rPr>
                <w:rFonts w:ascii="ITC Avant Garde" w:hAnsi="ITC Avant Garde"/>
                <w:sz w:val="18"/>
                <w:szCs w:val="18"/>
              </w:rPr>
              <w:t xml:space="preserve"> en</w:t>
            </w:r>
            <w:r w:rsidRPr="00A3519C">
              <w:rPr>
                <w:rFonts w:ascii="ITC Avant Garde" w:hAnsi="ITC Avant Garde"/>
                <w:sz w:val="18"/>
                <w:szCs w:val="18"/>
              </w:rPr>
              <w:t xml:space="preserve"> consideración de sus aportaciones.</w:t>
            </w:r>
          </w:p>
          <w:p w14:paraId="1D1E0821" w14:textId="77777777" w:rsidR="00A450DF" w:rsidRDefault="00A450DF" w:rsidP="00B33557">
            <w:pPr>
              <w:spacing w:line="276" w:lineRule="auto"/>
              <w:jc w:val="both"/>
              <w:rPr>
                <w:rFonts w:ascii="ITC Avant Garde" w:hAnsi="ITC Avant Garde"/>
                <w:sz w:val="18"/>
                <w:szCs w:val="18"/>
              </w:rPr>
            </w:pPr>
          </w:p>
        </w:tc>
      </w:tr>
      <w:tr w:rsidR="00E6423E" w:rsidRPr="00637136" w14:paraId="66E4B80C" w14:textId="77777777" w:rsidTr="009155A1">
        <w:trPr>
          <w:trHeight w:val="290"/>
          <w:tblHeader/>
        </w:trPr>
        <w:tc>
          <w:tcPr>
            <w:tcW w:w="472" w:type="pct"/>
            <w:vAlign w:val="center"/>
          </w:tcPr>
          <w:p w14:paraId="3163AE78" w14:textId="3FDFF97D" w:rsidR="00E6423E" w:rsidRDefault="00E6423E" w:rsidP="00D407F2">
            <w:pPr>
              <w:spacing w:after="0" w:line="276" w:lineRule="auto"/>
              <w:rPr>
                <w:rFonts w:ascii="ITC Avant Garde" w:eastAsia="Calibri" w:hAnsi="ITC Avant Garde" w:cs="Arial"/>
                <w:b/>
                <w:bCs/>
                <w:color w:val="000000" w:themeColor="text1"/>
                <w:sz w:val="18"/>
                <w:szCs w:val="18"/>
              </w:rPr>
            </w:pPr>
            <w:r w:rsidRPr="00B5458E">
              <w:rPr>
                <w:rFonts w:ascii="ITC Avant Garde" w:hAnsi="ITC Avant Garde" w:cs="Arial"/>
                <w:b/>
                <w:sz w:val="18"/>
                <w:szCs w:val="18"/>
              </w:rPr>
              <w:lastRenderedPageBreak/>
              <w:t xml:space="preserve">Octavio Lecona Morales y Blanca Luévano García  </w:t>
            </w:r>
          </w:p>
        </w:tc>
        <w:tc>
          <w:tcPr>
            <w:tcW w:w="570" w:type="pct"/>
            <w:shd w:val="clear" w:color="auto" w:fill="auto"/>
            <w:vAlign w:val="center"/>
          </w:tcPr>
          <w:p w14:paraId="5828F7F3" w14:textId="270D3CAA" w:rsidR="00E6423E" w:rsidRPr="00B5458E" w:rsidRDefault="00E6423E" w:rsidP="00D407F2">
            <w:pPr>
              <w:spacing w:after="0" w:line="276" w:lineRule="auto"/>
              <w:jc w:val="both"/>
              <w:rPr>
                <w:rFonts w:ascii="ITC Avant Garde" w:eastAsia="Calibri" w:hAnsi="ITC Avant Garde" w:cs="Arial"/>
                <w:b/>
                <w:bCs/>
                <w:color w:val="000000" w:themeColor="text1"/>
                <w:sz w:val="18"/>
                <w:szCs w:val="18"/>
              </w:rPr>
            </w:pPr>
            <w:r w:rsidRPr="00B5458E">
              <w:rPr>
                <w:rFonts w:ascii="ITC Avant Garde" w:eastAsia="Calibri" w:hAnsi="ITC Avant Garde" w:cs="Arial"/>
                <w:b/>
                <w:bCs/>
                <w:color w:val="000000" w:themeColor="text1"/>
                <w:sz w:val="18"/>
                <w:szCs w:val="18"/>
              </w:rPr>
              <w:t>Definición de “Acceso Inalámbrico” Proyecto de Bases (página 4)</w:t>
            </w:r>
          </w:p>
        </w:tc>
        <w:tc>
          <w:tcPr>
            <w:tcW w:w="1966" w:type="pct"/>
            <w:shd w:val="clear" w:color="auto" w:fill="auto"/>
          </w:tcPr>
          <w:p w14:paraId="36BD149F" w14:textId="1C0E678C" w:rsidR="00E6423E" w:rsidRPr="00B5458E" w:rsidRDefault="00E6423E" w:rsidP="00D407F2">
            <w:pPr>
              <w:spacing w:line="276" w:lineRule="auto"/>
              <w:jc w:val="both"/>
              <w:rPr>
                <w:rFonts w:ascii="ITC Avant Garde" w:hAnsi="ITC Avant Garde" w:cs="Arial"/>
                <w:i/>
                <w:color w:val="000000"/>
                <w:sz w:val="18"/>
                <w:szCs w:val="18"/>
              </w:rPr>
            </w:pPr>
            <w:r w:rsidRPr="00B5458E">
              <w:rPr>
                <w:rFonts w:ascii="ITC Avant Garde" w:hAnsi="ITC Avant Garde" w:cs="Arial"/>
                <w:i/>
                <w:color w:val="000000"/>
                <w:sz w:val="18"/>
                <w:szCs w:val="18"/>
              </w:rPr>
              <w:t xml:space="preserve">Se sugiere </w:t>
            </w:r>
            <w:r w:rsidRPr="00BE5FD2">
              <w:rPr>
                <w:rFonts w:ascii="ITC Avant Garde" w:hAnsi="ITC Avant Garde" w:cs="Arial"/>
                <w:i/>
                <w:color w:val="000000"/>
                <w:sz w:val="18"/>
                <w:szCs w:val="18"/>
              </w:rPr>
              <w:t>usar la misma terminología utilizada en la licitación IFT-3 en la que se emplea “acceso inalámbrico móvil – banda ancha”</w:t>
            </w:r>
            <w:r w:rsidRPr="00B5458E">
              <w:rPr>
                <w:rFonts w:ascii="ITC Avant Garde" w:hAnsi="ITC Avant Garde" w:cs="Arial"/>
                <w:i/>
                <w:color w:val="000000"/>
                <w:sz w:val="18"/>
                <w:szCs w:val="18"/>
              </w:rPr>
              <w:t>. Aunado a lo anterior, en el Programa Anual de Uso y Aprovechamiento de Bandas de Frecuencia 2016, se establece que la banda de frecuencias 2500-2690 se destinará para el servicio de acceso inalámbrico móvil – banda ancha.</w:t>
            </w:r>
            <w:r w:rsidRPr="00B5458E">
              <w:rPr>
                <w:rFonts w:ascii="ITC Avant Garde" w:hAnsi="ITC Avant Garde" w:cs="Arial"/>
                <w:i/>
                <w:iCs/>
                <w:color w:val="000000"/>
                <w:sz w:val="18"/>
                <w:szCs w:val="18"/>
              </w:rPr>
              <w:t xml:space="preserve"> </w:t>
            </w:r>
            <w:r>
              <w:rPr>
                <w:rFonts w:ascii="ITC Avant Garde" w:hAnsi="ITC Avant Garde" w:cs="Arial"/>
                <w:iCs/>
                <w:color w:val="000000"/>
                <w:sz w:val="18"/>
                <w:szCs w:val="18"/>
              </w:rPr>
              <w:t xml:space="preserve"> </w:t>
            </w:r>
          </w:p>
        </w:tc>
        <w:tc>
          <w:tcPr>
            <w:tcW w:w="1992" w:type="pct"/>
            <w:shd w:val="clear" w:color="auto" w:fill="FFFFFF" w:themeFill="background1"/>
          </w:tcPr>
          <w:p w14:paraId="63328D3D" w14:textId="7B1B8656" w:rsidR="00E6423E" w:rsidRDefault="00E6423E" w:rsidP="00E6423E">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sidRPr="003F7AF7">
              <w:rPr>
                <w:rFonts w:ascii="ITC Avant Garde" w:hAnsi="ITC Avant Garde"/>
                <w:b/>
                <w:sz w:val="18"/>
                <w:szCs w:val="18"/>
              </w:rPr>
              <w:t xml:space="preserve">Octavio Lecona Morales y Blanca Luévano García  </w:t>
            </w:r>
            <w:r>
              <w:rPr>
                <w:rFonts w:ascii="ITC Avant Garde" w:hAnsi="ITC Avant Garde"/>
                <w:sz w:val="18"/>
                <w:szCs w:val="18"/>
              </w:rPr>
              <w:t xml:space="preserve">relativo a </w:t>
            </w:r>
            <w:r w:rsidRPr="00BE5FD2">
              <w:rPr>
                <w:rFonts w:ascii="ITC Avant Garde" w:hAnsi="ITC Avant Garde"/>
                <w:sz w:val="18"/>
                <w:szCs w:val="18"/>
              </w:rPr>
              <w:t xml:space="preserve">usar la misma terminología utilizada en la licitación IFT-3, donde se empleó </w:t>
            </w:r>
            <w:r w:rsidRPr="00BE5FD2">
              <w:rPr>
                <w:rFonts w:ascii="ITC Avant Garde" w:hAnsi="ITC Avant Garde"/>
                <w:i/>
                <w:sz w:val="18"/>
                <w:szCs w:val="18"/>
              </w:rPr>
              <w:t>“acceso inalámbrico móvil – banda ancha”</w:t>
            </w:r>
            <w:r w:rsidRPr="00BE5FD2">
              <w:rPr>
                <w:rFonts w:ascii="ITC Avant Garde" w:hAnsi="ITC Avant Garde"/>
                <w:sz w:val="18"/>
                <w:szCs w:val="18"/>
              </w:rPr>
              <w:t>,</w:t>
            </w:r>
            <w:r>
              <w:rPr>
                <w:rFonts w:ascii="ITC Avant Garde" w:hAnsi="ITC Avant Garde"/>
                <w:sz w:val="18"/>
                <w:szCs w:val="18"/>
              </w:rPr>
              <w:t xml:space="preserve"> </w:t>
            </w:r>
            <w:r w:rsidR="00E64004">
              <w:rPr>
                <w:rFonts w:ascii="ITC Avant Garde" w:hAnsi="ITC Avant Garde"/>
                <w:sz w:val="18"/>
                <w:szCs w:val="18"/>
              </w:rPr>
              <w:t>se informa que en el Anteproyecto se utiliza el término acceso inalámbrico, definido como e</w:t>
            </w:r>
            <w:r w:rsidR="00E64004" w:rsidRPr="00E64004">
              <w:rPr>
                <w:rFonts w:ascii="ITC Avant Garde" w:hAnsi="ITC Avant Garde"/>
                <w:sz w:val="18"/>
                <w:szCs w:val="18"/>
              </w:rPr>
              <w:t>l enlace radioeléctrico bidireccional entre una red pública de telecomunicaciones y el usuario final, para la transmisión de signos, señales, escritos, imágenes, video, voz, sonidos, datos o información de cualquier naturaleza</w:t>
            </w:r>
            <w:r w:rsidR="00E64004">
              <w:rPr>
                <w:rFonts w:ascii="ITC Avant Garde" w:hAnsi="ITC Avant Garde"/>
                <w:sz w:val="18"/>
                <w:szCs w:val="18"/>
              </w:rPr>
              <w:t xml:space="preserve">. </w:t>
            </w:r>
          </w:p>
          <w:p w14:paraId="0ECCEE75" w14:textId="47016863" w:rsidR="00E6423E" w:rsidRDefault="00E6423E" w:rsidP="00B33557">
            <w:pPr>
              <w:spacing w:line="276" w:lineRule="auto"/>
              <w:jc w:val="both"/>
              <w:rPr>
                <w:rFonts w:ascii="ITC Avant Garde" w:hAnsi="ITC Avant Garde"/>
                <w:sz w:val="18"/>
                <w:szCs w:val="18"/>
              </w:rPr>
            </w:pPr>
          </w:p>
        </w:tc>
      </w:tr>
      <w:tr w:rsidR="00E6423E" w:rsidRPr="00637136" w14:paraId="6DC319C2" w14:textId="77777777" w:rsidTr="009155A1">
        <w:trPr>
          <w:trHeight w:val="290"/>
          <w:tblHeader/>
        </w:trPr>
        <w:tc>
          <w:tcPr>
            <w:tcW w:w="472" w:type="pct"/>
            <w:vAlign w:val="center"/>
          </w:tcPr>
          <w:p w14:paraId="2E8795E6" w14:textId="04A024AA" w:rsidR="00E6423E" w:rsidRPr="00637136" w:rsidRDefault="00E6423E" w:rsidP="00E6423E">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lastRenderedPageBreak/>
              <w:t xml:space="preserve">Octavio Lecona Morales y Blanca Luévano García  </w:t>
            </w:r>
          </w:p>
          <w:p w14:paraId="7E7C9AD4" w14:textId="77777777" w:rsidR="00E6423E" w:rsidRDefault="00E6423E"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0D4CB98B" w14:textId="5445F436" w:rsidR="00E6423E" w:rsidRPr="00B5458E" w:rsidRDefault="00E6423E" w:rsidP="00D407F2">
            <w:pPr>
              <w:spacing w:after="0" w:line="276" w:lineRule="auto"/>
              <w:jc w:val="both"/>
              <w:rPr>
                <w:rFonts w:ascii="ITC Avant Garde" w:eastAsia="Calibri" w:hAnsi="ITC Avant Garde" w:cs="Arial"/>
                <w:b/>
                <w:bCs/>
                <w:color w:val="000000" w:themeColor="text1"/>
                <w:sz w:val="18"/>
                <w:szCs w:val="18"/>
              </w:rPr>
            </w:pPr>
            <w:r w:rsidRPr="00B5458E">
              <w:rPr>
                <w:rFonts w:ascii="ITC Avant Garde" w:eastAsia="Calibri" w:hAnsi="ITC Avant Garde" w:cs="Arial"/>
                <w:b/>
                <w:bCs/>
                <w:color w:val="000000" w:themeColor="text1"/>
                <w:sz w:val="18"/>
                <w:szCs w:val="18"/>
              </w:rPr>
              <w:t>Comprobante de pago de derechos por la expedición del título par el uso, aprovechamient o o explotación de bandas de frecuencias del espectro radioeléctrico de uso</w:t>
            </w:r>
            <w:r w:rsidRPr="00B5458E">
              <w:t xml:space="preserve"> </w:t>
            </w:r>
            <w:r w:rsidRPr="00B5458E">
              <w:rPr>
                <w:rFonts w:ascii="ITC Avant Garde" w:eastAsia="Calibri" w:hAnsi="ITC Avant Garde" w:cs="Arial"/>
                <w:b/>
                <w:bCs/>
                <w:color w:val="000000" w:themeColor="text1"/>
                <w:sz w:val="18"/>
                <w:szCs w:val="18"/>
              </w:rPr>
              <w:t>determinado para uso comercial Proyecto de Bases (página 27)</w:t>
            </w:r>
          </w:p>
        </w:tc>
        <w:tc>
          <w:tcPr>
            <w:tcW w:w="1966" w:type="pct"/>
            <w:shd w:val="clear" w:color="auto" w:fill="auto"/>
          </w:tcPr>
          <w:p w14:paraId="5376CD28" w14:textId="731033F8" w:rsidR="00E6423E" w:rsidRPr="003F7AF7" w:rsidRDefault="00E6423E" w:rsidP="00D407F2">
            <w:pPr>
              <w:spacing w:line="276" w:lineRule="auto"/>
              <w:jc w:val="both"/>
              <w:rPr>
                <w:rFonts w:ascii="ITC Avant Garde" w:hAnsi="ITC Avant Garde" w:cs="Arial"/>
                <w:i/>
                <w:color w:val="000000"/>
                <w:sz w:val="18"/>
                <w:szCs w:val="18"/>
                <w:highlight w:val="darkGray"/>
              </w:rPr>
            </w:pPr>
            <w:r w:rsidRPr="00BE5FD2">
              <w:rPr>
                <w:rFonts w:ascii="ITC Avant Garde" w:hAnsi="ITC Avant Garde" w:cs="Arial"/>
                <w:i/>
                <w:color w:val="000000"/>
                <w:sz w:val="18"/>
                <w:szCs w:val="18"/>
              </w:rPr>
              <w:t>Aclarar en qué casos el interesado deberá entregar, con la documentación de los Apéndices A) y E), el comprobante de pago de derechos</w:t>
            </w:r>
            <w:r w:rsidRPr="00B5458E">
              <w:rPr>
                <w:rFonts w:ascii="ITC Avant Garde" w:hAnsi="ITC Avant Garde" w:cs="Arial"/>
                <w:i/>
                <w:color w:val="000000"/>
                <w:sz w:val="18"/>
                <w:szCs w:val="18"/>
              </w:rPr>
              <w:t xml:space="preserve"> para la expedición del título para el uso, aprovechamiento o explotación de bandas de frecuencia del espectro radioeléctrico de uso determinado para uso comercial, ya que la frase “en su caso” genera confusión.</w:t>
            </w:r>
          </w:p>
        </w:tc>
        <w:tc>
          <w:tcPr>
            <w:tcW w:w="1992" w:type="pct"/>
            <w:shd w:val="clear" w:color="auto" w:fill="FFFFFF" w:themeFill="background1"/>
          </w:tcPr>
          <w:p w14:paraId="1D7B5201" w14:textId="072AA650" w:rsidR="00E6423E" w:rsidRDefault="00E6423E" w:rsidP="00E6423E">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sidRPr="003F7AF7">
              <w:rPr>
                <w:rFonts w:ascii="ITC Avant Garde" w:hAnsi="ITC Avant Garde"/>
                <w:b/>
                <w:sz w:val="18"/>
                <w:szCs w:val="18"/>
              </w:rPr>
              <w:t xml:space="preserve">Octavio Lecona </w:t>
            </w:r>
            <w:r>
              <w:rPr>
                <w:rFonts w:ascii="ITC Avant Garde" w:hAnsi="ITC Avant Garde"/>
                <w:b/>
                <w:sz w:val="18"/>
                <w:szCs w:val="18"/>
              </w:rPr>
              <w:t>Morales y Blanca Luévano García</w:t>
            </w:r>
            <w:r w:rsidRPr="003F7AF7">
              <w:rPr>
                <w:rFonts w:ascii="ITC Avant Garde" w:hAnsi="ITC Avant Garde"/>
                <w:b/>
                <w:sz w:val="18"/>
                <w:szCs w:val="18"/>
              </w:rPr>
              <w:t xml:space="preserve"> </w:t>
            </w:r>
            <w:r>
              <w:rPr>
                <w:rFonts w:ascii="ITC Avant Garde" w:hAnsi="ITC Avant Garde"/>
                <w:sz w:val="18"/>
                <w:szCs w:val="18"/>
              </w:rPr>
              <w:t xml:space="preserve">relativo </w:t>
            </w:r>
            <w:r w:rsidRPr="003F7AF7">
              <w:rPr>
                <w:rFonts w:ascii="ITC Avant Garde" w:hAnsi="ITC Avant Garde"/>
                <w:sz w:val="18"/>
                <w:szCs w:val="18"/>
              </w:rPr>
              <w:t xml:space="preserve">a </w:t>
            </w:r>
            <w:r w:rsidRPr="00BE5FD2">
              <w:rPr>
                <w:rFonts w:ascii="ITC Avant Garde" w:hAnsi="ITC Avant Garde"/>
                <w:sz w:val="18"/>
                <w:szCs w:val="18"/>
              </w:rPr>
              <w:t>aclarar en qué casos el interesado deberá entregar, con la documentación de los Apéndices A) y E), el comprobante de pago de derechos,</w:t>
            </w:r>
            <w:r>
              <w:rPr>
                <w:rFonts w:ascii="ITC Avant Garde" w:hAnsi="ITC Avant Garde"/>
                <w:sz w:val="18"/>
                <w:szCs w:val="18"/>
              </w:rPr>
              <w:t xml:space="preserve"> </w:t>
            </w:r>
            <w:r w:rsidR="00AD1040">
              <w:rPr>
                <w:rFonts w:ascii="ITC Avant Garde" w:hAnsi="ITC Avant Garde"/>
                <w:sz w:val="18"/>
                <w:szCs w:val="18"/>
              </w:rPr>
              <w:t>se aclara que</w:t>
            </w:r>
            <w:r w:rsidR="00BE5FD2" w:rsidRPr="00BE5FD2">
              <w:rPr>
                <w:rFonts w:ascii="ITC Avant Garde" w:hAnsi="ITC Avant Garde"/>
                <w:sz w:val="18"/>
                <w:szCs w:val="18"/>
              </w:rPr>
              <w:t>,</w:t>
            </w:r>
            <w:r w:rsidR="00AD1040">
              <w:rPr>
                <w:rFonts w:ascii="ITC Avant Garde" w:hAnsi="ITC Avant Garde"/>
                <w:sz w:val="18"/>
                <w:szCs w:val="18"/>
              </w:rPr>
              <w:t xml:space="preserve"> a</w:t>
            </w:r>
            <w:r w:rsidR="00AD1040" w:rsidRPr="00AD1040">
              <w:rPr>
                <w:rFonts w:ascii="ITC Avant Garde" w:hAnsi="ITC Avant Garde"/>
                <w:sz w:val="18"/>
                <w:szCs w:val="18"/>
              </w:rPr>
              <w:t>l momento de entregar la documentación del Apéndice A y del Apéndice E, se deberá incluir el comprobante del pago de derechos por el estudio de la solicitud y, en su caso, expedición del título de concesión para el uso, aprovechamiento o explotación de bandas de frecuencias del espectro radioeléctrico de uso determinado para uso comercial, conforme a lo previsto por el artículo 173, inciso A, fracción I de la Ley Federal de Derechos</w:t>
            </w:r>
            <w:r w:rsidR="00AD1040">
              <w:rPr>
                <w:rFonts w:ascii="ITC Avant Garde" w:hAnsi="ITC Avant Garde"/>
                <w:sz w:val="18"/>
                <w:szCs w:val="18"/>
              </w:rPr>
              <w:t>.</w:t>
            </w:r>
          </w:p>
          <w:p w14:paraId="0FA95233" w14:textId="46959209" w:rsidR="00E6423E" w:rsidRDefault="00E6423E" w:rsidP="00B33557">
            <w:pPr>
              <w:spacing w:line="276" w:lineRule="auto"/>
              <w:jc w:val="both"/>
              <w:rPr>
                <w:rFonts w:ascii="ITC Avant Garde" w:hAnsi="ITC Avant Garde"/>
                <w:sz w:val="18"/>
                <w:szCs w:val="18"/>
              </w:rPr>
            </w:pPr>
          </w:p>
        </w:tc>
      </w:tr>
      <w:tr w:rsidR="00E6423E" w:rsidRPr="00637136" w14:paraId="634EB5EE" w14:textId="77777777" w:rsidTr="009155A1">
        <w:trPr>
          <w:trHeight w:val="290"/>
          <w:tblHeader/>
        </w:trPr>
        <w:tc>
          <w:tcPr>
            <w:tcW w:w="472" w:type="pct"/>
            <w:vAlign w:val="center"/>
          </w:tcPr>
          <w:p w14:paraId="3B71F023" w14:textId="01476510" w:rsidR="00E6423E" w:rsidRPr="00637136" w:rsidRDefault="00E6423E" w:rsidP="00E6423E">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t xml:space="preserve">Octavio Lecona Morales y Blanca Luévano García  </w:t>
            </w:r>
          </w:p>
          <w:p w14:paraId="5F478D98" w14:textId="77777777" w:rsidR="00E6423E" w:rsidRDefault="00E6423E"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570FE5E5" w14:textId="7C9CC3CB" w:rsidR="00E6423E" w:rsidRPr="00B5458E" w:rsidRDefault="00E6423E" w:rsidP="00D407F2">
            <w:pPr>
              <w:spacing w:after="0" w:line="276" w:lineRule="auto"/>
              <w:jc w:val="both"/>
              <w:rPr>
                <w:rFonts w:ascii="ITC Avant Garde" w:eastAsia="Calibri" w:hAnsi="ITC Avant Garde" w:cs="Arial"/>
                <w:b/>
                <w:bCs/>
                <w:color w:val="000000" w:themeColor="text1"/>
                <w:sz w:val="18"/>
                <w:szCs w:val="18"/>
              </w:rPr>
            </w:pPr>
            <w:r w:rsidRPr="00B5458E">
              <w:rPr>
                <w:rFonts w:ascii="ITC Avant Garde" w:eastAsia="Calibri" w:hAnsi="ITC Avant Garde" w:cs="Arial"/>
                <w:b/>
                <w:bCs/>
                <w:color w:val="000000" w:themeColor="text1"/>
                <w:sz w:val="18"/>
                <w:szCs w:val="18"/>
              </w:rPr>
              <w:t>Causales de descalificación, fracción II (Prácticas monopólicas) Proyecto de Bases (página 43)</w:t>
            </w:r>
          </w:p>
        </w:tc>
        <w:tc>
          <w:tcPr>
            <w:tcW w:w="1966" w:type="pct"/>
            <w:shd w:val="clear" w:color="auto" w:fill="auto"/>
          </w:tcPr>
          <w:p w14:paraId="17F36EB1" w14:textId="7B4948C5" w:rsidR="00E6423E" w:rsidRPr="00B5458E" w:rsidRDefault="00E6423E" w:rsidP="00D407F2">
            <w:pPr>
              <w:spacing w:line="276" w:lineRule="auto"/>
              <w:jc w:val="both"/>
              <w:rPr>
                <w:rFonts w:ascii="ITC Avant Garde" w:hAnsi="ITC Avant Garde" w:cs="Arial"/>
                <w:i/>
                <w:color w:val="000000"/>
                <w:sz w:val="18"/>
                <w:szCs w:val="18"/>
              </w:rPr>
            </w:pPr>
            <w:r>
              <w:rPr>
                <w:rFonts w:ascii="ITC Avant Garde" w:hAnsi="ITC Avant Garde" w:cs="Arial"/>
                <w:i/>
                <w:color w:val="000000"/>
                <w:sz w:val="18"/>
                <w:szCs w:val="18"/>
              </w:rPr>
              <w:t xml:space="preserve">La </w:t>
            </w:r>
            <w:r w:rsidRPr="00B5458E">
              <w:rPr>
                <w:rFonts w:ascii="ITC Avant Garde" w:hAnsi="ITC Avant Garde" w:cs="Arial"/>
                <w:i/>
                <w:color w:val="000000"/>
                <w:sz w:val="18"/>
                <w:szCs w:val="18"/>
              </w:rPr>
              <w:t xml:space="preserve">fracción II establece que será causal de descalificación el “Incurrir en las prácticas a las que se hace referencia en el numeral 11 de las Bases” –prácticas monopólicas absolutas-. </w:t>
            </w:r>
            <w:r w:rsidRPr="00A83964">
              <w:rPr>
                <w:rFonts w:ascii="ITC Avant Garde" w:hAnsi="ITC Avant Garde" w:cs="Arial"/>
                <w:i/>
                <w:color w:val="000000"/>
                <w:sz w:val="18"/>
                <w:szCs w:val="18"/>
              </w:rPr>
              <w:t xml:space="preserve">Sugerimos aclarar en las Bases si con incurrir se entiende (i) que la Unidad de Competencia Económica del IFT cuente con indicios de la conducta e inicie un procedimiento de investigación, (ii) se presente una denuncia por prácticas monopólicas en contra del Participante, o cualquier otro </w:t>
            </w:r>
            <w:r w:rsidRPr="00AE1614">
              <w:rPr>
                <w:rFonts w:ascii="ITC Avant Garde" w:hAnsi="ITC Avant Garde" w:cs="Arial"/>
                <w:i/>
                <w:color w:val="000000"/>
                <w:sz w:val="18"/>
                <w:szCs w:val="18"/>
              </w:rPr>
              <w:t xml:space="preserve">que dé certeza jurídica a los </w:t>
            </w:r>
            <w:r w:rsidRPr="00AE1614">
              <w:rPr>
                <w:rFonts w:ascii="ITC Avant Garde" w:hAnsi="ITC Avant Garde" w:cs="Arial"/>
                <w:i/>
                <w:color w:val="000000"/>
                <w:sz w:val="18"/>
                <w:szCs w:val="18"/>
              </w:rPr>
              <w:lastRenderedPageBreak/>
              <w:t>participantes del</w:t>
            </w:r>
            <w:r w:rsidRPr="00B5458E">
              <w:rPr>
                <w:rFonts w:ascii="ITC Avant Garde" w:hAnsi="ITC Avant Garde" w:cs="Arial"/>
                <w:i/>
                <w:color w:val="000000"/>
                <w:sz w:val="18"/>
                <w:szCs w:val="18"/>
              </w:rPr>
              <w:t xml:space="preserve"> momento en el que se actualizaría dicha causal conforme a la Ley Federal de Competencia Económica.</w:t>
            </w:r>
          </w:p>
        </w:tc>
        <w:tc>
          <w:tcPr>
            <w:tcW w:w="1992" w:type="pct"/>
            <w:shd w:val="clear" w:color="auto" w:fill="FFFFFF" w:themeFill="background1"/>
          </w:tcPr>
          <w:p w14:paraId="0258DF8E" w14:textId="186B36F0" w:rsidR="005D7AB5" w:rsidRPr="005D7AB5" w:rsidRDefault="00E6423E" w:rsidP="005D7AB5">
            <w:pPr>
              <w:spacing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sidRPr="003F7AF7">
              <w:rPr>
                <w:rFonts w:ascii="ITC Avant Garde" w:hAnsi="ITC Avant Garde"/>
                <w:b/>
                <w:sz w:val="18"/>
                <w:szCs w:val="18"/>
              </w:rPr>
              <w:t xml:space="preserve">Octavio Lecona Morales y Blanca Luévano García </w:t>
            </w:r>
            <w:r>
              <w:rPr>
                <w:rFonts w:ascii="ITC Avant Garde" w:hAnsi="ITC Avant Garde"/>
                <w:sz w:val="18"/>
                <w:szCs w:val="18"/>
              </w:rPr>
              <w:t>relativo a</w:t>
            </w:r>
            <w:r w:rsidRPr="00A83964">
              <w:rPr>
                <w:rFonts w:ascii="ITC Avant Garde" w:hAnsi="ITC Avant Garde"/>
                <w:sz w:val="18"/>
                <w:szCs w:val="18"/>
              </w:rPr>
              <w:t xml:space="preserve"> aclarar</w:t>
            </w:r>
            <w:r w:rsidRPr="00A83964">
              <w:rPr>
                <w:rFonts w:ascii="ITC Avant Garde" w:hAnsi="ITC Avant Garde" w:cs="Arial"/>
                <w:color w:val="000000"/>
                <w:sz w:val="18"/>
                <w:szCs w:val="18"/>
              </w:rPr>
              <w:t xml:space="preserve"> </w:t>
            </w:r>
            <w:r w:rsidRPr="00A83964">
              <w:rPr>
                <w:rFonts w:ascii="ITC Avant Garde" w:hAnsi="ITC Avant Garde"/>
                <w:sz w:val="18"/>
                <w:szCs w:val="18"/>
              </w:rPr>
              <w:t xml:space="preserve">en las Bases </w:t>
            </w:r>
            <w:r w:rsidR="005D7AB5" w:rsidRPr="00A83964">
              <w:rPr>
                <w:rFonts w:ascii="ITC Avant Garde" w:hAnsi="ITC Avant Garde"/>
                <w:sz w:val="18"/>
                <w:szCs w:val="18"/>
              </w:rPr>
              <w:t>las causales de descalific</w:t>
            </w:r>
            <w:r w:rsidR="00136B69" w:rsidRPr="00A83964">
              <w:rPr>
                <w:rFonts w:ascii="ITC Avant Garde" w:hAnsi="ITC Avant Garde"/>
                <w:sz w:val="18"/>
                <w:szCs w:val="18"/>
              </w:rPr>
              <w:t>a</w:t>
            </w:r>
            <w:r w:rsidR="005D7AB5" w:rsidRPr="00A83964">
              <w:rPr>
                <w:rFonts w:ascii="ITC Avant Garde" w:hAnsi="ITC Avant Garde"/>
                <w:sz w:val="18"/>
                <w:szCs w:val="18"/>
              </w:rPr>
              <w:t>ción</w:t>
            </w:r>
            <w:r w:rsidRPr="00A83964">
              <w:rPr>
                <w:rFonts w:ascii="ITC Avant Garde" w:hAnsi="ITC Avant Garde"/>
                <w:sz w:val="18"/>
                <w:szCs w:val="18"/>
              </w:rPr>
              <w:t>,</w:t>
            </w:r>
            <w:r>
              <w:rPr>
                <w:rFonts w:ascii="ITC Avant Garde" w:hAnsi="ITC Avant Garde"/>
                <w:sz w:val="18"/>
                <w:szCs w:val="18"/>
              </w:rPr>
              <w:t xml:space="preserve"> </w:t>
            </w:r>
            <w:r w:rsidR="005D7AB5" w:rsidRPr="00A83964">
              <w:rPr>
                <w:rFonts w:ascii="ITC Avant Garde" w:hAnsi="ITC Avant Garde"/>
                <w:sz w:val="18"/>
                <w:szCs w:val="18"/>
              </w:rPr>
              <w:t>se comenta que el Ant</w:t>
            </w:r>
            <w:r w:rsidR="00A83964" w:rsidRPr="00A83964">
              <w:rPr>
                <w:rFonts w:ascii="ITC Avant Garde" w:hAnsi="ITC Avant Garde"/>
                <w:sz w:val="18"/>
                <w:szCs w:val="18"/>
              </w:rPr>
              <w:t>e</w:t>
            </w:r>
            <w:r w:rsidR="005D7AB5" w:rsidRPr="00A83964">
              <w:rPr>
                <w:rFonts w:ascii="ITC Avant Garde" w:hAnsi="ITC Avant Garde"/>
                <w:sz w:val="18"/>
                <w:szCs w:val="18"/>
              </w:rPr>
              <w:t>proyecto establece las siguientes reglas de actuación:</w:t>
            </w:r>
          </w:p>
          <w:p w14:paraId="2684EE41" w14:textId="4BE8D3E8" w:rsidR="005D7AB5" w:rsidRPr="005D7AB5" w:rsidRDefault="005D7AB5" w:rsidP="005D7AB5">
            <w:pPr>
              <w:spacing w:line="276" w:lineRule="auto"/>
              <w:jc w:val="both"/>
              <w:rPr>
                <w:rFonts w:ascii="ITC Avant Garde" w:hAnsi="ITC Avant Garde"/>
                <w:sz w:val="18"/>
                <w:szCs w:val="18"/>
              </w:rPr>
            </w:pPr>
            <w:r w:rsidRPr="005D7AB5">
              <w:rPr>
                <w:rFonts w:ascii="ITC Avant Garde" w:hAnsi="ITC Avant Garde"/>
                <w:sz w:val="18"/>
                <w:szCs w:val="18"/>
              </w:rPr>
              <w:t xml:space="preserve">Los </w:t>
            </w:r>
            <w:r w:rsidR="00A83964" w:rsidRPr="00A83964">
              <w:rPr>
                <w:rFonts w:ascii="ITC Avant Garde" w:hAnsi="ITC Avant Garde"/>
                <w:sz w:val="18"/>
                <w:szCs w:val="18"/>
              </w:rPr>
              <w:t>interesados, participantes</w:t>
            </w:r>
            <w:r w:rsidRPr="005D7AB5">
              <w:rPr>
                <w:rFonts w:ascii="ITC Avant Garde" w:hAnsi="ITC Avant Garde"/>
                <w:sz w:val="18"/>
                <w:szCs w:val="18"/>
              </w:rPr>
              <w:t xml:space="preserve"> y </w:t>
            </w:r>
            <w:r w:rsidR="00A83964" w:rsidRPr="00A83964">
              <w:rPr>
                <w:rFonts w:ascii="ITC Avant Garde" w:hAnsi="ITC Avant Garde"/>
                <w:sz w:val="18"/>
                <w:szCs w:val="18"/>
              </w:rPr>
              <w:t>participantes ganadores</w:t>
            </w:r>
            <w:r w:rsidRPr="005D7AB5">
              <w:rPr>
                <w:rFonts w:ascii="ITC Avant Garde" w:hAnsi="ITC Avant Garde"/>
                <w:sz w:val="18"/>
                <w:szCs w:val="18"/>
              </w:rPr>
              <w:t>, desde el momento en que adquieran tal carácter, aceptan sujetarse a todos los términos y condiciones establecidos en las presentes Bases, sus Apéndices y Anexos.</w:t>
            </w:r>
          </w:p>
          <w:p w14:paraId="08529D17" w14:textId="078366BD" w:rsidR="005D7AB5" w:rsidRPr="005D7AB5" w:rsidRDefault="005D7AB5" w:rsidP="005D7AB5">
            <w:pPr>
              <w:spacing w:line="276" w:lineRule="auto"/>
              <w:jc w:val="both"/>
              <w:rPr>
                <w:rFonts w:ascii="ITC Avant Garde" w:hAnsi="ITC Avant Garde"/>
                <w:sz w:val="18"/>
                <w:szCs w:val="18"/>
              </w:rPr>
            </w:pPr>
            <w:r w:rsidRPr="005D7AB5">
              <w:rPr>
                <w:rFonts w:ascii="ITC Avant Garde" w:hAnsi="ITC Avant Garde"/>
                <w:sz w:val="18"/>
                <w:szCs w:val="18"/>
              </w:rPr>
              <w:lastRenderedPageBreak/>
              <w:t xml:space="preserve">Los </w:t>
            </w:r>
            <w:r w:rsidR="00A83964" w:rsidRPr="00A83964">
              <w:rPr>
                <w:rFonts w:ascii="ITC Avant Garde" w:hAnsi="ITC Avant Garde"/>
                <w:sz w:val="18"/>
                <w:szCs w:val="18"/>
              </w:rPr>
              <w:t>interesados, participantes</w:t>
            </w:r>
            <w:r w:rsidRPr="005D7AB5">
              <w:rPr>
                <w:rFonts w:ascii="ITC Avant Garde" w:hAnsi="ITC Avant Garde"/>
                <w:sz w:val="18"/>
                <w:szCs w:val="18"/>
              </w:rPr>
              <w:t xml:space="preserve"> y </w:t>
            </w:r>
            <w:r w:rsidR="00A83964" w:rsidRPr="00A83964">
              <w:rPr>
                <w:rFonts w:ascii="ITC Avant Garde" w:hAnsi="ITC Avant Garde"/>
                <w:sz w:val="18"/>
                <w:szCs w:val="18"/>
              </w:rPr>
              <w:t>participantes ganadores</w:t>
            </w:r>
            <w:r w:rsidRPr="005D7AB5">
              <w:rPr>
                <w:rFonts w:ascii="ITC Avant Garde" w:hAnsi="ITC Avant Garde"/>
                <w:sz w:val="18"/>
                <w:szCs w:val="18"/>
              </w:rPr>
              <w:t xml:space="preserve"> no deberán involucrarse en conductas que sean contrarias al desarrollo efectivo de la Licitación. En particular, es responsabilidad de los mismos, según sea el caso, asegurarse de que:</w:t>
            </w:r>
          </w:p>
          <w:p w14:paraId="64613187" w14:textId="57335DA6" w:rsidR="005D7AB5" w:rsidRPr="005D7AB5" w:rsidRDefault="005D7AB5" w:rsidP="00136B69">
            <w:pPr>
              <w:spacing w:line="276" w:lineRule="auto"/>
              <w:ind w:left="500" w:hanging="283"/>
              <w:jc w:val="both"/>
              <w:rPr>
                <w:rFonts w:ascii="ITC Avant Garde" w:hAnsi="ITC Avant Garde"/>
                <w:sz w:val="18"/>
                <w:szCs w:val="18"/>
              </w:rPr>
            </w:pPr>
            <w:r w:rsidRPr="005D7AB5">
              <w:rPr>
                <w:rFonts w:ascii="ITC Avant Garde" w:hAnsi="ITC Avant Garde"/>
                <w:sz w:val="18"/>
                <w:szCs w:val="18"/>
              </w:rPr>
              <w:t>I.</w:t>
            </w:r>
            <w:r w:rsidRPr="005D7AB5">
              <w:rPr>
                <w:rFonts w:ascii="ITC Avant Garde" w:hAnsi="ITC Avant Garde"/>
                <w:sz w:val="18"/>
                <w:szCs w:val="18"/>
              </w:rPr>
              <w:tab/>
              <w:t xml:space="preserve">Declaren cualquier asociación, directa o indirecta, con algún concesionario de espectro radioeléctrico para servicios de telecomunicaciones en México, a través del Apéndice E. Formulario de Competencia Económica y que, por lo tanto, se consideren como parte de su GIE o como </w:t>
            </w:r>
            <w:r w:rsidR="00A83964" w:rsidRPr="00A83964">
              <w:rPr>
                <w:rFonts w:ascii="ITC Avant Garde" w:hAnsi="ITC Avant Garde"/>
                <w:sz w:val="18"/>
                <w:szCs w:val="18"/>
              </w:rPr>
              <w:t>agentes económicos</w:t>
            </w:r>
            <w:r w:rsidRPr="005D7AB5">
              <w:rPr>
                <w:rFonts w:ascii="ITC Avant Garde" w:hAnsi="ITC Avant Garde"/>
                <w:sz w:val="18"/>
                <w:szCs w:val="18"/>
              </w:rPr>
              <w:t xml:space="preserve"> con los que el GIE tiene vínculos de tipo comercial, organizativo, económico o jurídico. </w:t>
            </w:r>
          </w:p>
          <w:p w14:paraId="0187772E" w14:textId="1E676128" w:rsidR="005D7AB5" w:rsidRPr="005D7AB5" w:rsidRDefault="005D7AB5" w:rsidP="00136B69">
            <w:pPr>
              <w:spacing w:line="276" w:lineRule="auto"/>
              <w:ind w:left="500" w:hanging="283"/>
              <w:jc w:val="both"/>
              <w:rPr>
                <w:rFonts w:ascii="ITC Avant Garde" w:hAnsi="ITC Avant Garde"/>
                <w:sz w:val="18"/>
                <w:szCs w:val="18"/>
              </w:rPr>
            </w:pPr>
            <w:r w:rsidRPr="005D7AB5">
              <w:rPr>
                <w:rFonts w:ascii="ITC Avant Garde" w:hAnsi="ITC Avant Garde"/>
                <w:sz w:val="18"/>
                <w:szCs w:val="18"/>
              </w:rPr>
              <w:t>II.</w:t>
            </w:r>
            <w:r w:rsidRPr="005D7AB5">
              <w:rPr>
                <w:rFonts w:ascii="ITC Avant Garde" w:hAnsi="ITC Avant Garde"/>
                <w:sz w:val="18"/>
                <w:szCs w:val="18"/>
              </w:rPr>
              <w:tab/>
              <w:t xml:space="preserve">No se encuentren asociados con algún otro </w:t>
            </w:r>
            <w:r w:rsidR="00A83964" w:rsidRPr="00A83964">
              <w:rPr>
                <w:rFonts w:ascii="ITC Avant Garde" w:hAnsi="ITC Avant Garde"/>
                <w:sz w:val="18"/>
                <w:szCs w:val="18"/>
              </w:rPr>
              <w:t>interesado, participante</w:t>
            </w:r>
            <w:r w:rsidRPr="005D7AB5">
              <w:rPr>
                <w:rFonts w:ascii="ITC Avant Garde" w:hAnsi="ITC Avant Garde"/>
                <w:sz w:val="18"/>
                <w:szCs w:val="18"/>
              </w:rPr>
              <w:t xml:space="preserve"> o </w:t>
            </w:r>
            <w:r w:rsidR="00A83964" w:rsidRPr="00A83964">
              <w:rPr>
                <w:rFonts w:ascii="ITC Avant Garde" w:hAnsi="ITC Avant Garde"/>
                <w:sz w:val="18"/>
                <w:szCs w:val="18"/>
              </w:rPr>
              <w:t>participante ganador</w:t>
            </w:r>
            <w:r w:rsidRPr="005D7AB5">
              <w:rPr>
                <w:rFonts w:ascii="ITC Avant Garde" w:hAnsi="ITC Avant Garde"/>
                <w:sz w:val="18"/>
                <w:szCs w:val="18"/>
              </w:rPr>
              <w:t xml:space="preserve">, ya sea de hecho o de derecho, para efectos del </w:t>
            </w:r>
            <w:r w:rsidR="00A83964" w:rsidRPr="00A83964">
              <w:rPr>
                <w:rFonts w:ascii="ITC Avant Garde" w:hAnsi="ITC Avant Garde"/>
                <w:sz w:val="18"/>
                <w:szCs w:val="18"/>
              </w:rPr>
              <w:t>procedimiento</w:t>
            </w:r>
            <w:r w:rsidRPr="005D7AB5">
              <w:rPr>
                <w:rFonts w:ascii="ITC Avant Garde" w:hAnsi="ITC Avant Garde"/>
                <w:sz w:val="18"/>
                <w:szCs w:val="18"/>
              </w:rPr>
              <w:t xml:space="preserve"> de </w:t>
            </w:r>
            <w:r w:rsidR="00A83964" w:rsidRPr="00A83964">
              <w:rPr>
                <w:rFonts w:ascii="ITC Avant Garde" w:hAnsi="ITC Avant Garde"/>
                <w:sz w:val="18"/>
                <w:szCs w:val="18"/>
              </w:rPr>
              <w:t>presentación</w:t>
            </w:r>
            <w:r w:rsidRPr="005D7AB5">
              <w:rPr>
                <w:rFonts w:ascii="ITC Avant Garde" w:hAnsi="ITC Avant Garde"/>
                <w:sz w:val="18"/>
                <w:szCs w:val="18"/>
              </w:rPr>
              <w:t xml:space="preserve"> de </w:t>
            </w:r>
            <w:r w:rsidR="00A83964" w:rsidRPr="00A83964">
              <w:rPr>
                <w:rFonts w:ascii="ITC Avant Garde" w:hAnsi="ITC Avant Garde"/>
                <w:sz w:val="18"/>
                <w:szCs w:val="18"/>
              </w:rPr>
              <w:t>ofertas</w:t>
            </w:r>
            <w:r w:rsidRPr="005D7AB5">
              <w:rPr>
                <w:rFonts w:ascii="ITC Avant Garde" w:hAnsi="ITC Avant Garde"/>
                <w:sz w:val="18"/>
                <w:szCs w:val="18"/>
              </w:rPr>
              <w:t xml:space="preserve"> y/o cualquier otra actividad o </w:t>
            </w:r>
            <w:r w:rsidR="00A83964" w:rsidRPr="00A83964">
              <w:rPr>
                <w:rFonts w:ascii="ITC Avant Garde" w:hAnsi="ITC Avant Garde"/>
                <w:sz w:val="18"/>
                <w:szCs w:val="18"/>
              </w:rPr>
              <w:t>etapa</w:t>
            </w:r>
            <w:r w:rsidRPr="005D7AB5">
              <w:rPr>
                <w:rFonts w:ascii="ITC Avant Garde" w:hAnsi="ITC Avant Garde"/>
                <w:sz w:val="18"/>
                <w:szCs w:val="18"/>
              </w:rPr>
              <w:t xml:space="preserve"> de la Licitación.</w:t>
            </w:r>
          </w:p>
          <w:p w14:paraId="594466BF" w14:textId="327A11E9" w:rsidR="005D7AB5" w:rsidRPr="005D7AB5" w:rsidRDefault="005D7AB5" w:rsidP="00136B69">
            <w:pPr>
              <w:spacing w:line="276" w:lineRule="auto"/>
              <w:ind w:left="500" w:hanging="283"/>
              <w:jc w:val="both"/>
              <w:rPr>
                <w:rFonts w:ascii="ITC Avant Garde" w:hAnsi="ITC Avant Garde"/>
                <w:sz w:val="18"/>
                <w:szCs w:val="18"/>
              </w:rPr>
            </w:pPr>
            <w:r w:rsidRPr="005D7AB5">
              <w:rPr>
                <w:rFonts w:ascii="ITC Avant Garde" w:hAnsi="ITC Avant Garde"/>
                <w:sz w:val="18"/>
                <w:szCs w:val="18"/>
              </w:rPr>
              <w:t>III.</w:t>
            </w:r>
            <w:r w:rsidRPr="005D7AB5">
              <w:rPr>
                <w:rFonts w:ascii="ITC Avant Garde" w:hAnsi="ITC Avant Garde"/>
                <w:sz w:val="18"/>
                <w:szCs w:val="18"/>
              </w:rPr>
              <w:tab/>
              <w:t xml:space="preserve">No compartan información confidencial con otros </w:t>
            </w:r>
            <w:r w:rsidR="00A83964" w:rsidRPr="00A83964">
              <w:rPr>
                <w:rFonts w:ascii="ITC Avant Garde" w:hAnsi="ITC Avant Garde"/>
                <w:sz w:val="18"/>
                <w:szCs w:val="18"/>
              </w:rPr>
              <w:t>interesados, participantes</w:t>
            </w:r>
            <w:r w:rsidRPr="005D7AB5">
              <w:rPr>
                <w:rFonts w:ascii="ITC Avant Garde" w:hAnsi="ITC Avant Garde"/>
                <w:sz w:val="18"/>
                <w:szCs w:val="18"/>
              </w:rPr>
              <w:t xml:space="preserve"> y </w:t>
            </w:r>
            <w:r w:rsidR="00A83964" w:rsidRPr="00A83964">
              <w:rPr>
                <w:rFonts w:ascii="ITC Avant Garde" w:hAnsi="ITC Avant Garde"/>
                <w:sz w:val="18"/>
                <w:szCs w:val="18"/>
              </w:rPr>
              <w:t>participantes ganadores</w:t>
            </w:r>
            <w:r w:rsidRPr="005D7AB5">
              <w:rPr>
                <w:rFonts w:ascii="ITC Avant Garde" w:hAnsi="ITC Avant Garde"/>
                <w:sz w:val="18"/>
                <w:szCs w:val="18"/>
              </w:rPr>
              <w:t xml:space="preserve"> en relación con la manifestación de interés y entrega de información y documentación, y con el </w:t>
            </w:r>
            <w:r w:rsidR="00A83964" w:rsidRPr="00A83964">
              <w:rPr>
                <w:rFonts w:ascii="ITC Avant Garde" w:hAnsi="ITC Avant Garde"/>
                <w:sz w:val="18"/>
                <w:szCs w:val="18"/>
              </w:rPr>
              <w:t>procedimiento</w:t>
            </w:r>
            <w:r w:rsidRPr="005D7AB5">
              <w:rPr>
                <w:rFonts w:ascii="ITC Avant Garde" w:hAnsi="ITC Avant Garde"/>
                <w:sz w:val="18"/>
                <w:szCs w:val="18"/>
              </w:rPr>
              <w:t xml:space="preserve"> de </w:t>
            </w:r>
            <w:r w:rsidR="00A83964" w:rsidRPr="00A83964">
              <w:rPr>
                <w:rFonts w:ascii="ITC Avant Garde" w:hAnsi="ITC Avant Garde"/>
                <w:sz w:val="18"/>
                <w:szCs w:val="18"/>
              </w:rPr>
              <w:t xml:space="preserve">presentación de ofertas </w:t>
            </w:r>
            <w:r w:rsidRPr="005D7AB5">
              <w:rPr>
                <w:rFonts w:ascii="ITC Avant Garde" w:hAnsi="ITC Avant Garde"/>
                <w:sz w:val="18"/>
                <w:szCs w:val="18"/>
              </w:rPr>
              <w:t xml:space="preserve">y/o cualquier otra actividad o </w:t>
            </w:r>
            <w:r w:rsidR="00A83964" w:rsidRPr="00A83964">
              <w:rPr>
                <w:rFonts w:ascii="ITC Avant Garde" w:hAnsi="ITC Avant Garde"/>
                <w:sz w:val="18"/>
                <w:szCs w:val="18"/>
              </w:rPr>
              <w:t>etapa</w:t>
            </w:r>
            <w:r w:rsidRPr="005D7AB5">
              <w:rPr>
                <w:rFonts w:ascii="ITC Avant Garde" w:hAnsi="ITC Avant Garde"/>
                <w:sz w:val="18"/>
                <w:szCs w:val="18"/>
              </w:rPr>
              <w:t xml:space="preserve"> de la Licitación, incluyendo, de manera enunciativa más no limitativa, la información sobre las evaluaciones de cada Participante o la estrategia de ofertas o decisiones respecto al nivel o cantidad de los </w:t>
            </w:r>
            <w:r w:rsidR="00A83964" w:rsidRPr="00A83964">
              <w:rPr>
                <w:rFonts w:ascii="ITC Avant Garde" w:hAnsi="ITC Avant Garde"/>
                <w:sz w:val="18"/>
                <w:szCs w:val="18"/>
              </w:rPr>
              <w:t>puntajes</w:t>
            </w:r>
            <w:r w:rsidRPr="005D7AB5">
              <w:rPr>
                <w:rFonts w:ascii="ITC Avant Garde" w:hAnsi="ITC Avant Garde"/>
                <w:sz w:val="18"/>
                <w:szCs w:val="18"/>
              </w:rPr>
              <w:t xml:space="preserve"> correspondientes.</w:t>
            </w:r>
          </w:p>
          <w:p w14:paraId="53F5CD06" w14:textId="29C16017" w:rsidR="005D7AB5" w:rsidRPr="005D7AB5" w:rsidRDefault="005D7AB5" w:rsidP="00136B69">
            <w:pPr>
              <w:spacing w:line="276" w:lineRule="auto"/>
              <w:ind w:left="500" w:hanging="283"/>
              <w:jc w:val="both"/>
              <w:rPr>
                <w:rFonts w:ascii="ITC Avant Garde" w:hAnsi="ITC Avant Garde"/>
                <w:sz w:val="18"/>
                <w:szCs w:val="18"/>
              </w:rPr>
            </w:pPr>
            <w:r w:rsidRPr="005D7AB5">
              <w:rPr>
                <w:rFonts w:ascii="ITC Avant Garde" w:hAnsi="ITC Avant Garde"/>
                <w:sz w:val="18"/>
                <w:szCs w:val="18"/>
              </w:rPr>
              <w:lastRenderedPageBreak/>
              <w:t>IV.</w:t>
            </w:r>
            <w:r w:rsidRPr="005D7AB5">
              <w:rPr>
                <w:rFonts w:ascii="ITC Avant Garde" w:hAnsi="ITC Avant Garde"/>
                <w:sz w:val="18"/>
                <w:szCs w:val="18"/>
              </w:rPr>
              <w:tab/>
              <w:t xml:space="preserve">Las personas con acceso a información confidencial del </w:t>
            </w:r>
            <w:r w:rsidR="00A83964" w:rsidRPr="00A83964">
              <w:rPr>
                <w:rFonts w:ascii="ITC Avant Garde" w:hAnsi="ITC Avant Garde"/>
                <w:sz w:val="18"/>
                <w:szCs w:val="18"/>
              </w:rPr>
              <w:t>interesado, participante</w:t>
            </w:r>
            <w:r w:rsidRPr="005D7AB5">
              <w:rPr>
                <w:rFonts w:ascii="ITC Avant Garde" w:hAnsi="ITC Avant Garde"/>
                <w:sz w:val="18"/>
                <w:szCs w:val="18"/>
              </w:rPr>
              <w:t xml:space="preserve"> y/o </w:t>
            </w:r>
            <w:r w:rsidR="00A83964" w:rsidRPr="00A83964">
              <w:rPr>
                <w:rFonts w:ascii="ITC Avant Garde" w:hAnsi="ITC Avant Garde"/>
                <w:sz w:val="18"/>
                <w:szCs w:val="18"/>
              </w:rPr>
              <w:t>participante ganador</w:t>
            </w:r>
            <w:r w:rsidRPr="005D7AB5">
              <w:rPr>
                <w:rFonts w:ascii="ITC Avant Garde" w:hAnsi="ITC Avant Garde"/>
                <w:sz w:val="18"/>
                <w:szCs w:val="18"/>
              </w:rPr>
              <w:t xml:space="preserve">, o estos mismos, no tengan acceso a la información confidencial de otro </w:t>
            </w:r>
            <w:r w:rsidR="00A83964" w:rsidRPr="00A83964">
              <w:rPr>
                <w:rFonts w:ascii="ITC Avant Garde" w:hAnsi="ITC Avant Garde"/>
                <w:sz w:val="18"/>
                <w:szCs w:val="18"/>
              </w:rPr>
              <w:t>interesado, participante</w:t>
            </w:r>
            <w:r w:rsidRPr="005D7AB5">
              <w:rPr>
                <w:rFonts w:ascii="ITC Avant Garde" w:hAnsi="ITC Avant Garde"/>
                <w:sz w:val="18"/>
                <w:szCs w:val="18"/>
              </w:rPr>
              <w:t xml:space="preserve"> y/o </w:t>
            </w:r>
            <w:r w:rsidR="00A83964" w:rsidRPr="00A83964">
              <w:rPr>
                <w:rFonts w:ascii="ITC Avant Garde" w:hAnsi="ITC Avant Garde"/>
                <w:sz w:val="18"/>
                <w:szCs w:val="18"/>
              </w:rPr>
              <w:t>participante ganador</w:t>
            </w:r>
            <w:r w:rsidRPr="005D7AB5">
              <w:rPr>
                <w:rFonts w:ascii="ITC Avant Garde" w:hAnsi="ITC Avant Garde"/>
                <w:sz w:val="18"/>
                <w:szCs w:val="18"/>
              </w:rPr>
              <w:t xml:space="preserve"> de la presente Licitación.</w:t>
            </w:r>
          </w:p>
          <w:p w14:paraId="4FCC7308" w14:textId="77777777" w:rsidR="005D7AB5" w:rsidRPr="005D7AB5" w:rsidRDefault="005D7AB5" w:rsidP="00136B69">
            <w:pPr>
              <w:spacing w:line="276" w:lineRule="auto"/>
              <w:ind w:left="500" w:hanging="283"/>
              <w:jc w:val="both"/>
              <w:rPr>
                <w:rFonts w:ascii="ITC Avant Garde" w:hAnsi="ITC Avant Garde"/>
                <w:sz w:val="18"/>
                <w:szCs w:val="18"/>
              </w:rPr>
            </w:pPr>
            <w:r w:rsidRPr="005D7AB5">
              <w:rPr>
                <w:rFonts w:ascii="ITC Avant Garde" w:hAnsi="ITC Avant Garde"/>
                <w:sz w:val="18"/>
                <w:szCs w:val="18"/>
              </w:rPr>
              <w:t>V.</w:t>
            </w:r>
            <w:r w:rsidRPr="005D7AB5">
              <w:rPr>
                <w:rFonts w:ascii="ITC Avant Garde" w:hAnsi="ITC Avant Garde"/>
                <w:sz w:val="18"/>
                <w:szCs w:val="18"/>
              </w:rPr>
              <w:tab/>
              <w:t xml:space="preserve">No se involucren en cualquier actividad que pudiera identificarse como precursora de colusión o que pudiera considerarse como perjudicial para que el Instituto lleve a cabo una licitación efectiva. </w:t>
            </w:r>
          </w:p>
          <w:p w14:paraId="6CD1DD07" w14:textId="1FFE0DD0" w:rsidR="005D7AB5" w:rsidRPr="005D7AB5" w:rsidRDefault="005D7AB5" w:rsidP="00136B69">
            <w:pPr>
              <w:spacing w:line="276" w:lineRule="auto"/>
              <w:ind w:left="500" w:hanging="283"/>
              <w:jc w:val="both"/>
              <w:rPr>
                <w:rFonts w:ascii="ITC Avant Garde" w:hAnsi="ITC Avant Garde"/>
                <w:sz w:val="18"/>
                <w:szCs w:val="18"/>
              </w:rPr>
            </w:pPr>
            <w:r w:rsidRPr="005D7AB5">
              <w:rPr>
                <w:rFonts w:ascii="ITC Avant Garde" w:hAnsi="ITC Avant Garde"/>
                <w:sz w:val="18"/>
                <w:szCs w:val="18"/>
              </w:rPr>
              <w:t>VI.</w:t>
            </w:r>
            <w:r w:rsidRPr="005D7AB5">
              <w:rPr>
                <w:rFonts w:ascii="ITC Avant Garde" w:hAnsi="ITC Avant Garde"/>
                <w:sz w:val="18"/>
                <w:szCs w:val="18"/>
              </w:rPr>
              <w:tab/>
              <w:t xml:space="preserve">Se abstengan de contar con personas autorizadas, representantes legales, domicilio, o correo electrónico que también sean manifestados en términos de las Bases por otro </w:t>
            </w:r>
            <w:r w:rsidR="00A83964" w:rsidRPr="00A83964">
              <w:rPr>
                <w:rFonts w:ascii="ITC Avant Garde" w:hAnsi="ITC Avant Garde"/>
                <w:sz w:val="18"/>
                <w:szCs w:val="18"/>
              </w:rPr>
              <w:t>interesado, participante</w:t>
            </w:r>
            <w:r w:rsidRPr="005D7AB5">
              <w:rPr>
                <w:rFonts w:ascii="ITC Avant Garde" w:hAnsi="ITC Avant Garde"/>
                <w:sz w:val="18"/>
                <w:szCs w:val="18"/>
              </w:rPr>
              <w:t xml:space="preserve"> y/o </w:t>
            </w:r>
            <w:r w:rsidR="00A83964" w:rsidRPr="00A83964">
              <w:rPr>
                <w:rFonts w:ascii="ITC Avant Garde" w:hAnsi="ITC Avant Garde"/>
                <w:sz w:val="18"/>
                <w:szCs w:val="18"/>
              </w:rPr>
              <w:t>participante ganador</w:t>
            </w:r>
            <w:r w:rsidRPr="005D7AB5">
              <w:rPr>
                <w:rFonts w:ascii="ITC Avant Garde" w:hAnsi="ITC Avant Garde"/>
                <w:sz w:val="18"/>
                <w:szCs w:val="18"/>
              </w:rPr>
              <w:t xml:space="preserve"> que concursa en la presente Licitación.</w:t>
            </w:r>
          </w:p>
          <w:p w14:paraId="70EA3060" w14:textId="5C9CE3A7" w:rsidR="00E6423E" w:rsidRDefault="005D7AB5" w:rsidP="00A83964">
            <w:pPr>
              <w:spacing w:line="276" w:lineRule="auto"/>
              <w:ind w:left="500"/>
              <w:jc w:val="both"/>
              <w:rPr>
                <w:rFonts w:ascii="ITC Avant Garde" w:hAnsi="ITC Avant Garde"/>
                <w:sz w:val="18"/>
                <w:szCs w:val="18"/>
              </w:rPr>
            </w:pPr>
            <w:r w:rsidRPr="005D7AB5">
              <w:rPr>
                <w:rFonts w:ascii="ITC Avant Garde" w:hAnsi="ITC Avant Garde"/>
                <w:sz w:val="18"/>
                <w:szCs w:val="18"/>
              </w:rPr>
              <w:t xml:space="preserve">Al respecto, se señala que la fracción IV del artículo 53 de la LFCE considera ilícitas las prácticas monopólicas absolutas consistentes en cualquier tipo de contrato, convenio, arreglo o combinación entre </w:t>
            </w:r>
            <w:r w:rsidR="00A83964" w:rsidRPr="00A83964">
              <w:rPr>
                <w:rFonts w:ascii="ITC Avant Garde" w:hAnsi="ITC Avant Garde"/>
                <w:sz w:val="18"/>
                <w:szCs w:val="18"/>
              </w:rPr>
              <w:t>agentes económicos</w:t>
            </w:r>
            <w:r w:rsidRPr="005D7AB5">
              <w:rPr>
                <w:rFonts w:ascii="ITC Avant Garde" w:hAnsi="ITC Avant Garde"/>
                <w:sz w:val="18"/>
                <w:szCs w:val="18"/>
              </w:rPr>
              <w:t xml:space="preserve"> competidores entre sí, cuyo objeto o efecto sea establecer, concertar o coordinar posturas o la abstención en las licitaciones o concursos, que para el caso que nos ocupa, estos últimos se traducen en el </w:t>
            </w:r>
            <w:r w:rsidR="00A83964" w:rsidRPr="00A83964">
              <w:rPr>
                <w:rFonts w:ascii="ITC Avant Garde" w:hAnsi="ITC Avant Garde"/>
                <w:sz w:val="18"/>
                <w:szCs w:val="18"/>
              </w:rPr>
              <w:t>procedimiento</w:t>
            </w:r>
            <w:r w:rsidRPr="005D7AB5">
              <w:rPr>
                <w:rFonts w:ascii="ITC Avant Garde" w:hAnsi="ITC Avant Garde"/>
                <w:sz w:val="18"/>
                <w:szCs w:val="18"/>
              </w:rPr>
              <w:t xml:space="preserve"> de </w:t>
            </w:r>
            <w:r w:rsidR="00A83964" w:rsidRPr="00A83964">
              <w:rPr>
                <w:rFonts w:ascii="ITC Avant Garde" w:hAnsi="ITC Avant Garde"/>
                <w:sz w:val="18"/>
                <w:szCs w:val="18"/>
              </w:rPr>
              <w:t>presentación</w:t>
            </w:r>
            <w:r w:rsidRPr="005D7AB5">
              <w:rPr>
                <w:rFonts w:ascii="ITC Avant Garde" w:hAnsi="ITC Avant Garde"/>
                <w:sz w:val="18"/>
                <w:szCs w:val="18"/>
              </w:rPr>
              <w:t xml:space="preserve"> de </w:t>
            </w:r>
            <w:r w:rsidR="00A83964" w:rsidRPr="00A83964">
              <w:rPr>
                <w:rFonts w:ascii="ITC Avant Garde" w:hAnsi="ITC Avant Garde"/>
                <w:sz w:val="18"/>
                <w:szCs w:val="18"/>
              </w:rPr>
              <w:t>ofertas. los agentes económicos</w:t>
            </w:r>
            <w:r w:rsidRPr="005D7AB5">
              <w:rPr>
                <w:rFonts w:ascii="ITC Avant Garde" w:hAnsi="ITC Avant Garde"/>
                <w:sz w:val="18"/>
                <w:szCs w:val="18"/>
              </w:rPr>
              <w:t xml:space="preserve"> que incurran en estas prácticas se harán acreedores a las sanciones establecidas en dicha ley, sin </w:t>
            </w:r>
            <w:r w:rsidRPr="005D7AB5">
              <w:rPr>
                <w:rFonts w:ascii="ITC Avant Garde" w:hAnsi="ITC Avant Garde"/>
                <w:sz w:val="18"/>
                <w:szCs w:val="18"/>
              </w:rPr>
              <w:lastRenderedPageBreak/>
              <w:t>perjuicio de la responsabilidad civil y penal que pudiera resultar</w:t>
            </w:r>
            <w:r w:rsidR="00976A8F">
              <w:rPr>
                <w:rFonts w:ascii="ITC Avant Garde" w:hAnsi="ITC Avant Garde"/>
                <w:sz w:val="18"/>
                <w:szCs w:val="18"/>
              </w:rPr>
              <w:t>.</w:t>
            </w:r>
          </w:p>
        </w:tc>
      </w:tr>
      <w:tr w:rsidR="0039782A" w:rsidRPr="00637136" w14:paraId="3329BCB5" w14:textId="77777777" w:rsidTr="009155A1">
        <w:trPr>
          <w:trHeight w:val="290"/>
          <w:tblHeader/>
        </w:trPr>
        <w:tc>
          <w:tcPr>
            <w:tcW w:w="472" w:type="pct"/>
            <w:vAlign w:val="center"/>
          </w:tcPr>
          <w:p w14:paraId="2491E5C3" w14:textId="6CAA77E2" w:rsidR="0039782A" w:rsidRPr="00637136" w:rsidRDefault="0039782A" w:rsidP="0039782A">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lastRenderedPageBreak/>
              <w:t xml:space="preserve">Octavio Lecona Morales y Blanca Luévano García  </w:t>
            </w:r>
          </w:p>
          <w:p w14:paraId="3A5999BE"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1A6BDCB3" w14:textId="477E5F61" w:rsidR="0039782A" w:rsidRPr="00637136" w:rsidRDefault="0039782A" w:rsidP="00D407F2">
            <w:pPr>
              <w:spacing w:after="0" w:line="276" w:lineRule="auto"/>
              <w:jc w:val="both"/>
              <w:rPr>
                <w:rFonts w:ascii="ITC Avant Garde" w:eastAsia="Times New Roman" w:hAnsi="ITC Avant Garde"/>
                <w:color w:val="000000" w:themeColor="text1"/>
                <w:sz w:val="18"/>
                <w:szCs w:val="18"/>
                <w:lang w:eastAsia="es-MX"/>
              </w:rPr>
            </w:pPr>
            <w:r w:rsidRPr="00B5458E">
              <w:rPr>
                <w:rFonts w:ascii="ITC Avant Garde" w:eastAsia="Calibri" w:hAnsi="ITC Avant Garde" w:cs="Arial"/>
                <w:b/>
                <w:bCs/>
                <w:color w:val="000000" w:themeColor="text1"/>
                <w:sz w:val="18"/>
                <w:szCs w:val="18"/>
              </w:rPr>
              <w:t>Inversión extranjera Apéndice A. Formulario de Requisitos</w:t>
            </w:r>
          </w:p>
        </w:tc>
        <w:tc>
          <w:tcPr>
            <w:tcW w:w="1966" w:type="pct"/>
            <w:shd w:val="clear" w:color="auto" w:fill="auto"/>
          </w:tcPr>
          <w:p w14:paraId="36FE8E3A" w14:textId="36D21A8F" w:rsidR="0039782A" w:rsidRPr="00191B18" w:rsidRDefault="0039782A" w:rsidP="00E6423E">
            <w:pPr>
              <w:spacing w:line="276" w:lineRule="auto"/>
              <w:jc w:val="both"/>
              <w:rPr>
                <w:rFonts w:ascii="ITC Avant Garde" w:eastAsia="Times New Roman" w:hAnsi="ITC Avant Garde"/>
                <w:iCs/>
                <w:color w:val="000000"/>
                <w:sz w:val="18"/>
                <w:szCs w:val="18"/>
                <w:lang w:eastAsia="es-MX"/>
              </w:rPr>
            </w:pPr>
            <w:r w:rsidRPr="00191B18">
              <w:rPr>
                <w:rFonts w:ascii="ITC Avant Garde" w:hAnsi="ITC Avant Garde" w:cs="Arial"/>
                <w:i/>
                <w:color w:val="000000"/>
                <w:sz w:val="18"/>
                <w:szCs w:val="18"/>
              </w:rPr>
              <w:t>Sugerimos incluir una copia firmada por el Secretario del Órgano de Administración o el Administrador o Gerente Único del último asiento del Libro de Registro de Acciones o Libro de Registro de Socios, según sea el caso, como otra opción para acreditar la descripción de la participación extranjera en el Interesado persona moral.</w:t>
            </w:r>
          </w:p>
        </w:tc>
        <w:tc>
          <w:tcPr>
            <w:tcW w:w="1992" w:type="pct"/>
            <w:shd w:val="clear" w:color="auto" w:fill="FFFFFF" w:themeFill="background1"/>
          </w:tcPr>
          <w:p w14:paraId="4631B70A" w14:textId="3128DC54" w:rsidR="0039782A" w:rsidRPr="00191B18" w:rsidRDefault="0039782A" w:rsidP="0039782A">
            <w:pPr>
              <w:spacing w:line="276" w:lineRule="auto"/>
              <w:jc w:val="both"/>
              <w:rPr>
                <w:rFonts w:ascii="ITC Avant Garde" w:hAnsi="ITC Avant Garde"/>
                <w:sz w:val="18"/>
                <w:szCs w:val="18"/>
              </w:rPr>
            </w:pPr>
            <w:r w:rsidRPr="00191B18">
              <w:rPr>
                <w:rFonts w:ascii="ITC Avant Garde" w:hAnsi="ITC Avant Garde"/>
                <w:sz w:val="18"/>
                <w:szCs w:val="18"/>
              </w:rPr>
              <w:t xml:space="preserve">Con relación al comentario de </w:t>
            </w:r>
            <w:r w:rsidRPr="00191B18">
              <w:rPr>
                <w:rFonts w:ascii="ITC Avant Garde" w:hAnsi="ITC Avant Garde"/>
                <w:b/>
                <w:sz w:val="18"/>
                <w:szCs w:val="18"/>
              </w:rPr>
              <w:t xml:space="preserve">Octavio Lecona Morales y Blanca Luévano García </w:t>
            </w:r>
            <w:r w:rsidRPr="00191B18">
              <w:rPr>
                <w:rFonts w:ascii="ITC Avant Garde" w:hAnsi="ITC Avant Garde"/>
                <w:sz w:val="18"/>
                <w:szCs w:val="18"/>
              </w:rPr>
              <w:t xml:space="preserve">relativo a su sugerencia de incluir una opción para acreditar la descripción de la participación extranjera en el interesado persona moral, </w:t>
            </w:r>
            <w:r w:rsidR="00D97970" w:rsidRPr="00191B18">
              <w:rPr>
                <w:rFonts w:ascii="ITC Avant Garde" w:hAnsi="ITC Avant Garde"/>
                <w:sz w:val="18"/>
                <w:szCs w:val="18"/>
              </w:rPr>
              <w:t>se toma conocimiento de la propuesta, la cual se analizará en cuanto a su fundamento legal y sustento, para evaluar su modificación o eliminación en el proyecto final de Bases</w:t>
            </w:r>
            <w:r w:rsidR="00191B18">
              <w:rPr>
                <w:rFonts w:ascii="ITC Avant Garde" w:hAnsi="ITC Avant Garde"/>
                <w:sz w:val="18"/>
                <w:szCs w:val="18"/>
              </w:rPr>
              <w:t>.</w:t>
            </w:r>
            <w:r w:rsidR="00D97970" w:rsidRPr="00191B18">
              <w:rPr>
                <w:rFonts w:ascii="ITC Avant Garde" w:hAnsi="ITC Avant Garde"/>
                <w:sz w:val="18"/>
                <w:szCs w:val="18"/>
              </w:rPr>
              <w:t xml:space="preserve"> </w:t>
            </w:r>
          </w:p>
          <w:p w14:paraId="5EA320AF" w14:textId="77777777" w:rsidR="0039782A" w:rsidRPr="00191B18" w:rsidRDefault="0039782A" w:rsidP="00B33557">
            <w:pPr>
              <w:spacing w:line="276" w:lineRule="auto"/>
              <w:jc w:val="both"/>
              <w:rPr>
                <w:rFonts w:ascii="ITC Avant Garde" w:hAnsi="ITC Avant Garde"/>
                <w:sz w:val="18"/>
                <w:szCs w:val="18"/>
              </w:rPr>
            </w:pPr>
          </w:p>
        </w:tc>
      </w:tr>
      <w:tr w:rsidR="0039782A" w:rsidRPr="00637136" w14:paraId="783A4F4B" w14:textId="77777777" w:rsidTr="009155A1">
        <w:trPr>
          <w:trHeight w:val="290"/>
          <w:tblHeader/>
        </w:trPr>
        <w:tc>
          <w:tcPr>
            <w:tcW w:w="472" w:type="pct"/>
            <w:vAlign w:val="center"/>
          </w:tcPr>
          <w:p w14:paraId="79CB75ED" w14:textId="0A562072" w:rsidR="0039782A" w:rsidRPr="00637136" w:rsidRDefault="0039782A" w:rsidP="0039782A">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t xml:space="preserve">Octavio Lecona Morales y Blanca Luévano García  </w:t>
            </w:r>
          </w:p>
          <w:p w14:paraId="6C5D2C6A"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4D7DC95B" w14:textId="445C13B0" w:rsidR="0039782A" w:rsidRPr="00637136" w:rsidRDefault="0039782A" w:rsidP="00D407F2">
            <w:pPr>
              <w:spacing w:after="0" w:line="276" w:lineRule="auto"/>
              <w:jc w:val="both"/>
              <w:rPr>
                <w:rFonts w:ascii="ITC Avant Garde" w:eastAsia="Times New Roman" w:hAnsi="ITC Avant Garde"/>
                <w:color w:val="000000" w:themeColor="text1"/>
                <w:sz w:val="18"/>
                <w:szCs w:val="18"/>
                <w:lang w:eastAsia="es-MX"/>
              </w:rPr>
            </w:pPr>
            <w:r w:rsidRPr="00C61311">
              <w:rPr>
                <w:rFonts w:ascii="ITC Avant Garde" w:eastAsia="Calibri" w:hAnsi="ITC Avant Garde" w:cs="Arial"/>
                <w:b/>
                <w:bCs/>
                <w:color w:val="000000" w:themeColor="text1"/>
                <w:sz w:val="18"/>
                <w:szCs w:val="18"/>
              </w:rPr>
              <w:t>Apéndice A. Formulario de Requisitos Anexo 2. Información general del Interesado (persona moral)</w:t>
            </w:r>
          </w:p>
        </w:tc>
        <w:tc>
          <w:tcPr>
            <w:tcW w:w="1966" w:type="pct"/>
            <w:shd w:val="clear" w:color="auto" w:fill="auto"/>
          </w:tcPr>
          <w:p w14:paraId="6DA282CB" w14:textId="0D3442CB" w:rsidR="0039782A" w:rsidRPr="00700290" w:rsidRDefault="0039782A" w:rsidP="00E6423E">
            <w:pPr>
              <w:spacing w:line="276" w:lineRule="auto"/>
              <w:jc w:val="both"/>
              <w:rPr>
                <w:rFonts w:ascii="ITC Avant Garde" w:eastAsia="Times New Roman" w:hAnsi="ITC Avant Garde"/>
                <w:iCs/>
                <w:color w:val="000000"/>
                <w:sz w:val="18"/>
                <w:szCs w:val="18"/>
                <w:lang w:eastAsia="es-MX"/>
              </w:rPr>
            </w:pPr>
            <w:r w:rsidRPr="00C61311">
              <w:rPr>
                <w:rFonts w:ascii="ITC Avant Garde" w:hAnsi="ITC Avant Garde" w:cs="Arial"/>
                <w:i/>
                <w:color w:val="000000"/>
                <w:sz w:val="18"/>
                <w:szCs w:val="18"/>
              </w:rPr>
              <w:t xml:space="preserve">Se sugiere incluir una copia firmada por el Secretario del Órgano de Administración o el Administrador o Gerente Único del último asiento del Libro de Registro de Acciones o Libro de Registro de Socios, según sea el caso, como otra </w:t>
            </w:r>
            <w:r w:rsidRPr="0091131E">
              <w:rPr>
                <w:rFonts w:ascii="ITC Avant Garde" w:hAnsi="ITC Avant Garde" w:cs="Arial"/>
                <w:i/>
                <w:color w:val="000000"/>
                <w:sz w:val="18"/>
                <w:szCs w:val="18"/>
              </w:rPr>
              <w:t>opción para acreditar la estructura accionaria actual, ya que los estatutos sociales de una sociedad no necesariamente reflejan esta información</w:t>
            </w:r>
            <w:r w:rsidRPr="00C61311">
              <w:rPr>
                <w:rFonts w:ascii="ITC Avant Garde" w:hAnsi="ITC Avant Garde" w:cs="Arial"/>
                <w:i/>
                <w:color w:val="000000"/>
                <w:sz w:val="18"/>
                <w:szCs w:val="18"/>
              </w:rPr>
              <w:t>.</w:t>
            </w:r>
          </w:p>
        </w:tc>
        <w:tc>
          <w:tcPr>
            <w:tcW w:w="1992" w:type="pct"/>
            <w:shd w:val="clear" w:color="auto" w:fill="FFFFFF" w:themeFill="background1"/>
          </w:tcPr>
          <w:p w14:paraId="7BAB4C6A" w14:textId="011A1DF3" w:rsidR="00D97970" w:rsidRDefault="0039782A" w:rsidP="00D97970">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sidRPr="00136B69">
              <w:rPr>
                <w:rFonts w:ascii="ITC Avant Garde" w:hAnsi="ITC Avant Garde"/>
                <w:sz w:val="18"/>
                <w:szCs w:val="18"/>
              </w:rPr>
              <w:t xml:space="preserve">Octavio Lecona Morales y Blanca Luévano García </w:t>
            </w:r>
            <w:r>
              <w:rPr>
                <w:rFonts w:ascii="ITC Avant Garde" w:hAnsi="ITC Avant Garde"/>
                <w:sz w:val="18"/>
                <w:szCs w:val="18"/>
              </w:rPr>
              <w:t xml:space="preserve">relativo </w:t>
            </w:r>
            <w:r w:rsidRPr="00136B69">
              <w:rPr>
                <w:rFonts w:ascii="ITC Avant Garde" w:hAnsi="ITC Avant Garde"/>
                <w:sz w:val="18"/>
                <w:szCs w:val="18"/>
              </w:rPr>
              <w:t>a su sugerencia de incluir una opción para acreditar la estructura accionaria actual,</w:t>
            </w:r>
            <w:r>
              <w:rPr>
                <w:rFonts w:ascii="ITC Avant Garde" w:hAnsi="ITC Avant Garde"/>
                <w:sz w:val="18"/>
                <w:szCs w:val="18"/>
              </w:rPr>
              <w:t xml:space="preserve"> </w:t>
            </w:r>
            <w:r w:rsidR="00D97970">
              <w:rPr>
                <w:rFonts w:ascii="ITC Avant Garde" w:hAnsi="ITC Avant Garde"/>
                <w:sz w:val="18"/>
                <w:szCs w:val="18"/>
              </w:rPr>
              <w:t xml:space="preserve">se informa que por la relevancia del </w:t>
            </w:r>
            <w:r w:rsidR="0091131E">
              <w:rPr>
                <w:rFonts w:ascii="ITC Avant Garde" w:hAnsi="ITC Avant Garde"/>
                <w:sz w:val="18"/>
                <w:szCs w:val="18"/>
              </w:rPr>
              <w:t>acreditación</w:t>
            </w:r>
            <w:r w:rsidR="00D97970">
              <w:rPr>
                <w:rFonts w:ascii="ITC Avant Garde" w:hAnsi="ITC Avant Garde"/>
                <w:sz w:val="18"/>
                <w:szCs w:val="18"/>
              </w:rPr>
              <w:t xml:space="preserve"> de personalidad del </w:t>
            </w:r>
            <w:r w:rsidR="0091131E">
              <w:rPr>
                <w:rFonts w:ascii="ITC Avant Garde" w:hAnsi="ITC Avant Garde"/>
                <w:sz w:val="18"/>
                <w:szCs w:val="18"/>
              </w:rPr>
              <w:t>interesado</w:t>
            </w:r>
            <w:r w:rsidR="00D97970">
              <w:rPr>
                <w:rFonts w:ascii="ITC Avant Garde" w:hAnsi="ITC Avant Garde"/>
                <w:sz w:val="18"/>
                <w:szCs w:val="18"/>
              </w:rPr>
              <w:t>, entre los requisitos contenidos en el Anteproyecto se solicita</w:t>
            </w:r>
            <w:r w:rsidR="0091131E">
              <w:rPr>
                <w:rFonts w:ascii="ITC Avant Garde" w:hAnsi="ITC Avant Garde"/>
                <w:sz w:val="18"/>
                <w:szCs w:val="18"/>
              </w:rPr>
              <w:t xml:space="preserve"> que el testimonio de los instrumentos públicos en donde conste:</w:t>
            </w:r>
          </w:p>
          <w:p w14:paraId="7CF94B17" w14:textId="47C184A6" w:rsidR="00D97970" w:rsidRPr="00D97970" w:rsidRDefault="00D97970" w:rsidP="0091131E">
            <w:pPr>
              <w:spacing w:line="276" w:lineRule="auto"/>
              <w:ind w:left="500" w:hanging="283"/>
              <w:jc w:val="both"/>
              <w:rPr>
                <w:rFonts w:ascii="ITC Avant Garde" w:hAnsi="ITC Avant Garde"/>
                <w:sz w:val="18"/>
                <w:szCs w:val="18"/>
              </w:rPr>
            </w:pPr>
            <w:r w:rsidRPr="00D97970">
              <w:rPr>
                <w:rFonts w:ascii="ITC Avant Garde" w:hAnsi="ITC Avant Garde"/>
                <w:sz w:val="18"/>
                <w:szCs w:val="18"/>
              </w:rPr>
              <w:t>1</w:t>
            </w:r>
            <w:r w:rsidR="0091131E">
              <w:rPr>
                <w:rFonts w:ascii="ITC Avant Garde" w:hAnsi="ITC Avant Garde"/>
                <w:sz w:val="18"/>
                <w:szCs w:val="18"/>
              </w:rPr>
              <w:t>.</w:t>
            </w:r>
            <w:r w:rsidRPr="00D97970">
              <w:rPr>
                <w:rFonts w:ascii="ITC Avant Garde" w:hAnsi="ITC Avant Garde"/>
                <w:sz w:val="18"/>
                <w:szCs w:val="18"/>
              </w:rPr>
              <w:tab/>
              <w:t>Los datos de su escritura constitutiva, la cual debe incluir los datos de su inscripción en el Registro Público de Comercio.</w:t>
            </w:r>
          </w:p>
          <w:p w14:paraId="106C0510" w14:textId="27DB7F48" w:rsidR="0039782A" w:rsidRDefault="00D97970" w:rsidP="0091131E">
            <w:pPr>
              <w:spacing w:line="276" w:lineRule="auto"/>
              <w:ind w:left="500" w:hanging="283"/>
              <w:jc w:val="both"/>
              <w:rPr>
                <w:rFonts w:ascii="ITC Avant Garde" w:hAnsi="ITC Avant Garde"/>
                <w:sz w:val="18"/>
                <w:szCs w:val="18"/>
              </w:rPr>
            </w:pPr>
            <w:r w:rsidRPr="00D97970">
              <w:rPr>
                <w:rFonts w:ascii="ITC Avant Garde" w:hAnsi="ITC Avant Garde"/>
                <w:sz w:val="18"/>
                <w:szCs w:val="18"/>
              </w:rPr>
              <w:t>2</w:t>
            </w:r>
            <w:r w:rsidR="0091131E">
              <w:rPr>
                <w:rFonts w:ascii="ITC Avant Garde" w:hAnsi="ITC Avant Garde"/>
                <w:sz w:val="18"/>
                <w:szCs w:val="18"/>
              </w:rPr>
              <w:t>.</w:t>
            </w:r>
            <w:r w:rsidRPr="00D97970">
              <w:rPr>
                <w:rFonts w:ascii="ITC Avant Garde" w:hAnsi="ITC Avant Garde"/>
                <w:sz w:val="18"/>
                <w:szCs w:val="18"/>
              </w:rPr>
              <w:tab/>
              <w:t xml:space="preserve">Para el caso de modificaciones de los Estatutos, éstos deberán contener su debida inscripción en el Registro Público de Comercio o, en su caso, constancia otorgada por el fedatario público señalando que dicho instrumento se encuentra en trámite de inscripción. Ahora bien, para el caso de compulsa de sus Estatutos Sociales vigentes o copia certificada de cada </w:t>
            </w:r>
            <w:r w:rsidRPr="00D97970">
              <w:rPr>
                <w:rFonts w:ascii="ITC Avant Garde" w:hAnsi="ITC Avant Garde"/>
                <w:sz w:val="18"/>
                <w:szCs w:val="18"/>
              </w:rPr>
              <w:lastRenderedPageBreak/>
              <w:t>una de las modificaciones, éstas no requerirán inscripción en el Registro Público de Comercio.</w:t>
            </w:r>
          </w:p>
          <w:p w14:paraId="0E80A4AE" w14:textId="410F1DF7" w:rsidR="0039782A" w:rsidRDefault="00D97970" w:rsidP="0091131E">
            <w:pPr>
              <w:spacing w:line="276" w:lineRule="auto"/>
              <w:ind w:left="500"/>
              <w:jc w:val="both"/>
              <w:rPr>
                <w:rFonts w:ascii="ITC Avant Garde" w:hAnsi="ITC Avant Garde"/>
                <w:sz w:val="18"/>
                <w:szCs w:val="18"/>
              </w:rPr>
            </w:pPr>
            <w:r>
              <w:rPr>
                <w:rFonts w:ascii="ITC Avant Garde" w:hAnsi="ITC Avant Garde"/>
                <w:sz w:val="18"/>
                <w:szCs w:val="18"/>
              </w:rPr>
              <w:t xml:space="preserve">En caso de que, </w:t>
            </w:r>
            <w:r w:rsidRPr="00D97970">
              <w:rPr>
                <w:rFonts w:ascii="ITC Avant Garde" w:hAnsi="ITC Avant Garde"/>
                <w:sz w:val="18"/>
                <w:szCs w:val="18"/>
              </w:rPr>
              <w:t>la estructura accionaria no se refleja en los instrumentos, se deberá acompañar la lista completa de los accionistas, debidamente certificada por el Presidente o el Secretario del Consejo de Administración o el administrador único, excepto que la empresa esté registrada en alguna bolsa de valores (de México o el extranjero), en cuyo caso se deberá acompañar la lista de asistencia de la última asamblea de accionistas, debidamente certificada por el Presidente o el Secretario del Consejo de Administración.</w:t>
            </w:r>
          </w:p>
        </w:tc>
      </w:tr>
      <w:tr w:rsidR="0039782A" w:rsidRPr="00637136" w14:paraId="35EA5FD9" w14:textId="77777777" w:rsidTr="009155A1">
        <w:trPr>
          <w:trHeight w:val="290"/>
          <w:tblHeader/>
        </w:trPr>
        <w:tc>
          <w:tcPr>
            <w:tcW w:w="472" w:type="pct"/>
            <w:vAlign w:val="center"/>
          </w:tcPr>
          <w:p w14:paraId="3A28663F" w14:textId="4FAF825F" w:rsidR="0039782A" w:rsidRPr="00637136" w:rsidRDefault="0039782A" w:rsidP="0039782A">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lastRenderedPageBreak/>
              <w:t xml:space="preserve">Octavio Lecona Morales y Blanca Luévano García  </w:t>
            </w:r>
          </w:p>
          <w:p w14:paraId="48873980"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06B5C6C9" w14:textId="30383C38" w:rsidR="0039782A" w:rsidRPr="00C61311" w:rsidRDefault="0039782A" w:rsidP="00D407F2">
            <w:pPr>
              <w:spacing w:after="0" w:line="276" w:lineRule="auto"/>
              <w:jc w:val="both"/>
              <w:rPr>
                <w:rFonts w:ascii="ITC Avant Garde" w:eastAsia="Calibri" w:hAnsi="ITC Avant Garde" w:cs="Arial"/>
                <w:b/>
                <w:bCs/>
                <w:color w:val="000000" w:themeColor="text1"/>
                <w:sz w:val="18"/>
                <w:szCs w:val="18"/>
              </w:rPr>
            </w:pPr>
            <w:r w:rsidRPr="00C61311">
              <w:rPr>
                <w:rFonts w:ascii="ITC Avant Garde" w:eastAsia="Calibri" w:hAnsi="ITC Avant Garde" w:cs="Arial"/>
                <w:b/>
                <w:bCs/>
                <w:color w:val="000000" w:themeColor="text1"/>
                <w:sz w:val="18"/>
                <w:szCs w:val="18"/>
              </w:rPr>
              <w:t>Apéndice A. Formulario de Requisitos Anexo 4. Autorización de personas para entregar y/o recibir documentación, notificaciones y valores en el</w:t>
            </w:r>
            <w:r w:rsidRPr="00C61311">
              <w:t xml:space="preserve"> </w:t>
            </w:r>
            <w:r w:rsidRPr="00C61311">
              <w:rPr>
                <w:rFonts w:ascii="ITC Avant Garde" w:eastAsia="Calibri" w:hAnsi="ITC Avant Garde" w:cs="Arial"/>
                <w:b/>
                <w:bCs/>
                <w:color w:val="000000" w:themeColor="text1"/>
                <w:sz w:val="18"/>
                <w:szCs w:val="18"/>
              </w:rPr>
              <w:t>presente proceso de Licitación.</w:t>
            </w:r>
          </w:p>
        </w:tc>
        <w:tc>
          <w:tcPr>
            <w:tcW w:w="1966" w:type="pct"/>
            <w:shd w:val="clear" w:color="auto" w:fill="auto"/>
          </w:tcPr>
          <w:p w14:paraId="0697B3FC" w14:textId="39A094EB" w:rsidR="0039782A" w:rsidRPr="00191B18" w:rsidRDefault="0039782A" w:rsidP="00E6423E">
            <w:pPr>
              <w:spacing w:line="276" w:lineRule="auto"/>
              <w:jc w:val="both"/>
              <w:rPr>
                <w:rFonts w:ascii="ITC Avant Garde" w:hAnsi="ITC Avant Garde" w:cs="Arial"/>
                <w:i/>
                <w:color w:val="000000"/>
                <w:sz w:val="18"/>
                <w:szCs w:val="18"/>
              </w:rPr>
            </w:pPr>
            <w:r w:rsidRPr="00191B18">
              <w:rPr>
                <w:rFonts w:ascii="ITC Avant Garde" w:hAnsi="ITC Avant Garde" w:cs="Arial"/>
                <w:i/>
                <w:color w:val="000000"/>
                <w:sz w:val="18"/>
                <w:szCs w:val="18"/>
              </w:rPr>
              <w:t>Sugerimos incluir en el segundo párrafo la opción de autorizar a las personas en términos del tercer párrafo del artículo 19 de la Ley Federal de Procedimiento Administrativo.</w:t>
            </w:r>
          </w:p>
        </w:tc>
        <w:tc>
          <w:tcPr>
            <w:tcW w:w="1992" w:type="pct"/>
            <w:shd w:val="clear" w:color="auto" w:fill="FFFFFF" w:themeFill="background1"/>
          </w:tcPr>
          <w:p w14:paraId="04E08F69" w14:textId="101974BD" w:rsidR="0039782A" w:rsidRPr="00191B18" w:rsidRDefault="0039782A" w:rsidP="00B33557">
            <w:pPr>
              <w:spacing w:line="276" w:lineRule="auto"/>
              <w:jc w:val="both"/>
              <w:rPr>
                <w:rFonts w:ascii="ITC Avant Garde" w:hAnsi="ITC Avant Garde"/>
                <w:sz w:val="18"/>
                <w:szCs w:val="18"/>
              </w:rPr>
            </w:pPr>
            <w:r w:rsidRPr="00191B18">
              <w:rPr>
                <w:rFonts w:ascii="ITC Avant Garde" w:hAnsi="ITC Avant Garde"/>
                <w:sz w:val="18"/>
                <w:szCs w:val="18"/>
              </w:rPr>
              <w:t xml:space="preserve">Con relación al comentario de </w:t>
            </w:r>
            <w:r w:rsidRPr="00191B18">
              <w:rPr>
                <w:rFonts w:ascii="ITC Avant Garde" w:hAnsi="ITC Avant Garde"/>
                <w:b/>
                <w:sz w:val="18"/>
                <w:szCs w:val="18"/>
              </w:rPr>
              <w:t xml:space="preserve">Octavio Lecona </w:t>
            </w:r>
            <w:r w:rsidR="00191B18">
              <w:rPr>
                <w:rFonts w:ascii="ITC Avant Garde" w:hAnsi="ITC Avant Garde"/>
                <w:b/>
                <w:sz w:val="18"/>
                <w:szCs w:val="18"/>
              </w:rPr>
              <w:t>Morales y Blanca Luévano García</w:t>
            </w:r>
            <w:r w:rsidRPr="00191B18">
              <w:rPr>
                <w:rFonts w:ascii="ITC Avant Garde" w:hAnsi="ITC Avant Garde"/>
                <w:b/>
                <w:sz w:val="18"/>
                <w:szCs w:val="18"/>
              </w:rPr>
              <w:t xml:space="preserve"> </w:t>
            </w:r>
            <w:r w:rsidR="00191B18">
              <w:rPr>
                <w:rFonts w:ascii="ITC Avant Garde" w:hAnsi="ITC Avant Garde"/>
                <w:sz w:val="18"/>
                <w:szCs w:val="18"/>
              </w:rPr>
              <w:t>relativo a</w:t>
            </w:r>
            <w:r w:rsidRPr="00191B18">
              <w:rPr>
                <w:rFonts w:ascii="ITC Avant Garde" w:hAnsi="ITC Avant Garde"/>
                <w:sz w:val="18"/>
                <w:szCs w:val="18"/>
              </w:rPr>
              <w:t xml:space="preserve"> incluir la opción de autorizar a las personas en términos del tercer párrafo del artículo 19 de la Ley Federal de Procedimiento Administrativo, </w:t>
            </w:r>
            <w:r w:rsidR="00244AD7" w:rsidRPr="00191B18">
              <w:rPr>
                <w:rFonts w:ascii="ITC Avant Garde" w:hAnsi="ITC Avant Garde"/>
                <w:sz w:val="18"/>
                <w:szCs w:val="18"/>
              </w:rPr>
              <w:t>se hace del conocimiento</w:t>
            </w:r>
            <w:r w:rsidRPr="00191B18">
              <w:rPr>
                <w:rFonts w:ascii="ITC Avant Garde" w:hAnsi="ITC Avant Garde"/>
                <w:sz w:val="18"/>
                <w:szCs w:val="18"/>
              </w:rPr>
              <w:t xml:space="preserve"> que</w:t>
            </w:r>
            <w:r w:rsidR="00606DB2" w:rsidRPr="00191B18">
              <w:rPr>
                <w:rFonts w:ascii="ITC Avant Garde" w:hAnsi="ITC Avant Garde"/>
                <w:sz w:val="18"/>
                <w:szCs w:val="18"/>
              </w:rPr>
              <w:t xml:space="preserve"> </w:t>
            </w:r>
            <w:r w:rsidR="00244AD7" w:rsidRPr="00191B18">
              <w:rPr>
                <w:rFonts w:ascii="ITC Avant Garde" w:hAnsi="ITC Avant Garde"/>
                <w:sz w:val="18"/>
                <w:szCs w:val="18"/>
              </w:rPr>
              <w:t>el</w:t>
            </w:r>
            <w:r w:rsidR="00606DB2" w:rsidRPr="00191B18">
              <w:rPr>
                <w:rFonts w:ascii="ITC Avant Garde" w:hAnsi="ITC Avant Garde"/>
                <w:sz w:val="18"/>
                <w:szCs w:val="18"/>
              </w:rPr>
              <w:t xml:space="preserve"> </w:t>
            </w:r>
            <w:r w:rsidR="00606DB2" w:rsidRPr="00191B18">
              <w:rPr>
                <w:rFonts w:ascii="ITC Avant Garde" w:hAnsi="ITC Avant Garde"/>
                <w:i/>
                <w:sz w:val="18"/>
                <w:szCs w:val="18"/>
              </w:rPr>
              <w:t>“Anexo 4.</w:t>
            </w:r>
            <w:r w:rsidR="00606DB2" w:rsidRPr="00191B18">
              <w:rPr>
                <w:i/>
              </w:rPr>
              <w:t xml:space="preserve"> </w:t>
            </w:r>
            <w:r w:rsidR="00606DB2" w:rsidRPr="00191B18">
              <w:rPr>
                <w:rFonts w:ascii="ITC Avant Garde" w:hAnsi="ITC Avant Garde"/>
                <w:i/>
                <w:sz w:val="18"/>
                <w:szCs w:val="18"/>
              </w:rPr>
              <w:t>Autorización de personas para entregar y/o recibir documentación, notificaciones y valores en el presente proceso de Licitación”,</w:t>
            </w:r>
            <w:r w:rsidR="00606DB2" w:rsidRPr="00191B18">
              <w:rPr>
                <w:rFonts w:ascii="ITC Avant Garde" w:hAnsi="ITC Avant Garde"/>
                <w:sz w:val="18"/>
                <w:szCs w:val="18"/>
              </w:rPr>
              <w:t xml:space="preserve"> que en su momento apruebe</w:t>
            </w:r>
            <w:r w:rsidR="00244AD7" w:rsidRPr="00191B18">
              <w:rPr>
                <w:rFonts w:ascii="ITC Avant Garde" w:hAnsi="ITC Avant Garde"/>
                <w:sz w:val="18"/>
                <w:szCs w:val="18"/>
              </w:rPr>
              <w:t xml:space="preserve"> el Instituto</w:t>
            </w:r>
            <w:r w:rsidR="00606DB2" w:rsidRPr="00191B18">
              <w:rPr>
                <w:rFonts w:ascii="ITC Avant Garde" w:hAnsi="ITC Avant Garde"/>
                <w:sz w:val="18"/>
                <w:szCs w:val="18"/>
              </w:rPr>
              <w:t xml:space="preserve">, contendrá </w:t>
            </w:r>
            <w:r w:rsidR="00244AD7" w:rsidRPr="00191B18">
              <w:rPr>
                <w:rFonts w:ascii="ITC Avant Garde" w:hAnsi="ITC Avant Garde"/>
                <w:sz w:val="18"/>
                <w:szCs w:val="18"/>
              </w:rPr>
              <w:t>lo aplicable a fin de dar cumplimiento a lo que se establezca en las Bases</w:t>
            </w:r>
            <w:r w:rsidR="00606DB2" w:rsidRPr="00191B18">
              <w:rPr>
                <w:rFonts w:ascii="ITC Avant Garde" w:hAnsi="ITC Avant Garde"/>
                <w:sz w:val="18"/>
                <w:szCs w:val="18"/>
              </w:rPr>
              <w:t>.</w:t>
            </w:r>
          </w:p>
        </w:tc>
      </w:tr>
      <w:tr w:rsidR="0039782A" w:rsidRPr="00637136" w14:paraId="67B27B1E" w14:textId="77777777" w:rsidTr="009155A1">
        <w:trPr>
          <w:trHeight w:val="290"/>
          <w:tblHeader/>
        </w:trPr>
        <w:tc>
          <w:tcPr>
            <w:tcW w:w="472" w:type="pct"/>
            <w:vAlign w:val="center"/>
          </w:tcPr>
          <w:p w14:paraId="61EA1F3A" w14:textId="3D37F65D" w:rsidR="0039782A" w:rsidRPr="00637136" w:rsidRDefault="0039782A" w:rsidP="0039782A">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t xml:space="preserve">Octavio Lecona </w:t>
            </w:r>
            <w:r w:rsidRPr="00B5458E">
              <w:rPr>
                <w:rFonts w:ascii="ITC Avant Garde" w:hAnsi="ITC Avant Garde" w:cs="Arial"/>
                <w:b/>
                <w:sz w:val="18"/>
                <w:szCs w:val="18"/>
              </w:rPr>
              <w:lastRenderedPageBreak/>
              <w:t xml:space="preserve">Morales y Blanca Luévano García  </w:t>
            </w:r>
          </w:p>
          <w:p w14:paraId="797F98A2"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2F0F6FEC" w14:textId="68F4AE0F" w:rsidR="0039782A" w:rsidRPr="00C61311" w:rsidRDefault="0039782A" w:rsidP="00D407F2">
            <w:pPr>
              <w:spacing w:after="0" w:line="276" w:lineRule="auto"/>
              <w:jc w:val="both"/>
              <w:rPr>
                <w:rFonts w:ascii="ITC Avant Garde" w:eastAsia="Calibri" w:hAnsi="ITC Avant Garde" w:cs="Arial"/>
                <w:b/>
                <w:bCs/>
                <w:color w:val="000000" w:themeColor="text1"/>
                <w:sz w:val="18"/>
                <w:szCs w:val="18"/>
              </w:rPr>
            </w:pPr>
            <w:r w:rsidRPr="00C61311">
              <w:rPr>
                <w:rFonts w:ascii="ITC Avant Garde" w:eastAsia="Calibri" w:hAnsi="ITC Avant Garde" w:cs="Arial"/>
                <w:b/>
                <w:bCs/>
                <w:color w:val="000000" w:themeColor="text1"/>
                <w:sz w:val="18"/>
                <w:szCs w:val="18"/>
              </w:rPr>
              <w:lastRenderedPageBreak/>
              <w:t xml:space="preserve">Apéndice A. Formulario de </w:t>
            </w:r>
            <w:r w:rsidRPr="00C61311">
              <w:rPr>
                <w:rFonts w:ascii="ITC Avant Garde" w:eastAsia="Calibri" w:hAnsi="ITC Avant Garde" w:cs="Arial"/>
                <w:b/>
                <w:bCs/>
                <w:color w:val="000000" w:themeColor="text1"/>
                <w:sz w:val="18"/>
                <w:szCs w:val="18"/>
              </w:rPr>
              <w:lastRenderedPageBreak/>
              <w:t>Requisitos Anexo 7. Declaración en materia de inversión extranjera.</w:t>
            </w:r>
          </w:p>
        </w:tc>
        <w:tc>
          <w:tcPr>
            <w:tcW w:w="1966" w:type="pct"/>
            <w:shd w:val="clear" w:color="auto" w:fill="auto"/>
          </w:tcPr>
          <w:p w14:paraId="7E45737E" w14:textId="2626F2C7" w:rsidR="0039782A" w:rsidRPr="00F06E21" w:rsidRDefault="006F15C5" w:rsidP="00E6423E">
            <w:pPr>
              <w:spacing w:line="276" w:lineRule="auto"/>
              <w:jc w:val="both"/>
              <w:rPr>
                <w:rFonts w:ascii="ITC Avant Garde" w:hAnsi="ITC Avant Garde" w:cs="Arial"/>
                <w:i/>
                <w:color w:val="000000"/>
                <w:sz w:val="18"/>
                <w:szCs w:val="18"/>
              </w:rPr>
            </w:pPr>
            <w:r w:rsidRPr="00F06E21">
              <w:rPr>
                <w:rFonts w:ascii="ITC Avant Garde" w:hAnsi="ITC Avant Garde" w:cs="Arial"/>
                <w:i/>
                <w:color w:val="000000"/>
                <w:sz w:val="18"/>
                <w:szCs w:val="18"/>
              </w:rPr>
              <w:lastRenderedPageBreak/>
              <w:t xml:space="preserve">Sugerimos eliminar tanto en dicho Anexo como a lo largo de las bases el requisito de obtener la opinión favorable de la Comisión </w:t>
            </w:r>
            <w:r w:rsidRPr="00F06E21">
              <w:rPr>
                <w:rFonts w:ascii="ITC Avant Garde" w:hAnsi="ITC Avant Garde" w:cs="Arial"/>
                <w:i/>
                <w:color w:val="000000"/>
                <w:sz w:val="18"/>
                <w:szCs w:val="18"/>
              </w:rPr>
              <w:lastRenderedPageBreak/>
              <w:t>Nacional de Inversiones Extranjeras, de conformidad con el artículo 77 de la Ley Federal de Telecomunicaciones y Radiodifusión, ya que dicho requisito únicamente es aplicable para la prestación de servicios de radiodifusión, mas no así para servicios de telecomunicaciones.</w:t>
            </w:r>
          </w:p>
        </w:tc>
        <w:tc>
          <w:tcPr>
            <w:tcW w:w="1992" w:type="pct"/>
            <w:shd w:val="clear" w:color="auto" w:fill="FFFFFF" w:themeFill="background1"/>
          </w:tcPr>
          <w:p w14:paraId="78D53B97" w14:textId="1B66C794" w:rsidR="00D97970" w:rsidRPr="00F06E21" w:rsidRDefault="00712297" w:rsidP="00D97970">
            <w:pPr>
              <w:spacing w:line="276" w:lineRule="auto"/>
              <w:jc w:val="both"/>
              <w:rPr>
                <w:rFonts w:ascii="ITC Avant Garde" w:hAnsi="ITC Avant Garde"/>
                <w:sz w:val="18"/>
                <w:szCs w:val="18"/>
              </w:rPr>
            </w:pPr>
            <w:r w:rsidRPr="00F06E21">
              <w:rPr>
                <w:rFonts w:ascii="ITC Avant Garde" w:hAnsi="ITC Avant Garde"/>
                <w:sz w:val="18"/>
                <w:szCs w:val="18"/>
              </w:rPr>
              <w:lastRenderedPageBreak/>
              <w:t xml:space="preserve"> Con relación al comentario de </w:t>
            </w:r>
            <w:r w:rsidRPr="00F06E21">
              <w:rPr>
                <w:rFonts w:ascii="ITC Avant Garde" w:hAnsi="ITC Avant Garde"/>
                <w:b/>
                <w:sz w:val="18"/>
                <w:szCs w:val="18"/>
              </w:rPr>
              <w:t xml:space="preserve">Octavio Lecona Morales y Blanca Luévano García  </w:t>
            </w:r>
            <w:r w:rsidRPr="00F06E21">
              <w:rPr>
                <w:rFonts w:ascii="ITC Avant Garde" w:hAnsi="ITC Avant Garde"/>
                <w:sz w:val="18"/>
                <w:szCs w:val="18"/>
              </w:rPr>
              <w:t xml:space="preserve">relativo a  </w:t>
            </w:r>
            <w:r w:rsidR="00FE2EC7" w:rsidRPr="00F06E21">
              <w:rPr>
                <w:rFonts w:ascii="ITC Avant Garde" w:hAnsi="ITC Avant Garde"/>
                <w:sz w:val="18"/>
                <w:szCs w:val="18"/>
              </w:rPr>
              <w:t xml:space="preserve">eliminar de las Bases de Licitación el </w:t>
            </w:r>
            <w:r w:rsidR="00FE2EC7" w:rsidRPr="00F06E21">
              <w:rPr>
                <w:rFonts w:ascii="ITC Avant Garde" w:hAnsi="ITC Avant Garde"/>
                <w:sz w:val="18"/>
                <w:szCs w:val="18"/>
              </w:rPr>
              <w:lastRenderedPageBreak/>
              <w:t>requisito de obtener la opinión favorable de la Comisión Nacional de Inversiones Extranjeras</w:t>
            </w:r>
            <w:r w:rsidRPr="00F06E21">
              <w:rPr>
                <w:rFonts w:ascii="ITC Avant Garde" w:hAnsi="ITC Avant Garde"/>
                <w:sz w:val="18"/>
                <w:szCs w:val="18"/>
              </w:rPr>
              <w:t xml:space="preserve">, </w:t>
            </w:r>
            <w:r w:rsidR="00D97970" w:rsidRPr="00F06E21">
              <w:rPr>
                <w:rFonts w:ascii="ITC Avant Garde" w:hAnsi="ITC Avant Garde"/>
                <w:sz w:val="18"/>
                <w:szCs w:val="18"/>
              </w:rPr>
              <w:t xml:space="preserve"> se toma conocimiento de la propuesta, la cual se analizará en cuanto a su fundamento legal y sustento, para evaluar su modificación o eliminación en el proyecto final de Bases.</w:t>
            </w:r>
          </w:p>
          <w:p w14:paraId="496CA2E8" w14:textId="4F853F2C" w:rsidR="0039782A" w:rsidRPr="00F06E21" w:rsidRDefault="00D97970" w:rsidP="00B33557">
            <w:pPr>
              <w:spacing w:line="276" w:lineRule="auto"/>
              <w:jc w:val="both"/>
              <w:rPr>
                <w:rFonts w:ascii="ITC Avant Garde" w:hAnsi="ITC Avant Garde"/>
                <w:sz w:val="18"/>
                <w:szCs w:val="18"/>
              </w:rPr>
            </w:pPr>
            <w:r w:rsidRPr="00F06E21" w:rsidDel="00D97970">
              <w:rPr>
                <w:rFonts w:ascii="ITC Avant Garde" w:hAnsi="ITC Avant Garde"/>
                <w:sz w:val="18"/>
                <w:szCs w:val="18"/>
              </w:rPr>
              <w:t xml:space="preserve"> </w:t>
            </w:r>
          </w:p>
        </w:tc>
      </w:tr>
      <w:tr w:rsidR="0039782A" w:rsidRPr="00637136" w14:paraId="58F903FF" w14:textId="77777777" w:rsidTr="009155A1">
        <w:trPr>
          <w:trHeight w:val="290"/>
          <w:tblHeader/>
        </w:trPr>
        <w:tc>
          <w:tcPr>
            <w:tcW w:w="472" w:type="pct"/>
            <w:vAlign w:val="center"/>
          </w:tcPr>
          <w:p w14:paraId="732A4B70" w14:textId="08432E5A" w:rsidR="0039782A" w:rsidRPr="009155A1" w:rsidRDefault="009155A1" w:rsidP="00D407F2">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lastRenderedPageBreak/>
              <w:t xml:space="preserve">Octavio Lecona Morales y Blanca Luévano García  </w:t>
            </w:r>
          </w:p>
        </w:tc>
        <w:tc>
          <w:tcPr>
            <w:tcW w:w="570" w:type="pct"/>
            <w:shd w:val="clear" w:color="auto" w:fill="auto"/>
            <w:vAlign w:val="center"/>
          </w:tcPr>
          <w:p w14:paraId="389D0245" w14:textId="5222BBED"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C61311">
              <w:rPr>
                <w:rFonts w:ascii="ITC Avant Garde" w:eastAsia="Calibri" w:hAnsi="ITC Avant Garde" w:cs="Arial"/>
                <w:b/>
                <w:bCs/>
                <w:color w:val="000000" w:themeColor="text1"/>
                <w:sz w:val="18"/>
                <w:szCs w:val="18"/>
              </w:rPr>
              <w:t>3.3 Vigencia de la Concesión Fracción III Apéndice B. Procedimiento de Presentación de Ofertas (páginas 13 y 14)</w:t>
            </w:r>
          </w:p>
        </w:tc>
        <w:tc>
          <w:tcPr>
            <w:tcW w:w="1966" w:type="pct"/>
            <w:shd w:val="clear" w:color="auto" w:fill="auto"/>
          </w:tcPr>
          <w:p w14:paraId="1F57F21B" w14:textId="77777777" w:rsidR="009155A1" w:rsidRDefault="009155A1" w:rsidP="009155A1">
            <w:pPr>
              <w:spacing w:line="276" w:lineRule="auto"/>
              <w:jc w:val="both"/>
              <w:rPr>
                <w:rFonts w:ascii="ITC Avant Garde" w:hAnsi="ITC Avant Garde" w:cs="Arial"/>
                <w:i/>
                <w:color w:val="000000"/>
                <w:sz w:val="18"/>
                <w:szCs w:val="18"/>
              </w:rPr>
            </w:pPr>
            <w:r w:rsidRPr="00C61311">
              <w:rPr>
                <w:rFonts w:ascii="ITC Avant Garde" w:hAnsi="ITC Avant Garde" w:cs="Arial"/>
                <w:i/>
                <w:color w:val="000000"/>
                <w:sz w:val="18"/>
                <w:szCs w:val="18"/>
              </w:rPr>
              <w:t xml:space="preserve">Se sugiere </w:t>
            </w:r>
            <w:r w:rsidRPr="004107DF">
              <w:rPr>
                <w:rFonts w:ascii="ITC Avant Garde" w:hAnsi="ITC Avant Garde" w:cs="Arial"/>
                <w:i/>
                <w:color w:val="000000"/>
                <w:sz w:val="18"/>
                <w:szCs w:val="18"/>
              </w:rPr>
              <w:t>mencionar con precisión el sustento jurídico bajo el cual el IFT “asignaría a un tercero” el uso del espectro adjudicado en el Bloque Categoría TDD correspondiente.</w:t>
            </w:r>
            <w:r w:rsidRPr="00C61311">
              <w:rPr>
                <w:rFonts w:ascii="ITC Avant Garde" w:hAnsi="ITC Avant Garde" w:cs="Arial"/>
                <w:i/>
                <w:color w:val="000000"/>
                <w:sz w:val="18"/>
                <w:szCs w:val="18"/>
              </w:rPr>
              <w:t xml:space="preserve"> </w:t>
            </w:r>
          </w:p>
          <w:p w14:paraId="7A6CF132" w14:textId="0BEFB5A7" w:rsidR="0039782A" w:rsidRPr="00C61311" w:rsidRDefault="009155A1" w:rsidP="009155A1">
            <w:pPr>
              <w:spacing w:line="276" w:lineRule="auto"/>
              <w:jc w:val="both"/>
              <w:rPr>
                <w:rFonts w:ascii="ITC Avant Garde" w:hAnsi="ITC Avant Garde" w:cs="Arial"/>
                <w:i/>
                <w:color w:val="000000"/>
                <w:sz w:val="18"/>
                <w:szCs w:val="18"/>
              </w:rPr>
            </w:pPr>
            <w:r w:rsidRPr="00C61311">
              <w:rPr>
                <w:rFonts w:ascii="ITC Avant Garde" w:hAnsi="ITC Avant Garde" w:cs="Arial"/>
                <w:i/>
                <w:color w:val="000000"/>
                <w:sz w:val="18"/>
                <w:szCs w:val="18"/>
              </w:rPr>
              <w:t>Lo anterior, ya que la Ley Federal de Telecomunicaciones y Radiodifusión contempla la asignación de frecuencias en los siguientes casos (i) aquellas que puedan asignarse directamente conforme al Programa Anual de Uso y Aprovechamiento de Bandas de Frecuencias, y (ii) las concesiones sobre el espectro radioeléctrico para uso público o social cuya vigencia puede ser de hasta 15 años. Lo anterior, ya que se deben establecer medidas claras en caso de asignación para la desocupación de las bandas de frecuencia en un tiempo y condiciones suficientes que permitan al Participante ganador de dicho bloque el comenzar a usar el espectro en la fecha de inicio de vigencia correspondiente.</w:t>
            </w:r>
          </w:p>
        </w:tc>
        <w:tc>
          <w:tcPr>
            <w:tcW w:w="1992" w:type="pct"/>
            <w:shd w:val="clear" w:color="auto" w:fill="FFFFFF" w:themeFill="background1"/>
          </w:tcPr>
          <w:p w14:paraId="0F6CAF54" w14:textId="4633B6A4" w:rsidR="00A0529C" w:rsidRDefault="00FE2EC7" w:rsidP="00136B69">
            <w:pPr>
              <w:jc w:val="both"/>
              <w:rPr>
                <w:rFonts w:ascii="ITC Avant Garde" w:hAnsi="ITC Avant Garde"/>
                <w:sz w:val="18"/>
                <w:szCs w:val="18"/>
              </w:rPr>
            </w:pPr>
            <w:r>
              <w:rPr>
                <w:rFonts w:ascii="ITC Avant Garde" w:hAnsi="ITC Avant Garde"/>
                <w:sz w:val="18"/>
                <w:szCs w:val="18"/>
              </w:rPr>
              <w:t xml:space="preserve">Con relación al comentario de </w:t>
            </w:r>
            <w:r w:rsidRPr="003F7AF7">
              <w:rPr>
                <w:rFonts w:ascii="ITC Avant Garde" w:hAnsi="ITC Avant Garde"/>
                <w:b/>
                <w:sz w:val="18"/>
                <w:szCs w:val="18"/>
              </w:rPr>
              <w:t xml:space="preserve">Octavio Lecona Morales y Blanca Luévano García </w:t>
            </w:r>
            <w:r>
              <w:rPr>
                <w:rFonts w:ascii="ITC Avant Garde" w:hAnsi="ITC Avant Garde"/>
                <w:sz w:val="18"/>
                <w:szCs w:val="18"/>
              </w:rPr>
              <w:t xml:space="preserve">relativo a </w:t>
            </w:r>
            <w:r w:rsidR="00BF49A9" w:rsidRPr="004107DF">
              <w:rPr>
                <w:rFonts w:ascii="ITC Avant Garde" w:hAnsi="ITC Avant Garde"/>
                <w:sz w:val="18"/>
                <w:szCs w:val="18"/>
              </w:rPr>
              <w:t>que se debe mencionar el sustento jurídico bajo el cual el IFT podría asignar a un tercero el uso del espectro adjudicado en el Bloque</w:t>
            </w:r>
            <w:r w:rsidRPr="004107DF">
              <w:rPr>
                <w:rFonts w:ascii="ITC Avant Garde" w:hAnsi="ITC Avant Garde"/>
                <w:sz w:val="18"/>
                <w:szCs w:val="18"/>
              </w:rPr>
              <w:t xml:space="preserve"> de la </w:t>
            </w:r>
            <w:r w:rsidR="00BF49A9" w:rsidRPr="004107DF">
              <w:rPr>
                <w:rFonts w:ascii="ITC Avant Garde" w:hAnsi="ITC Avant Garde"/>
                <w:sz w:val="18"/>
                <w:szCs w:val="18"/>
              </w:rPr>
              <w:t>categoría TDD</w:t>
            </w:r>
            <w:r w:rsidRPr="004107DF">
              <w:rPr>
                <w:rFonts w:ascii="ITC Avant Garde" w:hAnsi="ITC Avant Garde"/>
                <w:sz w:val="18"/>
                <w:szCs w:val="18"/>
              </w:rPr>
              <w:t>,</w:t>
            </w:r>
            <w:r>
              <w:rPr>
                <w:rFonts w:ascii="ITC Avant Garde" w:hAnsi="ITC Avant Garde"/>
                <w:sz w:val="18"/>
                <w:szCs w:val="18"/>
              </w:rPr>
              <w:t xml:space="preserve"> </w:t>
            </w:r>
            <w:r w:rsidR="00A0529C">
              <w:rPr>
                <w:rFonts w:ascii="ITC Avant Garde" w:hAnsi="ITC Avant Garde"/>
                <w:sz w:val="18"/>
                <w:szCs w:val="18"/>
              </w:rPr>
              <w:t>se informa que dicha disposición solo aplicaría d</w:t>
            </w:r>
            <w:r w:rsidR="00A0529C" w:rsidRPr="00A0529C">
              <w:rPr>
                <w:rFonts w:ascii="ITC Avant Garde" w:hAnsi="ITC Avant Garde"/>
                <w:sz w:val="18"/>
                <w:szCs w:val="18"/>
              </w:rPr>
              <w:t>urante el periodo de diferimiento</w:t>
            </w:r>
            <w:r w:rsidR="00A0529C">
              <w:rPr>
                <w:rFonts w:ascii="ITC Avant Garde" w:hAnsi="ITC Avant Garde"/>
                <w:sz w:val="18"/>
                <w:szCs w:val="18"/>
              </w:rPr>
              <w:t xml:space="preserve"> por el que optara el </w:t>
            </w:r>
            <w:r w:rsidR="004107DF" w:rsidRPr="004107DF">
              <w:rPr>
                <w:rFonts w:ascii="ITC Avant Garde" w:hAnsi="ITC Avant Garde"/>
                <w:sz w:val="18"/>
                <w:szCs w:val="18"/>
              </w:rPr>
              <w:t>participante ganador.</w:t>
            </w:r>
            <w:r w:rsidR="00A0529C">
              <w:rPr>
                <w:rFonts w:ascii="ITC Avant Garde" w:hAnsi="ITC Avant Garde"/>
                <w:sz w:val="18"/>
                <w:szCs w:val="18"/>
              </w:rPr>
              <w:t xml:space="preserve"> Lo anterior implica que</w:t>
            </w:r>
            <w:r w:rsidR="004107DF" w:rsidRPr="004107DF">
              <w:rPr>
                <w:rFonts w:ascii="ITC Avant Garde" w:hAnsi="ITC Avant Garde"/>
                <w:sz w:val="18"/>
                <w:szCs w:val="18"/>
              </w:rPr>
              <w:t>,</w:t>
            </w:r>
            <w:r w:rsidR="00A0529C">
              <w:rPr>
                <w:rFonts w:ascii="ITC Avant Garde" w:hAnsi="ITC Avant Garde"/>
                <w:sz w:val="18"/>
                <w:szCs w:val="18"/>
              </w:rPr>
              <w:t xml:space="preserve"> en caso de que </w:t>
            </w:r>
            <w:r w:rsidR="00A0529C" w:rsidRPr="00A0529C">
              <w:rPr>
                <w:rFonts w:ascii="ITC Avant Garde" w:hAnsi="ITC Avant Garde"/>
                <w:sz w:val="18"/>
                <w:szCs w:val="18"/>
              </w:rPr>
              <w:t xml:space="preserve">el </w:t>
            </w:r>
            <w:r w:rsidR="004107DF" w:rsidRPr="004107DF">
              <w:rPr>
                <w:rFonts w:ascii="ITC Avant Garde" w:hAnsi="ITC Avant Garde"/>
                <w:sz w:val="18"/>
                <w:szCs w:val="18"/>
              </w:rPr>
              <w:t>participante ganador</w:t>
            </w:r>
            <w:r w:rsidR="00A0529C">
              <w:rPr>
                <w:rFonts w:ascii="ITC Avant Garde" w:hAnsi="ITC Avant Garde"/>
                <w:sz w:val="18"/>
                <w:szCs w:val="18"/>
              </w:rPr>
              <w:t xml:space="preserve"> </w:t>
            </w:r>
            <w:r w:rsidR="00A0529C" w:rsidRPr="00A0529C">
              <w:rPr>
                <w:rFonts w:ascii="ITC Avant Garde" w:hAnsi="ITC Avant Garde"/>
                <w:sz w:val="18"/>
                <w:szCs w:val="18"/>
              </w:rPr>
              <w:t xml:space="preserve">correspondiente </w:t>
            </w:r>
            <w:r w:rsidR="00A0529C">
              <w:rPr>
                <w:rFonts w:ascii="ITC Avant Garde" w:hAnsi="ITC Avant Garde"/>
                <w:sz w:val="18"/>
                <w:szCs w:val="18"/>
              </w:rPr>
              <w:t xml:space="preserve">solicitará la opción de diferimiento, éste </w:t>
            </w:r>
            <w:r w:rsidR="00A0529C" w:rsidRPr="00A0529C">
              <w:rPr>
                <w:rFonts w:ascii="ITC Avant Garde" w:hAnsi="ITC Avant Garde"/>
                <w:sz w:val="18"/>
                <w:szCs w:val="18"/>
              </w:rPr>
              <w:t xml:space="preserve">no tendrá derecho al uso, aprovechamiento y explotación del espectro </w:t>
            </w:r>
            <w:r w:rsidR="00A0529C">
              <w:rPr>
                <w:rFonts w:ascii="ITC Avant Garde" w:hAnsi="ITC Avant Garde"/>
                <w:sz w:val="18"/>
                <w:szCs w:val="18"/>
              </w:rPr>
              <w:t>ya que el</w:t>
            </w:r>
            <w:r w:rsidR="00A0529C" w:rsidRPr="00A0529C">
              <w:rPr>
                <w:rFonts w:ascii="ITC Avant Garde" w:hAnsi="ITC Avant Garde"/>
                <w:sz w:val="18"/>
                <w:szCs w:val="18"/>
              </w:rPr>
              <w:t xml:space="preserve"> título</w:t>
            </w:r>
            <w:r w:rsidR="00A0529C">
              <w:rPr>
                <w:rFonts w:ascii="ITC Avant Garde" w:hAnsi="ITC Avant Garde"/>
                <w:sz w:val="18"/>
                <w:szCs w:val="18"/>
              </w:rPr>
              <w:t xml:space="preserve"> de concesión correspondiente se entregaría hasta finalizar el periodo del diferimiento</w:t>
            </w:r>
            <w:r w:rsidR="00A0529C" w:rsidRPr="00A0529C">
              <w:rPr>
                <w:rFonts w:ascii="ITC Avant Garde" w:hAnsi="ITC Avant Garde"/>
                <w:sz w:val="18"/>
                <w:szCs w:val="18"/>
              </w:rPr>
              <w:t>, por lo que e</w:t>
            </w:r>
            <w:r w:rsidR="00A0529C">
              <w:rPr>
                <w:rFonts w:ascii="ITC Avant Garde" w:hAnsi="ITC Avant Garde"/>
                <w:sz w:val="18"/>
                <w:szCs w:val="18"/>
              </w:rPr>
              <w:t>l Instituto podría</w:t>
            </w:r>
            <w:r w:rsidR="00A0529C" w:rsidRPr="00A0529C">
              <w:rPr>
                <w:rFonts w:ascii="ITC Avant Garde" w:hAnsi="ITC Avant Garde"/>
                <w:sz w:val="18"/>
                <w:szCs w:val="18"/>
              </w:rPr>
              <w:t xml:space="preserve"> asignarlo a un tercero en términos de la Le</w:t>
            </w:r>
            <w:r w:rsidR="00A0529C">
              <w:rPr>
                <w:rFonts w:ascii="ITC Avant Garde" w:hAnsi="ITC Avant Garde"/>
                <w:sz w:val="18"/>
                <w:szCs w:val="18"/>
              </w:rPr>
              <w:t>y y únicamente por el periodo del diferimiento.</w:t>
            </w:r>
          </w:p>
          <w:p w14:paraId="406E0D17" w14:textId="19AF55AA" w:rsidR="0039782A" w:rsidRDefault="00A0529C" w:rsidP="004107DF">
            <w:pPr>
              <w:jc w:val="both"/>
              <w:rPr>
                <w:rFonts w:ascii="ITC Avant Garde" w:hAnsi="ITC Avant Garde"/>
                <w:sz w:val="18"/>
                <w:szCs w:val="18"/>
              </w:rPr>
            </w:pPr>
            <w:r>
              <w:rPr>
                <w:rFonts w:ascii="ITC Avant Garde" w:hAnsi="ITC Avant Garde"/>
                <w:sz w:val="18"/>
                <w:szCs w:val="18"/>
              </w:rPr>
              <w:t xml:space="preserve">No </w:t>
            </w:r>
            <w:r w:rsidR="00CE5A3A">
              <w:rPr>
                <w:rFonts w:ascii="ITC Avant Garde" w:hAnsi="ITC Avant Garde"/>
                <w:sz w:val="18"/>
                <w:szCs w:val="18"/>
              </w:rPr>
              <w:t>obstante</w:t>
            </w:r>
            <w:r>
              <w:rPr>
                <w:rFonts w:ascii="ITC Avant Garde" w:hAnsi="ITC Avant Garde"/>
                <w:sz w:val="18"/>
                <w:szCs w:val="18"/>
              </w:rPr>
              <w:t>, se revisará la redacción de la fracción referida para mejorarla o corregirla, según sea el caso.</w:t>
            </w:r>
          </w:p>
        </w:tc>
      </w:tr>
      <w:tr w:rsidR="0039782A" w:rsidRPr="00637136" w14:paraId="146828FC" w14:textId="77777777" w:rsidTr="009155A1">
        <w:trPr>
          <w:trHeight w:val="290"/>
          <w:tblHeader/>
        </w:trPr>
        <w:tc>
          <w:tcPr>
            <w:tcW w:w="472" w:type="pct"/>
            <w:vAlign w:val="center"/>
          </w:tcPr>
          <w:p w14:paraId="2673EBA4" w14:textId="76D1B2A5" w:rsidR="009155A1" w:rsidRPr="00637136" w:rsidRDefault="009155A1" w:rsidP="009155A1">
            <w:pPr>
              <w:spacing w:after="0" w:line="276" w:lineRule="auto"/>
              <w:jc w:val="both"/>
              <w:rPr>
                <w:rFonts w:ascii="ITC Avant Garde" w:hAnsi="ITC Avant Garde" w:cs="Arial"/>
                <w:b/>
                <w:sz w:val="18"/>
                <w:szCs w:val="18"/>
              </w:rPr>
            </w:pPr>
            <w:r w:rsidRPr="00B5458E">
              <w:rPr>
                <w:rFonts w:ascii="ITC Avant Garde" w:hAnsi="ITC Avant Garde" w:cs="Arial"/>
                <w:b/>
                <w:sz w:val="18"/>
                <w:szCs w:val="18"/>
              </w:rPr>
              <w:t xml:space="preserve">Octavio Lecona Morales y Blanca </w:t>
            </w:r>
            <w:r w:rsidRPr="00B5458E">
              <w:rPr>
                <w:rFonts w:ascii="ITC Avant Garde" w:hAnsi="ITC Avant Garde" w:cs="Arial"/>
                <w:b/>
                <w:sz w:val="18"/>
                <w:szCs w:val="18"/>
              </w:rPr>
              <w:lastRenderedPageBreak/>
              <w:t xml:space="preserve">Luévano García  </w:t>
            </w:r>
          </w:p>
          <w:p w14:paraId="5F9B97E0"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6F1E6036" w14:textId="7FD3693E"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C61311">
              <w:rPr>
                <w:rFonts w:ascii="ITC Avant Garde" w:eastAsia="Calibri" w:hAnsi="ITC Avant Garde" w:cs="Arial"/>
                <w:b/>
                <w:bCs/>
                <w:color w:val="000000" w:themeColor="text1"/>
                <w:sz w:val="18"/>
                <w:szCs w:val="18"/>
              </w:rPr>
              <w:lastRenderedPageBreak/>
              <w:t>Punto 8. Apéndice E. Formulario de Competencia Económica</w:t>
            </w:r>
          </w:p>
        </w:tc>
        <w:tc>
          <w:tcPr>
            <w:tcW w:w="1966" w:type="pct"/>
            <w:shd w:val="clear" w:color="auto" w:fill="auto"/>
          </w:tcPr>
          <w:p w14:paraId="7B5DF0C6" w14:textId="123C9390" w:rsidR="0039782A" w:rsidRPr="00C61311" w:rsidRDefault="009155A1" w:rsidP="00E6423E">
            <w:pPr>
              <w:spacing w:line="276" w:lineRule="auto"/>
              <w:jc w:val="both"/>
              <w:rPr>
                <w:rFonts w:ascii="ITC Avant Garde" w:hAnsi="ITC Avant Garde" w:cs="Arial"/>
                <w:i/>
                <w:color w:val="000000"/>
                <w:sz w:val="18"/>
                <w:szCs w:val="18"/>
              </w:rPr>
            </w:pPr>
            <w:r w:rsidRPr="00C61311">
              <w:rPr>
                <w:rFonts w:ascii="ITC Avant Garde" w:hAnsi="ITC Avant Garde" w:cs="Arial"/>
                <w:i/>
                <w:color w:val="000000"/>
                <w:sz w:val="18"/>
                <w:szCs w:val="18"/>
              </w:rPr>
              <w:t xml:space="preserve">Se sugiere </w:t>
            </w:r>
            <w:r w:rsidRPr="00847592">
              <w:rPr>
                <w:rFonts w:ascii="ITC Avant Garde" w:hAnsi="ITC Avant Garde" w:cs="Arial"/>
                <w:i/>
                <w:color w:val="000000"/>
                <w:sz w:val="18"/>
                <w:szCs w:val="18"/>
              </w:rPr>
              <w:t>eliminar cualquier referencia a radiodifusión en la descripción de los títulos, autorizaciones y permisos</w:t>
            </w:r>
            <w:r w:rsidRPr="00C61311">
              <w:rPr>
                <w:rFonts w:ascii="ITC Avant Garde" w:hAnsi="ITC Avant Garde" w:cs="Arial"/>
                <w:i/>
                <w:color w:val="000000"/>
                <w:sz w:val="18"/>
                <w:szCs w:val="18"/>
              </w:rPr>
              <w:t xml:space="preserve"> ya que conforme a dicho numeral, únicamente deben identificarse las </w:t>
            </w:r>
            <w:r w:rsidRPr="00C61311">
              <w:rPr>
                <w:rFonts w:ascii="ITC Avant Garde" w:hAnsi="ITC Avant Garde" w:cs="Arial"/>
                <w:i/>
                <w:color w:val="000000"/>
                <w:sz w:val="18"/>
                <w:szCs w:val="18"/>
              </w:rPr>
              <w:lastRenderedPageBreak/>
              <w:t>autorizaciones o permisos que detentan los participantes en los sectores de telecomunicaciones.</w:t>
            </w:r>
          </w:p>
        </w:tc>
        <w:tc>
          <w:tcPr>
            <w:tcW w:w="1992" w:type="pct"/>
            <w:shd w:val="clear" w:color="auto" w:fill="FFFFFF" w:themeFill="background1"/>
          </w:tcPr>
          <w:p w14:paraId="5DEAD131" w14:textId="3A12895E" w:rsidR="0039782A" w:rsidRDefault="00BF49A9" w:rsidP="00CE5A3A">
            <w:pPr>
              <w:spacing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sidRPr="003F7AF7">
              <w:rPr>
                <w:rFonts w:ascii="ITC Avant Garde" w:hAnsi="ITC Avant Garde"/>
                <w:b/>
                <w:sz w:val="18"/>
                <w:szCs w:val="18"/>
              </w:rPr>
              <w:t xml:space="preserve">Octavio Lecona Morales y Blanca Luévano García  </w:t>
            </w:r>
            <w:r>
              <w:rPr>
                <w:rFonts w:ascii="ITC Avant Garde" w:hAnsi="ITC Avant Garde"/>
                <w:sz w:val="18"/>
                <w:szCs w:val="18"/>
              </w:rPr>
              <w:t xml:space="preserve">relativo a  </w:t>
            </w:r>
            <w:r w:rsidRPr="00847592">
              <w:rPr>
                <w:rFonts w:ascii="ITC Avant Garde" w:hAnsi="ITC Avant Garde"/>
                <w:sz w:val="18"/>
                <w:szCs w:val="18"/>
              </w:rPr>
              <w:t>que se debe eliminar cualquier referencia a radiodifusión en los títulos, autorizaciones y permisos,</w:t>
            </w:r>
            <w:r>
              <w:rPr>
                <w:rFonts w:ascii="ITC Avant Garde" w:hAnsi="ITC Avant Garde"/>
                <w:sz w:val="18"/>
                <w:szCs w:val="18"/>
              </w:rPr>
              <w:t xml:space="preserve"> </w:t>
            </w:r>
            <w:r w:rsidR="00CE5A3A">
              <w:rPr>
                <w:rFonts w:ascii="ITC Avant Garde" w:hAnsi="ITC Avant Garde"/>
                <w:sz w:val="18"/>
                <w:szCs w:val="18"/>
              </w:rPr>
              <w:t>se informa que el análisis de competencia económica req</w:t>
            </w:r>
            <w:r w:rsidR="00136B69">
              <w:rPr>
                <w:rFonts w:ascii="ITC Avant Garde" w:hAnsi="ITC Avant Garde"/>
                <w:sz w:val="18"/>
                <w:szCs w:val="18"/>
              </w:rPr>
              <w:t>u</w:t>
            </w:r>
            <w:r w:rsidR="00CE5A3A">
              <w:rPr>
                <w:rFonts w:ascii="ITC Avant Garde" w:hAnsi="ITC Avant Garde"/>
                <w:sz w:val="18"/>
                <w:szCs w:val="18"/>
              </w:rPr>
              <w:t xml:space="preserve">iere para su </w:t>
            </w:r>
            <w:r w:rsidR="00CE5A3A">
              <w:rPr>
                <w:rFonts w:ascii="ITC Avant Garde" w:hAnsi="ITC Avant Garde"/>
                <w:sz w:val="18"/>
                <w:szCs w:val="18"/>
              </w:rPr>
              <w:lastRenderedPageBreak/>
              <w:t xml:space="preserve">análisis y </w:t>
            </w:r>
            <w:r w:rsidR="00CE5A3A" w:rsidRPr="00847592">
              <w:rPr>
                <w:rFonts w:ascii="ITC Avant Garde" w:hAnsi="ITC Avant Garde"/>
                <w:sz w:val="18"/>
                <w:szCs w:val="18"/>
              </w:rPr>
              <w:t>evalu</w:t>
            </w:r>
            <w:r w:rsidR="00847592" w:rsidRPr="00847592">
              <w:rPr>
                <w:rFonts w:ascii="ITC Avant Garde" w:hAnsi="ITC Avant Garde"/>
                <w:sz w:val="18"/>
                <w:szCs w:val="18"/>
              </w:rPr>
              <w:t>a</w:t>
            </w:r>
            <w:r w:rsidR="00CE5A3A" w:rsidRPr="00847592">
              <w:rPr>
                <w:rFonts w:ascii="ITC Avant Garde" w:hAnsi="ITC Avant Garde"/>
                <w:sz w:val="18"/>
                <w:szCs w:val="18"/>
              </w:rPr>
              <w:t>ción</w:t>
            </w:r>
            <w:r w:rsidR="00CE5A3A">
              <w:rPr>
                <w:rFonts w:ascii="ITC Avant Garde" w:hAnsi="ITC Avant Garde"/>
                <w:sz w:val="18"/>
                <w:szCs w:val="18"/>
              </w:rPr>
              <w:t xml:space="preserve"> conocer las concesiones otorgadas a los Interesados tanto de telecomunicaciones como de radiodifusión.</w:t>
            </w:r>
          </w:p>
        </w:tc>
      </w:tr>
      <w:tr w:rsidR="0039782A" w:rsidRPr="00637136" w14:paraId="37542AF3" w14:textId="77777777" w:rsidTr="009155A1">
        <w:trPr>
          <w:trHeight w:val="290"/>
          <w:tblHeader/>
        </w:trPr>
        <w:tc>
          <w:tcPr>
            <w:tcW w:w="472" w:type="pct"/>
            <w:vAlign w:val="center"/>
          </w:tcPr>
          <w:p w14:paraId="73E60042" w14:textId="03055732" w:rsidR="0039782A" w:rsidRPr="009155A1" w:rsidRDefault="009155A1" w:rsidP="00D407F2">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tc>
        <w:tc>
          <w:tcPr>
            <w:tcW w:w="570" w:type="pct"/>
            <w:shd w:val="clear" w:color="auto" w:fill="auto"/>
            <w:vAlign w:val="center"/>
          </w:tcPr>
          <w:p w14:paraId="59A4CA7A" w14:textId="6569FC00"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7170FF">
              <w:rPr>
                <w:rFonts w:ascii="ITC Avant Garde" w:eastAsia="Calibri" w:hAnsi="ITC Avant Garde" w:cs="Arial"/>
                <w:b/>
                <w:bCs/>
                <w:color w:val="000000" w:themeColor="text1"/>
                <w:sz w:val="18"/>
                <w:szCs w:val="18"/>
              </w:rPr>
              <w:t>Proyecto de bases de la licitación, Definiciones, “IX”</w:t>
            </w:r>
          </w:p>
        </w:tc>
        <w:tc>
          <w:tcPr>
            <w:tcW w:w="1966" w:type="pct"/>
            <w:shd w:val="clear" w:color="auto" w:fill="auto"/>
          </w:tcPr>
          <w:p w14:paraId="21F896BE" w14:textId="41D77584" w:rsidR="0039782A" w:rsidRPr="00C61311" w:rsidRDefault="009155A1" w:rsidP="00E6423E">
            <w:pPr>
              <w:spacing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Banda de guarda: aquí se incluyen los segmentos de la banda PCS. En realidad deben de ser </w:t>
            </w:r>
            <w:r w:rsidRPr="004107DF">
              <w:rPr>
                <w:rFonts w:ascii="ITC Avant Garde" w:hAnsi="ITC Avant Garde" w:cs="Arial"/>
                <w:i/>
                <w:color w:val="000000"/>
                <w:sz w:val="18"/>
                <w:szCs w:val="18"/>
              </w:rPr>
              <w:t>los segmentos de frecuencia de 2570-2575 MHz y de 2615-2620 MHz.</w:t>
            </w:r>
          </w:p>
        </w:tc>
        <w:tc>
          <w:tcPr>
            <w:tcW w:w="1992" w:type="pct"/>
            <w:shd w:val="clear" w:color="auto" w:fill="FFFFFF" w:themeFill="background1"/>
          </w:tcPr>
          <w:p w14:paraId="58BBCA7E" w14:textId="4DAE94F1" w:rsidR="00AA18B6" w:rsidRDefault="00BF49A9" w:rsidP="00B33557">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sidR="00B1478D">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Pr="004107DF">
              <w:rPr>
                <w:rFonts w:ascii="ITC Avant Garde" w:hAnsi="ITC Avant Garde"/>
                <w:sz w:val="18"/>
                <w:szCs w:val="18"/>
              </w:rPr>
              <w:t xml:space="preserve">a  </w:t>
            </w:r>
            <w:r w:rsidR="00B1478D" w:rsidRPr="004107DF">
              <w:rPr>
                <w:rFonts w:ascii="ITC Avant Garde" w:hAnsi="ITC Avant Garde"/>
                <w:sz w:val="18"/>
                <w:szCs w:val="18"/>
              </w:rPr>
              <w:t>los segmentos de frecuencia correspondientes a la band</w:t>
            </w:r>
            <w:r w:rsidR="00B1478D" w:rsidDel="00AA18B6">
              <w:rPr>
                <w:rFonts w:ascii="ITC Avant Garde" w:hAnsi="ITC Avant Garde"/>
                <w:sz w:val="18"/>
                <w:szCs w:val="18"/>
              </w:rPr>
              <w:t>a</w:t>
            </w:r>
            <w:r w:rsidR="00B1478D" w:rsidRPr="004107DF" w:rsidDel="00AA18B6">
              <w:rPr>
                <w:rFonts w:ascii="ITC Avant Garde" w:hAnsi="ITC Avant Garde"/>
                <w:sz w:val="18"/>
                <w:szCs w:val="18"/>
              </w:rPr>
              <w:t xml:space="preserve"> </w:t>
            </w:r>
            <w:r w:rsidR="00AA18B6" w:rsidRPr="004107DF">
              <w:rPr>
                <w:rFonts w:ascii="ITC Avant Garde" w:hAnsi="ITC Avant Garde"/>
                <w:sz w:val="18"/>
                <w:szCs w:val="18"/>
              </w:rPr>
              <w:t>de guarda</w:t>
            </w:r>
            <w:r w:rsidRPr="004107DF">
              <w:rPr>
                <w:rFonts w:ascii="ITC Avant Garde" w:hAnsi="ITC Avant Garde"/>
                <w:sz w:val="18"/>
                <w:szCs w:val="18"/>
              </w:rPr>
              <w:t>,</w:t>
            </w:r>
            <w:r>
              <w:rPr>
                <w:rFonts w:ascii="ITC Avant Garde" w:hAnsi="ITC Avant Garde"/>
                <w:sz w:val="18"/>
                <w:szCs w:val="18"/>
              </w:rPr>
              <w:t xml:space="preserve"> </w:t>
            </w:r>
            <w:r w:rsidR="00AA18B6" w:rsidRPr="004107DF">
              <w:rPr>
                <w:rFonts w:ascii="ITC Avant Garde" w:hAnsi="ITC Avant Garde"/>
                <w:sz w:val="18"/>
                <w:szCs w:val="18"/>
              </w:rPr>
              <w:t>se informa que sus rangos correctos son: 2570–2575 MHz y 2615–2620 MHz.</w:t>
            </w:r>
          </w:p>
        </w:tc>
      </w:tr>
      <w:tr w:rsidR="0039782A" w:rsidRPr="00637136" w14:paraId="4C846D10" w14:textId="77777777" w:rsidTr="009155A1">
        <w:trPr>
          <w:trHeight w:val="290"/>
          <w:tblHeader/>
        </w:trPr>
        <w:tc>
          <w:tcPr>
            <w:tcW w:w="472" w:type="pct"/>
            <w:vAlign w:val="center"/>
          </w:tcPr>
          <w:p w14:paraId="08A688CF" w14:textId="7F34E6C0" w:rsidR="0039782A" w:rsidRPr="009155A1" w:rsidRDefault="009155A1" w:rsidP="00D407F2">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tc>
        <w:tc>
          <w:tcPr>
            <w:tcW w:w="570" w:type="pct"/>
            <w:shd w:val="clear" w:color="auto" w:fill="auto"/>
            <w:vAlign w:val="center"/>
          </w:tcPr>
          <w:p w14:paraId="77DB22EB" w14:textId="2F13A726"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Proyecto de bases de la licitación, Anexo 15</w:t>
            </w:r>
          </w:p>
        </w:tc>
        <w:tc>
          <w:tcPr>
            <w:tcW w:w="1966" w:type="pct"/>
            <w:shd w:val="clear" w:color="auto" w:fill="auto"/>
          </w:tcPr>
          <w:p w14:paraId="2CD79AA4" w14:textId="2B92BC18" w:rsidR="0039782A" w:rsidRPr="00F06E21" w:rsidRDefault="009155A1" w:rsidP="00E6423E">
            <w:pPr>
              <w:spacing w:line="276" w:lineRule="auto"/>
              <w:jc w:val="both"/>
              <w:rPr>
                <w:rFonts w:ascii="ITC Avant Garde" w:hAnsi="ITC Avant Garde" w:cs="Arial"/>
                <w:i/>
                <w:color w:val="000000"/>
                <w:sz w:val="18"/>
                <w:szCs w:val="18"/>
              </w:rPr>
            </w:pPr>
            <w:r w:rsidRPr="00F06E21">
              <w:rPr>
                <w:rFonts w:ascii="ITC Avant Garde" w:hAnsi="ITC Avant Garde" w:cs="Arial"/>
                <w:i/>
                <w:color w:val="000000"/>
                <w:sz w:val="18"/>
                <w:szCs w:val="18"/>
              </w:rPr>
              <w:t>A este respecto, nos permitimos señalar que toda vez que la presente no se trata de una licitación para la adquisición por parte del sector público de bien o servicio alguno, estimamos que el presente anexo no es aplicable.</w:t>
            </w:r>
          </w:p>
        </w:tc>
        <w:tc>
          <w:tcPr>
            <w:tcW w:w="1992" w:type="pct"/>
            <w:shd w:val="clear" w:color="auto" w:fill="FFFFFF" w:themeFill="background1"/>
          </w:tcPr>
          <w:p w14:paraId="6654566C" w14:textId="4BB8BC09" w:rsidR="0039782A" w:rsidRPr="00F06E21" w:rsidRDefault="00B1478D" w:rsidP="00BA4271">
            <w:pPr>
              <w:spacing w:line="276" w:lineRule="auto"/>
              <w:jc w:val="both"/>
              <w:rPr>
                <w:rFonts w:ascii="ITC Avant Garde" w:hAnsi="ITC Avant Garde"/>
                <w:sz w:val="18"/>
                <w:szCs w:val="18"/>
              </w:rPr>
            </w:pPr>
            <w:r w:rsidRPr="00F06E21">
              <w:rPr>
                <w:rFonts w:ascii="ITC Avant Garde" w:hAnsi="ITC Avant Garde"/>
                <w:sz w:val="18"/>
                <w:szCs w:val="18"/>
              </w:rPr>
              <w:t xml:space="preserve">Con relación al comentario de </w:t>
            </w:r>
            <w:r w:rsidRPr="00F06E21">
              <w:rPr>
                <w:rFonts w:ascii="ITC Avant Garde" w:hAnsi="ITC Avant Garde"/>
                <w:b/>
                <w:sz w:val="18"/>
                <w:szCs w:val="18"/>
              </w:rPr>
              <w:t xml:space="preserve">Radiomóvil Dipsa, S.A. de C.V.  </w:t>
            </w:r>
            <w:r w:rsidRPr="00F06E21">
              <w:rPr>
                <w:rFonts w:ascii="ITC Avant Garde" w:hAnsi="ITC Avant Garde"/>
                <w:sz w:val="18"/>
                <w:szCs w:val="18"/>
              </w:rPr>
              <w:t xml:space="preserve">relativo a la naturaleza y aplicación del Anexo 15 de las Bases, </w:t>
            </w:r>
            <w:r w:rsidR="00BA4271" w:rsidRPr="00F06E21">
              <w:rPr>
                <w:rFonts w:ascii="ITC Avant Garde" w:hAnsi="ITC Avant Garde"/>
                <w:sz w:val="18"/>
                <w:szCs w:val="18"/>
              </w:rPr>
              <w:t>se informa que el Anexo 15 del Apéndice A es relevante como apoyo para el debido cumplimiento de las obligaciones establecidas en la Ley General de Transparencia y Acceso a la Información Pública y en  la Ley Federal de Transparencia y Acceso a la Información Pública</w:t>
            </w:r>
            <w:r w:rsidR="00DC0800" w:rsidRPr="00F06E21">
              <w:rPr>
                <w:rFonts w:ascii="ITC Avant Garde" w:hAnsi="ITC Avant Garde"/>
                <w:sz w:val="18"/>
                <w:szCs w:val="18"/>
              </w:rPr>
              <w:t>.</w:t>
            </w:r>
          </w:p>
        </w:tc>
      </w:tr>
      <w:tr w:rsidR="0039782A" w:rsidRPr="00637136" w14:paraId="75E6E8E8" w14:textId="77777777" w:rsidTr="009155A1">
        <w:trPr>
          <w:trHeight w:val="290"/>
          <w:tblHeader/>
        </w:trPr>
        <w:tc>
          <w:tcPr>
            <w:tcW w:w="472" w:type="pct"/>
            <w:vAlign w:val="center"/>
          </w:tcPr>
          <w:p w14:paraId="3C645291" w14:textId="0DA02A89" w:rsidR="009155A1" w:rsidRPr="00637136" w:rsidRDefault="009155A1" w:rsidP="009155A1">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130B4A70"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33336090" w14:textId="444330A7"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Proyecto de bases de la licitación, Anexo 15</w:t>
            </w:r>
          </w:p>
        </w:tc>
        <w:tc>
          <w:tcPr>
            <w:tcW w:w="1966" w:type="pct"/>
            <w:shd w:val="clear" w:color="auto" w:fill="auto"/>
          </w:tcPr>
          <w:p w14:paraId="550C3ECA" w14:textId="36EE4F33" w:rsidR="0039782A" w:rsidRPr="00C61311" w:rsidRDefault="009155A1" w:rsidP="00E6423E">
            <w:pPr>
              <w:spacing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Se solicita a ese IFT, </w:t>
            </w:r>
            <w:r w:rsidRPr="004107DF">
              <w:rPr>
                <w:rFonts w:ascii="ITC Avant Garde" w:hAnsi="ITC Avant Garde" w:cs="Arial"/>
                <w:i/>
                <w:color w:val="000000"/>
                <w:sz w:val="18"/>
                <w:szCs w:val="18"/>
              </w:rPr>
              <w:t>aclarar si en el presente anexo 15, se deberá incluir también la descripción de la información que es materia del Apéndice “E”</w:t>
            </w:r>
            <w:r w:rsidRPr="00AB0D17">
              <w:rPr>
                <w:rFonts w:ascii="ITC Avant Garde" w:hAnsi="ITC Avant Garde" w:cs="Arial"/>
                <w:i/>
                <w:color w:val="000000"/>
                <w:sz w:val="18"/>
                <w:szCs w:val="18"/>
              </w:rPr>
              <w:t xml:space="preserve"> de competencia económica.</w:t>
            </w:r>
          </w:p>
        </w:tc>
        <w:tc>
          <w:tcPr>
            <w:tcW w:w="1992" w:type="pct"/>
            <w:shd w:val="clear" w:color="auto" w:fill="FFFFFF" w:themeFill="background1"/>
          </w:tcPr>
          <w:p w14:paraId="51D1BA5A" w14:textId="3A56BA45" w:rsidR="0039782A" w:rsidRDefault="00B1478D" w:rsidP="00136B69">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004107DF" w:rsidRPr="004107DF">
              <w:rPr>
                <w:rFonts w:ascii="ITC Avant Garde" w:hAnsi="ITC Avant Garde"/>
                <w:sz w:val="18"/>
                <w:szCs w:val="18"/>
              </w:rPr>
              <w:t>si el A</w:t>
            </w:r>
            <w:r w:rsidRPr="004107DF">
              <w:rPr>
                <w:rFonts w:ascii="ITC Avant Garde" w:hAnsi="ITC Avant Garde"/>
                <w:sz w:val="18"/>
                <w:szCs w:val="18"/>
              </w:rPr>
              <w:t>nexo 15 se deberá incluir la descripción de la información que es materia del Apéndice E,</w:t>
            </w:r>
            <w:r>
              <w:rPr>
                <w:rFonts w:ascii="ITC Avant Garde" w:hAnsi="ITC Avant Garde"/>
                <w:sz w:val="18"/>
                <w:szCs w:val="18"/>
              </w:rPr>
              <w:t xml:space="preserve"> </w:t>
            </w:r>
            <w:r w:rsidR="002B765C">
              <w:rPr>
                <w:rFonts w:ascii="ITC Avant Garde" w:hAnsi="ITC Avant Garde"/>
                <w:sz w:val="18"/>
                <w:szCs w:val="18"/>
              </w:rPr>
              <w:t>se aclara que Anexo 15 aplica a todos los documentos entregados por el Interesado.</w:t>
            </w:r>
          </w:p>
        </w:tc>
      </w:tr>
      <w:tr w:rsidR="0039782A" w:rsidRPr="00637136" w14:paraId="2A2304D8" w14:textId="77777777" w:rsidTr="009155A1">
        <w:trPr>
          <w:trHeight w:val="290"/>
          <w:tblHeader/>
        </w:trPr>
        <w:tc>
          <w:tcPr>
            <w:tcW w:w="472" w:type="pct"/>
            <w:vAlign w:val="center"/>
          </w:tcPr>
          <w:p w14:paraId="47CCFD19" w14:textId="0B529D3A" w:rsidR="0039782A" w:rsidRPr="009155A1" w:rsidRDefault="009155A1" w:rsidP="00D407F2">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tc>
        <w:tc>
          <w:tcPr>
            <w:tcW w:w="570" w:type="pct"/>
            <w:shd w:val="clear" w:color="auto" w:fill="auto"/>
            <w:vAlign w:val="center"/>
          </w:tcPr>
          <w:p w14:paraId="1E168D9D" w14:textId="078FF2C2"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Definiciones XXVIII</w:t>
            </w:r>
          </w:p>
        </w:tc>
        <w:tc>
          <w:tcPr>
            <w:tcW w:w="1966" w:type="pct"/>
            <w:shd w:val="clear" w:color="auto" w:fill="auto"/>
          </w:tcPr>
          <w:p w14:paraId="2D6F62B3" w14:textId="77777777"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Límite de acumulación de espectro. Se solicita atentamente a ese Instituto que aclare </w:t>
            </w:r>
            <w:r w:rsidRPr="003D1519">
              <w:rPr>
                <w:rFonts w:ascii="ITC Avant Garde" w:hAnsi="ITC Avant Garde" w:cs="Arial"/>
                <w:i/>
                <w:color w:val="000000"/>
                <w:sz w:val="18"/>
                <w:szCs w:val="18"/>
              </w:rPr>
              <w:t>por qué se incluye dentro del límite de acumulación a la banda de 800MHz de manera indistinta para todos los operadores.</w:t>
            </w:r>
          </w:p>
          <w:p w14:paraId="47F879AA" w14:textId="77777777" w:rsidR="00AB1040" w:rsidRPr="003D1519" w:rsidRDefault="00AB1040" w:rsidP="00AB1040">
            <w:pPr>
              <w:tabs>
                <w:tab w:val="left" w:pos="975"/>
              </w:tabs>
              <w:spacing w:after="0" w:line="276" w:lineRule="auto"/>
              <w:jc w:val="both"/>
              <w:rPr>
                <w:rFonts w:ascii="ITC Avant Garde" w:hAnsi="ITC Avant Garde" w:cs="Arial"/>
                <w:i/>
                <w:color w:val="000000"/>
                <w:sz w:val="18"/>
                <w:szCs w:val="18"/>
              </w:rPr>
            </w:pPr>
          </w:p>
          <w:p w14:paraId="252A47FE" w14:textId="77777777"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Lo anterior considerando que en nuestro país sólo los integrantes de </w:t>
            </w:r>
            <w:r w:rsidRPr="003D1519">
              <w:rPr>
                <w:rFonts w:ascii="ITC Avant Garde" w:hAnsi="ITC Avant Garde" w:cs="Arial"/>
                <w:i/>
                <w:color w:val="000000"/>
                <w:sz w:val="18"/>
                <w:szCs w:val="18"/>
                <w:u w:val="single"/>
              </w:rPr>
              <w:t xml:space="preserve">un grupo de interés cuentan con Títulos Habilitantes para prestar </w:t>
            </w:r>
            <w:r w:rsidRPr="003D1519">
              <w:rPr>
                <w:rFonts w:ascii="ITC Avant Garde" w:hAnsi="ITC Avant Garde" w:cs="Arial"/>
                <w:i/>
                <w:color w:val="000000"/>
                <w:sz w:val="18"/>
                <w:szCs w:val="18"/>
                <w:u w:val="single"/>
              </w:rPr>
              <w:lastRenderedPageBreak/>
              <w:t>servicios IMT en la banda de 800 MHz, lo que no sucede con mi representada ni con ninguna de sus partes relacionadas.</w:t>
            </w:r>
            <w:r w:rsidRPr="00AB0D17">
              <w:rPr>
                <w:rFonts w:ascii="ITC Avant Garde" w:hAnsi="ITC Avant Garde" w:cs="Arial"/>
                <w:i/>
                <w:color w:val="000000"/>
                <w:sz w:val="18"/>
                <w:szCs w:val="18"/>
              </w:rPr>
              <w:t xml:space="preserve"> </w:t>
            </w:r>
          </w:p>
          <w:p w14:paraId="63F788F4" w14:textId="77777777" w:rsidR="00AB1040" w:rsidRPr="003D1519" w:rsidRDefault="00AB1040" w:rsidP="00AB1040">
            <w:pPr>
              <w:tabs>
                <w:tab w:val="left" w:pos="975"/>
              </w:tabs>
              <w:spacing w:after="0" w:line="276" w:lineRule="auto"/>
              <w:jc w:val="both"/>
              <w:rPr>
                <w:rFonts w:ascii="ITC Avant Garde" w:hAnsi="ITC Avant Garde" w:cs="Arial"/>
                <w:i/>
                <w:color w:val="000000"/>
                <w:sz w:val="18"/>
                <w:szCs w:val="18"/>
              </w:rPr>
            </w:pPr>
          </w:p>
          <w:p w14:paraId="03C77A5C" w14:textId="77777777"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Incluso, cabe destacar que mediante escrito presentado el 15 de agosto de 2017, </w:t>
            </w:r>
            <w:r w:rsidRPr="003D1519">
              <w:rPr>
                <w:rFonts w:ascii="ITC Avant Garde" w:hAnsi="ITC Avant Garde" w:cs="Arial"/>
                <w:i/>
                <w:color w:val="000000"/>
                <w:sz w:val="18"/>
                <w:szCs w:val="18"/>
              </w:rPr>
              <w:t>la empresa del grupo de interés al cual, de acuerdo con información pública pertenece mi representada, y que era titular de la concesión que le habilitaba para la operación y explotación de esta banda (800MHz), manifestó no tener interés en el cambio de frecuencias propuesto</w:t>
            </w:r>
            <w:r w:rsidRPr="00AB0D17">
              <w:rPr>
                <w:rFonts w:ascii="ITC Avant Garde" w:hAnsi="ITC Avant Garde" w:cs="Arial"/>
                <w:i/>
                <w:color w:val="000000"/>
                <w:sz w:val="18"/>
                <w:szCs w:val="18"/>
              </w:rPr>
              <w:t xml:space="preserve"> por ese Instituto de tal manera que dicho espectro no debería considerarse en el límite de acumulación de mi representada. </w:t>
            </w:r>
          </w:p>
          <w:p w14:paraId="4A637F9E" w14:textId="77777777" w:rsidR="00AB1040" w:rsidRPr="003D1519" w:rsidRDefault="00AB1040" w:rsidP="00AB1040">
            <w:pPr>
              <w:tabs>
                <w:tab w:val="left" w:pos="975"/>
              </w:tabs>
              <w:spacing w:after="0" w:line="276" w:lineRule="auto"/>
              <w:jc w:val="both"/>
              <w:rPr>
                <w:rFonts w:ascii="ITC Avant Garde" w:hAnsi="ITC Avant Garde" w:cs="Arial"/>
                <w:i/>
                <w:color w:val="000000"/>
                <w:sz w:val="18"/>
                <w:szCs w:val="18"/>
              </w:rPr>
            </w:pPr>
          </w:p>
          <w:p w14:paraId="0BE8DC67" w14:textId="77777777"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Es decir, </w:t>
            </w:r>
            <w:r w:rsidRPr="003D1519">
              <w:rPr>
                <w:rFonts w:ascii="ITC Avant Garde" w:hAnsi="ITC Avant Garde" w:cs="Arial"/>
                <w:i/>
                <w:color w:val="000000"/>
                <w:sz w:val="18"/>
                <w:szCs w:val="18"/>
              </w:rPr>
              <w:t>estimamos que para la definición del límite de acumulación no puede recibir el mismo tratamiento un grupo cuyos integrantes reúnen la característica de ser concesionarios de bandas 800 MHz y al mismo tiempo son titulares de concesiones habilitantes para la prestación de servicios IMT</w:t>
            </w:r>
            <w:r w:rsidRPr="00AB0D17">
              <w:rPr>
                <w:rFonts w:ascii="ITC Avant Garde" w:hAnsi="ITC Avant Garde" w:cs="Arial"/>
                <w:i/>
                <w:color w:val="000000"/>
                <w:sz w:val="18"/>
                <w:szCs w:val="18"/>
              </w:rPr>
              <w:t xml:space="preserve">, que un grupo como el de mi representada en el cual ninguno de sus integrantes reúne el carácter de concesionario de 800 MHz y además concesionario de un título habilitante para servicios IMT al mismo tiempo. </w:t>
            </w:r>
          </w:p>
          <w:p w14:paraId="683B2A8B" w14:textId="77777777" w:rsidR="00AB1040" w:rsidRDefault="00AB1040" w:rsidP="00AB1040">
            <w:pPr>
              <w:tabs>
                <w:tab w:val="left" w:pos="975"/>
              </w:tabs>
              <w:spacing w:after="0" w:line="276" w:lineRule="auto"/>
              <w:jc w:val="both"/>
              <w:rPr>
                <w:rFonts w:ascii="ITC Avant Garde" w:hAnsi="ITC Avant Garde" w:cs="Arial"/>
                <w:i/>
                <w:color w:val="000000"/>
                <w:sz w:val="18"/>
                <w:szCs w:val="18"/>
              </w:rPr>
            </w:pPr>
          </w:p>
          <w:p w14:paraId="7924D6F3" w14:textId="0A5F7A70"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Lo anterior sin perjuicio de que para la fijación del límite de acumulación se debe considerar también el estado fragmentado y no armonizado de esta banda y que aún no se concluye con su reordenamiento, lo cual impide su uso para IMT.</w:t>
            </w:r>
          </w:p>
          <w:p w14:paraId="2BE0BB7E" w14:textId="77777777" w:rsidR="00AB1040" w:rsidRPr="003D1519" w:rsidRDefault="00AB1040" w:rsidP="00AB1040">
            <w:pPr>
              <w:tabs>
                <w:tab w:val="left" w:pos="975"/>
              </w:tabs>
              <w:spacing w:after="0" w:line="276" w:lineRule="auto"/>
              <w:jc w:val="both"/>
              <w:rPr>
                <w:rFonts w:ascii="ITC Avant Garde" w:hAnsi="ITC Avant Garde" w:cs="Arial"/>
                <w:i/>
                <w:color w:val="000000"/>
                <w:sz w:val="18"/>
                <w:szCs w:val="18"/>
              </w:rPr>
            </w:pPr>
          </w:p>
          <w:p w14:paraId="0B46D569" w14:textId="77777777"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lastRenderedPageBreak/>
              <w:t>Por otro lado</w:t>
            </w:r>
            <w:r w:rsidRPr="003D1519">
              <w:rPr>
                <w:rFonts w:ascii="ITC Avant Garde" w:hAnsi="ITC Avant Garde" w:cs="Arial"/>
                <w:i/>
                <w:color w:val="000000"/>
                <w:sz w:val="18"/>
                <w:szCs w:val="18"/>
              </w:rPr>
              <w:t>, se solicita aclarar por qué a diferencia de la licitación IFT No. 3 (AWS) de 2016, en la presente IFT No. 7 se consideran para el límite de acumulación la participación de espectro en todas las bandas</w:t>
            </w:r>
            <w:r w:rsidRPr="00AB0D17">
              <w:rPr>
                <w:rFonts w:ascii="ITC Avant Garde" w:hAnsi="ITC Avant Garde" w:cs="Arial"/>
                <w:i/>
                <w:color w:val="000000"/>
                <w:sz w:val="18"/>
                <w:szCs w:val="18"/>
              </w:rPr>
              <w:t xml:space="preserve">; es decir, cuál es el estándar para considerar o no, todo el espectro que los operadores acumulan en las bandas distintas a las que se estarán subastando. </w:t>
            </w:r>
          </w:p>
          <w:p w14:paraId="2AA13125" w14:textId="77777777" w:rsidR="00AB1040" w:rsidRPr="003D1519" w:rsidRDefault="00AB1040" w:rsidP="00AB1040">
            <w:pPr>
              <w:tabs>
                <w:tab w:val="left" w:pos="975"/>
              </w:tabs>
              <w:spacing w:after="0" w:line="276" w:lineRule="auto"/>
              <w:jc w:val="both"/>
              <w:rPr>
                <w:rFonts w:ascii="ITC Avant Garde" w:hAnsi="ITC Avant Garde" w:cs="Arial"/>
                <w:i/>
                <w:color w:val="000000"/>
                <w:sz w:val="18"/>
                <w:szCs w:val="18"/>
              </w:rPr>
            </w:pPr>
          </w:p>
          <w:p w14:paraId="5667AC1F" w14:textId="2F207575" w:rsidR="009155A1" w:rsidRDefault="009155A1" w:rsidP="00AB1040">
            <w:pPr>
              <w:tabs>
                <w:tab w:val="left" w:pos="975"/>
              </w:tabs>
              <w:spacing w:after="0"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Asimismo, se ruega a ese IFT, se sirva </w:t>
            </w:r>
            <w:r w:rsidRPr="003D1519">
              <w:rPr>
                <w:rFonts w:ascii="ITC Avant Garde" w:hAnsi="ITC Avant Garde" w:cs="Arial"/>
                <w:i/>
                <w:color w:val="000000"/>
                <w:sz w:val="18"/>
                <w:szCs w:val="18"/>
              </w:rPr>
              <w:t>aclarar por qué no se incluyen en la presente subasta las porciones de espectro AWS que quedaron sin asignar en la licitación IFT No. 3 (Bloque G1 1755-1760 / 2155 -2160 GHz)</w:t>
            </w:r>
            <w:r w:rsidRPr="00AB0D17">
              <w:rPr>
                <w:rFonts w:ascii="ITC Avant Garde" w:hAnsi="ITC Avant Garde" w:cs="Arial"/>
                <w:i/>
                <w:color w:val="000000"/>
                <w:sz w:val="18"/>
                <w:szCs w:val="18"/>
              </w:rPr>
              <w:t xml:space="preserve"> a fin de que las mismas sean puestas a disposición de los operadores interesados en su explotación y permitir que la Banda AWS sea ocupada en su totalidad.</w:t>
            </w:r>
          </w:p>
          <w:p w14:paraId="34FBFF50" w14:textId="77777777" w:rsidR="00AB1040" w:rsidRPr="003D1519" w:rsidRDefault="00AB1040" w:rsidP="00AB1040">
            <w:pPr>
              <w:tabs>
                <w:tab w:val="left" w:pos="975"/>
              </w:tabs>
              <w:spacing w:after="0" w:line="276" w:lineRule="auto"/>
              <w:jc w:val="both"/>
              <w:rPr>
                <w:rFonts w:ascii="ITC Avant Garde" w:hAnsi="ITC Avant Garde" w:cs="Arial"/>
                <w:i/>
                <w:color w:val="000000"/>
                <w:sz w:val="18"/>
                <w:szCs w:val="18"/>
              </w:rPr>
            </w:pPr>
          </w:p>
          <w:p w14:paraId="6243783B" w14:textId="62430DD5" w:rsidR="0039782A" w:rsidRPr="00C61311" w:rsidRDefault="009155A1" w:rsidP="009155A1">
            <w:pPr>
              <w:spacing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Y por último </w:t>
            </w:r>
            <w:r w:rsidRPr="003D1519">
              <w:rPr>
                <w:rFonts w:ascii="ITC Avant Garde" w:hAnsi="ITC Avant Garde" w:cs="Arial"/>
                <w:i/>
                <w:color w:val="000000"/>
                <w:sz w:val="18"/>
                <w:szCs w:val="18"/>
              </w:rPr>
              <w:t>se sugiere incluir igualmente todo el espectro que en esta banda ese IFT haya rescatado y cuyo proceso de rescate haya concluido</w:t>
            </w:r>
            <w:r w:rsidRPr="00AB0D17">
              <w:rPr>
                <w:rFonts w:ascii="ITC Avant Garde" w:hAnsi="ITC Avant Garde" w:cs="Arial"/>
                <w:i/>
                <w:color w:val="000000"/>
                <w:sz w:val="18"/>
                <w:szCs w:val="18"/>
              </w:rPr>
              <w:t xml:space="preserve"> y el mismo tenga el carácter de cosa juzgada.</w:t>
            </w:r>
          </w:p>
        </w:tc>
        <w:tc>
          <w:tcPr>
            <w:tcW w:w="1992" w:type="pct"/>
            <w:shd w:val="clear" w:color="auto" w:fill="FFFFFF" w:themeFill="background1"/>
          </w:tcPr>
          <w:p w14:paraId="3C1A20BF" w14:textId="5AD341DA" w:rsidR="00AE43B0" w:rsidRDefault="00B1478D" w:rsidP="00AB1040">
            <w:pPr>
              <w:spacing w:after="0"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00BC32DD" w:rsidRPr="003D1519">
              <w:rPr>
                <w:rFonts w:ascii="ITC Avant Garde" w:hAnsi="ITC Avant Garde"/>
                <w:sz w:val="18"/>
                <w:szCs w:val="18"/>
              </w:rPr>
              <w:t>porque</w:t>
            </w:r>
            <w:r w:rsidRPr="003D1519">
              <w:rPr>
                <w:rFonts w:ascii="ITC Avant Garde" w:hAnsi="ITC Avant Garde"/>
                <w:sz w:val="18"/>
                <w:szCs w:val="18"/>
              </w:rPr>
              <w:t xml:space="preserve"> se </w:t>
            </w:r>
            <w:r w:rsidR="00BC32DD" w:rsidRPr="003D1519">
              <w:rPr>
                <w:rFonts w:ascii="ITC Avant Garde" w:hAnsi="ITC Avant Garde"/>
                <w:sz w:val="18"/>
                <w:szCs w:val="18"/>
              </w:rPr>
              <w:t>incluye dentro</w:t>
            </w:r>
            <w:r w:rsidRPr="003D1519">
              <w:rPr>
                <w:rFonts w:ascii="ITC Avant Garde" w:hAnsi="ITC Avant Garde"/>
                <w:sz w:val="18"/>
                <w:szCs w:val="18"/>
              </w:rPr>
              <w:t xml:space="preserve"> del </w:t>
            </w:r>
            <w:r w:rsidR="00BC32DD" w:rsidRPr="003D1519">
              <w:rPr>
                <w:rFonts w:ascii="ITC Avant Garde" w:hAnsi="ITC Avant Garde"/>
                <w:sz w:val="18"/>
                <w:szCs w:val="18"/>
              </w:rPr>
              <w:t>límite de acumulación a la banda 800 MHz de manera indistinta para todos los operadores</w:t>
            </w:r>
            <w:r w:rsidRPr="003D1519">
              <w:rPr>
                <w:rFonts w:ascii="ITC Avant Garde" w:hAnsi="ITC Avant Garde"/>
                <w:sz w:val="18"/>
                <w:szCs w:val="18"/>
              </w:rPr>
              <w:t>,</w:t>
            </w:r>
            <w:r>
              <w:rPr>
                <w:rFonts w:ascii="ITC Avant Garde" w:hAnsi="ITC Avant Garde"/>
                <w:sz w:val="18"/>
                <w:szCs w:val="18"/>
              </w:rPr>
              <w:t xml:space="preserve"> </w:t>
            </w:r>
            <w:r w:rsidR="00AE43B0">
              <w:rPr>
                <w:rFonts w:ascii="ITC Avant Garde" w:hAnsi="ITC Avant Garde"/>
                <w:sz w:val="18"/>
                <w:szCs w:val="18"/>
              </w:rPr>
              <w:t xml:space="preserve"> se informa que los límites de acumulación de e</w:t>
            </w:r>
            <w:r w:rsidR="00AE43B0" w:rsidRPr="00F45F0B">
              <w:rPr>
                <w:rFonts w:ascii="ITC Avant Garde" w:hAnsi="ITC Avant Garde"/>
                <w:sz w:val="18"/>
                <w:szCs w:val="18"/>
              </w:rPr>
              <w:t xml:space="preserve">spectro se calcularán para cada </w:t>
            </w:r>
            <w:r w:rsidR="003D1519" w:rsidRPr="00F45F0B">
              <w:rPr>
                <w:rFonts w:ascii="ITC Avant Garde" w:hAnsi="ITC Avant Garde"/>
                <w:sz w:val="18"/>
                <w:szCs w:val="18"/>
              </w:rPr>
              <w:t>interesado</w:t>
            </w:r>
            <w:r w:rsidR="00AE43B0" w:rsidRPr="00F45F0B">
              <w:rPr>
                <w:rFonts w:ascii="ITC Avant Garde" w:hAnsi="ITC Avant Garde"/>
                <w:sz w:val="18"/>
                <w:szCs w:val="18"/>
              </w:rPr>
              <w:t xml:space="preserve"> en su dimensión de GIE, </w:t>
            </w:r>
            <w:r w:rsidR="00AE43B0">
              <w:rPr>
                <w:rFonts w:ascii="ITC Avant Garde" w:hAnsi="ITC Avant Garde"/>
                <w:sz w:val="18"/>
                <w:szCs w:val="18"/>
              </w:rPr>
              <w:t xml:space="preserve">conforme a la </w:t>
            </w:r>
            <w:r w:rsidR="00AE43B0" w:rsidRPr="00F45F0B">
              <w:rPr>
                <w:rFonts w:ascii="ITC Avant Garde" w:hAnsi="ITC Avant Garde"/>
                <w:sz w:val="18"/>
                <w:szCs w:val="18"/>
              </w:rPr>
              <w:t xml:space="preserve"> Tabla 2</w:t>
            </w:r>
            <w:r w:rsidR="00AE43B0">
              <w:rPr>
                <w:rFonts w:ascii="ITC Avant Garde" w:hAnsi="ITC Avant Garde"/>
                <w:sz w:val="18"/>
                <w:szCs w:val="18"/>
              </w:rPr>
              <w:t xml:space="preserve">  del Anteproyecto, misma que</w:t>
            </w:r>
            <w:r w:rsidR="00AE43B0" w:rsidRPr="00F45F0B">
              <w:rPr>
                <w:rFonts w:ascii="ITC Avant Garde" w:hAnsi="ITC Avant Garde"/>
                <w:sz w:val="18"/>
                <w:szCs w:val="18"/>
              </w:rPr>
              <w:t xml:space="preserve"> ejemplifica la tenencia espectral en bandas de frecuencias óptimas para la prestación del servicio de </w:t>
            </w:r>
            <w:r w:rsidR="00AE43B0" w:rsidRPr="00F45F0B">
              <w:rPr>
                <w:rFonts w:ascii="ITC Avant Garde" w:hAnsi="ITC Avant Garde"/>
                <w:sz w:val="18"/>
                <w:szCs w:val="18"/>
              </w:rPr>
              <w:lastRenderedPageBreak/>
              <w:t xml:space="preserve">acceso inalámbrico móvil, por lo que la evaluación en materia de competencia económica que realice el Instituto a los </w:t>
            </w:r>
            <w:r w:rsidR="003D1519" w:rsidRPr="00F45F0B">
              <w:rPr>
                <w:rFonts w:ascii="ITC Avant Garde" w:hAnsi="ITC Avant Garde"/>
                <w:sz w:val="18"/>
                <w:szCs w:val="18"/>
              </w:rPr>
              <w:t>interesados</w:t>
            </w:r>
            <w:r w:rsidR="00AE43B0" w:rsidRPr="00F45F0B">
              <w:rPr>
                <w:rFonts w:ascii="ITC Avant Garde" w:hAnsi="ITC Avant Garde"/>
                <w:sz w:val="18"/>
                <w:szCs w:val="18"/>
              </w:rPr>
              <w:t xml:space="preserve"> para determinar su calidad de participantes en la Licitación se realizará conforme a la tenencia espectral de cada participante a la fecha de aprobación de las Bases, con independencia de las transacciones y operaciones que pudieran llegar a realizar y/o a notificar los interesados en fecha posterior a ésta. Dicha tenencia es calculada a nivel nacional.</w:t>
            </w:r>
            <w:r w:rsidR="00AE43B0">
              <w:rPr>
                <w:rFonts w:ascii="ITC Avant Garde" w:hAnsi="ITC Avant Garde"/>
                <w:sz w:val="18"/>
                <w:szCs w:val="18"/>
              </w:rPr>
              <w:t xml:space="preserve"> En este sentido se considera relevante incluir las bandas de frecuencias para servicios de acceso inalámbrico móvil a fin de evitar concentraciones de espectro radioeléctrico para este servicio que pudieran afectar el interés público.</w:t>
            </w:r>
          </w:p>
          <w:p w14:paraId="51783F2A" w14:textId="77777777" w:rsidR="00BC32DD" w:rsidRDefault="00BC32DD" w:rsidP="00AB1040">
            <w:pPr>
              <w:spacing w:after="0" w:line="276" w:lineRule="auto"/>
              <w:jc w:val="both"/>
              <w:rPr>
                <w:rFonts w:ascii="ITC Avant Garde" w:hAnsi="ITC Avant Garde"/>
                <w:sz w:val="18"/>
                <w:szCs w:val="18"/>
                <w:highlight w:val="yellow"/>
              </w:rPr>
            </w:pPr>
          </w:p>
          <w:p w14:paraId="49A0A7E4" w14:textId="1067EBA2" w:rsidR="00BC32DD" w:rsidRDefault="00BC32DD" w:rsidP="00AB1040">
            <w:pPr>
              <w:spacing w:after="0" w:line="276" w:lineRule="auto"/>
              <w:jc w:val="both"/>
              <w:rPr>
                <w:rFonts w:ascii="ITC Avant Garde" w:hAnsi="ITC Avant Garde"/>
                <w:sz w:val="18"/>
                <w:szCs w:val="18"/>
                <w:highlight w:val="yellow"/>
              </w:rPr>
            </w:pPr>
            <w:r w:rsidRPr="00BC32DD">
              <w:rPr>
                <w:rFonts w:ascii="ITC Avant Garde" w:hAnsi="ITC Avant Garde"/>
                <w:sz w:val="18"/>
                <w:szCs w:val="18"/>
              </w:rPr>
              <w:t xml:space="preserve">Asimismo, con relación al comentario relativo </w:t>
            </w:r>
            <w:r w:rsidRPr="003D1519">
              <w:rPr>
                <w:rFonts w:ascii="ITC Avant Garde" w:hAnsi="ITC Avant Garde"/>
                <w:sz w:val="18"/>
                <w:szCs w:val="18"/>
              </w:rPr>
              <w:t>a aclarar por qué a diferencia de la Licitación No. IFT-3, en la Licitación No. IFT-7 se consideran para el límite de acumulación la participación de espectro en todas las bandas,</w:t>
            </w:r>
            <w:r w:rsidRPr="00BC32DD">
              <w:rPr>
                <w:rFonts w:ascii="ITC Avant Garde" w:hAnsi="ITC Avant Garde"/>
                <w:sz w:val="18"/>
                <w:szCs w:val="18"/>
              </w:rPr>
              <w:t xml:space="preserve"> </w:t>
            </w:r>
            <w:r w:rsidR="00AE43B0">
              <w:rPr>
                <w:rFonts w:ascii="ITC Avant Garde" w:hAnsi="ITC Avant Garde"/>
                <w:sz w:val="18"/>
                <w:szCs w:val="18"/>
              </w:rPr>
              <w:t>se informa que los</w:t>
            </w:r>
            <w:r w:rsidR="003D1519">
              <w:rPr>
                <w:rFonts w:ascii="ITC Avant Garde" w:hAnsi="ITC Avant Garde"/>
                <w:sz w:val="18"/>
                <w:szCs w:val="18"/>
              </w:rPr>
              <w:t xml:space="preserve"> l</w:t>
            </w:r>
            <w:r w:rsidR="00AE43B0" w:rsidRPr="00AE43B0">
              <w:rPr>
                <w:rFonts w:ascii="ITC Avant Garde" w:hAnsi="ITC Avant Garde"/>
                <w:sz w:val="18"/>
                <w:szCs w:val="18"/>
              </w:rPr>
              <w:t>imitantes de partic</w:t>
            </w:r>
            <w:r w:rsidR="00AE43B0">
              <w:rPr>
                <w:rFonts w:ascii="ITC Avant Garde" w:hAnsi="ITC Avant Garde"/>
                <w:sz w:val="18"/>
                <w:szCs w:val="18"/>
              </w:rPr>
              <w:t xml:space="preserve">ipación contenidos en el Anteproyecto consideran buscan prevenir  </w:t>
            </w:r>
            <w:r w:rsidR="00AE43B0" w:rsidRPr="00AE43B0">
              <w:rPr>
                <w:rFonts w:ascii="ITC Avant Garde" w:hAnsi="ITC Avant Garde"/>
                <w:sz w:val="18"/>
                <w:szCs w:val="18"/>
              </w:rPr>
              <w:t>efecto</w:t>
            </w:r>
            <w:r w:rsidR="00AE43B0">
              <w:rPr>
                <w:rFonts w:ascii="ITC Avant Garde" w:hAnsi="ITC Avant Garde"/>
                <w:sz w:val="18"/>
                <w:szCs w:val="18"/>
              </w:rPr>
              <w:t>s</w:t>
            </w:r>
            <w:r w:rsidR="00AE43B0" w:rsidRPr="00AE43B0">
              <w:rPr>
                <w:rFonts w:ascii="ITC Avant Garde" w:hAnsi="ITC Avant Garde"/>
                <w:sz w:val="18"/>
                <w:szCs w:val="18"/>
              </w:rPr>
              <w:t xml:space="preserve"> adverso a la competencia y libre concurrencia o generar concentraciones de espectro radioeléctrico contrarias al interés público</w:t>
            </w:r>
            <w:r w:rsidR="00AE43B0">
              <w:rPr>
                <w:rFonts w:ascii="ITC Avant Garde" w:hAnsi="ITC Avant Garde"/>
                <w:sz w:val="18"/>
                <w:szCs w:val="18"/>
              </w:rPr>
              <w:t>, d</w:t>
            </w:r>
            <w:r w:rsidR="00AE43B0" w:rsidRPr="00AE43B0">
              <w:rPr>
                <w:rFonts w:ascii="ITC Avant Garde" w:hAnsi="ITC Avant Garde"/>
                <w:sz w:val="18"/>
                <w:szCs w:val="18"/>
              </w:rPr>
              <w:t xml:space="preserve">e acuerdo al marco jurídico y a las determinaciones </w:t>
            </w:r>
            <w:r w:rsidR="00AE43B0">
              <w:rPr>
                <w:rFonts w:ascii="ITC Avant Garde" w:hAnsi="ITC Avant Garde"/>
                <w:sz w:val="18"/>
                <w:szCs w:val="18"/>
              </w:rPr>
              <w:t>jurídico-económicas aplicables.</w:t>
            </w:r>
          </w:p>
          <w:p w14:paraId="4FF79BA1" w14:textId="77777777" w:rsidR="00BC32DD" w:rsidRDefault="00BC32DD" w:rsidP="00AB1040">
            <w:pPr>
              <w:spacing w:after="0" w:line="276" w:lineRule="auto"/>
              <w:jc w:val="both"/>
              <w:rPr>
                <w:rFonts w:ascii="ITC Avant Garde" w:hAnsi="ITC Avant Garde"/>
                <w:sz w:val="18"/>
                <w:szCs w:val="18"/>
                <w:highlight w:val="yellow"/>
              </w:rPr>
            </w:pPr>
          </w:p>
          <w:p w14:paraId="5168521D" w14:textId="598C0A44" w:rsidR="0039782A" w:rsidRDefault="00BC32DD" w:rsidP="00136B69">
            <w:pPr>
              <w:spacing w:line="276" w:lineRule="auto"/>
              <w:jc w:val="both"/>
              <w:rPr>
                <w:rFonts w:ascii="ITC Avant Garde" w:hAnsi="ITC Avant Garde"/>
                <w:sz w:val="18"/>
                <w:szCs w:val="18"/>
              </w:rPr>
            </w:pPr>
            <w:r>
              <w:rPr>
                <w:rFonts w:ascii="ITC Avant Garde" w:hAnsi="ITC Avant Garde"/>
                <w:sz w:val="18"/>
                <w:szCs w:val="18"/>
              </w:rPr>
              <w:t>Finalmente</w:t>
            </w:r>
            <w:r w:rsidRPr="00BC32DD">
              <w:rPr>
                <w:rFonts w:ascii="ITC Avant Garde" w:hAnsi="ITC Avant Garde"/>
                <w:sz w:val="18"/>
                <w:szCs w:val="18"/>
              </w:rPr>
              <w:t xml:space="preserve">, con relación al comentario relativo </w:t>
            </w:r>
            <w:r w:rsidRPr="003D1519">
              <w:rPr>
                <w:rFonts w:ascii="ITC Avant Garde" w:hAnsi="ITC Avant Garde"/>
                <w:sz w:val="18"/>
                <w:szCs w:val="18"/>
              </w:rPr>
              <w:t>a aclarar por qué no se incluyen en la Licitación No. IFT-7 las porciones de espectro AWS que quedaron sin asignar en la Licitación No. IFT-3, así como incluir todo el espectro que en esa banda se haya rescatado,</w:t>
            </w:r>
            <w:r w:rsidRPr="00BC32DD">
              <w:rPr>
                <w:rFonts w:ascii="ITC Avant Garde" w:hAnsi="ITC Avant Garde"/>
                <w:sz w:val="18"/>
                <w:szCs w:val="18"/>
              </w:rPr>
              <w:t xml:space="preserve"> </w:t>
            </w:r>
            <w:r w:rsidR="001D79AE">
              <w:rPr>
                <w:rFonts w:ascii="ITC Avant Garde" w:hAnsi="ITC Avant Garde"/>
                <w:sz w:val="18"/>
                <w:szCs w:val="18"/>
              </w:rPr>
              <w:t xml:space="preserve">se informa </w:t>
            </w:r>
            <w:r w:rsidR="001D79AE">
              <w:rPr>
                <w:rFonts w:ascii="ITC Avant Garde" w:hAnsi="ITC Avant Garde"/>
                <w:sz w:val="18"/>
                <w:szCs w:val="18"/>
              </w:rPr>
              <w:lastRenderedPageBreak/>
              <w:t>que el Anteproyecto considera hasta el momento únicamente incluir el espectro disponible en la banda de 2.5 GHz.</w:t>
            </w:r>
          </w:p>
        </w:tc>
      </w:tr>
      <w:tr w:rsidR="0039782A" w:rsidRPr="00637136" w14:paraId="02C62021" w14:textId="77777777" w:rsidTr="009155A1">
        <w:trPr>
          <w:trHeight w:val="290"/>
          <w:tblHeader/>
        </w:trPr>
        <w:tc>
          <w:tcPr>
            <w:tcW w:w="472" w:type="pct"/>
            <w:vAlign w:val="center"/>
          </w:tcPr>
          <w:p w14:paraId="43FFDE2E" w14:textId="52C49C36" w:rsidR="009155A1" w:rsidRPr="00637136" w:rsidRDefault="009155A1" w:rsidP="009155A1">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47A4BFDB"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16610735" w14:textId="376E8678"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3.3, fracción III</w:t>
            </w:r>
          </w:p>
        </w:tc>
        <w:tc>
          <w:tcPr>
            <w:tcW w:w="1966" w:type="pct"/>
            <w:shd w:val="clear" w:color="auto" w:fill="auto"/>
          </w:tcPr>
          <w:p w14:paraId="235E3D25" w14:textId="03631918" w:rsidR="0039782A" w:rsidRPr="00191B18" w:rsidRDefault="009155A1" w:rsidP="00E6423E">
            <w:pPr>
              <w:spacing w:line="276" w:lineRule="auto"/>
              <w:jc w:val="both"/>
              <w:rPr>
                <w:rFonts w:ascii="ITC Avant Garde" w:hAnsi="ITC Avant Garde" w:cs="Arial"/>
                <w:i/>
                <w:color w:val="000000"/>
                <w:sz w:val="18"/>
                <w:szCs w:val="18"/>
              </w:rPr>
            </w:pPr>
            <w:r w:rsidRPr="00191B18">
              <w:rPr>
                <w:rFonts w:ascii="ITC Avant Garde" w:hAnsi="ITC Avant Garde" w:cs="Arial"/>
                <w:i/>
                <w:color w:val="000000"/>
                <w:sz w:val="18"/>
                <w:szCs w:val="18"/>
              </w:rPr>
              <w:t>A este respecto, y en caso de que un ganador solicite el diferimiento del inicio de su concesión y el IFT en consecuencia asigne a un tercero los segmentos diferidos, ¿cuál será el criterio para elegir a dicho tercero o conforme con qué mecanismos se le otorgará y para la explotación de qué servicios?</w:t>
            </w:r>
          </w:p>
        </w:tc>
        <w:tc>
          <w:tcPr>
            <w:tcW w:w="1992" w:type="pct"/>
            <w:shd w:val="clear" w:color="auto" w:fill="FFFFFF" w:themeFill="background1"/>
          </w:tcPr>
          <w:p w14:paraId="715C7374" w14:textId="7418E146" w:rsidR="0039782A" w:rsidRPr="00191B18" w:rsidRDefault="008A4E3D" w:rsidP="00B33557">
            <w:pPr>
              <w:spacing w:line="276" w:lineRule="auto"/>
              <w:jc w:val="both"/>
              <w:rPr>
                <w:rFonts w:ascii="ITC Avant Garde" w:hAnsi="ITC Avant Garde"/>
                <w:sz w:val="18"/>
                <w:szCs w:val="18"/>
              </w:rPr>
            </w:pPr>
            <w:r w:rsidRPr="00191B18">
              <w:rPr>
                <w:rFonts w:ascii="ITC Avant Garde" w:hAnsi="ITC Avant Garde"/>
                <w:sz w:val="18"/>
                <w:szCs w:val="18"/>
              </w:rPr>
              <w:t xml:space="preserve">Con relación al comentario de </w:t>
            </w:r>
            <w:r w:rsidRPr="00191B18">
              <w:rPr>
                <w:rFonts w:ascii="ITC Avant Garde" w:hAnsi="ITC Avant Garde"/>
                <w:b/>
                <w:sz w:val="18"/>
                <w:szCs w:val="18"/>
              </w:rPr>
              <w:t xml:space="preserve">Radiomóvil Dipsa, S.A. de C.V.  </w:t>
            </w:r>
            <w:r w:rsidRPr="00191B18">
              <w:rPr>
                <w:rFonts w:ascii="ITC Avant Garde" w:hAnsi="ITC Avant Garde"/>
                <w:sz w:val="18"/>
                <w:szCs w:val="18"/>
              </w:rPr>
              <w:t xml:space="preserve">relativo </w:t>
            </w:r>
            <w:r w:rsidR="0086118F" w:rsidRPr="00191B18">
              <w:rPr>
                <w:rFonts w:ascii="ITC Avant Garde" w:hAnsi="ITC Avant Garde" w:cs="Arial"/>
                <w:color w:val="000000"/>
                <w:sz w:val="18"/>
                <w:szCs w:val="18"/>
              </w:rPr>
              <w:t xml:space="preserve"> a que un ganador que solicite el diferimiento del inicio de su concesión y el IFT en consecuencia asigne a un tercero los segmentos diferidos</w:t>
            </w:r>
            <w:r w:rsidR="00136B69" w:rsidRPr="00191B18">
              <w:rPr>
                <w:rFonts w:ascii="ITC Avant Garde" w:hAnsi="ITC Avant Garde" w:cs="Arial"/>
                <w:color w:val="000000"/>
                <w:sz w:val="18"/>
                <w:szCs w:val="18"/>
              </w:rPr>
              <w:t xml:space="preserve">, </w:t>
            </w:r>
            <w:r w:rsidR="006D3282" w:rsidRPr="00191B18">
              <w:rPr>
                <w:rFonts w:ascii="ITC Avant Garde" w:hAnsi="ITC Avant Garde"/>
                <w:sz w:val="18"/>
                <w:szCs w:val="18"/>
              </w:rPr>
              <w:t xml:space="preserve">se informa que las autorizaciones que, en su caso, otorgue el Instituto durante el periodo de diferimiento a que se refiere el Anteproyecto estarán </w:t>
            </w:r>
            <w:r w:rsidR="00B62AAE" w:rsidRPr="00191B18">
              <w:rPr>
                <w:rFonts w:ascii="ITC Avant Garde" w:hAnsi="ITC Avant Garde"/>
                <w:sz w:val="18"/>
                <w:szCs w:val="18"/>
              </w:rPr>
              <w:t xml:space="preserve">en estricto </w:t>
            </w:r>
            <w:r w:rsidR="006D3282" w:rsidRPr="00191B18">
              <w:rPr>
                <w:rFonts w:ascii="ITC Avant Garde" w:hAnsi="ITC Avant Garde"/>
                <w:sz w:val="18"/>
                <w:szCs w:val="18"/>
              </w:rPr>
              <w:t>apeg</w:t>
            </w:r>
            <w:r w:rsidR="00B62AAE" w:rsidRPr="00191B18">
              <w:rPr>
                <w:rFonts w:ascii="ITC Avant Garde" w:hAnsi="ITC Avant Garde"/>
                <w:sz w:val="18"/>
                <w:szCs w:val="18"/>
              </w:rPr>
              <w:t>o</w:t>
            </w:r>
            <w:r w:rsidR="006D3282" w:rsidRPr="00191B18">
              <w:rPr>
                <w:rFonts w:ascii="ITC Avant Garde" w:hAnsi="ITC Avant Garde"/>
                <w:sz w:val="18"/>
                <w:szCs w:val="18"/>
              </w:rPr>
              <w:t xml:space="preserve"> a </w:t>
            </w:r>
            <w:r w:rsidR="00B62AAE" w:rsidRPr="00191B18">
              <w:rPr>
                <w:rFonts w:ascii="ITC Avant Garde" w:hAnsi="ITC Avant Garde"/>
                <w:sz w:val="18"/>
                <w:szCs w:val="18"/>
              </w:rPr>
              <w:t xml:space="preserve">lo </w:t>
            </w:r>
            <w:r w:rsidR="006D3282" w:rsidRPr="00191B18">
              <w:rPr>
                <w:rFonts w:ascii="ITC Avant Garde" w:hAnsi="ITC Avant Garde"/>
                <w:sz w:val="18"/>
                <w:szCs w:val="18"/>
              </w:rPr>
              <w:t>establecid</w:t>
            </w:r>
            <w:r w:rsidR="00B62AAE" w:rsidRPr="00191B18">
              <w:rPr>
                <w:rFonts w:ascii="ITC Avant Garde" w:hAnsi="ITC Avant Garde"/>
                <w:sz w:val="18"/>
                <w:szCs w:val="18"/>
              </w:rPr>
              <w:t>o</w:t>
            </w:r>
            <w:r w:rsidR="006D3282" w:rsidRPr="00191B18">
              <w:rPr>
                <w:rFonts w:ascii="ITC Avant Garde" w:hAnsi="ITC Avant Garde"/>
                <w:sz w:val="18"/>
                <w:szCs w:val="18"/>
              </w:rPr>
              <w:t xml:space="preserve"> en la Ley Federal de Telecomunicaciones y Radiodifusión y demás</w:t>
            </w:r>
            <w:r w:rsidR="00B62AAE" w:rsidRPr="00191B18">
              <w:rPr>
                <w:rFonts w:ascii="ITC Avant Garde" w:hAnsi="ITC Avant Garde"/>
                <w:sz w:val="18"/>
                <w:szCs w:val="18"/>
              </w:rPr>
              <w:t xml:space="preserve"> criterios y requisitos de las </w:t>
            </w:r>
            <w:r w:rsidR="006D3282" w:rsidRPr="00191B18">
              <w:rPr>
                <w:rFonts w:ascii="ITC Avant Garde" w:hAnsi="ITC Avant Garde"/>
                <w:sz w:val="18"/>
                <w:szCs w:val="18"/>
              </w:rPr>
              <w:t>disposiciones aplicables</w:t>
            </w:r>
            <w:r w:rsidR="00553E4C" w:rsidRPr="00191B18">
              <w:rPr>
                <w:rFonts w:ascii="ITC Avant Garde" w:hAnsi="ITC Avant Garde"/>
                <w:sz w:val="18"/>
                <w:szCs w:val="18"/>
              </w:rPr>
              <w:t>.</w:t>
            </w:r>
          </w:p>
        </w:tc>
      </w:tr>
      <w:tr w:rsidR="0039782A" w:rsidRPr="00637136" w14:paraId="7962C105" w14:textId="77777777" w:rsidTr="009155A1">
        <w:trPr>
          <w:trHeight w:val="290"/>
          <w:tblHeader/>
        </w:trPr>
        <w:tc>
          <w:tcPr>
            <w:tcW w:w="472" w:type="pct"/>
            <w:vAlign w:val="center"/>
          </w:tcPr>
          <w:p w14:paraId="3E733327" w14:textId="47B548AE" w:rsidR="009155A1" w:rsidRPr="00637136" w:rsidRDefault="009155A1" w:rsidP="009155A1">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7A1D6872"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553CCEA1" w14:textId="1761BF17"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3.4</w:t>
            </w:r>
          </w:p>
        </w:tc>
        <w:tc>
          <w:tcPr>
            <w:tcW w:w="1966" w:type="pct"/>
            <w:shd w:val="clear" w:color="auto" w:fill="auto"/>
          </w:tcPr>
          <w:p w14:paraId="18CFE203" w14:textId="0E71B5E4" w:rsidR="0039782A" w:rsidRPr="00C61311" w:rsidRDefault="009155A1" w:rsidP="00E6423E">
            <w:pPr>
              <w:spacing w:line="276" w:lineRule="auto"/>
              <w:jc w:val="both"/>
              <w:rPr>
                <w:rFonts w:ascii="ITC Avant Garde" w:hAnsi="ITC Avant Garde" w:cs="Arial"/>
                <w:i/>
                <w:color w:val="000000"/>
                <w:sz w:val="18"/>
                <w:szCs w:val="18"/>
              </w:rPr>
            </w:pPr>
            <w:r w:rsidRPr="00CD3BAA">
              <w:rPr>
                <w:rFonts w:ascii="ITC Avant Garde" w:hAnsi="ITC Avant Garde" w:cs="Arial"/>
                <w:i/>
                <w:color w:val="000000"/>
                <w:sz w:val="18"/>
                <w:szCs w:val="18"/>
              </w:rPr>
              <w:t xml:space="preserve">¿Este párrafo se refiere a que </w:t>
            </w:r>
            <w:r w:rsidRPr="00AB1040">
              <w:rPr>
                <w:rFonts w:ascii="ITC Avant Garde" w:hAnsi="ITC Avant Garde" w:cs="Arial"/>
                <w:i/>
                <w:color w:val="000000"/>
                <w:sz w:val="18"/>
                <w:szCs w:val="18"/>
              </w:rPr>
              <w:t>la carta de crédito sustituta es la que deberá ser validada como condición para devolver la carta de crédito originalmente entregada</w:t>
            </w:r>
            <w:r w:rsidRPr="00CD3BAA">
              <w:rPr>
                <w:rFonts w:ascii="ITC Avant Garde" w:hAnsi="ITC Avant Garde" w:cs="Arial"/>
                <w:i/>
                <w:color w:val="000000"/>
                <w:sz w:val="18"/>
                <w:szCs w:val="18"/>
              </w:rPr>
              <w:t>?</w:t>
            </w:r>
          </w:p>
        </w:tc>
        <w:tc>
          <w:tcPr>
            <w:tcW w:w="1992" w:type="pct"/>
            <w:shd w:val="clear" w:color="auto" w:fill="FFFFFF" w:themeFill="background1"/>
          </w:tcPr>
          <w:p w14:paraId="7A1E59AA" w14:textId="3CC56723" w:rsidR="0039782A" w:rsidRDefault="001845D0" w:rsidP="002A0BF3">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Pr="00AB1040">
              <w:rPr>
                <w:rFonts w:ascii="ITC Avant Garde" w:hAnsi="ITC Avant Garde"/>
                <w:sz w:val="18"/>
                <w:szCs w:val="18"/>
              </w:rPr>
              <w:t xml:space="preserve">a la carta de crédito </w:t>
            </w:r>
            <w:r w:rsidRPr="00AB1040">
              <w:rPr>
                <w:rFonts w:ascii="ITC Avant Garde" w:hAnsi="ITC Avant Garde"/>
                <w:i/>
                <w:sz w:val="18"/>
                <w:szCs w:val="18"/>
              </w:rPr>
              <w:t>stand-by</w:t>
            </w:r>
            <w:r w:rsidRPr="00AB1040">
              <w:rPr>
                <w:rFonts w:ascii="ITC Avant Garde" w:hAnsi="ITC Avant Garde"/>
                <w:sz w:val="18"/>
                <w:szCs w:val="18"/>
              </w:rPr>
              <w:t xml:space="preserve"> sustituta que debe ser validada,</w:t>
            </w:r>
            <w:r>
              <w:rPr>
                <w:rFonts w:ascii="ITC Avant Garde" w:hAnsi="ITC Avant Garde"/>
                <w:sz w:val="18"/>
                <w:szCs w:val="18"/>
              </w:rPr>
              <w:t xml:space="preserve">  </w:t>
            </w:r>
            <w:r w:rsidRPr="00AB1040">
              <w:rPr>
                <w:rFonts w:ascii="ITC Avant Garde" w:hAnsi="ITC Avant Garde"/>
                <w:sz w:val="18"/>
                <w:szCs w:val="18"/>
              </w:rPr>
              <w:t xml:space="preserve"> </w:t>
            </w:r>
            <w:r w:rsidR="003129F8">
              <w:rPr>
                <w:rFonts w:ascii="ITC Avant Garde" w:hAnsi="ITC Avant Garde"/>
                <w:sz w:val="18"/>
                <w:szCs w:val="18"/>
              </w:rPr>
              <w:t>se confirma que la Garantía de Seriedad que se entregué en sustitución será la que quede sujeta a validación, previo a la devolución de la entregada previamente.</w:t>
            </w:r>
          </w:p>
        </w:tc>
      </w:tr>
      <w:tr w:rsidR="0039782A" w:rsidRPr="00637136" w14:paraId="7C9D9CD2" w14:textId="77777777" w:rsidTr="009155A1">
        <w:trPr>
          <w:trHeight w:val="290"/>
          <w:tblHeader/>
        </w:trPr>
        <w:tc>
          <w:tcPr>
            <w:tcW w:w="472" w:type="pct"/>
            <w:vAlign w:val="center"/>
          </w:tcPr>
          <w:p w14:paraId="2EC073A9"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08C713D7"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5850C565" w14:textId="74D4FA6D"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3.4</w:t>
            </w:r>
          </w:p>
        </w:tc>
        <w:tc>
          <w:tcPr>
            <w:tcW w:w="1966" w:type="pct"/>
            <w:shd w:val="clear" w:color="auto" w:fill="auto"/>
          </w:tcPr>
          <w:p w14:paraId="2DB18690" w14:textId="3E499546" w:rsidR="0039782A" w:rsidRPr="00C61311" w:rsidRDefault="009155A1" w:rsidP="00E6423E">
            <w:pPr>
              <w:spacing w:line="276" w:lineRule="auto"/>
              <w:jc w:val="both"/>
              <w:rPr>
                <w:rFonts w:ascii="ITC Avant Garde" w:hAnsi="ITC Avant Garde" w:cs="Arial"/>
                <w:i/>
                <w:color w:val="000000"/>
                <w:sz w:val="18"/>
                <w:szCs w:val="18"/>
              </w:rPr>
            </w:pPr>
            <w:r w:rsidRPr="00CD3BAA">
              <w:rPr>
                <w:rFonts w:ascii="ITC Avant Garde" w:hAnsi="ITC Avant Garde" w:cs="Arial"/>
                <w:i/>
                <w:color w:val="000000"/>
                <w:sz w:val="18"/>
                <w:szCs w:val="18"/>
              </w:rPr>
              <w:t xml:space="preserve">En relación con el presente párrafo </w:t>
            </w:r>
            <w:r w:rsidRPr="00DC0800">
              <w:rPr>
                <w:rFonts w:ascii="ITC Avant Garde" w:hAnsi="ITC Avant Garde" w:cs="Arial"/>
                <w:i/>
                <w:color w:val="000000"/>
                <w:sz w:val="18"/>
                <w:szCs w:val="18"/>
              </w:rPr>
              <w:t>¿qué pasa si el participante no recibe el acuse de recibo por la presentación de una oferta?</w:t>
            </w:r>
            <w:r w:rsidRPr="00CD3BAA">
              <w:rPr>
                <w:rFonts w:ascii="ITC Avant Garde" w:hAnsi="ITC Avant Garde" w:cs="Arial"/>
                <w:i/>
                <w:color w:val="000000"/>
                <w:sz w:val="18"/>
                <w:szCs w:val="18"/>
              </w:rPr>
              <w:t xml:space="preserve"> ¿Se contempla un medio alterno para validar y acusar recibo de las ofertas presentadas? Asimismo, ¿en caso de que las ofertas se presenten mediante los mecanismos de respaldo propuestos (vía telefónica) cómo se obtendrá el acuse correspondiente?</w:t>
            </w:r>
          </w:p>
        </w:tc>
        <w:tc>
          <w:tcPr>
            <w:tcW w:w="1992" w:type="pct"/>
            <w:shd w:val="clear" w:color="auto" w:fill="FFFFFF" w:themeFill="background1"/>
          </w:tcPr>
          <w:p w14:paraId="7E53C39E" w14:textId="326059A4" w:rsidR="007B1047" w:rsidRDefault="001845D0" w:rsidP="007B1047">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Pr="00DC0800">
              <w:rPr>
                <w:rFonts w:ascii="ITC Avant Garde" w:hAnsi="ITC Avant Garde"/>
                <w:sz w:val="18"/>
                <w:szCs w:val="18"/>
              </w:rPr>
              <w:t>a</w:t>
            </w:r>
            <w:r w:rsidR="007B1047" w:rsidRPr="00DC0800">
              <w:rPr>
                <w:rFonts w:ascii="ITC Avant Garde" w:hAnsi="ITC Avant Garde"/>
                <w:sz w:val="18"/>
                <w:szCs w:val="18"/>
              </w:rPr>
              <w:t xml:space="preserve"> la no recepción de</w:t>
            </w:r>
            <w:r w:rsidRPr="00DC0800">
              <w:rPr>
                <w:rFonts w:ascii="ITC Avant Garde" w:hAnsi="ITC Avant Garde"/>
                <w:sz w:val="18"/>
                <w:szCs w:val="18"/>
              </w:rPr>
              <w:t xml:space="preserve"> los acuses de recibo de las ofertas presentadas en el PPO,</w:t>
            </w:r>
            <w:r>
              <w:rPr>
                <w:rFonts w:ascii="ITC Avant Garde" w:hAnsi="ITC Avant Garde"/>
                <w:sz w:val="18"/>
                <w:szCs w:val="18"/>
              </w:rPr>
              <w:t xml:space="preserve"> </w:t>
            </w:r>
            <w:r w:rsidR="007B1047" w:rsidRPr="00DC0800">
              <w:rPr>
                <w:rFonts w:ascii="ITC Avant Garde" w:hAnsi="ITC Avant Garde"/>
                <w:sz w:val="18"/>
                <w:szCs w:val="18"/>
              </w:rPr>
              <w:t xml:space="preserve">se informa que el participante </w:t>
            </w:r>
            <w:r w:rsidR="007B1047">
              <w:rPr>
                <w:rFonts w:ascii="ITC Avant Garde" w:hAnsi="ITC Avant Garde"/>
                <w:sz w:val="18"/>
                <w:szCs w:val="18"/>
              </w:rPr>
              <w:t>que experimente</w:t>
            </w:r>
            <w:r w:rsidR="007B1047" w:rsidRPr="007B1047">
              <w:rPr>
                <w:rFonts w:ascii="ITC Avant Garde" w:hAnsi="ITC Avant Garde"/>
                <w:sz w:val="18"/>
                <w:szCs w:val="18"/>
              </w:rPr>
              <w:t xml:space="preserve"> algún problema con el sistema durante el </w:t>
            </w:r>
            <w:r w:rsidR="000F37D7" w:rsidRPr="007B1047">
              <w:rPr>
                <w:rFonts w:ascii="ITC Avant Garde" w:hAnsi="ITC Avant Garde"/>
                <w:sz w:val="18"/>
                <w:szCs w:val="18"/>
              </w:rPr>
              <w:t>procedimiento</w:t>
            </w:r>
            <w:r w:rsidR="007B1047" w:rsidRPr="007B1047">
              <w:rPr>
                <w:rFonts w:ascii="ITC Avant Garde" w:hAnsi="ITC Avant Garde"/>
                <w:sz w:val="18"/>
                <w:szCs w:val="18"/>
              </w:rPr>
              <w:t xml:space="preserve"> de </w:t>
            </w:r>
            <w:r w:rsidR="000F37D7" w:rsidRPr="007B1047">
              <w:rPr>
                <w:rFonts w:ascii="ITC Avant Garde" w:hAnsi="ITC Avant Garde"/>
                <w:sz w:val="18"/>
                <w:szCs w:val="18"/>
              </w:rPr>
              <w:t>presentación</w:t>
            </w:r>
            <w:r w:rsidR="007B1047" w:rsidRPr="007B1047">
              <w:rPr>
                <w:rFonts w:ascii="ITC Avant Garde" w:hAnsi="ITC Avant Garde"/>
                <w:sz w:val="18"/>
                <w:szCs w:val="18"/>
              </w:rPr>
              <w:t xml:space="preserve"> de </w:t>
            </w:r>
            <w:r w:rsidR="000F37D7" w:rsidRPr="007B1047">
              <w:rPr>
                <w:rFonts w:ascii="ITC Avant Garde" w:hAnsi="ITC Avant Garde"/>
                <w:sz w:val="18"/>
                <w:szCs w:val="18"/>
              </w:rPr>
              <w:t>ofertas</w:t>
            </w:r>
            <w:r w:rsidR="000F37D7">
              <w:rPr>
                <w:rFonts w:ascii="ITC Avant Garde" w:hAnsi="ITC Avant Garde"/>
                <w:sz w:val="18"/>
                <w:szCs w:val="18"/>
              </w:rPr>
              <w:t xml:space="preserve">, </w:t>
            </w:r>
            <w:r w:rsidR="00DC0800" w:rsidRPr="00DC0800">
              <w:rPr>
                <w:rFonts w:ascii="ITC Avant Garde" w:hAnsi="ITC Avant Garde"/>
                <w:sz w:val="18"/>
                <w:szCs w:val="18"/>
              </w:rPr>
              <w:t>podrá informar</w:t>
            </w:r>
            <w:r w:rsidR="007B1047" w:rsidRPr="007B1047">
              <w:rPr>
                <w:rFonts w:ascii="ITC Avant Garde" w:hAnsi="ITC Avant Garde"/>
                <w:sz w:val="18"/>
                <w:szCs w:val="18"/>
              </w:rPr>
              <w:t xml:space="preserve"> de manera inmediata al Instituto </w:t>
            </w:r>
            <w:r w:rsidR="007B1047">
              <w:rPr>
                <w:rFonts w:ascii="ITC Avant Garde" w:hAnsi="ITC Avant Garde"/>
                <w:sz w:val="18"/>
                <w:szCs w:val="18"/>
              </w:rPr>
              <w:t xml:space="preserve">mediante la </w:t>
            </w:r>
            <w:r w:rsidR="000F37D7">
              <w:rPr>
                <w:rFonts w:ascii="ITC Avant Garde" w:hAnsi="ITC Avant Garde"/>
                <w:sz w:val="18"/>
                <w:szCs w:val="18"/>
              </w:rPr>
              <w:t>mesa</w:t>
            </w:r>
            <w:r w:rsidR="007B1047">
              <w:rPr>
                <w:rFonts w:ascii="ITC Avant Garde" w:hAnsi="ITC Avant Garde"/>
                <w:sz w:val="18"/>
                <w:szCs w:val="18"/>
              </w:rPr>
              <w:t xml:space="preserve"> de </w:t>
            </w:r>
            <w:r w:rsidR="000F37D7">
              <w:rPr>
                <w:rFonts w:ascii="ITC Avant Garde" w:hAnsi="ITC Avant Garde"/>
                <w:sz w:val="18"/>
                <w:szCs w:val="18"/>
              </w:rPr>
              <w:t>ayuda</w:t>
            </w:r>
            <w:r w:rsidR="007B1047">
              <w:rPr>
                <w:rFonts w:ascii="ITC Avant Garde" w:hAnsi="ITC Avant Garde"/>
                <w:sz w:val="18"/>
                <w:szCs w:val="18"/>
              </w:rPr>
              <w:t>.</w:t>
            </w:r>
          </w:p>
          <w:p w14:paraId="0E84181C" w14:textId="6434F849" w:rsidR="0039782A" w:rsidRDefault="007B1047" w:rsidP="00191B18">
            <w:pPr>
              <w:spacing w:line="276" w:lineRule="auto"/>
              <w:jc w:val="both"/>
              <w:rPr>
                <w:rFonts w:ascii="ITC Avant Garde" w:hAnsi="ITC Avant Garde"/>
                <w:sz w:val="18"/>
                <w:szCs w:val="18"/>
              </w:rPr>
            </w:pPr>
            <w:r>
              <w:rPr>
                <w:rFonts w:ascii="ITC Avant Garde" w:hAnsi="ITC Avant Garde"/>
                <w:sz w:val="18"/>
                <w:szCs w:val="18"/>
              </w:rPr>
              <w:t>Respecto a la forma en que se obtendrá el acuse correspondiente de las ofertas que se presenten mediante el mecanismo de respaldo telefónico, se informa que una vez que se establezca la postura vía telefónic</w:t>
            </w:r>
            <w:r w:rsidR="00DC0800">
              <w:rPr>
                <w:rFonts w:ascii="ITC Avant Garde" w:hAnsi="ITC Avant Garde"/>
                <w:sz w:val="18"/>
                <w:szCs w:val="18"/>
              </w:rPr>
              <w:t>a,</w:t>
            </w:r>
            <w:r>
              <w:rPr>
                <w:rFonts w:ascii="ITC Avant Garde" w:hAnsi="ITC Avant Garde"/>
                <w:sz w:val="18"/>
                <w:szCs w:val="18"/>
              </w:rPr>
              <w:t xml:space="preserve"> se dará al </w:t>
            </w:r>
            <w:r w:rsidR="000F37D7">
              <w:rPr>
                <w:rFonts w:ascii="ITC Avant Garde" w:hAnsi="ITC Avant Garde"/>
                <w:sz w:val="18"/>
                <w:szCs w:val="18"/>
              </w:rPr>
              <w:t>p</w:t>
            </w:r>
            <w:r>
              <w:rPr>
                <w:rFonts w:ascii="ITC Avant Garde" w:hAnsi="ITC Avant Garde"/>
                <w:sz w:val="18"/>
                <w:szCs w:val="18"/>
              </w:rPr>
              <w:t>articipante un n</w:t>
            </w:r>
            <w:r w:rsidR="000F37D7">
              <w:rPr>
                <w:rFonts w:ascii="ITC Avant Garde" w:hAnsi="ITC Avant Garde"/>
                <w:sz w:val="18"/>
                <w:szCs w:val="18"/>
              </w:rPr>
              <w:t>ú</w:t>
            </w:r>
            <w:r>
              <w:rPr>
                <w:rFonts w:ascii="ITC Avant Garde" w:hAnsi="ITC Avant Garde"/>
                <w:sz w:val="18"/>
                <w:szCs w:val="18"/>
              </w:rPr>
              <w:t xml:space="preserve">mero de confirmación. </w:t>
            </w:r>
            <w:r w:rsidR="00191B18">
              <w:rPr>
                <w:rFonts w:ascii="ITC Avant Garde" w:hAnsi="ITC Avant Garde"/>
                <w:sz w:val="18"/>
                <w:szCs w:val="18"/>
              </w:rPr>
              <w:t>Acto seguido</w:t>
            </w:r>
            <w:r>
              <w:rPr>
                <w:rFonts w:ascii="ITC Avant Garde" w:hAnsi="ITC Avant Garde"/>
                <w:sz w:val="18"/>
                <w:szCs w:val="18"/>
              </w:rPr>
              <w:t xml:space="preserve">, el </w:t>
            </w:r>
            <w:r w:rsidR="000F37D7">
              <w:rPr>
                <w:rFonts w:ascii="ITC Avant Garde" w:hAnsi="ITC Avant Garde"/>
                <w:sz w:val="18"/>
                <w:szCs w:val="18"/>
              </w:rPr>
              <w:t>p</w:t>
            </w:r>
            <w:r>
              <w:rPr>
                <w:rFonts w:ascii="ITC Avant Garde" w:hAnsi="ITC Avant Garde"/>
                <w:sz w:val="18"/>
                <w:szCs w:val="18"/>
              </w:rPr>
              <w:t xml:space="preserve">articipante podrá confirmar en el SEPRO su </w:t>
            </w:r>
            <w:r w:rsidR="000F37D7">
              <w:rPr>
                <w:rFonts w:ascii="ITC Avant Garde" w:hAnsi="ITC Avant Garde"/>
                <w:sz w:val="18"/>
                <w:szCs w:val="18"/>
              </w:rPr>
              <w:t>o</w:t>
            </w:r>
            <w:r>
              <w:rPr>
                <w:rFonts w:ascii="ITC Avant Garde" w:hAnsi="ITC Avant Garde"/>
                <w:sz w:val="18"/>
                <w:szCs w:val="18"/>
              </w:rPr>
              <w:t>ferta enviada vía telefónica.</w:t>
            </w:r>
          </w:p>
        </w:tc>
      </w:tr>
      <w:tr w:rsidR="0039782A" w:rsidRPr="00637136" w14:paraId="6A62C0FF" w14:textId="77777777" w:rsidTr="009155A1">
        <w:trPr>
          <w:trHeight w:val="290"/>
          <w:tblHeader/>
        </w:trPr>
        <w:tc>
          <w:tcPr>
            <w:tcW w:w="472" w:type="pct"/>
            <w:vAlign w:val="center"/>
          </w:tcPr>
          <w:p w14:paraId="0EBFA485"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57129C15"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7FFAB5E1" w14:textId="20FA1442"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3.7</w:t>
            </w:r>
          </w:p>
        </w:tc>
        <w:tc>
          <w:tcPr>
            <w:tcW w:w="1966" w:type="pct"/>
            <w:shd w:val="clear" w:color="auto" w:fill="auto"/>
          </w:tcPr>
          <w:p w14:paraId="50207A4A" w14:textId="3E8B12E7" w:rsidR="0039782A" w:rsidRPr="00C61311" w:rsidRDefault="009155A1" w:rsidP="00E6423E">
            <w:pPr>
              <w:spacing w:line="276" w:lineRule="auto"/>
              <w:jc w:val="both"/>
              <w:rPr>
                <w:rFonts w:ascii="ITC Avant Garde" w:hAnsi="ITC Avant Garde" w:cs="Arial"/>
                <w:i/>
                <w:color w:val="000000"/>
                <w:sz w:val="18"/>
                <w:szCs w:val="18"/>
              </w:rPr>
            </w:pPr>
            <w:r w:rsidRPr="00CD3BAA">
              <w:rPr>
                <w:rFonts w:ascii="ITC Avant Garde" w:hAnsi="ITC Avant Garde" w:cs="Arial"/>
                <w:i/>
                <w:color w:val="000000"/>
                <w:sz w:val="18"/>
                <w:szCs w:val="18"/>
              </w:rPr>
              <w:t>Se solicita a ese Instituto aclare ¿</w:t>
            </w:r>
            <w:r w:rsidRPr="00DC0800">
              <w:rPr>
                <w:rFonts w:ascii="ITC Avant Garde" w:hAnsi="ITC Avant Garde" w:cs="Arial"/>
                <w:i/>
                <w:color w:val="000000"/>
                <w:sz w:val="18"/>
                <w:szCs w:val="18"/>
              </w:rPr>
              <w:t>cuál es el mecanismo o el medio a través del cual los participantes podrán solicitar derechos de extensión adicionales</w:t>
            </w:r>
            <w:r w:rsidRPr="00CD3BAA">
              <w:rPr>
                <w:rFonts w:ascii="ITC Avant Garde" w:hAnsi="ITC Avant Garde" w:cs="Arial"/>
                <w:i/>
                <w:color w:val="000000"/>
                <w:sz w:val="18"/>
                <w:szCs w:val="18"/>
              </w:rPr>
              <w:t>? Y en este sentido, ¿la autorización de los mismos se hará del conocimiento del resto de los participantes?</w:t>
            </w:r>
          </w:p>
        </w:tc>
        <w:tc>
          <w:tcPr>
            <w:tcW w:w="1992" w:type="pct"/>
            <w:shd w:val="clear" w:color="auto" w:fill="FFFFFF" w:themeFill="background1"/>
          </w:tcPr>
          <w:p w14:paraId="090044F9" w14:textId="5E1C2BB5" w:rsidR="0039782A" w:rsidRDefault="001845D0" w:rsidP="00D12057">
            <w:pPr>
              <w:spacing w:line="276" w:lineRule="auto"/>
              <w:jc w:val="both"/>
              <w:rPr>
                <w:rFonts w:ascii="ITC Avant Garde" w:hAnsi="ITC Avant Garde"/>
                <w:sz w:val="18"/>
                <w:szCs w:val="18"/>
              </w:rPr>
            </w:pPr>
            <w:r>
              <w:rPr>
                <w:rFonts w:ascii="ITC Avant Garde" w:hAnsi="ITC Avant Garde"/>
                <w:sz w:val="18"/>
                <w:szCs w:val="18"/>
              </w:rPr>
              <w:t xml:space="preserve">Con relación </w:t>
            </w:r>
            <w:r w:rsidR="00000939">
              <w:rPr>
                <w:rFonts w:ascii="ITC Avant Garde" w:hAnsi="ITC Avant Garde"/>
                <w:sz w:val="18"/>
                <w:szCs w:val="18"/>
              </w:rPr>
              <w:t>a la pregunta</w:t>
            </w:r>
            <w:r>
              <w:rPr>
                <w:rFonts w:ascii="ITC Avant Garde" w:hAnsi="ITC Avant Garde"/>
                <w:sz w:val="18"/>
                <w:szCs w:val="18"/>
              </w:rPr>
              <w:t xml:space="preserve"> de </w:t>
            </w:r>
            <w:r>
              <w:rPr>
                <w:rFonts w:ascii="ITC Avant Garde" w:hAnsi="ITC Avant Garde"/>
                <w:b/>
                <w:sz w:val="18"/>
                <w:szCs w:val="18"/>
              </w:rPr>
              <w:t>Radiomóvil Dipsa, S.A. de C.V.</w:t>
            </w:r>
            <w:r w:rsidRPr="003F7AF7">
              <w:rPr>
                <w:rFonts w:ascii="ITC Avant Garde" w:hAnsi="ITC Avant Garde"/>
                <w:b/>
                <w:sz w:val="18"/>
                <w:szCs w:val="18"/>
              </w:rPr>
              <w:t xml:space="preserve">  </w:t>
            </w:r>
            <w:r w:rsidR="00000939">
              <w:rPr>
                <w:rFonts w:ascii="ITC Avant Garde" w:hAnsi="ITC Avant Garde"/>
                <w:sz w:val="18"/>
                <w:szCs w:val="18"/>
              </w:rPr>
              <w:t>relativa</w:t>
            </w:r>
            <w:r>
              <w:rPr>
                <w:rFonts w:ascii="ITC Avant Garde" w:hAnsi="ITC Avant Garde"/>
                <w:sz w:val="18"/>
                <w:szCs w:val="18"/>
              </w:rPr>
              <w:t xml:space="preserve"> </w:t>
            </w:r>
            <w:r w:rsidR="00000939" w:rsidRPr="00DC0800">
              <w:rPr>
                <w:rFonts w:ascii="ITC Avant Garde" w:hAnsi="ITC Avant Garde"/>
                <w:sz w:val="18"/>
                <w:szCs w:val="18"/>
              </w:rPr>
              <w:t>al mecanismo o medio mediante el cual los participantes pueden solicitar derechos</w:t>
            </w:r>
            <w:r w:rsidRPr="00DC0800">
              <w:rPr>
                <w:rFonts w:ascii="ITC Avant Garde" w:hAnsi="ITC Avant Garde"/>
                <w:sz w:val="18"/>
                <w:szCs w:val="18"/>
              </w:rPr>
              <w:t xml:space="preserve"> de </w:t>
            </w:r>
            <w:r w:rsidR="00000939" w:rsidRPr="00DC0800">
              <w:rPr>
                <w:rFonts w:ascii="ITC Avant Garde" w:hAnsi="ITC Avant Garde"/>
                <w:sz w:val="18"/>
                <w:szCs w:val="18"/>
              </w:rPr>
              <w:t>extensión adicionales</w:t>
            </w:r>
            <w:r w:rsidR="00D12057">
              <w:rPr>
                <w:rFonts w:ascii="ITC Avant Garde" w:hAnsi="ITC Avant Garde"/>
                <w:sz w:val="18"/>
                <w:szCs w:val="18"/>
              </w:rPr>
              <w:t xml:space="preserve"> se hace de su conocimiento que los</w:t>
            </w:r>
            <w:r w:rsidR="00D12057">
              <w:t xml:space="preserve"> </w:t>
            </w:r>
            <w:r w:rsidR="00DC0800" w:rsidRPr="00DC0800">
              <w:rPr>
                <w:rFonts w:ascii="ITC Avant Garde" w:hAnsi="ITC Avant Garde"/>
                <w:sz w:val="18"/>
                <w:szCs w:val="18"/>
              </w:rPr>
              <w:t>derechos</w:t>
            </w:r>
            <w:r w:rsidR="00D12057" w:rsidRPr="00D12057">
              <w:rPr>
                <w:rFonts w:ascii="ITC Avant Garde" w:hAnsi="ITC Avant Garde"/>
                <w:sz w:val="18"/>
                <w:szCs w:val="18"/>
              </w:rPr>
              <w:t xml:space="preserve"> de </w:t>
            </w:r>
            <w:r w:rsidR="00DC0800" w:rsidRPr="00DC0800">
              <w:rPr>
                <w:rFonts w:ascii="ITC Avant Garde" w:hAnsi="ITC Avant Garde"/>
                <w:sz w:val="18"/>
                <w:szCs w:val="18"/>
              </w:rPr>
              <w:t>extensión</w:t>
            </w:r>
            <w:r w:rsidR="00D12057" w:rsidRPr="00D12057">
              <w:rPr>
                <w:rFonts w:ascii="ITC Avant Garde" w:hAnsi="ITC Avant Garde"/>
                <w:sz w:val="18"/>
                <w:szCs w:val="18"/>
              </w:rPr>
              <w:t xml:space="preserve"> adicionales </w:t>
            </w:r>
            <w:r w:rsidR="00D12057">
              <w:rPr>
                <w:rFonts w:ascii="ITC Avant Garde" w:hAnsi="ITC Avant Garde"/>
                <w:sz w:val="18"/>
                <w:szCs w:val="18"/>
              </w:rPr>
              <w:t>serán exclusivamente otorgados por el Instituto cuando se</w:t>
            </w:r>
            <w:r w:rsidR="00D12057" w:rsidRPr="00D12057">
              <w:rPr>
                <w:rFonts w:ascii="ITC Avant Garde" w:hAnsi="ITC Avant Garde"/>
                <w:sz w:val="18"/>
                <w:szCs w:val="18"/>
              </w:rPr>
              <w:t xml:space="preserve"> tenga evidencia de que uno o más </w:t>
            </w:r>
            <w:r w:rsidR="00DC0800" w:rsidRPr="00DC0800">
              <w:rPr>
                <w:rFonts w:ascii="ITC Avant Garde" w:hAnsi="ITC Avant Garde"/>
                <w:sz w:val="18"/>
                <w:szCs w:val="18"/>
              </w:rPr>
              <w:t>p</w:t>
            </w:r>
            <w:r w:rsidR="00D12057" w:rsidRPr="00DC0800">
              <w:rPr>
                <w:rFonts w:ascii="ITC Avant Garde" w:hAnsi="ITC Avant Garde"/>
                <w:sz w:val="18"/>
                <w:szCs w:val="18"/>
              </w:rPr>
              <w:t>articipantes</w:t>
            </w:r>
            <w:r w:rsidR="00D12057" w:rsidRPr="00D12057">
              <w:rPr>
                <w:rFonts w:ascii="ITC Avant Garde" w:hAnsi="ITC Avant Garde"/>
                <w:sz w:val="18"/>
                <w:szCs w:val="18"/>
              </w:rPr>
              <w:t xml:space="preserve"> experimentaron problemas técnicos o de otra índole que no pudieron haber sido anticipados</w:t>
            </w:r>
            <w:r w:rsidR="00D12057">
              <w:rPr>
                <w:rFonts w:ascii="ITC Avant Garde" w:hAnsi="ITC Avant Garde"/>
                <w:sz w:val="18"/>
                <w:szCs w:val="18"/>
              </w:rPr>
              <w:t xml:space="preserve"> y que no son responsabilidad del propio </w:t>
            </w:r>
            <w:r w:rsidR="00DC0800" w:rsidRPr="00DC0800">
              <w:rPr>
                <w:rFonts w:ascii="ITC Avant Garde" w:hAnsi="ITC Avant Garde"/>
                <w:sz w:val="18"/>
                <w:szCs w:val="18"/>
              </w:rPr>
              <w:t>p</w:t>
            </w:r>
            <w:r w:rsidR="00D12057" w:rsidRPr="00DC0800">
              <w:rPr>
                <w:rFonts w:ascii="ITC Avant Garde" w:hAnsi="ITC Avant Garde"/>
                <w:sz w:val="18"/>
                <w:szCs w:val="18"/>
              </w:rPr>
              <w:t>articipante.</w:t>
            </w:r>
            <w:r w:rsidR="00D12057">
              <w:rPr>
                <w:rFonts w:ascii="ITC Avant Garde" w:hAnsi="ITC Avant Garde"/>
                <w:sz w:val="18"/>
                <w:szCs w:val="18"/>
              </w:rPr>
              <w:t xml:space="preserve"> </w:t>
            </w:r>
            <w:r w:rsidR="00D12057">
              <w:rPr>
                <w:rFonts w:ascii="ITC Avant Garde" w:hAnsi="ITC Avant Garde"/>
                <w:sz w:val="18"/>
                <w:szCs w:val="18"/>
              </w:rPr>
              <w:lastRenderedPageBreak/>
              <w:t xml:space="preserve">De esta manera cuando se reporte un problema o falla en el SEPRO, el Instituto podrá otorgar a uno o más </w:t>
            </w:r>
            <w:r w:rsidR="00DC0800" w:rsidRPr="00DC0800">
              <w:rPr>
                <w:rFonts w:ascii="ITC Avant Garde" w:hAnsi="ITC Avant Garde"/>
                <w:sz w:val="18"/>
                <w:szCs w:val="18"/>
              </w:rPr>
              <w:t>p</w:t>
            </w:r>
            <w:r w:rsidR="00D12057" w:rsidRPr="00DC0800">
              <w:rPr>
                <w:rFonts w:ascii="ITC Avant Garde" w:hAnsi="ITC Avant Garde"/>
                <w:sz w:val="18"/>
                <w:szCs w:val="18"/>
              </w:rPr>
              <w:t>articipantes</w:t>
            </w:r>
            <w:r w:rsidR="00D12057">
              <w:rPr>
                <w:rFonts w:ascii="ITC Avant Garde" w:hAnsi="ITC Avant Garde"/>
                <w:sz w:val="18"/>
                <w:szCs w:val="18"/>
              </w:rPr>
              <w:t xml:space="preserve"> extensiones de tiempo adicionales, mismas que en todo caso se harán de conocimiento de todos los </w:t>
            </w:r>
            <w:r w:rsidR="00DC0800" w:rsidRPr="00DC0800">
              <w:rPr>
                <w:rFonts w:ascii="ITC Avant Garde" w:hAnsi="ITC Avant Garde"/>
                <w:sz w:val="18"/>
                <w:szCs w:val="18"/>
              </w:rPr>
              <w:t>p</w:t>
            </w:r>
            <w:r w:rsidR="00D12057" w:rsidRPr="00DC0800">
              <w:rPr>
                <w:rFonts w:ascii="ITC Avant Garde" w:hAnsi="ITC Avant Garde"/>
                <w:sz w:val="18"/>
                <w:szCs w:val="18"/>
              </w:rPr>
              <w:t>articipantes</w:t>
            </w:r>
            <w:r w:rsidR="00D12057">
              <w:rPr>
                <w:rFonts w:ascii="ITC Avant Garde" w:hAnsi="ITC Avant Garde"/>
                <w:sz w:val="18"/>
                <w:szCs w:val="18"/>
              </w:rPr>
              <w:t xml:space="preserve"> y adicionalmente serán reportados en los periodos de </w:t>
            </w:r>
            <w:r w:rsidR="00DC0800" w:rsidRPr="00DC0800">
              <w:rPr>
                <w:rFonts w:ascii="ITC Avant Garde" w:hAnsi="ITC Avant Garde"/>
                <w:sz w:val="18"/>
                <w:szCs w:val="18"/>
              </w:rPr>
              <w:t>r</w:t>
            </w:r>
            <w:r w:rsidR="00D12057" w:rsidRPr="00DC0800">
              <w:rPr>
                <w:rFonts w:ascii="ITC Avant Garde" w:hAnsi="ITC Avant Garde"/>
                <w:sz w:val="18"/>
                <w:szCs w:val="18"/>
              </w:rPr>
              <w:t>eporte</w:t>
            </w:r>
          </w:p>
        </w:tc>
      </w:tr>
      <w:tr w:rsidR="0039782A" w:rsidRPr="00637136" w14:paraId="0FF1B3B9" w14:textId="77777777" w:rsidTr="009155A1">
        <w:trPr>
          <w:trHeight w:val="290"/>
          <w:tblHeader/>
        </w:trPr>
        <w:tc>
          <w:tcPr>
            <w:tcW w:w="472" w:type="pct"/>
            <w:vAlign w:val="center"/>
          </w:tcPr>
          <w:p w14:paraId="51E8A764"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55F7999B" w14:textId="77777777" w:rsidR="0039782A" w:rsidRDefault="0039782A" w:rsidP="00D407F2">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vAlign w:val="center"/>
          </w:tcPr>
          <w:p w14:paraId="16CCB8CF" w14:textId="46CA1E4F" w:rsidR="0039782A" w:rsidRPr="00C61311" w:rsidRDefault="009155A1"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3.8</w:t>
            </w:r>
          </w:p>
        </w:tc>
        <w:tc>
          <w:tcPr>
            <w:tcW w:w="1966" w:type="pct"/>
            <w:shd w:val="clear" w:color="auto" w:fill="auto"/>
          </w:tcPr>
          <w:p w14:paraId="46DAAD73" w14:textId="4FDD0E2D" w:rsidR="0039782A" w:rsidRPr="00C61311" w:rsidRDefault="009155A1" w:rsidP="00E6423E">
            <w:pPr>
              <w:spacing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Con relación a este numeral se solicita aclarar si </w:t>
            </w:r>
            <w:r w:rsidRPr="00CB0DCE">
              <w:rPr>
                <w:rFonts w:ascii="ITC Avant Garde" w:hAnsi="ITC Avant Garde" w:cs="Arial"/>
                <w:i/>
                <w:color w:val="000000"/>
                <w:sz w:val="18"/>
                <w:szCs w:val="18"/>
              </w:rPr>
              <w:t>¿la presentación de las ofertas será dividida por categorías?</w:t>
            </w:r>
            <w:r w:rsidRPr="00AB0D17">
              <w:rPr>
                <w:rFonts w:ascii="ITC Avant Garde" w:hAnsi="ITC Avant Garde" w:cs="Arial"/>
                <w:i/>
                <w:color w:val="000000"/>
                <w:sz w:val="18"/>
                <w:szCs w:val="18"/>
              </w:rPr>
              <w:t xml:space="preserve"> Y la calificación sobre el exceso o falta de demanda para la transición a una nueva fase ¿</w:t>
            </w:r>
            <w:r w:rsidRPr="00CB0DCE">
              <w:rPr>
                <w:rFonts w:ascii="ITC Avant Garde" w:hAnsi="ITC Avant Garde" w:cs="Arial"/>
                <w:i/>
                <w:color w:val="000000"/>
                <w:sz w:val="18"/>
                <w:szCs w:val="18"/>
              </w:rPr>
              <w:t>será calificada por cada categoría en particular o en su conjunto?</w:t>
            </w:r>
          </w:p>
        </w:tc>
        <w:tc>
          <w:tcPr>
            <w:tcW w:w="1992" w:type="pct"/>
            <w:shd w:val="clear" w:color="auto" w:fill="FFFFFF" w:themeFill="background1"/>
          </w:tcPr>
          <w:p w14:paraId="5F121C34" w14:textId="4B5C77E9" w:rsidR="00C55A13" w:rsidRDefault="001845D0" w:rsidP="00BE3B8B">
            <w:pPr>
              <w:spacing w:line="276" w:lineRule="auto"/>
              <w:jc w:val="both"/>
              <w:rPr>
                <w:rFonts w:ascii="ITC Avant Garde" w:hAnsi="ITC Avant Garde"/>
                <w:sz w:val="18"/>
                <w:szCs w:val="18"/>
              </w:rPr>
            </w:pPr>
            <w:r>
              <w:rPr>
                <w:rFonts w:ascii="ITC Avant Garde" w:hAnsi="ITC Avant Garde"/>
                <w:sz w:val="18"/>
                <w:szCs w:val="18"/>
              </w:rPr>
              <w:t xml:space="preserve">Con relación al comentario de </w:t>
            </w:r>
            <w:r>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Pr="00CB0DCE">
              <w:rPr>
                <w:rFonts w:ascii="ITC Avant Garde" w:hAnsi="ITC Avant Garde"/>
                <w:sz w:val="18"/>
                <w:szCs w:val="18"/>
              </w:rPr>
              <w:t xml:space="preserve">a </w:t>
            </w:r>
            <w:r w:rsidR="00BD4253" w:rsidRPr="00CB0DCE">
              <w:rPr>
                <w:rFonts w:ascii="ITC Avant Garde" w:hAnsi="ITC Avant Garde"/>
                <w:sz w:val="18"/>
                <w:szCs w:val="18"/>
              </w:rPr>
              <w:t>si la presentación de ofertas sería dividida por categorías y si la calificación sobre el exceso o falta de demanda para la transición a una nueva fase es en particular a cada categoría o en su conjunto</w:t>
            </w:r>
            <w:r>
              <w:rPr>
                <w:rFonts w:ascii="ITC Avant Garde" w:hAnsi="ITC Avant Garde"/>
                <w:sz w:val="18"/>
                <w:szCs w:val="18"/>
              </w:rPr>
              <w:t xml:space="preserve">, </w:t>
            </w:r>
            <w:r w:rsidR="00BE3B8B">
              <w:rPr>
                <w:rFonts w:ascii="ITC Avant Garde" w:hAnsi="ITC Avant Garde"/>
                <w:sz w:val="18"/>
                <w:szCs w:val="18"/>
              </w:rPr>
              <w:t xml:space="preserve">se aclara que el </w:t>
            </w:r>
            <w:r w:rsidR="00CB0DCE">
              <w:rPr>
                <w:rFonts w:ascii="ITC Avant Garde" w:hAnsi="ITC Avant Garde"/>
                <w:sz w:val="18"/>
                <w:szCs w:val="18"/>
              </w:rPr>
              <w:t>participante</w:t>
            </w:r>
            <w:r w:rsidR="00BE3B8B">
              <w:rPr>
                <w:rFonts w:ascii="ITC Avant Garde" w:hAnsi="ITC Avant Garde"/>
                <w:sz w:val="18"/>
                <w:szCs w:val="18"/>
              </w:rPr>
              <w:t xml:space="preserve"> podrá presentar </w:t>
            </w:r>
            <w:r w:rsidR="00CB0DCE">
              <w:rPr>
                <w:rFonts w:ascii="ITC Avant Garde" w:hAnsi="ITC Avant Garde"/>
                <w:sz w:val="18"/>
                <w:szCs w:val="18"/>
              </w:rPr>
              <w:t>ofertas</w:t>
            </w:r>
            <w:r w:rsidR="00BE3B8B">
              <w:rPr>
                <w:rFonts w:ascii="ITC Avant Garde" w:hAnsi="ITC Avant Garde"/>
                <w:sz w:val="18"/>
                <w:szCs w:val="18"/>
              </w:rPr>
              <w:t xml:space="preserve"> (demanda) por el número de bloques de cada </w:t>
            </w:r>
            <w:r w:rsidR="00CB0DCE">
              <w:rPr>
                <w:rFonts w:ascii="ITC Avant Garde" w:hAnsi="ITC Avant Garde"/>
                <w:sz w:val="18"/>
                <w:szCs w:val="18"/>
              </w:rPr>
              <w:t>categoría</w:t>
            </w:r>
            <w:r w:rsidR="00BE3B8B">
              <w:rPr>
                <w:rFonts w:ascii="ITC Avant Garde" w:hAnsi="ITC Avant Garde"/>
                <w:sz w:val="18"/>
                <w:szCs w:val="18"/>
              </w:rPr>
              <w:t xml:space="preserve"> de su interés</w:t>
            </w:r>
            <w:r w:rsidR="00C55A13">
              <w:rPr>
                <w:rFonts w:ascii="ITC Avant Garde" w:hAnsi="ITC Avant Garde"/>
                <w:sz w:val="18"/>
                <w:szCs w:val="18"/>
              </w:rPr>
              <w:t>. De esta manera</w:t>
            </w:r>
            <w:r w:rsidR="00CB0DCE">
              <w:rPr>
                <w:rFonts w:ascii="ITC Avant Garde" w:hAnsi="ITC Avant Garde"/>
                <w:sz w:val="18"/>
                <w:szCs w:val="18"/>
              </w:rPr>
              <w:t>,</w:t>
            </w:r>
            <w:r w:rsidR="00C55A13">
              <w:rPr>
                <w:rFonts w:ascii="ITC Avant Garde" w:hAnsi="ITC Avant Garde"/>
                <w:sz w:val="18"/>
                <w:szCs w:val="18"/>
              </w:rPr>
              <w:t xml:space="preserve"> las </w:t>
            </w:r>
            <w:r w:rsidR="00CB0DCE">
              <w:rPr>
                <w:rFonts w:ascii="ITC Avant Garde" w:hAnsi="ITC Avant Garde"/>
                <w:sz w:val="18"/>
                <w:szCs w:val="18"/>
              </w:rPr>
              <w:t>ofertas</w:t>
            </w:r>
            <w:r w:rsidR="00C55A13">
              <w:rPr>
                <w:rFonts w:ascii="ITC Avant Garde" w:hAnsi="ITC Avant Garde"/>
                <w:sz w:val="18"/>
                <w:szCs w:val="18"/>
              </w:rPr>
              <w:t xml:space="preserve"> de cada </w:t>
            </w:r>
            <w:r w:rsidR="00CB0DCE">
              <w:rPr>
                <w:rFonts w:ascii="ITC Avant Garde" w:hAnsi="ITC Avant Garde"/>
                <w:sz w:val="18"/>
                <w:szCs w:val="18"/>
              </w:rPr>
              <w:t>categoría</w:t>
            </w:r>
            <w:r w:rsidR="00C55A13">
              <w:rPr>
                <w:rFonts w:ascii="ITC Avant Garde" w:hAnsi="ITC Avant Garde"/>
                <w:sz w:val="18"/>
                <w:szCs w:val="18"/>
              </w:rPr>
              <w:t xml:space="preserve"> son simultáneas, sin embargo, los </w:t>
            </w:r>
            <w:r w:rsidR="00CB0DCE">
              <w:rPr>
                <w:rFonts w:ascii="ITC Avant Garde" w:hAnsi="ITC Avant Garde"/>
                <w:sz w:val="18"/>
                <w:szCs w:val="18"/>
              </w:rPr>
              <w:t>precios</w:t>
            </w:r>
            <w:r w:rsidR="00C55A13">
              <w:rPr>
                <w:rFonts w:ascii="ITC Avant Garde" w:hAnsi="ITC Avant Garde"/>
                <w:sz w:val="18"/>
                <w:szCs w:val="18"/>
              </w:rPr>
              <w:t xml:space="preserve"> de </w:t>
            </w:r>
            <w:r w:rsidR="00CB0DCE">
              <w:rPr>
                <w:rFonts w:ascii="ITC Avant Garde" w:hAnsi="ITC Avant Garde"/>
                <w:sz w:val="18"/>
                <w:szCs w:val="18"/>
              </w:rPr>
              <w:t>reloj</w:t>
            </w:r>
            <w:r w:rsidR="00C55A13">
              <w:rPr>
                <w:rFonts w:ascii="ITC Avant Garde" w:hAnsi="ITC Avant Garde"/>
                <w:sz w:val="18"/>
                <w:szCs w:val="18"/>
              </w:rPr>
              <w:t xml:space="preserve"> de cada </w:t>
            </w:r>
            <w:r w:rsidR="00CB0DCE">
              <w:rPr>
                <w:rFonts w:ascii="ITC Avant Garde" w:hAnsi="ITC Avant Garde"/>
                <w:sz w:val="18"/>
                <w:szCs w:val="18"/>
              </w:rPr>
              <w:t>categoría</w:t>
            </w:r>
            <w:r w:rsidR="00C55A13">
              <w:rPr>
                <w:rFonts w:ascii="ITC Avant Garde" w:hAnsi="ITC Avant Garde"/>
                <w:sz w:val="18"/>
                <w:szCs w:val="18"/>
              </w:rPr>
              <w:t xml:space="preserve"> solo se incrementarán cuando exista exceso de demanda en esa misma </w:t>
            </w:r>
            <w:r w:rsidR="00CB0DCE">
              <w:rPr>
                <w:rFonts w:ascii="ITC Avant Garde" w:hAnsi="ITC Avant Garde"/>
                <w:sz w:val="18"/>
                <w:szCs w:val="18"/>
              </w:rPr>
              <w:t>categoría</w:t>
            </w:r>
            <w:r w:rsidR="00C55A13">
              <w:rPr>
                <w:rFonts w:ascii="ITC Avant Garde" w:hAnsi="ITC Avant Garde"/>
                <w:sz w:val="18"/>
                <w:szCs w:val="18"/>
              </w:rPr>
              <w:t xml:space="preserve">. </w:t>
            </w:r>
          </w:p>
          <w:p w14:paraId="791E89F9" w14:textId="2E9EBD4E" w:rsidR="00C55A13" w:rsidRPr="00C55A13" w:rsidRDefault="00C55A13" w:rsidP="00C55A13">
            <w:pPr>
              <w:spacing w:line="276" w:lineRule="auto"/>
              <w:jc w:val="both"/>
              <w:rPr>
                <w:rFonts w:ascii="ITC Avant Garde" w:hAnsi="ITC Avant Garde"/>
                <w:sz w:val="18"/>
                <w:szCs w:val="18"/>
              </w:rPr>
            </w:pPr>
            <w:r>
              <w:rPr>
                <w:rFonts w:ascii="ITC Avant Garde" w:hAnsi="ITC Avant Garde"/>
                <w:sz w:val="18"/>
                <w:szCs w:val="18"/>
              </w:rPr>
              <w:t xml:space="preserve">Respecto a la transición entre </w:t>
            </w:r>
            <w:r w:rsidR="00CB0DCE">
              <w:rPr>
                <w:rFonts w:ascii="ITC Avant Garde" w:hAnsi="ITC Avant Garde"/>
                <w:sz w:val="18"/>
                <w:szCs w:val="18"/>
              </w:rPr>
              <w:t>fases</w:t>
            </w:r>
            <w:r>
              <w:rPr>
                <w:rFonts w:ascii="ITC Avant Garde" w:hAnsi="ITC Avant Garde"/>
                <w:sz w:val="18"/>
                <w:szCs w:val="18"/>
              </w:rPr>
              <w:t xml:space="preserve"> de la </w:t>
            </w:r>
            <w:r w:rsidR="00CB0DCE">
              <w:rPr>
                <w:rFonts w:ascii="ITC Avant Garde" w:hAnsi="ITC Avant Garde"/>
                <w:sz w:val="18"/>
                <w:szCs w:val="18"/>
              </w:rPr>
              <w:t>etapa</w:t>
            </w:r>
            <w:r>
              <w:rPr>
                <w:rFonts w:ascii="ITC Avant Garde" w:hAnsi="ITC Avant Garde"/>
                <w:sz w:val="18"/>
                <w:szCs w:val="18"/>
              </w:rPr>
              <w:t xml:space="preserve"> de </w:t>
            </w:r>
            <w:r w:rsidR="00CB0DCE">
              <w:rPr>
                <w:rFonts w:ascii="ITC Avant Garde" w:hAnsi="ITC Avant Garde"/>
                <w:sz w:val="18"/>
                <w:szCs w:val="18"/>
              </w:rPr>
              <w:t>adjudicación</w:t>
            </w:r>
            <w:r>
              <w:rPr>
                <w:rFonts w:ascii="ITC Avant Garde" w:hAnsi="ITC Avant Garde"/>
                <w:sz w:val="18"/>
                <w:szCs w:val="18"/>
              </w:rPr>
              <w:t xml:space="preserve">, el Apéndice B del Anteproyecto señala que: </w:t>
            </w:r>
            <w:r w:rsidR="00CB0DCE" w:rsidRPr="00C55A13">
              <w:rPr>
                <w:rFonts w:ascii="ITC Avant Garde" w:hAnsi="ITC Avant Garde"/>
                <w:sz w:val="18"/>
                <w:szCs w:val="18"/>
              </w:rPr>
              <w:t>la fase i</w:t>
            </w:r>
            <w:r w:rsidRPr="00C55A13">
              <w:rPr>
                <w:rFonts w:ascii="ITC Avant Garde" w:hAnsi="ITC Avant Garde"/>
                <w:sz w:val="18"/>
                <w:szCs w:val="18"/>
              </w:rPr>
              <w:t xml:space="preserve"> continuará hasta que haya una </w:t>
            </w:r>
            <w:r w:rsidR="00CB0DCE" w:rsidRPr="00C55A13">
              <w:rPr>
                <w:rFonts w:ascii="ITC Avant Garde" w:hAnsi="ITC Avant Garde"/>
                <w:sz w:val="18"/>
                <w:szCs w:val="18"/>
              </w:rPr>
              <w:t>ronda</w:t>
            </w:r>
            <w:r w:rsidRPr="00C55A13">
              <w:rPr>
                <w:rFonts w:ascii="ITC Avant Garde" w:hAnsi="ITC Avant Garde"/>
                <w:sz w:val="18"/>
                <w:szCs w:val="18"/>
              </w:rPr>
              <w:t xml:space="preserve"> de </w:t>
            </w:r>
            <w:r w:rsidR="00CB0DCE" w:rsidRPr="00C55A13">
              <w:rPr>
                <w:rFonts w:ascii="ITC Avant Garde" w:hAnsi="ITC Avant Garde"/>
                <w:sz w:val="18"/>
                <w:szCs w:val="18"/>
              </w:rPr>
              <w:t>reloj</w:t>
            </w:r>
            <w:r w:rsidRPr="00C55A13">
              <w:rPr>
                <w:rFonts w:ascii="ITC Avant Garde" w:hAnsi="ITC Avant Garde"/>
                <w:sz w:val="18"/>
                <w:szCs w:val="18"/>
              </w:rPr>
              <w:t xml:space="preserve"> donde no haya exceso de demanda de </w:t>
            </w:r>
            <w:r w:rsidR="00CB0DCE" w:rsidRPr="00C55A13">
              <w:rPr>
                <w:rFonts w:ascii="ITC Avant Garde" w:hAnsi="ITC Avant Garde"/>
                <w:sz w:val="18"/>
                <w:szCs w:val="18"/>
              </w:rPr>
              <w:t>bloques</w:t>
            </w:r>
            <w:r w:rsidRPr="00C55A13">
              <w:rPr>
                <w:rFonts w:ascii="ITC Avant Garde" w:hAnsi="ITC Avant Garde"/>
                <w:sz w:val="18"/>
                <w:szCs w:val="18"/>
              </w:rPr>
              <w:t xml:space="preserve"> en cualquiera de las </w:t>
            </w:r>
            <w:r w:rsidR="00CB0DCE" w:rsidRPr="00C55A13">
              <w:rPr>
                <w:rFonts w:ascii="ITC Avant Garde" w:hAnsi="ITC Avant Garde"/>
                <w:sz w:val="18"/>
                <w:szCs w:val="18"/>
              </w:rPr>
              <w:t>categorías</w:t>
            </w:r>
            <w:r w:rsidRPr="00C55A13">
              <w:rPr>
                <w:rFonts w:ascii="ITC Avant Garde" w:hAnsi="ITC Avant Garde"/>
                <w:sz w:val="18"/>
                <w:szCs w:val="18"/>
              </w:rPr>
              <w:t>.</w:t>
            </w:r>
          </w:p>
          <w:p w14:paraId="23A01B95" w14:textId="63E16C9F" w:rsidR="00C55A13" w:rsidRPr="00C55A13" w:rsidRDefault="00C55A13" w:rsidP="00C55A13">
            <w:pPr>
              <w:spacing w:line="276" w:lineRule="auto"/>
              <w:jc w:val="both"/>
              <w:rPr>
                <w:rFonts w:ascii="ITC Avant Garde" w:hAnsi="ITC Avant Garde"/>
                <w:sz w:val="18"/>
                <w:szCs w:val="18"/>
              </w:rPr>
            </w:pPr>
            <w:r w:rsidRPr="00C55A13">
              <w:rPr>
                <w:rFonts w:ascii="ITC Avant Garde" w:hAnsi="ITC Avant Garde"/>
                <w:sz w:val="18"/>
                <w:szCs w:val="18"/>
              </w:rPr>
              <w:t xml:space="preserve">Si la demanda es igual al número total de </w:t>
            </w:r>
            <w:r w:rsidR="00CB0DCE" w:rsidRPr="00C55A13">
              <w:rPr>
                <w:rFonts w:ascii="ITC Avant Garde" w:hAnsi="ITC Avant Garde"/>
                <w:sz w:val="18"/>
                <w:szCs w:val="18"/>
              </w:rPr>
              <w:t>bloques</w:t>
            </w:r>
            <w:r w:rsidRPr="00C55A13">
              <w:rPr>
                <w:rFonts w:ascii="ITC Avant Garde" w:hAnsi="ITC Avant Garde"/>
                <w:sz w:val="18"/>
                <w:szCs w:val="18"/>
              </w:rPr>
              <w:t xml:space="preserve"> en ambas </w:t>
            </w:r>
            <w:r w:rsidR="00CB0DCE" w:rsidRPr="00C55A13">
              <w:rPr>
                <w:rFonts w:ascii="ITC Avant Garde" w:hAnsi="ITC Avant Garde"/>
                <w:sz w:val="18"/>
                <w:szCs w:val="18"/>
              </w:rPr>
              <w:t>categorías</w:t>
            </w:r>
            <w:r w:rsidRPr="00C55A13">
              <w:rPr>
                <w:rFonts w:ascii="ITC Avant Garde" w:hAnsi="ITC Avant Garde"/>
                <w:sz w:val="18"/>
                <w:szCs w:val="18"/>
              </w:rPr>
              <w:t xml:space="preserve">, la </w:t>
            </w:r>
            <w:r w:rsidR="00CB0DCE" w:rsidRPr="00C55A13">
              <w:rPr>
                <w:rFonts w:ascii="ITC Avant Garde" w:hAnsi="ITC Avant Garde"/>
                <w:sz w:val="18"/>
                <w:szCs w:val="18"/>
              </w:rPr>
              <w:t>etapa</w:t>
            </w:r>
            <w:r w:rsidRPr="00C55A13">
              <w:rPr>
                <w:rFonts w:ascii="ITC Avant Garde" w:hAnsi="ITC Avant Garde"/>
                <w:sz w:val="18"/>
                <w:szCs w:val="18"/>
              </w:rPr>
              <w:t xml:space="preserve"> de </w:t>
            </w:r>
            <w:r w:rsidR="00CB0DCE" w:rsidRPr="00C55A13">
              <w:rPr>
                <w:rFonts w:ascii="ITC Avant Garde" w:hAnsi="ITC Avant Garde"/>
                <w:sz w:val="18"/>
                <w:szCs w:val="18"/>
              </w:rPr>
              <w:t>adjudicación</w:t>
            </w:r>
            <w:r w:rsidRPr="00C55A13">
              <w:rPr>
                <w:rFonts w:ascii="ITC Avant Garde" w:hAnsi="ITC Avant Garde"/>
                <w:sz w:val="18"/>
                <w:szCs w:val="18"/>
              </w:rPr>
              <w:t xml:space="preserve"> terminará y el SEPRO determinará los </w:t>
            </w:r>
            <w:r w:rsidR="00CB0DCE" w:rsidRPr="00C55A13">
              <w:rPr>
                <w:rFonts w:ascii="ITC Avant Garde" w:hAnsi="ITC Avant Garde"/>
                <w:sz w:val="18"/>
                <w:szCs w:val="18"/>
              </w:rPr>
              <w:t>precios</w:t>
            </w:r>
            <w:r w:rsidRPr="00C55A13">
              <w:rPr>
                <w:rFonts w:ascii="ITC Avant Garde" w:hAnsi="ITC Avant Garde"/>
                <w:sz w:val="18"/>
                <w:szCs w:val="18"/>
              </w:rPr>
              <w:t xml:space="preserve"> de </w:t>
            </w:r>
            <w:r w:rsidR="00CB0DCE" w:rsidRPr="00C55A13">
              <w:rPr>
                <w:rFonts w:ascii="ITC Avant Garde" w:hAnsi="ITC Avant Garde"/>
                <w:sz w:val="18"/>
                <w:szCs w:val="18"/>
              </w:rPr>
              <w:t>adjudicación</w:t>
            </w:r>
            <w:r w:rsidRPr="00C55A13">
              <w:rPr>
                <w:rFonts w:ascii="ITC Avant Garde" w:hAnsi="ITC Avant Garde"/>
                <w:sz w:val="18"/>
                <w:szCs w:val="18"/>
              </w:rPr>
              <w:t xml:space="preserve"> para cada </w:t>
            </w:r>
            <w:r w:rsidR="00CB0DCE" w:rsidRPr="00C55A13">
              <w:rPr>
                <w:rFonts w:ascii="ITC Avant Garde" w:hAnsi="ITC Avant Garde"/>
                <w:sz w:val="18"/>
                <w:szCs w:val="18"/>
              </w:rPr>
              <w:t>participante</w:t>
            </w:r>
            <w:r w:rsidRPr="00C55A13">
              <w:rPr>
                <w:rFonts w:ascii="ITC Avant Garde" w:hAnsi="ITC Avant Garde"/>
                <w:sz w:val="18"/>
                <w:szCs w:val="18"/>
              </w:rPr>
              <w:t>, como se establece en el numeral 3.15 del Apéndice</w:t>
            </w:r>
            <w:r w:rsidR="00AD1499">
              <w:rPr>
                <w:rFonts w:ascii="ITC Avant Garde" w:hAnsi="ITC Avant Garde"/>
                <w:sz w:val="18"/>
                <w:szCs w:val="18"/>
              </w:rPr>
              <w:t xml:space="preserve"> B</w:t>
            </w:r>
            <w:r w:rsidRPr="00C55A13">
              <w:rPr>
                <w:rFonts w:ascii="ITC Avant Garde" w:hAnsi="ITC Avant Garde"/>
                <w:sz w:val="18"/>
                <w:szCs w:val="18"/>
              </w:rPr>
              <w:t>.</w:t>
            </w:r>
          </w:p>
          <w:p w14:paraId="4E3CDCDC" w14:textId="4FDA86D0" w:rsidR="0039782A" w:rsidRDefault="00C55A13" w:rsidP="00C55A13">
            <w:pPr>
              <w:spacing w:line="276" w:lineRule="auto"/>
              <w:jc w:val="both"/>
              <w:rPr>
                <w:rFonts w:ascii="ITC Avant Garde" w:hAnsi="ITC Avant Garde"/>
                <w:sz w:val="18"/>
                <w:szCs w:val="18"/>
              </w:rPr>
            </w:pPr>
            <w:r w:rsidRPr="00C55A13">
              <w:rPr>
                <w:rFonts w:ascii="ITC Avant Garde" w:hAnsi="ITC Avant Garde"/>
                <w:sz w:val="18"/>
                <w:szCs w:val="18"/>
              </w:rPr>
              <w:lastRenderedPageBreak/>
              <w:t xml:space="preserve">Si la demanda es menor al número total de </w:t>
            </w:r>
            <w:r w:rsidR="00CB0DCE" w:rsidRPr="00C55A13">
              <w:rPr>
                <w:rFonts w:ascii="ITC Avant Garde" w:hAnsi="ITC Avant Garde"/>
                <w:sz w:val="18"/>
                <w:szCs w:val="18"/>
              </w:rPr>
              <w:t>bloques</w:t>
            </w:r>
            <w:r w:rsidRPr="00C55A13">
              <w:rPr>
                <w:rFonts w:ascii="ITC Avant Garde" w:hAnsi="ITC Avant Garde"/>
                <w:sz w:val="18"/>
                <w:szCs w:val="18"/>
              </w:rPr>
              <w:t xml:space="preserve"> en una o ambas </w:t>
            </w:r>
            <w:r w:rsidR="00CB0DCE" w:rsidRPr="00C55A13">
              <w:rPr>
                <w:rFonts w:ascii="ITC Avant Garde" w:hAnsi="ITC Avant Garde"/>
                <w:sz w:val="18"/>
                <w:szCs w:val="18"/>
              </w:rPr>
              <w:t>categorías</w:t>
            </w:r>
            <w:r w:rsidR="00AD1499">
              <w:rPr>
                <w:rFonts w:ascii="ITC Avant Garde" w:hAnsi="ITC Avant Garde"/>
                <w:sz w:val="18"/>
                <w:szCs w:val="18"/>
              </w:rPr>
              <w:t xml:space="preserve"> (esto es, que existan </w:t>
            </w:r>
            <w:r w:rsidR="00CB0DCE">
              <w:rPr>
                <w:rFonts w:ascii="ITC Avant Garde" w:hAnsi="ITC Avant Garde"/>
                <w:sz w:val="18"/>
                <w:szCs w:val="18"/>
              </w:rPr>
              <w:t>bloques</w:t>
            </w:r>
            <w:r w:rsidR="00AD1499">
              <w:rPr>
                <w:rFonts w:ascii="ITC Avant Garde" w:hAnsi="ITC Avant Garde"/>
                <w:sz w:val="18"/>
                <w:szCs w:val="18"/>
              </w:rPr>
              <w:t xml:space="preserve"> sin adjudicar en una o en ambas categorías)</w:t>
            </w:r>
            <w:r w:rsidRPr="00C55A13">
              <w:rPr>
                <w:rFonts w:ascii="ITC Avant Garde" w:hAnsi="ITC Avant Garde"/>
                <w:sz w:val="18"/>
                <w:szCs w:val="18"/>
              </w:rPr>
              <w:t xml:space="preserve">, la </w:t>
            </w:r>
            <w:r w:rsidR="00CB0DCE" w:rsidRPr="00C55A13">
              <w:rPr>
                <w:rFonts w:ascii="ITC Avant Garde" w:hAnsi="ITC Avant Garde"/>
                <w:sz w:val="18"/>
                <w:szCs w:val="18"/>
              </w:rPr>
              <w:t>etapa</w:t>
            </w:r>
            <w:r w:rsidRPr="00C55A13">
              <w:rPr>
                <w:rFonts w:ascii="ITC Avant Garde" w:hAnsi="ITC Avant Garde"/>
                <w:sz w:val="18"/>
                <w:szCs w:val="18"/>
              </w:rPr>
              <w:t xml:space="preserve"> de </w:t>
            </w:r>
            <w:r w:rsidR="00CB0DCE" w:rsidRPr="00C55A13">
              <w:rPr>
                <w:rFonts w:ascii="ITC Avant Garde" w:hAnsi="ITC Avant Garde"/>
                <w:sz w:val="18"/>
                <w:szCs w:val="18"/>
              </w:rPr>
              <w:t>adjudicación</w:t>
            </w:r>
            <w:r w:rsidRPr="00C55A13">
              <w:rPr>
                <w:rFonts w:ascii="ITC Avant Garde" w:hAnsi="ITC Avant Garde"/>
                <w:sz w:val="18"/>
                <w:szCs w:val="18"/>
              </w:rPr>
              <w:t xml:space="preserve"> continuará a la </w:t>
            </w:r>
            <w:r w:rsidR="00CB0DCE" w:rsidRPr="00C55A13">
              <w:rPr>
                <w:rFonts w:ascii="ITC Avant Garde" w:hAnsi="ITC Avant Garde"/>
                <w:sz w:val="18"/>
                <w:szCs w:val="18"/>
              </w:rPr>
              <w:t>fase</w:t>
            </w:r>
            <w:r w:rsidRPr="00C55A13">
              <w:rPr>
                <w:rFonts w:ascii="ITC Avant Garde" w:hAnsi="ITC Avant Garde"/>
                <w:sz w:val="18"/>
                <w:szCs w:val="18"/>
              </w:rPr>
              <w:t xml:space="preserve"> II y las </w:t>
            </w:r>
            <w:r w:rsidR="00CB0DCE" w:rsidRPr="00C55A13">
              <w:rPr>
                <w:rFonts w:ascii="ITC Avant Garde" w:hAnsi="ITC Avant Garde"/>
                <w:sz w:val="18"/>
                <w:szCs w:val="18"/>
              </w:rPr>
              <w:t>rondas</w:t>
            </w:r>
            <w:r w:rsidRPr="00C55A13">
              <w:rPr>
                <w:rFonts w:ascii="ITC Avant Garde" w:hAnsi="ITC Avant Garde"/>
                <w:sz w:val="18"/>
                <w:szCs w:val="18"/>
              </w:rPr>
              <w:t xml:space="preserve"> de </w:t>
            </w:r>
            <w:r w:rsidR="00CB0DCE" w:rsidRPr="00C55A13">
              <w:rPr>
                <w:rFonts w:ascii="ITC Avant Garde" w:hAnsi="ITC Avant Garde"/>
                <w:sz w:val="18"/>
                <w:szCs w:val="18"/>
              </w:rPr>
              <w:t>reloj</w:t>
            </w:r>
            <w:r w:rsidRPr="00C55A13">
              <w:rPr>
                <w:rFonts w:ascii="ITC Avant Garde" w:hAnsi="ITC Avant Garde"/>
                <w:sz w:val="18"/>
                <w:szCs w:val="18"/>
              </w:rPr>
              <w:t xml:space="preserve"> se reanudarán por completo, es decir, se pasará a la </w:t>
            </w:r>
            <w:r w:rsidR="00CB0DCE" w:rsidRPr="00C55A13">
              <w:rPr>
                <w:rFonts w:ascii="ITC Avant Garde" w:hAnsi="ITC Avant Garde"/>
                <w:sz w:val="18"/>
                <w:szCs w:val="18"/>
              </w:rPr>
              <w:t>fase</w:t>
            </w:r>
            <w:r w:rsidRPr="00C55A13">
              <w:rPr>
                <w:rFonts w:ascii="ITC Avant Garde" w:hAnsi="ITC Avant Garde"/>
                <w:sz w:val="18"/>
                <w:szCs w:val="18"/>
              </w:rPr>
              <w:t xml:space="preserve"> II ofreciendo a los </w:t>
            </w:r>
            <w:r w:rsidR="00CB0DCE" w:rsidRPr="00C55A13">
              <w:rPr>
                <w:rFonts w:ascii="ITC Avant Garde" w:hAnsi="ITC Avant Garde"/>
                <w:sz w:val="18"/>
                <w:szCs w:val="18"/>
              </w:rPr>
              <w:t>participantes</w:t>
            </w:r>
            <w:r w:rsidRPr="00C55A13">
              <w:rPr>
                <w:rFonts w:ascii="ITC Avant Garde" w:hAnsi="ITC Avant Garde"/>
                <w:sz w:val="18"/>
                <w:szCs w:val="18"/>
              </w:rPr>
              <w:t xml:space="preserve"> nuevamente el total de </w:t>
            </w:r>
            <w:r w:rsidR="00CB0DCE" w:rsidRPr="00C55A13">
              <w:rPr>
                <w:rFonts w:ascii="ITC Avant Garde" w:hAnsi="ITC Avant Garde"/>
                <w:sz w:val="18"/>
                <w:szCs w:val="18"/>
              </w:rPr>
              <w:t>bloques</w:t>
            </w:r>
            <w:r w:rsidRPr="00C55A13">
              <w:rPr>
                <w:rFonts w:ascii="ITC Avant Garde" w:hAnsi="ITC Avant Garde"/>
                <w:sz w:val="18"/>
                <w:szCs w:val="18"/>
              </w:rPr>
              <w:t xml:space="preserve">, atendiendo al </w:t>
            </w:r>
            <w:r w:rsidR="00CB0DCE" w:rsidRPr="00C55A13">
              <w:rPr>
                <w:rFonts w:ascii="ITC Avant Garde" w:hAnsi="ITC Avant Garde"/>
                <w:sz w:val="18"/>
                <w:szCs w:val="18"/>
              </w:rPr>
              <w:t>límite</w:t>
            </w:r>
            <w:r w:rsidRPr="00C55A13">
              <w:rPr>
                <w:rFonts w:ascii="ITC Avant Garde" w:hAnsi="ITC Avant Garde"/>
                <w:sz w:val="18"/>
                <w:szCs w:val="18"/>
              </w:rPr>
              <w:t xml:space="preserve"> de </w:t>
            </w:r>
            <w:r w:rsidR="00CB0DCE" w:rsidRPr="00C55A13">
              <w:rPr>
                <w:rFonts w:ascii="ITC Avant Garde" w:hAnsi="ITC Avant Garde"/>
                <w:sz w:val="18"/>
                <w:szCs w:val="18"/>
              </w:rPr>
              <w:t>acumulación</w:t>
            </w:r>
            <w:r w:rsidRPr="00C55A13">
              <w:rPr>
                <w:rFonts w:ascii="ITC Avant Garde" w:hAnsi="ITC Avant Garde"/>
                <w:sz w:val="18"/>
                <w:szCs w:val="18"/>
              </w:rPr>
              <w:t xml:space="preserve"> de </w:t>
            </w:r>
            <w:r w:rsidR="00CB0DCE" w:rsidRPr="00C55A13">
              <w:rPr>
                <w:rFonts w:ascii="ITC Avant Garde" w:hAnsi="ITC Avant Garde"/>
                <w:sz w:val="18"/>
                <w:szCs w:val="18"/>
              </w:rPr>
              <w:t>espectr</w:t>
            </w:r>
            <w:r w:rsidR="00CB0DCE">
              <w:rPr>
                <w:rFonts w:ascii="ITC Avant Garde" w:hAnsi="ITC Avant Garde"/>
                <w:sz w:val="18"/>
                <w:szCs w:val="18"/>
              </w:rPr>
              <w:t>o</w:t>
            </w:r>
            <w:r w:rsidR="00AD1499">
              <w:rPr>
                <w:rFonts w:ascii="ITC Avant Garde" w:hAnsi="ITC Avant Garde"/>
                <w:sz w:val="18"/>
                <w:szCs w:val="18"/>
              </w:rPr>
              <w:t xml:space="preserve"> de la </w:t>
            </w:r>
            <w:r w:rsidR="00CB0DCE">
              <w:rPr>
                <w:rFonts w:ascii="ITC Avant Garde" w:hAnsi="ITC Avant Garde"/>
                <w:sz w:val="18"/>
                <w:szCs w:val="18"/>
              </w:rPr>
              <w:t>fase</w:t>
            </w:r>
            <w:r w:rsidR="00AD1499">
              <w:rPr>
                <w:rFonts w:ascii="ITC Avant Garde" w:hAnsi="ITC Avant Garde"/>
                <w:sz w:val="18"/>
                <w:szCs w:val="18"/>
              </w:rPr>
              <w:t xml:space="preserve"> II.</w:t>
            </w:r>
          </w:p>
        </w:tc>
      </w:tr>
      <w:tr w:rsidR="00460312" w:rsidRPr="00637136" w14:paraId="78083B06" w14:textId="77777777" w:rsidTr="009155A1">
        <w:trPr>
          <w:trHeight w:val="290"/>
          <w:tblHeader/>
        </w:trPr>
        <w:tc>
          <w:tcPr>
            <w:tcW w:w="472" w:type="pct"/>
          </w:tcPr>
          <w:p w14:paraId="1B5D091B"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4C0D9F79"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41ABC6AA" w14:textId="640D5787"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3.11.1</w:t>
            </w:r>
          </w:p>
        </w:tc>
        <w:tc>
          <w:tcPr>
            <w:tcW w:w="1966" w:type="pct"/>
            <w:shd w:val="clear" w:color="auto" w:fill="auto"/>
          </w:tcPr>
          <w:p w14:paraId="75F13C33" w14:textId="6A93958D" w:rsidR="00460312" w:rsidRPr="00AB0D17" w:rsidRDefault="00460312" w:rsidP="00E6423E">
            <w:pPr>
              <w:spacing w:line="276" w:lineRule="auto"/>
              <w:jc w:val="both"/>
              <w:rPr>
                <w:rFonts w:ascii="ITC Avant Garde" w:hAnsi="ITC Avant Garde" w:cs="Arial"/>
                <w:i/>
                <w:color w:val="000000"/>
                <w:sz w:val="18"/>
                <w:szCs w:val="18"/>
              </w:rPr>
            </w:pPr>
            <w:r w:rsidRPr="00AB0D17">
              <w:rPr>
                <w:rFonts w:ascii="ITC Avant Garde" w:hAnsi="ITC Avant Garde" w:cs="Arial"/>
                <w:i/>
                <w:color w:val="000000"/>
                <w:sz w:val="18"/>
                <w:szCs w:val="18"/>
              </w:rPr>
              <w:t xml:space="preserve">En el caso de más de un </w:t>
            </w:r>
            <w:r w:rsidRPr="00CC4181">
              <w:rPr>
                <w:rFonts w:ascii="ITC Avant Garde" w:hAnsi="ITC Avant Garde" w:cs="Arial"/>
                <w:i/>
                <w:color w:val="000000"/>
                <w:sz w:val="18"/>
                <w:szCs w:val="18"/>
              </w:rPr>
              <w:t>retiro rechazado y que el SEPRO tenga que elegir de manera aleatoria, cómo se acreditará que se haga de tal manera que no afecte a cualquiera de los participantes con el mismo derecho</w:t>
            </w:r>
            <w:r w:rsidRPr="00AB0D17">
              <w:rPr>
                <w:rFonts w:ascii="ITC Avant Garde" w:hAnsi="ITC Avant Garde" w:cs="Arial"/>
                <w:i/>
                <w:color w:val="000000"/>
                <w:sz w:val="18"/>
                <w:szCs w:val="18"/>
              </w:rPr>
              <w:t>.</w:t>
            </w:r>
          </w:p>
        </w:tc>
        <w:tc>
          <w:tcPr>
            <w:tcW w:w="1992" w:type="pct"/>
            <w:shd w:val="clear" w:color="auto" w:fill="FFFFFF" w:themeFill="background1"/>
          </w:tcPr>
          <w:p w14:paraId="429F6591" w14:textId="7374D920" w:rsidR="00460312" w:rsidRDefault="00326ABC" w:rsidP="00FB77C0">
            <w:pPr>
              <w:spacing w:line="276" w:lineRule="auto"/>
              <w:jc w:val="both"/>
              <w:rPr>
                <w:rFonts w:ascii="ITC Avant Garde" w:hAnsi="ITC Avant Garde"/>
                <w:sz w:val="18"/>
                <w:szCs w:val="18"/>
              </w:rPr>
            </w:pPr>
            <w:r>
              <w:rPr>
                <w:rFonts w:ascii="ITC Avant Garde" w:hAnsi="ITC Avant Garde"/>
                <w:sz w:val="18"/>
                <w:szCs w:val="18"/>
              </w:rPr>
              <w:t xml:space="preserve">Con relación a la pregunta </w:t>
            </w:r>
            <w:r w:rsidR="001845D0">
              <w:rPr>
                <w:rFonts w:ascii="ITC Avant Garde" w:hAnsi="ITC Avant Garde"/>
                <w:sz w:val="18"/>
                <w:szCs w:val="18"/>
              </w:rPr>
              <w:t xml:space="preserve">de </w:t>
            </w:r>
            <w:r w:rsidR="001845D0">
              <w:rPr>
                <w:rFonts w:ascii="ITC Avant Garde" w:hAnsi="ITC Avant Garde"/>
                <w:b/>
                <w:sz w:val="18"/>
                <w:szCs w:val="18"/>
              </w:rPr>
              <w:t>Radiomóvil Dipsa, S.A. de C.V.</w:t>
            </w:r>
            <w:r w:rsidR="001845D0" w:rsidRPr="003F7AF7">
              <w:rPr>
                <w:rFonts w:ascii="ITC Avant Garde" w:hAnsi="ITC Avant Garde"/>
                <w:b/>
                <w:sz w:val="18"/>
                <w:szCs w:val="18"/>
              </w:rPr>
              <w:t xml:space="preserve">  </w:t>
            </w:r>
            <w:r>
              <w:rPr>
                <w:rFonts w:ascii="ITC Avant Garde" w:hAnsi="ITC Avant Garde"/>
                <w:sz w:val="18"/>
                <w:szCs w:val="18"/>
              </w:rPr>
              <w:t>relativa</w:t>
            </w:r>
            <w:r w:rsidR="001845D0">
              <w:rPr>
                <w:rFonts w:ascii="ITC Avant Garde" w:hAnsi="ITC Avant Garde"/>
                <w:sz w:val="18"/>
                <w:szCs w:val="18"/>
              </w:rPr>
              <w:t xml:space="preserve"> </w:t>
            </w:r>
            <w:r w:rsidRPr="00CC4181">
              <w:rPr>
                <w:rFonts w:ascii="ITC Avant Garde" w:hAnsi="ITC Avant Garde"/>
                <w:sz w:val="18"/>
                <w:szCs w:val="18"/>
              </w:rPr>
              <w:t>como se acreditará que, en el caso de un retiro rechazado y que el SEPRO tenga que elegir de manera aleatoria, el mecanismo no afecte a cualquiera de los participantes con el mismo derecho</w:t>
            </w:r>
            <w:r w:rsidR="001845D0">
              <w:rPr>
                <w:rFonts w:ascii="ITC Avant Garde" w:hAnsi="ITC Avant Garde"/>
                <w:sz w:val="18"/>
                <w:szCs w:val="18"/>
              </w:rPr>
              <w:t xml:space="preserve">, </w:t>
            </w:r>
            <w:r w:rsidR="00FB77C0">
              <w:rPr>
                <w:rFonts w:ascii="ITC Avant Garde" w:hAnsi="ITC Avant Garde"/>
                <w:sz w:val="18"/>
                <w:szCs w:val="18"/>
              </w:rPr>
              <w:t>se informa que</w:t>
            </w:r>
            <w:r w:rsidR="00CC4181">
              <w:rPr>
                <w:rFonts w:ascii="ITC Avant Garde" w:hAnsi="ITC Avant Garde"/>
                <w:sz w:val="18"/>
                <w:szCs w:val="18"/>
              </w:rPr>
              <w:t>,</w:t>
            </w:r>
            <w:r w:rsidR="00FB77C0">
              <w:rPr>
                <w:rFonts w:ascii="ITC Avant Garde" w:hAnsi="ITC Avant Garde"/>
                <w:sz w:val="18"/>
                <w:szCs w:val="18"/>
              </w:rPr>
              <w:t xml:space="preserve"> si</w:t>
            </w:r>
            <w:r w:rsidR="00FB77C0" w:rsidRPr="00FB77C0">
              <w:rPr>
                <w:rFonts w:ascii="ITC Avant Garde" w:hAnsi="ITC Avant Garde"/>
                <w:sz w:val="18"/>
                <w:szCs w:val="18"/>
              </w:rPr>
              <w:t xml:space="preserve"> uno o más </w:t>
            </w:r>
            <w:r w:rsidR="00CC4181" w:rsidRPr="00CC4181">
              <w:rPr>
                <w:rFonts w:ascii="ITC Avant Garde" w:hAnsi="ITC Avant Garde"/>
                <w:sz w:val="18"/>
                <w:szCs w:val="18"/>
              </w:rPr>
              <w:t>participantes</w:t>
            </w:r>
            <w:r w:rsidR="00FB77C0" w:rsidRPr="00FB77C0">
              <w:rPr>
                <w:rFonts w:ascii="ITC Avant Garde" w:hAnsi="ITC Avant Garde"/>
                <w:sz w:val="18"/>
                <w:szCs w:val="18"/>
              </w:rPr>
              <w:t xml:space="preserve"> han fijado el mismo </w:t>
            </w:r>
            <w:r w:rsidR="00CC4181" w:rsidRPr="00CC4181">
              <w:rPr>
                <w:rFonts w:ascii="ITC Avant Garde" w:hAnsi="ITC Avant Garde"/>
                <w:sz w:val="18"/>
                <w:szCs w:val="18"/>
              </w:rPr>
              <w:t>precio</w:t>
            </w:r>
            <w:r w:rsidR="00FB77C0" w:rsidRPr="00FB77C0">
              <w:rPr>
                <w:rFonts w:ascii="ITC Avant Garde" w:hAnsi="ITC Avant Garde"/>
                <w:sz w:val="18"/>
                <w:szCs w:val="18"/>
              </w:rPr>
              <w:t xml:space="preserve"> de </w:t>
            </w:r>
            <w:r w:rsidR="00CC4181" w:rsidRPr="00CC4181">
              <w:rPr>
                <w:rFonts w:ascii="ITC Avant Garde" w:hAnsi="ITC Avant Garde"/>
                <w:sz w:val="18"/>
                <w:szCs w:val="18"/>
              </w:rPr>
              <w:t>retiro</w:t>
            </w:r>
            <w:r w:rsidR="00FB77C0" w:rsidRPr="00FB77C0">
              <w:rPr>
                <w:rFonts w:ascii="ITC Avant Garde" w:hAnsi="ITC Avant Garde"/>
                <w:sz w:val="18"/>
                <w:szCs w:val="18"/>
              </w:rPr>
              <w:t xml:space="preserve"> y se debe retener alguno</w:t>
            </w:r>
            <w:r w:rsidR="00CC4181">
              <w:rPr>
                <w:rFonts w:ascii="ITC Avant Garde" w:hAnsi="ITC Avant Garde"/>
                <w:sz w:val="18"/>
                <w:szCs w:val="18"/>
              </w:rPr>
              <w:t>,</w:t>
            </w:r>
            <w:r w:rsidR="00FB77C0" w:rsidRPr="00FB77C0">
              <w:rPr>
                <w:rFonts w:ascii="ITC Avant Garde" w:hAnsi="ITC Avant Garde"/>
                <w:sz w:val="18"/>
                <w:szCs w:val="18"/>
              </w:rPr>
              <w:t xml:space="preserve"> pero no todos los </w:t>
            </w:r>
            <w:r w:rsidR="00CC4181" w:rsidRPr="00CC4181">
              <w:rPr>
                <w:rFonts w:ascii="ITC Avant Garde" w:hAnsi="ITC Avant Garde"/>
                <w:sz w:val="18"/>
                <w:szCs w:val="18"/>
              </w:rPr>
              <w:t>bloques</w:t>
            </w:r>
            <w:r w:rsidR="00FB77C0" w:rsidRPr="00FB77C0">
              <w:rPr>
                <w:rFonts w:ascii="ITC Avant Garde" w:hAnsi="ITC Avant Garde"/>
                <w:sz w:val="18"/>
                <w:szCs w:val="18"/>
              </w:rPr>
              <w:t xml:space="preserve"> de los </w:t>
            </w:r>
            <w:r w:rsidR="00CC4181" w:rsidRPr="00CC4181">
              <w:rPr>
                <w:rFonts w:ascii="ITC Avant Garde" w:hAnsi="ITC Avant Garde"/>
                <w:sz w:val="18"/>
                <w:szCs w:val="18"/>
              </w:rPr>
              <w:t>retiros</w:t>
            </w:r>
            <w:r w:rsidR="00FB77C0" w:rsidRPr="00FB77C0">
              <w:rPr>
                <w:rFonts w:ascii="ITC Avant Garde" w:hAnsi="ITC Avant Garde"/>
                <w:sz w:val="18"/>
                <w:szCs w:val="18"/>
              </w:rPr>
              <w:t xml:space="preserve"> de dichos </w:t>
            </w:r>
            <w:r w:rsidR="00CC4181" w:rsidRPr="00CC4181">
              <w:rPr>
                <w:rFonts w:ascii="ITC Avant Garde" w:hAnsi="ITC Avant Garde"/>
                <w:sz w:val="18"/>
                <w:szCs w:val="18"/>
              </w:rPr>
              <w:t>participantes</w:t>
            </w:r>
            <w:r w:rsidR="00FB77C0" w:rsidRPr="00FB77C0">
              <w:rPr>
                <w:rFonts w:ascii="ITC Avant Garde" w:hAnsi="ITC Avant Garde"/>
                <w:sz w:val="18"/>
                <w:szCs w:val="18"/>
              </w:rPr>
              <w:t xml:space="preserve">, el SEPRO determinará aleatoriamente cual será el </w:t>
            </w:r>
            <w:r w:rsidR="00CC4181" w:rsidRPr="00CC4181">
              <w:rPr>
                <w:rFonts w:ascii="ITC Avant Garde" w:hAnsi="ITC Avant Garde"/>
                <w:sz w:val="18"/>
                <w:szCs w:val="18"/>
              </w:rPr>
              <w:t>retiro rechazado</w:t>
            </w:r>
            <w:r w:rsidR="00FB77C0" w:rsidRPr="00CC4181">
              <w:rPr>
                <w:rFonts w:ascii="ITC Avant Garde" w:hAnsi="ITC Avant Garde"/>
                <w:sz w:val="18"/>
                <w:szCs w:val="18"/>
              </w:rPr>
              <w:t>.</w:t>
            </w:r>
            <w:r w:rsidR="00FB77C0">
              <w:rPr>
                <w:rFonts w:ascii="ITC Avant Garde" w:hAnsi="ITC Avant Garde"/>
                <w:sz w:val="18"/>
                <w:szCs w:val="18"/>
              </w:rPr>
              <w:t xml:space="preserve"> Para este efecto</w:t>
            </w:r>
            <w:r w:rsidR="00CC4181" w:rsidRPr="00CC4181">
              <w:rPr>
                <w:rFonts w:ascii="ITC Avant Garde" w:hAnsi="ITC Avant Garde"/>
                <w:sz w:val="18"/>
                <w:szCs w:val="18"/>
              </w:rPr>
              <w:t>,</w:t>
            </w:r>
            <w:r w:rsidR="00FB77C0">
              <w:rPr>
                <w:rFonts w:ascii="ITC Avant Garde" w:hAnsi="ITC Avant Garde"/>
                <w:sz w:val="18"/>
                <w:szCs w:val="18"/>
              </w:rPr>
              <w:t xml:space="preserve"> el sistema utilizará una distribución de probabilidad uniforme (que otorga al misma probabilidad de ocurrencia a cualquier evento).</w:t>
            </w:r>
          </w:p>
        </w:tc>
      </w:tr>
      <w:tr w:rsidR="00460312" w:rsidRPr="00637136" w14:paraId="66CEC915" w14:textId="77777777" w:rsidTr="009155A1">
        <w:trPr>
          <w:trHeight w:val="290"/>
          <w:tblHeader/>
        </w:trPr>
        <w:tc>
          <w:tcPr>
            <w:tcW w:w="472" w:type="pct"/>
          </w:tcPr>
          <w:p w14:paraId="72AE130E"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13C30938"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3C4561C4" w14:textId="0D8DA0AD"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r w:rsidRPr="00AB0D17">
              <w:rPr>
                <w:rFonts w:ascii="ITC Avant Garde" w:eastAsia="Calibri" w:hAnsi="ITC Avant Garde" w:cs="Arial"/>
                <w:b/>
                <w:bCs/>
                <w:color w:val="000000" w:themeColor="text1"/>
                <w:sz w:val="18"/>
                <w:szCs w:val="18"/>
              </w:rPr>
              <w:t>Apéndice “B”, del proyecto de Bases de Licitación, Numeral 3.11.2</w:t>
            </w:r>
          </w:p>
        </w:tc>
        <w:tc>
          <w:tcPr>
            <w:tcW w:w="1966" w:type="pct"/>
            <w:shd w:val="clear" w:color="auto" w:fill="auto"/>
          </w:tcPr>
          <w:p w14:paraId="4CC46D6D" w14:textId="7FFDD3D8" w:rsidR="00460312" w:rsidRPr="00AB0D17" w:rsidRDefault="00460312" w:rsidP="00E6423E">
            <w:pPr>
              <w:spacing w:line="276" w:lineRule="auto"/>
              <w:jc w:val="both"/>
              <w:rPr>
                <w:rFonts w:ascii="ITC Avant Garde" w:hAnsi="ITC Avant Garde" w:cs="Arial"/>
                <w:i/>
                <w:color w:val="000000"/>
                <w:sz w:val="18"/>
                <w:szCs w:val="18"/>
              </w:rPr>
            </w:pPr>
            <w:r w:rsidRPr="00CD3BAA">
              <w:rPr>
                <w:rFonts w:ascii="ITC Avant Garde" w:hAnsi="ITC Avant Garde" w:cs="Arial"/>
                <w:i/>
                <w:color w:val="000000"/>
                <w:sz w:val="18"/>
                <w:szCs w:val="18"/>
              </w:rPr>
              <w:t xml:space="preserve">A este respecto, se solicita que ese IFT se sirva </w:t>
            </w:r>
            <w:r w:rsidRPr="00C60E07">
              <w:rPr>
                <w:rFonts w:ascii="ITC Avant Garde" w:hAnsi="ITC Avant Garde" w:cs="Arial"/>
                <w:i/>
                <w:color w:val="000000"/>
                <w:sz w:val="18"/>
                <w:szCs w:val="18"/>
              </w:rPr>
              <w:t>aclarar</w:t>
            </w:r>
            <w:r w:rsidRPr="00CD3BAA">
              <w:rPr>
                <w:rFonts w:ascii="ITC Avant Garde" w:hAnsi="ITC Avant Garde" w:cs="Arial"/>
                <w:i/>
                <w:color w:val="000000"/>
                <w:sz w:val="18"/>
                <w:szCs w:val="18"/>
              </w:rPr>
              <w:t xml:space="preserve"> cuál es el objetivo y la racionalidad de </w:t>
            </w:r>
            <w:r w:rsidRPr="00C60E07">
              <w:rPr>
                <w:rFonts w:ascii="ITC Avant Garde" w:hAnsi="ITC Avant Garde" w:cs="Arial"/>
                <w:i/>
                <w:color w:val="000000"/>
                <w:sz w:val="18"/>
                <w:szCs w:val="18"/>
              </w:rPr>
              <w:t>retener en el SEPRO los cambios rechazados entre una ronda y otra para liberarlos ulteriormente pero a precios diferentes</w:t>
            </w:r>
            <w:r w:rsidRPr="00CD3BAA">
              <w:rPr>
                <w:rFonts w:ascii="ITC Avant Garde" w:hAnsi="ITC Avant Garde" w:cs="Arial"/>
                <w:i/>
                <w:color w:val="000000"/>
                <w:sz w:val="18"/>
                <w:szCs w:val="18"/>
              </w:rPr>
              <w:t xml:space="preserve"> y asimismo </w:t>
            </w:r>
            <w:r w:rsidRPr="00C60E07">
              <w:rPr>
                <w:rFonts w:ascii="ITC Avant Garde" w:hAnsi="ITC Avant Garde" w:cs="Arial"/>
                <w:i/>
                <w:color w:val="000000"/>
                <w:sz w:val="18"/>
                <w:szCs w:val="18"/>
              </w:rPr>
              <w:t>aclarar por qué ello se realiza en exclusiva por el SEPRO sin opción a que</w:t>
            </w:r>
            <w:r w:rsidRPr="00C60E07">
              <w:t xml:space="preserve"> </w:t>
            </w:r>
            <w:r w:rsidRPr="00C60E07">
              <w:rPr>
                <w:rFonts w:ascii="ITC Avant Garde" w:hAnsi="ITC Avant Garde" w:cs="Arial"/>
                <w:i/>
                <w:color w:val="000000"/>
                <w:sz w:val="18"/>
                <w:szCs w:val="18"/>
              </w:rPr>
              <w:t>los participantes lo hagan directamente de acuerdo a lo que mejor convenga a su estrategia.</w:t>
            </w:r>
            <w:r w:rsidRPr="00CD3BAA">
              <w:rPr>
                <w:rFonts w:ascii="ITC Avant Garde" w:hAnsi="ITC Avant Garde" w:cs="Arial"/>
                <w:i/>
                <w:color w:val="000000"/>
                <w:sz w:val="18"/>
                <w:szCs w:val="18"/>
              </w:rPr>
              <w:t xml:space="preserve"> Particularmente, nos referimos al ejemplo práctico que se incluye en la presentación adjunta, en la cual de acuerdo a </w:t>
            </w:r>
            <w:r w:rsidRPr="00CD3BAA">
              <w:rPr>
                <w:rFonts w:ascii="ITC Avant Garde" w:hAnsi="ITC Avant Garde" w:cs="Arial"/>
                <w:i/>
                <w:color w:val="000000"/>
                <w:sz w:val="18"/>
                <w:szCs w:val="18"/>
              </w:rPr>
              <w:lastRenderedPageBreak/>
              <w:t>nuestro mejor entendimiento del mismo, en la ronda 4 el participante A solicita cambiar un bloque de TDD@380 por un bloque FDD@380, dicho cambio es rechazado y por lo tanto al finalizar la ronda la oferta válida del participante A es de 3@380 para FDD y 1@370 para TDD. En la siguiente ronda el participante A realiza una oferta de 3 bloques FDD@390 y adicionalmente se libera el cambio rechazado en la ronda anterior por lo cual, de forma automática y sin opción para el participante A, la oferta válida al finalizar la ronda es de 4 bloques FDD@390 siendo que el participante A expresó su preferencia de hacer el cambio de TDD a FDD cuando el precio era de 380 (ronda 4) y no de 390 (ronda 5). En realidad el cambio debería liberarse al precio presentado para el cambio en la ronda precedente o el participante A debería tener la posibilidad de cancelar o reiterar su preferencia de cambio a los nuevos precios en la ronda 5.</w:t>
            </w:r>
          </w:p>
        </w:tc>
        <w:tc>
          <w:tcPr>
            <w:tcW w:w="1992" w:type="pct"/>
            <w:shd w:val="clear" w:color="auto" w:fill="FFFFFF" w:themeFill="background1"/>
          </w:tcPr>
          <w:p w14:paraId="16B1376A" w14:textId="7A0912B9" w:rsidR="00763884" w:rsidRDefault="001845D0" w:rsidP="00763884">
            <w:pPr>
              <w:spacing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Pr>
                <w:rFonts w:ascii="ITC Avant Garde" w:hAnsi="ITC Avant Garde"/>
                <w:b/>
                <w:sz w:val="18"/>
                <w:szCs w:val="18"/>
              </w:rPr>
              <w:t>Radiomóvil Dipsa, S.A. de C.V.</w:t>
            </w:r>
            <w:r w:rsidRPr="003F7AF7">
              <w:rPr>
                <w:rFonts w:ascii="ITC Avant Garde" w:hAnsi="ITC Avant Garde"/>
                <w:b/>
                <w:sz w:val="18"/>
                <w:szCs w:val="18"/>
              </w:rPr>
              <w:t xml:space="preserve">  </w:t>
            </w:r>
            <w:r>
              <w:rPr>
                <w:rFonts w:ascii="ITC Avant Garde" w:hAnsi="ITC Avant Garde"/>
                <w:sz w:val="18"/>
                <w:szCs w:val="18"/>
              </w:rPr>
              <w:t xml:space="preserve">relativo </w:t>
            </w:r>
            <w:r w:rsidRPr="00C60E07">
              <w:rPr>
                <w:rFonts w:ascii="ITC Avant Garde" w:hAnsi="ITC Avant Garde"/>
                <w:sz w:val="18"/>
                <w:szCs w:val="18"/>
              </w:rPr>
              <w:t xml:space="preserve">a </w:t>
            </w:r>
            <w:r w:rsidR="00F54188" w:rsidRPr="00C60E07">
              <w:rPr>
                <w:rFonts w:ascii="ITC Avant Garde" w:hAnsi="ITC Avant Garde"/>
                <w:sz w:val="18"/>
                <w:szCs w:val="18"/>
              </w:rPr>
              <w:t>aclarar cuál es el objetivo y la racionalidad de retener en el SEPRO los cambios rechazados entre una ronda y otra para liberarlos ulteriormente pero a precios diferentes, así como por qué se realiza en exclusiva por el SEPRO, es decir, sin opción a que los participantes lo hagan directamente</w:t>
            </w:r>
            <w:r w:rsidRPr="00C60E07">
              <w:rPr>
                <w:rFonts w:ascii="ITC Avant Garde" w:hAnsi="ITC Avant Garde"/>
                <w:sz w:val="18"/>
                <w:szCs w:val="18"/>
              </w:rPr>
              <w:t>,</w:t>
            </w:r>
            <w:r>
              <w:rPr>
                <w:rFonts w:ascii="ITC Avant Garde" w:hAnsi="ITC Avant Garde"/>
                <w:sz w:val="18"/>
                <w:szCs w:val="18"/>
              </w:rPr>
              <w:t xml:space="preserve"> </w:t>
            </w:r>
            <w:r w:rsidR="00763884">
              <w:rPr>
                <w:rFonts w:ascii="ITC Avant Garde" w:hAnsi="ITC Avant Garde"/>
                <w:sz w:val="18"/>
                <w:szCs w:val="18"/>
              </w:rPr>
              <w:t xml:space="preserve">se aclara que </w:t>
            </w:r>
            <w:r w:rsidR="00763884" w:rsidRPr="001C6231">
              <w:rPr>
                <w:rFonts w:ascii="ITC Avant Garde" w:hAnsi="ITC Avant Garde"/>
                <w:sz w:val="18"/>
                <w:szCs w:val="18"/>
              </w:rPr>
              <w:t>l</w:t>
            </w:r>
            <w:r w:rsidR="00763884" w:rsidRPr="00763884">
              <w:rPr>
                <w:rFonts w:ascii="ITC Avant Garde" w:hAnsi="ITC Avant Garde"/>
                <w:sz w:val="18"/>
                <w:szCs w:val="18"/>
              </w:rPr>
              <w:t xml:space="preserve">os </w:t>
            </w:r>
            <w:r w:rsidR="00C60E07" w:rsidRPr="00C60E07">
              <w:rPr>
                <w:rFonts w:ascii="ITC Avant Garde" w:hAnsi="ITC Avant Garde"/>
                <w:sz w:val="18"/>
                <w:szCs w:val="18"/>
              </w:rPr>
              <w:t>bloques</w:t>
            </w:r>
            <w:r w:rsidR="00763884" w:rsidRPr="00763884">
              <w:rPr>
                <w:rFonts w:ascii="ITC Avant Garde" w:hAnsi="ITC Avant Garde"/>
                <w:sz w:val="18"/>
                <w:szCs w:val="18"/>
              </w:rPr>
              <w:t xml:space="preserve"> relacionados con </w:t>
            </w:r>
            <w:r w:rsidR="00C60E07" w:rsidRPr="00C60E07">
              <w:rPr>
                <w:rFonts w:ascii="ITC Avant Garde" w:hAnsi="ITC Avant Garde"/>
                <w:sz w:val="18"/>
                <w:szCs w:val="18"/>
              </w:rPr>
              <w:t>cambios rechazados</w:t>
            </w:r>
            <w:r w:rsidR="00763884" w:rsidRPr="00763884">
              <w:rPr>
                <w:rFonts w:ascii="ITC Avant Garde" w:hAnsi="ITC Avant Garde"/>
                <w:sz w:val="18"/>
                <w:szCs w:val="18"/>
              </w:rPr>
              <w:t xml:space="preserve"> serán retenidos al </w:t>
            </w:r>
            <w:r w:rsidR="00C60E07" w:rsidRPr="00C60E07">
              <w:rPr>
                <w:rFonts w:ascii="ITC Avant Garde" w:hAnsi="ITC Avant Garde"/>
                <w:sz w:val="18"/>
                <w:szCs w:val="18"/>
              </w:rPr>
              <w:t>precio</w:t>
            </w:r>
            <w:r w:rsidR="00763884" w:rsidRPr="00763884">
              <w:rPr>
                <w:rFonts w:ascii="ITC Avant Garde" w:hAnsi="ITC Avant Garde"/>
                <w:sz w:val="18"/>
                <w:szCs w:val="18"/>
              </w:rPr>
              <w:t xml:space="preserve"> de </w:t>
            </w:r>
            <w:r w:rsidR="00C60E07" w:rsidRPr="00C60E07">
              <w:rPr>
                <w:rFonts w:ascii="ITC Avant Garde" w:hAnsi="ITC Avant Garde"/>
                <w:sz w:val="18"/>
                <w:szCs w:val="18"/>
              </w:rPr>
              <w:t>reloj</w:t>
            </w:r>
            <w:r w:rsidR="00763884" w:rsidRPr="00763884">
              <w:rPr>
                <w:rFonts w:ascii="ITC Avant Garde" w:hAnsi="ITC Avant Garde"/>
                <w:sz w:val="18"/>
                <w:szCs w:val="18"/>
              </w:rPr>
              <w:t xml:space="preserve"> de la </w:t>
            </w:r>
            <w:r w:rsidR="00C60E07" w:rsidRPr="00C60E07">
              <w:rPr>
                <w:rFonts w:ascii="ITC Avant Garde" w:hAnsi="ITC Avant Garde"/>
                <w:sz w:val="18"/>
                <w:szCs w:val="18"/>
              </w:rPr>
              <w:t>ronda</w:t>
            </w:r>
            <w:r w:rsidR="00763884" w:rsidRPr="00763884">
              <w:rPr>
                <w:rFonts w:ascii="ITC Avant Garde" w:hAnsi="ITC Avant Garde"/>
                <w:sz w:val="18"/>
                <w:szCs w:val="18"/>
              </w:rPr>
              <w:t xml:space="preserve"> de </w:t>
            </w:r>
            <w:r w:rsidR="00C60E07" w:rsidRPr="00C60E07">
              <w:rPr>
                <w:rFonts w:ascii="ITC Avant Garde" w:hAnsi="ITC Avant Garde"/>
                <w:sz w:val="18"/>
                <w:szCs w:val="18"/>
              </w:rPr>
              <w:t>reloj</w:t>
            </w:r>
            <w:r w:rsidR="00763884" w:rsidRPr="00763884">
              <w:rPr>
                <w:rFonts w:ascii="ITC Avant Garde" w:hAnsi="ITC Avant Garde"/>
                <w:sz w:val="18"/>
                <w:szCs w:val="18"/>
              </w:rPr>
              <w:t xml:space="preserve"> precedente.</w:t>
            </w:r>
            <w:r w:rsidR="00763884">
              <w:rPr>
                <w:rFonts w:ascii="ITC Avant Garde" w:hAnsi="ITC Avant Garde"/>
                <w:sz w:val="18"/>
                <w:szCs w:val="18"/>
              </w:rPr>
              <w:t xml:space="preserve"> </w:t>
            </w:r>
          </w:p>
          <w:p w14:paraId="26A6C48B" w14:textId="7566F8A6" w:rsidR="00460312" w:rsidRDefault="00763884" w:rsidP="00763884">
            <w:pPr>
              <w:spacing w:line="276" w:lineRule="auto"/>
              <w:jc w:val="both"/>
              <w:rPr>
                <w:rFonts w:ascii="ITC Avant Garde" w:hAnsi="ITC Avant Garde"/>
                <w:sz w:val="18"/>
                <w:szCs w:val="18"/>
              </w:rPr>
            </w:pPr>
            <w:r>
              <w:rPr>
                <w:rFonts w:ascii="ITC Avant Garde" w:hAnsi="ITC Avant Garde"/>
                <w:sz w:val="18"/>
                <w:szCs w:val="18"/>
              </w:rPr>
              <w:lastRenderedPageBreak/>
              <w:t>No obstante, si</w:t>
            </w:r>
            <w:r w:rsidRPr="00763884">
              <w:rPr>
                <w:rFonts w:ascii="ITC Avant Garde" w:hAnsi="ITC Avant Garde"/>
                <w:sz w:val="18"/>
                <w:szCs w:val="18"/>
              </w:rPr>
              <w:t xml:space="preserve"> el </w:t>
            </w:r>
            <w:r w:rsidR="00C60E07" w:rsidRPr="00C60E07">
              <w:rPr>
                <w:rFonts w:ascii="ITC Avant Garde" w:hAnsi="ITC Avant Garde"/>
                <w:sz w:val="18"/>
                <w:szCs w:val="18"/>
              </w:rPr>
              <w:t>participante</w:t>
            </w:r>
            <w:r w:rsidRPr="00763884">
              <w:rPr>
                <w:rFonts w:ascii="ITC Avant Garde" w:hAnsi="ITC Avant Garde"/>
                <w:sz w:val="18"/>
                <w:szCs w:val="18"/>
              </w:rPr>
              <w:t xml:space="preserve"> con un </w:t>
            </w:r>
            <w:r w:rsidR="00C60E07" w:rsidRPr="00C60E07">
              <w:rPr>
                <w:rFonts w:ascii="ITC Avant Garde" w:hAnsi="ITC Avant Garde"/>
                <w:sz w:val="18"/>
                <w:szCs w:val="18"/>
              </w:rPr>
              <w:t>cambio rechazado</w:t>
            </w:r>
            <w:r w:rsidRPr="00763884">
              <w:rPr>
                <w:rFonts w:ascii="ITC Avant Garde" w:hAnsi="ITC Avant Garde"/>
                <w:sz w:val="18"/>
                <w:szCs w:val="18"/>
              </w:rPr>
              <w:t xml:space="preserve"> presenta una </w:t>
            </w:r>
            <w:r w:rsidR="00C60E07" w:rsidRPr="00C60E07">
              <w:rPr>
                <w:rFonts w:ascii="ITC Avant Garde" w:hAnsi="ITC Avant Garde"/>
                <w:sz w:val="18"/>
                <w:szCs w:val="18"/>
              </w:rPr>
              <w:t>oferta</w:t>
            </w:r>
            <w:r w:rsidRPr="00763884">
              <w:rPr>
                <w:rFonts w:ascii="ITC Avant Garde" w:hAnsi="ITC Avant Garde"/>
                <w:sz w:val="18"/>
                <w:szCs w:val="18"/>
              </w:rPr>
              <w:t xml:space="preserve"> por un </w:t>
            </w:r>
            <w:r w:rsidR="00C60E07" w:rsidRPr="00C60E07">
              <w:rPr>
                <w:rFonts w:ascii="ITC Avant Garde" w:hAnsi="ITC Avant Garde"/>
                <w:sz w:val="18"/>
                <w:szCs w:val="18"/>
              </w:rPr>
              <w:t>bloque</w:t>
            </w:r>
            <w:r w:rsidRPr="00763884">
              <w:rPr>
                <w:rFonts w:ascii="ITC Avant Garde" w:hAnsi="ITC Avant Garde"/>
                <w:sz w:val="18"/>
                <w:szCs w:val="18"/>
              </w:rPr>
              <w:t xml:space="preserve"> de la misma </w:t>
            </w:r>
            <w:r w:rsidR="00C60E07" w:rsidRPr="00C60E07">
              <w:rPr>
                <w:rFonts w:ascii="ITC Avant Garde" w:hAnsi="ITC Avant Garde"/>
                <w:sz w:val="18"/>
                <w:szCs w:val="18"/>
              </w:rPr>
              <w:t>categoría</w:t>
            </w:r>
            <w:r w:rsidRPr="00763884">
              <w:rPr>
                <w:rFonts w:ascii="ITC Avant Garde" w:hAnsi="ITC Avant Garde"/>
                <w:sz w:val="18"/>
                <w:szCs w:val="18"/>
              </w:rPr>
              <w:t xml:space="preserve">, a un </w:t>
            </w:r>
            <w:r w:rsidR="00C60E07" w:rsidRPr="00C60E07">
              <w:rPr>
                <w:rFonts w:ascii="ITC Avant Garde" w:hAnsi="ITC Avant Garde"/>
                <w:sz w:val="18"/>
                <w:szCs w:val="18"/>
              </w:rPr>
              <w:t>precio</w:t>
            </w:r>
            <w:r w:rsidRPr="00763884">
              <w:rPr>
                <w:rFonts w:ascii="ITC Avant Garde" w:hAnsi="ITC Avant Garde"/>
                <w:sz w:val="18"/>
                <w:szCs w:val="18"/>
              </w:rPr>
              <w:t xml:space="preserve"> de </w:t>
            </w:r>
            <w:r w:rsidR="00C60E07" w:rsidRPr="00C60E07">
              <w:rPr>
                <w:rFonts w:ascii="ITC Avant Garde" w:hAnsi="ITC Avant Garde"/>
                <w:sz w:val="18"/>
                <w:szCs w:val="18"/>
              </w:rPr>
              <w:t>reloj</w:t>
            </w:r>
            <w:r w:rsidRPr="00763884">
              <w:rPr>
                <w:rFonts w:ascii="ITC Avant Garde" w:hAnsi="ITC Avant Garde"/>
                <w:sz w:val="18"/>
                <w:szCs w:val="18"/>
              </w:rPr>
              <w:t xml:space="preserve"> superior al fijado para el </w:t>
            </w:r>
            <w:r w:rsidR="00C60E07" w:rsidRPr="00C60E07">
              <w:rPr>
                <w:rFonts w:ascii="ITC Avant Garde" w:hAnsi="ITC Avant Garde"/>
                <w:sz w:val="18"/>
                <w:szCs w:val="18"/>
              </w:rPr>
              <w:t>cambio rechazado</w:t>
            </w:r>
            <w:r w:rsidRPr="00763884">
              <w:rPr>
                <w:rFonts w:ascii="ITC Avant Garde" w:hAnsi="ITC Avant Garde"/>
                <w:sz w:val="18"/>
                <w:szCs w:val="18"/>
              </w:rPr>
              <w:t xml:space="preserve">, se considerará que el </w:t>
            </w:r>
            <w:r w:rsidR="00C60E07" w:rsidRPr="00C60E07">
              <w:rPr>
                <w:rFonts w:ascii="ITC Avant Garde" w:hAnsi="ITC Avant Garde"/>
                <w:sz w:val="18"/>
                <w:szCs w:val="18"/>
              </w:rPr>
              <w:t>participante</w:t>
            </w:r>
            <w:r w:rsidRPr="00763884">
              <w:rPr>
                <w:rFonts w:ascii="ITC Avant Garde" w:hAnsi="ITC Avant Garde"/>
                <w:sz w:val="18"/>
                <w:szCs w:val="18"/>
              </w:rPr>
              <w:t xml:space="preserve"> ha presentado una </w:t>
            </w:r>
            <w:r w:rsidR="00C60E07" w:rsidRPr="00C60E07">
              <w:rPr>
                <w:rFonts w:ascii="ITC Avant Garde" w:hAnsi="ITC Avant Garde"/>
                <w:sz w:val="18"/>
                <w:szCs w:val="18"/>
              </w:rPr>
              <w:t>oferta</w:t>
            </w:r>
            <w:r w:rsidRPr="00763884">
              <w:rPr>
                <w:rFonts w:ascii="ITC Avant Garde" w:hAnsi="ITC Avant Garde"/>
                <w:sz w:val="18"/>
                <w:szCs w:val="18"/>
              </w:rPr>
              <w:t xml:space="preserve"> por todos los </w:t>
            </w:r>
            <w:r w:rsidR="00C60E07" w:rsidRPr="00C60E07">
              <w:rPr>
                <w:rFonts w:ascii="ITC Avant Garde" w:hAnsi="ITC Avant Garde"/>
                <w:sz w:val="18"/>
                <w:szCs w:val="18"/>
              </w:rPr>
              <w:t>bloques</w:t>
            </w:r>
            <w:r w:rsidRPr="00763884">
              <w:rPr>
                <w:rFonts w:ascii="ITC Avant Garde" w:hAnsi="ITC Avant Garde"/>
                <w:sz w:val="18"/>
                <w:szCs w:val="18"/>
              </w:rPr>
              <w:t xml:space="preserve"> (los que comprende su nueva </w:t>
            </w:r>
            <w:r w:rsidR="00C60E07" w:rsidRPr="00C60E07">
              <w:rPr>
                <w:rFonts w:ascii="ITC Avant Garde" w:hAnsi="ITC Avant Garde"/>
                <w:sz w:val="18"/>
                <w:szCs w:val="18"/>
              </w:rPr>
              <w:t>oferta</w:t>
            </w:r>
            <w:r w:rsidRPr="00763884">
              <w:rPr>
                <w:rFonts w:ascii="ITC Avant Garde" w:hAnsi="ITC Avant Garde"/>
                <w:sz w:val="18"/>
                <w:szCs w:val="18"/>
              </w:rPr>
              <w:t xml:space="preserve"> como el que compone cada </w:t>
            </w:r>
            <w:r w:rsidR="00C60E07" w:rsidRPr="00C60E07">
              <w:rPr>
                <w:rFonts w:ascii="ITC Avant Garde" w:hAnsi="ITC Avant Garde"/>
                <w:sz w:val="18"/>
                <w:szCs w:val="18"/>
              </w:rPr>
              <w:t>cambio rechazado</w:t>
            </w:r>
            <w:r w:rsidRPr="00763884">
              <w:rPr>
                <w:rFonts w:ascii="ITC Avant Garde" w:hAnsi="ITC Avant Garde"/>
                <w:sz w:val="18"/>
                <w:szCs w:val="18"/>
              </w:rPr>
              <w:t xml:space="preserve">) al último </w:t>
            </w:r>
            <w:r w:rsidR="00C60E07" w:rsidRPr="00C60E07">
              <w:rPr>
                <w:rFonts w:ascii="ITC Avant Garde" w:hAnsi="ITC Avant Garde"/>
                <w:sz w:val="18"/>
                <w:szCs w:val="18"/>
              </w:rPr>
              <w:t>precio</w:t>
            </w:r>
            <w:r w:rsidRPr="00763884">
              <w:rPr>
                <w:rFonts w:ascii="ITC Avant Garde" w:hAnsi="ITC Avant Garde"/>
                <w:sz w:val="18"/>
                <w:szCs w:val="18"/>
              </w:rPr>
              <w:t xml:space="preserve"> de </w:t>
            </w:r>
            <w:r w:rsidR="00C60E07" w:rsidRPr="00C60E07">
              <w:rPr>
                <w:rFonts w:ascii="ITC Avant Garde" w:hAnsi="ITC Avant Garde"/>
                <w:sz w:val="18"/>
                <w:szCs w:val="18"/>
              </w:rPr>
              <w:t>reloj.</w:t>
            </w:r>
          </w:p>
        </w:tc>
      </w:tr>
      <w:tr w:rsidR="00460312" w:rsidRPr="00637136" w14:paraId="6167AB72" w14:textId="77777777" w:rsidTr="009155A1">
        <w:trPr>
          <w:trHeight w:val="290"/>
          <w:tblHeader/>
        </w:trPr>
        <w:tc>
          <w:tcPr>
            <w:tcW w:w="472" w:type="pct"/>
          </w:tcPr>
          <w:p w14:paraId="009C75E1"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66E7D870"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6767393F" w14:textId="139FEAF5"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“B”, del proyecto de Bases de Licitación, Numeral 4</w:t>
            </w:r>
          </w:p>
        </w:tc>
        <w:tc>
          <w:tcPr>
            <w:tcW w:w="1966" w:type="pct"/>
            <w:shd w:val="clear" w:color="auto" w:fill="auto"/>
          </w:tcPr>
          <w:p w14:paraId="7E0C09B0" w14:textId="4ACEF235" w:rsidR="00460312" w:rsidRPr="00741106" w:rsidRDefault="00460312" w:rsidP="00E6423E">
            <w:pPr>
              <w:spacing w:line="276" w:lineRule="auto"/>
              <w:jc w:val="both"/>
              <w:rPr>
                <w:rFonts w:ascii="ITC Avant Garde" w:hAnsi="ITC Avant Garde" w:cs="Arial"/>
                <w:i/>
                <w:color w:val="000000"/>
                <w:sz w:val="18"/>
                <w:szCs w:val="18"/>
              </w:rPr>
            </w:pPr>
            <w:r w:rsidRPr="00741106">
              <w:rPr>
                <w:rFonts w:ascii="ITC Avant Garde" w:hAnsi="ITC Avant Garde" w:cs="Arial"/>
                <w:i/>
                <w:color w:val="000000"/>
                <w:sz w:val="18"/>
                <w:szCs w:val="18"/>
              </w:rPr>
              <w:t>Sobre lo señalado en el presente numeral y atendiendo a que el primer criterio de asignación consiste en garantizar la contigüidad del espectro, solicitamos respetuosamente que se aclare por parte del IFT que para la asignación de las frecuencias específicas y en caso de resultar ganador algún participante que actualmente ya cuente con espectro en esta banda, entonces dicho operador tendrá derecho de preferencia para una asignación continua a las porciones de espectro de las que ya es titular incluso sobre las posturas que cualquier tercero pueda presentar aún si son más altas.</w:t>
            </w:r>
          </w:p>
        </w:tc>
        <w:tc>
          <w:tcPr>
            <w:tcW w:w="1992" w:type="pct"/>
            <w:shd w:val="clear" w:color="auto" w:fill="FFFFFF" w:themeFill="background1"/>
          </w:tcPr>
          <w:p w14:paraId="2EDCA30B" w14:textId="02D30E08" w:rsidR="00460312" w:rsidRPr="00741106" w:rsidRDefault="00361AA6" w:rsidP="003708AC">
            <w:pPr>
              <w:spacing w:line="276" w:lineRule="auto"/>
              <w:jc w:val="both"/>
              <w:rPr>
                <w:rFonts w:ascii="ITC Avant Garde" w:hAnsi="ITC Avant Garde"/>
                <w:sz w:val="18"/>
                <w:szCs w:val="18"/>
              </w:rPr>
            </w:pPr>
            <w:r w:rsidRPr="00741106">
              <w:rPr>
                <w:rFonts w:ascii="ITC Avant Garde" w:hAnsi="ITC Avant Garde"/>
                <w:sz w:val="18"/>
                <w:szCs w:val="18"/>
              </w:rPr>
              <w:t xml:space="preserve">Con relación al comentario de </w:t>
            </w:r>
            <w:r w:rsidRPr="00741106">
              <w:rPr>
                <w:rFonts w:ascii="ITC Avant Garde" w:hAnsi="ITC Avant Garde"/>
                <w:b/>
                <w:sz w:val="18"/>
                <w:szCs w:val="18"/>
              </w:rPr>
              <w:t xml:space="preserve">Radiomóvil Dipsa, S.A. de C.V.  </w:t>
            </w:r>
            <w:r w:rsidRPr="00741106">
              <w:rPr>
                <w:rFonts w:ascii="ITC Avant Garde" w:hAnsi="ITC Avant Garde"/>
                <w:sz w:val="18"/>
                <w:szCs w:val="18"/>
              </w:rPr>
              <w:t xml:space="preserve">relativo a </w:t>
            </w:r>
            <w:r w:rsidR="000F23CD" w:rsidRPr="00741106">
              <w:rPr>
                <w:rFonts w:ascii="ITC Avant Garde" w:hAnsi="ITC Avant Garde"/>
                <w:sz w:val="18"/>
                <w:szCs w:val="18"/>
              </w:rPr>
              <w:t xml:space="preserve">si </w:t>
            </w:r>
            <w:r w:rsidR="000F23CD" w:rsidRPr="00741106">
              <w:rPr>
                <w:rFonts w:ascii="ITC Avant Garde" w:hAnsi="ITC Avant Garde" w:cs="Arial"/>
                <w:color w:val="000000"/>
                <w:sz w:val="18"/>
                <w:szCs w:val="18"/>
              </w:rPr>
              <w:t xml:space="preserve"> para la asignación de las frecuencias específicas y en caso de resultar ganador algún participante que actualmente ya cuente con espectro en esta banda, entonces dicho operador tendrá derecho de preferencia para una asignación continua a las porciones de espectro de las que ya es titular incluso sobre las posturas que cualquier tercero pueda presentar aún si son más altas; al respecto</w:t>
            </w:r>
            <w:r w:rsidRPr="00741106">
              <w:rPr>
                <w:rFonts w:ascii="ITC Avant Garde" w:hAnsi="ITC Avant Garde"/>
                <w:sz w:val="18"/>
                <w:szCs w:val="18"/>
              </w:rPr>
              <w:t xml:space="preserve">,  </w:t>
            </w:r>
            <w:r w:rsidR="003708AC" w:rsidRPr="00741106">
              <w:rPr>
                <w:rFonts w:ascii="ITC Avant Garde" w:hAnsi="ITC Avant Garde"/>
                <w:sz w:val="18"/>
                <w:szCs w:val="18"/>
              </w:rPr>
              <w:t xml:space="preserve">se aclara que </w:t>
            </w:r>
            <w:r w:rsidR="003708AC" w:rsidRPr="00741106">
              <w:t xml:space="preserve"> </w:t>
            </w:r>
            <w:r w:rsidR="003708AC" w:rsidRPr="00741106">
              <w:rPr>
                <w:rFonts w:ascii="ITC Avant Garde" w:hAnsi="ITC Avant Garde"/>
                <w:sz w:val="18"/>
                <w:szCs w:val="18"/>
              </w:rPr>
              <w:t xml:space="preserve">el objetivo de la </w:t>
            </w:r>
            <w:r w:rsidR="00C60E07" w:rsidRPr="00741106">
              <w:rPr>
                <w:rFonts w:ascii="ITC Avant Garde" w:hAnsi="ITC Avant Garde"/>
                <w:sz w:val="18"/>
                <w:szCs w:val="18"/>
              </w:rPr>
              <w:t>etapa</w:t>
            </w:r>
            <w:r w:rsidR="003708AC" w:rsidRPr="00741106">
              <w:rPr>
                <w:rFonts w:ascii="ITC Avant Garde" w:hAnsi="ITC Avant Garde"/>
                <w:sz w:val="18"/>
                <w:szCs w:val="18"/>
              </w:rPr>
              <w:t xml:space="preserve"> de </w:t>
            </w:r>
            <w:r w:rsidR="00C60E07" w:rsidRPr="00741106">
              <w:rPr>
                <w:rFonts w:ascii="ITC Avant Garde" w:hAnsi="ITC Avant Garde"/>
                <w:sz w:val="18"/>
                <w:szCs w:val="18"/>
              </w:rPr>
              <w:t>asignación</w:t>
            </w:r>
            <w:r w:rsidR="003708AC" w:rsidRPr="00741106">
              <w:rPr>
                <w:rFonts w:ascii="ITC Avant Garde" w:hAnsi="ITC Avant Garde"/>
                <w:sz w:val="18"/>
                <w:szCs w:val="18"/>
              </w:rPr>
              <w:t xml:space="preserve"> es determinar las frecuencias específicas que se asignarán a los </w:t>
            </w:r>
            <w:r w:rsidR="00C60E07" w:rsidRPr="00741106">
              <w:rPr>
                <w:rFonts w:ascii="ITC Avant Garde" w:hAnsi="ITC Avant Garde"/>
                <w:sz w:val="18"/>
                <w:szCs w:val="18"/>
              </w:rPr>
              <w:lastRenderedPageBreak/>
              <w:t>bloques</w:t>
            </w:r>
            <w:r w:rsidR="003708AC" w:rsidRPr="00741106">
              <w:rPr>
                <w:rFonts w:ascii="ITC Avant Garde" w:hAnsi="ITC Avant Garde"/>
                <w:sz w:val="18"/>
                <w:szCs w:val="18"/>
              </w:rPr>
              <w:t xml:space="preserve"> adjudicados a los </w:t>
            </w:r>
            <w:r w:rsidR="00C60E07" w:rsidRPr="00741106">
              <w:rPr>
                <w:rFonts w:ascii="ITC Avant Garde" w:hAnsi="ITC Avant Garde"/>
                <w:sz w:val="18"/>
                <w:szCs w:val="18"/>
              </w:rPr>
              <w:t>participantes</w:t>
            </w:r>
            <w:r w:rsidR="003708AC" w:rsidRPr="00741106">
              <w:rPr>
                <w:rFonts w:ascii="ITC Avant Garde" w:hAnsi="ITC Avant Garde"/>
                <w:sz w:val="18"/>
                <w:szCs w:val="18"/>
              </w:rPr>
              <w:t xml:space="preserve"> en la </w:t>
            </w:r>
            <w:r w:rsidR="00C60E07" w:rsidRPr="00741106">
              <w:rPr>
                <w:rFonts w:ascii="ITC Avant Garde" w:hAnsi="ITC Avant Garde"/>
                <w:sz w:val="18"/>
                <w:szCs w:val="18"/>
              </w:rPr>
              <w:t>etapa</w:t>
            </w:r>
            <w:r w:rsidR="003708AC" w:rsidRPr="00741106">
              <w:rPr>
                <w:rFonts w:ascii="ITC Avant Garde" w:hAnsi="ITC Avant Garde"/>
                <w:sz w:val="18"/>
                <w:szCs w:val="18"/>
              </w:rPr>
              <w:t xml:space="preserve"> de </w:t>
            </w:r>
            <w:r w:rsidR="00C60E07" w:rsidRPr="00741106">
              <w:rPr>
                <w:rFonts w:ascii="ITC Avant Garde" w:hAnsi="ITC Avant Garde"/>
                <w:sz w:val="18"/>
                <w:szCs w:val="18"/>
              </w:rPr>
              <w:t>adjudicación</w:t>
            </w:r>
            <w:r w:rsidR="003708AC" w:rsidRPr="00741106">
              <w:rPr>
                <w:rFonts w:ascii="ITC Avant Garde" w:hAnsi="ITC Avant Garde"/>
                <w:sz w:val="18"/>
                <w:szCs w:val="18"/>
              </w:rPr>
              <w:t>.</w:t>
            </w:r>
          </w:p>
        </w:tc>
      </w:tr>
      <w:tr w:rsidR="00460312" w:rsidRPr="00637136" w14:paraId="330BA8D1" w14:textId="77777777" w:rsidTr="009155A1">
        <w:trPr>
          <w:trHeight w:val="290"/>
          <w:tblHeader/>
        </w:trPr>
        <w:tc>
          <w:tcPr>
            <w:tcW w:w="472" w:type="pct"/>
          </w:tcPr>
          <w:p w14:paraId="6DB2B9D0"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4C897E6D"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51C3F62F" w14:textId="532FC713"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“B”, del proyecto de Bases de Licitación, Numeral 4.1</w:t>
            </w:r>
          </w:p>
        </w:tc>
        <w:tc>
          <w:tcPr>
            <w:tcW w:w="1966" w:type="pct"/>
            <w:shd w:val="clear" w:color="auto" w:fill="auto"/>
          </w:tcPr>
          <w:p w14:paraId="65C85A10" w14:textId="4ADC02C6" w:rsidR="00460312" w:rsidRPr="00741106" w:rsidRDefault="00460312" w:rsidP="00E6423E">
            <w:pPr>
              <w:spacing w:line="276" w:lineRule="auto"/>
              <w:jc w:val="both"/>
              <w:rPr>
                <w:rFonts w:ascii="ITC Avant Garde" w:hAnsi="ITC Avant Garde" w:cs="Arial"/>
                <w:i/>
                <w:color w:val="000000"/>
                <w:sz w:val="18"/>
                <w:szCs w:val="18"/>
              </w:rPr>
            </w:pPr>
            <w:r w:rsidRPr="00741106">
              <w:rPr>
                <w:rFonts w:ascii="ITC Avant Garde" w:hAnsi="ITC Avant Garde" w:cs="Arial"/>
                <w:i/>
                <w:color w:val="000000"/>
                <w:sz w:val="18"/>
                <w:szCs w:val="18"/>
              </w:rPr>
              <w:t>¿Cómo se acreditará que la adjudicación aleatoria no favorecerá a determinado agente en particular sin lesionar los intereses de otro con el mismo derecho?</w:t>
            </w:r>
          </w:p>
        </w:tc>
        <w:tc>
          <w:tcPr>
            <w:tcW w:w="1992" w:type="pct"/>
            <w:shd w:val="clear" w:color="auto" w:fill="FFFFFF" w:themeFill="background1"/>
          </w:tcPr>
          <w:p w14:paraId="1500E031" w14:textId="3083FFE6" w:rsidR="0026256F" w:rsidRPr="00741106" w:rsidRDefault="00361AA6" w:rsidP="0026256F">
            <w:pPr>
              <w:spacing w:line="276" w:lineRule="auto"/>
              <w:jc w:val="both"/>
              <w:rPr>
                <w:rFonts w:ascii="ITC Avant Garde" w:hAnsi="ITC Avant Garde"/>
                <w:sz w:val="18"/>
                <w:szCs w:val="18"/>
              </w:rPr>
            </w:pPr>
            <w:r w:rsidRPr="00741106">
              <w:rPr>
                <w:rFonts w:ascii="ITC Avant Garde" w:hAnsi="ITC Avant Garde"/>
                <w:sz w:val="18"/>
                <w:szCs w:val="18"/>
              </w:rPr>
              <w:t>Con relación a</w:t>
            </w:r>
            <w:r w:rsidR="000F23CD" w:rsidRPr="00741106">
              <w:rPr>
                <w:rFonts w:ascii="ITC Avant Garde" w:hAnsi="ITC Avant Garde"/>
                <w:sz w:val="18"/>
                <w:szCs w:val="18"/>
              </w:rPr>
              <w:t xml:space="preserve"> la</w:t>
            </w:r>
            <w:r w:rsidRPr="00741106">
              <w:rPr>
                <w:rFonts w:ascii="ITC Avant Garde" w:hAnsi="ITC Avant Garde"/>
                <w:sz w:val="18"/>
                <w:szCs w:val="18"/>
              </w:rPr>
              <w:t xml:space="preserve"> </w:t>
            </w:r>
            <w:r w:rsidR="000F23CD" w:rsidRPr="00741106">
              <w:rPr>
                <w:rFonts w:ascii="ITC Avant Garde" w:hAnsi="ITC Avant Garde"/>
                <w:sz w:val="18"/>
                <w:szCs w:val="18"/>
              </w:rPr>
              <w:t>pregunta</w:t>
            </w:r>
            <w:r w:rsidRPr="00741106">
              <w:rPr>
                <w:rFonts w:ascii="ITC Avant Garde" w:hAnsi="ITC Avant Garde"/>
                <w:sz w:val="18"/>
                <w:szCs w:val="18"/>
              </w:rPr>
              <w:t xml:space="preserve"> de </w:t>
            </w:r>
            <w:r w:rsidRPr="00741106">
              <w:rPr>
                <w:rFonts w:ascii="ITC Avant Garde" w:hAnsi="ITC Avant Garde"/>
                <w:b/>
                <w:sz w:val="18"/>
                <w:szCs w:val="18"/>
              </w:rPr>
              <w:t xml:space="preserve">Radiomóvil Dipsa, S.A. de C.V.  </w:t>
            </w:r>
            <w:r w:rsidR="000F23CD" w:rsidRPr="00741106">
              <w:rPr>
                <w:rFonts w:ascii="ITC Avant Garde" w:hAnsi="ITC Avant Garde"/>
                <w:sz w:val="18"/>
                <w:szCs w:val="18"/>
              </w:rPr>
              <w:t>relativa</w:t>
            </w:r>
            <w:r w:rsidRPr="00741106">
              <w:rPr>
                <w:rFonts w:ascii="ITC Avant Garde" w:hAnsi="ITC Avant Garde"/>
                <w:sz w:val="18"/>
                <w:szCs w:val="18"/>
              </w:rPr>
              <w:t xml:space="preserve"> </w:t>
            </w:r>
            <w:r w:rsidR="000F23CD" w:rsidRPr="00741106">
              <w:rPr>
                <w:rFonts w:ascii="ITC Avant Garde" w:hAnsi="ITC Avant Garde"/>
                <w:sz w:val="18"/>
                <w:szCs w:val="18"/>
              </w:rPr>
              <w:t>a como se acreditará que la adjudicación aleatoria no favorecerá a determinado agente en particular sin lesionar los intereses de otro con el mismo derecho</w:t>
            </w:r>
            <w:r w:rsidRPr="00741106">
              <w:rPr>
                <w:rFonts w:ascii="ITC Avant Garde" w:hAnsi="ITC Avant Garde"/>
                <w:sz w:val="18"/>
                <w:szCs w:val="18"/>
              </w:rPr>
              <w:t>,</w:t>
            </w:r>
            <w:r w:rsidR="00741106">
              <w:rPr>
                <w:rFonts w:ascii="ITC Avant Garde" w:hAnsi="ITC Avant Garde"/>
                <w:sz w:val="18"/>
                <w:szCs w:val="18"/>
              </w:rPr>
              <w:t xml:space="preserve"> </w:t>
            </w:r>
            <w:r w:rsidR="00993406" w:rsidRPr="00741106">
              <w:rPr>
                <w:rFonts w:ascii="ITC Avant Garde" w:hAnsi="ITC Avant Garde"/>
                <w:sz w:val="18"/>
                <w:szCs w:val="18"/>
              </w:rPr>
              <w:t xml:space="preserve">se aclara que el </w:t>
            </w:r>
            <w:r w:rsidR="00741106">
              <w:rPr>
                <w:rFonts w:ascii="ITC Avant Garde" w:hAnsi="ITC Avant Garde"/>
                <w:sz w:val="18"/>
                <w:szCs w:val="18"/>
              </w:rPr>
              <w:t>criterio de asignación</w:t>
            </w:r>
            <w:r w:rsidR="00993406" w:rsidRPr="00741106">
              <w:rPr>
                <w:rFonts w:ascii="ITC Avant Garde" w:hAnsi="ITC Avant Garde"/>
              </w:rPr>
              <w:t xml:space="preserve"> </w:t>
            </w:r>
            <w:r w:rsidR="00993406" w:rsidRPr="00741106">
              <w:rPr>
                <w:rFonts w:ascii="ITC Avant Garde" w:hAnsi="ITC Avant Garde"/>
                <w:sz w:val="18"/>
                <w:szCs w:val="18"/>
              </w:rPr>
              <w:t xml:space="preserve">serán las </w:t>
            </w:r>
            <w:r w:rsidR="0026256F" w:rsidRPr="00741106">
              <w:rPr>
                <w:rFonts w:ascii="ITC Avant Garde" w:hAnsi="ITC Avant Garde"/>
                <w:sz w:val="18"/>
                <w:szCs w:val="18"/>
              </w:rPr>
              <w:t>posturas monetarias</w:t>
            </w:r>
            <w:r w:rsidR="00993406" w:rsidRPr="00741106">
              <w:rPr>
                <w:rFonts w:ascii="ITC Avant Garde" w:hAnsi="ITC Avant Garde"/>
                <w:sz w:val="18"/>
                <w:szCs w:val="18"/>
              </w:rPr>
              <w:t xml:space="preserve"> con el mayor valor total monetario</w:t>
            </w:r>
            <w:r w:rsidR="0026256F" w:rsidRPr="00741106">
              <w:rPr>
                <w:rFonts w:ascii="ITC Avant Garde" w:hAnsi="ITC Avant Garde"/>
                <w:sz w:val="18"/>
                <w:szCs w:val="18"/>
              </w:rPr>
              <w:t xml:space="preserve">. </w:t>
            </w:r>
          </w:p>
          <w:p w14:paraId="523414B8" w14:textId="24780187" w:rsidR="00460312" w:rsidRPr="00741106" w:rsidRDefault="0026256F" w:rsidP="0026256F">
            <w:pPr>
              <w:spacing w:line="276" w:lineRule="auto"/>
              <w:jc w:val="both"/>
              <w:rPr>
                <w:rFonts w:ascii="ITC Avant Garde" w:hAnsi="ITC Avant Garde"/>
                <w:sz w:val="18"/>
                <w:szCs w:val="18"/>
              </w:rPr>
            </w:pPr>
            <w:r w:rsidRPr="00741106">
              <w:rPr>
                <w:rFonts w:ascii="ITC Avant Garde" w:hAnsi="ITC Avant Garde"/>
                <w:sz w:val="18"/>
                <w:szCs w:val="18"/>
              </w:rPr>
              <w:t xml:space="preserve">En el caso poco probable de que existieran más de una combinación de posturas con las mismas condiciones </w:t>
            </w:r>
            <w:r w:rsidR="00231E8D" w:rsidRPr="00741106">
              <w:rPr>
                <w:rFonts w:ascii="ITC Avant Garde" w:hAnsi="ITC Avant Garde"/>
                <w:sz w:val="18"/>
                <w:szCs w:val="18"/>
              </w:rPr>
              <w:t>señaladas</w:t>
            </w:r>
            <w:r w:rsidRPr="00741106">
              <w:rPr>
                <w:rFonts w:ascii="ITC Avant Garde" w:hAnsi="ITC Avant Garde"/>
                <w:sz w:val="18"/>
                <w:szCs w:val="18"/>
              </w:rPr>
              <w:t xml:space="preserve"> en el numeral 4.1 de referencia, el SEPRO seleccionará aleatoriamente la combinación de las posturas ganadoras. Esto es mediante un mecanismo aleatorio que no permite ninguna discrecionalidad.</w:t>
            </w:r>
          </w:p>
        </w:tc>
      </w:tr>
      <w:tr w:rsidR="00460312" w:rsidRPr="00637136" w14:paraId="2849EBE3" w14:textId="77777777" w:rsidTr="009155A1">
        <w:trPr>
          <w:trHeight w:val="290"/>
          <w:tblHeader/>
        </w:trPr>
        <w:tc>
          <w:tcPr>
            <w:tcW w:w="472" w:type="pct"/>
          </w:tcPr>
          <w:p w14:paraId="5D9EA081"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7D621C47"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37E3DB3C" w14:textId="30F53465"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“E”, del proyecto de Bases de Licitación, Inciso 2)</w:t>
            </w:r>
          </w:p>
        </w:tc>
        <w:tc>
          <w:tcPr>
            <w:tcW w:w="1966" w:type="pct"/>
            <w:shd w:val="clear" w:color="auto" w:fill="auto"/>
          </w:tcPr>
          <w:p w14:paraId="3B5E67FC" w14:textId="6B81F662" w:rsidR="00460312" w:rsidRPr="00741106" w:rsidRDefault="00460312" w:rsidP="00E6423E">
            <w:pPr>
              <w:spacing w:line="276" w:lineRule="auto"/>
              <w:jc w:val="both"/>
              <w:rPr>
                <w:rFonts w:ascii="ITC Avant Garde" w:hAnsi="ITC Avant Garde" w:cs="Arial"/>
                <w:i/>
                <w:color w:val="000000"/>
                <w:sz w:val="18"/>
                <w:szCs w:val="18"/>
              </w:rPr>
            </w:pPr>
            <w:r w:rsidRPr="00741106">
              <w:rPr>
                <w:rFonts w:ascii="ITC Avant Garde" w:hAnsi="ITC Avant Garde" w:cs="Arial"/>
                <w:i/>
                <w:color w:val="000000"/>
                <w:sz w:val="18"/>
                <w:szCs w:val="18"/>
              </w:rPr>
              <w:t>Se solicita aclarar que en realidad se están subastando 120 MHz, no 130 MHz como aquí se señala.</w:t>
            </w:r>
          </w:p>
        </w:tc>
        <w:tc>
          <w:tcPr>
            <w:tcW w:w="1992" w:type="pct"/>
            <w:shd w:val="clear" w:color="auto" w:fill="FFFFFF" w:themeFill="background1"/>
          </w:tcPr>
          <w:p w14:paraId="2FC80A8F" w14:textId="340565A0" w:rsidR="00460312" w:rsidRPr="00741106" w:rsidRDefault="00361AA6" w:rsidP="00231E8D">
            <w:pPr>
              <w:spacing w:line="276" w:lineRule="auto"/>
              <w:jc w:val="both"/>
              <w:rPr>
                <w:rFonts w:ascii="ITC Avant Garde" w:hAnsi="ITC Avant Garde"/>
                <w:sz w:val="18"/>
                <w:szCs w:val="18"/>
              </w:rPr>
            </w:pPr>
            <w:r w:rsidRPr="00741106">
              <w:rPr>
                <w:rFonts w:ascii="ITC Avant Garde" w:hAnsi="ITC Avant Garde"/>
                <w:sz w:val="18"/>
                <w:szCs w:val="18"/>
              </w:rPr>
              <w:t xml:space="preserve">Con relación al comentario de </w:t>
            </w:r>
            <w:r w:rsidRPr="00741106">
              <w:rPr>
                <w:rFonts w:ascii="ITC Avant Garde" w:hAnsi="ITC Avant Garde"/>
                <w:b/>
                <w:sz w:val="18"/>
                <w:szCs w:val="18"/>
              </w:rPr>
              <w:t xml:space="preserve">Radiomóvil Dipsa, S.A. de C.V.  </w:t>
            </w:r>
            <w:r w:rsidRPr="00741106">
              <w:rPr>
                <w:rFonts w:ascii="ITC Avant Garde" w:hAnsi="ITC Avant Garde"/>
                <w:sz w:val="18"/>
                <w:szCs w:val="18"/>
              </w:rPr>
              <w:t xml:space="preserve">relativo a </w:t>
            </w:r>
            <w:r w:rsidR="00551210" w:rsidRPr="00741106">
              <w:rPr>
                <w:rFonts w:ascii="ITC Avant Garde" w:hAnsi="ITC Avant Garde"/>
                <w:sz w:val="18"/>
                <w:szCs w:val="18"/>
              </w:rPr>
              <w:t>aclarar cuantos MHz están disponibles en el procedimiento</w:t>
            </w:r>
            <w:r w:rsidRPr="00741106">
              <w:rPr>
                <w:rFonts w:ascii="ITC Avant Garde" w:hAnsi="ITC Avant Garde"/>
                <w:sz w:val="18"/>
                <w:szCs w:val="18"/>
              </w:rPr>
              <w:t xml:space="preserve"> de </w:t>
            </w:r>
            <w:r w:rsidR="00551210" w:rsidRPr="00741106">
              <w:rPr>
                <w:rFonts w:ascii="ITC Avant Garde" w:hAnsi="ITC Avant Garde"/>
                <w:sz w:val="18"/>
                <w:szCs w:val="18"/>
              </w:rPr>
              <w:t>presentación de ofertas</w:t>
            </w:r>
            <w:r w:rsidRPr="00741106">
              <w:rPr>
                <w:rFonts w:ascii="ITC Avant Garde" w:hAnsi="ITC Avant Garde"/>
                <w:sz w:val="18"/>
                <w:szCs w:val="18"/>
              </w:rPr>
              <w:t xml:space="preserve">,  </w:t>
            </w:r>
            <w:r w:rsidR="00231E8D" w:rsidRPr="00741106">
              <w:rPr>
                <w:rFonts w:ascii="ITC Avant Garde" w:hAnsi="ITC Avant Garde"/>
                <w:sz w:val="18"/>
                <w:szCs w:val="18"/>
              </w:rPr>
              <w:t>se considerará su sugerencia</w:t>
            </w:r>
            <w:r w:rsidR="004D23CD" w:rsidRPr="00741106">
              <w:rPr>
                <w:rFonts w:ascii="ITC Avant Garde" w:hAnsi="ITC Avant Garde"/>
                <w:sz w:val="18"/>
                <w:szCs w:val="18"/>
              </w:rPr>
              <w:t xml:space="preserve"> para la elaboración final del Proyecto.</w:t>
            </w:r>
          </w:p>
        </w:tc>
      </w:tr>
      <w:tr w:rsidR="00460312" w:rsidRPr="00637136" w14:paraId="1572614E" w14:textId="77777777" w:rsidTr="009155A1">
        <w:trPr>
          <w:trHeight w:val="290"/>
          <w:tblHeader/>
        </w:trPr>
        <w:tc>
          <w:tcPr>
            <w:tcW w:w="472" w:type="pct"/>
          </w:tcPr>
          <w:p w14:paraId="6AA0F47C"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5D236A5B"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32B414C7" w14:textId="6EA3CD01"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“E”, del proyecto de Bases de Licitación,</w:t>
            </w:r>
            <w:r w:rsidRPr="00CD3BAA">
              <w:t xml:space="preserve"> </w:t>
            </w:r>
            <w:r w:rsidRPr="00CD3BAA">
              <w:rPr>
                <w:rFonts w:ascii="ITC Avant Garde" w:eastAsia="Calibri" w:hAnsi="ITC Avant Garde" w:cs="Arial"/>
                <w:b/>
                <w:bCs/>
                <w:color w:val="000000" w:themeColor="text1"/>
                <w:sz w:val="18"/>
                <w:szCs w:val="18"/>
              </w:rPr>
              <w:t>Párrafo 7</w:t>
            </w:r>
          </w:p>
        </w:tc>
        <w:tc>
          <w:tcPr>
            <w:tcW w:w="1966" w:type="pct"/>
            <w:shd w:val="clear" w:color="auto" w:fill="auto"/>
          </w:tcPr>
          <w:p w14:paraId="418DE977" w14:textId="68B3FA43" w:rsidR="00460312" w:rsidRPr="00971047" w:rsidRDefault="00460312" w:rsidP="00E6423E">
            <w:pPr>
              <w:spacing w:line="276" w:lineRule="auto"/>
              <w:jc w:val="both"/>
              <w:rPr>
                <w:rFonts w:ascii="ITC Avant Garde" w:hAnsi="ITC Avant Garde" w:cs="Arial"/>
                <w:i/>
                <w:color w:val="000000"/>
                <w:sz w:val="18"/>
                <w:szCs w:val="18"/>
              </w:rPr>
            </w:pPr>
            <w:r w:rsidRPr="00971047">
              <w:rPr>
                <w:rFonts w:ascii="ITC Avant Garde" w:hAnsi="ITC Avant Garde" w:cs="Arial"/>
                <w:i/>
                <w:color w:val="000000"/>
                <w:sz w:val="18"/>
                <w:szCs w:val="18"/>
              </w:rPr>
              <w:t xml:space="preserve">Los datos solicitados no es información con la que necesariamente cuenten los agentes económicos interesados. Su disponibilidad para entrega deberá ser evaluada en los límites que permitan las diferentes disposiciones legales que </w:t>
            </w:r>
            <w:r w:rsidRPr="00971047">
              <w:t xml:space="preserve"> </w:t>
            </w:r>
            <w:r w:rsidRPr="00971047">
              <w:rPr>
                <w:rFonts w:ascii="ITC Avant Garde" w:hAnsi="ITC Avant Garde" w:cs="Arial"/>
                <w:i/>
                <w:color w:val="000000"/>
                <w:sz w:val="18"/>
                <w:szCs w:val="18"/>
              </w:rPr>
              <w:t xml:space="preserve">resulten aplicables, lo anterior desde luego sin menoscabo de las medidas protectoras y </w:t>
            </w:r>
            <w:r w:rsidRPr="00971047">
              <w:rPr>
                <w:rFonts w:ascii="ITC Avant Garde" w:hAnsi="ITC Avant Garde" w:cs="Arial"/>
                <w:i/>
                <w:color w:val="000000"/>
                <w:sz w:val="18"/>
                <w:szCs w:val="18"/>
              </w:rPr>
              <w:lastRenderedPageBreak/>
              <w:t>promotoras en materia de competencia económica incorporadas en las Bases.</w:t>
            </w:r>
          </w:p>
        </w:tc>
        <w:tc>
          <w:tcPr>
            <w:tcW w:w="1992" w:type="pct"/>
            <w:shd w:val="clear" w:color="auto" w:fill="FFFFFF" w:themeFill="background1"/>
          </w:tcPr>
          <w:p w14:paraId="2940A354" w14:textId="1CB9D66C" w:rsidR="006E6BDD" w:rsidRPr="00971047" w:rsidRDefault="00361AA6" w:rsidP="00741106">
            <w:pPr>
              <w:autoSpaceDE w:val="0"/>
              <w:autoSpaceDN w:val="0"/>
              <w:adjustRightInd w:val="0"/>
              <w:spacing w:before="120" w:after="120" w:line="276" w:lineRule="auto"/>
              <w:jc w:val="both"/>
              <w:rPr>
                <w:rFonts w:ascii="ITC Avant Garde" w:hAnsi="ITC Avant Garde" w:cs="Helvetica"/>
                <w:sz w:val="18"/>
                <w:szCs w:val="18"/>
              </w:rPr>
            </w:pPr>
            <w:r w:rsidRPr="00971047">
              <w:rPr>
                <w:rFonts w:ascii="ITC Avant Garde" w:hAnsi="ITC Avant Garde"/>
                <w:sz w:val="18"/>
                <w:szCs w:val="18"/>
              </w:rPr>
              <w:lastRenderedPageBreak/>
              <w:t xml:space="preserve">Con relación al comentario de </w:t>
            </w:r>
            <w:r w:rsidRPr="00971047">
              <w:rPr>
                <w:rFonts w:ascii="ITC Avant Garde" w:hAnsi="ITC Avant Garde"/>
                <w:b/>
                <w:sz w:val="18"/>
                <w:szCs w:val="18"/>
              </w:rPr>
              <w:t xml:space="preserve">Radiomóvil Dipsa, S.A. de C.V.  </w:t>
            </w:r>
            <w:r w:rsidRPr="00971047">
              <w:rPr>
                <w:rFonts w:ascii="ITC Avant Garde" w:hAnsi="ITC Avant Garde"/>
                <w:sz w:val="18"/>
                <w:szCs w:val="18"/>
              </w:rPr>
              <w:t xml:space="preserve">relativo a la </w:t>
            </w:r>
            <w:r w:rsidR="00551210" w:rsidRPr="00971047">
              <w:rPr>
                <w:rFonts w:ascii="ITC Avant Garde" w:hAnsi="ITC Avant Garde"/>
                <w:sz w:val="18"/>
                <w:szCs w:val="18"/>
              </w:rPr>
              <w:t>entrega</w:t>
            </w:r>
            <w:r w:rsidRPr="00971047">
              <w:rPr>
                <w:rFonts w:ascii="ITC Avant Garde" w:hAnsi="ITC Avant Garde"/>
                <w:sz w:val="18"/>
                <w:szCs w:val="18"/>
              </w:rPr>
              <w:t xml:space="preserve"> de </w:t>
            </w:r>
            <w:r w:rsidR="00551210" w:rsidRPr="00971047">
              <w:rPr>
                <w:rFonts w:ascii="ITC Avant Garde" w:hAnsi="ITC Avant Garde"/>
                <w:sz w:val="18"/>
                <w:szCs w:val="18"/>
              </w:rPr>
              <w:t>información señalada en el Apéndice E y, en particular, a</w:t>
            </w:r>
            <w:r w:rsidRPr="00971047">
              <w:rPr>
                <w:rFonts w:ascii="ITC Avant Garde" w:hAnsi="ITC Avant Garde"/>
                <w:sz w:val="18"/>
                <w:szCs w:val="18"/>
              </w:rPr>
              <w:t xml:space="preserve"> que </w:t>
            </w:r>
            <w:r w:rsidR="00551210" w:rsidRPr="00971047">
              <w:rPr>
                <w:rFonts w:ascii="ITC Avant Garde" w:hAnsi="ITC Avant Garde"/>
                <w:sz w:val="18"/>
                <w:szCs w:val="18"/>
              </w:rPr>
              <w:t xml:space="preserve">su disponibilidad de entrega </w:t>
            </w:r>
            <w:r w:rsidRPr="00971047">
              <w:rPr>
                <w:rFonts w:ascii="ITC Avant Garde" w:hAnsi="ITC Avant Garde"/>
                <w:sz w:val="18"/>
                <w:szCs w:val="18"/>
              </w:rPr>
              <w:t xml:space="preserve">debe ser </w:t>
            </w:r>
            <w:r w:rsidR="00551210" w:rsidRPr="00971047">
              <w:rPr>
                <w:rFonts w:ascii="ITC Avant Garde" w:hAnsi="ITC Avant Garde"/>
                <w:sz w:val="18"/>
                <w:szCs w:val="18"/>
              </w:rPr>
              <w:t>evaluada en los límites que permitan las diferentes disposiciones legales aplicables</w:t>
            </w:r>
            <w:r w:rsidRPr="00971047">
              <w:rPr>
                <w:rFonts w:ascii="ITC Avant Garde" w:hAnsi="ITC Avant Garde"/>
                <w:sz w:val="18"/>
                <w:szCs w:val="18"/>
              </w:rPr>
              <w:t xml:space="preserve">,   </w:t>
            </w:r>
            <w:r w:rsidR="006E6BDD" w:rsidRPr="00971047">
              <w:rPr>
                <w:rFonts w:ascii="ITC Avant Garde" w:hAnsi="ITC Avant Garde" w:cs="Helvetica"/>
                <w:sz w:val="18"/>
                <w:szCs w:val="18"/>
              </w:rPr>
              <w:t xml:space="preserve"> </w:t>
            </w:r>
            <w:r w:rsidR="000623F9" w:rsidRPr="00971047">
              <w:rPr>
                <w:rFonts w:ascii="ITC Avant Garde" w:hAnsi="ITC Avant Garde" w:cs="Helvetica"/>
                <w:sz w:val="18"/>
                <w:szCs w:val="18"/>
              </w:rPr>
              <w:t xml:space="preserve">se hace de su conocimiento que los </w:t>
            </w:r>
            <w:r w:rsidR="00971047" w:rsidRPr="00971047">
              <w:rPr>
                <w:rFonts w:ascii="ITC Avant Garde" w:hAnsi="ITC Avant Garde" w:cs="Helvetica"/>
                <w:sz w:val="18"/>
                <w:szCs w:val="18"/>
              </w:rPr>
              <w:t>interesados</w:t>
            </w:r>
            <w:r w:rsidR="000623F9" w:rsidRPr="00971047">
              <w:rPr>
                <w:rFonts w:ascii="ITC Avant Garde" w:hAnsi="ITC Avant Garde" w:cs="Helvetica"/>
                <w:sz w:val="18"/>
                <w:szCs w:val="18"/>
              </w:rPr>
              <w:t xml:space="preserve"> serán </w:t>
            </w:r>
            <w:r w:rsidR="006E6BDD" w:rsidRPr="00971047">
              <w:rPr>
                <w:rFonts w:ascii="ITC Avant Garde" w:hAnsi="ITC Avant Garde" w:cs="Helvetica"/>
                <w:sz w:val="18"/>
                <w:szCs w:val="18"/>
              </w:rPr>
              <w:t xml:space="preserve"> evaluados por esta autoridad, según el marco establecido por los </w:t>
            </w:r>
            <w:r w:rsidR="006E6BDD" w:rsidRPr="00971047">
              <w:rPr>
                <w:rFonts w:ascii="ITC Avant Garde" w:hAnsi="ITC Avant Garde" w:cs="Helvetica"/>
                <w:sz w:val="18"/>
                <w:szCs w:val="18"/>
              </w:rPr>
              <w:lastRenderedPageBreak/>
              <w:t>artículos 63 y 64 de la L</w:t>
            </w:r>
            <w:r w:rsidR="00971047" w:rsidRPr="00971047">
              <w:rPr>
                <w:rFonts w:ascii="ITC Avant Garde" w:hAnsi="ITC Avant Garde" w:cs="Helvetica"/>
                <w:sz w:val="18"/>
                <w:szCs w:val="18"/>
              </w:rPr>
              <w:t xml:space="preserve">ey </w:t>
            </w:r>
            <w:r w:rsidR="006E6BDD" w:rsidRPr="00971047">
              <w:rPr>
                <w:rFonts w:ascii="ITC Avant Garde" w:hAnsi="ITC Avant Garde" w:cs="Helvetica"/>
                <w:sz w:val="18"/>
                <w:szCs w:val="18"/>
              </w:rPr>
              <w:t>F</w:t>
            </w:r>
            <w:r w:rsidR="00971047" w:rsidRPr="00971047">
              <w:rPr>
                <w:rFonts w:ascii="ITC Avant Garde" w:hAnsi="ITC Avant Garde" w:cs="Helvetica"/>
                <w:sz w:val="18"/>
                <w:szCs w:val="18"/>
              </w:rPr>
              <w:t xml:space="preserve">ederal de </w:t>
            </w:r>
            <w:r w:rsidR="006E6BDD" w:rsidRPr="00971047">
              <w:rPr>
                <w:rFonts w:ascii="ITC Avant Garde" w:hAnsi="ITC Avant Garde" w:cs="Helvetica"/>
                <w:sz w:val="18"/>
                <w:szCs w:val="18"/>
              </w:rPr>
              <w:t>C</w:t>
            </w:r>
            <w:r w:rsidR="00971047" w:rsidRPr="00971047">
              <w:rPr>
                <w:rFonts w:ascii="ITC Avant Garde" w:hAnsi="ITC Avant Garde" w:cs="Helvetica"/>
                <w:sz w:val="18"/>
                <w:szCs w:val="18"/>
              </w:rPr>
              <w:t xml:space="preserve">ompetencia </w:t>
            </w:r>
            <w:r w:rsidR="006E6BDD" w:rsidRPr="00971047">
              <w:rPr>
                <w:rFonts w:ascii="ITC Avant Garde" w:hAnsi="ITC Avant Garde" w:cs="Helvetica"/>
                <w:sz w:val="18"/>
                <w:szCs w:val="18"/>
              </w:rPr>
              <w:t>E</w:t>
            </w:r>
            <w:r w:rsidR="00971047" w:rsidRPr="00971047">
              <w:rPr>
                <w:rFonts w:ascii="ITC Avant Garde" w:hAnsi="ITC Avant Garde" w:cs="Helvetica"/>
                <w:sz w:val="18"/>
                <w:szCs w:val="18"/>
              </w:rPr>
              <w:t>conómica (LFCE)</w:t>
            </w:r>
            <w:r w:rsidR="006E6BDD" w:rsidRPr="00971047">
              <w:rPr>
                <w:rFonts w:ascii="ITC Avant Garde" w:hAnsi="ITC Avant Garde" w:cs="Helvetica"/>
                <w:sz w:val="18"/>
                <w:szCs w:val="18"/>
              </w:rPr>
              <w:t>, mismos que establecen los elementos a analizar para prevenir fenómenos de concentración que afecten la competencia económica en el mercado.</w:t>
            </w:r>
          </w:p>
          <w:p w14:paraId="2EF7CCCD" w14:textId="053269F0" w:rsidR="000623F9" w:rsidRPr="00971047" w:rsidRDefault="000623F9" w:rsidP="00741106">
            <w:pPr>
              <w:autoSpaceDE w:val="0"/>
              <w:autoSpaceDN w:val="0"/>
              <w:adjustRightInd w:val="0"/>
              <w:spacing w:before="120" w:after="120" w:line="276" w:lineRule="auto"/>
              <w:jc w:val="both"/>
              <w:rPr>
                <w:rFonts w:ascii="ITC Avant Garde" w:hAnsi="ITC Avant Garde" w:cs="Helvetica"/>
                <w:sz w:val="18"/>
                <w:szCs w:val="18"/>
              </w:rPr>
            </w:pPr>
            <w:r w:rsidRPr="00971047">
              <w:rPr>
                <w:rFonts w:ascii="ITC Avant Garde" w:hAnsi="ITC Avant Garde" w:cs="Helvetica"/>
                <w:sz w:val="18"/>
                <w:szCs w:val="18"/>
              </w:rPr>
              <w:t>En este sentido</w:t>
            </w:r>
            <w:r w:rsidR="00971047" w:rsidRPr="00971047">
              <w:rPr>
                <w:rFonts w:ascii="ITC Avant Garde" w:hAnsi="ITC Avant Garde" w:cs="Helvetica"/>
                <w:sz w:val="18"/>
                <w:szCs w:val="18"/>
              </w:rPr>
              <w:t>,</w:t>
            </w:r>
            <w:r w:rsidRPr="00971047">
              <w:rPr>
                <w:rFonts w:ascii="ITC Avant Garde" w:hAnsi="ITC Avant Garde" w:cs="Helvetica"/>
                <w:sz w:val="18"/>
                <w:szCs w:val="18"/>
              </w:rPr>
              <w:t xml:space="preserve"> se requiere </w:t>
            </w:r>
            <w:r w:rsidRPr="00971047">
              <w:rPr>
                <w:rFonts w:ascii="ITC Avant Garde" w:hAnsi="ITC Avant Garde"/>
                <w:sz w:val="18"/>
                <w:szCs w:val="18"/>
              </w:rPr>
              <w:t xml:space="preserve">analizar la participación, directa o indirecta, de los involucrados o </w:t>
            </w:r>
            <w:r w:rsidR="00971047" w:rsidRPr="00971047">
              <w:rPr>
                <w:rFonts w:ascii="ITC Avant Garde" w:hAnsi="ITC Avant Garde"/>
                <w:sz w:val="18"/>
                <w:szCs w:val="18"/>
              </w:rPr>
              <w:t>i</w:t>
            </w:r>
            <w:r w:rsidRPr="00971047">
              <w:rPr>
                <w:rFonts w:ascii="ITC Avant Garde" w:hAnsi="ITC Avant Garde"/>
                <w:sz w:val="18"/>
                <w:szCs w:val="18"/>
              </w:rPr>
              <w:t xml:space="preserve">nteresados en otros agentes económicos y la participación, directa o indirecta, de otros agentes económicos en los involucrados </w:t>
            </w:r>
            <w:r w:rsidRPr="00971047">
              <w:rPr>
                <w:rFonts w:ascii="ITC Avant Garde" w:hAnsi="ITC Avant Garde" w:cs="Helvetica"/>
                <w:sz w:val="18"/>
                <w:szCs w:val="18"/>
              </w:rPr>
              <w:t xml:space="preserve">(ver fracciones III y IV, del artículo 63, de la LFCE). </w:t>
            </w:r>
            <w:r w:rsidRPr="00971047">
              <w:rPr>
                <w:rFonts w:ascii="ITC Avant Garde" w:hAnsi="ITC Avant Garde"/>
                <w:sz w:val="18"/>
                <w:szCs w:val="18"/>
              </w:rPr>
              <w:t xml:space="preserve">Es de precisar que los </w:t>
            </w:r>
            <w:r w:rsidR="00971047" w:rsidRPr="00971047">
              <w:rPr>
                <w:rFonts w:ascii="ITC Avant Garde" w:hAnsi="ITC Avant Garde"/>
                <w:sz w:val="18"/>
                <w:szCs w:val="18"/>
              </w:rPr>
              <w:t xml:space="preserve">relacionados accionistas son agentes económicos que participan, directa </w:t>
            </w:r>
            <w:r w:rsidRPr="00971047">
              <w:rPr>
                <w:rFonts w:ascii="ITC Avant Garde" w:hAnsi="ITC Avant Garde"/>
                <w:sz w:val="18"/>
                <w:szCs w:val="18"/>
              </w:rPr>
              <w:t>o indirectamente, en los Interesados, lo cual se reitera debe identificarse y evaluarse por el Instituto, en términos del artículo 63 fracciones III y IV de la LFCE, respecto a los efectos que esa participación provoca sobre la competencia económica.</w:t>
            </w:r>
            <w:r w:rsidRPr="00971047">
              <w:rPr>
                <w:rFonts w:ascii="ITC Avant Garde" w:hAnsi="ITC Avant Garde" w:cs="Helvetica"/>
                <w:sz w:val="18"/>
                <w:szCs w:val="18"/>
              </w:rPr>
              <w:t xml:space="preserve"> </w:t>
            </w:r>
          </w:p>
          <w:p w14:paraId="7378A5D8" w14:textId="56F7B0B3" w:rsidR="000623F9" w:rsidRPr="00971047" w:rsidRDefault="00325258" w:rsidP="00741106">
            <w:pPr>
              <w:autoSpaceDE w:val="0"/>
              <w:autoSpaceDN w:val="0"/>
              <w:adjustRightInd w:val="0"/>
              <w:spacing w:before="120" w:after="120" w:line="276" w:lineRule="auto"/>
              <w:jc w:val="both"/>
              <w:rPr>
                <w:rFonts w:ascii="ITC Avant Garde" w:hAnsi="ITC Avant Garde" w:cs="Helvetica"/>
                <w:sz w:val="18"/>
                <w:szCs w:val="18"/>
              </w:rPr>
            </w:pPr>
            <w:r w:rsidRPr="00971047">
              <w:rPr>
                <w:rFonts w:ascii="ITC Avant Garde" w:hAnsi="ITC Avant Garde" w:cs="Helvetica"/>
                <w:sz w:val="18"/>
                <w:szCs w:val="18"/>
              </w:rPr>
              <w:t>Conforme a</w:t>
            </w:r>
            <w:r w:rsidR="000623F9" w:rsidRPr="00971047">
              <w:rPr>
                <w:rFonts w:ascii="ITC Avant Garde" w:hAnsi="ITC Avant Garde" w:cs="Helvetica"/>
                <w:sz w:val="18"/>
                <w:szCs w:val="18"/>
              </w:rPr>
              <w:t xml:space="preserve"> la información que se solicita, se entiende accesible al </w:t>
            </w:r>
            <w:r w:rsidR="00971047" w:rsidRPr="00971047">
              <w:rPr>
                <w:rFonts w:ascii="ITC Avant Garde" w:hAnsi="ITC Avant Garde" w:cs="Helvetica"/>
                <w:sz w:val="18"/>
                <w:szCs w:val="18"/>
              </w:rPr>
              <w:t>i</w:t>
            </w:r>
            <w:r w:rsidR="000623F9" w:rsidRPr="00971047">
              <w:rPr>
                <w:rFonts w:ascii="ITC Avant Garde" w:hAnsi="ITC Avant Garde" w:cs="Helvetica"/>
                <w:sz w:val="18"/>
                <w:szCs w:val="18"/>
              </w:rPr>
              <w:t>nteresado, derivado de los vínculos que pudiera mantener con los agentes económicos relacionados. No obstante, de contar con alguna imposibilidad para presentar la información en los términos que se solicita, deberá exponer las razones y acreditar</w:t>
            </w:r>
            <w:r w:rsidR="000623F9" w:rsidRPr="00971047">
              <w:rPr>
                <w:rFonts w:ascii="ITC Avant Garde" w:hAnsi="ITC Avant Garde"/>
                <w:sz w:val="18"/>
                <w:szCs w:val="18"/>
              </w:rPr>
              <w:t>, a satisfacción del Instituto</w:t>
            </w:r>
            <w:r w:rsidR="000623F9" w:rsidRPr="00971047">
              <w:rPr>
                <w:rFonts w:ascii="ITC Avant Garde" w:hAnsi="ITC Avant Garde" w:cs="Helvetica"/>
                <w:sz w:val="18"/>
                <w:szCs w:val="18"/>
              </w:rPr>
              <w:t>, dicha imposibilidad jurídica o de hecho.</w:t>
            </w:r>
          </w:p>
          <w:p w14:paraId="7C424588" w14:textId="56420B5F" w:rsidR="00460312" w:rsidRDefault="000623F9" w:rsidP="00741106">
            <w:pPr>
              <w:autoSpaceDE w:val="0"/>
              <w:autoSpaceDN w:val="0"/>
              <w:adjustRightInd w:val="0"/>
              <w:spacing w:before="120" w:after="120" w:line="276" w:lineRule="auto"/>
              <w:jc w:val="both"/>
              <w:rPr>
                <w:rFonts w:ascii="ITC Avant Garde" w:hAnsi="ITC Avant Garde"/>
                <w:sz w:val="18"/>
                <w:szCs w:val="18"/>
              </w:rPr>
            </w:pPr>
            <w:r w:rsidRPr="00971047">
              <w:rPr>
                <w:rFonts w:ascii="ITC Avant Garde" w:hAnsi="ITC Avant Garde" w:cs="Helvetica"/>
                <w:sz w:val="18"/>
                <w:szCs w:val="18"/>
              </w:rPr>
              <w:t xml:space="preserve">De esta manera, debe considerarse que, en caso de que un </w:t>
            </w:r>
            <w:r w:rsidR="00971047" w:rsidRPr="00971047">
              <w:rPr>
                <w:rFonts w:ascii="ITC Avant Garde" w:hAnsi="ITC Avant Garde" w:cs="Helvetica"/>
                <w:sz w:val="18"/>
                <w:szCs w:val="18"/>
              </w:rPr>
              <w:t xml:space="preserve">interesado o participante </w:t>
            </w:r>
            <w:r w:rsidRPr="00971047">
              <w:rPr>
                <w:rFonts w:ascii="ITC Avant Garde" w:hAnsi="ITC Avant Garde" w:cs="Helvetica"/>
                <w:sz w:val="18"/>
                <w:szCs w:val="18"/>
              </w:rPr>
              <w:t>no presente la información solicitada en el Apéndice E, el Instituto no tendrá los elementos necesarios para realizar un análisis completo y exhaustivo en materia de competencia económica.</w:t>
            </w:r>
          </w:p>
        </w:tc>
      </w:tr>
      <w:tr w:rsidR="00460312" w:rsidRPr="00637136" w14:paraId="2192DCDD" w14:textId="77777777" w:rsidTr="009155A1">
        <w:trPr>
          <w:trHeight w:val="290"/>
          <w:tblHeader/>
        </w:trPr>
        <w:tc>
          <w:tcPr>
            <w:tcW w:w="472" w:type="pct"/>
          </w:tcPr>
          <w:p w14:paraId="2BA4C1BD"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3BD06D4B"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45FDB64E" w14:textId="2FBBA669" w:rsidR="00460312" w:rsidRPr="00AB0D17" w:rsidRDefault="00F43A25"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“E”, del proyecto de Bases de Licitación, Inciso g), párrafo 2.</w:t>
            </w:r>
          </w:p>
        </w:tc>
        <w:tc>
          <w:tcPr>
            <w:tcW w:w="1966" w:type="pct"/>
            <w:shd w:val="clear" w:color="auto" w:fill="auto"/>
          </w:tcPr>
          <w:p w14:paraId="3147A2EE" w14:textId="631D3C16" w:rsidR="00460312" w:rsidRPr="00AB0D17" w:rsidRDefault="00F43A25" w:rsidP="00E6423E">
            <w:pPr>
              <w:spacing w:line="276" w:lineRule="auto"/>
              <w:jc w:val="both"/>
              <w:rPr>
                <w:rFonts w:ascii="ITC Avant Garde" w:hAnsi="ITC Avant Garde" w:cs="Arial"/>
                <w:i/>
                <w:color w:val="000000"/>
                <w:sz w:val="18"/>
                <w:szCs w:val="18"/>
              </w:rPr>
            </w:pPr>
            <w:r w:rsidRPr="00CD3BAA">
              <w:rPr>
                <w:rFonts w:ascii="ITC Avant Garde" w:hAnsi="ITC Avant Garde" w:cs="Arial"/>
                <w:i/>
                <w:color w:val="000000"/>
                <w:sz w:val="18"/>
                <w:szCs w:val="18"/>
              </w:rPr>
              <w:t>Se solicita a ese IFT considerar que la “Ley Federal de Transparencia y Acceso a la Información Pública Gubernamental” fue abrogada mediante decreto publicado en el Diario Oficial de la Federación el día 9 de mayo de 2016; actualmente se encuentra en vigor la Ley Federal de Transparencia y Acceso a la Información Pública así como la Ley General de Transparencia y Acceso a la Información Pública.</w:t>
            </w:r>
          </w:p>
        </w:tc>
        <w:tc>
          <w:tcPr>
            <w:tcW w:w="1992" w:type="pct"/>
            <w:shd w:val="clear" w:color="auto" w:fill="FFFFFF" w:themeFill="background1"/>
          </w:tcPr>
          <w:p w14:paraId="24426113" w14:textId="09CE6EDC" w:rsidR="00460312" w:rsidRDefault="00361AA6" w:rsidP="00653E9B">
            <w:pPr>
              <w:spacing w:line="276" w:lineRule="auto"/>
              <w:jc w:val="both"/>
              <w:rPr>
                <w:rFonts w:ascii="ITC Avant Garde" w:hAnsi="ITC Avant Garde"/>
                <w:sz w:val="18"/>
                <w:szCs w:val="18"/>
              </w:rPr>
            </w:pPr>
            <w:r w:rsidRPr="00782D0B">
              <w:rPr>
                <w:rFonts w:ascii="ITC Avant Garde" w:hAnsi="ITC Avant Garde"/>
                <w:sz w:val="18"/>
                <w:szCs w:val="18"/>
              </w:rPr>
              <w:t>Con relación a</w:t>
            </w:r>
            <w:r w:rsidR="00782D0B" w:rsidRPr="00782D0B">
              <w:rPr>
                <w:rFonts w:ascii="ITC Avant Garde" w:hAnsi="ITC Avant Garde"/>
                <w:sz w:val="18"/>
                <w:szCs w:val="18"/>
              </w:rPr>
              <w:t xml:space="preserve"> </w:t>
            </w:r>
            <w:r w:rsidRPr="00782D0B">
              <w:rPr>
                <w:rFonts w:ascii="ITC Avant Garde" w:hAnsi="ITC Avant Garde"/>
                <w:sz w:val="18"/>
                <w:szCs w:val="18"/>
              </w:rPr>
              <w:t>l</w:t>
            </w:r>
            <w:r w:rsidR="00782D0B" w:rsidRPr="00782D0B">
              <w:rPr>
                <w:rFonts w:ascii="ITC Avant Garde" w:hAnsi="ITC Avant Garde"/>
                <w:sz w:val="18"/>
                <w:szCs w:val="18"/>
              </w:rPr>
              <w:t>a</w:t>
            </w:r>
            <w:r w:rsidRPr="00782D0B">
              <w:rPr>
                <w:rFonts w:ascii="ITC Avant Garde" w:hAnsi="ITC Avant Garde"/>
                <w:sz w:val="18"/>
                <w:szCs w:val="18"/>
              </w:rPr>
              <w:t xml:space="preserve"> </w:t>
            </w:r>
            <w:r w:rsidR="00782D0B" w:rsidRPr="00782D0B">
              <w:rPr>
                <w:rFonts w:ascii="ITC Avant Garde" w:hAnsi="ITC Avant Garde"/>
                <w:sz w:val="18"/>
                <w:szCs w:val="18"/>
              </w:rPr>
              <w:t>observación</w:t>
            </w:r>
            <w:r w:rsidRPr="00782D0B">
              <w:rPr>
                <w:rFonts w:ascii="ITC Avant Garde" w:hAnsi="ITC Avant Garde"/>
                <w:sz w:val="18"/>
                <w:szCs w:val="18"/>
              </w:rPr>
              <w:t xml:space="preserve"> de </w:t>
            </w:r>
            <w:r w:rsidRPr="00782D0B">
              <w:rPr>
                <w:rFonts w:ascii="ITC Avant Garde" w:hAnsi="ITC Avant Garde"/>
                <w:b/>
                <w:sz w:val="18"/>
                <w:szCs w:val="18"/>
              </w:rPr>
              <w:t xml:space="preserve">Radiomóvil Dipsa, S.A. de C.V.  </w:t>
            </w:r>
            <w:r w:rsidRPr="00782D0B">
              <w:rPr>
                <w:rFonts w:ascii="ITC Avant Garde" w:hAnsi="ITC Avant Garde"/>
                <w:sz w:val="18"/>
                <w:szCs w:val="18"/>
              </w:rPr>
              <w:t xml:space="preserve">relativo </w:t>
            </w:r>
            <w:r w:rsidR="00782D0B" w:rsidRPr="00782D0B">
              <w:rPr>
                <w:rFonts w:ascii="ITC Avant Garde" w:hAnsi="ITC Avant Garde"/>
                <w:sz w:val="18"/>
                <w:szCs w:val="18"/>
              </w:rPr>
              <w:t>a la Ley Federal de Transparencia y Acceso a la Información Pública Gubernamental</w:t>
            </w:r>
            <w:r w:rsidR="00971047">
              <w:rPr>
                <w:rFonts w:ascii="ITC Avant Garde" w:hAnsi="ITC Avant Garde"/>
                <w:sz w:val="18"/>
                <w:szCs w:val="18"/>
              </w:rPr>
              <w:t xml:space="preserve">, </w:t>
            </w:r>
            <w:r w:rsidR="00782D0B" w:rsidRPr="00782D0B">
              <w:rPr>
                <w:rFonts w:ascii="ITC Avant Garde" w:hAnsi="ITC Avant Garde"/>
                <w:sz w:val="18"/>
                <w:szCs w:val="18"/>
              </w:rPr>
              <w:t>se toma en consideración su comentario</w:t>
            </w:r>
            <w:r w:rsidR="00325258">
              <w:rPr>
                <w:rFonts w:ascii="ITC Avant Garde" w:hAnsi="ITC Avant Garde"/>
                <w:sz w:val="18"/>
                <w:szCs w:val="18"/>
              </w:rPr>
              <w:t xml:space="preserve"> para la actualización que sea pertinente.</w:t>
            </w:r>
          </w:p>
        </w:tc>
      </w:tr>
      <w:tr w:rsidR="00460312" w:rsidRPr="00637136" w14:paraId="7832C612" w14:textId="77777777" w:rsidTr="009155A1">
        <w:trPr>
          <w:trHeight w:val="290"/>
          <w:tblHeader/>
        </w:trPr>
        <w:tc>
          <w:tcPr>
            <w:tcW w:w="472" w:type="pct"/>
          </w:tcPr>
          <w:p w14:paraId="6804C5F2"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6C721DDB"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70F048ED" w14:textId="49DF250C" w:rsidR="00460312" w:rsidRPr="00AB0D17" w:rsidRDefault="00F43A25"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“E”, del proyecto de Bases de Licitación, Inciso h)</w:t>
            </w:r>
          </w:p>
        </w:tc>
        <w:tc>
          <w:tcPr>
            <w:tcW w:w="1966" w:type="pct"/>
            <w:shd w:val="clear" w:color="auto" w:fill="auto"/>
          </w:tcPr>
          <w:p w14:paraId="4D2AA6E8" w14:textId="61FB9F45" w:rsidR="00460312" w:rsidRPr="00AB0D17" w:rsidRDefault="00F43A25" w:rsidP="00E6423E">
            <w:pPr>
              <w:spacing w:line="276" w:lineRule="auto"/>
              <w:jc w:val="both"/>
              <w:rPr>
                <w:rFonts w:ascii="ITC Avant Garde" w:hAnsi="ITC Avant Garde" w:cs="Arial"/>
                <w:i/>
                <w:color w:val="000000"/>
                <w:sz w:val="18"/>
                <w:szCs w:val="18"/>
              </w:rPr>
            </w:pPr>
            <w:r w:rsidRPr="00CD3BAA">
              <w:rPr>
                <w:rFonts w:ascii="ITC Avant Garde" w:hAnsi="ITC Avant Garde" w:cs="Arial"/>
                <w:i/>
                <w:color w:val="000000"/>
                <w:sz w:val="18"/>
                <w:szCs w:val="18"/>
              </w:rPr>
              <w:t>Igualmente se solicita a ese IFT considerar que los números telefónicos destinados a la atención de dudas, orientaciones y consultas, son distintos que los destinados para la concertación de citas para los mismos efectos.</w:t>
            </w:r>
          </w:p>
        </w:tc>
        <w:tc>
          <w:tcPr>
            <w:tcW w:w="1992" w:type="pct"/>
            <w:shd w:val="clear" w:color="auto" w:fill="FFFFFF" w:themeFill="background1"/>
          </w:tcPr>
          <w:p w14:paraId="7851E107" w14:textId="1B23D69E" w:rsidR="00460312" w:rsidRDefault="00F30696" w:rsidP="00B33557">
            <w:pPr>
              <w:spacing w:line="276" w:lineRule="auto"/>
              <w:jc w:val="both"/>
              <w:rPr>
                <w:rFonts w:ascii="ITC Avant Garde" w:hAnsi="ITC Avant Garde"/>
                <w:sz w:val="18"/>
                <w:szCs w:val="18"/>
              </w:rPr>
            </w:pPr>
            <w:r w:rsidRPr="00782D0B">
              <w:rPr>
                <w:rFonts w:ascii="ITC Avant Garde" w:hAnsi="ITC Avant Garde"/>
                <w:sz w:val="18"/>
                <w:szCs w:val="18"/>
              </w:rPr>
              <w:t xml:space="preserve">Con relación a la observación de </w:t>
            </w:r>
            <w:r w:rsidRPr="00782D0B">
              <w:rPr>
                <w:rFonts w:ascii="ITC Avant Garde" w:hAnsi="ITC Avant Garde"/>
                <w:b/>
                <w:sz w:val="18"/>
                <w:szCs w:val="18"/>
              </w:rPr>
              <w:t xml:space="preserve">Radiomóvil Dipsa, S.A. de C.V.  </w:t>
            </w:r>
            <w:r w:rsidRPr="00782D0B">
              <w:rPr>
                <w:rFonts w:ascii="ITC Avant Garde" w:hAnsi="ITC Avant Garde"/>
                <w:sz w:val="18"/>
                <w:szCs w:val="18"/>
              </w:rPr>
              <w:t xml:space="preserve">relativo a </w:t>
            </w:r>
            <w:r>
              <w:rPr>
                <w:rFonts w:ascii="ITC Avant Garde" w:hAnsi="ITC Avant Garde"/>
                <w:sz w:val="18"/>
                <w:szCs w:val="18"/>
              </w:rPr>
              <w:t>los números telefónicos señalados en el Apéndice E</w:t>
            </w:r>
            <w:r w:rsidRPr="00782D0B">
              <w:rPr>
                <w:rFonts w:ascii="ITC Avant Garde" w:hAnsi="ITC Avant Garde"/>
                <w:sz w:val="18"/>
                <w:szCs w:val="18"/>
              </w:rPr>
              <w:t>,   se toma en consideración su comentario.</w:t>
            </w:r>
          </w:p>
        </w:tc>
      </w:tr>
      <w:tr w:rsidR="00460312" w:rsidRPr="00637136" w14:paraId="25597757" w14:textId="77777777" w:rsidTr="009155A1">
        <w:trPr>
          <w:trHeight w:val="290"/>
          <w:tblHeader/>
        </w:trPr>
        <w:tc>
          <w:tcPr>
            <w:tcW w:w="472" w:type="pct"/>
          </w:tcPr>
          <w:p w14:paraId="1D3FE986"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t xml:space="preserve">Radiomóvil Dipsa, S.A. de C.V.  </w:t>
            </w:r>
          </w:p>
          <w:p w14:paraId="4436FE9C"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0CD27520" w14:textId="1F12CC3F" w:rsidR="00460312" w:rsidRPr="00AB0D17" w:rsidRDefault="00F43A25"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“E”, del proyecto de Bases de Licitación, Numeral 5</w:t>
            </w:r>
          </w:p>
        </w:tc>
        <w:tc>
          <w:tcPr>
            <w:tcW w:w="1966" w:type="pct"/>
            <w:shd w:val="clear" w:color="auto" w:fill="auto"/>
          </w:tcPr>
          <w:p w14:paraId="00E406EC" w14:textId="3A785BEE" w:rsidR="00460312" w:rsidRPr="00971047" w:rsidRDefault="00F43A25" w:rsidP="00E6423E">
            <w:pPr>
              <w:spacing w:line="276" w:lineRule="auto"/>
              <w:jc w:val="both"/>
              <w:rPr>
                <w:rFonts w:ascii="ITC Avant Garde" w:hAnsi="ITC Avant Garde" w:cs="Arial"/>
                <w:i/>
                <w:color w:val="000000"/>
                <w:sz w:val="18"/>
                <w:szCs w:val="18"/>
              </w:rPr>
            </w:pPr>
            <w:r w:rsidRPr="00971047">
              <w:rPr>
                <w:rFonts w:ascii="ITC Avant Garde" w:hAnsi="ITC Avant Garde" w:cs="Arial"/>
                <w:i/>
                <w:color w:val="000000"/>
                <w:sz w:val="18"/>
                <w:szCs w:val="18"/>
              </w:rPr>
              <w:t>Respetuosamente consideramos que ese Instituto debe solamente referirse a las participaciones que los agentes relacionados tengan en empresas de telecomunicaciones y/o radiodifusión, lo anterior considerando el numeral 5.1.</w:t>
            </w:r>
          </w:p>
        </w:tc>
        <w:tc>
          <w:tcPr>
            <w:tcW w:w="1992" w:type="pct"/>
            <w:shd w:val="clear" w:color="auto" w:fill="FFFFFF" w:themeFill="background1"/>
          </w:tcPr>
          <w:p w14:paraId="3A2D08B1" w14:textId="4AEA19A7" w:rsidR="00653E9B" w:rsidRPr="00971047" w:rsidRDefault="00361AA6" w:rsidP="00971047">
            <w:pPr>
              <w:autoSpaceDE w:val="0"/>
              <w:autoSpaceDN w:val="0"/>
              <w:adjustRightInd w:val="0"/>
              <w:spacing w:before="120" w:after="120" w:line="276" w:lineRule="auto"/>
              <w:jc w:val="both"/>
              <w:rPr>
                <w:rFonts w:ascii="ITC Avant Garde" w:hAnsi="ITC Avant Garde" w:cs="Helvetica"/>
                <w:sz w:val="18"/>
                <w:szCs w:val="18"/>
              </w:rPr>
            </w:pPr>
            <w:r w:rsidRPr="00971047">
              <w:rPr>
                <w:rFonts w:ascii="ITC Avant Garde" w:hAnsi="ITC Avant Garde"/>
                <w:sz w:val="18"/>
                <w:szCs w:val="18"/>
              </w:rPr>
              <w:t xml:space="preserve">Con relación al comentario de </w:t>
            </w:r>
            <w:r w:rsidRPr="00971047">
              <w:rPr>
                <w:rFonts w:ascii="ITC Avant Garde" w:hAnsi="ITC Avant Garde"/>
                <w:b/>
                <w:sz w:val="18"/>
                <w:szCs w:val="18"/>
              </w:rPr>
              <w:t xml:space="preserve">Radiomóvil Dipsa, S.A. de C.V.  </w:t>
            </w:r>
            <w:r w:rsidRPr="00971047">
              <w:rPr>
                <w:rFonts w:ascii="ITC Avant Garde" w:hAnsi="ITC Avant Garde"/>
                <w:sz w:val="18"/>
                <w:szCs w:val="18"/>
              </w:rPr>
              <w:t xml:space="preserve">relativo </w:t>
            </w:r>
            <w:r w:rsidR="00F30696" w:rsidRPr="00971047">
              <w:rPr>
                <w:rFonts w:ascii="ITC Avant Garde" w:hAnsi="ITC Avant Garde"/>
                <w:sz w:val="18"/>
                <w:szCs w:val="18"/>
              </w:rPr>
              <w:t>al numeral 5.1 del Apéndice E, en el cual señala que solo debe referirse a las participaciones que los agentes relacionados tengan en empresas de telecomunicaciones y/o radiodifusión</w:t>
            </w:r>
            <w:r w:rsidR="00971047" w:rsidRPr="00971047">
              <w:rPr>
                <w:rFonts w:ascii="ITC Avant Garde" w:hAnsi="ITC Avant Garde"/>
                <w:sz w:val="18"/>
                <w:szCs w:val="18"/>
              </w:rPr>
              <w:t>,</w:t>
            </w:r>
            <w:r w:rsidR="00653E9B" w:rsidRPr="00971047">
              <w:rPr>
                <w:rFonts w:ascii="ITC Avant Garde" w:hAnsi="ITC Avant Garde"/>
                <w:sz w:val="18"/>
                <w:szCs w:val="18"/>
              </w:rPr>
              <w:t xml:space="preserve"> se hace de su conocimiento que la información requerida tiene</w:t>
            </w:r>
            <w:r w:rsidR="00653E9B" w:rsidRPr="00971047">
              <w:rPr>
                <w:rFonts w:ascii="ITC Avant Garde" w:hAnsi="ITC Avant Garde" w:cs="Helvetica"/>
                <w:sz w:val="18"/>
                <w:szCs w:val="18"/>
              </w:rPr>
              <w:t xml:space="preserve"> la finalidad de analizar los elementos de análisis establecidos en los artículos 63 y 64 de la LFCE. </w:t>
            </w:r>
          </w:p>
          <w:p w14:paraId="6CB3485D" w14:textId="74D45C88" w:rsidR="00653E9B" w:rsidRPr="00971047" w:rsidRDefault="00653E9B" w:rsidP="00971047">
            <w:pPr>
              <w:autoSpaceDE w:val="0"/>
              <w:autoSpaceDN w:val="0"/>
              <w:adjustRightInd w:val="0"/>
              <w:spacing w:before="120" w:after="120" w:line="276" w:lineRule="auto"/>
              <w:jc w:val="both"/>
              <w:rPr>
                <w:rFonts w:ascii="ITC Avant Garde" w:hAnsi="ITC Avant Garde" w:cs="Helvetica"/>
                <w:sz w:val="18"/>
                <w:szCs w:val="18"/>
              </w:rPr>
            </w:pPr>
            <w:r w:rsidRPr="00971047">
              <w:rPr>
                <w:rFonts w:ascii="ITC Avant Garde" w:hAnsi="ITC Avant Garde" w:cs="Helvetica"/>
                <w:sz w:val="18"/>
                <w:szCs w:val="18"/>
              </w:rPr>
              <w:t xml:space="preserve">Dichos artículos requieren el análisis de los efectos en materia de competencia, considerando los agentes económicos que forman parte de un mismo GIE, así como aquéllos relacionados </w:t>
            </w:r>
            <w:r w:rsidRPr="00971047">
              <w:rPr>
                <w:rFonts w:ascii="ITC Avant Garde" w:hAnsi="ITC Avant Garde"/>
                <w:sz w:val="18"/>
                <w:szCs w:val="18"/>
              </w:rPr>
              <w:t>—es decir,</w:t>
            </w:r>
            <w:r w:rsidRPr="00971047">
              <w:rPr>
                <w:rFonts w:ascii="ITC Avant Garde" w:hAnsi="ITC Avant Garde" w:cs="Helvetica"/>
                <w:sz w:val="18"/>
                <w:szCs w:val="18"/>
              </w:rPr>
              <w:t xml:space="preserve"> con los que mantiene un vínculo de tipo comercial, organizativo, económico o jurídico</w:t>
            </w:r>
            <w:r w:rsidRPr="00971047">
              <w:rPr>
                <w:rFonts w:ascii="ITC Avant Garde" w:hAnsi="ITC Avant Garde"/>
                <w:sz w:val="18"/>
                <w:szCs w:val="18"/>
              </w:rPr>
              <w:t xml:space="preserve">—, lo que incluye analizar la participación, directa o indirecta, de los involucrados o Interesados en otros </w:t>
            </w:r>
            <w:r w:rsidRPr="00971047">
              <w:rPr>
                <w:rFonts w:ascii="ITC Avant Garde" w:hAnsi="ITC Avant Garde"/>
                <w:sz w:val="18"/>
                <w:szCs w:val="18"/>
              </w:rPr>
              <w:lastRenderedPageBreak/>
              <w:t xml:space="preserve">agentes económicos y la participación, directa o indirecta, de otros agentes económicos en los involucrados </w:t>
            </w:r>
            <w:r w:rsidRPr="00971047">
              <w:rPr>
                <w:rFonts w:ascii="ITC Avant Garde" w:hAnsi="ITC Avant Garde" w:cs="Helvetica"/>
                <w:sz w:val="18"/>
                <w:szCs w:val="18"/>
              </w:rPr>
              <w:t xml:space="preserve">(ver fracciones III y IV, del artículo 63, de la LFCE). </w:t>
            </w:r>
            <w:r w:rsidRPr="00971047">
              <w:rPr>
                <w:rFonts w:ascii="ITC Avant Garde" w:hAnsi="ITC Avant Garde"/>
                <w:sz w:val="18"/>
                <w:szCs w:val="18"/>
              </w:rPr>
              <w:t xml:space="preserve">Es de precisar que los </w:t>
            </w:r>
            <w:r w:rsidR="00971047" w:rsidRPr="00971047">
              <w:rPr>
                <w:rFonts w:ascii="ITC Avant Garde" w:hAnsi="ITC Avant Garde"/>
                <w:sz w:val="18"/>
                <w:szCs w:val="18"/>
              </w:rPr>
              <w:t>relacionados accionistas son agentes económicos que participan, directa o indirectamente, en los interesados</w:t>
            </w:r>
            <w:r w:rsidRPr="00971047">
              <w:rPr>
                <w:rFonts w:ascii="ITC Avant Garde" w:hAnsi="ITC Avant Garde"/>
                <w:sz w:val="18"/>
                <w:szCs w:val="18"/>
              </w:rPr>
              <w:t>, lo cual se reitera debe identificarse y evaluarse por el Instituto, en términos del artículo 63 fracciones III y IV de la LFCE, respecto a los efectos que esa participación provoca sobre la competencia económica.</w:t>
            </w:r>
            <w:r w:rsidRPr="00971047">
              <w:rPr>
                <w:rFonts w:ascii="ITC Avant Garde" w:hAnsi="ITC Avant Garde" w:cs="Helvetica"/>
                <w:sz w:val="18"/>
                <w:szCs w:val="18"/>
              </w:rPr>
              <w:t xml:space="preserve"> </w:t>
            </w:r>
          </w:p>
          <w:p w14:paraId="46EA4B59" w14:textId="60F6B465" w:rsidR="00460312" w:rsidRPr="00971047" w:rsidRDefault="00460312" w:rsidP="00653E9B">
            <w:pPr>
              <w:spacing w:line="276" w:lineRule="auto"/>
              <w:jc w:val="both"/>
              <w:rPr>
                <w:rFonts w:ascii="ITC Avant Garde" w:hAnsi="ITC Avant Garde"/>
                <w:sz w:val="18"/>
                <w:szCs w:val="18"/>
              </w:rPr>
            </w:pPr>
          </w:p>
        </w:tc>
      </w:tr>
      <w:tr w:rsidR="00460312" w:rsidRPr="00637136" w14:paraId="698387E0" w14:textId="77777777" w:rsidTr="009155A1">
        <w:trPr>
          <w:trHeight w:val="290"/>
          <w:tblHeader/>
        </w:trPr>
        <w:tc>
          <w:tcPr>
            <w:tcW w:w="472" w:type="pct"/>
          </w:tcPr>
          <w:p w14:paraId="656C96F0" w14:textId="77777777" w:rsidR="00712297" w:rsidRPr="00637136" w:rsidRDefault="00712297" w:rsidP="00712297">
            <w:pPr>
              <w:spacing w:after="0" w:line="276" w:lineRule="auto"/>
              <w:jc w:val="both"/>
              <w:rPr>
                <w:rFonts w:ascii="ITC Avant Garde" w:hAnsi="ITC Avant Garde" w:cs="Arial"/>
                <w:b/>
                <w:sz w:val="18"/>
                <w:szCs w:val="18"/>
              </w:rPr>
            </w:pPr>
            <w:r w:rsidRPr="002F0218">
              <w:rPr>
                <w:rFonts w:ascii="ITC Avant Garde" w:hAnsi="ITC Avant Garde" w:cs="Arial"/>
                <w:b/>
                <w:sz w:val="18"/>
                <w:szCs w:val="18"/>
              </w:rPr>
              <w:lastRenderedPageBreak/>
              <w:t xml:space="preserve">Radiomóvil Dipsa, S.A. de C.V.  </w:t>
            </w:r>
          </w:p>
          <w:p w14:paraId="092EE7CC" w14:textId="77777777" w:rsidR="00460312" w:rsidRDefault="00460312" w:rsidP="0039782A">
            <w:pPr>
              <w:spacing w:after="0" w:line="276" w:lineRule="auto"/>
              <w:jc w:val="both"/>
              <w:rPr>
                <w:rFonts w:ascii="ITC Avant Garde" w:eastAsia="Calibri" w:hAnsi="ITC Avant Garde" w:cs="Arial"/>
                <w:b/>
                <w:bCs/>
                <w:color w:val="000000" w:themeColor="text1"/>
                <w:sz w:val="18"/>
                <w:szCs w:val="18"/>
              </w:rPr>
            </w:pPr>
          </w:p>
        </w:tc>
        <w:tc>
          <w:tcPr>
            <w:tcW w:w="570" w:type="pct"/>
            <w:shd w:val="clear" w:color="auto" w:fill="auto"/>
          </w:tcPr>
          <w:p w14:paraId="677F39F3" w14:textId="5D75D85F" w:rsidR="00460312" w:rsidRPr="00AB0D17" w:rsidRDefault="00F43A25" w:rsidP="00D407F2">
            <w:pPr>
              <w:spacing w:after="0" w:line="276" w:lineRule="auto"/>
              <w:jc w:val="both"/>
              <w:rPr>
                <w:rFonts w:ascii="ITC Avant Garde" w:eastAsia="Calibri" w:hAnsi="ITC Avant Garde" w:cs="Arial"/>
                <w:b/>
                <w:bCs/>
                <w:color w:val="000000" w:themeColor="text1"/>
                <w:sz w:val="18"/>
                <w:szCs w:val="18"/>
              </w:rPr>
            </w:pPr>
            <w:r w:rsidRPr="00CD3BAA">
              <w:rPr>
                <w:rFonts w:ascii="ITC Avant Garde" w:eastAsia="Calibri" w:hAnsi="ITC Avant Garde" w:cs="Arial"/>
                <w:b/>
                <w:bCs/>
                <w:color w:val="000000" w:themeColor="text1"/>
                <w:sz w:val="18"/>
                <w:szCs w:val="18"/>
              </w:rPr>
              <w:t>Apéndice “E”, del proyecto de Bases de Licitación, Numeral 5.2</w:t>
            </w:r>
          </w:p>
        </w:tc>
        <w:tc>
          <w:tcPr>
            <w:tcW w:w="1966" w:type="pct"/>
            <w:shd w:val="clear" w:color="auto" w:fill="auto"/>
          </w:tcPr>
          <w:p w14:paraId="16DF0C00" w14:textId="0B330452" w:rsidR="00460312" w:rsidRPr="000B5AEF" w:rsidRDefault="00F43A25" w:rsidP="00E6423E">
            <w:pPr>
              <w:spacing w:line="276" w:lineRule="auto"/>
              <w:jc w:val="both"/>
              <w:rPr>
                <w:rFonts w:ascii="ITC Avant Garde" w:hAnsi="ITC Avant Garde" w:cs="Arial"/>
                <w:i/>
                <w:color w:val="000000"/>
                <w:sz w:val="18"/>
                <w:szCs w:val="18"/>
              </w:rPr>
            </w:pPr>
            <w:r w:rsidRPr="000B5AEF">
              <w:rPr>
                <w:rFonts w:ascii="ITC Avant Garde" w:hAnsi="ITC Avant Garde" w:cs="Arial"/>
                <w:i/>
                <w:color w:val="000000"/>
                <w:sz w:val="18"/>
                <w:szCs w:val="18"/>
              </w:rPr>
              <w:t>Atentamente se solicita a ese IFT que se sirva aclarar por qué es relevante la participación que los agentes relacionados tengan en casos ajenos a los servicios de telecomunicaciones y/o de radiodifusión.</w:t>
            </w:r>
          </w:p>
        </w:tc>
        <w:tc>
          <w:tcPr>
            <w:tcW w:w="1992" w:type="pct"/>
            <w:shd w:val="clear" w:color="auto" w:fill="FFFFFF" w:themeFill="background1"/>
          </w:tcPr>
          <w:p w14:paraId="45BE4FF0" w14:textId="184D2CA6" w:rsidR="0031470E" w:rsidRPr="000B5AEF" w:rsidRDefault="00886E55" w:rsidP="00971047">
            <w:pPr>
              <w:autoSpaceDE w:val="0"/>
              <w:autoSpaceDN w:val="0"/>
              <w:adjustRightInd w:val="0"/>
              <w:spacing w:before="120" w:after="120" w:line="276" w:lineRule="auto"/>
              <w:jc w:val="both"/>
              <w:rPr>
                <w:rFonts w:ascii="ITC Avant Garde" w:hAnsi="ITC Avant Garde" w:cs="Helvetica"/>
                <w:sz w:val="18"/>
                <w:szCs w:val="18"/>
              </w:rPr>
            </w:pPr>
            <w:r w:rsidRPr="000B5AEF">
              <w:rPr>
                <w:rFonts w:ascii="ITC Avant Garde" w:hAnsi="ITC Avant Garde"/>
                <w:sz w:val="18"/>
                <w:szCs w:val="18"/>
              </w:rPr>
              <w:t xml:space="preserve">Con relación al comentario de </w:t>
            </w:r>
            <w:r w:rsidRPr="000B5AEF">
              <w:rPr>
                <w:rFonts w:ascii="ITC Avant Garde" w:hAnsi="ITC Avant Garde"/>
                <w:b/>
                <w:sz w:val="18"/>
                <w:szCs w:val="18"/>
              </w:rPr>
              <w:t xml:space="preserve">Radiomóvil Dipsa, S.A. de C.V.  </w:t>
            </w:r>
            <w:r w:rsidRPr="000B5AEF">
              <w:rPr>
                <w:rFonts w:ascii="ITC Avant Garde" w:hAnsi="ITC Avant Garde"/>
                <w:sz w:val="18"/>
                <w:szCs w:val="18"/>
              </w:rPr>
              <w:t xml:space="preserve">relativo al numeral 5.2 del Apéndice E, en el cual solicita aclarar </w:t>
            </w:r>
            <w:r w:rsidRPr="000B5AEF">
              <w:rPr>
                <w:rFonts w:ascii="ITC Avant Garde" w:hAnsi="ITC Avant Garde" w:cs="Arial"/>
                <w:color w:val="000000"/>
                <w:sz w:val="18"/>
                <w:szCs w:val="18"/>
              </w:rPr>
              <w:t>por qué es relevante la participación que los agentes relacionados tengan en casos ajenos a los servicios de telecomunicaciones y/o de radiodifusión</w:t>
            </w:r>
            <w:r w:rsidR="000B5AEF">
              <w:rPr>
                <w:rFonts w:ascii="ITC Avant Garde" w:hAnsi="ITC Avant Garde"/>
                <w:sz w:val="18"/>
                <w:szCs w:val="18"/>
              </w:rPr>
              <w:t>,</w:t>
            </w:r>
            <w:r w:rsidR="0031470E" w:rsidRPr="000B5AEF">
              <w:rPr>
                <w:rFonts w:ascii="ITC Avant Garde" w:hAnsi="ITC Avant Garde"/>
                <w:sz w:val="18"/>
                <w:szCs w:val="18"/>
              </w:rPr>
              <w:t xml:space="preserve"> se hace de su conocimiento que la información requerida tiene</w:t>
            </w:r>
            <w:r w:rsidR="0031470E" w:rsidRPr="000B5AEF">
              <w:rPr>
                <w:rFonts w:ascii="ITC Avant Garde" w:hAnsi="ITC Avant Garde" w:cs="Helvetica"/>
                <w:sz w:val="18"/>
                <w:szCs w:val="18"/>
              </w:rPr>
              <w:t xml:space="preserve"> la finalidad de analizar los elementos de análisis establecidos en los artículos 63 y 64 de la LFCE. </w:t>
            </w:r>
          </w:p>
          <w:p w14:paraId="05DC24FC" w14:textId="62FE5AD0" w:rsidR="00460312" w:rsidRPr="000B5AEF" w:rsidRDefault="0031470E" w:rsidP="00971047">
            <w:pPr>
              <w:autoSpaceDE w:val="0"/>
              <w:autoSpaceDN w:val="0"/>
              <w:adjustRightInd w:val="0"/>
              <w:spacing w:before="120" w:after="120" w:line="276" w:lineRule="auto"/>
              <w:jc w:val="both"/>
              <w:rPr>
                <w:rFonts w:ascii="ITC Avant Garde" w:hAnsi="ITC Avant Garde"/>
                <w:sz w:val="18"/>
                <w:szCs w:val="18"/>
              </w:rPr>
            </w:pPr>
            <w:r w:rsidRPr="000B5AEF">
              <w:rPr>
                <w:rFonts w:ascii="ITC Avant Garde" w:hAnsi="ITC Avant Garde" w:cs="Helvetica"/>
                <w:sz w:val="18"/>
                <w:szCs w:val="18"/>
              </w:rPr>
              <w:t xml:space="preserve">Dichos artículos requieren el análisis de los efectos en materia de competencia, considerando los agentes económicos que forman parte de un mismo GIE, así como aquéllos relacionados </w:t>
            </w:r>
            <w:r w:rsidRPr="000B5AEF">
              <w:rPr>
                <w:rFonts w:ascii="ITC Avant Garde" w:hAnsi="ITC Avant Garde"/>
                <w:sz w:val="18"/>
                <w:szCs w:val="18"/>
              </w:rPr>
              <w:t>—es decir</w:t>
            </w:r>
            <w:r w:rsidR="000B5AEF" w:rsidRPr="000B5AEF">
              <w:rPr>
                <w:rFonts w:ascii="ITC Avant Garde" w:hAnsi="ITC Avant Garde"/>
                <w:sz w:val="18"/>
                <w:szCs w:val="18"/>
              </w:rPr>
              <w:t>,</w:t>
            </w:r>
            <w:r w:rsidRPr="000B5AEF">
              <w:rPr>
                <w:rFonts w:ascii="ITC Avant Garde" w:hAnsi="ITC Avant Garde" w:cs="Helvetica"/>
                <w:sz w:val="18"/>
                <w:szCs w:val="18"/>
              </w:rPr>
              <w:t xml:space="preserve"> con los que mantiene un vínculo de tipo comercial, organizativo, económico o jurídico</w:t>
            </w:r>
            <w:r w:rsidRPr="000B5AEF">
              <w:rPr>
                <w:rFonts w:ascii="ITC Avant Garde" w:hAnsi="ITC Avant Garde"/>
                <w:sz w:val="18"/>
                <w:szCs w:val="18"/>
              </w:rPr>
              <w:t xml:space="preserve">—, lo que incluye analizar la participación, directa o indirecta, de los involucrados o Interesados en otros agentes económicos y la participación, directa o indirecta, de otros agentes económicos en los involucrados </w:t>
            </w:r>
            <w:r w:rsidRPr="000B5AEF">
              <w:rPr>
                <w:rFonts w:ascii="ITC Avant Garde" w:hAnsi="ITC Avant Garde" w:cs="Helvetica"/>
                <w:sz w:val="18"/>
                <w:szCs w:val="18"/>
              </w:rPr>
              <w:t xml:space="preserve">(ver fracciones III y IV, del </w:t>
            </w:r>
            <w:r w:rsidRPr="000B5AEF">
              <w:rPr>
                <w:rFonts w:ascii="ITC Avant Garde" w:hAnsi="ITC Avant Garde" w:cs="Helvetica"/>
                <w:sz w:val="18"/>
                <w:szCs w:val="18"/>
              </w:rPr>
              <w:lastRenderedPageBreak/>
              <w:t xml:space="preserve">artículo 63, de la LFCE). </w:t>
            </w:r>
            <w:r w:rsidRPr="000B5AEF">
              <w:rPr>
                <w:rFonts w:ascii="ITC Avant Garde" w:hAnsi="ITC Avant Garde"/>
                <w:sz w:val="18"/>
                <w:szCs w:val="18"/>
              </w:rPr>
              <w:t xml:space="preserve">Es de precisar que </w:t>
            </w:r>
            <w:r w:rsidR="000B5AEF" w:rsidRPr="000B5AEF">
              <w:rPr>
                <w:rFonts w:ascii="ITC Avant Garde" w:hAnsi="ITC Avant Garde"/>
                <w:sz w:val="18"/>
                <w:szCs w:val="18"/>
              </w:rPr>
              <w:t>los relacionados accionistas son agentes económicos que participan, directa o indirectamente, en los interesados, lo cu</w:t>
            </w:r>
            <w:r w:rsidRPr="000B5AEF">
              <w:rPr>
                <w:rFonts w:ascii="ITC Avant Garde" w:hAnsi="ITC Avant Garde"/>
                <w:sz w:val="18"/>
                <w:szCs w:val="18"/>
              </w:rPr>
              <w:t>al se reitera debe identificarse y evaluarse por el Instituto, en términos del artículo 63 fracciones III y IV de la LFCE, respecto a los efectos que esa participación provoca sobre la competencia económica.</w:t>
            </w:r>
            <w:r w:rsidRPr="000B5AEF">
              <w:rPr>
                <w:rFonts w:ascii="ITC Avant Garde" w:hAnsi="ITC Avant Garde" w:cs="Helvetica"/>
                <w:sz w:val="18"/>
                <w:szCs w:val="18"/>
              </w:rPr>
              <w:t xml:space="preserve"> </w:t>
            </w:r>
          </w:p>
        </w:tc>
      </w:tr>
      <w:tr w:rsidR="00460312" w:rsidRPr="00637136" w14:paraId="661152A5" w14:textId="77777777" w:rsidTr="009155A1">
        <w:trPr>
          <w:trHeight w:val="290"/>
          <w:tblHeader/>
        </w:trPr>
        <w:tc>
          <w:tcPr>
            <w:tcW w:w="472" w:type="pct"/>
          </w:tcPr>
          <w:p w14:paraId="30C805DE" w14:textId="2F4577D8" w:rsidR="00460312" w:rsidRDefault="00F43A25" w:rsidP="0039782A">
            <w:pPr>
              <w:spacing w:after="0" w:line="276" w:lineRule="auto"/>
              <w:jc w:val="both"/>
              <w:rPr>
                <w:rFonts w:ascii="ITC Avant Garde" w:eastAsia="Calibri" w:hAnsi="ITC Avant Garde" w:cs="Arial"/>
                <w:b/>
                <w:bCs/>
                <w:color w:val="000000" w:themeColor="text1"/>
                <w:sz w:val="18"/>
                <w:szCs w:val="18"/>
              </w:rPr>
            </w:pPr>
            <w:r w:rsidRPr="00F43A25">
              <w:rPr>
                <w:rFonts w:ascii="ITC Avant Garde" w:eastAsia="Calibri" w:hAnsi="ITC Avant Garde" w:cs="Arial"/>
                <w:b/>
                <w:bCs/>
                <w:color w:val="000000" w:themeColor="text1"/>
                <w:sz w:val="18"/>
                <w:szCs w:val="18"/>
              </w:rPr>
              <w:lastRenderedPageBreak/>
              <w:t xml:space="preserve">AT&amp;T Comunicaciones Digitales, S. de R.L. de C.V.; Grupo AT&amp;T Celullar, S. de R.L. de C.V.; AT&amp;T Norte, S. de R.L. de C.V.; AT&amp;T Comercialización Móvil, S. de R.L. de C.V., y AT&amp;T Desarrollo en Comunicaciones de México, S. de R.L. de C.V.  </w:t>
            </w:r>
          </w:p>
        </w:tc>
        <w:tc>
          <w:tcPr>
            <w:tcW w:w="570" w:type="pct"/>
            <w:shd w:val="clear" w:color="auto" w:fill="auto"/>
          </w:tcPr>
          <w:p w14:paraId="0495EA2C" w14:textId="583326BE"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p>
        </w:tc>
        <w:tc>
          <w:tcPr>
            <w:tcW w:w="1966" w:type="pct"/>
            <w:shd w:val="clear" w:color="auto" w:fill="auto"/>
          </w:tcPr>
          <w:p w14:paraId="0184B3B1" w14:textId="739B8CB1" w:rsidR="00C175A1" w:rsidRPr="000B5AEF" w:rsidRDefault="00D9049B" w:rsidP="00F43A25">
            <w:pPr>
              <w:tabs>
                <w:tab w:val="left" w:pos="2010"/>
              </w:tabs>
              <w:spacing w:line="276" w:lineRule="auto"/>
              <w:jc w:val="both"/>
              <w:rPr>
                <w:rFonts w:ascii="ITC Avant Garde" w:hAnsi="ITC Avant Garde" w:cs="Arial"/>
                <w:i/>
                <w:sz w:val="18"/>
                <w:szCs w:val="18"/>
              </w:rPr>
            </w:pPr>
            <w:r w:rsidRPr="004D02BA">
              <w:rPr>
                <w:rFonts w:ascii="ITC Avant Garde" w:hAnsi="ITC Avant Garde" w:cs="Arial"/>
                <w:i/>
                <w:iCs/>
                <w:sz w:val="18"/>
                <w:szCs w:val="18"/>
              </w:rPr>
              <w:t>1</w:t>
            </w:r>
            <w:r w:rsidRPr="000B5AEF">
              <w:rPr>
                <w:rFonts w:ascii="ITC Avant Garde" w:hAnsi="ITC Avant Garde" w:cs="Arial"/>
                <w:i/>
                <w:iCs/>
                <w:sz w:val="18"/>
                <w:szCs w:val="18"/>
              </w:rPr>
              <w:t>)</w:t>
            </w:r>
            <w:r w:rsidR="00C175A1" w:rsidRPr="000B5AEF">
              <w:rPr>
                <w:rFonts w:ascii="ITC Avant Garde" w:hAnsi="ITC Avant Garde" w:cs="Arial"/>
                <w:i/>
                <w:iCs/>
                <w:sz w:val="18"/>
                <w:szCs w:val="18"/>
              </w:rPr>
              <w:t xml:space="preserve"> </w:t>
            </w:r>
            <w:r w:rsidRPr="000B5AEF">
              <w:rPr>
                <w:rFonts w:ascii="ITC Avant Garde" w:hAnsi="ITC Avant Garde" w:cs="Arial"/>
                <w:i/>
                <w:sz w:val="18"/>
                <w:szCs w:val="18"/>
              </w:rPr>
              <w:t>L</w:t>
            </w:r>
            <w:r w:rsidR="00C175A1" w:rsidRPr="000B5AEF">
              <w:rPr>
                <w:rFonts w:ascii="ITC Avant Garde" w:hAnsi="ITC Avant Garde" w:cs="Arial"/>
                <w:i/>
                <w:sz w:val="18"/>
                <w:szCs w:val="18"/>
              </w:rPr>
              <w:t xml:space="preserve">ímite </w:t>
            </w:r>
            <w:r w:rsidR="00847592" w:rsidRPr="000B5AEF">
              <w:rPr>
                <w:rFonts w:ascii="ITC Avant Garde" w:hAnsi="ITC Avant Garde" w:cs="Arial"/>
                <w:i/>
                <w:sz w:val="18"/>
                <w:szCs w:val="18"/>
              </w:rPr>
              <w:t>o tope de espectro</w:t>
            </w:r>
            <w:r w:rsidR="00847592" w:rsidRPr="000B5AEF">
              <w:rPr>
                <w:rFonts w:ascii="ITC Avant Garde" w:hAnsi="ITC Avant Garde" w:cs="Arial"/>
                <w:i/>
                <w:iCs/>
                <w:sz w:val="18"/>
                <w:szCs w:val="18"/>
              </w:rPr>
              <w:t xml:space="preserve">: Toda vez que el IFT está considerando establecer un límite de acumulación de espectro, </w:t>
            </w:r>
            <w:r w:rsidR="00847592" w:rsidRPr="000B5AEF">
              <w:rPr>
                <w:rFonts w:ascii="ITC Avant Garde" w:hAnsi="ITC Avant Garde" w:cs="Arial"/>
                <w:i/>
                <w:sz w:val="18"/>
                <w:szCs w:val="18"/>
              </w:rPr>
              <w:t xml:space="preserve">el IFT debería incluir en dicho límite toda operación, adquisición, compromiso de compra, cesión, o cualquier otra forma de concentración de espectro adicional que pudiese estar en trámite o en proceso de negociación actualmente y que pudiese </w:t>
            </w:r>
            <w:r w:rsidRPr="000B5AEF">
              <w:rPr>
                <w:rFonts w:ascii="ITC Avant Garde" w:hAnsi="ITC Avant Garde" w:cs="Arial"/>
                <w:i/>
                <w:sz w:val="18"/>
                <w:szCs w:val="18"/>
              </w:rPr>
              <w:t>llegar a perfeccionarse precio al inicio de la etapa del procedimiento de presentación ofertas.</w:t>
            </w:r>
          </w:p>
          <w:p w14:paraId="321FFD1C" w14:textId="6B6D87D8" w:rsidR="00D9049B" w:rsidRPr="000B5AEF" w:rsidRDefault="00D9049B"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
                <w:iCs/>
                <w:sz w:val="18"/>
                <w:szCs w:val="18"/>
              </w:rPr>
              <w:t xml:space="preserve">Para efectos de lo anterior, se sugiere </w:t>
            </w:r>
            <w:r w:rsidRPr="000B5AEF">
              <w:rPr>
                <w:rFonts w:ascii="ITC Avant Garde" w:hAnsi="ITC Avant Garde" w:cs="Arial"/>
                <w:i/>
                <w:sz w:val="18"/>
                <w:szCs w:val="18"/>
              </w:rPr>
              <w:t>incluir como obligación a los interesados y participantes el requisito de reportar al IFT en la fase de entrega de información y documentación y hasta el d</w:t>
            </w:r>
            <w:r w:rsidR="004D02BA" w:rsidRPr="000B5AEF">
              <w:rPr>
                <w:rFonts w:ascii="ITC Avant Garde" w:hAnsi="ITC Avant Garde" w:cs="Arial"/>
                <w:i/>
                <w:sz w:val="18"/>
                <w:szCs w:val="18"/>
              </w:rPr>
              <w:t>ía previo a</w:t>
            </w:r>
            <w:r w:rsidRPr="000B5AEF">
              <w:rPr>
                <w:rFonts w:ascii="ITC Avant Garde" w:hAnsi="ITC Avant Garde" w:cs="Arial"/>
                <w:i/>
                <w:sz w:val="18"/>
                <w:szCs w:val="18"/>
              </w:rPr>
              <w:t xml:space="preserve">l procedimiento de presentación de ofertas </w:t>
            </w:r>
            <w:r w:rsidRPr="000B5AEF">
              <w:rPr>
                <w:rFonts w:ascii="ITC Avant Garde" w:hAnsi="ITC Avant Garde" w:cs="Arial"/>
                <w:i/>
                <w:sz w:val="18"/>
                <w:szCs w:val="18"/>
                <w:u w:val="single"/>
              </w:rPr>
              <w:t>cualquier negociación</w:t>
            </w:r>
            <w:r w:rsidRPr="000B5AEF">
              <w:rPr>
                <w:rFonts w:ascii="ITC Avant Garde" w:hAnsi="ITC Avant Garde" w:cs="Arial"/>
                <w:i/>
                <w:iCs/>
                <w:sz w:val="18"/>
                <w:szCs w:val="18"/>
              </w:rPr>
              <w:t xml:space="preserve"> que</w:t>
            </w:r>
            <w:r w:rsidRPr="004D02BA">
              <w:rPr>
                <w:rFonts w:ascii="ITC Avant Garde" w:hAnsi="ITC Avant Garde" w:cs="Arial"/>
                <w:i/>
                <w:iCs/>
                <w:sz w:val="18"/>
                <w:szCs w:val="18"/>
              </w:rPr>
              <w:t xml:space="preserve"> involucre la concentración actual o potencial de espectro adicional al considerado en el límite o tope de espectro. Ello sin perjuicio de las notificaciones y autorizaciones que, en su caso, sean requeridas </w:t>
            </w:r>
            <w:r w:rsidRPr="000B5AEF">
              <w:rPr>
                <w:rFonts w:ascii="ITC Avant Garde" w:hAnsi="ITC Avant Garde" w:cs="Arial"/>
                <w:i/>
                <w:iCs/>
                <w:sz w:val="18"/>
                <w:szCs w:val="18"/>
              </w:rPr>
              <w:t>para la compra, cesión o concentración de que se trate.</w:t>
            </w:r>
          </w:p>
          <w:p w14:paraId="73D6D9B3" w14:textId="0AC0BF59" w:rsidR="004D02BA" w:rsidRPr="000B5AEF" w:rsidRDefault="004D02BA"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
                <w:iCs/>
                <w:sz w:val="18"/>
                <w:szCs w:val="18"/>
              </w:rPr>
              <w:t xml:space="preserve">2) Precios de Reserva y derechos anuales: </w:t>
            </w:r>
            <w:r w:rsidRPr="000B5AEF">
              <w:rPr>
                <w:rFonts w:ascii="ITC Avant Garde" w:hAnsi="ITC Avant Garde" w:cs="Arial"/>
                <w:i/>
                <w:sz w:val="18"/>
                <w:szCs w:val="18"/>
              </w:rPr>
              <w:t>Se solicita recalcular y establecer precios de reserva más bajos que los propuestos</w:t>
            </w:r>
            <w:r w:rsidRPr="000B5AEF">
              <w:rPr>
                <w:rFonts w:ascii="ITC Avant Garde" w:hAnsi="ITC Avant Garde" w:cs="Arial"/>
                <w:i/>
                <w:iCs/>
                <w:sz w:val="18"/>
                <w:szCs w:val="18"/>
              </w:rPr>
              <w:t xml:space="preserve">; </w:t>
            </w:r>
            <w:r w:rsidRPr="000B5AEF">
              <w:rPr>
                <w:rFonts w:ascii="ITC Avant Garde" w:hAnsi="ITC Avant Garde" w:cs="Arial"/>
                <w:i/>
                <w:iCs/>
                <w:sz w:val="18"/>
                <w:szCs w:val="18"/>
              </w:rPr>
              <w:lastRenderedPageBreak/>
              <w:t xml:space="preserve">asimismo, que </w:t>
            </w:r>
            <w:r w:rsidRPr="000B5AEF">
              <w:rPr>
                <w:rFonts w:ascii="ITC Avant Garde" w:hAnsi="ITC Avant Garde" w:cs="Arial"/>
                <w:i/>
                <w:sz w:val="18"/>
                <w:szCs w:val="18"/>
              </w:rPr>
              <w:t>el beneficio en el punto 13.2 de las Bases de Licitación sea extendido a todos los bloques de esta Licitación</w:t>
            </w:r>
            <w:r w:rsidRPr="000B5AEF">
              <w:rPr>
                <w:rFonts w:ascii="ITC Avant Garde" w:hAnsi="ITC Avant Garde" w:cs="Arial"/>
                <w:i/>
                <w:iCs/>
                <w:sz w:val="18"/>
                <w:szCs w:val="18"/>
              </w:rPr>
              <w:t>.</w:t>
            </w:r>
            <w:r w:rsidR="00A374AB" w:rsidRPr="000B5AEF">
              <w:rPr>
                <w:rFonts w:ascii="ITC Avant Garde" w:hAnsi="ITC Avant Garde" w:cs="Arial"/>
                <w:i/>
                <w:iCs/>
                <w:sz w:val="18"/>
                <w:szCs w:val="18"/>
              </w:rPr>
              <w:t xml:space="preserve"> </w:t>
            </w:r>
          </w:p>
          <w:p w14:paraId="413AD5BA" w14:textId="73FE3101" w:rsidR="000A7B4D" w:rsidRPr="004D02BA" w:rsidRDefault="000559EE"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Cs/>
                <w:sz w:val="18"/>
                <w:szCs w:val="18"/>
              </w:rPr>
              <w:t>Asimismo, señala</w:t>
            </w:r>
            <w:r w:rsidR="000A7B4D" w:rsidRPr="000B5AEF">
              <w:rPr>
                <w:rFonts w:ascii="ITC Avant Garde" w:hAnsi="ITC Avant Garde" w:cs="Arial"/>
                <w:iCs/>
                <w:sz w:val="18"/>
                <w:szCs w:val="18"/>
              </w:rPr>
              <w:t xml:space="preserve"> que </w:t>
            </w:r>
            <w:r w:rsidR="000A7B4D" w:rsidRPr="000B5AEF">
              <w:rPr>
                <w:rFonts w:ascii="ITC Avant Garde" w:hAnsi="ITC Avant Garde" w:cs="Arial"/>
                <w:i/>
                <w:iCs/>
                <w:sz w:val="18"/>
                <w:szCs w:val="18"/>
              </w:rPr>
              <w:t>“AT&amp;T realizó una</w:t>
            </w:r>
            <w:r w:rsidR="000A7B4D">
              <w:rPr>
                <w:rFonts w:ascii="ITC Avant Garde" w:hAnsi="ITC Avant Garde" w:cs="Arial"/>
                <w:i/>
                <w:iCs/>
                <w:sz w:val="18"/>
                <w:szCs w:val="18"/>
              </w:rPr>
              <w:t xml:space="preserve"> comparación del precio final en dólares de algunas subastas de espectro en la banda de 2.5 GHz realizadas entre 2007 y 2015 en países como Noruega, Suecia, Hong Kong, Finlandia, Holanda, Dinamarca, Alemania, Francia, Italia, Bélgica, España y Canadá, donde también se licitó espectro FDD y TDD, resultando un precio por bloque de 20 MHz 40% más bajo que el propuesto por este Instituto.”</w:t>
            </w:r>
          </w:p>
          <w:p w14:paraId="5CB48ABD" w14:textId="14A64F7B" w:rsidR="00C175A1" w:rsidRPr="000B5AEF" w:rsidRDefault="004D02BA" w:rsidP="00F43A25">
            <w:pPr>
              <w:tabs>
                <w:tab w:val="left" w:pos="2010"/>
              </w:tabs>
              <w:spacing w:line="276" w:lineRule="auto"/>
              <w:jc w:val="both"/>
              <w:rPr>
                <w:rFonts w:ascii="ITC Avant Garde" w:hAnsi="ITC Avant Garde" w:cs="Arial"/>
                <w:i/>
                <w:sz w:val="18"/>
                <w:szCs w:val="18"/>
              </w:rPr>
            </w:pPr>
            <w:r w:rsidRPr="004D02BA">
              <w:rPr>
                <w:rFonts w:ascii="ITC Avant Garde" w:hAnsi="ITC Avant Garde" w:cs="Arial"/>
                <w:i/>
                <w:iCs/>
                <w:sz w:val="18"/>
                <w:szCs w:val="18"/>
              </w:rPr>
              <w:t xml:space="preserve">3) Reglas de Licitación: Proporcionar mayor claridad en las reglas de información para </w:t>
            </w:r>
            <w:r w:rsidRPr="000B5AEF">
              <w:rPr>
                <w:rFonts w:ascii="ITC Avant Garde" w:hAnsi="ITC Avant Garde" w:cs="Arial"/>
                <w:i/>
                <w:iCs/>
                <w:sz w:val="18"/>
                <w:szCs w:val="18"/>
              </w:rPr>
              <w:t>posibles participantes.</w:t>
            </w:r>
          </w:p>
          <w:p w14:paraId="795DBEEB" w14:textId="6AA419EF" w:rsidR="000559EE" w:rsidRDefault="000559EE"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Cs/>
                <w:sz w:val="18"/>
                <w:szCs w:val="18"/>
              </w:rPr>
              <w:t xml:space="preserve">Adicionalmente, señala que </w:t>
            </w:r>
            <w:r w:rsidRPr="000B5AEF">
              <w:rPr>
                <w:rFonts w:ascii="ITC Avant Garde" w:hAnsi="ITC Avant Garde" w:cs="Arial"/>
                <w:i/>
                <w:iCs/>
                <w:sz w:val="18"/>
                <w:szCs w:val="18"/>
              </w:rPr>
              <w:t xml:space="preserve">“En particular, </w:t>
            </w:r>
            <w:r w:rsidRPr="000B5AEF">
              <w:rPr>
                <w:rFonts w:ascii="ITC Avant Garde" w:hAnsi="ITC Avant Garde" w:cs="Arial"/>
                <w:i/>
                <w:sz w:val="18"/>
                <w:szCs w:val="18"/>
              </w:rPr>
              <w:t>en la sección 3.6</w:t>
            </w:r>
            <w:r w:rsidRPr="000B5AEF">
              <w:rPr>
                <w:rFonts w:ascii="ITC Avant Garde" w:hAnsi="ITC Avant Garde" w:cs="Arial"/>
                <w:i/>
                <w:iCs/>
                <w:sz w:val="18"/>
                <w:szCs w:val="18"/>
              </w:rPr>
              <w:t xml:space="preserve"> se solicita confirmar que una vez que un participante tenga elegibilidad cero, no puede volver a obtener puntos de elegibilidad, a menos de que cambie de fase. Asimismo, en la </w:t>
            </w:r>
            <w:r w:rsidRPr="000B5AEF">
              <w:rPr>
                <w:rFonts w:ascii="ITC Avant Garde" w:hAnsi="ITC Avant Garde" w:cs="Arial"/>
                <w:i/>
                <w:sz w:val="18"/>
                <w:szCs w:val="18"/>
              </w:rPr>
              <w:t>sección 3.7.2</w:t>
            </w:r>
            <w:r w:rsidRPr="000B5AEF">
              <w:rPr>
                <w:rFonts w:ascii="ITC Avant Garde" w:hAnsi="ITC Avant Garde" w:cs="Arial"/>
                <w:i/>
                <w:iCs/>
                <w:sz w:val="18"/>
                <w:szCs w:val="18"/>
              </w:rPr>
              <w:t xml:space="preserve"> se requiere confirmar</w:t>
            </w:r>
            <w:r w:rsidRPr="000559EE">
              <w:rPr>
                <w:rFonts w:ascii="ITC Avant Garde" w:hAnsi="ITC Avant Garde" w:cs="Arial"/>
                <w:i/>
                <w:iCs/>
                <w:sz w:val="18"/>
                <w:szCs w:val="18"/>
              </w:rPr>
              <w:t xml:space="preserve"> que al menos se puede usar un derecho de extensión por ronda.</w:t>
            </w:r>
          </w:p>
          <w:p w14:paraId="3483DDC9" w14:textId="112C7045" w:rsidR="000559EE" w:rsidRPr="000B5AEF" w:rsidRDefault="000559EE" w:rsidP="00F43A25">
            <w:pPr>
              <w:tabs>
                <w:tab w:val="left" w:pos="2010"/>
              </w:tabs>
              <w:spacing w:line="276" w:lineRule="auto"/>
              <w:jc w:val="both"/>
              <w:rPr>
                <w:rFonts w:ascii="ITC Avant Garde" w:hAnsi="ITC Avant Garde" w:cs="Arial"/>
                <w:i/>
                <w:iCs/>
                <w:sz w:val="18"/>
                <w:szCs w:val="18"/>
              </w:rPr>
            </w:pPr>
            <w:r w:rsidRPr="000559EE">
              <w:rPr>
                <w:rFonts w:ascii="ITC Avant Garde" w:hAnsi="ITC Avant Garde" w:cs="Arial"/>
                <w:i/>
                <w:iCs/>
                <w:sz w:val="18"/>
                <w:szCs w:val="18"/>
              </w:rPr>
              <w:t xml:space="preserve">En </w:t>
            </w:r>
            <w:r w:rsidRPr="000B5AEF">
              <w:rPr>
                <w:rFonts w:ascii="ITC Avant Garde" w:hAnsi="ITC Avant Garde" w:cs="Arial"/>
                <w:i/>
                <w:iCs/>
                <w:sz w:val="18"/>
                <w:szCs w:val="18"/>
              </w:rPr>
              <w:t xml:space="preserve">la </w:t>
            </w:r>
            <w:r w:rsidRPr="000B5AEF">
              <w:rPr>
                <w:rFonts w:ascii="ITC Avant Garde" w:hAnsi="ITC Avant Garde" w:cs="Arial"/>
                <w:i/>
                <w:sz w:val="18"/>
                <w:szCs w:val="18"/>
              </w:rPr>
              <w:t>sección 3.10.1</w:t>
            </w:r>
            <w:r w:rsidRPr="000B5AEF">
              <w:rPr>
                <w:rFonts w:ascii="ITC Avant Garde" w:hAnsi="ITC Avant Garde" w:cs="Arial"/>
                <w:i/>
                <w:iCs/>
                <w:sz w:val="18"/>
                <w:szCs w:val="18"/>
              </w:rPr>
              <w:t xml:space="preserve"> se solicita confirmar que los puntos de elegibilidad son reducidos en un punto en caso de Retiro en las Rondas de Reloj subsecuentes. Asimismo, que se confirme que un participante puede solicitar Cambios y Retiros mientras exista exceso de demanda.</w:t>
            </w:r>
          </w:p>
          <w:p w14:paraId="70DBC854" w14:textId="7A2F7821" w:rsidR="000559EE" w:rsidRPr="000B5AEF" w:rsidRDefault="000559EE"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
                <w:iCs/>
                <w:sz w:val="18"/>
                <w:szCs w:val="18"/>
              </w:rPr>
              <w:lastRenderedPageBreak/>
              <w:t xml:space="preserve">Adicionalmente, en las </w:t>
            </w:r>
            <w:r w:rsidRPr="000B5AEF">
              <w:rPr>
                <w:rFonts w:ascii="ITC Avant Garde" w:hAnsi="ITC Avant Garde" w:cs="Arial"/>
                <w:i/>
                <w:sz w:val="18"/>
                <w:szCs w:val="18"/>
              </w:rPr>
              <w:t>secciones 3.11.1 y 3.11.2</w:t>
            </w:r>
            <w:r w:rsidRPr="000B5AEF">
              <w:rPr>
                <w:rFonts w:ascii="ITC Avant Garde" w:hAnsi="ITC Avant Garde" w:cs="Arial"/>
                <w:i/>
                <w:iCs/>
                <w:sz w:val="18"/>
                <w:szCs w:val="18"/>
              </w:rPr>
              <w:t xml:space="preserve"> sobre Retiros Rechazados y Cambios Rechazados se solicita contar con algunos ejemplos de cada una de estas situaciones, así como presentar ejemplos de la sección 3.12 Ofertas por Omisión, con el objeto de clarificar la redacción empleada. Por otra parte, en la sección 3.11.2 no es claro si el participante obtendrá un punto de elegibilidad adicional en la Ronda de Reloj siguiente cuando su Cambio o Retiro Rechazado es Liberado. Es decir, si los puntos de elegibilidad de un participante son bloqueados, pero no perdidos con un Retiro o Cambio Rechazado, por lo que el participante con la liberación de su Cambio o Retiro tiene un punto de elegibilidad libre para usar. Por otra parte, en la sección 3.11.1 se requiere confirmar que el orden de Liberación es el inverso del orden de Rechazo. Asimismo, que la selección aleatoria de Cambios y Retiros Rechazados es bloque por bloque.</w:t>
            </w:r>
          </w:p>
          <w:p w14:paraId="0A208985" w14:textId="5AE03AD2" w:rsidR="000559EE" w:rsidRPr="000B5AEF" w:rsidRDefault="000559EE"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
                <w:iCs/>
                <w:sz w:val="18"/>
                <w:szCs w:val="18"/>
              </w:rPr>
              <w:t xml:space="preserve">En la </w:t>
            </w:r>
            <w:r w:rsidRPr="000B5AEF">
              <w:rPr>
                <w:rFonts w:ascii="ITC Avant Garde" w:hAnsi="ITC Avant Garde" w:cs="Arial"/>
                <w:i/>
                <w:sz w:val="18"/>
                <w:szCs w:val="18"/>
              </w:rPr>
              <w:t>sección 3.15 se</w:t>
            </w:r>
            <w:r w:rsidRPr="000B5AEF">
              <w:rPr>
                <w:rFonts w:ascii="ITC Avant Garde" w:hAnsi="ITC Avant Garde" w:cs="Arial"/>
                <w:i/>
                <w:iCs/>
                <w:sz w:val="18"/>
                <w:szCs w:val="18"/>
              </w:rPr>
              <w:t xml:space="preserve"> necesita aclarar cuál será el precio en el caso de Retiros Rechazados, ya que no es claro si el precio de esa categoría será el precio más bajo de Retiro o el precio más bajo del Retiro Rechazado.</w:t>
            </w:r>
          </w:p>
          <w:p w14:paraId="673D7C41" w14:textId="7DC2B8AB" w:rsidR="000559EE" w:rsidRPr="004D02BA" w:rsidRDefault="000559EE" w:rsidP="00F43A25">
            <w:pPr>
              <w:tabs>
                <w:tab w:val="left" w:pos="2010"/>
              </w:tabs>
              <w:spacing w:line="276" w:lineRule="auto"/>
              <w:jc w:val="both"/>
              <w:rPr>
                <w:rFonts w:ascii="ITC Avant Garde" w:hAnsi="ITC Avant Garde" w:cs="Arial"/>
                <w:i/>
                <w:iCs/>
                <w:sz w:val="18"/>
                <w:szCs w:val="18"/>
              </w:rPr>
            </w:pPr>
            <w:r w:rsidRPr="000B5AEF">
              <w:rPr>
                <w:rFonts w:ascii="ITC Avant Garde" w:hAnsi="ITC Avant Garde" w:cs="Arial"/>
                <w:i/>
                <w:iCs/>
                <w:sz w:val="18"/>
                <w:szCs w:val="18"/>
              </w:rPr>
              <w:t xml:space="preserve">Finalmente, en la </w:t>
            </w:r>
            <w:r w:rsidRPr="000B5AEF">
              <w:rPr>
                <w:rFonts w:ascii="ITC Avant Garde" w:hAnsi="ITC Avant Garde" w:cs="Arial"/>
                <w:i/>
                <w:sz w:val="18"/>
                <w:szCs w:val="18"/>
              </w:rPr>
              <w:t>sección 3.13</w:t>
            </w:r>
            <w:r w:rsidRPr="000B5AEF">
              <w:rPr>
                <w:rFonts w:ascii="ITC Avant Garde" w:hAnsi="ITC Avant Garde" w:cs="Arial"/>
                <w:i/>
                <w:iCs/>
                <w:sz w:val="18"/>
                <w:szCs w:val="18"/>
              </w:rPr>
              <w:t xml:space="preserve"> se</w:t>
            </w:r>
            <w:r w:rsidRPr="000559EE">
              <w:rPr>
                <w:rFonts w:ascii="ITC Avant Garde" w:hAnsi="ITC Avant Garde" w:cs="Arial"/>
                <w:i/>
                <w:iCs/>
                <w:sz w:val="18"/>
                <w:szCs w:val="18"/>
              </w:rPr>
              <w:t xml:space="preserve"> solicita confirmar que el IFT no notificará a los participantes en caso de que exista exceso de oferta.</w:t>
            </w:r>
            <w:r>
              <w:rPr>
                <w:rFonts w:ascii="ITC Avant Garde" w:hAnsi="ITC Avant Garde" w:cs="Arial"/>
                <w:i/>
                <w:iCs/>
                <w:sz w:val="18"/>
                <w:szCs w:val="18"/>
              </w:rPr>
              <w:t>”</w:t>
            </w:r>
          </w:p>
          <w:p w14:paraId="632E3267" w14:textId="77777777" w:rsidR="00F43A25" w:rsidRPr="0035139E" w:rsidRDefault="00F43A25" w:rsidP="00F43A25">
            <w:pPr>
              <w:tabs>
                <w:tab w:val="left" w:pos="2010"/>
              </w:tabs>
              <w:spacing w:line="276" w:lineRule="auto"/>
              <w:jc w:val="both"/>
              <w:rPr>
                <w:rFonts w:ascii="ITC Avant Garde" w:hAnsi="ITC Avant Garde" w:cs="Arial"/>
                <w:i/>
                <w:sz w:val="18"/>
                <w:szCs w:val="18"/>
              </w:rPr>
            </w:pPr>
            <w:r w:rsidRPr="0035139E">
              <w:rPr>
                <w:rFonts w:ascii="ITC Avant Garde" w:hAnsi="ITC Avant Garde" w:cs="Arial"/>
                <w:iCs/>
                <w:sz w:val="18"/>
                <w:szCs w:val="18"/>
              </w:rPr>
              <w:t xml:space="preserve">En el siguiente hipervínculo se podrá </w:t>
            </w:r>
            <w:r>
              <w:rPr>
                <w:rFonts w:ascii="ITC Avant Garde" w:hAnsi="ITC Avant Garde" w:cs="Arial"/>
                <w:iCs/>
                <w:sz w:val="18"/>
                <w:szCs w:val="18"/>
              </w:rPr>
              <w:t>consultar</w:t>
            </w:r>
            <w:r w:rsidRPr="0035139E">
              <w:rPr>
                <w:rFonts w:ascii="ITC Avant Garde" w:hAnsi="ITC Avant Garde" w:cs="Arial"/>
                <w:iCs/>
                <w:sz w:val="18"/>
                <w:szCs w:val="18"/>
              </w:rPr>
              <w:t xml:space="preserve"> el comentario: </w:t>
            </w:r>
          </w:p>
          <w:p w14:paraId="06454945" w14:textId="7E5089CF" w:rsidR="00460312" w:rsidRPr="00AB0D17" w:rsidRDefault="0009589C" w:rsidP="00F43A25">
            <w:pPr>
              <w:spacing w:line="276" w:lineRule="auto"/>
              <w:jc w:val="both"/>
              <w:rPr>
                <w:rFonts w:ascii="ITC Avant Garde" w:hAnsi="ITC Avant Garde" w:cs="Arial"/>
                <w:i/>
                <w:color w:val="000000"/>
                <w:sz w:val="18"/>
                <w:szCs w:val="18"/>
              </w:rPr>
            </w:pPr>
            <w:hyperlink r:id="rId18" w:history="1">
              <w:r w:rsidR="00F43A25" w:rsidRPr="006A69C4">
                <w:rPr>
                  <w:rStyle w:val="Hipervnculo"/>
                  <w:rFonts w:ascii="ITC Avant Garde" w:hAnsi="ITC Avant Garde" w:cs="Arial"/>
                  <w:sz w:val="18"/>
                  <w:szCs w:val="18"/>
                </w:rPr>
                <w:t>http://www.ift.org.mx/sites/default/files/industria/temasrelevantes/consultaspublicas/documentos/att_2.pdf</w:t>
              </w:r>
            </w:hyperlink>
          </w:p>
        </w:tc>
        <w:tc>
          <w:tcPr>
            <w:tcW w:w="1992" w:type="pct"/>
            <w:shd w:val="clear" w:color="auto" w:fill="FFFFFF" w:themeFill="background1"/>
          </w:tcPr>
          <w:p w14:paraId="67624801" w14:textId="247554C2" w:rsidR="00A374AB" w:rsidRPr="000B5AEF" w:rsidRDefault="00782D0B" w:rsidP="000B5AEF">
            <w:pPr>
              <w:spacing w:after="0"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sidRPr="00F43A25">
              <w:rPr>
                <w:rFonts w:ascii="ITC Avant Garde" w:eastAsia="Calibri" w:hAnsi="ITC Avant Garde" w:cs="Arial"/>
                <w:b/>
                <w:bCs/>
                <w:color w:val="000000" w:themeColor="text1"/>
                <w:sz w:val="18"/>
                <w:szCs w:val="18"/>
              </w:rPr>
              <w:t xml:space="preserve">AT&amp;T Comunicaciones Digitales, S. de R.L. de C.V.; Grupo AT&amp;T Celullar, S. de R.L. de C.V.; AT&amp;T Norte, S. de R.L. de C.V.; AT&amp;T </w:t>
            </w:r>
            <w:r w:rsidRPr="000B5AEF">
              <w:rPr>
                <w:rFonts w:ascii="ITC Avant Garde" w:eastAsia="Calibri" w:hAnsi="ITC Avant Garde" w:cs="Arial"/>
                <w:b/>
                <w:bCs/>
                <w:color w:val="000000" w:themeColor="text1"/>
                <w:sz w:val="18"/>
                <w:szCs w:val="18"/>
              </w:rPr>
              <w:t>Comercialización Móvil, S. de R.L. de C.V., y AT&amp;T Desarrollo en Comunicaciones de México, S. de R.L. de C.V.</w:t>
            </w:r>
            <w:r w:rsidR="000B5AEF" w:rsidRPr="000B5AEF">
              <w:rPr>
                <w:rFonts w:ascii="ITC Avant Garde" w:hAnsi="ITC Avant Garde"/>
                <w:sz w:val="18"/>
                <w:szCs w:val="18"/>
              </w:rPr>
              <w:t>,</w:t>
            </w:r>
            <w:r w:rsidRPr="000B5AEF">
              <w:rPr>
                <w:rFonts w:ascii="ITC Avant Garde" w:hAnsi="ITC Avant Garde"/>
                <w:b/>
                <w:sz w:val="18"/>
                <w:szCs w:val="18"/>
              </w:rPr>
              <w:t xml:space="preserve">  </w:t>
            </w:r>
            <w:r w:rsidRPr="000B5AEF">
              <w:rPr>
                <w:rFonts w:ascii="ITC Avant Garde" w:hAnsi="ITC Avant Garde"/>
                <w:sz w:val="18"/>
                <w:szCs w:val="18"/>
              </w:rPr>
              <w:t>relativo a</w:t>
            </w:r>
            <w:r w:rsidR="00A374AB" w:rsidRPr="000B5AEF">
              <w:rPr>
                <w:rFonts w:ascii="ITC Avant Garde" w:hAnsi="ITC Avant Garde"/>
                <w:sz w:val="18"/>
                <w:szCs w:val="18"/>
              </w:rPr>
              <w:t>l límite o tope de espectro</w:t>
            </w:r>
            <w:r w:rsidRPr="000B5AEF">
              <w:rPr>
                <w:rFonts w:ascii="ITC Avant Garde" w:hAnsi="ITC Avant Garde"/>
                <w:sz w:val="18"/>
                <w:szCs w:val="18"/>
              </w:rPr>
              <w:t>,</w:t>
            </w:r>
            <w:r>
              <w:rPr>
                <w:rFonts w:ascii="ITC Avant Garde" w:hAnsi="ITC Avant Garde"/>
                <w:sz w:val="18"/>
                <w:szCs w:val="18"/>
              </w:rPr>
              <w:t xml:space="preserve"> </w:t>
            </w:r>
            <w:r w:rsidR="008F7D9F" w:rsidRPr="000B5AEF">
              <w:rPr>
                <w:rFonts w:ascii="ITC Avant Garde" w:hAnsi="ITC Avant Garde"/>
                <w:sz w:val="18"/>
                <w:szCs w:val="18"/>
              </w:rPr>
              <w:t xml:space="preserve">se informa que conforme al numeral 6.1 del Anteproyecto de Bases, los </w:t>
            </w:r>
            <w:r w:rsidR="000B5AEF" w:rsidRPr="000B5AEF">
              <w:rPr>
                <w:rFonts w:ascii="ITC Avant Garde" w:hAnsi="ITC Avant Garde"/>
                <w:sz w:val="18"/>
                <w:szCs w:val="18"/>
              </w:rPr>
              <w:t xml:space="preserve">límites de acumulación de espectro </w:t>
            </w:r>
            <w:r w:rsidR="008F7D9F" w:rsidRPr="000B5AEF">
              <w:rPr>
                <w:rFonts w:ascii="ITC Avant Garde" w:hAnsi="ITC Avant Garde"/>
                <w:sz w:val="18"/>
                <w:szCs w:val="18"/>
              </w:rPr>
              <w:t xml:space="preserve">se calcularán para cada </w:t>
            </w:r>
            <w:r w:rsidR="000B5AEF">
              <w:rPr>
                <w:rFonts w:ascii="ITC Avant Garde" w:hAnsi="ITC Avant Garde"/>
                <w:sz w:val="18"/>
                <w:szCs w:val="18"/>
              </w:rPr>
              <w:t>i</w:t>
            </w:r>
            <w:r w:rsidR="008F7D9F" w:rsidRPr="000B5AEF">
              <w:rPr>
                <w:rFonts w:ascii="ITC Avant Garde" w:hAnsi="ITC Avant Garde"/>
                <w:sz w:val="18"/>
                <w:szCs w:val="18"/>
              </w:rPr>
              <w:t xml:space="preserve">nteresado en su dimensión de GIE, considerando las personas con las que ese GIE tiene vínculos de tipo comercial, organizativo, económico o jurídico. En este sentido la Tabla 2 del Anteproyecto de Bases ejemplifica la tenencia espectral en bandas de frecuencias óptimas para la prestación del servicio de acceso inalámbrico móvil a la fecha de la aprobación de éstas, por lo que la evaluación en materia de competencia económica que realice el Instituto a los </w:t>
            </w:r>
            <w:r w:rsidR="000B5AEF">
              <w:rPr>
                <w:rFonts w:ascii="ITC Avant Garde" w:hAnsi="ITC Avant Garde"/>
                <w:sz w:val="18"/>
                <w:szCs w:val="18"/>
              </w:rPr>
              <w:t>i</w:t>
            </w:r>
            <w:r w:rsidR="008F7D9F" w:rsidRPr="000B5AEF">
              <w:rPr>
                <w:rFonts w:ascii="ITC Avant Garde" w:hAnsi="ITC Avant Garde"/>
                <w:sz w:val="18"/>
                <w:szCs w:val="18"/>
              </w:rPr>
              <w:t xml:space="preserve">nteresados para determinar su calidad de participantes en la Licitación se realizará conforme a la tenencia espectral de cada participante a la fecha de aprobación de las presentes Bases, con independencia de las transacciones y operaciones que pudieran llegar a realizar y/o a notificar los interesados en fecha posterior a ésta. Dicha tenencia es calculada a nivel nacional. </w:t>
            </w:r>
          </w:p>
          <w:p w14:paraId="214B68F6" w14:textId="1EB33A2A" w:rsidR="00A374AB" w:rsidRDefault="00A374AB" w:rsidP="000B5AEF">
            <w:pPr>
              <w:spacing w:after="0" w:line="276" w:lineRule="auto"/>
              <w:jc w:val="both"/>
              <w:rPr>
                <w:rFonts w:ascii="ITC Avant Garde" w:hAnsi="ITC Avant Garde"/>
                <w:sz w:val="18"/>
                <w:szCs w:val="18"/>
              </w:rPr>
            </w:pPr>
            <w:r w:rsidRPr="000B5AEF">
              <w:rPr>
                <w:rFonts w:ascii="ITC Avant Garde" w:hAnsi="ITC Avant Garde"/>
                <w:sz w:val="18"/>
                <w:szCs w:val="18"/>
              </w:rPr>
              <w:lastRenderedPageBreak/>
              <w:t xml:space="preserve">Asimismo, con relación al comentario relativo a los precios de reserva y los derechos anuales, </w:t>
            </w:r>
            <w:r w:rsidR="008F7D9F" w:rsidRPr="000B5AEF">
              <w:rPr>
                <w:rFonts w:ascii="ITC Avant Garde" w:hAnsi="ITC Avant Garde"/>
                <w:sz w:val="18"/>
                <w:szCs w:val="18"/>
              </w:rPr>
              <w:t>se informa que los valores mínimos de referencia no son parte del presente</w:t>
            </w:r>
            <w:r w:rsidR="008F7D9F">
              <w:rPr>
                <w:rFonts w:ascii="ITC Avant Garde" w:hAnsi="ITC Avant Garde"/>
                <w:sz w:val="18"/>
                <w:szCs w:val="18"/>
              </w:rPr>
              <w:t xml:space="preserve"> proceso de opinión pública.  Asimismo, respecto a las cuotas de derechos anuales no se emite manifestación alguna por no corresponder a los documentos sometidos a opinión pública.</w:t>
            </w:r>
          </w:p>
          <w:p w14:paraId="0231BD2E" w14:textId="77777777" w:rsidR="000B5AEF" w:rsidRDefault="000B5AEF" w:rsidP="000B5AEF">
            <w:pPr>
              <w:spacing w:line="276" w:lineRule="auto"/>
              <w:jc w:val="both"/>
              <w:rPr>
                <w:rFonts w:ascii="ITC Avant Garde" w:hAnsi="ITC Avant Garde"/>
                <w:sz w:val="18"/>
                <w:szCs w:val="18"/>
              </w:rPr>
            </w:pPr>
          </w:p>
          <w:p w14:paraId="31D4CCFD" w14:textId="257AA3A1" w:rsidR="00460312" w:rsidRDefault="00A374AB" w:rsidP="000B5AEF">
            <w:pPr>
              <w:spacing w:line="276" w:lineRule="auto"/>
              <w:jc w:val="both"/>
              <w:rPr>
                <w:rFonts w:ascii="ITC Avant Garde" w:hAnsi="ITC Avant Garde"/>
                <w:sz w:val="18"/>
                <w:szCs w:val="18"/>
              </w:rPr>
            </w:pPr>
            <w:r>
              <w:rPr>
                <w:rFonts w:ascii="ITC Avant Garde" w:hAnsi="ITC Avant Garde"/>
                <w:sz w:val="18"/>
                <w:szCs w:val="18"/>
              </w:rPr>
              <w:t xml:space="preserve">Finalmente, con </w:t>
            </w:r>
            <w:r w:rsidRPr="000B5AEF">
              <w:rPr>
                <w:rFonts w:ascii="ITC Avant Garde" w:hAnsi="ITC Avant Garde"/>
                <w:sz w:val="18"/>
                <w:szCs w:val="18"/>
              </w:rPr>
              <w:t>relación a</w:t>
            </w:r>
            <w:r w:rsidR="000559EE" w:rsidRPr="000B5AEF">
              <w:rPr>
                <w:rFonts w:ascii="ITC Avant Garde" w:hAnsi="ITC Avant Garde"/>
                <w:sz w:val="18"/>
                <w:szCs w:val="18"/>
              </w:rPr>
              <w:t xml:space="preserve"> </w:t>
            </w:r>
            <w:r w:rsidRPr="000B5AEF">
              <w:rPr>
                <w:rFonts w:ascii="ITC Avant Garde" w:hAnsi="ITC Avant Garde"/>
                <w:sz w:val="18"/>
                <w:szCs w:val="18"/>
              </w:rPr>
              <w:t>l</w:t>
            </w:r>
            <w:r w:rsidR="000559EE" w:rsidRPr="000B5AEF">
              <w:rPr>
                <w:rFonts w:ascii="ITC Avant Garde" w:hAnsi="ITC Avant Garde"/>
                <w:sz w:val="18"/>
                <w:szCs w:val="18"/>
              </w:rPr>
              <w:t>as</w:t>
            </w:r>
            <w:r w:rsidRPr="000B5AEF">
              <w:rPr>
                <w:rFonts w:ascii="ITC Avant Garde" w:hAnsi="ITC Avant Garde"/>
                <w:sz w:val="18"/>
                <w:szCs w:val="18"/>
              </w:rPr>
              <w:t xml:space="preserve"> </w:t>
            </w:r>
            <w:r w:rsidR="000559EE" w:rsidRPr="000B5AEF">
              <w:rPr>
                <w:rFonts w:ascii="ITC Avant Garde" w:hAnsi="ITC Avant Garde"/>
                <w:sz w:val="18"/>
                <w:szCs w:val="18"/>
              </w:rPr>
              <w:t>preguntas</w:t>
            </w:r>
            <w:r w:rsidRPr="000B5AEF">
              <w:rPr>
                <w:rFonts w:ascii="ITC Avant Garde" w:hAnsi="ITC Avant Garde"/>
                <w:sz w:val="18"/>
                <w:szCs w:val="18"/>
              </w:rPr>
              <w:t xml:space="preserve"> relativ</w:t>
            </w:r>
            <w:r w:rsidR="000559EE" w:rsidRPr="000B5AEF">
              <w:rPr>
                <w:rFonts w:ascii="ITC Avant Garde" w:hAnsi="ITC Avant Garde"/>
                <w:sz w:val="18"/>
                <w:szCs w:val="18"/>
              </w:rPr>
              <w:t>as</w:t>
            </w:r>
            <w:r w:rsidRPr="000B5AEF">
              <w:rPr>
                <w:rFonts w:ascii="ITC Avant Garde" w:hAnsi="ITC Avant Garde"/>
                <w:sz w:val="18"/>
                <w:szCs w:val="18"/>
              </w:rPr>
              <w:t xml:space="preserve"> </w:t>
            </w:r>
            <w:r w:rsidR="000559EE" w:rsidRPr="000B5AEF">
              <w:rPr>
                <w:rFonts w:ascii="ITC Avant Garde" w:hAnsi="ITC Avant Garde"/>
                <w:sz w:val="18"/>
                <w:szCs w:val="18"/>
              </w:rPr>
              <w:t>a los numerales 3.6, 3.7.2, 3.10.1, 3.11.1, 3.11.2, 3.13 y 3.15 del Apéndice B, se comenta lo siguiente:</w:t>
            </w:r>
          </w:p>
          <w:p w14:paraId="0DB22750" w14:textId="00493A6B" w:rsidR="005D08FE" w:rsidRDefault="005D08FE" w:rsidP="000B5AEF">
            <w:pPr>
              <w:tabs>
                <w:tab w:val="left" w:pos="2010"/>
              </w:tabs>
              <w:spacing w:after="0" w:line="276" w:lineRule="auto"/>
              <w:jc w:val="both"/>
              <w:rPr>
                <w:rFonts w:ascii="ITC Avant Garde" w:hAnsi="ITC Avant Garde" w:cs="Arial"/>
                <w:iCs/>
                <w:sz w:val="18"/>
                <w:szCs w:val="18"/>
              </w:rPr>
            </w:pPr>
            <w:r>
              <w:rPr>
                <w:rFonts w:ascii="ITC Avant Garde" w:hAnsi="ITC Avant Garde" w:cs="Arial"/>
                <w:iCs/>
                <w:sz w:val="18"/>
                <w:szCs w:val="18"/>
              </w:rPr>
              <w:t xml:space="preserve">Respecto a </w:t>
            </w:r>
            <w:r w:rsidR="000B5AEF">
              <w:rPr>
                <w:rFonts w:ascii="ITC Avant Garde" w:hAnsi="ITC Avant Garde" w:cs="Arial"/>
                <w:iCs/>
                <w:sz w:val="18"/>
                <w:szCs w:val="18"/>
              </w:rPr>
              <w:t xml:space="preserve">la sección 3.6 </w:t>
            </w:r>
            <w:r w:rsidR="008F7D9F">
              <w:rPr>
                <w:rFonts w:ascii="ITC Avant Garde" w:hAnsi="ITC Avant Garde" w:cs="Arial"/>
                <w:iCs/>
                <w:sz w:val="18"/>
                <w:szCs w:val="18"/>
              </w:rPr>
              <w:t xml:space="preserve">se </w:t>
            </w:r>
            <w:r w:rsidR="00C03526">
              <w:rPr>
                <w:rFonts w:ascii="ITC Avant Garde" w:hAnsi="ITC Avant Garde" w:cs="Arial"/>
                <w:iCs/>
                <w:sz w:val="18"/>
                <w:szCs w:val="18"/>
              </w:rPr>
              <w:t>informa que conforme al numeral 3.9 del Apéndice del Anteproyecto de Bases</w:t>
            </w:r>
            <w:r w:rsidR="000B5AEF">
              <w:rPr>
                <w:rFonts w:ascii="ITC Avant Garde" w:hAnsi="ITC Avant Garde" w:cs="Arial"/>
                <w:iCs/>
                <w:sz w:val="18"/>
                <w:szCs w:val="18"/>
              </w:rPr>
              <w:t>,</w:t>
            </w:r>
            <w:r w:rsidR="00C03526">
              <w:rPr>
                <w:rFonts w:ascii="ITC Avant Garde" w:hAnsi="ITC Avant Garde" w:cs="Arial"/>
                <w:iCs/>
                <w:sz w:val="18"/>
                <w:szCs w:val="18"/>
              </w:rPr>
              <w:t xml:space="preserve"> u</w:t>
            </w:r>
            <w:r w:rsidR="00C03526" w:rsidRPr="00C03526">
              <w:rPr>
                <w:rFonts w:ascii="ITC Avant Garde" w:hAnsi="ITC Avant Garde" w:cs="Arial"/>
                <w:iCs/>
                <w:sz w:val="18"/>
                <w:szCs w:val="18"/>
              </w:rPr>
              <w:t xml:space="preserve">n </w:t>
            </w:r>
            <w:r w:rsidR="000B5AEF" w:rsidRPr="00C03526">
              <w:rPr>
                <w:rFonts w:ascii="ITC Avant Garde" w:hAnsi="ITC Avant Garde" w:cs="Arial"/>
                <w:iCs/>
                <w:sz w:val="18"/>
                <w:szCs w:val="18"/>
              </w:rPr>
              <w:t xml:space="preserve">participante que no presente una oferta por al menos un bloque en la primera ronda de reloj de la fase i de la etapa de adjudicación será excluido de continuar participando en el procedimiento de presentación de ofertas y será descalificado en términos </w:t>
            </w:r>
            <w:r w:rsidR="00C03526" w:rsidRPr="00C03526">
              <w:rPr>
                <w:rFonts w:ascii="ITC Avant Garde" w:hAnsi="ITC Avant Garde" w:cs="Arial"/>
                <w:iCs/>
                <w:sz w:val="18"/>
                <w:szCs w:val="18"/>
              </w:rPr>
              <w:t xml:space="preserve">de las Bases. Esta regla será aplicable </w:t>
            </w:r>
            <w:r w:rsidR="000B5AEF" w:rsidRPr="00C03526">
              <w:rPr>
                <w:rFonts w:ascii="ITC Avant Garde" w:hAnsi="ITC Avant Garde" w:cs="Arial"/>
                <w:iCs/>
                <w:sz w:val="18"/>
                <w:szCs w:val="18"/>
              </w:rPr>
              <w:t xml:space="preserve">para participantes sin puntos de elegibilidad en la fase i, cuando deba iniciar actividad en la ronda de reloj correspondiente al inicio de la fase ii; o a participantes sin puntos de elegibilidad en la fase ii, cuando deba iniciar actividad en la ronda de reloj </w:t>
            </w:r>
            <w:r w:rsidR="00C03526" w:rsidRPr="00C03526">
              <w:rPr>
                <w:rFonts w:ascii="ITC Avant Garde" w:hAnsi="ITC Avant Garde" w:cs="Arial"/>
                <w:iCs/>
                <w:sz w:val="18"/>
                <w:szCs w:val="18"/>
              </w:rPr>
              <w:t>correspondiente al inicio de la fase III.</w:t>
            </w:r>
          </w:p>
          <w:p w14:paraId="1452CCDA" w14:textId="77777777" w:rsidR="000B5AEF" w:rsidRDefault="000B5AEF" w:rsidP="000B5AEF">
            <w:pPr>
              <w:tabs>
                <w:tab w:val="left" w:pos="2010"/>
              </w:tabs>
              <w:spacing w:after="0" w:line="276" w:lineRule="auto"/>
              <w:jc w:val="both"/>
              <w:rPr>
                <w:rFonts w:ascii="ITC Avant Garde" w:hAnsi="ITC Avant Garde" w:cs="Arial"/>
                <w:iCs/>
                <w:sz w:val="18"/>
                <w:szCs w:val="18"/>
              </w:rPr>
            </w:pPr>
          </w:p>
          <w:p w14:paraId="2D0D8D99" w14:textId="40D94DCD" w:rsidR="00C03526" w:rsidRDefault="005D08FE" w:rsidP="000B5AEF">
            <w:pPr>
              <w:pStyle w:val="Textoindependiente"/>
              <w:spacing w:after="0" w:line="276" w:lineRule="auto"/>
              <w:jc w:val="both"/>
              <w:rPr>
                <w:rFonts w:ascii="ITC Avant Garde" w:eastAsiaTheme="minorHAnsi" w:hAnsi="ITC Avant Garde" w:cs="Arial"/>
                <w:iCs/>
                <w:sz w:val="18"/>
                <w:szCs w:val="18"/>
                <w:lang w:val="es-MX" w:eastAsia="en-US"/>
              </w:rPr>
            </w:pPr>
            <w:r>
              <w:rPr>
                <w:rFonts w:ascii="ITC Avant Garde" w:hAnsi="ITC Avant Garde" w:cs="Arial"/>
                <w:iCs/>
                <w:sz w:val="18"/>
                <w:szCs w:val="18"/>
              </w:rPr>
              <w:t xml:space="preserve">Respecto a la sección </w:t>
            </w:r>
            <w:r w:rsidR="000559EE" w:rsidRPr="000559EE">
              <w:rPr>
                <w:rFonts w:ascii="ITC Avant Garde" w:hAnsi="ITC Avant Garde" w:cs="Arial"/>
                <w:iCs/>
                <w:sz w:val="18"/>
                <w:szCs w:val="18"/>
              </w:rPr>
              <w:t>3.7.2</w:t>
            </w:r>
            <w:r w:rsidR="000B5AEF">
              <w:rPr>
                <w:rFonts w:ascii="ITC Avant Garde" w:hAnsi="ITC Avant Garde" w:cs="Arial"/>
                <w:iCs/>
                <w:sz w:val="18"/>
                <w:szCs w:val="18"/>
              </w:rPr>
              <w:t>,</w:t>
            </w:r>
            <w:r w:rsidR="00C03526">
              <w:rPr>
                <w:rFonts w:ascii="ITC Avant Garde" w:hAnsi="ITC Avant Garde" w:cs="Arial"/>
                <w:iCs/>
                <w:sz w:val="18"/>
                <w:szCs w:val="18"/>
              </w:rPr>
              <w:t xml:space="preserve"> se</w:t>
            </w:r>
            <w:r w:rsidR="000B5AEF">
              <w:rPr>
                <w:rFonts w:ascii="ITC Avant Garde" w:hAnsi="ITC Avant Garde" w:cs="Arial"/>
                <w:iCs/>
                <w:sz w:val="18"/>
                <w:szCs w:val="18"/>
              </w:rPr>
              <w:t xml:space="preserve"> aclara</w:t>
            </w:r>
            <w:r w:rsidR="00C03526">
              <w:rPr>
                <w:rFonts w:ascii="ITC Avant Garde" w:hAnsi="ITC Avant Garde" w:cs="Arial"/>
                <w:iCs/>
                <w:sz w:val="18"/>
                <w:szCs w:val="18"/>
              </w:rPr>
              <w:t xml:space="preserve"> que </w:t>
            </w:r>
            <w:r w:rsidR="000B5AEF">
              <w:rPr>
                <w:rFonts w:ascii="ITC Avant Garde" w:hAnsi="ITC Avant Garde"/>
                <w:sz w:val="18"/>
                <w:szCs w:val="18"/>
              </w:rPr>
              <w:t>u</w:t>
            </w:r>
            <w:r w:rsidR="000B5AEF" w:rsidRPr="000B5AEF">
              <w:rPr>
                <w:rFonts w:ascii="ITC Avant Garde" w:eastAsiaTheme="minorHAnsi" w:hAnsi="ITC Avant Garde" w:cs="Arial"/>
                <w:iCs/>
                <w:sz w:val="18"/>
                <w:szCs w:val="18"/>
                <w:lang w:val="es-MX" w:eastAsia="en-US"/>
              </w:rPr>
              <w:t>n derecho de extensión le brinda a un participante tiemp</w:t>
            </w:r>
            <w:r w:rsidR="00C03526" w:rsidRPr="000B5AEF">
              <w:rPr>
                <w:rFonts w:ascii="ITC Avant Garde" w:eastAsiaTheme="minorHAnsi" w:hAnsi="ITC Avant Garde" w:cs="Arial"/>
                <w:iCs/>
                <w:sz w:val="18"/>
                <w:szCs w:val="18"/>
                <w:lang w:val="es-MX" w:eastAsia="en-US"/>
              </w:rPr>
              <w:t xml:space="preserve">o adicional para presentar una </w:t>
            </w:r>
            <w:r w:rsidR="000B5AEF" w:rsidRPr="000B5AEF">
              <w:rPr>
                <w:rFonts w:ascii="ITC Avant Garde" w:eastAsiaTheme="minorHAnsi" w:hAnsi="ITC Avant Garde" w:cs="Arial"/>
                <w:iCs/>
                <w:sz w:val="18"/>
                <w:szCs w:val="18"/>
                <w:lang w:val="es-MX" w:eastAsia="en-US"/>
              </w:rPr>
              <w:t>oferta durante una ronda de reloj</w:t>
            </w:r>
            <w:r w:rsidR="000B5AEF" w:rsidRPr="000B5AEF" w:rsidDel="00AC5A05">
              <w:rPr>
                <w:rFonts w:ascii="ITC Avant Garde" w:eastAsiaTheme="minorHAnsi" w:hAnsi="ITC Avant Garde" w:cs="Arial"/>
                <w:iCs/>
                <w:sz w:val="18"/>
                <w:szCs w:val="18"/>
                <w:lang w:val="es-MX" w:eastAsia="en-US"/>
              </w:rPr>
              <w:t xml:space="preserve"> </w:t>
            </w:r>
            <w:r w:rsidR="00C03526" w:rsidRPr="000B5AEF">
              <w:rPr>
                <w:rFonts w:ascii="ITC Avant Garde" w:eastAsiaTheme="minorHAnsi" w:hAnsi="ITC Avant Garde" w:cs="Arial"/>
                <w:iCs/>
                <w:sz w:val="18"/>
                <w:szCs w:val="18"/>
                <w:lang w:val="es-MX" w:eastAsia="en-US"/>
              </w:rPr>
              <w:t xml:space="preserve">(periodo de extensión). Cada </w:t>
            </w:r>
            <w:r w:rsidR="000B5AEF" w:rsidRPr="000B5AEF">
              <w:rPr>
                <w:rFonts w:ascii="ITC Avant Garde" w:eastAsiaTheme="minorHAnsi" w:hAnsi="ITC Avant Garde" w:cs="Arial"/>
                <w:iCs/>
                <w:sz w:val="18"/>
                <w:szCs w:val="18"/>
                <w:lang w:val="es-MX" w:eastAsia="en-US"/>
              </w:rPr>
              <w:lastRenderedPageBreak/>
              <w:t>participante comienza la etapa de adjudicación con 2 (dos) derechos de extensión</w:t>
            </w:r>
            <w:r w:rsidR="00C03526" w:rsidRPr="000B5AEF">
              <w:rPr>
                <w:rFonts w:ascii="ITC Avant Garde" w:eastAsiaTheme="minorHAnsi" w:hAnsi="ITC Avant Garde" w:cs="Arial"/>
                <w:iCs/>
                <w:sz w:val="18"/>
                <w:szCs w:val="18"/>
                <w:lang w:val="es-MX" w:eastAsia="en-US"/>
              </w:rPr>
              <w:t xml:space="preserve">. Sólo se puede ejercer </w:t>
            </w:r>
            <w:r w:rsidR="000B5AEF" w:rsidRPr="000B5AEF">
              <w:rPr>
                <w:rFonts w:ascii="ITC Avant Garde" w:eastAsiaTheme="minorHAnsi" w:hAnsi="ITC Avant Garde" w:cs="Arial"/>
                <w:iCs/>
                <w:sz w:val="18"/>
                <w:szCs w:val="18"/>
                <w:lang w:val="es-MX" w:eastAsia="en-US"/>
              </w:rPr>
              <w:t>un derecho de extensión por cada participante en una misma ronda de reloj</w:t>
            </w:r>
            <w:r w:rsidR="00C03526" w:rsidRPr="000B5AEF">
              <w:rPr>
                <w:rFonts w:ascii="ITC Avant Garde" w:eastAsiaTheme="minorHAnsi" w:hAnsi="ITC Avant Garde" w:cs="Arial"/>
                <w:iCs/>
                <w:sz w:val="18"/>
                <w:szCs w:val="18"/>
                <w:lang w:val="es-MX" w:eastAsia="en-US"/>
              </w:rPr>
              <w:t>.</w:t>
            </w:r>
          </w:p>
          <w:p w14:paraId="6B8A91D4" w14:textId="77777777" w:rsidR="000B5AEF" w:rsidRPr="000B5AEF" w:rsidRDefault="000B5AEF" w:rsidP="000B5AEF">
            <w:pPr>
              <w:pStyle w:val="Textoindependiente"/>
              <w:spacing w:before="240" w:after="0" w:line="276" w:lineRule="auto"/>
              <w:jc w:val="both"/>
              <w:rPr>
                <w:rFonts w:ascii="ITC Avant Garde" w:hAnsi="ITC Avant Garde" w:cs="Arial"/>
                <w:iCs/>
                <w:sz w:val="18"/>
                <w:szCs w:val="18"/>
              </w:rPr>
            </w:pPr>
          </w:p>
          <w:p w14:paraId="0B3E8756" w14:textId="461494C0" w:rsidR="000559EE" w:rsidRDefault="005D08FE" w:rsidP="000B5AEF">
            <w:pPr>
              <w:tabs>
                <w:tab w:val="left" w:pos="2010"/>
              </w:tabs>
              <w:spacing w:after="0" w:line="276" w:lineRule="auto"/>
              <w:jc w:val="both"/>
              <w:rPr>
                <w:rFonts w:ascii="ITC Avant Garde" w:hAnsi="ITC Avant Garde" w:cs="Arial"/>
                <w:iCs/>
                <w:sz w:val="18"/>
                <w:szCs w:val="18"/>
              </w:rPr>
            </w:pPr>
            <w:r>
              <w:rPr>
                <w:rFonts w:ascii="ITC Avant Garde" w:hAnsi="ITC Avant Garde" w:cs="Arial"/>
                <w:iCs/>
                <w:sz w:val="18"/>
                <w:szCs w:val="18"/>
              </w:rPr>
              <w:t>Respecto a la</w:t>
            </w:r>
            <w:r w:rsidR="000559EE" w:rsidRPr="000559EE">
              <w:rPr>
                <w:rFonts w:ascii="ITC Avant Garde" w:hAnsi="ITC Avant Garde" w:cs="Arial"/>
                <w:iCs/>
                <w:sz w:val="18"/>
                <w:szCs w:val="18"/>
              </w:rPr>
              <w:t xml:space="preserve"> sección 3.10.1 </w:t>
            </w:r>
            <w:r w:rsidR="00C03526">
              <w:rPr>
                <w:rFonts w:ascii="ITC Avant Garde" w:hAnsi="ITC Avant Garde" w:cs="Arial"/>
                <w:iCs/>
                <w:sz w:val="18"/>
                <w:szCs w:val="18"/>
              </w:rPr>
              <w:t xml:space="preserve">se informa </w:t>
            </w:r>
            <w:r w:rsidR="00C03526" w:rsidRPr="000B5AEF">
              <w:rPr>
                <w:rFonts w:ascii="ITC Avant Garde" w:hAnsi="ITC Avant Garde" w:cs="Arial"/>
                <w:iCs/>
                <w:sz w:val="18"/>
                <w:szCs w:val="18"/>
              </w:rPr>
              <w:t xml:space="preserve">que </w:t>
            </w:r>
            <w:r w:rsidR="00C03526" w:rsidRPr="000B5AEF">
              <w:rPr>
                <w:rFonts w:ascii="ITC Avant Garde" w:hAnsi="ITC Avant Garde"/>
              </w:rPr>
              <w:t>s</w:t>
            </w:r>
            <w:r w:rsidR="00C03526" w:rsidRPr="000B5AEF">
              <w:rPr>
                <w:rFonts w:ascii="ITC Avant Garde" w:hAnsi="ITC Avant Garde" w:cs="Arial"/>
                <w:iCs/>
                <w:sz w:val="18"/>
                <w:szCs w:val="18"/>
              </w:rPr>
              <w:t xml:space="preserve">i </w:t>
            </w:r>
            <w:r w:rsidR="000B5AEF" w:rsidRPr="000B5AEF">
              <w:rPr>
                <w:rFonts w:ascii="ITC Avant Garde" w:hAnsi="ITC Avant Garde" w:cs="Arial"/>
                <w:iCs/>
                <w:sz w:val="18"/>
                <w:szCs w:val="18"/>
              </w:rPr>
              <w:t>un</w:t>
            </w:r>
            <w:r w:rsidR="000B5AEF" w:rsidRPr="00C03526">
              <w:rPr>
                <w:rFonts w:ascii="ITC Avant Garde" w:hAnsi="ITC Avant Garde" w:cs="Arial"/>
                <w:iCs/>
                <w:sz w:val="18"/>
                <w:szCs w:val="18"/>
              </w:rPr>
              <w:t xml:space="preserve"> participante presenta un retiro, se reducen en uno sus puntos de elegibilidad en las rondas de reloj subsecuentes, independientemente de que el bloque sea retenido al presentarse un retiro rechazado</w:t>
            </w:r>
            <w:r w:rsidR="00C03526" w:rsidRPr="00C03526">
              <w:rPr>
                <w:rFonts w:ascii="ITC Avant Garde" w:hAnsi="ITC Avant Garde" w:cs="Arial"/>
                <w:iCs/>
                <w:sz w:val="18"/>
                <w:szCs w:val="18"/>
              </w:rPr>
              <w:t xml:space="preserve">, de conformidad con el numeral 3.11.1 </w:t>
            </w:r>
            <w:r w:rsidR="000B5AEF">
              <w:rPr>
                <w:rFonts w:ascii="ITC Avant Garde" w:hAnsi="ITC Avant Garde" w:cs="Arial"/>
                <w:iCs/>
                <w:sz w:val="18"/>
                <w:szCs w:val="18"/>
              </w:rPr>
              <w:t>del</w:t>
            </w:r>
            <w:r w:rsidR="00C03526" w:rsidRPr="00C03526">
              <w:rPr>
                <w:rFonts w:ascii="ITC Avant Garde" w:hAnsi="ITC Avant Garde" w:cs="Arial"/>
                <w:iCs/>
                <w:sz w:val="18"/>
                <w:szCs w:val="18"/>
              </w:rPr>
              <w:t xml:space="preserve"> Apéndice</w:t>
            </w:r>
            <w:r w:rsidR="00C03526">
              <w:rPr>
                <w:rFonts w:ascii="ITC Avant Garde" w:hAnsi="ITC Avant Garde" w:cs="Arial"/>
                <w:iCs/>
                <w:sz w:val="18"/>
                <w:szCs w:val="18"/>
              </w:rPr>
              <w:t xml:space="preserve"> B</w:t>
            </w:r>
            <w:r w:rsidR="00C03526" w:rsidRPr="00C03526">
              <w:rPr>
                <w:rFonts w:ascii="ITC Avant Garde" w:hAnsi="ITC Avant Garde" w:cs="Arial"/>
                <w:iCs/>
                <w:sz w:val="18"/>
                <w:szCs w:val="18"/>
              </w:rPr>
              <w:t>.</w:t>
            </w:r>
          </w:p>
          <w:p w14:paraId="1A80A01A" w14:textId="77777777" w:rsidR="000B5AEF" w:rsidRPr="000559EE" w:rsidRDefault="000B5AEF" w:rsidP="000B5AEF">
            <w:pPr>
              <w:tabs>
                <w:tab w:val="left" w:pos="2010"/>
              </w:tabs>
              <w:spacing w:after="0" w:line="276" w:lineRule="auto"/>
              <w:jc w:val="both"/>
              <w:rPr>
                <w:rFonts w:ascii="ITC Avant Garde" w:hAnsi="ITC Avant Garde" w:cs="Arial"/>
                <w:iCs/>
                <w:sz w:val="18"/>
                <w:szCs w:val="18"/>
              </w:rPr>
            </w:pPr>
          </w:p>
          <w:p w14:paraId="78DAB01A" w14:textId="0A6C203A" w:rsidR="000559EE" w:rsidRDefault="005D08FE" w:rsidP="000B5AEF">
            <w:pPr>
              <w:tabs>
                <w:tab w:val="left" w:pos="2010"/>
              </w:tabs>
              <w:spacing w:after="0" w:line="276" w:lineRule="auto"/>
              <w:jc w:val="both"/>
              <w:rPr>
                <w:rFonts w:ascii="ITC Avant Garde" w:hAnsi="ITC Avant Garde" w:cs="Arial"/>
                <w:iCs/>
                <w:sz w:val="18"/>
                <w:szCs w:val="18"/>
              </w:rPr>
            </w:pPr>
            <w:r>
              <w:rPr>
                <w:rFonts w:ascii="ITC Avant Garde" w:hAnsi="ITC Avant Garde" w:cs="Arial"/>
                <w:iCs/>
                <w:sz w:val="18"/>
                <w:szCs w:val="18"/>
              </w:rPr>
              <w:t>Respecto a las</w:t>
            </w:r>
            <w:r w:rsidR="000559EE" w:rsidRPr="000559EE">
              <w:rPr>
                <w:rFonts w:ascii="ITC Avant Garde" w:hAnsi="ITC Avant Garde" w:cs="Arial"/>
                <w:iCs/>
                <w:sz w:val="18"/>
                <w:szCs w:val="18"/>
              </w:rPr>
              <w:t xml:space="preserve"> secciones 3.11.1 y 3.11.2</w:t>
            </w:r>
            <w:r w:rsidR="00C03526">
              <w:rPr>
                <w:rFonts w:ascii="ITC Avant Garde" w:hAnsi="ITC Avant Garde" w:cs="Arial"/>
                <w:iCs/>
                <w:sz w:val="18"/>
                <w:szCs w:val="18"/>
              </w:rPr>
              <w:t xml:space="preserve"> se informa que el Anteproyecto prevé la </w:t>
            </w:r>
            <w:r w:rsidR="000B5AEF">
              <w:rPr>
                <w:rFonts w:ascii="ITC Avant Garde" w:hAnsi="ITC Avant Garde" w:cs="Arial"/>
                <w:iCs/>
                <w:sz w:val="18"/>
                <w:szCs w:val="18"/>
              </w:rPr>
              <w:t>actividad de sesiones de práctica previo al procedimiento de presentación de ofertas durante las cuales los participantes se podrán familiarizar con el si</w:t>
            </w:r>
            <w:r w:rsidR="009A2735">
              <w:rPr>
                <w:rFonts w:ascii="ITC Avant Garde" w:hAnsi="ITC Avant Garde" w:cs="Arial"/>
                <w:iCs/>
                <w:sz w:val="18"/>
                <w:szCs w:val="18"/>
              </w:rPr>
              <w:t>stema y en las que se incluirán ejemplos y casos prácticos del mecanismo, con independencia de que estos ejemplos puedan ser incluidos en el manual del SEPRO</w:t>
            </w:r>
            <w:r w:rsidR="0001600E">
              <w:rPr>
                <w:rFonts w:ascii="ITC Avant Garde" w:hAnsi="ITC Avant Garde" w:cs="Arial"/>
                <w:iCs/>
                <w:sz w:val="18"/>
                <w:szCs w:val="18"/>
              </w:rPr>
              <w:t>.</w:t>
            </w:r>
          </w:p>
          <w:p w14:paraId="711D0ECF" w14:textId="77777777" w:rsidR="000B5AEF" w:rsidRPr="000559EE" w:rsidRDefault="000B5AEF" w:rsidP="000B5AEF">
            <w:pPr>
              <w:tabs>
                <w:tab w:val="left" w:pos="2010"/>
              </w:tabs>
              <w:spacing w:after="0" w:line="276" w:lineRule="auto"/>
              <w:jc w:val="both"/>
              <w:rPr>
                <w:rFonts w:ascii="ITC Avant Garde" w:hAnsi="ITC Avant Garde" w:cs="Arial"/>
                <w:iCs/>
                <w:sz w:val="18"/>
                <w:szCs w:val="18"/>
              </w:rPr>
            </w:pPr>
          </w:p>
          <w:p w14:paraId="328B796B" w14:textId="388D247E" w:rsidR="0001600E" w:rsidRPr="0001600E" w:rsidRDefault="005D08FE" w:rsidP="000B5AEF">
            <w:pPr>
              <w:pStyle w:val="Textoindependiente"/>
              <w:spacing w:before="240" w:after="0" w:line="276" w:lineRule="auto"/>
              <w:jc w:val="both"/>
              <w:rPr>
                <w:rFonts w:ascii="ITC Avant Garde" w:eastAsiaTheme="minorHAnsi" w:hAnsi="ITC Avant Garde" w:cs="Arial"/>
                <w:iCs/>
                <w:sz w:val="18"/>
                <w:szCs w:val="18"/>
                <w:lang w:val="es-MX" w:eastAsia="en-US"/>
              </w:rPr>
            </w:pPr>
            <w:r>
              <w:rPr>
                <w:rFonts w:ascii="ITC Avant Garde" w:hAnsi="ITC Avant Garde" w:cs="Arial"/>
                <w:iCs/>
                <w:sz w:val="18"/>
                <w:szCs w:val="18"/>
              </w:rPr>
              <w:t>Respecto a la</w:t>
            </w:r>
            <w:r w:rsidRPr="000559EE">
              <w:rPr>
                <w:rFonts w:ascii="ITC Avant Garde" w:hAnsi="ITC Avant Garde" w:cs="Arial"/>
                <w:iCs/>
                <w:sz w:val="18"/>
                <w:szCs w:val="18"/>
              </w:rPr>
              <w:t xml:space="preserve"> sección 3.13 </w:t>
            </w:r>
            <w:r w:rsidR="0001600E" w:rsidRPr="0001600E">
              <w:rPr>
                <w:rFonts w:ascii="ITC Avant Garde" w:eastAsiaTheme="minorHAnsi" w:hAnsi="ITC Avant Garde" w:cs="Arial"/>
                <w:iCs/>
                <w:sz w:val="18"/>
                <w:szCs w:val="18"/>
                <w:lang w:val="es-MX" w:eastAsia="en-US"/>
              </w:rPr>
              <w:t xml:space="preserve">se informa que no se dará información sobre </w:t>
            </w:r>
            <w:r w:rsidR="000B5AEF" w:rsidRPr="0001600E">
              <w:rPr>
                <w:rFonts w:ascii="ITC Avant Garde" w:eastAsiaTheme="minorHAnsi" w:hAnsi="ITC Avant Garde" w:cs="Arial"/>
                <w:iCs/>
                <w:sz w:val="18"/>
                <w:szCs w:val="18"/>
                <w:lang w:val="es-MX" w:eastAsia="en-US"/>
              </w:rPr>
              <w:t>las ofertas presentadas de manera individual por otros participantes durante el periodo de reporte</w:t>
            </w:r>
            <w:r w:rsidR="007339B2">
              <w:rPr>
                <w:rFonts w:ascii="ITC Avant Garde" w:eastAsiaTheme="minorHAnsi" w:hAnsi="ITC Avant Garde" w:cs="Arial"/>
                <w:iCs/>
                <w:sz w:val="18"/>
                <w:szCs w:val="18"/>
                <w:lang w:val="es-MX" w:eastAsia="en-US"/>
              </w:rPr>
              <w:t>, asimismo, no se tiene contemplado dar información del exceso de oferta de cada categoría, ya que se considera que el dato relevante es el exceso de demanda que afecta a los precios de reloj.</w:t>
            </w:r>
          </w:p>
          <w:p w14:paraId="64DDE491" w14:textId="15EB251F" w:rsidR="005D08FE" w:rsidRPr="000559EE" w:rsidRDefault="005D08FE" w:rsidP="000B5AEF">
            <w:pPr>
              <w:tabs>
                <w:tab w:val="left" w:pos="2010"/>
              </w:tabs>
              <w:spacing w:after="0" w:line="276" w:lineRule="auto"/>
              <w:jc w:val="both"/>
              <w:rPr>
                <w:rFonts w:ascii="ITC Avant Garde" w:hAnsi="ITC Avant Garde" w:cs="Arial"/>
                <w:iCs/>
                <w:sz w:val="18"/>
                <w:szCs w:val="18"/>
              </w:rPr>
            </w:pPr>
          </w:p>
          <w:p w14:paraId="78A2C8AF" w14:textId="520EBE24" w:rsidR="000559EE" w:rsidRPr="000559EE" w:rsidRDefault="005D08FE" w:rsidP="000B5AEF">
            <w:pPr>
              <w:tabs>
                <w:tab w:val="left" w:pos="2010"/>
              </w:tabs>
              <w:spacing w:line="276" w:lineRule="auto"/>
              <w:jc w:val="both"/>
              <w:rPr>
                <w:rFonts w:ascii="ITC Avant Garde" w:hAnsi="ITC Avant Garde" w:cs="Arial"/>
                <w:iCs/>
                <w:sz w:val="18"/>
                <w:szCs w:val="18"/>
              </w:rPr>
            </w:pPr>
            <w:r>
              <w:rPr>
                <w:rFonts w:ascii="ITC Avant Garde" w:hAnsi="ITC Avant Garde" w:cs="Arial"/>
                <w:iCs/>
                <w:sz w:val="18"/>
                <w:szCs w:val="18"/>
              </w:rPr>
              <w:t>Respecto a la</w:t>
            </w:r>
            <w:r w:rsidR="000559EE" w:rsidRPr="000559EE">
              <w:rPr>
                <w:rFonts w:ascii="ITC Avant Garde" w:hAnsi="ITC Avant Garde" w:cs="Arial"/>
                <w:iCs/>
                <w:sz w:val="18"/>
                <w:szCs w:val="18"/>
              </w:rPr>
              <w:t xml:space="preserve"> sección 3.15</w:t>
            </w:r>
            <w:r w:rsidR="00497233">
              <w:rPr>
                <w:rFonts w:ascii="ITC Avant Garde" w:hAnsi="ITC Avant Garde" w:cs="Arial"/>
                <w:iCs/>
                <w:sz w:val="18"/>
                <w:szCs w:val="18"/>
              </w:rPr>
              <w:t xml:space="preserve"> se informa que </w:t>
            </w:r>
            <w:r w:rsidR="00497233" w:rsidRPr="000B5AEF">
              <w:rPr>
                <w:rFonts w:ascii="ITC Avant Garde" w:hAnsi="ITC Avant Garde" w:cs="Arial"/>
                <w:iCs/>
                <w:sz w:val="18"/>
                <w:szCs w:val="18"/>
              </w:rPr>
              <w:t>el retiro de un b</w:t>
            </w:r>
            <w:r w:rsidR="00497233" w:rsidRPr="00497233">
              <w:rPr>
                <w:rFonts w:ascii="ITC Avant Garde" w:hAnsi="ITC Avant Garde" w:cs="Arial"/>
                <w:iCs/>
                <w:sz w:val="18"/>
                <w:szCs w:val="18"/>
              </w:rPr>
              <w:t xml:space="preserve">loque será retenido al </w:t>
            </w:r>
            <w:r w:rsidR="000B5AEF" w:rsidRPr="00497233">
              <w:rPr>
                <w:rFonts w:ascii="ITC Avant Garde" w:hAnsi="ITC Avant Garde" w:cs="Arial"/>
                <w:iCs/>
                <w:sz w:val="18"/>
                <w:szCs w:val="18"/>
              </w:rPr>
              <w:t>precio de retiro fijado por e</w:t>
            </w:r>
            <w:r w:rsidR="000B5AEF">
              <w:rPr>
                <w:rFonts w:ascii="ITC Avant Garde" w:hAnsi="ITC Avant Garde" w:cs="Arial"/>
                <w:iCs/>
                <w:sz w:val="18"/>
                <w:szCs w:val="18"/>
              </w:rPr>
              <w:t>l participante correspondiente</w:t>
            </w:r>
            <w:r w:rsidR="00497233">
              <w:rPr>
                <w:rFonts w:ascii="ITC Avant Garde" w:hAnsi="ITC Avant Garde" w:cs="Arial"/>
                <w:iCs/>
                <w:sz w:val="18"/>
                <w:szCs w:val="18"/>
              </w:rPr>
              <w:t>.</w:t>
            </w:r>
            <w:r w:rsidR="00497233" w:rsidRPr="000B5AEF">
              <w:rPr>
                <w:rFonts w:ascii="ITC Avant Garde" w:hAnsi="ITC Avant Garde" w:cs="Arial"/>
                <w:iCs/>
                <w:sz w:val="18"/>
                <w:szCs w:val="18"/>
              </w:rPr>
              <w:t xml:space="preserve"> </w:t>
            </w:r>
            <w:r w:rsidR="00497233" w:rsidRPr="00497233">
              <w:rPr>
                <w:rFonts w:ascii="ITC Avant Garde" w:hAnsi="ITC Avant Garde" w:cs="Arial"/>
                <w:iCs/>
                <w:sz w:val="18"/>
                <w:szCs w:val="18"/>
              </w:rPr>
              <w:t xml:space="preserve">Para determinar </w:t>
            </w:r>
            <w:r w:rsidR="000B5AEF" w:rsidRPr="00497233">
              <w:rPr>
                <w:rFonts w:ascii="ITC Avant Garde" w:hAnsi="ITC Avant Garde" w:cs="Arial"/>
                <w:iCs/>
                <w:sz w:val="18"/>
                <w:szCs w:val="18"/>
              </w:rPr>
              <w:t>un retiro rechazado</w:t>
            </w:r>
            <w:r w:rsidR="00497233" w:rsidRPr="00497233">
              <w:rPr>
                <w:rFonts w:ascii="ITC Avant Garde" w:hAnsi="ITC Avant Garde" w:cs="Arial"/>
                <w:iCs/>
                <w:sz w:val="18"/>
                <w:szCs w:val="18"/>
              </w:rPr>
              <w:t xml:space="preserve">, el SEPRO iniciará con </w:t>
            </w:r>
            <w:r w:rsidR="000B5AEF" w:rsidRPr="00497233">
              <w:rPr>
                <w:rFonts w:ascii="ITC Avant Garde" w:hAnsi="ITC Avant Garde" w:cs="Arial"/>
                <w:iCs/>
                <w:sz w:val="18"/>
                <w:szCs w:val="18"/>
              </w:rPr>
              <w:t>el bloque con el mayor precio de retiro</w:t>
            </w:r>
            <w:r w:rsidR="000B5AEF">
              <w:rPr>
                <w:rFonts w:ascii="ITC Avant Garde" w:hAnsi="ITC Avant Garde" w:cs="Arial"/>
                <w:iCs/>
                <w:sz w:val="18"/>
                <w:szCs w:val="18"/>
              </w:rPr>
              <w:t>.</w:t>
            </w:r>
          </w:p>
          <w:p w14:paraId="2B1880C8" w14:textId="51908F43" w:rsidR="00460312" w:rsidRDefault="00460312" w:rsidP="000B5AEF">
            <w:pPr>
              <w:tabs>
                <w:tab w:val="left" w:pos="2010"/>
              </w:tabs>
              <w:spacing w:line="276" w:lineRule="auto"/>
              <w:jc w:val="both"/>
              <w:rPr>
                <w:rFonts w:ascii="ITC Avant Garde" w:hAnsi="ITC Avant Garde"/>
                <w:sz w:val="18"/>
                <w:szCs w:val="18"/>
              </w:rPr>
            </w:pPr>
          </w:p>
        </w:tc>
      </w:tr>
      <w:tr w:rsidR="00460312" w:rsidRPr="00637136" w14:paraId="6EC393D5" w14:textId="77777777" w:rsidTr="009155A1">
        <w:trPr>
          <w:trHeight w:val="290"/>
          <w:tblHeader/>
        </w:trPr>
        <w:tc>
          <w:tcPr>
            <w:tcW w:w="472" w:type="pct"/>
          </w:tcPr>
          <w:p w14:paraId="11D51FAF" w14:textId="309665C0" w:rsidR="00460312" w:rsidRPr="00F43A25" w:rsidRDefault="00F43A25" w:rsidP="0039782A">
            <w:pPr>
              <w:spacing w:after="0" w:line="276" w:lineRule="auto"/>
              <w:jc w:val="both"/>
              <w:rPr>
                <w:rFonts w:ascii="ITC Avant Garde" w:eastAsia="Calibri" w:hAnsi="ITC Avant Garde" w:cs="Arial"/>
                <w:b/>
                <w:bCs/>
                <w:color w:val="000000" w:themeColor="text1"/>
                <w:sz w:val="18"/>
                <w:szCs w:val="18"/>
              </w:rPr>
            </w:pPr>
            <w:r w:rsidRPr="00F43A25">
              <w:rPr>
                <w:rFonts w:ascii="ITC Avant Garde" w:hAnsi="ITC Avant Garde"/>
                <w:b/>
                <w:sz w:val="18"/>
                <w:szCs w:val="18"/>
              </w:rPr>
              <w:lastRenderedPageBreak/>
              <w:t>Cablevisión, S.A. de C.V.; Cablemás Telecomunicaciones, S.A. de C.V.; Cablevisión Red, S.A. de C.V., TV Cable Oriente, S.A. de C.V., y Televisión Internacional, S.A. de C.V.</w:t>
            </w:r>
          </w:p>
        </w:tc>
        <w:tc>
          <w:tcPr>
            <w:tcW w:w="570" w:type="pct"/>
            <w:shd w:val="clear" w:color="auto" w:fill="auto"/>
          </w:tcPr>
          <w:p w14:paraId="382D2A22" w14:textId="77777777"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p>
        </w:tc>
        <w:tc>
          <w:tcPr>
            <w:tcW w:w="1966" w:type="pct"/>
            <w:shd w:val="clear" w:color="auto" w:fill="auto"/>
          </w:tcPr>
          <w:p w14:paraId="5C8E9572" w14:textId="1AAF096C" w:rsidR="007A3389" w:rsidRPr="007A3389" w:rsidRDefault="007A3389" w:rsidP="00F43A25">
            <w:pPr>
              <w:tabs>
                <w:tab w:val="left" w:pos="2010"/>
              </w:tabs>
              <w:spacing w:line="276" w:lineRule="auto"/>
              <w:jc w:val="both"/>
              <w:rPr>
                <w:rFonts w:ascii="ITC Avant Garde" w:hAnsi="ITC Avant Garde" w:cs="Arial"/>
                <w:i/>
                <w:iCs/>
                <w:sz w:val="18"/>
                <w:szCs w:val="18"/>
              </w:rPr>
            </w:pPr>
            <w:r w:rsidRPr="007A3389">
              <w:rPr>
                <w:rFonts w:ascii="ITC Avant Garde" w:hAnsi="ITC Avant Garde" w:cs="Arial"/>
                <w:i/>
                <w:iCs/>
                <w:sz w:val="18"/>
                <w:szCs w:val="18"/>
              </w:rPr>
              <w:t>Es legítimo y justificado el argumento del Instituto para establecer límites de acumulación de espectro, que es evitar un “</w:t>
            </w:r>
            <w:r>
              <w:rPr>
                <w:rFonts w:ascii="ITC Avant Garde" w:hAnsi="ITC Avant Garde" w:cs="Arial"/>
                <w:i/>
                <w:iCs/>
                <w:sz w:val="18"/>
                <w:szCs w:val="18"/>
              </w:rPr>
              <w:t>efec</w:t>
            </w:r>
            <w:r w:rsidRPr="007A3389">
              <w:rPr>
                <w:rFonts w:ascii="ITC Avant Garde" w:hAnsi="ITC Avant Garde" w:cs="Arial"/>
                <w:i/>
                <w:iCs/>
                <w:sz w:val="18"/>
                <w:szCs w:val="18"/>
              </w:rPr>
              <w:t>to adverso a la competencia y libre concurrencia o genera concentraciones de espectro radioeléctrico contrarias al interés público.”</w:t>
            </w:r>
          </w:p>
          <w:p w14:paraId="1E061046" w14:textId="27AC4AAD" w:rsidR="007A3389" w:rsidRPr="007A3389" w:rsidRDefault="007A3389" w:rsidP="00F43A25">
            <w:pPr>
              <w:tabs>
                <w:tab w:val="left" w:pos="2010"/>
              </w:tabs>
              <w:spacing w:line="276" w:lineRule="auto"/>
              <w:jc w:val="both"/>
              <w:rPr>
                <w:rFonts w:ascii="ITC Avant Garde" w:hAnsi="ITC Avant Garde" w:cs="Arial"/>
                <w:i/>
                <w:iCs/>
                <w:sz w:val="18"/>
                <w:szCs w:val="18"/>
              </w:rPr>
            </w:pPr>
            <w:r w:rsidRPr="00B04361">
              <w:rPr>
                <w:rFonts w:ascii="ITC Avant Garde" w:hAnsi="ITC Avant Garde" w:cs="Arial"/>
                <w:i/>
                <w:iCs/>
                <w:sz w:val="18"/>
                <w:szCs w:val="18"/>
              </w:rPr>
              <w:t>Sin embargo, para lograr este objetivo, es necesario realizar un cálculo real de la tenencia total de espectro eliminando o calculando de manera adecuada el espectro que no está disponible en un horizonte de tiempo, es decir, los 10 MHz no asignados de la banda AWS y los 90 MHz de la red compartida</w:t>
            </w:r>
            <w:r w:rsidRPr="007A3389">
              <w:rPr>
                <w:rFonts w:ascii="ITC Avant Garde" w:hAnsi="ITC Avant Garde" w:cs="Arial"/>
                <w:i/>
                <w:iCs/>
                <w:sz w:val="18"/>
                <w:szCs w:val="18"/>
              </w:rPr>
              <w:t>.</w:t>
            </w:r>
          </w:p>
          <w:p w14:paraId="4139FFF1" w14:textId="292C7F5B" w:rsidR="007A3389" w:rsidRPr="007A3389" w:rsidRDefault="007A3389" w:rsidP="00F43A25">
            <w:pPr>
              <w:tabs>
                <w:tab w:val="left" w:pos="2010"/>
              </w:tabs>
              <w:spacing w:line="276" w:lineRule="auto"/>
              <w:jc w:val="both"/>
              <w:rPr>
                <w:rFonts w:ascii="ITC Avant Garde" w:hAnsi="ITC Avant Garde" w:cs="Arial"/>
                <w:i/>
                <w:iCs/>
                <w:sz w:val="18"/>
                <w:szCs w:val="18"/>
              </w:rPr>
            </w:pPr>
            <w:r w:rsidRPr="007A3389">
              <w:rPr>
                <w:rFonts w:ascii="ITC Avant Garde" w:hAnsi="ITC Avant Garde" w:cs="Arial"/>
                <w:i/>
                <w:iCs/>
                <w:sz w:val="18"/>
                <w:szCs w:val="18"/>
              </w:rPr>
              <w:t>De acuerdo a los resultados de los ejercicios realizados en</w:t>
            </w:r>
            <w:r>
              <w:rPr>
                <w:rFonts w:ascii="ITC Avant Garde" w:hAnsi="ITC Avant Garde" w:cs="Arial"/>
                <w:i/>
                <w:iCs/>
                <w:sz w:val="18"/>
                <w:szCs w:val="18"/>
              </w:rPr>
              <w:t xml:space="preserve"> el documento, permitir a Telce</w:t>
            </w:r>
            <w:r w:rsidRPr="007A3389">
              <w:rPr>
                <w:rFonts w:ascii="ITC Avant Garde" w:hAnsi="ITC Avant Garde" w:cs="Arial"/>
                <w:i/>
                <w:iCs/>
                <w:sz w:val="18"/>
                <w:szCs w:val="18"/>
              </w:rPr>
              <w:t>l participar en la licitación sería equiparable que acumulara una mayor cantidad de espectro que podría tener efectos anticompetitivos o contrarios al interés público.</w:t>
            </w:r>
          </w:p>
          <w:p w14:paraId="0E42FD2A" w14:textId="77777777" w:rsidR="00F43A25" w:rsidRPr="0035139E" w:rsidRDefault="00F43A25" w:rsidP="00F43A25">
            <w:pPr>
              <w:tabs>
                <w:tab w:val="left" w:pos="2010"/>
              </w:tabs>
              <w:spacing w:line="276" w:lineRule="auto"/>
              <w:jc w:val="both"/>
              <w:rPr>
                <w:rFonts w:ascii="ITC Avant Garde" w:hAnsi="ITC Avant Garde" w:cs="Arial"/>
                <w:i/>
                <w:sz w:val="18"/>
                <w:szCs w:val="18"/>
              </w:rPr>
            </w:pPr>
            <w:r w:rsidRPr="0035139E">
              <w:rPr>
                <w:rFonts w:ascii="ITC Avant Garde" w:hAnsi="ITC Avant Garde" w:cs="Arial"/>
                <w:iCs/>
                <w:sz w:val="18"/>
                <w:szCs w:val="18"/>
              </w:rPr>
              <w:t xml:space="preserve">En el siguiente hipervínculo se podrá </w:t>
            </w:r>
            <w:r>
              <w:rPr>
                <w:rFonts w:ascii="ITC Avant Garde" w:hAnsi="ITC Avant Garde" w:cs="Arial"/>
                <w:iCs/>
                <w:sz w:val="18"/>
                <w:szCs w:val="18"/>
              </w:rPr>
              <w:t>consultar</w:t>
            </w:r>
            <w:r w:rsidRPr="0035139E">
              <w:rPr>
                <w:rFonts w:ascii="ITC Avant Garde" w:hAnsi="ITC Avant Garde" w:cs="Arial"/>
                <w:iCs/>
                <w:sz w:val="18"/>
                <w:szCs w:val="18"/>
              </w:rPr>
              <w:t xml:space="preserve"> el comentario: </w:t>
            </w:r>
          </w:p>
          <w:p w14:paraId="37B61E9D" w14:textId="3AF6F4D9" w:rsidR="00460312" w:rsidRPr="00AB0D17" w:rsidRDefault="0009589C" w:rsidP="00F43A25">
            <w:pPr>
              <w:spacing w:line="276" w:lineRule="auto"/>
              <w:jc w:val="both"/>
              <w:rPr>
                <w:rFonts w:ascii="ITC Avant Garde" w:hAnsi="ITC Avant Garde" w:cs="Arial"/>
                <w:i/>
                <w:color w:val="000000"/>
                <w:sz w:val="18"/>
                <w:szCs w:val="18"/>
              </w:rPr>
            </w:pPr>
            <w:hyperlink r:id="rId19" w:history="1">
              <w:r w:rsidR="00F43A25" w:rsidRPr="009B58D7">
                <w:rPr>
                  <w:rStyle w:val="Hipervnculo"/>
                  <w:rFonts w:ascii="ITC Avant Garde" w:hAnsi="ITC Avant Garde" w:cs="Arial"/>
                  <w:sz w:val="18"/>
                  <w:szCs w:val="18"/>
                </w:rPr>
                <w:t>http://www.ift.org.mx/sites/default/files/industria/temasrelevantes/consultaspublicas/documentos/televisa_1.pdf</w:t>
              </w:r>
            </w:hyperlink>
            <w:r w:rsidR="00F43A25">
              <w:rPr>
                <w:rFonts w:ascii="ITC Avant Garde" w:hAnsi="ITC Avant Garde" w:cs="Arial"/>
                <w:sz w:val="18"/>
                <w:szCs w:val="18"/>
              </w:rPr>
              <w:t xml:space="preserve"> </w:t>
            </w:r>
            <w:r w:rsidR="00F43A25" w:rsidRPr="00BE58BA">
              <w:rPr>
                <w:rFonts w:ascii="ITC Avant Garde" w:hAnsi="ITC Avant Garde" w:cs="Arial"/>
                <w:sz w:val="18"/>
                <w:szCs w:val="18"/>
              </w:rPr>
              <w:t xml:space="preserve"> </w:t>
            </w:r>
            <w:r w:rsidR="00F43A25">
              <w:rPr>
                <w:rFonts w:ascii="ITC Avant Garde" w:hAnsi="ITC Avant Garde" w:cs="Arial"/>
                <w:sz w:val="18"/>
                <w:szCs w:val="18"/>
              </w:rPr>
              <w:t xml:space="preserve"> </w:t>
            </w:r>
          </w:p>
        </w:tc>
        <w:tc>
          <w:tcPr>
            <w:tcW w:w="1992" w:type="pct"/>
            <w:shd w:val="clear" w:color="auto" w:fill="FFFFFF" w:themeFill="background1"/>
          </w:tcPr>
          <w:p w14:paraId="60C132B7" w14:textId="52D320A1" w:rsidR="00460312" w:rsidRDefault="007A3389" w:rsidP="00B33557">
            <w:pPr>
              <w:spacing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sidRPr="00F43A25">
              <w:rPr>
                <w:rFonts w:ascii="ITC Avant Garde" w:hAnsi="ITC Avant Garde"/>
                <w:b/>
                <w:sz w:val="18"/>
                <w:szCs w:val="18"/>
              </w:rPr>
              <w:t>Cablevisión, S.A. de C.V.; Cablemás Telecomunicaciones, S.A. de C.V.; Cablevisión Red, S.A. de C.V., TV Cable Oriente, S.</w:t>
            </w:r>
            <w:r w:rsidRPr="00B04361">
              <w:rPr>
                <w:rFonts w:ascii="ITC Avant Garde" w:hAnsi="ITC Avant Garde"/>
                <w:b/>
                <w:sz w:val="18"/>
                <w:szCs w:val="18"/>
              </w:rPr>
              <w:t xml:space="preserve">A. de C.V., y Televisión Internacional, S.A. de C.V.  </w:t>
            </w:r>
            <w:r w:rsidRPr="00B04361">
              <w:rPr>
                <w:rFonts w:ascii="ITC Avant Garde" w:hAnsi="ITC Avant Garde"/>
                <w:sz w:val="18"/>
                <w:szCs w:val="18"/>
              </w:rPr>
              <w:t xml:space="preserve">relativo </w:t>
            </w:r>
            <w:r w:rsidR="00D937FE" w:rsidRPr="00B04361">
              <w:rPr>
                <w:rFonts w:ascii="ITC Avant Garde" w:hAnsi="ITC Avant Garde"/>
                <w:sz w:val="18"/>
                <w:szCs w:val="18"/>
              </w:rPr>
              <w:t>a los límites de acumulación de espectro radioeléctrico y a su cálculo para la presente Licitación</w:t>
            </w:r>
            <w:r w:rsidRPr="00B04361">
              <w:rPr>
                <w:rFonts w:ascii="ITC Avant Garde" w:hAnsi="ITC Avant Garde"/>
                <w:sz w:val="18"/>
                <w:szCs w:val="18"/>
              </w:rPr>
              <w:t>,</w:t>
            </w:r>
            <w:r w:rsidR="00B04361">
              <w:rPr>
                <w:rFonts w:ascii="ITC Avant Garde" w:hAnsi="ITC Avant Garde"/>
                <w:sz w:val="18"/>
                <w:szCs w:val="18"/>
              </w:rPr>
              <w:t xml:space="preserve"> </w:t>
            </w:r>
            <w:r w:rsidR="0024390B" w:rsidRPr="00B04361">
              <w:rPr>
                <w:rFonts w:ascii="ITC Avant Garde" w:hAnsi="ITC Avant Garde"/>
                <w:sz w:val="18"/>
                <w:szCs w:val="18"/>
              </w:rPr>
              <w:t>se</w:t>
            </w:r>
            <w:r w:rsidR="0024390B" w:rsidRPr="0024390B">
              <w:rPr>
                <w:rFonts w:ascii="ITC Avant Garde" w:hAnsi="ITC Avant Garde"/>
                <w:sz w:val="18"/>
                <w:szCs w:val="18"/>
              </w:rPr>
              <w:t xml:space="preserve"> comenta </w:t>
            </w:r>
            <w:r w:rsidR="00B04361">
              <w:rPr>
                <w:rFonts w:ascii="ITC Avant Garde" w:hAnsi="ITC Avant Garde"/>
                <w:sz w:val="18"/>
                <w:szCs w:val="18"/>
              </w:rPr>
              <w:t>que</w:t>
            </w:r>
            <w:r w:rsidR="00B04361" w:rsidRPr="0024390B">
              <w:rPr>
                <w:rFonts w:ascii="ITC Avant Garde" w:hAnsi="ITC Avant Garde"/>
                <w:sz w:val="18"/>
                <w:szCs w:val="18"/>
              </w:rPr>
              <w:t xml:space="preserve"> </w:t>
            </w:r>
            <w:r w:rsidR="00B04361">
              <w:rPr>
                <w:rFonts w:ascii="ITC Avant Garde" w:hAnsi="ITC Avant Garde"/>
                <w:sz w:val="18"/>
                <w:szCs w:val="18"/>
              </w:rPr>
              <w:t>l</w:t>
            </w:r>
            <w:r w:rsidR="00B04361" w:rsidRPr="0024390B">
              <w:rPr>
                <w:rFonts w:ascii="ITC Avant Garde" w:hAnsi="ITC Avant Garde"/>
                <w:sz w:val="18"/>
                <w:szCs w:val="18"/>
              </w:rPr>
              <w:t xml:space="preserve">os límites de acumulación de espectro se calcularán para cada interesado </w:t>
            </w:r>
            <w:r w:rsidR="0024390B" w:rsidRPr="0024390B">
              <w:rPr>
                <w:rFonts w:ascii="ITC Avant Garde" w:hAnsi="ITC Avant Garde"/>
                <w:sz w:val="18"/>
                <w:szCs w:val="18"/>
              </w:rPr>
              <w:t>en su dimensión de GIE, considerando las personas con las que ese GIE tiene vínculos de tipo comercial, organizativo, ec</w:t>
            </w:r>
            <w:r w:rsidR="0024390B">
              <w:rPr>
                <w:rFonts w:ascii="ITC Avant Garde" w:hAnsi="ITC Avant Garde"/>
                <w:sz w:val="18"/>
                <w:szCs w:val="18"/>
              </w:rPr>
              <w:t>onómico o jurídico. La Tabla 2 del Anteproyecto de Bases</w:t>
            </w:r>
            <w:r w:rsidR="0024390B" w:rsidRPr="0024390B">
              <w:rPr>
                <w:rFonts w:ascii="ITC Avant Garde" w:hAnsi="ITC Avant Garde"/>
                <w:sz w:val="18"/>
                <w:szCs w:val="18"/>
              </w:rPr>
              <w:t xml:space="preserve"> ejemplifica la tenencia espectral en bandas de frecuencias óptimas para la prestación del servicio de acceso inalámbrico móvil a la fecha de la aprobación de éstas, por lo que la evaluación en m</w:t>
            </w:r>
            <w:r w:rsidR="0024390B">
              <w:rPr>
                <w:rFonts w:ascii="ITC Avant Garde" w:hAnsi="ITC Avant Garde"/>
                <w:sz w:val="18"/>
                <w:szCs w:val="18"/>
              </w:rPr>
              <w:t>a</w:t>
            </w:r>
            <w:r w:rsidR="0024390B" w:rsidRPr="0024390B">
              <w:rPr>
                <w:rFonts w:ascii="ITC Avant Garde" w:hAnsi="ITC Avant Garde"/>
                <w:sz w:val="18"/>
                <w:szCs w:val="18"/>
              </w:rPr>
              <w:t xml:space="preserve">teria de competencia económica que realice el Instituto a </w:t>
            </w:r>
            <w:r w:rsidR="00B04361" w:rsidRPr="0024390B">
              <w:rPr>
                <w:rFonts w:ascii="ITC Avant Garde" w:hAnsi="ITC Avant Garde"/>
                <w:sz w:val="18"/>
                <w:szCs w:val="18"/>
              </w:rPr>
              <w:t xml:space="preserve">los interesados para determinar su calidad de participantes en la </w:t>
            </w:r>
            <w:r w:rsidR="0024390B" w:rsidRPr="0024390B">
              <w:rPr>
                <w:rFonts w:ascii="ITC Avant Garde" w:hAnsi="ITC Avant Garde"/>
                <w:sz w:val="18"/>
                <w:szCs w:val="18"/>
              </w:rPr>
              <w:t>Licitación se realizará conforme a la tenencia espectral de cada participante a la fecha de aprobación de las presentes Bases, con independencia de las transacciones y operaciones que pudieran llegar a realizar y/o a notificar los interesados en fecha posterior a ésta. Dicha tenencia es calculada a nivel nacional.</w:t>
            </w:r>
          </w:p>
        </w:tc>
      </w:tr>
      <w:tr w:rsidR="00460312" w:rsidRPr="00637136" w14:paraId="67FA8454" w14:textId="77777777" w:rsidTr="009155A1">
        <w:trPr>
          <w:trHeight w:val="290"/>
          <w:tblHeader/>
        </w:trPr>
        <w:tc>
          <w:tcPr>
            <w:tcW w:w="472" w:type="pct"/>
          </w:tcPr>
          <w:p w14:paraId="76DF539D" w14:textId="6A2F104D" w:rsidR="00460312" w:rsidRPr="00F43A25" w:rsidRDefault="00F43A25" w:rsidP="0039782A">
            <w:pPr>
              <w:spacing w:after="0" w:line="276" w:lineRule="auto"/>
              <w:jc w:val="both"/>
              <w:rPr>
                <w:rFonts w:ascii="ITC Avant Garde" w:eastAsia="Calibri" w:hAnsi="ITC Avant Garde" w:cs="Arial"/>
                <w:b/>
                <w:bCs/>
                <w:color w:val="000000" w:themeColor="text1"/>
                <w:sz w:val="18"/>
                <w:szCs w:val="18"/>
              </w:rPr>
            </w:pPr>
            <w:r w:rsidRPr="00F43A25">
              <w:rPr>
                <w:rFonts w:ascii="ITC Avant Garde" w:hAnsi="ITC Avant Garde"/>
                <w:b/>
                <w:sz w:val="18"/>
                <w:szCs w:val="18"/>
              </w:rPr>
              <w:lastRenderedPageBreak/>
              <w:t>Total Play Telecomunicaciones, S.A. de C.V.</w:t>
            </w:r>
          </w:p>
        </w:tc>
        <w:tc>
          <w:tcPr>
            <w:tcW w:w="570" w:type="pct"/>
            <w:shd w:val="clear" w:color="auto" w:fill="auto"/>
          </w:tcPr>
          <w:p w14:paraId="7097A83E" w14:textId="77777777" w:rsidR="00460312" w:rsidRPr="00AB0D17" w:rsidRDefault="00460312" w:rsidP="00D407F2">
            <w:pPr>
              <w:spacing w:after="0" w:line="276" w:lineRule="auto"/>
              <w:jc w:val="both"/>
              <w:rPr>
                <w:rFonts w:ascii="ITC Avant Garde" w:eastAsia="Calibri" w:hAnsi="ITC Avant Garde" w:cs="Arial"/>
                <w:b/>
                <w:bCs/>
                <w:color w:val="000000" w:themeColor="text1"/>
                <w:sz w:val="18"/>
                <w:szCs w:val="18"/>
              </w:rPr>
            </w:pPr>
          </w:p>
        </w:tc>
        <w:tc>
          <w:tcPr>
            <w:tcW w:w="1966" w:type="pct"/>
            <w:shd w:val="clear" w:color="auto" w:fill="auto"/>
          </w:tcPr>
          <w:p w14:paraId="4B2B98A7" w14:textId="58713FAA" w:rsidR="00F43A25" w:rsidRDefault="00F43A25" w:rsidP="00F43A25">
            <w:pPr>
              <w:spacing w:line="276" w:lineRule="auto"/>
              <w:jc w:val="both"/>
              <w:rPr>
                <w:rFonts w:ascii="ITC Avant Garde" w:hAnsi="ITC Avant Garde" w:cs="Arial"/>
                <w:i/>
                <w:sz w:val="18"/>
                <w:szCs w:val="18"/>
              </w:rPr>
            </w:pPr>
            <w:r w:rsidRPr="00633724">
              <w:rPr>
                <w:rFonts w:ascii="ITC Avant Garde" w:hAnsi="ITC Avant Garde" w:cs="Arial"/>
                <w:i/>
                <w:sz w:val="18"/>
                <w:szCs w:val="18"/>
              </w:rPr>
              <w:t>Se adjunta al presente formato como ANEXO ÚNICO un escrito que contiene las opiniones sobre el “PROYECTO DE BASES DE LICITACIÓN PÚBLICA PARA CONCESIONAR EL USO, APROVECHAMIENTO Y EXPLOTACIÓN COMERCIAL DE 130 MHz DE ESPECTRO RADIOELÉCTRICO DISPNIBLES EN LA BANDA DE FRECUENCIAS 2500-2690 MHz (LICITACIÓN No. IFT-7)”.</w:t>
            </w:r>
          </w:p>
          <w:p w14:paraId="0BA43387" w14:textId="0C2194DD" w:rsidR="0043522D" w:rsidRPr="00B04361" w:rsidRDefault="0043522D" w:rsidP="00F43A25">
            <w:pPr>
              <w:spacing w:line="276" w:lineRule="auto"/>
              <w:jc w:val="both"/>
              <w:rPr>
                <w:rFonts w:ascii="ITC Avant Garde" w:hAnsi="ITC Avant Garde" w:cs="Arial"/>
                <w:sz w:val="18"/>
                <w:szCs w:val="18"/>
              </w:rPr>
            </w:pPr>
            <w:r>
              <w:rPr>
                <w:rFonts w:ascii="ITC Avant Garde" w:hAnsi="ITC Avant Garde" w:cs="Arial"/>
                <w:sz w:val="18"/>
                <w:szCs w:val="18"/>
              </w:rPr>
              <w:t xml:space="preserve">En dicho documento señala sobre los </w:t>
            </w:r>
            <w:r w:rsidRPr="00B04361">
              <w:rPr>
                <w:rFonts w:ascii="ITC Avant Garde" w:hAnsi="ITC Avant Garde" w:cs="Arial"/>
                <w:sz w:val="18"/>
                <w:szCs w:val="18"/>
              </w:rPr>
              <w:t>siguientes temas:</w:t>
            </w:r>
          </w:p>
          <w:p w14:paraId="6E74A3D7" w14:textId="4B52F97D" w:rsidR="0043522D" w:rsidRDefault="0043522D" w:rsidP="0043522D">
            <w:pPr>
              <w:pStyle w:val="Prrafodelista"/>
              <w:numPr>
                <w:ilvl w:val="0"/>
                <w:numId w:val="24"/>
              </w:numPr>
              <w:spacing w:line="276" w:lineRule="auto"/>
              <w:jc w:val="both"/>
              <w:rPr>
                <w:rFonts w:ascii="ITC Avant Garde" w:hAnsi="ITC Avant Garde" w:cs="Arial"/>
                <w:i/>
                <w:sz w:val="18"/>
                <w:szCs w:val="18"/>
              </w:rPr>
            </w:pPr>
            <w:r w:rsidRPr="00B04361">
              <w:rPr>
                <w:rFonts w:ascii="ITC Avant Garde" w:hAnsi="ITC Avant Garde" w:cs="Arial"/>
                <w:sz w:val="18"/>
                <w:szCs w:val="18"/>
              </w:rPr>
              <w:t>En cuanto a la autorización específica al agente económico preponderante en el sector de telecomunicaciones en el proceso licitatorio, señala</w:t>
            </w:r>
            <w:r>
              <w:rPr>
                <w:rFonts w:ascii="ITC Avant Garde" w:hAnsi="ITC Avant Garde" w:cs="Arial"/>
                <w:sz w:val="18"/>
                <w:szCs w:val="18"/>
              </w:rPr>
              <w:t xml:space="preserve"> que </w:t>
            </w:r>
            <w:r w:rsidRPr="0043522D">
              <w:rPr>
                <w:rFonts w:ascii="ITC Avant Garde" w:hAnsi="ITC Avant Garde" w:cs="Arial"/>
                <w:i/>
                <w:sz w:val="18"/>
                <w:szCs w:val="18"/>
              </w:rPr>
              <w:t xml:space="preserve">“no se advierte </w:t>
            </w:r>
            <w:r>
              <w:rPr>
                <w:rFonts w:ascii="ITC Avant Garde" w:hAnsi="ITC Avant Garde" w:cs="Arial"/>
                <w:i/>
                <w:sz w:val="18"/>
                <w:szCs w:val="18"/>
              </w:rPr>
              <w:t>en ningún momento que la participación del Agente Económico Preponderante en el sector de Telecomunicaciones (en lo sucesivo “AEPT”) en el proceso licitatorio esté autorizada de forma específica. Por lo tanto ese Instituto deberá señalar expresamente en el Proyecto de bases de Licitación un apartado en el que se pronuncie específicamente respecto a la autorización o no autorización para participar en la Licitación IFT-7 del AEPT.</w:t>
            </w:r>
          </w:p>
          <w:p w14:paraId="2FEBFD1E" w14:textId="77777777" w:rsidR="00AD43DC" w:rsidRDefault="00AD43DC" w:rsidP="00AD43DC">
            <w:pPr>
              <w:pStyle w:val="Prrafodelista"/>
              <w:spacing w:line="276" w:lineRule="auto"/>
              <w:jc w:val="both"/>
              <w:rPr>
                <w:rFonts w:ascii="ITC Avant Garde" w:hAnsi="ITC Avant Garde" w:cs="Arial"/>
                <w:i/>
                <w:sz w:val="18"/>
                <w:szCs w:val="18"/>
              </w:rPr>
            </w:pPr>
          </w:p>
          <w:p w14:paraId="493A03A8" w14:textId="442ACA89" w:rsidR="0043522D" w:rsidRDefault="0043522D" w:rsidP="00AD43DC">
            <w:pPr>
              <w:pStyle w:val="Prrafodelista"/>
              <w:spacing w:line="276" w:lineRule="auto"/>
              <w:jc w:val="both"/>
              <w:rPr>
                <w:rFonts w:ascii="ITC Avant Garde" w:hAnsi="ITC Avant Garde" w:cs="Arial"/>
                <w:i/>
                <w:sz w:val="18"/>
                <w:szCs w:val="18"/>
              </w:rPr>
            </w:pPr>
            <w:r>
              <w:rPr>
                <w:rFonts w:ascii="ITC Avant Garde" w:hAnsi="ITC Avant Garde" w:cs="Arial"/>
                <w:i/>
                <w:sz w:val="18"/>
                <w:szCs w:val="18"/>
              </w:rPr>
              <w:t xml:space="preserve">Asimismo, resulta importante señalar que como se expondrá más adelante en el apartado C del presente, se estima que el AEPT debe estar expresamente impedido para participar en el proceso de Licitación, atendiendo a </w:t>
            </w:r>
            <w:r>
              <w:rPr>
                <w:rFonts w:ascii="ITC Avant Garde" w:hAnsi="ITC Avant Garde" w:cs="Arial"/>
                <w:i/>
                <w:sz w:val="18"/>
                <w:szCs w:val="18"/>
              </w:rPr>
              <w:lastRenderedPageBreak/>
              <w:t>la reciente concentración que le fue autorizada por ese Instituto y por virtud de la cual adquirió 60 MHz en la Banda de 2500 MHz.”</w:t>
            </w:r>
          </w:p>
          <w:p w14:paraId="38A8C4CF" w14:textId="77777777" w:rsidR="00AD43DC" w:rsidRDefault="00AD43DC" w:rsidP="00AD43DC">
            <w:pPr>
              <w:pStyle w:val="Prrafodelista"/>
              <w:spacing w:line="276" w:lineRule="auto"/>
              <w:jc w:val="both"/>
              <w:rPr>
                <w:rFonts w:ascii="ITC Avant Garde" w:hAnsi="ITC Avant Garde" w:cs="Arial"/>
                <w:i/>
                <w:sz w:val="18"/>
                <w:szCs w:val="18"/>
              </w:rPr>
            </w:pPr>
          </w:p>
          <w:p w14:paraId="4406E8B3" w14:textId="0AE83457" w:rsidR="0043522D" w:rsidRDefault="0043522D" w:rsidP="0043522D">
            <w:pPr>
              <w:pStyle w:val="Prrafodelista"/>
              <w:numPr>
                <w:ilvl w:val="0"/>
                <w:numId w:val="24"/>
              </w:numPr>
              <w:spacing w:line="276" w:lineRule="auto"/>
              <w:jc w:val="both"/>
              <w:rPr>
                <w:rFonts w:ascii="ITC Avant Garde" w:hAnsi="ITC Avant Garde" w:cs="Arial"/>
                <w:i/>
                <w:sz w:val="18"/>
                <w:szCs w:val="18"/>
              </w:rPr>
            </w:pPr>
            <w:r w:rsidRPr="00945843">
              <w:rPr>
                <w:rFonts w:ascii="ITC Avant Garde" w:hAnsi="ITC Avant Garde" w:cs="Arial"/>
                <w:sz w:val="18"/>
                <w:szCs w:val="18"/>
              </w:rPr>
              <w:t xml:space="preserve">En cuanto a considerarse únicamente el espectro radioeléctrico inmediatamente disponible, señala que </w:t>
            </w:r>
            <w:r w:rsidRPr="00945843">
              <w:rPr>
                <w:rFonts w:ascii="ITC Avant Garde" w:hAnsi="ITC Avant Garde" w:cs="Arial"/>
                <w:i/>
                <w:sz w:val="18"/>
                <w:szCs w:val="18"/>
              </w:rPr>
              <w:t>“</w:t>
            </w:r>
            <w:r w:rsidR="00335B33" w:rsidRPr="00945843">
              <w:rPr>
                <w:rFonts w:ascii="ITC Avant Garde" w:hAnsi="ITC Avant Garde" w:cs="Arial"/>
                <w:i/>
                <w:sz w:val="18"/>
                <w:szCs w:val="18"/>
              </w:rPr>
              <w:t>En relación con lo anterior, para determinar el espectro radioeléctrico disponible es necesario que</w:t>
            </w:r>
            <w:r w:rsidR="00335B33">
              <w:rPr>
                <w:rFonts w:ascii="ITC Avant Garde" w:hAnsi="ITC Avant Garde" w:cs="Arial"/>
                <w:i/>
                <w:sz w:val="18"/>
                <w:szCs w:val="18"/>
              </w:rPr>
              <w:t xml:space="preserve"> ese Instituto considera únicamente el espectro inmediatamente disponible, no así las bandas del espectro radioeléctrico a las que los concesionarios no pueden tener acceso con carácter de titular, como lo es el caso de los 90 MHz de la Banda de 700 MHz.</w:t>
            </w:r>
          </w:p>
          <w:p w14:paraId="47E3EB92" w14:textId="77777777" w:rsidR="00335B33" w:rsidRDefault="00335B33" w:rsidP="00335B33">
            <w:pPr>
              <w:pStyle w:val="Prrafodelista"/>
              <w:spacing w:line="276" w:lineRule="auto"/>
              <w:jc w:val="both"/>
              <w:rPr>
                <w:rFonts w:ascii="ITC Avant Garde" w:hAnsi="ITC Avant Garde" w:cs="Arial"/>
                <w:i/>
                <w:sz w:val="18"/>
                <w:szCs w:val="18"/>
              </w:rPr>
            </w:pPr>
          </w:p>
          <w:p w14:paraId="488F6FF0" w14:textId="189F16DE" w:rsidR="00335B33" w:rsidRPr="00945843" w:rsidRDefault="00335B33" w:rsidP="00335B33">
            <w:pPr>
              <w:pStyle w:val="Prrafodelista"/>
              <w:spacing w:line="276" w:lineRule="auto"/>
              <w:jc w:val="both"/>
              <w:rPr>
                <w:rFonts w:ascii="ITC Avant Garde" w:hAnsi="ITC Avant Garde" w:cs="Arial"/>
                <w:i/>
                <w:sz w:val="18"/>
                <w:szCs w:val="18"/>
              </w:rPr>
            </w:pPr>
            <w:r>
              <w:rPr>
                <w:rFonts w:ascii="ITC Avant Garde" w:hAnsi="ITC Avant Garde" w:cs="Arial"/>
                <w:i/>
                <w:sz w:val="18"/>
                <w:szCs w:val="18"/>
              </w:rPr>
              <w:t xml:space="preserve">En esa tesitura, resulta importante traer a colación la opinión de la propia Secretaría de Comunicaciones y Transportes respecto de que no se debe considerar los 90 MHz asignados al Organismo Promotor de Inversión en Telecomunicaciones para los cálculos de acumulación de espectro de os </w:t>
            </w:r>
            <w:r w:rsidRPr="00945843">
              <w:rPr>
                <w:rFonts w:ascii="ITC Avant Garde" w:hAnsi="ITC Avant Garde" w:cs="Arial"/>
                <w:i/>
                <w:sz w:val="18"/>
                <w:szCs w:val="18"/>
              </w:rPr>
              <w:t>concesionarios.”</w:t>
            </w:r>
          </w:p>
          <w:p w14:paraId="1E1157D7" w14:textId="77777777" w:rsidR="00335B33" w:rsidRPr="00945843" w:rsidRDefault="00335B33" w:rsidP="00335B33">
            <w:pPr>
              <w:pStyle w:val="Prrafodelista"/>
              <w:spacing w:line="276" w:lineRule="auto"/>
              <w:jc w:val="both"/>
              <w:rPr>
                <w:rFonts w:ascii="ITC Avant Garde" w:hAnsi="ITC Avant Garde" w:cs="Arial"/>
                <w:i/>
                <w:sz w:val="18"/>
                <w:szCs w:val="18"/>
              </w:rPr>
            </w:pPr>
          </w:p>
          <w:p w14:paraId="2A3D0230" w14:textId="375CE1DB" w:rsidR="00335B33" w:rsidRDefault="00B65E37" w:rsidP="00335B33">
            <w:pPr>
              <w:pStyle w:val="Prrafodelista"/>
              <w:numPr>
                <w:ilvl w:val="0"/>
                <w:numId w:val="24"/>
              </w:numPr>
              <w:spacing w:line="276" w:lineRule="auto"/>
              <w:jc w:val="both"/>
              <w:rPr>
                <w:rFonts w:ascii="ITC Avant Garde" w:hAnsi="ITC Avant Garde" w:cs="Arial"/>
                <w:i/>
                <w:sz w:val="18"/>
                <w:szCs w:val="18"/>
              </w:rPr>
            </w:pPr>
            <w:r w:rsidRPr="00945843">
              <w:rPr>
                <w:rFonts w:ascii="ITC Avant Garde" w:hAnsi="ITC Avant Garde" w:cs="Arial"/>
                <w:sz w:val="18"/>
                <w:szCs w:val="18"/>
              </w:rPr>
              <w:t>E</w:t>
            </w:r>
            <w:r w:rsidR="00335B33" w:rsidRPr="00945843">
              <w:rPr>
                <w:rFonts w:ascii="ITC Avant Garde" w:hAnsi="ITC Avant Garde" w:cs="Arial"/>
                <w:sz w:val="18"/>
                <w:szCs w:val="18"/>
              </w:rPr>
              <w:t>n cuan</w:t>
            </w:r>
            <w:r w:rsidRPr="00945843">
              <w:rPr>
                <w:rFonts w:ascii="ITC Avant Garde" w:hAnsi="ITC Avant Garde" w:cs="Arial"/>
                <w:sz w:val="18"/>
                <w:szCs w:val="18"/>
              </w:rPr>
              <w:t>t</w:t>
            </w:r>
            <w:r w:rsidR="00335B33" w:rsidRPr="00945843">
              <w:rPr>
                <w:rFonts w:ascii="ITC Avant Garde" w:hAnsi="ITC Avant Garde" w:cs="Arial"/>
                <w:sz w:val="18"/>
                <w:szCs w:val="18"/>
              </w:rPr>
              <w:t xml:space="preserve">o a </w:t>
            </w:r>
            <w:r w:rsidRPr="00945843">
              <w:rPr>
                <w:rFonts w:ascii="ITC Avant Garde" w:hAnsi="ITC Avant Garde" w:cs="Arial"/>
                <w:sz w:val="18"/>
                <w:szCs w:val="18"/>
              </w:rPr>
              <w:t>impedir a América Móvil y a las empresas miembros del Grupo de Interés Económico que componen al AEPT participen en la licitación pública, señala</w:t>
            </w:r>
            <w:r>
              <w:rPr>
                <w:rFonts w:ascii="ITC Avant Garde" w:hAnsi="ITC Avant Garde" w:cs="Arial"/>
                <w:sz w:val="18"/>
                <w:szCs w:val="18"/>
              </w:rPr>
              <w:t xml:space="preserve"> que </w:t>
            </w:r>
            <w:r>
              <w:rPr>
                <w:rFonts w:ascii="ITC Avant Garde" w:hAnsi="ITC Avant Garde" w:cs="Arial"/>
                <w:i/>
                <w:sz w:val="18"/>
                <w:szCs w:val="18"/>
              </w:rPr>
              <w:t xml:space="preserve">“Respecto de la concentración de América Móvil, resulta importante señalar que en la resolución emitida en la sesión ordinaria XVI de 2017, celebrada el 27 de abril de 2017, </w:t>
            </w:r>
            <w:r>
              <w:rPr>
                <w:rFonts w:ascii="ITC Avant Garde" w:hAnsi="ITC Avant Garde" w:cs="Arial"/>
                <w:i/>
                <w:sz w:val="18"/>
                <w:szCs w:val="18"/>
              </w:rPr>
              <w:lastRenderedPageBreak/>
              <w:t>dictada en el expediente número UCE/CNC-003-2016, ese Instituto señaló que con la adquisición de los 60 MHz que se estaba autorizando, América Móvil alcanzaría el 25.25% de participación en la población en la que tiene cobertura, contando los 120 MHz que se pretenden licitar en la Licitación IFT-7; sin embargo, si no se consideran esos 120 MHz y no hubiera interesados en la mencionada Licitación, la concentración de América Móvil sería de 76.4% del espectro inmediatamente utilizable en la población en la que tiene cobertura de la banda de 2.5 GHz.</w:t>
            </w:r>
          </w:p>
          <w:p w14:paraId="208F97C6" w14:textId="77777777" w:rsidR="00B65E37" w:rsidRDefault="00B65E37" w:rsidP="00B65E37">
            <w:pPr>
              <w:pStyle w:val="Prrafodelista"/>
              <w:spacing w:line="276" w:lineRule="auto"/>
              <w:jc w:val="both"/>
              <w:rPr>
                <w:rFonts w:ascii="ITC Avant Garde" w:hAnsi="ITC Avant Garde" w:cs="Arial"/>
                <w:i/>
                <w:sz w:val="18"/>
                <w:szCs w:val="18"/>
              </w:rPr>
            </w:pPr>
          </w:p>
          <w:p w14:paraId="11736B81" w14:textId="0E13E084" w:rsidR="00B65E37" w:rsidRPr="00945843" w:rsidRDefault="00B65E37" w:rsidP="00B65E37">
            <w:pPr>
              <w:pStyle w:val="Prrafodelista"/>
              <w:spacing w:line="276" w:lineRule="auto"/>
              <w:jc w:val="both"/>
              <w:rPr>
                <w:rFonts w:ascii="ITC Avant Garde" w:hAnsi="ITC Avant Garde" w:cs="Arial"/>
                <w:i/>
                <w:sz w:val="18"/>
                <w:szCs w:val="18"/>
              </w:rPr>
            </w:pPr>
            <w:r>
              <w:rPr>
                <w:rFonts w:ascii="ITC Avant Garde" w:hAnsi="ITC Avant Garde" w:cs="Arial"/>
                <w:i/>
                <w:sz w:val="18"/>
                <w:szCs w:val="18"/>
              </w:rPr>
              <w:t xml:space="preserve">En tal sentido, ese Instituto debe impedir totalmente a América Móvil y a las empresas miembros del Grupo de Interés Económico que integran al AEPT para participar en la Licitación, independientemente de la demanda presentada en la misma y/o los Límites de Acumulación de Espectro para cada fase. Si ese Instituto está en desacuerdo con la medida anteriormente propuesta y considera que el AEPT debe tener la posibilidad de participar en la Licitación, deberá modificar los </w:t>
            </w:r>
            <w:r w:rsidR="000B5781">
              <w:rPr>
                <w:rFonts w:ascii="ITC Avant Garde" w:hAnsi="ITC Avant Garde" w:cs="Arial"/>
                <w:i/>
                <w:sz w:val="18"/>
                <w:szCs w:val="18"/>
              </w:rPr>
              <w:t>Límites</w:t>
            </w:r>
            <w:r>
              <w:rPr>
                <w:rFonts w:ascii="ITC Avant Garde" w:hAnsi="ITC Avant Garde" w:cs="Arial"/>
                <w:i/>
                <w:sz w:val="18"/>
                <w:szCs w:val="18"/>
              </w:rPr>
              <w:t xml:space="preserve"> Máximos de Acumulación de </w:t>
            </w:r>
            <w:r w:rsidRPr="00945843">
              <w:rPr>
                <w:rFonts w:ascii="ITC Avant Garde" w:hAnsi="ITC Avant Garde" w:cs="Arial"/>
                <w:i/>
                <w:sz w:val="18"/>
                <w:szCs w:val="18"/>
              </w:rPr>
              <w:t>Espectro a fin de que el AEPT únicamente pueda participar en la Fase III prevista en la página 37 del Proyecto de Bases de Licitación.”</w:t>
            </w:r>
          </w:p>
          <w:p w14:paraId="104558CE" w14:textId="77777777" w:rsidR="000B5781" w:rsidRPr="00945843" w:rsidRDefault="000B5781" w:rsidP="00B65E37">
            <w:pPr>
              <w:pStyle w:val="Prrafodelista"/>
              <w:spacing w:line="276" w:lineRule="auto"/>
              <w:jc w:val="both"/>
              <w:rPr>
                <w:rFonts w:ascii="ITC Avant Garde" w:hAnsi="ITC Avant Garde" w:cs="Arial"/>
                <w:i/>
                <w:sz w:val="18"/>
                <w:szCs w:val="18"/>
              </w:rPr>
            </w:pPr>
          </w:p>
          <w:p w14:paraId="6783A3DD" w14:textId="456A04F2" w:rsidR="000B5781" w:rsidRDefault="00B65E37" w:rsidP="000B5781">
            <w:pPr>
              <w:pStyle w:val="Prrafodelista"/>
              <w:numPr>
                <w:ilvl w:val="0"/>
                <w:numId w:val="24"/>
              </w:numPr>
              <w:spacing w:line="276" w:lineRule="auto"/>
              <w:jc w:val="both"/>
              <w:rPr>
                <w:rFonts w:ascii="ITC Avant Garde" w:hAnsi="ITC Avant Garde" w:cs="Arial"/>
                <w:i/>
                <w:sz w:val="18"/>
                <w:szCs w:val="18"/>
              </w:rPr>
            </w:pPr>
            <w:r w:rsidRPr="00945843">
              <w:rPr>
                <w:rFonts w:ascii="ITC Avant Garde" w:hAnsi="ITC Avant Garde" w:cs="Arial"/>
                <w:sz w:val="18"/>
                <w:szCs w:val="18"/>
              </w:rPr>
              <w:t xml:space="preserve">En cuanto a </w:t>
            </w:r>
            <w:r w:rsidR="000B5781" w:rsidRPr="00945843">
              <w:rPr>
                <w:rFonts w:ascii="ITC Avant Garde" w:hAnsi="ITC Avant Garde" w:cs="Arial"/>
                <w:sz w:val="18"/>
                <w:szCs w:val="18"/>
              </w:rPr>
              <w:t xml:space="preserve">la opinión de la concentración de espectro propuesta contra los lineamientos de concentración emitidos por el Instituto señala </w:t>
            </w:r>
            <w:r w:rsidR="000B5781" w:rsidRPr="00945843">
              <w:rPr>
                <w:rFonts w:ascii="ITC Avant Garde" w:hAnsi="ITC Avant Garde" w:cs="Arial"/>
                <w:i/>
                <w:sz w:val="18"/>
                <w:szCs w:val="18"/>
              </w:rPr>
              <w:t xml:space="preserve">“De la transcripción anterior, </w:t>
            </w:r>
            <w:r w:rsidR="000B5781" w:rsidRPr="00945843">
              <w:rPr>
                <w:rFonts w:ascii="ITC Avant Garde" w:hAnsi="ITC Avant Garde" w:cs="Arial"/>
                <w:i/>
                <w:sz w:val="18"/>
                <w:szCs w:val="18"/>
              </w:rPr>
              <w:lastRenderedPageBreak/>
              <w:t>se advierte claramente que la fracción b) del artículo 7 de los lineamientos señala que</w:t>
            </w:r>
            <w:r w:rsidR="000B5781">
              <w:rPr>
                <w:rFonts w:ascii="ITC Avant Garde" w:hAnsi="ITC Avant Garde" w:cs="Arial"/>
                <w:i/>
                <w:sz w:val="18"/>
                <w:szCs w:val="18"/>
              </w:rPr>
              <w:t xml:space="preserve"> si los agentes económicos involucrados alcanzan una participación superior al 35% el Instituto podrá considerar que existen potenciales riesgos a la competencia y libre concurrencia. En ese sentido, resulta contrario a los lineamientos la determinación del Instituto de establecer el Límite de Acumulación de Espectro para la Fase III de 37.5%, porque ésta representa potenciales riegos para la competencia uy libre concurrencia.</w:t>
            </w:r>
          </w:p>
          <w:p w14:paraId="0F4C9E32" w14:textId="77777777" w:rsidR="000B5781" w:rsidRDefault="000B5781" w:rsidP="000B5781">
            <w:pPr>
              <w:pStyle w:val="Prrafodelista"/>
              <w:spacing w:line="276" w:lineRule="auto"/>
              <w:jc w:val="both"/>
              <w:rPr>
                <w:rFonts w:ascii="ITC Avant Garde" w:hAnsi="ITC Avant Garde" w:cs="Arial"/>
                <w:i/>
                <w:sz w:val="18"/>
                <w:szCs w:val="18"/>
              </w:rPr>
            </w:pPr>
          </w:p>
          <w:p w14:paraId="33D5F3A5" w14:textId="6DA9DA67" w:rsidR="000B5781" w:rsidRDefault="000B5781" w:rsidP="000B5781">
            <w:pPr>
              <w:pStyle w:val="Prrafodelista"/>
              <w:spacing w:line="276" w:lineRule="auto"/>
              <w:jc w:val="both"/>
              <w:rPr>
                <w:rFonts w:ascii="ITC Avant Garde" w:hAnsi="ITC Avant Garde" w:cs="Arial"/>
                <w:i/>
                <w:sz w:val="18"/>
                <w:szCs w:val="18"/>
              </w:rPr>
            </w:pPr>
            <w:r>
              <w:rPr>
                <w:rFonts w:ascii="ITC Avant Garde" w:hAnsi="ITC Avant Garde" w:cs="Arial"/>
                <w:i/>
                <w:sz w:val="18"/>
                <w:szCs w:val="18"/>
              </w:rPr>
              <w:t>Asimismo, para que América Móvil o cualquiera de las empresas que pertenecen al Grupo de Interés Económico que componen el AEPT participen en la Licitación, se tiene que haber dado el supuesto de exceso de oferta previsto en las propias bases, lo que quiere decir que no hay suficientes interesados en el espectro puesto a disposición de los concesionarios. La subsecuente adjudicación de bandas de frecuencia para América Móvil, sumando a al reciente autorización para adquirir 60 MHz de la misma banda, claramente lo situaría en una posición ventajosa y de acaparamiento de espectro radioeléctrico frente a sus competidores.”</w:t>
            </w:r>
          </w:p>
          <w:p w14:paraId="41983147" w14:textId="77777777" w:rsidR="005B511E" w:rsidRDefault="005B511E" w:rsidP="000B5781">
            <w:pPr>
              <w:pStyle w:val="Prrafodelista"/>
              <w:spacing w:line="276" w:lineRule="auto"/>
              <w:jc w:val="both"/>
              <w:rPr>
                <w:rFonts w:ascii="ITC Avant Garde" w:hAnsi="ITC Avant Garde" w:cs="Arial"/>
                <w:i/>
                <w:sz w:val="18"/>
                <w:szCs w:val="18"/>
              </w:rPr>
            </w:pPr>
          </w:p>
          <w:p w14:paraId="282C9230" w14:textId="5BE92B2D" w:rsidR="000B5781" w:rsidRDefault="000B5781" w:rsidP="00C5293E">
            <w:pPr>
              <w:pStyle w:val="Prrafodelista"/>
              <w:numPr>
                <w:ilvl w:val="0"/>
                <w:numId w:val="24"/>
              </w:numPr>
              <w:spacing w:line="276" w:lineRule="auto"/>
              <w:jc w:val="both"/>
              <w:rPr>
                <w:rFonts w:ascii="ITC Avant Garde" w:hAnsi="ITC Avant Garde" w:cs="Arial"/>
                <w:i/>
                <w:sz w:val="18"/>
                <w:szCs w:val="18"/>
              </w:rPr>
            </w:pPr>
            <w:r w:rsidRPr="00945843">
              <w:rPr>
                <w:rFonts w:ascii="ITC Avant Garde" w:hAnsi="ITC Avant Garde" w:cs="Arial"/>
                <w:sz w:val="18"/>
                <w:szCs w:val="18"/>
              </w:rPr>
              <w:t>En cuanto a la opinión</w:t>
            </w:r>
            <w:r w:rsidR="00C5293E" w:rsidRPr="00945843">
              <w:rPr>
                <w:rFonts w:ascii="ITC Avant Garde" w:hAnsi="ITC Avant Garde" w:cs="Arial"/>
                <w:sz w:val="18"/>
                <w:szCs w:val="18"/>
              </w:rPr>
              <w:t xml:space="preserve"> sobre la desigualdad en el tratamiento de los bloques señala </w:t>
            </w:r>
            <w:r w:rsidR="00C5293E" w:rsidRPr="00945843">
              <w:rPr>
                <w:rFonts w:ascii="ITC Avant Garde" w:hAnsi="ITC Avant Garde" w:cs="Arial"/>
                <w:i/>
                <w:sz w:val="18"/>
                <w:szCs w:val="18"/>
              </w:rPr>
              <w:t>“</w:t>
            </w:r>
            <w:r w:rsidR="005B511E" w:rsidRPr="00945843">
              <w:rPr>
                <w:rFonts w:ascii="ITC Avant Garde" w:hAnsi="ITC Avant Garde" w:cs="Arial"/>
                <w:i/>
                <w:sz w:val="18"/>
                <w:szCs w:val="18"/>
              </w:rPr>
              <w:t>La posibilidad de diferir la fecha de inicio de vigencia</w:t>
            </w:r>
            <w:r w:rsidR="005B511E">
              <w:rPr>
                <w:rFonts w:ascii="ITC Avant Garde" w:hAnsi="ITC Avant Garde" w:cs="Arial"/>
                <w:i/>
                <w:sz w:val="18"/>
                <w:szCs w:val="18"/>
              </w:rPr>
              <w:t xml:space="preserve"> hasta por dos años posteriores a la adjudicación para los Participantes a los </w:t>
            </w:r>
            <w:r w:rsidR="005B511E">
              <w:rPr>
                <w:rFonts w:ascii="ITC Avant Garde" w:hAnsi="ITC Avant Garde" w:cs="Arial"/>
                <w:i/>
                <w:sz w:val="18"/>
                <w:szCs w:val="18"/>
              </w:rPr>
              <w:lastRenderedPageBreak/>
              <w:t>que se les asignaron Bloques TDD, refleja un reconocimiento de ese Instituto de aue las tecnologías TDD para la banda de 2.5 no han alcanzado la disponibilidad de las tecnologías FDD.</w:t>
            </w:r>
          </w:p>
          <w:p w14:paraId="1B2A4F2B" w14:textId="77777777" w:rsidR="00191B18" w:rsidRPr="000B5781" w:rsidRDefault="00191B18" w:rsidP="00191B18">
            <w:pPr>
              <w:pStyle w:val="Prrafodelista"/>
              <w:spacing w:line="276" w:lineRule="auto"/>
              <w:jc w:val="both"/>
              <w:rPr>
                <w:rFonts w:ascii="ITC Avant Garde" w:hAnsi="ITC Avant Garde" w:cs="Arial"/>
                <w:i/>
                <w:sz w:val="18"/>
                <w:szCs w:val="18"/>
              </w:rPr>
            </w:pPr>
          </w:p>
          <w:p w14:paraId="23787488" w14:textId="75C7458C" w:rsidR="005B511E" w:rsidRPr="000B5781" w:rsidRDefault="005B511E" w:rsidP="00191B18">
            <w:pPr>
              <w:pStyle w:val="Prrafodelista"/>
              <w:spacing w:line="276" w:lineRule="auto"/>
              <w:jc w:val="both"/>
              <w:rPr>
                <w:rFonts w:ascii="ITC Avant Garde" w:hAnsi="ITC Avant Garde" w:cs="Arial"/>
                <w:i/>
                <w:sz w:val="18"/>
                <w:szCs w:val="18"/>
              </w:rPr>
            </w:pPr>
            <w:r>
              <w:rPr>
                <w:rFonts w:ascii="ITC Avant Garde" w:hAnsi="ITC Avant Garde" w:cs="Arial"/>
                <w:i/>
                <w:sz w:val="18"/>
                <w:szCs w:val="18"/>
              </w:rPr>
              <w:t>En ese sentido, el reconocimiento de ese Instituto respecto de las diferencias entre las tecnologías FDD y TDD también debió verse reflejado en los valores mínimos de referencia establecido para cada bloque. Por lo que ese Instituto, en reconocimiento a la diferencia existente entre los Bloques FDD y los Bloques TDD, debe disminuir el valor mínimo de referencia para los Bloques TDD.”</w:t>
            </w:r>
          </w:p>
          <w:p w14:paraId="628C1535" w14:textId="77777777" w:rsidR="00F43A25" w:rsidRPr="0035139E" w:rsidRDefault="00F43A25" w:rsidP="00F43A25">
            <w:pPr>
              <w:tabs>
                <w:tab w:val="left" w:pos="2010"/>
              </w:tabs>
              <w:spacing w:line="276" w:lineRule="auto"/>
              <w:jc w:val="both"/>
              <w:rPr>
                <w:rFonts w:ascii="ITC Avant Garde" w:hAnsi="ITC Avant Garde" w:cs="Arial"/>
                <w:i/>
                <w:sz w:val="18"/>
                <w:szCs w:val="18"/>
              </w:rPr>
            </w:pPr>
            <w:r w:rsidRPr="0035139E">
              <w:rPr>
                <w:rFonts w:ascii="ITC Avant Garde" w:hAnsi="ITC Avant Garde" w:cs="Arial"/>
                <w:iCs/>
                <w:sz w:val="18"/>
                <w:szCs w:val="18"/>
              </w:rPr>
              <w:t xml:space="preserve">En el siguiente hipervínculo se podrá </w:t>
            </w:r>
            <w:r>
              <w:rPr>
                <w:rFonts w:ascii="ITC Avant Garde" w:hAnsi="ITC Avant Garde" w:cs="Arial"/>
                <w:iCs/>
                <w:sz w:val="18"/>
                <w:szCs w:val="18"/>
              </w:rPr>
              <w:t>consultar</w:t>
            </w:r>
            <w:r w:rsidRPr="0035139E">
              <w:rPr>
                <w:rFonts w:ascii="ITC Avant Garde" w:hAnsi="ITC Avant Garde" w:cs="Arial"/>
                <w:iCs/>
                <w:sz w:val="18"/>
                <w:szCs w:val="18"/>
              </w:rPr>
              <w:t xml:space="preserve"> el comentario: </w:t>
            </w:r>
          </w:p>
          <w:p w14:paraId="051E3642" w14:textId="33168A97" w:rsidR="00460312" w:rsidRPr="00AB0D17" w:rsidRDefault="0009589C" w:rsidP="00F43A25">
            <w:pPr>
              <w:spacing w:line="276" w:lineRule="auto"/>
              <w:jc w:val="both"/>
              <w:rPr>
                <w:rFonts w:ascii="ITC Avant Garde" w:hAnsi="ITC Avant Garde" w:cs="Arial"/>
                <w:i/>
                <w:color w:val="000000"/>
                <w:sz w:val="18"/>
                <w:szCs w:val="18"/>
              </w:rPr>
            </w:pPr>
            <w:hyperlink r:id="rId20" w:history="1">
              <w:r w:rsidR="00F43A25" w:rsidRPr="009B58D7">
                <w:rPr>
                  <w:rStyle w:val="Hipervnculo"/>
                  <w:rFonts w:ascii="ITC Avant Garde" w:hAnsi="ITC Avant Garde" w:cs="Arial"/>
                  <w:sz w:val="18"/>
                  <w:szCs w:val="18"/>
                </w:rPr>
                <w:t>http://www.ift.org.mx/sites/default/files/industria/temasrelevantes/consultaspublicas/documentos/totalplaytelecomunicacioness.a.dec.v_2.pdf</w:t>
              </w:r>
            </w:hyperlink>
          </w:p>
        </w:tc>
        <w:tc>
          <w:tcPr>
            <w:tcW w:w="1992" w:type="pct"/>
            <w:shd w:val="clear" w:color="auto" w:fill="FFFFFF" w:themeFill="background1"/>
          </w:tcPr>
          <w:p w14:paraId="7C4CC788" w14:textId="75151382" w:rsidR="00D937FE" w:rsidRDefault="00D937FE" w:rsidP="00D937FE">
            <w:pPr>
              <w:spacing w:line="276" w:lineRule="auto"/>
              <w:jc w:val="both"/>
              <w:rPr>
                <w:rFonts w:ascii="ITC Avant Garde" w:hAnsi="ITC Avant Garde"/>
                <w:sz w:val="18"/>
                <w:szCs w:val="18"/>
              </w:rPr>
            </w:pPr>
            <w:r>
              <w:rPr>
                <w:rFonts w:ascii="ITC Avant Garde" w:hAnsi="ITC Avant Garde"/>
                <w:sz w:val="18"/>
                <w:szCs w:val="18"/>
              </w:rPr>
              <w:lastRenderedPageBreak/>
              <w:t xml:space="preserve">Con relación al comentario de </w:t>
            </w:r>
            <w:r w:rsidRPr="00F43A25">
              <w:rPr>
                <w:rFonts w:ascii="ITC Avant Garde" w:hAnsi="ITC Avant Garde"/>
                <w:b/>
                <w:sz w:val="18"/>
                <w:szCs w:val="18"/>
              </w:rPr>
              <w:t>Total Play Telecomunicaciones, S.A. de C.V.</w:t>
            </w:r>
            <w:r>
              <w:rPr>
                <w:rFonts w:ascii="ITC Avant Garde" w:hAnsi="ITC Avant Garde"/>
                <w:b/>
                <w:sz w:val="18"/>
                <w:szCs w:val="18"/>
              </w:rPr>
              <w:t xml:space="preserve"> </w:t>
            </w:r>
            <w:r>
              <w:rPr>
                <w:rFonts w:ascii="ITC Avant Garde" w:hAnsi="ITC Avant Garde"/>
                <w:sz w:val="18"/>
                <w:szCs w:val="18"/>
              </w:rPr>
              <w:t>relativo</w:t>
            </w:r>
            <w:r w:rsidR="00E335EC">
              <w:rPr>
                <w:rFonts w:ascii="ITC Avant Garde" w:hAnsi="ITC Avant Garde"/>
                <w:sz w:val="18"/>
                <w:szCs w:val="18"/>
              </w:rPr>
              <w:t xml:space="preserve"> </w:t>
            </w:r>
            <w:r w:rsidR="00194A1D">
              <w:rPr>
                <w:rFonts w:ascii="ITC Avant Garde" w:hAnsi="ITC Avant Garde"/>
                <w:sz w:val="18"/>
                <w:szCs w:val="18"/>
              </w:rPr>
              <w:t xml:space="preserve">a impedir la </w:t>
            </w:r>
            <w:r w:rsidR="00E335EC">
              <w:rPr>
                <w:rFonts w:ascii="ITC Avant Garde" w:hAnsi="ITC Avant Garde"/>
                <w:sz w:val="18"/>
                <w:szCs w:val="18"/>
              </w:rPr>
              <w:t xml:space="preserve"> </w:t>
            </w:r>
            <w:r w:rsidR="00E335EC" w:rsidRPr="00B04361">
              <w:rPr>
                <w:rFonts w:ascii="ITC Avant Garde" w:hAnsi="ITC Avant Garde"/>
                <w:sz w:val="18"/>
                <w:szCs w:val="18"/>
              </w:rPr>
              <w:t>participación del AEPT</w:t>
            </w:r>
            <w:r w:rsidR="00945843">
              <w:rPr>
                <w:rFonts w:ascii="ITC Avant Garde" w:hAnsi="ITC Avant Garde"/>
                <w:sz w:val="18"/>
                <w:szCs w:val="18"/>
              </w:rPr>
              <w:t xml:space="preserve"> o cualquier participante</w:t>
            </w:r>
            <w:r w:rsidRPr="00B04361">
              <w:rPr>
                <w:rFonts w:ascii="ITC Avant Garde" w:hAnsi="ITC Avant Garde"/>
                <w:sz w:val="18"/>
                <w:szCs w:val="18"/>
              </w:rPr>
              <w:t xml:space="preserve">,   </w:t>
            </w:r>
            <w:r w:rsidR="00A145B8" w:rsidRPr="00B04361">
              <w:rPr>
                <w:rFonts w:ascii="ITC Avant Garde" w:hAnsi="ITC Avant Garde"/>
                <w:sz w:val="18"/>
                <w:szCs w:val="18"/>
              </w:rPr>
              <w:t xml:space="preserve">se hace de su conocimiento presenta el Anteproyecto </w:t>
            </w:r>
            <w:r w:rsidR="00A772D0" w:rsidRPr="00B04361">
              <w:rPr>
                <w:rFonts w:ascii="ITC Avant Garde" w:hAnsi="ITC Avant Garde"/>
                <w:sz w:val="18"/>
                <w:szCs w:val="18"/>
              </w:rPr>
              <w:t xml:space="preserve">de </w:t>
            </w:r>
            <w:r w:rsidR="00A772D0">
              <w:t xml:space="preserve"> </w:t>
            </w:r>
            <w:r w:rsidR="00A772D0">
              <w:rPr>
                <w:rFonts w:ascii="ITC Avant Garde" w:hAnsi="ITC Avant Garde"/>
                <w:sz w:val="18"/>
                <w:szCs w:val="18"/>
              </w:rPr>
              <w:t>Bases d</w:t>
            </w:r>
            <w:r w:rsidR="00A772D0" w:rsidRPr="00A772D0">
              <w:rPr>
                <w:rFonts w:ascii="ITC Avant Garde" w:hAnsi="ITC Avant Garde"/>
                <w:sz w:val="18"/>
                <w:szCs w:val="18"/>
              </w:rPr>
              <w:t xml:space="preserve">e Licitación </w:t>
            </w:r>
            <w:r w:rsidR="00B04361" w:rsidRPr="00A772D0">
              <w:rPr>
                <w:rFonts w:ascii="ITC Avant Garde" w:hAnsi="ITC Avant Garde"/>
                <w:sz w:val="18"/>
                <w:szCs w:val="18"/>
              </w:rPr>
              <w:t>pública para concesionar el uso, aprovechamiento y explotación comercial de</w:t>
            </w:r>
            <w:r w:rsidR="00A772D0" w:rsidRPr="00A772D0">
              <w:rPr>
                <w:rFonts w:ascii="ITC Avant Garde" w:hAnsi="ITC Avant Garde"/>
                <w:sz w:val="18"/>
                <w:szCs w:val="18"/>
              </w:rPr>
              <w:t xml:space="preserve"> 120 MHz de espectro radioeléctrico disponibles en la banda de frecuencias 2500-2690 MHz</w:t>
            </w:r>
            <w:r w:rsidR="00A772D0">
              <w:rPr>
                <w:rFonts w:ascii="ITC Avant Garde" w:hAnsi="ITC Avant Garde"/>
                <w:sz w:val="18"/>
                <w:szCs w:val="18"/>
              </w:rPr>
              <w:t xml:space="preserve">, el cual es un </w:t>
            </w:r>
            <w:r w:rsidR="00B04361">
              <w:rPr>
                <w:rFonts w:ascii="ITC Avant Garde" w:hAnsi="ITC Avant Garde"/>
                <w:sz w:val="18"/>
                <w:szCs w:val="18"/>
              </w:rPr>
              <w:t>procedimiento</w:t>
            </w:r>
            <w:r w:rsidR="00A772D0">
              <w:rPr>
                <w:rFonts w:ascii="ITC Avant Garde" w:hAnsi="ITC Avant Garde"/>
                <w:sz w:val="18"/>
                <w:szCs w:val="18"/>
              </w:rPr>
              <w:t xml:space="preserve"> público y transparente </w:t>
            </w:r>
            <w:r w:rsidR="00B04361">
              <w:rPr>
                <w:rFonts w:ascii="ITC Avant Garde" w:hAnsi="ITC Avant Garde"/>
                <w:sz w:val="18"/>
                <w:szCs w:val="18"/>
              </w:rPr>
              <w:t>al que</w:t>
            </w:r>
            <w:r w:rsidR="00A772D0">
              <w:rPr>
                <w:rFonts w:ascii="ITC Avant Garde" w:hAnsi="ITC Avant Garde"/>
                <w:sz w:val="18"/>
                <w:szCs w:val="18"/>
              </w:rPr>
              <w:t xml:space="preserve"> tiene acceso cualquier persona interesada que cumpla los requisitos establecidos en las disposiciones legales y en las propias Bases. </w:t>
            </w:r>
          </w:p>
          <w:p w14:paraId="497A6017" w14:textId="2B33A10A" w:rsidR="00A772D0" w:rsidRDefault="00A772D0" w:rsidP="00B04361">
            <w:pPr>
              <w:spacing w:after="0" w:line="276" w:lineRule="auto"/>
              <w:jc w:val="both"/>
              <w:rPr>
                <w:rFonts w:ascii="ITC Avant Garde" w:hAnsi="ITC Avant Garde"/>
                <w:sz w:val="18"/>
                <w:szCs w:val="18"/>
              </w:rPr>
            </w:pPr>
            <w:r>
              <w:rPr>
                <w:rFonts w:ascii="ITC Avant Garde" w:hAnsi="ITC Avant Garde"/>
                <w:sz w:val="18"/>
                <w:szCs w:val="18"/>
              </w:rPr>
              <w:t>No obstante, el propio Anteproyecto considera que</w:t>
            </w:r>
            <w:r w:rsidR="00B04361">
              <w:rPr>
                <w:rFonts w:ascii="ITC Avant Garde" w:hAnsi="ITC Avant Garde"/>
                <w:sz w:val="18"/>
                <w:szCs w:val="18"/>
              </w:rPr>
              <w:t xml:space="preserve"> el </w:t>
            </w:r>
            <w:r w:rsidRPr="00A772D0">
              <w:rPr>
                <w:rFonts w:ascii="ITC Avant Garde" w:hAnsi="ITC Avant Garde"/>
                <w:sz w:val="18"/>
                <w:szCs w:val="18"/>
              </w:rPr>
              <w:t xml:space="preserve">Instituto podrá restringir la participación de un </w:t>
            </w:r>
            <w:r w:rsidR="00B04361">
              <w:rPr>
                <w:rFonts w:ascii="ITC Avant Garde" w:hAnsi="ITC Avant Garde"/>
                <w:sz w:val="18"/>
                <w:szCs w:val="18"/>
              </w:rPr>
              <w:t>i</w:t>
            </w:r>
            <w:r w:rsidRPr="00A772D0">
              <w:rPr>
                <w:rFonts w:ascii="ITC Avant Garde" w:hAnsi="ITC Avant Garde"/>
                <w:sz w:val="18"/>
                <w:szCs w:val="18"/>
              </w:rPr>
              <w:t>nteresado cuando, de acuerdo al marco jurídico y a las determinaciones jurídico-económicas aplicables, su participación pueda significar un efecto adverso a la competencia y libre concurrencia o generar concentraciones de espectro radioeléctrico contrarias al interés público</w:t>
            </w:r>
            <w:r w:rsidR="00273BD1">
              <w:rPr>
                <w:rFonts w:ascii="ITC Avant Garde" w:hAnsi="ITC Avant Garde"/>
                <w:sz w:val="18"/>
                <w:szCs w:val="18"/>
              </w:rPr>
              <w:t>.</w:t>
            </w:r>
          </w:p>
          <w:p w14:paraId="210A36A6" w14:textId="6F04F0ED" w:rsidR="00273BD1" w:rsidRDefault="00273BD1" w:rsidP="00B04361">
            <w:pPr>
              <w:spacing w:after="0" w:line="276" w:lineRule="auto"/>
              <w:jc w:val="both"/>
              <w:rPr>
                <w:rFonts w:ascii="ITC Avant Garde" w:hAnsi="ITC Avant Garde"/>
                <w:sz w:val="18"/>
                <w:szCs w:val="18"/>
              </w:rPr>
            </w:pPr>
          </w:p>
          <w:p w14:paraId="2B9BA22B" w14:textId="31AD76CB" w:rsidR="00273BD1" w:rsidRPr="00273BD1" w:rsidRDefault="00273BD1" w:rsidP="00B04361">
            <w:pPr>
              <w:spacing w:line="276" w:lineRule="auto"/>
              <w:jc w:val="both"/>
              <w:rPr>
                <w:rFonts w:ascii="ITC Avant Garde" w:hAnsi="ITC Avant Garde"/>
                <w:i/>
                <w:sz w:val="18"/>
                <w:szCs w:val="18"/>
                <w:highlight w:val="yellow"/>
              </w:rPr>
            </w:pPr>
            <w:r>
              <w:rPr>
                <w:rFonts w:ascii="ITC Avant Garde" w:hAnsi="ITC Avant Garde" w:cs="Arial"/>
                <w:sz w:val="18"/>
                <w:szCs w:val="18"/>
              </w:rPr>
              <w:t>En cuanto a los límites de acumulación propuestos en el Anteproyecto, se informa que, e</w:t>
            </w:r>
            <w:r w:rsidRPr="00273BD1">
              <w:rPr>
                <w:rFonts w:ascii="ITC Avant Garde" w:hAnsi="ITC Avant Garde" w:cs="Arial"/>
                <w:sz w:val="18"/>
                <w:szCs w:val="18"/>
              </w:rPr>
              <w:t xml:space="preserve">n </w:t>
            </w:r>
            <w:r w:rsidR="00B04361" w:rsidRPr="00273BD1">
              <w:rPr>
                <w:rFonts w:ascii="ITC Avant Garde" w:hAnsi="ITC Avant Garde" w:cs="Arial"/>
                <w:sz w:val="18"/>
                <w:szCs w:val="18"/>
              </w:rPr>
              <w:t xml:space="preserve">la etapa de adjudicación, el límite de acumulación de espectro para la fase </w:t>
            </w:r>
            <w:r w:rsidRPr="00273BD1">
              <w:rPr>
                <w:rFonts w:ascii="ITC Avant Garde" w:hAnsi="ITC Avant Garde" w:cs="Arial"/>
                <w:sz w:val="18"/>
                <w:szCs w:val="18"/>
              </w:rPr>
              <w:t xml:space="preserve">I será de 32.5% y en caso de demanda insuficiente, este límite se incrementará a 35% y 37.5% en fases subsecuentes de </w:t>
            </w:r>
            <w:r w:rsidR="00B04361" w:rsidRPr="00273BD1">
              <w:rPr>
                <w:rFonts w:ascii="ITC Avant Garde" w:hAnsi="ITC Avant Garde" w:cs="Arial"/>
                <w:sz w:val="18"/>
                <w:szCs w:val="18"/>
              </w:rPr>
              <w:t>la etapa de adjudicación</w:t>
            </w:r>
            <w:r>
              <w:rPr>
                <w:rFonts w:ascii="ITC Avant Garde" w:hAnsi="ITC Avant Garde" w:cs="Arial"/>
                <w:sz w:val="18"/>
                <w:szCs w:val="18"/>
              </w:rPr>
              <w:t>. En este sentido,</w:t>
            </w:r>
            <w:r w:rsidR="00FD1C9D">
              <w:rPr>
                <w:rFonts w:ascii="ITC Avant Garde" w:hAnsi="ITC Avant Garde" w:cs="Arial"/>
                <w:sz w:val="18"/>
                <w:szCs w:val="18"/>
              </w:rPr>
              <w:t xml:space="preserve"> el límite inicial facilita la asignación de espectro a los actores sin tenencia espectral o baja tenencia en las bandas de referencia y </w:t>
            </w:r>
            <w:r w:rsidR="00FD1C9D">
              <w:rPr>
                <w:rFonts w:ascii="ITC Avant Garde" w:hAnsi="ITC Avant Garde" w:cs="Arial"/>
                <w:sz w:val="18"/>
                <w:szCs w:val="18"/>
              </w:rPr>
              <w:lastRenderedPageBreak/>
              <w:t xml:space="preserve">solo en caso de que quedar espectro disponible ser permitiría a los agentes con mayor tenencia acumular un nivel superior conforme avancen </w:t>
            </w:r>
            <w:r w:rsidR="00B04361">
              <w:rPr>
                <w:rFonts w:ascii="ITC Avant Garde" w:hAnsi="ITC Avant Garde" w:cs="Arial"/>
                <w:sz w:val="18"/>
                <w:szCs w:val="18"/>
              </w:rPr>
              <w:t xml:space="preserve">las fases de la etapa </w:t>
            </w:r>
            <w:r w:rsidR="00FD1C9D">
              <w:rPr>
                <w:rFonts w:ascii="ITC Avant Garde" w:hAnsi="ITC Avant Garde" w:cs="Arial"/>
                <w:sz w:val="18"/>
                <w:szCs w:val="18"/>
              </w:rPr>
              <w:t>de adjudicación a fin de evitar espectro ocioso.</w:t>
            </w:r>
            <w:r>
              <w:rPr>
                <w:rFonts w:ascii="ITC Avant Garde" w:hAnsi="ITC Avant Garde" w:cs="Arial"/>
                <w:sz w:val="18"/>
                <w:szCs w:val="18"/>
              </w:rPr>
              <w:t xml:space="preserve"> </w:t>
            </w:r>
            <w:r w:rsidR="00E476E8">
              <w:rPr>
                <w:rFonts w:ascii="ITC Avant Garde" w:hAnsi="ITC Avant Garde" w:cs="Arial"/>
                <w:sz w:val="18"/>
                <w:szCs w:val="18"/>
              </w:rPr>
              <w:t>No obstante, se analizarán todos los elementos técnicos jurídicos respecto a los límites de acumulación de espectro radioeléctrico y los comentarios recibidos para la elaboración definitiva del Proyecto de Bases de licitación.</w:t>
            </w:r>
          </w:p>
          <w:p w14:paraId="71EEAA08" w14:textId="0030E6D4" w:rsidR="003C5DF0" w:rsidRDefault="00945843" w:rsidP="00945843">
            <w:pPr>
              <w:spacing w:line="276" w:lineRule="auto"/>
              <w:jc w:val="both"/>
              <w:rPr>
                <w:rFonts w:ascii="ITC Avant Garde" w:hAnsi="ITC Avant Garde"/>
                <w:sz w:val="18"/>
                <w:szCs w:val="18"/>
              </w:rPr>
            </w:pPr>
            <w:r>
              <w:rPr>
                <w:rFonts w:ascii="ITC Avant Garde" w:hAnsi="ITC Avant Garde"/>
                <w:sz w:val="18"/>
                <w:szCs w:val="18"/>
              </w:rPr>
              <w:t>Respecto al espectro radioeléctrico a tomarse en cuenta, se informa que los límites de acumulación de e</w:t>
            </w:r>
            <w:r w:rsidRPr="00F45F0B">
              <w:rPr>
                <w:rFonts w:ascii="ITC Avant Garde" w:hAnsi="ITC Avant Garde"/>
                <w:sz w:val="18"/>
                <w:szCs w:val="18"/>
              </w:rPr>
              <w:t xml:space="preserve">spectro se calcularán para cada </w:t>
            </w:r>
            <w:r w:rsidRPr="00C85801">
              <w:rPr>
                <w:rFonts w:ascii="ITC Avant Garde" w:hAnsi="ITC Avant Garde"/>
                <w:sz w:val="18"/>
                <w:szCs w:val="18"/>
              </w:rPr>
              <w:t>interesado</w:t>
            </w:r>
            <w:r w:rsidRPr="00F45F0B">
              <w:rPr>
                <w:rFonts w:ascii="ITC Avant Garde" w:hAnsi="ITC Avant Garde"/>
                <w:sz w:val="18"/>
                <w:szCs w:val="18"/>
              </w:rPr>
              <w:t xml:space="preserve"> en su dimensión de GIE, </w:t>
            </w:r>
            <w:r>
              <w:rPr>
                <w:rFonts w:ascii="ITC Avant Garde" w:hAnsi="ITC Avant Garde"/>
                <w:sz w:val="18"/>
                <w:szCs w:val="18"/>
              </w:rPr>
              <w:t xml:space="preserve">conforme a la </w:t>
            </w:r>
            <w:r w:rsidRPr="00F45F0B">
              <w:rPr>
                <w:rFonts w:ascii="ITC Avant Garde" w:hAnsi="ITC Avant Garde"/>
                <w:sz w:val="18"/>
                <w:szCs w:val="18"/>
              </w:rPr>
              <w:t xml:space="preserve"> Tabla 2</w:t>
            </w:r>
            <w:r>
              <w:rPr>
                <w:rFonts w:ascii="ITC Avant Garde" w:hAnsi="ITC Avant Garde"/>
                <w:sz w:val="18"/>
                <w:szCs w:val="18"/>
              </w:rPr>
              <w:t xml:space="preserve">  del Anteproyecto, misma que</w:t>
            </w:r>
            <w:r w:rsidRPr="00F45F0B">
              <w:rPr>
                <w:rFonts w:ascii="ITC Avant Garde" w:hAnsi="ITC Avant Garde"/>
                <w:sz w:val="18"/>
                <w:szCs w:val="18"/>
              </w:rPr>
              <w:t xml:space="preserve"> ejemplifica la tenencia espectral en bandas de frecuencias óptimas para la prestación del servicio de acceso inalámbrico móvil, por lo que la evaluación en materia de competencia económica que realice el Instituto a los </w:t>
            </w:r>
            <w:r>
              <w:rPr>
                <w:rFonts w:ascii="ITC Avant Garde" w:hAnsi="ITC Avant Garde"/>
                <w:sz w:val="18"/>
                <w:szCs w:val="18"/>
              </w:rPr>
              <w:t>i</w:t>
            </w:r>
            <w:r w:rsidRPr="00F45F0B">
              <w:rPr>
                <w:rFonts w:ascii="ITC Avant Garde" w:hAnsi="ITC Avant Garde"/>
                <w:sz w:val="18"/>
                <w:szCs w:val="18"/>
              </w:rPr>
              <w:t>nteresados para determinar su calidad de participantes en la Licitación</w:t>
            </w:r>
            <w:r>
              <w:rPr>
                <w:rFonts w:ascii="ITC Avant Garde" w:hAnsi="ITC Avant Garde"/>
                <w:sz w:val="18"/>
                <w:szCs w:val="18"/>
              </w:rPr>
              <w:t>,</w:t>
            </w:r>
            <w:r w:rsidRPr="00F45F0B">
              <w:rPr>
                <w:rFonts w:ascii="ITC Avant Garde" w:hAnsi="ITC Avant Garde"/>
                <w:sz w:val="18"/>
                <w:szCs w:val="18"/>
              </w:rPr>
              <w:t xml:space="preserve"> se realizará conforme a la tenencia espectral de cada participante a la fecha de aprobación de las Bases, con independencia de las transacciones y operaciones que pudieran llegar a realizar y/o a notificar los interesados en fecha posterior a ésta. Dicha tenencia es calculada a nivel nacional.</w:t>
            </w:r>
            <w:r>
              <w:rPr>
                <w:rFonts w:ascii="ITC Avant Garde" w:hAnsi="ITC Avant Garde"/>
                <w:sz w:val="18"/>
                <w:szCs w:val="18"/>
              </w:rPr>
              <w:t xml:space="preserve"> En este sentido, se considera relevante incluir las bandas de frecuencias para servicios de acceso inalámbrico móvil a fin de evitar concentraciones de espectro radioeléctrico para este servicio que pudieran afectar el interés público.</w:t>
            </w:r>
          </w:p>
          <w:p w14:paraId="6F141134" w14:textId="534E7353" w:rsidR="00945843" w:rsidRDefault="00945843" w:rsidP="00945843">
            <w:pPr>
              <w:spacing w:line="276" w:lineRule="auto"/>
              <w:jc w:val="both"/>
              <w:rPr>
                <w:rFonts w:ascii="ITC Avant Garde" w:hAnsi="ITC Avant Garde"/>
                <w:sz w:val="18"/>
                <w:szCs w:val="18"/>
              </w:rPr>
            </w:pPr>
          </w:p>
          <w:p w14:paraId="03AB205B" w14:textId="4A86A1D8" w:rsidR="00945843" w:rsidRDefault="00945843" w:rsidP="00945843">
            <w:pPr>
              <w:spacing w:line="276" w:lineRule="auto"/>
              <w:jc w:val="both"/>
              <w:rPr>
                <w:rFonts w:ascii="ITC Avant Garde" w:hAnsi="ITC Avant Garde"/>
                <w:sz w:val="18"/>
                <w:szCs w:val="18"/>
              </w:rPr>
            </w:pPr>
            <w:r>
              <w:rPr>
                <w:rFonts w:ascii="ITC Avant Garde" w:hAnsi="ITC Avant Garde"/>
                <w:sz w:val="18"/>
                <w:szCs w:val="18"/>
              </w:rPr>
              <w:lastRenderedPageBreak/>
              <w:t>En cuanto a la opinión sobre los lineamientos de concentración emitidos por el Instituto, se le informa que no se le da respuesta a este planteamiento debido a que no versa sobre el</w:t>
            </w:r>
            <w:r w:rsidR="0009589C">
              <w:rPr>
                <w:rFonts w:ascii="ITC Avant Garde" w:hAnsi="ITC Avant Garde"/>
                <w:sz w:val="18"/>
                <w:szCs w:val="18"/>
              </w:rPr>
              <w:t xml:space="preserve"> contenido del</w:t>
            </w:r>
            <w:r>
              <w:rPr>
                <w:rFonts w:ascii="ITC Avant Garde" w:hAnsi="ITC Avant Garde"/>
                <w:sz w:val="18"/>
                <w:szCs w:val="18"/>
              </w:rPr>
              <w:t xml:space="preserve"> presente documento.</w:t>
            </w:r>
          </w:p>
          <w:p w14:paraId="73142C75" w14:textId="32A44AD1" w:rsidR="00F46484" w:rsidRDefault="00945843" w:rsidP="00945843">
            <w:pPr>
              <w:spacing w:after="0" w:line="276" w:lineRule="auto"/>
              <w:jc w:val="both"/>
              <w:rPr>
                <w:rFonts w:ascii="ITC Avant Garde" w:hAnsi="ITC Avant Garde"/>
                <w:sz w:val="18"/>
                <w:szCs w:val="18"/>
              </w:rPr>
            </w:pPr>
            <w:r>
              <w:rPr>
                <w:rFonts w:ascii="ITC Avant Garde" w:eastAsia="Times New Roman" w:hAnsi="ITC Avant Garde"/>
                <w:color w:val="000000"/>
                <w:sz w:val="18"/>
                <w:szCs w:val="18"/>
                <w:lang w:eastAsia="es-MX"/>
              </w:rPr>
              <w:t>Finalmente, con relación a su comentario sobre la valoración de los bloques FDD y TDD, se toma conocimiento del mismo.</w:t>
            </w:r>
          </w:p>
        </w:tc>
      </w:tr>
      <w:tr w:rsidR="00D75EE9" w:rsidRPr="00637136" w14:paraId="109FD264" w14:textId="77777777" w:rsidTr="009155A1">
        <w:trPr>
          <w:trHeight w:val="290"/>
          <w:tblHeader/>
        </w:trPr>
        <w:tc>
          <w:tcPr>
            <w:tcW w:w="472" w:type="pct"/>
          </w:tcPr>
          <w:p w14:paraId="4A892F88" w14:textId="5FD95BDF" w:rsidR="00D75EE9" w:rsidRPr="00D75EE9" w:rsidRDefault="00D75EE9" w:rsidP="00D407F2">
            <w:pPr>
              <w:spacing w:after="0" w:line="276" w:lineRule="auto"/>
              <w:jc w:val="both"/>
              <w:rPr>
                <w:rFonts w:ascii="ITC Avant Garde" w:hAnsi="ITC Avant Garde" w:cs="Arial"/>
                <w:b/>
                <w:sz w:val="18"/>
                <w:szCs w:val="18"/>
              </w:rPr>
            </w:pPr>
            <w:r w:rsidRPr="00D75EE9">
              <w:rPr>
                <w:rFonts w:ascii="ITC Avant Garde" w:hAnsi="ITC Avant Garde"/>
                <w:b/>
                <w:sz w:val="18"/>
                <w:szCs w:val="18"/>
              </w:rPr>
              <w:lastRenderedPageBreak/>
              <w:t xml:space="preserve">Federico Hernández Arroyo  </w:t>
            </w:r>
          </w:p>
        </w:tc>
        <w:tc>
          <w:tcPr>
            <w:tcW w:w="570" w:type="pct"/>
            <w:shd w:val="clear" w:color="auto" w:fill="auto"/>
          </w:tcPr>
          <w:p w14:paraId="0BF162C7" w14:textId="349B8351" w:rsidR="00D75EE9" w:rsidRDefault="00D75EE9" w:rsidP="00D407F2">
            <w:pPr>
              <w:pStyle w:val="Ttulo3"/>
              <w:spacing w:before="0" w:line="276" w:lineRule="auto"/>
              <w:jc w:val="both"/>
              <w:rPr>
                <w:rFonts w:ascii="ITC Avant Garde" w:eastAsia="Calibri" w:hAnsi="ITC Avant Garde" w:cs="Arial"/>
                <w:b/>
                <w:bCs/>
                <w:color w:val="000000" w:themeColor="text1"/>
                <w:sz w:val="18"/>
                <w:szCs w:val="18"/>
              </w:rPr>
            </w:pPr>
            <w:r w:rsidRPr="008E29E0">
              <w:rPr>
                <w:rFonts w:ascii="ITC Avant Garde" w:eastAsiaTheme="minorHAnsi" w:hAnsi="ITC Avant Garde" w:cstheme="minorBidi"/>
                <w:b/>
                <w:color w:val="auto"/>
                <w:sz w:val="18"/>
                <w:szCs w:val="18"/>
              </w:rPr>
              <w:t>Sección 3 y Sección 3.1</w:t>
            </w:r>
          </w:p>
        </w:tc>
        <w:tc>
          <w:tcPr>
            <w:tcW w:w="1966" w:type="pct"/>
            <w:shd w:val="clear" w:color="auto" w:fill="auto"/>
          </w:tcPr>
          <w:p w14:paraId="51A406AE" w14:textId="77777777" w:rsidR="00D75EE9" w:rsidRDefault="00D75EE9" w:rsidP="00D75EE9">
            <w:pPr>
              <w:spacing w:line="276" w:lineRule="auto"/>
              <w:jc w:val="both"/>
              <w:rPr>
                <w:rFonts w:ascii="ITC Avant Garde" w:hAnsi="ITC Avant Garde" w:cs="Arial"/>
                <w:i/>
                <w:sz w:val="18"/>
                <w:szCs w:val="18"/>
              </w:rPr>
            </w:pPr>
            <w:r>
              <w:rPr>
                <w:rFonts w:ascii="ITC Avant Garde" w:hAnsi="ITC Avant Garde" w:cs="Arial"/>
                <w:i/>
                <w:sz w:val="18"/>
                <w:szCs w:val="18"/>
              </w:rPr>
              <w:t xml:space="preserve">… </w:t>
            </w:r>
            <w:r w:rsidRPr="006A6098">
              <w:rPr>
                <w:rFonts w:ascii="ITC Avant Garde" w:hAnsi="ITC Avant Garde" w:cs="Arial"/>
                <w:i/>
                <w:sz w:val="18"/>
                <w:szCs w:val="18"/>
              </w:rPr>
              <w:t xml:space="preserve">Sprint solicita respetuosamente que el IFT adopte reglas técnicas y requisitos (i) antes de, y/o (ii) como parte de cualquier proceso de licitación, que informe a los potenciales concesionarios de la banda de 2.5 GHz de los riesgos de interferencia perjudicial y establezca expresamente en las concesiones que otorgue en la banda de 2.5 GHz en México la obligación de: (a) prevenir la interferencia en las operaciones pre-existentes de los Estados Unidos de América en la zona fronteriza; y (b) coordinar el uso a lo largo de la frontera para evitar cualquier interferencia perjudicial. Igualmente, Sprint </w:t>
            </w:r>
            <w:r w:rsidRPr="006A6098">
              <w:rPr>
                <w:rFonts w:ascii="ITC Avant Garde" w:hAnsi="ITC Avant Garde" w:cs="Arial"/>
                <w:i/>
                <w:sz w:val="18"/>
                <w:szCs w:val="18"/>
              </w:rPr>
              <w:lastRenderedPageBreak/>
              <w:t>respetuosamente solicita que el IFT y la FCC revisen el acuerdo internacional entre los dos países para coordinar el mejor uso de la banda de 2.5 GHz. El último acuerdo entre los Estados Unidos de América y México en relación al uso de la banda 2500-2686 MHz fue celebrado hace veinticinco años, precisamente en el año de 1992. Dicho acuerdo buscaba coordinar la asignación de frecuencias para servicios de distribución punto a multipunto en un radio de 80 kilómetros a cada lado de la frontera común</w:t>
            </w:r>
            <w:r>
              <w:rPr>
                <w:rFonts w:ascii="ITC Avant Garde" w:hAnsi="ITC Avant Garde" w:cs="Arial"/>
                <w:i/>
                <w:sz w:val="18"/>
                <w:szCs w:val="18"/>
              </w:rPr>
              <w:t xml:space="preserve"> …</w:t>
            </w:r>
          </w:p>
          <w:p w14:paraId="1CA114AF" w14:textId="77777777" w:rsidR="00D75EE9" w:rsidRDefault="00D75EE9" w:rsidP="00D75EE9">
            <w:pPr>
              <w:spacing w:line="276" w:lineRule="auto"/>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w:t>
            </w:r>
          </w:p>
          <w:p w14:paraId="46673520" w14:textId="6AA33E63" w:rsidR="00D75EE9" w:rsidRDefault="0009589C" w:rsidP="00D75EE9">
            <w:pPr>
              <w:tabs>
                <w:tab w:val="left" w:pos="975"/>
              </w:tabs>
              <w:spacing w:line="276" w:lineRule="auto"/>
              <w:jc w:val="both"/>
              <w:rPr>
                <w:rFonts w:ascii="ITC Avant Garde" w:hAnsi="ITC Avant Garde" w:cs="Arial"/>
                <w:i/>
                <w:color w:val="000000"/>
                <w:sz w:val="18"/>
                <w:szCs w:val="18"/>
              </w:rPr>
            </w:pPr>
            <w:hyperlink r:id="rId21" w:history="1">
              <w:r w:rsidR="00D75EE9" w:rsidRPr="009B58D7">
                <w:rPr>
                  <w:rStyle w:val="Hipervnculo"/>
                  <w:rFonts w:ascii="ITC Avant Garde" w:hAnsi="ITC Avant Garde"/>
                  <w:sz w:val="18"/>
                  <w:szCs w:val="18"/>
                </w:rPr>
                <w:t>http://www.ift.org.mx/sites/default/files/industria/temasrelevantes/consultaspublicas/documentos/comentariossprintlicitacionift-7-pdf.pdf</w:t>
              </w:r>
            </w:hyperlink>
          </w:p>
        </w:tc>
        <w:tc>
          <w:tcPr>
            <w:tcW w:w="1992" w:type="pct"/>
            <w:shd w:val="clear" w:color="auto" w:fill="FFFFFF" w:themeFill="background1"/>
          </w:tcPr>
          <w:p w14:paraId="4FF98C53" w14:textId="0F2426F6" w:rsidR="00046FF1" w:rsidRPr="008D329E" w:rsidRDefault="00046FF1" w:rsidP="003C5DF0">
            <w:pPr>
              <w:spacing w:after="0" w:line="276" w:lineRule="auto"/>
              <w:jc w:val="both"/>
              <w:rPr>
                <w:rFonts w:ascii="ITC Avant Garde" w:hAnsi="ITC Avant Garde"/>
                <w:sz w:val="18"/>
                <w:szCs w:val="18"/>
              </w:rPr>
            </w:pPr>
            <w:r>
              <w:rPr>
                <w:rFonts w:ascii="ITC Avant Garde" w:hAnsi="ITC Avant Garde"/>
                <w:sz w:val="18"/>
                <w:szCs w:val="18"/>
              </w:rPr>
              <w:lastRenderedPageBreak/>
              <w:t xml:space="preserve">Se informa que respecto a la </w:t>
            </w:r>
            <w:r w:rsidRPr="008D329E">
              <w:rPr>
                <w:rFonts w:ascii="ITC Avant Garde" w:hAnsi="ITC Avant Garde"/>
                <w:sz w:val="18"/>
                <w:szCs w:val="18"/>
              </w:rPr>
              <w:t xml:space="preserve">utilización de las </w:t>
            </w:r>
            <w:r>
              <w:rPr>
                <w:rFonts w:ascii="ITC Avant Garde" w:hAnsi="ITC Avant Garde"/>
                <w:sz w:val="18"/>
                <w:szCs w:val="18"/>
              </w:rPr>
              <w:t xml:space="preserve">bandas de frecuencias objeto del Anteproyecto </w:t>
            </w:r>
            <w:r w:rsidRPr="008D329E">
              <w:rPr>
                <w:rFonts w:ascii="ITC Avant Garde" w:hAnsi="ITC Avant Garde"/>
                <w:sz w:val="18"/>
                <w:szCs w:val="18"/>
              </w:rPr>
              <w:t xml:space="preserve">debe sujetarse a lo establecido en el </w:t>
            </w:r>
            <w:r>
              <w:t xml:space="preserve"> “</w:t>
            </w:r>
            <w:r w:rsidRPr="00677488">
              <w:rPr>
                <w:rFonts w:ascii="ITC Avant Garde" w:hAnsi="ITC Avant Garde"/>
                <w:i/>
                <w:sz w:val="18"/>
                <w:szCs w:val="18"/>
              </w:rPr>
              <w:t>Acuerdo entre el Gobierno de los Estados Unidos Mexicanos y el Gobierno de los Estados</w:t>
            </w:r>
            <w:r w:rsidRPr="00A21E14">
              <w:rPr>
                <w:rFonts w:ascii="ITC Avant Garde" w:hAnsi="ITC Avant Garde"/>
                <w:i/>
                <w:sz w:val="18"/>
                <w:szCs w:val="18"/>
              </w:rPr>
              <w:t xml:space="preserve"> </w:t>
            </w:r>
            <w:r w:rsidRPr="00677488">
              <w:rPr>
                <w:rFonts w:ascii="ITC Avant Garde" w:hAnsi="ITC Avant Garde"/>
                <w:i/>
                <w:sz w:val="18"/>
                <w:szCs w:val="18"/>
              </w:rPr>
              <w:t xml:space="preserve">Unidos de América concerniente a la asignación de frecuencias y uso de la banda de 2500 a 2686 MHz a lo largo de la frontera México-Estados Unidos” </w:t>
            </w:r>
            <w:r w:rsidRPr="009E7892">
              <w:rPr>
                <w:rFonts w:ascii="ITC Avant Garde" w:hAnsi="ITC Avant Garde"/>
                <w:i/>
                <w:sz w:val="18"/>
                <w:szCs w:val="18"/>
              </w:rPr>
              <w:t xml:space="preserve">firmado en la Ciudad de Querétaro, Querétaro el 11 de agosto de 1992 y su modificación, formalizada mediante Canje de Notas fechadas en la ciudad de </w:t>
            </w:r>
            <w:r w:rsidRPr="009E7892">
              <w:rPr>
                <w:rFonts w:ascii="ITC Avant Garde" w:hAnsi="ITC Avant Garde"/>
                <w:i/>
                <w:sz w:val="18"/>
                <w:szCs w:val="18"/>
              </w:rPr>
              <w:lastRenderedPageBreak/>
              <w:t xml:space="preserve">Washington, D.C., el 1° y 23 de octubre de 1998” </w:t>
            </w:r>
            <w:r>
              <w:rPr>
                <w:rFonts w:ascii="ITC Avant Garde" w:hAnsi="ITC Avant Garde"/>
                <w:sz w:val="18"/>
                <w:szCs w:val="18"/>
              </w:rPr>
              <w:t>(Protocolo). Dicho documento</w:t>
            </w:r>
            <w:r w:rsidRPr="008D329E">
              <w:rPr>
                <w:rFonts w:ascii="ITC Avant Garde" w:hAnsi="ITC Avant Garde"/>
                <w:sz w:val="18"/>
                <w:szCs w:val="18"/>
              </w:rPr>
              <w:t xml:space="preserve"> rige la utilización de las bandas de frecuencias dentro de una franja de 80 km a cada lado de la frontera común de ambos países para la prestación de los servicios de distribución punto a multipunto, sin que este instrumento contenga actualmente condiciones</w:t>
            </w:r>
            <w:r>
              <w:rPr>
                <w:rFonts w:ascii="ITC Avant Garde" w:hAnsi="ITC Avant Garde"/>
                <w:sz w:val="18"/>
                <w:szCs w:val="18"/>
              </w:rPr>
              <w:t xml:space="preserve"> aplicables a los servicios de acceso i</w:t>
            </w:r>
            <w:r w:rsidRPr="008D329E">
              <w:rPr>
                <w:rFonts w:ascii="ITC Avant Garde" w:hAnsi="ITC Avant Garde"/>
                <w:sz w:val="18"/>
                <w:szCs w:val="18"/>
              </w:rPr>
              <w:t>nalámbrico.</w:t>
            </w:r>
          </w:p>
          <w:p w14:paraId="740AC210" w14:textId="77777777" w:rsidR="003C5DF0" w:rsidRDefault="003C5DF0" w:rsidP="003C5DF0">
            <w:pPr>
              <w:spacing w:after="0" w:line="276" w:lineRule="auto"/>
              <w:jc w:val="both"/>
              <w:rPr>
                <w:rFonts w:ascii="ITC Avant Garde" w:hAnsi="ITC Avant Garde"/>
                <w:sz w:val="18"/>
                <w:szCs w:val="18"/>
              </w:rPr>
            </w:pPr>
          </w:p>
          <w:p w14:paraId="006DD562" w14:textId="7FE48A3A" w:rsidR="00D75EE9" w:rsidRDefault="00046FF1" w:rsidP="003C5DF0">
            <w:pPr>
              <w:spacing w:after="0" w:line="276" w:lineRule="auto"/>
              <w:jc w:val="both"/>
              <w:rPr>
                <w:rFonts w:ascii="ITC Avant Garde" w:eastAsia="Times New Roman" w:hAnsi="ITC Avant Garde"/>
                <w:color w:val="000000"/>
                <w:sz w:val="18"/>
                <w:szCs w:val="18"/>
                <w:lang w:eastAsia="es-MX"/>
              </w:rPr>
            </w:pPr>
            <w:r w:rsidRPr="008D329E">
              <w:rPr>
                <w:rFonts w:ascii="ITC Avant Garde" w:hAnsi="ITC Avant Garde"/>
                <w:sz w:val="18"/>
                <w:szCs w:val="18"/>
              </w:rPr>
              <w:t xml:space="preserve">En tanto no existan condiciones aplicables a la prestación de servicios de </w:t>
            </w:r>
            <w:r>
              <w:rPr>
                <w:rFonts w:ascii="ITC Avant Garde" w:hAnsi="ITC Avant Garde"/>
                <w:sz w:val="18"/>
                <w:szCs w:val="18"/>
              </w:rPr>
              <w:t>a</w:t>
            </w:r>
            <w:r w:rsidRPr="008D329E">
              <w:rPr>
                <w:rFonts w:ascii="ITC Avant Garde" w:hAnsi="ITC Avant Garde"/>
                <w:sz w:val="18"/>
                <w:szCs w:val="18"/>
              </w:rPr>
              <w:t xml:space="preserve">cceso </w:t>
            </w:r>
            <w:r>
              <w:rPr>
                <w:rFonts w:ascii="ITC Avant Garde" w:hAnsi="ITC Avant Garde"/>
                <w:sz w:val="18"/>
                <w:szCs w:val="18"/>
              </w:rPr>
              <w:t>i</w:t>
            </w:r>
            <w:r w:rsidRPr="008D329E">
              <w:rPr>
                <w:rFonts w:ascii="ITC Avant Garde" w:hAnsi="ITC Avant Garde"/>
                <w:sz w:val="18"/>
                <w:szCs w:val="18"/>
              </w:rPr>
              <w:t>nalámbrico, con la finalidad de facilitar el despliegue de los mismos y</w:t>
            </w:r>
            <w:r>
              <w:rPr>
                <w:rFonts w:ascii="ITC Avant Garde" w:hAnsi="ITC Avant Garde"/>
                <w:sz w:val="18"/>
                <w:szCs w:val="18"/>
              </w:rPr>
              <w:t>,</w:t>
            </w:r>
            <w:r w:rsidRPr="008D329E">
              <w:rPr>
                <w:rFonts w:ascii="ITC Avant Garde" w:hAnsi="ITC Avant Garde"/>
                <w:sz w:val="18"/>
                <w:szCs w:val="18"/>
              </w:rPr>
              <w:t xml:space="preserve"> sin menoscabo de lo establecido en el Protocolo, </w:t>
            </w:r>
            <w:r>
              <w:rPr>
                <w:rFonts w:ascii="ITC Avant Garde" w:hAnsi="ITC Avant Garde"/>
                <w:sz w:val="18"/>
                <w:szCs w:val="18"/>
              </w:rPr>
              <w:t>será necesario que el concesionario potencial</w:t>
            </w:r>
            <w:r w:rsidRPr="008D329E">
              <w:rPr>
                <w:rFonts w:ascii="ITC Avant Garde" w:hAnsi="ITC Avant Garde"/>
                <w:sz w:val="18"/>
                <w:szCs w:val="18"/>
              </w:rPr>
              <w:t xml:space="preserve"> establezca acuerdos de coordinación técnica con los operadores de los Estados Unidos de América y, en su caso, de otros países, que operen redes en la banda de 2500-2690 MHz o en partes de la misma, en zonas colindantes, con la finalidad de asegurar el funcionamiento compatible y libre de interferencias perjudiciales de las respectivas redes de los</w:t>
            </w:r>
            <w:r w:rsidR="003C5DF0">
              <w:rPr>
                <w:rFonts w:ascii="ITC Avant Garde" w:hAnsi="ITC Avant Garde"/>
                <w:sz w:val="18"/>
                <w:szCs w:val="18"/>
              </w:rPr>
              <w:t xml:space="preserve"> países colindantes.</w:t>
            </w:r>
          </w:p>
        </w:tc>
      </w:tr>
      <w:tr w:rsidR="00046FF1" w:rsidRPr="00637136" w14:paraId="3B45A77E" w14:textId="77777777" w:rsidTr="00F96A8E">
        <w:trPr>
          <w:trHeight w:val="290"/>
          <w:tblHeader/>
        </w:trPr>
        <w:tc>
          <w:tcPr>
            <w:tcW w:w="472" w:type="pct"/>
          </w:tcPr>
          <w:p w14:paraId="27870CFC" w14:textId="279CA505" w:rsidR="00046FF1" w:rsidRPr="00D75EE9" w:rsidRDefault="00046FF1" w:rsidP="00D75EE9">
            <w:pPr>
              <w:spacing w:after="0" w:line="276" w:lineRule="auto"/>
              <w:jc w:val="both"/>
              <w:rPr>
                <w:rFonts w:ascii="ITC Avant Garde" w:hAnsi="ITC Avant Garde" w:cs="Arial"/>
                <w:b/>
                <w:sz w:val="18"/>
                <w:szCs w:val="18"/>
              </w:rPr>
            </w:pPr>
            <w:r w:rsidRPr="00D75EE9">
              <w:rPr>
                <w:rFonts w:ascii="ITC Avant Garde" w:hAnsi="ITC Avant Garde"/>
                <w:b/>
                <w:sz w:val="18"/>
                <w:szCs w:val="18"/>
              </w:rPr>
              <w:lastRenderedPageBreak/>
              <w:t xml:space="preserve">Miguel Tentei Cortés Solórzano  </w:t>
            </w:r>
          </w:p>
        </w:tc>
        <w:tc>
          <w:tcPr>
            <w:tcW w:w="570" w:type="pct"/>
            <w:shd w:val="clear" w:color="auto" w:fill="auto"/>
            <w:vAlign w:val="center"/>
          </w:tcPr>
          <w:p w14:paraId="0309F2B9" w14:textId="1E3C946C" w:rsidR="00046FF1" w:rsidRDefault="00046FF1" w:rsidP="00D75EE9">
            <w:pPr>
              <w:pStyle w:val="Ttulo3"/>
              <w:spacing w:before="0" w:line="276" w:lineRule="auto"/>
              <w:jc w:val="both"/>
              <w:rPr>
                <w:rFonts w:ascii="ITC Avant Garde" w:eastAsia="Calibri" w:hAnsi="ITC Avant Garde" w:cs="Arial"/>
                <w:b/>
                <w:bCs/>
                <w:color w:val="000000" w:themeColor="text1"/>
                <w:sz w:val="18"/>
                <w:szCs w:val="18"/>
              </w:rPr>
            </w:pPr>
            <w:r w:rsidRPr="00FF05AA">
              <w:rPr>
                <w:rFonts w:ascii="ITC Avant Garde" w:eastAsia="Calibri" w:hAnsi="ITC Avant Garde" w:cs="Arial"/>
                <w:b/>
                <w:bCs/>
                <w:color w:val="000000" w:themeColor="text1"/>
                <w:sz w:val="18"/>
                <w:szCs w:val="18"/>
              </w:rPr>
              <w:t xml:space="preserve">LTE Advanced </w:t>
            </w:r>
          </w:p>
        </w:tc>
        <w:tc>
          <w:tcPr>
            <w:tcW w:w="1966" w:type="pct"/>
            <w:shd w:val="clear" w:color="auto" w:fill="auto"/>
          </w:tcPr>
          <w:p w14:paraId="2FB14826" w14:textId="17A50C64" w:rsidR="00046FF1" w:rsidRDefault="00046FF1" w:rsidP="00D75EE9">
            <w:pPr>
              <w:tabs>
                <w:tab w:val="left" w:pos="975"/>
              </w:tabs>
              <w:spacing w:line="276" w:lineRule="auto"/>
              <w:jc w:val="both"/>
              <w:rPr>
                <w:rFonts w:ascii="ITC Avant Garde" w:hAnsi="ITC Avant Garde" w:cs="Arial"/>
                <w:i/>
                <w:color w:val="000000"/>
                <w:sz w:val="18"/>
                <w:szCs w:val="18"/>
              </w:rPr>
            </w:pPr>
            <w:r w:rsidRPr="00FF05AA">
              <w:rPr>
                <w:rFonts w:ascii="ITC Avant Garde" w:hAnsi="ITC Avant Garde" w:cs="Arial"/>
                <w:i/>
                <w:sz w:val="18"/>
                <w:szCs w:val="18"/>
              </w:rPr>
              <w:t>La necesidad de incrementar el espectro disponible es vital para el despliegue de servicios Advanced. México se en</w:t>
            </w:r>
            <w:r w:rsidR="00F46484">
              <w:rPr>
                <w:rFonts w:ascii="ITC Avant Garde" w:hAnsi="ITC Avant Garde" w:cs="Arial"/>
                <w:i/>
                <w:sz w:val="18"/>
                <w:szCs w:val="18"/>
              </w:rPr>
              <w:t>cuentra extremadamente rezagado.</w:t>
            </w:r>
          </w:p>
        </w:tc>
        <w:tc>
          <w:tcPr>
            <w:tcW w:w="1992" w:type="pct"/>
            <w:shd w:val="clear" w:color="auto" w:fill="FFFFFF" w:themeFill="background1"/>
          </w:tcPr>
          <w:p w14:paraId="25BC9A39" w14:textId="77777777" w:rsidR="00046FF1" w:rsidRDefault="00046FF1" w:rsidP="003C5DF0">
            <w:pPr>
              <w:spacing w:after="0" w:line="276" w:lineRule="auto"/>
              <w:jc w:val="both"/>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Se agradece en general su participación en el proceso y sus comentarios.</w:t>
            </w:r>
          </w:p>
          <w:p w14:paraId="3F29A257" w14:textId="0455F651" w:rsidR="00046FF1" w:rsidRDefault="00046FF1" w:rsidP="00F46484">
            <w:pPr>
              <w:pStyle w:val="Prrafodelista"/>
              <w:tabs>
                <w:tab w:val="left" w:pos="142"/>
              </w:tabs>
              <w:spacing w:after="0" w:line="276" w:lineRule="auto"/>
              <w:ind w:left="0"/>
              <w:contextualSpacing w:val="0"/>
              <w:jc w:val="both"/>
              <w:rPr>
                <w:rFonts w:ascii="ITC Avant Garde" w:eastAsia="Times New Roman" w:hAnsi="ITC Avant Garde"/>
                <w:color w:val="000000"/>
                <w:sz w:val="18"/>
                <w:szCs w:val="18"/>
                <w:lang w:eastAsia="es-MX"/>
              </w:rPr>
            </w:pPr>
          </w:p>
        </w:tc>
      </w:tr>
      <w:tr w:rsidR="00046FF1" w:rsidRPr="00637136" w14:paraId="2209111F" w14:textId="77777777" w:rsidTr="00F96A8E">
        <w:trPr>
          <w:trHeight w:val="290"/>
          <w:tblHeader/>
        </w:trPr>
        <w:tc>
          <w:tcPr>
            <w:tcW w:w="472" w:type="pct"/>
          </w:tcPr>
          <w:p w14:paraId="7DF01D88" w14:textId="4933BC97" w:rsidR="00046FF1" w:rsidRDefault="00046FF1" w:rsidP="00D75EE9">
            <w:pPr>
              <w:spacing w:after="0" w:line="276" w:lineRule="auto"/>
              <w:jc w:val="both"/>
              <w:rPr>
                <w:rFonts w:ascii="ITC Avant Garde" w:hAnsi="ITC Avant Garde" w:cs="Arial"/>
                <w:b/>
                <w:sz w:val="18"/>
                <w:szCs w:val="18"/>
              </w:rPr>
            </w:pPr>
            <w:r w:rsidRPr="00D75EE9">
              <w:rPr>
                <w:rFonts w:ascii="ITC Avant Garde" w:hAnsi="ITC Avant Garde"/>
                <w:b/>
                <w:sz w:val="18"/>
                <w:szCs w:val="18"/>
              </w:rPr>
              <w:t xml:space="preserve">Miguel Tentei Cortés Solórzano  </w:t>
            </w:r>
          </w:p>
        </w:tc>
        <w:tc>
          <w:tcPr>
            <w:tcW w:w="570" w:type="pct"/>
            <w:shd w:val="clear" w:color="auto" w:fill="auto"/>
            <w:vAlign w:val="center"/>
          </w:tcPr>
          <w:p w14:paraId="7FA9F2FF" w14:textId="588F1180" w:rsidR="00046FF1" w:rsidRDefault="00046FF1" w:rsidP="00D75EE9">
            <w:pPr>
              <w:pStyle w:val="Ttulo3"/>
              <w:spacing w:before="0" w:line="276" w:lineRule="auto"/>
              <w:jc w:val="both"/>
              <w:rPr>
                <w:rFonts w:ascii="ITC Avant Garde" w:eastAsia="Calibri" w:hAnsi="ITC Avant Garde" w:cs="Arial"/>
                <w:b/>
                <w:bCs/>
                <w:color w:val="000000" w:themeColor="text1"/>
                <w:sz w:val="18"/>
                <w:szCs w:val="18"/>
              </w:rPr>
            </w:pPr>
            <w:r w:rsidRPr="00FF05AA">
              <w:rPr>
                <w:rFonts w:ascii="ITC Avant Garde" w:eastAsia="Calibri" w:hAnsi="ITC Avant Garde" w:cs="Arial"/>
                <w:b/>
                <w:bCs/>
                <w:color w:val="000000" w:themeColor="text1"/>
                <w:sz w:val="18"/>
                <w:szCs w:val="18"/>
              </w:rPr>
              <w:t>LTE Advanced Pro</w:t>
            </w:r>
          </w:p>
        </w:tc>
        <w:tc>
          <w:tcPr>
            <w:tcW w:w="1966" w:type="pct"/>
            <w:shd w:val="clear" w:color="auto" w:fill="auto"/>
          </w:tcPr>
          <w:p w14:paraId="35DC25EF" w14:textId="039F37E4" w:rsidR="00046FF1" w:rsidRDefault="00046FF1" w:rsidP="00D75EE9">
            <w:pPr>
              <w:tabs>
                <w:tab w:val="left" w:pos="975"/>
              </w:tabs>
              <w:spacing w:line="276" w:lineRule="auto"/>
              <w:jc w:val="both"/>
              <w:rPr>
                <w:rFonts w:ascii="ITC Avant Garde" w:hAnsi="ITC Avant Garde" w:cs="Arial"/>
                <w:i/>
                <w:color w:val="000000"/>
                <w:sz w:val="18"/>
                <w:szCs w:val="18"/>
              </w:rPr>
            </w:pPr>
            <w:r w:rsidRPr="00FF05AA">
              <w:rPr>
                <w:rFonts w:ascii="ITC Avant Garde" w:hAnsi="ITC Avant Garde" w:cs="Arial"/>
                <w:i/>
                <w:sz w:val="18"/>
                <w:szCs w:val="18"/>
              </w:rPr>
              <w:t>Se deben de implementar mecanismos legales que fomenten la implementación de redes LTE Advanced Pro antes del año 2019</w:t>
            </w:r>
          </w:p>
        </w:tc>
        <w:tc>
          <w:tcPr>
            <w:tcW w:w="1992" w:type="pct"/>
            <w:shd w:val="clear" w:color="auto" w:fill="FFFFFF" w:themeFill="background1"/>
          </w:tcPr>
          <w:p w14:paraId="59A8210F" w14:textId="797736B4" w:rsidR="00D75EE9" w:rsidRDefault="002E50B9" w:rsidP="003C5DF0">
            <w:pPr>
              <w:spacing w:after="0" w:line="276" w:lineRule="auto"/>
              <w:jc w:val="both"/>
              <w:rPr>
                <w:rFonts w:ascii="ITC Avant Garde" w:eastAsia="Times New Roman" w:hAnsi="ITC Avant Garde"/>
                <w:color w:val="000000"/>
                <w:sz w:val="18"/>
                <w:szCs w:val="18"/>
                <w:lang w:eastAsia="es-MX"/>
              </w:rPr>
            </w:pPr>
            <w:r>
              <w:rPr>
                <w:rFonts w:ascii="ITC Avant Garde" w:hAnsi="ITC Avant Garde"/>
                <w:sz w:val="18"/>
                <w:szCs w:val="18"/>
              </w:rPr>
              <w:t xml:space="preserve">Con relación al </w:t>
            </w:r>
            <w:r w:rsidRPr="00AB1040">
              <w:rPr>
                <w:rFonts w:ascii="ITC Avant Garde" w:hAnsi="ITC Avant Garde"/>
                <w:sz w:val="18"/>
                <w:szCs w:val="18"/>
              </w:rPr>
              <w:t xml:space="preserve">comentario de </w:t>
            </w:r>
            <w:r w:rsidRPr="00D75EE9">
              <w:rPr>
                <w:rFonts w:ascii="ITC Avant Garde" w:hAnsi="ITC Avant Garde"/>
                <w:b/>
                <w:sz w:val="18"/>
                <w:szCs w:val="18"/>
              </w:rPr>
              <w:t xml:space="preserve"> Miguel Tentei Cortés Solórzano  </w:t>
            </w:r>
            <w:r w:rsidRPr="00AB1040">
              <w:rPr>
                <w:rFonts w:ascii="ITC Avant Garde" w:hAnsi="ITC Avant Garde"/>
                <w:sz w:val="18"/>
                <w:szCs w:val="18"/>
              </w:rPr>
              <w:t>relativo a la</w:t>
            </w:r>
            <w:r>
              <w:rPr>
                <w:rFonts w:ascii="ITC Avant Garde" w:hAnsi="ITC Avant Garde"/>
                <w:sz w:val="18"/>
                <w:szCs w:val="18"/>
              </w:rPr>
              <w:t xml:space="preserve"> los mecanismos legales que se deben incorporar que fomenten la implementación de las redes LTE A</w:t>
            </w:r>
            <w:r w:rsidR="004A69C6">
              <w:rPr>
                <w:rFonts w:ascii="ITC Avant Garde" w:hAnsi="ITC Avant Garde"/>
                <w:sz w:val="18"/>
                <w:szCs w:val="18"/>
              </w:rPr>
              <w:t>dvanced Pro antes del año 2019, se toma conocimiento de su comentario.</w:t>
            </w:r>
          </w:p>
        </w:tc>
      </w:tr>
      <w:tr w:rsidR="00046FF1" w:rsidRPr="00637136" w14:paraId="642ACE66" w14:textId="77777777" w:rsidTr="00F96A8E">
        <w:trPr>
          <w:trHeight w:val="290"/>
          <w:tblHeader/>
        </w:trPr>
        <w:tc>
          <w:tcPr>
            <w:tcW w:w="472" w:type="pct"/>
          </w:tcPr>
          <w:p w14:paraId="537AF589" w14:textId="3860C598" w:rsidR="00046FF1" w:rsidRDefault="00046FF1" w:rsidP="00D75EE9">
            <w:pPr>
              <w:spacing w:after="0" w:line="276" w:lineRule="auto"/>
              <w:jc w:val="both"/>
              <w:rPr>
                <w:rFonts w:ascii="ITC Avant Garde" w:hAnsi="ITC Avant Garde" w:cs="Arial"/>
                <w:b/>
                <w:sz w:val="18"/>
                <w:szCs w:val="18"/>
              </w:rPr>
            </w:pPr>
            <w:r w:rsidRPr="00D75EE9">
              <w:rPr>
                <w:rFonts w:ascii="ITC Avant Garde" w:hAnsi="ITC Avant Garde"/>
                <w:b/>
                <w:sz w:val="18"/>
                <w:szCs w:val="18"/>
              </w:rPr>
              <w:lastRenderedPageBreak/>
              <w:t xml:space="preserve">Miguel Tentei Cortés Solórzano  </w:t>
            </w:r>
          </w:p>
        </w:tc>
        <w:tc>
          <w:tcPr>
            <w:tcW w:w="570" w:type="pct"/>
            <w:shd w:val="clear" w:color="auto" w:fill="auto"/>
            <w:vAlign w:val="center"/>
          </w:tcPr>
          <w:p w14:paraId="2F2A7C63" w14:textId="0E2FD7E2" w:rsidR="00046FF1" w:rsidRDefault="00046FF1" w:rsidP="00D75EE9">
            <w:pPr>
              <w:pStyle w:val="Ttulo3"/>
              <w:spacing w:before="0" w:line="276" w:lineRule="auto"/>
              <w:jc w:val="both"/>
              <w:rPr>
                <w:rFonts w:ascii="ITC Avant Garde" w:eastAsia="Calibri" w:hAnsi="ITC Avant Garde" w:cs="Arial"/>
                <w:b/>
                <w:bCs/>
                <w:color w:val="000000" w:themeColor="text1"/>
                <w:sz w:val="18"/>
                <w:szCs w:val="18"/>
              </w:rPr>
            </w:pPr>
            <w:r w:rsidRPr="00FF05AA">
              <w:rPr>
                <w:rFonts w:ascii="ITC Avant Garde" w:eastAsia="Calibri" w:hAnsi="ITC Avant Garde" w:cs="Arial"/>
                <w:b/>
                <w:bCs/>
                <w:color w:val="000000" w:themeColor="text1"/>
                <w:sz w:val="18"/>
                <w:szCs w:val="18"/>
              </w:rPr>
              <w:t>5G</w:t>
            </w:r>
          </w:p>
        </w:tc>
        <w:tc>
          <w:tcPr>
            <w:tcW w:w="1966" w:type="pct"/>
            <w:shd w:val="clear" w:color="auto" w:fill="auto"/>
          </w:tcPr>
          <w:p w14:paraId="0BF29FDC" w14:textId="5C79B977" w:rsidR="00046FF1" w:rsidRDefault="00046FF1" w:rsidP="00D75EE9">
            <w:pPr>
              <w:tabs>
                <w:tab w:val="left" w:pos="975"/>
              </w:tabs>
              <w:spacing w:line="276" w:lineRule="auto"/>
              <w:jc w:val="both"/>
              <w:rPr>
                <w:rFonts w:ascii="ITC Avant Garde" w:hAnsi="ITC Avant Garde" w:cs="Arial"/>
                <w:i/>
                <w:color w:val="000000"/>
                <w:sz w:val="18"/>
                <w:szCs w:val="18"/>
              </w:rPr>
            </w:pPr>
            <w:r w:rsidRPr="00FF05AA">
              <w:rPr>
                <w:rFonts w:ascii="ITC Avant Garde" w:hAnsi="ITC Avant Garde" w:cs="Arial"/>
                <w:i/>
                <w:sz w:val="18"/>
                <w:szCs w:val="18"/>
              </w:rPr>
              <w:t>Se deben de dar incentivos para la realización de pruebas dentro de esta banda antes del año 2019.</w:t>
            </w:r>
          </w:p>
        </w:tc>
        <w:tc>
          <w:tcPr>
            <w:tcW w:w="1992" w:type="pct"/>
            <w:shd w:val="clear" w:color="auto" w:fill="FFFFFF" w:themeFill="background1"/>
          </w:tcPr>
          <w:p w14:paraId="75EB6FBE" w14:textId="0BFD8A97" w:rsidR="00D75EE9" w:rsidRDefault="002E50B9" w:rsidP="003C5DF0">
            <w:pPr>
              <w:spacing w:after="0" w:line="276" w:lineRule="auto"/>
              <w:jc w:val="both"/>
              <w:rPr>
                <w:rFonts w:ascii="ITC Avant Garde" w:eastAsia="Times New Roman" w:hAnsi="ITC Avant Garde"/>
                <w:color w:val="000000"/>
                <w:sz w:val="18"/>
                <w:szCs w:val="18"/>
                <w:lang w:eastAsia="es-MX"/>
              </w:rPr>
            </w:pPr>
            <w:r>
              <w:rPr>
                <w:rFonts w:ascii="ITC Avant Garde" w:hAnsi="ITC Avant Garde"/>
                <w:sz w:val="18"/>
                <w:szCs w:val="18"/>
              </w:rPr>
              <w:t xml:space="preserve">Con relación al </w:t>
            </w:r>
            <w:r w:rsidRPr="00AB1040">
              <w:rPr>
                <w:rFonts w:ascii="ITC Avant Garde" w:hAnsi="ITC Avant Garde"/>
                <w:sz w:val="18"/>
                <w:szCs w:val="18"/>
              </w:rPr>
              <w:t xml:space="preserve">comentario de </w:t>
            </w:r>
            <w:r w:rsidRPr="00D75EE9">
              <w:rPr>
                <w:rFonts w:ascii="ITC Avant Garde" w:hAnsi="ITC Avant Garde"/>
                <w:b/>
                <w:sz w:val="18"/>
                <w:szCs w:val="18"/>
              </w:rPr>
              <w:t xml:space="preserve"> Miguel Tentei Cortés Solórzano  </w:t>
            </w:r>
            <w:r w:rsidRPr="00AB1040">
              <w:rPr>
                <w:rFonts w:ascii="ITC Avant Garde" w:hAnsi="ITC Avant Garde"/>
                <w:sz w:val="18"/>
                <w:szCs w:val="18"/>
              </w:rPr>
              <w:t xml:space="preserve">relativo </w:t>
            </w:r>
            <w:r w:rsidR="00500BFE">
              <w:rPr>
                <w:rFonts w:ascii="ITC Avant Garde" w:hAnsi="ITC Avant Garde"/>
                <w:sz w:val="18"/>
                <w:szCs w:val="18"/>
              </w:rPr>
              <w:t>a los incentivos para la realización de pruebas para 5G dentro de la banda antes del año 2019</w:t>
            </w:r>
            <w:r>
              <w:rPr>
                <w:rFonts w:ascii="ITC Avant Garde" w:hAnsi="ITC Avant Garde"/>
                <w:sz w:val="18"/>
                <w:szCs w:val="18"/>
              </w:rPr>
              <w:t xml:space="preserve">, </w:t>
            </w:r>
            <w:r w:rsidR="004A69C6">
              <w:rPr>
                <w:rFonts w:ascii="ITC Avant Garde" w:hAnsi="ITC Avant Garde"/>
                <w:sz w:val="18"/>
                <w:szCs w:val="18"/>
              </w:rPr>
              <w:t xml:space="preserve"> se toma conocimiento de su comentario.</w:t>
            </w:r>
          </w:p>
        </w:tc>
      </w:tr>
      <w:tr w:rsidR="00046FF1" w:rsidRPr="00637136" w14:paraId="4A611197" w14:textId="77777777" w:rsidTr="00F96A8E">
        <w:trPr>
          <w:trHeight w:val="290"/>
          <w:tblHeader/>
        </w:trPr>
        <w:tc>
          <w:tcPr>
            <w:tcW w:w="472" w:type="pct"/>
          </w:tcPr>
          <w:p w14:paraId="388687FD" w14:textId="7BBCD76A" w:rsidR="00046FF1" w:rsidRDefault="00046FF1" w:rsidP="00D75EE9">
            <w:pPr>
              <w:spacing w:after="0" w:line="276" w:lineRule="auto"/>
              <w:jc w:val="both"/>
              <w:rPr>
                <w:rFonts w:ascii="ITC Avant Garde" w:hAnsi="ITC Avant Garde" w:cs="Arial"/>
                <w:b/>
                <w:sz w:val="18"/>
                <w:szCs w:val="18"/>
              </w:rPr>
            </w:pPr>
            <w:r w:rsidRPr="00D75EE9">
              <w:rPr>
                <w:rFonts w:ascii="ITC Avant Garde" w:hAnsi="ITC Avant Garde"/>
                <w:b/>
                <w:sz w:val="18"/>
                <w:szCs w:val="18"/>
              </w:rPr>
              <w:t xml:space="preserve">Miguel Tentei Cortés Solórzano  </w:t>
            </w:r>
          </w:p>
        </w:tc>
        <w:tc>
          <w:tcPr>
            <w:tcW w:w="570" w:type="pct"/>
            <w:shd w:val="clear" w:color="auto" w:fill="auto"/>
            <w:vAlign w:val="center"/>
          </w:tcPr>
          <w:p w14:paraId="1C1BD33F" w14:textId="5A2E83AE" w:rsidR="00046FF1" w:rsidRDefault="00046FF1" w:rsidP="00D75EE9">
            <w:pPr>
              <w:pStyle w:val="Ttulo3"/>
              <w:spacing w:before="0" w:line="276" w:lineRule="auto"/>
              <w:jc w:val="both"/>
              <w:rPr>
                <w:rFonts w:ascii="ITC Avant Garde" w:eastAsia="Calibri" w:hAnsi="ITC Avant Garde" w:cs="Arial"/>
                <w:b/>
                <w:bCs/>
                <w:color w:val="000000" w:themeColor="text1"/>
                <w:sz w:val="18"/>
                <w:szCs w:val="18"/>
              </w:rPr>
            </w:pPr>
            <w:r w:rsidRPr="00FF05AA">
              <w:rPr>
                <w:rFonts w:ascii="ITC Avant Garde" w:eastAsia="Calibri" w:hAnsi="ITC Avant Garde" w:cs="Arial"/>
                <w:b/>
                <w:bCs/>
                <w:color w:val="000000" w:themeColor="text1"/>
                <w:sz w:val="18"/>
                <w:szCs w:val="18"/>
              </w:rPr>
              <w:t>Bloques de 30 MHz</w:t>
            </w:r>
          </w:p>
        </w:tc>
        <w:tc>
          <w:tcPr>
            <w:tcW w:w="1966" w:type="pct"/>
            <w:shd w:val="clear" w:color="auto" w:fill="auto"/>
          </w:tcPr>
          <w:p w14:paraId="7283E5A9" w14:textId="457E992E" w:rsidR="00046FF1" w:rsidRDefault="00046FF1" w:rsidP="00D75EE9">
            <w:pPr>
              <w:tabs>
                <w:tab w:val="left" w:pos="975"/>
              </w:tabs>
              <w:spacing w:line="276" w:lineRule="auto"/>
              <w:jc w:val="both"/>
              <w:rPr>
                <w:rFonts w:ascii="ITC Avant Garde" w:hAnsi="ITC Avant Garde" w:cs="Arial"/>
                <w:i/>
                <w:color w:val="000000"/>
                <w:sz w:val="18"/>
                <w:szCs w:val="18"/>
              </w:rPr>
            </w:pPr>
            <w:r w:rsidRPr="00FF05AA">
              <w:rPr>
                <w:rFonts w:ascii="ITC Avant Garde" w:hAnsi="ITC Avant Garde" w:cs="Arial"/>
                <w:i/>
                <w:sz w:val="18"/>
                <w:szCs w:val="18"/>
              </w:rPr>
              <w:t>La licitación de bloques de 20 MHZ resta atractivo dado que encarece mucho el proceso. Licitar bloques más grandes generaría mayor competencia.</w:t>
            </w:r>
          </w:p>
        </w:tc>
        <w:tc>
          <w:tcPr>
            <w:tcW w:w="1992" w:type="pct"/>
            <w:shd w:val="clear" w:color="auto" w:fill="FFFFFF" w:themeFill="background1"/>
          </w:tcPr>
          <w:p w14:paraId="490E7310" w14:textId="2DAA54E6" w:rsidR="00D75EE9" w:rsidRPr="00C11EF1" w:rsidRDefault="00500BFE" w:rsidP="003C5DF0">
            <w:pPr>
              <w:spacing w:after="0" w:line="276" w:lineRule="auto"/>
              <w:jc w:val="both"/>
              <w:rPr>
                <w:rFonts w:ascii="ITC Avant Garde" w:hAnsi="ITC Avant Garde"/>
                <w:sz w:val="18"/>
                <w:szCs w:val="18"/>
              </w:rPr>
            </w:pPr>
            <w:r>
              <w:rPr>
                <w:rFonts w:ascii="ITC Avant Garde" w:hAnsi="ITC Avant Garde"/>
                <w:sz w:val="18"/>
                <w:szCs w:val="18"/>
              </w:rPr>
              <w:t xml:space="preserve">Con relación al </w:t>
            </w:r>
            <w:r w:rsidRPr="00AB1040">
              <w:rPr>
                <w:rFonts w:ascii="ITC Avant Garde" w:hAnsi="ITC Avant Garde"/>
                <w:sz w:val="18"/>
                <w:szCs w:val="18"/>
              </w:rPr>
              <w:t xml:space="preserve">comentario de </w:t>
            </w:r>
            <w:r w:rsidRPr="00D75EE9">
              <w:rPr>
                <w:rFonts w:ascii="ITC Avant Garde" w:hAnsi="ITC Avant Garde"/>
                <w:b/>
                <w:sz w:val="18"/>
                <w:szCs w:val="18"/>
              </w:rPr>
              <w:t xml:space="preserve">Miguel Tentei Cortés Solórzano  </w:t>
            </w:r>
            <w:r w:rsidRPr="00AB1040">
              <w:rPr>
                <w:rFonts w:ascii="ITC Avant Garde" w:hAnsi="ITC Avant Garde"/>
                <w:sz w:val="18"/>
                <w:szCs w:val="18"/>
              </w:rPr>
              <w:t xml:space="preserve">relativo </w:t>
            </w:r>
            <w:r>
              <w:rPr>
                <w:rFonts w:ascii="ITC Avant Garde" w:hAnsi="ITC Avant Garde"/>
                <w:sz w:val="18"/>
                <w:szCs w:val="18"/>
              </w:rPr>
              <w:t xml:space="preserve">a </w:t>
            </w:r>
            <w:r w:rsidR="00C11EF1">
              <w:rPr>
                <w:rFonts w:ascii="ITC Avant Garde" w:hAnsi="ITC Avant Garde"/>
                <w:sz w:val="18"/>
                <w:szCs w:val="18"/>
              </w:rPr>
              <w:t>que licitar bloques</w:t>
            </w:r>
            <w:r>
              <w:rPr>
                <w:rFonts w:ascii="ITC Avant Garde" w:hAnsi="ITC Avant Garde"/>
                <w:sz w:val="18"/>
                <w:szCs w:val="18"/>
              </w:rPr>
              <w:t xml:space="preserve"> de </w:t>
            </w:r>
            <w:r w:rsidR="00C11EF1">
              <w:rPr>
                <w:rFonts w:ascii="ITC Avant Garde" w:hAnsi="ITC Avant Garde"/>
                <w:sz w:val="18"/>
                <w:szCs w:val="18"/>
              </w:rPr>
              <w:t>20 MHz encarece el proceso y que bloques más grandes generaría mayor competencia</w:t>
            </w:r>
            <w:r>
              <w:rPr>
                <w:rFonts w:ascii="ITC Avant Garde" w:hAnsi="ITC Avant Garde"/>
                <w:sz w:val="18"/>
                <w:szCs w:val="18"/>
              </w:rPr>
              <w:t xml:space="preserve">, se </w:t>
            </w:r>
            <w:r w:rsidR="008806DC">
              <w:rPr>
                <w:rFonts w:ascii="ITC Avant Garde" w:hAnsi="ITC Avant Garde"/>
                <w:sz w:val="18"/>
                <w:szCs w:val="18"/>
              </w:rPr>
              <w:t>informa que el Instituto continúa el análisis téc</w:t>
            </w:r>
            <w:r w:rsidR="003C5DF0">
              <w:rPr>
                <w:rFonts w:ascii="ITC Avant Garde" w:hAnsi="ITC Avant Garde"/>
                <w:sz w:val="18"/>
                <w:szCs w:val="18"/>
              </w:rPr>
              <w:t>nico económico para definir el tamaño de los bloques, tomando en consideración la eficiencia espectral.</w:t>
            </w:r>
            <w:r w:rsidR="008806DC">
              <w:rPr>
                <w:rFonts w:ascii="ITC Avant Garde" w:hAnsi="ITC Avant Garde"/>
                <w:sz w:val="18"/>
                <w:szCs w:val="18"/>
              </w:rPr>
              <w:t xml:space="preserve"> </w:t>
            </w:r>
          </w:p>
        </w:tc>
      </w:tr>
      <w:tr w:rsidR="00046FF1" w:rsidRPr="00637136" w14:paraId="111FD272" w14:textId="77777777" w:rsidTr="00F96A8E">
        <w:trPr>
          <w:trHeight w:val="290"/>
          <w:tblHeader/>
        </w:trPr>
        <w:tc>
          <w:tcPr>
            <w:tcW w:w="472" w:type="pct"/>
          </w:tcPr>
          <w:p w14:paraId="54634CFD" w14:textId="2548E113" w:rsidR="00046FF1" w:rsidRDefault="00046FF1" w:rsidP="00D75EE9">
            <w:pPr>
              <w:spacing w:after="0" w:line="276" w:lineRule="auto"/>
              <w:jc w:val="both"/>
              <w:rPr>
                <w:rFonts w:ascii="ITC Avant Garde" w:hAnsi="ITC Avant Garde" w:cs="Arial"/>
                <w:b/>
                <w:sz w:val="18"/>
                <w:szCs w:val="18"/>
              </w:rPr>
            </w:pPr>
            <w:r w:rsidRPr="00D75EE9">
              <w:rPr>
                <w:rFonts w:ascii="ITC Avant Garde" w:hAnsi="ITC Avant Garde"/>
                <w:b/>
                <w:sz w:val="18"/>
                <w:szCs w:val="18"/>
              </w:rPr>
              <w:t xml:space="preserve">Miguel Tentei Cortés Solórzano  </w:t>
            </w:r>
          </w:p>
        </w:tc>
        <w:tc>
          <w:tcPr>
            <w:tcW w:w="570" w:type="pct"/>
            <w:shd w:val="clear" w:color="auto" w:fill="auto"/>
            <w:vAlign w:val="center"/>
          </w:tcPr>
          <w:p w14:paraId="008D7628" w14:textId="24C753ED" w:rsidR="00046FF1" w:rsidRDefault="00046FF1" w:rsidP="00D75EE9">
            <w:pPr>
              <w:pStyle w:val="Ttulo3"/>
              <w:spacing w:before="0" w:line="276" w:lineRule="auto"/>
              <w:jc w:val="both"/>
              <w:rPr>
                <w:rFonts w:ascii="ITC Avant Garde" w:eastAsia="Calibri" w:hAnsi="ITC Avant Garde" w:cs="Arial"/>
                <w:b/>
                <w:bCs/>
                <w:color w:val="000000" w:themeColor="text1"/>
                <w:sz w:val="18"/>
                <w:szCs w:val="18"/>
              </w:rPr>
            </w:pPr>
            <w:r w:rsidRPr="00FF05AA">
              <w:rPr>
                <w:rFonts w:ascii="ITC Avant Garde" w:eastAsia="Calibri" w:hAnsi="ITC Avant Garde" w:cs="Arial"/>
                <w:b/>
                <w:bCs/>
                <w:color w:val="000000" w:themeColor="text1"/>
                <w:sz w:val="18"/>
                <w:szCs w:val="18"/>
              </w:rPr>
              <w:t>FDD y TDD</w:t>
            </w:r>
          </w:p>
        </w:tc>
        <w:tc>
          <w:tcPr>
            <w:tcW w:w="1966" w:type="pct"/>
            <w:shd w:val="clear" w:color="auto" w:fill="auto"/>
          </w:tcPr>
          <w:p w14:paraId="4DFA93C1" w14:textId="0DEB7940" w:rsidR="00046FF1" w:rsidRDefault="00046FF1" w:rsidP="00D75EE9">
            <w:pPr>
              <w:tabs>
                <w:tab w:val="left" w:pos="975"/>
              </w:tabs>
              <w:spacing w:line="276" w:lineRule="auto"/>
              <w:jc w:val="both"/>
              <w:rPr>
                <w:rFonts w:ascii="ITC Avant Garde" w:hAnsi="ITC Avant Garde" w:cs="Arial"/>
                <w:i/>
                <w:color w:val="000000"/>
                <w:sz w:val="18"/>
                <w:szCs w:val="18"/>
              </w:rPr>
            </w:pPr>
            <w:r w:rsidRPr="00FF05AA">
              <w:rPr>
                <w:rFonts w:ascii="ITC Avant Garde" w:hAnsi="ITC Avant Garde" w:cs="Arial"/>
                <w:i/>
                <w:sz w:val="18"/>
                <w:szCs w:val="18"/>
              </w:rPr>
              <w:t>Es inadecuado separar los bloques para ambas tecnologías; se debe de ofrecer libertad al operador y compaginar en procedimientos unitarios la licitación.</w:t>
            </w:r>
          </w:p>
        </w:tc>
        <w:tc>
          <w:tcPr>
            <w:tcW w:w="1992" w:type="pct"/>
            <w:shd w:val="clear" w:color="auto" w:fill="FFFFFF" w:themeFill="background1"/>
          </w:tcPr>
          <w:p w14:paraId="210327EF" w14:textId="155167C4" w:rsidR="00046FF1" w:rsidRPr="00C11EF1" w:rsidRDefault="00C11EF1" w:rsidP="003C5DF0">
            <w:pPr>
              <w:spacing w:after="0" w:line="276" w:lineRule="auto"/>
              <w:jc w:val="both"/>
              <w:rPr>
                <w:rFonts w:ascii="ITC Avant Garde" w:hAnsi="ITC Avant Garde"/>
                <w:sz w:val="18"/>
                <w:szCs w:val="18"/>
              </w:rPr>
            </w:pPr>
            <w:r>
              <w:rPr>
                <w:rFonts w:ascii="ITC Avant Garde" w:hAnsi="ITC Avant Garde"/>
                <w:sz w:val="18"/>
                <w:szCs w:val="18"/>
              </w:rPr>
              <w:t xml:space="preserve">Con relación al </w:t>
            </w:r>
            <w:r w:rsidRPr="00AB1040">
              <w:rPr>
                <w:rFonts w:ascii="ITC Avant Garde" w:hAnsi="ITC Avant Garde"/>
                <w:sz w:val="18"/>
                <w:szCs w:val="18"/>
              </w:rPr>
              <w:t xml:space="preserve">comentario de </w:t>
            </w:r>
            <w:r w:rsidRPr="00D75EE9">
              <w:rPr>
                <w:rFonts w:ascii="ITC Avant Garde" w:hAnsi="ITC Avant Garde"/>
                <w:b/>
                <w:sz w:val="18"/>
                <w:szCs w:val="18"/>
              </w:rPr>
              <w:t>Miguel Tentei Cortés Soló</w:t>
            </w:r>
            <w:r>
              <w:rPr>
                <w:rFonts w:ascii="ITC Avant Garde" w:hAnsi="ITC Avant Garde"/>
                <w:b/>
                <w:sz w:val="18"/>
                <w:szCs w:val="18"/>
              </w:rPr>
              <w:t xml:space="preserve">rzano </w:t>
            </w:r>
            <w:r w:rsidRPr="00AB1040">
              <w:rPr>
                <w:rFonts w:ascii="ITC Avant Garde" w:hAnsi="ITC Avant Garde"/>
                <w:sz w:val="18"/>
                <w:szCs w:val="18"/>
              </w:rPr>
              <w:t xml:space="preserve">relativo </w:t>
            </w:r>
            <w:r>
              <w:rPr>
                <w:rFonts w:ascii="ITC Avant Garde" w:hAnsi="ITC Avant Garde"/>
                <w:sz w:val="18"/>
                <w:szCs w:val="18"/>
              </w:rPr>
              <w:t xml:space="preserve">a que separar las bloques para ambas tecnologías es inadecuado y se debe ofrecer mayor libertad al operador de compaginar en procedimientos unitarios la licitación, </w:t>
            </w:r>
            <w:r w:rsidR="008806DC">
              <w:rPr>
                <w:rFonts w:ascii="ITC Avant Garde" w:hAnsi="ITC Avant Garde"/>
                <w:sz w:val="18"/>
                <w:szCs w:val="18"/>
              </w:rPr>
              <w:t xml:space="preserve">se informa que </w:t>
            </w:r>
            <w:r w:rsidR="008806DC">
              <w:t xml:space="preserve"> </w:t>
            </w:r>
            <w:r w:rsidR="003575C3">
              <w:rPr>
                <w:rFonts w:ascii="ITC Avant Garde" w:hAnsi="ITC Avant Garde"/>
                <w:sz w:val="18"/>
                <w:szCs w:val="18"/>
              </w:rPr>
              <w:t>l</w:t>
            </w:r>
            <w:r w:rsidR="008806DC" w:rsidRPr="008806DC">
              <w:rPr>
                <w:rFonts w:ascii="ITC Avant Garde" w:hAnsi="ITC Avant Garde"/>
                <w:sz w:val="18"/>
                <w:szCs w:val="18"/>
              </w:rPr>
              <w:t>os segmentos de espectro 2570-2575 MHz y 2615-2620 MHz que componen la Banda de Guarda, no son objeto de esta Licitación, para asegurar la adecuada separación de frecuencias entre el uso de alta potencia de la tecnología Dúplex por División de Frecuencia (FDD) en los Bloques Categoría FDD y Dúplex por División de Tiempo (TDD) en los Bloques Categoría TDD.</w:t>
            </w:r>
          </w:p>
        </w:tc>
      </w:tr>
      <w:tr w:rsidR="00046FF1" w:rsidRPr="00637136" w14:paraId="062FC591" w14:textId="77777777" w:rsidTr="00F96A8E">
        <w:trPr>
          <w:trHeight w:val="290"/>
          <w:tblHeader/>
        </w:trPr>
        <w:tc>
          <w:tcPr>
            <w:tcW w:w="472" w:type="pct"/>
          </w:tcPr>
          <w:p w14:paraId="76B4E9A5" w14:textId="05A69F62" w:rsidR="00046FF1" w:rsidRDefault="00046FF1" w:rsidP="00D75EE9">
            <w:pPr>
              <w:spacing w:after="0" w:line="276" w:lineRule="auto"/>
              <w:jc w:val="both"/>
              <w:rPr>
                <w:rFonts w:ascii="ITC Avant Garde" w:hAnsi="ITC Avant Garde" w:cs="Arial"/>
                <w:b/>
                <w:sz w:val="18"/>
                <w:szCs w:val="18"/>
              </w:rPr>
            </w:pPr>
            <w:r w:rsidRPr="00D75EE9">
              <w:rPr>
                <w:rFonts w:ascii="ITC Avant Garde" w:hAnsi="ITC Avant Garde"/>
                <w:b/>
                <w:sz w:val="18"/>
                <w:szCs w:val="18"/>
              </w:rPr>
              <w:t xml:space="preserve">Miguel Tentei Cortés Solórzano  </w:t>
            </w:r>
          </w:p>
        </w:tc>
        <w:tc>
          <w:tcPr>
            <w:tcW w:w="570" w:type="pct"/>
            <w:shd w:val="clear" w:color="auto" w:fill="auto"/>
            <w:vAlign w:val="center"/>
          </w:tcPr>
          <w:p w14:paraId="15745DCC" w14:textId="1D975109" w:rsidR="00046FF1" w:rsidRDefault="00046FF1" w:rsidP="00D75EE9">
            <w:pPr>
              <w:pStyle w:val="Ttulo3"/>
              <w:spacing w:before="0" w:line="276" w:lineRule="auto"/>
              <w:jc w:val="both"/>
              <w:rPr>
                <w:rFonts w:ascii="ITC Avant Garde" w:eastAsia="Calibri" w:hAnsi="ITC Avant Garde" w:cs="Arial"/>
                <w:b/>
                <w:bCs/>
                <w:color w:val="000000" w:themeColor="text1"/>
                <w:sz w:val="18"/>
                <w:szCs w:val="18"/>
              </w:rPr>
            </w:pPr>
            <w:r>
              <w:rPr>
                <w:rFonts w:ascii="ITC Avant Garde" w:eastAsia="Calibri" w:hAnsi="ITC Avant Garde" w:cs="Arial"/>
                <w:b/>
                <w:bCs/>
                <w:color w:val="000000" w:themeColor="text1"/>
                <w:sz w:val="18"/>
                <w:szCs w:val="18"/>
              </w:rPr>
              <w:t>Agente preponderant</w:t>
            </w:r>
            <w:r w:rsidRPr="00FF05AA">
              <w:rPr>
                <w:rFonts w:ascii="ITC Avant Garde" w:eastAsia="Calibri" w:hAnsi="ITC Avant Garde" w:cs="Arial"/>
                <w:b/>
                <w:bCs/>
                <w:color w:val="000000" w:themeColor="text1"/>
                <w:sz w:val="18"/>
                <w:szCs w:val="18"/>
              </w:rPr>
              <w:t>e</w:t>
            </w:r>
          </w:p>
        </w:tc>
        <w:tc>
          <w:tcPr>
            <w:tcW w:w="1966" w:type="pct"/>
            <w:shd w:val="clear" w:color="auto" w:fill="auto"/>
          </w:tcPr>
          <w:p w14:paraId="2C3F2284" w14:textId="510C965E" w:rsidR="00046FF1" w:rsidRDefault="00046FF1" w:rsidP="00D75EE9">
            <w:pPr>
              <w:tabs>
                <w:tab w:val="left" w:pos="975"/>
              </w:tabs>
              <w:spacing w:line="276" w:lineRule="auto"/>
              <w:jc w:val="both"/>
              <w:rPr>
                <w:rFonts w:ascii="ITC Avant Garde" w:hAnsi="ITC Avant Garde" w:cs="Arial"/>
                <w:i/>
                <w:color w:val="000000"/>
                <w:sz w:val="18"/>
                <w:szCs w:val="18"/>
              </w:rPr>
            </w:pPr>
            <w:r w:rsidRPr="00FF05AA">
              <w:rPr>
                <w:rFonts w:ascii="ITC Avant Garde" w:hAnsi="ITC Avant Garde" w:cs="Arial"/>
                <w:i/>
                <w:sz w:val="18"/>
                <w:szCs w:val="18"/>
              </w:rPr>
              <w:t>Se debe de restringir la participación a un jugador que desafía la autoridad del IFT y aún posé una participación de mercado mayor al 60%</w:t>
            </w:r>
          </w:p>
        </w:tc>
        <w:tc>
          <w:tcPr>
            <w:tcW w:w="1992" w:type="pct"/>
            <w:shd w:val="clear" w:color="auto" w:fill="FFFFFF" w:themeFill="background1"/>
          </w:tcPr>
          <w:p w14:paraId="0D1BFFC4" w14:textId="30C816A0" w:rsidR="00046FF1" w:rsidRPr="00C11EF1" w:rsidRDefault="00C11EF1" w:rsidP="003C5DF0">
            <w:pPr>
              <w:spacing w:after="0" w:line="276" w:lineRule="auto"/>
              <w:jc w:val="both"/>
              <w:rPr>
                <w:rFonts w:ascii="ITC Avant Garde" w:hAnsi="ITC Avant Garde"/>
                <w:sz w:val="18"/>
                <w:szCs w:val="18"/>
              </w:rPr>
            </w:pPr>
            <w:r>
              <w:rPr>
                <w:rFonts w:ascii="ITC Avant Garde" w:hAnsi="ITC Avant Garde"/>
                <w:sz w:val="18"/>
                <w:szCs w:val="18"/>
              </w:rPr>
              <w:t xml:space="preserve">Con relación al </w:t>
            </w:r>
            <w:r w:rsidRPr="00AB1040">
              <w:rPr>
                <w:rFonts w:ascii="ITC Avant Garde" w:hAnsi="ITC Avant Garde"/>
                <w:sz w:val="18"/>
                <w:szCs w:val="18"/>
              </w:rPr>
              <w:t xml:space="preserve">comentario de </w:t>
            </w:r>
            <w:r w:rsidRPr="00D75EE9">
              <w:rPr>
                <w:rFonts w:ascii="ITC Avant Garde" w:hAnsi="ITC Avant Garde"/>
                <w:b/>
                <w:sz w:val="18"/>
                <w:szCs w:val="18"/>
              </w:rPr>
              <w:t>Miguel Tentei Cortés Soló</w:t>
            </w:r>
            <w:r>
              <w:rPr>
                <w:rFonts w:ascii="ITC Avant Garde" w:hAnsi="ITC Avant Garde"/>
                <w:b/>
                <w:sz w:val="18"/>
                <w:szCs w:val="18"/>
              </w:rPr>
              <w:t xml:space="preserve">rzano </w:t>
            </w:r>
            <w:r w:rsidRPr="00AB1040">
              <w:rPr>
                <w:rFonts w:ascii="ITC Avant Garde" w:hAnsi="ITC Avant Garde"/>
                <w:sz w:val="18"/>
                <w:szCs w:val="18"/>
              </w:rPr>
              <w:t xml:space="preserve">relativo </w:t>
            </w:r>
            <w:r>
              <w:rPr>
                <w:rFonts w:ascii="ITC Avant Garde" w:hAnsi="ITC Avant Garde"/>
                <w:sz w:val="18"/>
                <w:szCs w:val="18"/>
              </w:rPr>
              <w:t>a que se debe restringir la participación a un jugador que desafía la autoridad del IFT y aún posee una participación der mercado mayor al 60%, no se da respuesta debido a que el comentario no versa sobre el contenido del Anteproyecto.</w:t>
            </w:r>
          </w:p>
        </w:tc>
      </w:tr>
    </w:tbl>
    <w:p w14:paraId="327B7174" w14:textId="21437E43" w:rsidR="00642B98" w:rsidRDefault="00642B98" w:rsidP="00D407F2">
      <w:pPr>
        <w:spacing w:line="276" w:lineRule="auto"/>
        <w:jc w:val="both"/>
        <w:rPr>
          <w:rFonts w:ascii="ITC Avant Garde" w:hAnsi="ITC Avant Garde" w:cs="Arial"/>
          <w:sz w:val="18"/>
          <w:szCs w:val="18"/>
        </w:rPr>
      </w:pPr>
    </w:p>
    <w:tbl>
      <w:tblPr>
        <w:tblpPr w:leftFromText="141" w:rightFromText="141" w:vertAnchor="text" w:horzAnchor="margin" w:tblpX="-1139" w:tblpY="1228"/>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Datos del participante"/>
        <w:tblDescription w:val="Tabla para proporcionar los datos que permitan identificar a quien envía los comentarios."/>
      </w:tblPr>
      <w:tblGrid>
        <w:gridCol w:w="1935"/>
        <w:gridCol w:w="6685"/>
        <w:gridCol w:w="6685"/>
      </w:tblGrid>
      <w:tr w:rsidR="00D700A1" w:rsidRPr="00D700A1" w14:paraId="24022CA9" w14:textId="23B88179" w:rsidTr="00D700A1">
        <w:trPr>
          <w:trHeight w:val="581"/>
        </w:trPr>
        <w:tc>
          <w:tcPr>
            <w:tcW w:w="15305" w:type="dxa"/>
            <w:gridSpan w:val="3"/>
            <w:tcBorders>
              <w:bottom w:val="single" w:sz="4" w:space="0" w:color="auto"/>
            </w:tcBorders>
            <w:shd w:val="clear" w:color="auto" w:fill="D9D9D9" w:themeFill="background1" w:themeFillShade="D9"/>
            <w:vAlign w:val="center"/>
            <w:hideMark/>
          </w:tcPr>
          <w:p w14:paraId="11C4B448" w14:textId="77777777" w:rsidR="00D700A1" w:rsidRPr="00D700A1" w:rsidRDefault="00D700A1" w:rsidP="00D407F2">
            <w:pPr>
              <w:pStyle w:val="Prrafodelista"/>
              <w:spacing w:after="0" w:line="276" w:lineRule="auto"/>
              <w:ind w:left="1485" w:right="1069"/>
              <w:rPr>
                <w:rFonts w:ascii="ITC Avant Garde" w:eastAsia="Times New Roman" w:hAnsi="ITC Avant Garde" w:cs="Times New Roman"/>
                <w:b/>
                <w:bCs/>
                <w:color w:val="FFFFFF"/>
                <w:sz w:val="18"/>
                <w:szCs w:val="18"/>
                <w:lang w:eastAsia="es-MX"/>
              </w:rPr>
            </w:pPr>
          </w:p>
          <w:p w14:paraId="4244E11C" w14:textId="77777777" w:rsidR="00D700A1" w:rsidRPr="00D700A1" w:rsidRDefault="00D700A1" w:rsidP="00D407F2">
            <w:pPr>
              <w:pStyle w:val="Prrafodelista"/>
              <w:numPr>
                <w:ilvl w:val="0"/>
                <w:numId w:val="19"/>
              </w:numPr>
              <w:spacing w:after="0" w:line="276" w:lineRule="auto"/>
              <w:ind w:right="1069"/>
              <w:jc w:val="center"/>
              <w:rPr>
                <w:rFonts w:ascii="ITC Avant Garde" w:eastAsia="Times New Roman" w:hAnsi="ITC Avant Garde" w:cs="Times New Roman"/>
                <w:b/>
                <w:bCs/>
                <w:color w:val="FFFFFF"/>
                <w:sz w:val="18"/>
                <w:szCs w:val="18"/>
                <w:lang w:eastAsia="es-MX"/>
              </w:rPr>
            </w:pPr>
            <w:r w:rsidRPr="00D700A1">
              <w:rPr>
                <w:rFonts w:ascii="ITC Avant Garde" w:eastAsia="Times New Roman" w:hAnsi="ITC Avant Garde" w:cs="Times New Roman"/>
                <w:b/>
                <w:bCs/>
                <w:color w:val="000000" w:themeColor="text1"/>
                <w:sz w:val="18"/>
                <w:szCs w:val="18"/>
                <w:lang w:eastAsia="es-MX"/>
              </w:rPr>
              <w:t>Preguntas sobre las Bases de Licitación IFT-7</w:t>
            </w:r>
          </w:p>
          <w:p w14:paraId="784BBD12" w14:textId="77777777" w:rsidR="00D700A1" w:rsidRPr="00D700A1" w:rsidRDefault="00D700A1" w:rsidP="00D407F2">
            <w:pPr>
              <w:pStyle w:val="Prrafodelista"/>
              <w:spacing w:after="0" w:line="276" w:lineRule="auto"/>
              <w:ind w:left="1485" w:right="1069"/>
              <w:rPr>
                <w:rFonts w:ascii="ITC Avant Garde" w:eastAsia="Times New Roman" w:hAnsi="ITC Avant Garde" w:cs="Times New Roman"/>
                <w:b/>
                <w:bCs/>
                <w:color w:val="FFFFFF"/>
                <w:sz w:val="18"/>
                <w:szCs w:val="18"/>
                <w:lang w:eastAsia="es-MX"/>
              </w:rPr>
            </w:pPr>
          </w:p>
        </w:tc>
      </w:tr>
      <w:tr w:rsidR="00D700A1" w:rsidRPr="00D700A1" w14:paraId="07832939" w14:textId="0CA14BA3" w:rsidTr="00D700A1">
        <w:trPr>
          <w:trHeight w:val="678"/>
        </w:trPr>
        <w:tc>
          <w:tcPr>
            <w:tcW w:w="15305" w:type="dxa"/>
            <w:gridSpan w:val="3"/>
            <w:shd w:val="clear" w:color="auto" w:fill="C5E0B3" w:themeFill="accent6" w:themeFillTint="66"/>
            <w:vAlign w:val="center"/>
            <w:hideMark/>
          </w:tcPr>
          <w:p w14:paraId="2EC9785A" w14:textId="77777777" w:rsidR="00D700A1" w:rsidRPr="00D700A1" w:rsidRDefault="00D700A1" w:rsidP="00D407F2">
            <w:pPr>
              <w:spacing w:after="0" w:line="276" w:lineRule="auto"/>
              <w:rPr>
                <w:rFonts w:ascii="ITC Avant Garde" w:eastAsia="Times New Roman" w:hAnsi="ITC Avant Garde" w:cs="Times New Roman"/>
                <w:color w:val="000000"/>
                <w:sz w:val="18"/>
                <w:szCs w:val="18"/>
                <w:lang w:eastAsia="es-MX"/>
              </w:rPr>
            </w:pPr>
          </w:p>
          <w:p w14:paraId="021AE805" w14:textId="77777777" w:rsidR="00D700A1" w:rsidRPr="00D700A1" w:rsidRDefault="00D700A1" w:rsidP="00D407F2">
            <w:pPr>
              <w:pStyle w:val="Prrafodelista"/>
              <w:numPr>
                <w:ilvl w:val="0"/>
                <w:numId w:val="16"/>
              </w:numPr>
              <w:spacing w:after="0" w:line="276" w:lineRule="auto"/>
              <w:ind w:left="492" w:right="355" w:hanging="283"/>
              <w:jc w:val="both"/>
              <w:rPr>
                <w:rFonts w:ascii="ITC Avant Garde" w:eastAsia="Times New Roman" w:hAnsi="ITC Avant Garde" w:cs="Times New Roman"/>
                <w:color w:val="000000"/>
                <w:sz w:val="18"/>
                <w:szCs w:val="18"/>
                <w:lang w:eastAsia="es-MX"/>
              </w:rPr>
            </w:pPr>
            <w:r w:rsidRPr="00D700A1">
              <w:rPr>
                <w:rFonts w:ascii="ITC Avant Garde" w:hAnsi="ITC Avant Garde"/>
                <w:bCs/>
                <w:color w:val="000000"/>
                <w:sz w:val="18"/>
                <w:szCs w:val="18"/>
                <w:lang w:eastAsia="es-MX"/>
              </w:rPr>
              <w:t>El Instituto invita a cualquier persona o grupo interesado a comentar respecto a la propuesta</w:t>
            </w:r>
            <w:r w:rsidRPr="00D700A1">
              <w:rPr>
                <w:rFonts w:ascii="ITC Avant Garde" w:hAnsi="ITC Avant Garde"/>
                <w:sz w:val="18"/>
                <w:szCs w:val="18"/>
              </w:rPr>
              <w:t xml:space="preserve"> </w:t>
            </w:r>
            <w:r w:rsidRPr="00D700A1">
              <w:rPr>
                <w:rFonts w:ascii="ITC Avant Garde" w:hAnsi="ITC Avant Garde"/>
                <w:bCs/>
                <w:color w:val="000000"/>
                <w:sz w:val="18"/>
                <w:szCs w:val="18"/>
                <w:lang w:eastAsia="es-MX"/>
              </w:rPr>
              <w:t>de usar un</w:t>
            </w:r>
            <w:r w:rsidRPr="00D700A1">
              <w:rPr>
                <w:rFonts w:ascii="ITC Avant Garde" w:hAnsi="ITC Avant Garde"/>
                <w:sz w:val="18"/>
                <w:szCs w:val="18"/>
              </w:rPr>
              <w:t xml:space="preserve"> </w:t>
            </w:r>
            <w:r w:rsidRPr="00D700A1">
              <w:rPr>
                <w:rFonts w:ascii="ITC Avant Garde" w:hAnsi="ITC Avant Garde"/>
                <w:bCs/>
                <w:color w:val="000000"/>
                <w:sz w:val="18"/>
                <w:szCs w:val="18"/>
                <w:lang w:eastAsia="es-MX"/>
              </w:rPr>
              <w:t>mecanismo de Ofertas con Precios y Rondas de Reloj para el Procedimiento de Presentación de Ofertas.</w:t>
            </w:r>
          </w:p>
          <w:p w14:paraId="22DF5581" w14:textId="77777777" w:rsidR="00D700A1" w:rsidRPr="00D700A1" w:rsidRDefault="00D700A1" w:rsidP="00D407F2">
            <w:pPr>
              <w:spacing w:after="0" w:line="276" w:lineRule="auto"/>
              <w:rPr>
                <w:rFonts w:ascii="ITC Avant Garde" w:eastAsia="Times New Roman" w:hAnsi="ITC Avant Garde" w:cs="Times New Roman"/>
                <w:color w:val="000000"/>
                <w:sz w:val="18"/>
                <w:szCs w:val="18"/>
                <w:lang w:eastAsia="es-MX"/>
              </w:rPr>
            </w:pPr>
          </w:p>
        </w:tc>
      </w:tr>
      <w:tr w:rsidR="00D700A1" w:rsidRPr="00D700A1" w14:paraId="78A044AD" w14:textId="6CDFEC8F" w:rsidTr="00286AEB">
        <w:trPr>
          <w:trHeight w:val="290"/>
        </w:trPr>
        <w:tc>
          <w:tcPr>
            <w:tcW w:w="1935" w:type="dxa"/>
            <w:shd w:val="clear" w:color="auto" w:fill="auto"/>
            <w:vAlign w:val="center"/>
          </w:tcPr>
          <w:p w14:paraId="7F8A5308" w14:textId="20E29870"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Participante</w:t>
            </w:r>
          </w:p>
        </w:tc>
        <w:tc>
          <w:tcPr>
            <w:tcW w:w="6685" w:type="dxa"/>
          </w:tcPr>
          <w:p w14:paraId="10936306" w14:textId="2FFED608"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Comentario</w:t>
            </w:r>
          </w:p>
        </w:tc>
        <w:tc>
          <w:tcPr>
            <w:tcW w:w="6685" w:type="dxa"/>
          </w:tcPr>
          <w:p w14:paraId="65831AB7" w14:textId="5E65C679"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Consideraciones</w:t>
            </w:r>
          </w:p>
        </w:tc>
      </w:tr>
      <w:tr w:rsidR="00D700A1" w:rsidRPr="00D700A1" w14:paraId="2A66CE47" w14:textId="77777777" w:rsidTr="00286AEB">
        <w:trPr>
          <w:trHeight w:val="290"/>
        </w:trPr>
        <w:tc>
          <w:tcPr>
            <w:tcW w:w="1935" w:type="dxa"/>
            <w:shd w:val="clear" w:color="auto" w:fill="auto"/>
            <w:vAlign w:val="center"/>
          </w:tcPr>
          <w:p w14:paraId="061C634E" w14:textId="17525AAD" w:rsidR="00D700A1" w:rsidRPr="00523471" w:rsidRDefault="00523471" w:rsidP="00D407F2">
            <w:pPr>
              <w:spacing w:after="0" w:line="276" w:lineRule="auto"/>
              <w:rPr>
                <w:rFonts w:ascii="ITC Avant Garde" w:eastAsia="Times New Roman" w:hAnsi="ITC Avant Garde" w:cs="Times New Roman"/>
                <w:b/>
                <w:color w:val="000000"/>
                <w:sz w:val="18"/>
                <w:szCs w:val="18"/>
                <w:lang w:eastAsia="es-MX"/>
              </w:rPr>
            </w:pPr>
            <w:r w:rsidRPr="00523471">
              <w:rPr>
                <w:rFonts w:ascii="ITC Avant Garde" w:eastAsia="Times New Roman" w:hAnsi="ITC Avant Garde" w:cs="Times New Roman"/>
                <w:b/>
                <w:color w:val="000000"/>
                <w:sz w:val="18"/>
                <w:szCs w:val="18"/>
                <w:lang w:eastAsia="es-MX"/>
              </w:rPr>
              <w:t>Pegaso PCS, S.A. de C.V.</w:t>
            </w:r>
          </w:p>
        </w:tc>
        <w:tc>
          <w:tcPr>
            <w:tcW w:w="6685" w:type="dxa"/>
          </w:tcPr>
          <w:p w14:paraId="0A1A5545" w14:textId="27D4803E" w:rsidR="00D700A1" w:rsidRPr="00523471" w:rsidRDefault="00523471" w:rsidP="00D407F2">
            <w:pPr>
              <w:spacing w:after="0" w:line="276"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t xml:space="preserve">… </w:t>
            </w:r>
            <w:r w:rsidRPr="00523471">
              <w:rPr>
                <w:rFonts w:ascii="ITC Avant Garde" w:eastAsia="Times New Roman" w:hAnsi="ITC Avant Garde" w:cs="Times New Roman"/>
                <w:i/>
                <w:color w:val="000000"/>
                <w:sz w:val="18"/>
                <w:szCs w:val="18"/>
                <w:lang w:eastAsia="es-MX"/>
              </w:rPr>
              <w:t>Considerando los objetivos de la subasta y habida cuenta de los puntos mencionados, recomendamos la utilización de un formato de subasta SMRA, el cual ya ha sido utilizado en México para otras licitaciones y, podría resultar más eficiente, al permitir diferenciar las dos bandas subastadas, FDD y TDD, diferenciando los bloques según la banda, pero manteniendo su carácter genérico dentro de cada banda.</w:t>
            </w:r>
            <w:r>
              <w:rPr>
                <w:rFonts w:ascii="ITC Avant Garde" w:eastAsia="Times New Roman" w:hAnsi="ITC Avant Garde" w:cs="Times New Roman"/>
                <w:i/>
                <w:color w:val="000000"/>
                <w:sz w:val="18"/>
                <w:szCs w:val="18"/>
                <w:lang w:eastAsia="es-MX"/>
              </w:rPr>
              <w:t xml:space="preserve"> …</w:t>
            </w:r>
          </w:p>
        </w:tc>
        <w:tc>
          <w:tcPr>
            <w:tcW w:w="6685" w:type="dxa"/>
            <w:vMerge w:val="restart"/>
          </w:tcPr>
          <w:p w14:paraId="15F7F19C" w14:textId="75E89088" w:rsidR="00835807" w:rsidRDefault="00397776" w:rsidP="00835807">
            <w:pPr>
              <w:spacing w:line="276" w:lineRule="auto"/>
              <w:jc w:val="both"/>
              <w:rPr>
                <w:rFonts w:ascii="ITC Avant Garde" w:hAnsi="ITC Avant Garde"/>
                <w:sz w:val="18"/>
                <w:szCs w:val="18"/>
              </w:rPr>
            </w:pPr>
            <w:r>
              <w:rPr>
                <w:rFonts w:ascii="ITC Avant Garde" w:hAnsi="ITC Avant Garde"/>
                <w:sz w:val="18"/>
                <w:szCs w:val="18"/>
              </w:rPr>
              <w:t>S</w:t>
            </w:r>
            <w:r w:rsidR="00835807" w:rsidRPr="00DF2E1F">
              <w:rPr>
                <w:rFonts w:ascii="ITC Avant Garde" w:hAnsi="ITC Avant Garde"/>
                <w:sz w:val="18"/>
                <w:szCs w:val="18"/>
              </w:rPr>
              <w:t xml:space="preserve">e hace de su conocimiento que en el Anteproyecto se prevé un mecanismo de asignación consistentes </w:t>
            </w:r>
            <w:r w:rsidR="00835807" w:rsidRPr="00F96A8E">
              <w:rPr>
                <w:rFonts w:ascii="ITC Avant Garde" w:hAnsi="ITC Avant Garde"/>
                <w:sz w:val="18"/>
                <w:szCs w:val="18"/>
              </w:rPr>
              <w:t>en las dos siguientes</w:t>
            </w:r>
            <w:r w:rsidR="00835807">
              <w:rPr>
                <w:rFonts w:ascii="ITC Avant Garde" w:hAnsi="ITC Avant Garde"/>
                <w:sz w:val="18"/>
                <w:szCs w:val="18"/>
              </w:rPr>
              <w:t xml:space="preserve"> etapas:</w:t>
            </w:r>
          </w:p>
          <w:p w14:paraId="63FCA771" w14:textId="77777777" w:rsidR="00835807" w:rsidRPr="00C0317A" w:rsidRDefault="00835807" w:rsidP="00835807">
            <w:pPr>
              <w:spacing w:line="276" w:lineRule="auto"/>
              <w:ind w:left="500" w:hanging="283"/>
              <w:jc w:val="both"/>
              <w:rPr>
                <w:rFonts w:ascii="ITC Avant Garde" w:hAnsi="ITC Avant Garde"/>
                <w:sz w:val="18"/>
                <w:szCs w:val="18"/>
              </w:rPr>
            </w:pPr>
            <w:r>
              <w:t xml:space="preserve"> </w:t>
            </w:r>
            <w:r>
              <w:rPr>
                <w:rFonts w:ascii="ITC Avant Garde" w:hAnsi="ITC Avant Garde"/>
                <w:sz w:val="18"/>
                <w:szCs w:val="18"/>
              </w:rPr>
              <w:t>•</w:t>
            </w:r>
            <w:r>
              <w:rPr>
                <w:rFonts w:ascii="ITC Avant Garde" w:hAnsi="ITC Avant Garde"/>
                <w:sz w:val="18"/>
                <w:szCs w:val="18"/>
              </w:rPr>
              <w:tab/>
              <w:t>Etapa a</w:t>
            </w:r>
            <w:r w:rsidRPr="00C0317A">
              <w:rPr>
                <w:rFonts w:ascii="ITC Avant Garde" w:hAnsi="ITC Avant Garde"/>
                <w:sz w:val="18"/>
                <w:szCs w:val="18"/>
              </w:rPr>
              <w:t>djudicación: L</w:t>
            </w:r>
            <w:r>
              <w:rPr>
                <w:rFonts w:ascii="ITC Avant Garde" w:hAnsi="ITC Avant Garde"/>
                <w:sz w:val="18"/>
                <w:szCs w:val="18"/>
              </w:rPr>
              <w:t>a cual consistirá en una o más rondas de r</w:t>
            </w:r>
            <w:r w:rsidRPr="00C0317A">
              <w:rPr>
                <w:rFonts w:ascii="ITC Avant Garde" w:hAnsi="ITC Avant Garde"/>
                <w:sz w:val="18"/>
                <w:szCs w:val="18"/>
              </w:rPr>
              <w:t xml:space="preserve">eloj en hasta dos fases diferentes; se basa en un sistema de puntos. </w:t>
            </w:r>
          </w:p>
          <w:p w14:paraId="6EB0759C" w14:textId="77777777" w:rsidR="00835807" w:rsidRDefault="00835807" w:rsidP="00835807">
            <w:pPr>
              <w:spacing w:line="276" w:lineRule="auto"/>
              <w:ind w:left="500" w:hanging="283"/>
              <w:jc w:val="both"/>
              <w:rPr>
                <w:rFonts w:ascii="ITC Avant Garde" w:hAnsi="ITC Avant Garde"/>
                <w:sz w:val="18"/>
                <w:szCs w:val="18"/>
              </w:rPr>
            </w:pPr>
            <w:r>
              <w:rPr>
                <w:rFonts w:ascii="ITC Avant Garde" w:hAnsi="ITC Avant Garde"/>
                <w:sz w:val="18"/>
                <w:szCs w:val="18"/>
              </w:rPr>
              <w:t>•</w:t>
            </w:r>
            <w:r>
              <w:rPr>
                <w:rFonts w:ascii="ITC Avant Garde" w:hAnsi="ITC Avant Garde"/>
                <w:sz w:val="18"/>
                <w:szCs w:val="18"/>
              </w:rPr>
              <w:tab/>
              <w:t>Etapa de a</w:t>
            </w:r>
            <w:r w:rsidRPr="00C0317A">
              <w:rPr>
                <w:rFonts w:ascii="ITC Avant Garde" w:hAnsi="ITC Avant Garde"/>
                <w:sz w:val="18"/>
                <w:szCs w:val="18"/>
              </w:rPr>
              <w:t>signación: La cual consistirá, en su caso, de una sola Ronda de Sobre Cerrado</w:t>
            </w:r>
            <w:r>
              <w:rPr>
                <w:rFonts w:ascii="ITC Avant Garde" w:hAnsi="ITC Avant Garde"/>
                <w:sz w:val="18"/>
                <w:szCs w:val="18"/>
              </w:rPr>
              <w:t xml:space="preserve"> electrónico</w:t>
            </w:r>
            <w:r w:rsidRPr="00C0317A">
              <w:rPr>
                <w:rFonts w:ascii="ITC Avant Garde" w:hAnsi="ITC Avant Garde"/>
                <w:sz w:val="18"/>
                <w:szCs w:val="18"/>
              </w:rPr>
              <w:t>; se basa en valores monetarios expresados en pesos mexicanos.</w:t>
            </w:r>
          </w:p>
          <w:p w14:paraId="029CE088" w14:textId="5EC2D608" w:rsidR="00835807" w:rsidRDefault="00835807" w:rsidP="00244681">
            <w:pPr>
              <w:spacing w:after="0" w:line="276" w:lineRule="auto"/>
              <w:jc w:val="both"/>
              <w:rPr>
                <w:rFonts w:ascii="ITC Avant Garde" w:hAnsi="ITC Avant Garde"/>
                <w:sz w:val="18"/>
                <w:szCs w:val="18"/>
              </w:rPr>
            </w:pPr>
            <w:r>
              <w:rPr>
                <w:rFonts w:ascii="ITC Avant Garde" w:hAnsi="ITC Avant Garde"/>
                <w:sz w:val="18"/>
                <w:szCs w:val="18"/>
              </w:rPr>
              <w:t xml:space="preserve">En este sentido, la etapa de adjudicación de los bloques genéricos se realizará bajo un mecanismo de reloj ascendente que, al igual que la SMRA, </w:t>
            </w:r>
            <w:r>
              <w:rPr>
                <w:rFonts w:ascii="ITC Avant Garde" w:hAnsi="ITC Avant Garde"/>
                <w:sz w:val="18"/>
                <w:szCs w:val="18"/>
              </w:rPr>
              <w:lastRenderedPageBreak/>
              <w:t>permite el cambio y retiro de bloques, con la ventaja de que se pueden presentar ofertas conjuntas por dos o más bloques de la misma categoría.</w:t>
            </w:r>
          </w:p>
          <w:p w14:paraId="7399CDD1" w14:textId="77777777" w:rsidR="00244681" w:rsidRDefault="00244681" w:rsidP="00244681">
            <w:pPr>
              <w:spacing w:after="0" w:line="276" w:lineRule="auto"/>
              <w:jc w:val="both"/>
              <w:rPr>
                <w:rFonts w:ascii="ITC Avant Garde" w:hAnsi="ITC Avant Garde"/>
                <w:sz w:val="18"/>
                <w:szCs w:val="18"/>
              </w:rPr>
            </w:pPr>
          </w:p>
          <w:p w14:paraId="575E6273" w14:textId="77777777" w:rsidR="00835807" w:rsidRDefault="00835807" w:rsidP="00835807">
            <w:pPr>
              <w:spacing w:line="276" w:lineRule="auto"/>
              <w:jc w:val="both"/>
              <w:rPr>
                <w:rFonts w:ascii="ITC Avant Garde" w:hAnsi="ITC Avant Garde"/>
                <w:sz w:val="18"/>
                <w:szCs w:val="18"/>
              </w:rPr>
            </w:pPr>
            <w:r>
              <w:rPr>
                <w:rFonts w:ascii="ITC Avant Garde" w:hAnsi="ITC Avant Garde"/>
                <w:sz w:val="18"/>
                <w:szCs w:val="18"/>
              </w:rPr>
              <w:t>Una vez adjudicados los bloques genéricos, la etapa de asignación permitirá hacer una oferta por la posición específica de un bloque, permitiendo a los participantes ganadores, en su caso, garantizar la contigüidad del espectro adjudicado.</w:t>
            </w:r>
          </w:p>
          <w:p w14:paraId="2F45F8CE" w14:textId="77777777" w:rsidR="00D700A1" w:rsidRPr="00D700A1" w:rsidRDefault="00D700A1" w:rsidP="00D407F2">
            <w:pPr>
              <w:spacing w:after="0" w:line="276" w:lineRule="auto"/>
              <w:rPr>
                <w:rFonts w:ascii="ITC Avant Garde" w:eastAsia="Times New Roman" w:hAnsi="ITC Avant Garde" w:cs="Times New Roman"/>
                <w:color w:val="000000"/>
                <w:sz w:val="18"/>
                <w:szCs w:val="18"/>
                <w:lang w:eastAsia="es-MX"/>
              </w:rPr>
            </w:pPr>
          </w:p>
        </w:tc>
      </w:tr>
      <w:tr w:rsidR="00644D3C" w:rsidRPr="00D700A1" w14:paraId="17FD0E49" w14:textId="77777777" w:rsidTr="00286AEB">
        <w:trPr>
          <w:trHeight w:val="290"/>
        </w:trPr>
        <w:tc>
          <w:tcPr>
            <w:tcW w:w="1935" w:type="dxa"/>
            <w:shd w:val="clear" w:color="auto" w:fill="auto"/>
            <w:vAlign w:val="center"/>
          </w:tcPr>
          <w:p w14:paraId="4BE57F6B" w14:textId="39916C1A" w:rsidR="00644D3C" w:rsidRPr="00523471" w:rsidRDefault="00644D3C" w:rsidP="00D407F2">
            <w:pPr>
              <w:spacing w:after="0" w:line="276" w:lineRule="auto"/>
              <w:rPr>
                <w:rFonts w:ascii="ITC Avant Garde" w:eastAsia="Times New Roman" w:hAnsi="ITC Avant Garde" w:cs="Times New Roman"/>
                <w:b/>
                <w:color w:val="000000"/>
                <w:sz w:val="18"/>
                <w:szCs w:val="18"/>
                <w:lang w:eastAsia="es-MX"/>
              </w:rPr>
            </w:pPr>
            <w:r w:rsidRPr="00644D3C">
              <w:rPr>
                <w:rFonts w:ascii="ITC Avant Garde" w:eastAsia="Times New Roman" w:hAnsi="ITC Avant Garde" w:cs="Times New Roman"/>
                <w:b/>
                <w:color w:val="000000"/>
                <w:sz w:val="18"/>
                <w:szCs w:val="18"/>
                <w:lang w:eastAsia="es-MX"/>
              </w:rPr>
              <w:t xml:space="preserve">Rivada Networks, S. de R.L. de C.V.  </w:t>
            </w:r>
          </w:p>
        </w:tc>
        <w:tc>
          <w:tcPr>
            <w:tcW w:w="6685" w:type="dxa"/>
          </w:tcPr>
          <w:p w14:paraId="3E56167F" w14:textId="52250F66" w:rsidR="00644D3C" w:rsidRDefault="00644D3C" w:rsidP="00D407F2">
            <w:pPr>
              <w:spacing w:after="0" w:line="276" w:lineRule="auto"/>
              <w:jc w:val="both"/>
              <w:rPr>
                <w:rFonts w:ascii="ITC Avant Garde" w:eastAsia="Times New Roman" w:hAnsi="ITC Avant Garde" w:cs="Times New Roman"/>
                <w:i/>
                <w:color w:val="000000"/>
                <w:sz w:val="18"/>
                <w:szCs w:val="18"/>
                <w:lang w:eastAsia="es-MX"/>
              </w:rPr>
            </w:pPr>
            <w:r w:rsidRPr="00644D3C">
              <w:rPr>
                <w:rFonts w:ascii="ITC Avant Garde" w:eastAsia="Times New Roman" w:hAnsi="ITC Avant Garde" w:cs="Times New Roman"/>
                <w:i/>
                <w:color w:val="000000"/>
                <w:sz w:val="18"/>
                <w:szCs w:val="18"/>
                <w:lang w:eastAsia="es-MX"/>
              </w:rPr>
              <w:t xml:space="preserve">Rivada Networks considera que el proceso de subasta es excesivamente complicado dado que el precio final de la subasta representará una porción muy menor del costo total de las licencias. Rivada Networks recomienda una subasta de sobre cerrado. En general, la complejidad de una subasta dinámica típicamente es justificada por el beneficio que trae el descubrimiento de precios. Sin embargo, los derechos anuales asociados </w:t>
            </w:r>
            <w:r w:rsidRPr="00644D3C">
              <w:rPr>
                <w:rFonts w:ascii="ITC Avant Garde" w:eastAsia="Times New Roman" w:hAnsi="ITC Avant Garde" w:cs="Times New Roman"/>
                <w:i/>
                <w:color w:val="000000"/>
                <w:sz w:val="18"/>
                <w:szCs w:val="18"/>
                <w:lang w:eastAsia="es-MX"/>
              </w:rPr>
              <w:lastRenderedPageBreak/>
              <w:t>a las licencias de 2.5 GHz colocan el costo del espectro en un rango relativamente alto respecto a los precios de referencia internacionales</w:t>
            </w:r>
            <w:r>
              <w:rPr>
                <w:rFonts w:ascii="ITC Avant Garde" w:eastAsia="Times New Roman" w:hAnsi="ITC Avant Garde" w:cs="Times New Roman"/>
                <w:i/>
                <w:color w:val="000000"/>
                <w:sz w:val="18"/>
                <w:szCs w:val="18"/>
                <w:lang w:eastAsia="es-MX"/>
              </w:rPr>
              <w:t>…</w:t>
            </w:r>
          </w:p>
        </w:tc>
        <w:tc>
          <w:tcPr>
            <w:tcW w:w="6685" w:type="dxa"/>
            <w:vMerge/>
          </w:tcPr>
          <w:p w14:paraId="07A9CBD3" w14:textId="77777777" w:rsidR="00644D3C" w:rsidRPr="00D700A1" w:rsidRDefault="00644D3C" w:rsidP="00D407F2">
            <w:pPr>
              <w:spacing w:after="0" w:line="276" w:lineRule="auto"/>
              <w:rPr>
                <w:rFonts w:ascii="ITC Avant Garde" w:eastAsia="Times New Roman" w:hAnsi="ITC Avant Garde" w:cs="Times New Roman"/>
                <w:color w:val="000000"/>
                <w:sz w:val="18"/>
                <w:szCs w:val="18"/>
                <w:lang w:eastAsia="es-MX"/>
              </w:rPr>
            </w:pPr>
          </w:p>
        </w:tc>
      </w:tr>
      <w:tr w:rsidR="002E1FE7" w:rsidRPr="00D700A1" w14:paraId="5865996F" w14:textId="77777777" w:rsidTr="00286AEB">
        <w:trPr>
          <w:trHeight w:val="290"/>
        </w:trPr>
        <w:tc>
          <w:tcPr>
            <w:tcW w:w="1935" w:type="dxa"/>
            <w:shd w:val="clear" w:color="auto" w:fill="auto"/>
            <w:vAlign w:val="center"/>
          </w:tcPr>
          <w:p w14:paraId="632F9FFE" w14:textId="133FFA6A" w:rsidR="002E1FE7" w:rsidRPr="00644D3C" w:rsidRDefault="002E1FE7" w:rsidP="00D407F2">
            <w:pPr>
              <w:spacing w:after="0" w:line="276" w:lineRule="auto"/>
              <w:rPr>
                <w:rFonts w:ascii="ITC Avant Garde" w:eastAsia="Times New Roman" w:hAnsi="ITC Avant Garde" w:cs="Times New Roman"/>
                <w:b/>
                <w:color w:val="000000"/>
                <w:sz w:val="18"/>
                <w:szCs w:val="18"/>
                <w:lang w:eastAsia="es-MX"/>
              </w:rPr>
            </w:pPr>
            <w:r w:rsidRPr="002E1FE7">
              <w:rPr>
                <w:rFonts w:ascii="ITC Avant Garde" w:eastAsia="Times New Roman" w:hAnsi="ITC Avant Garde" w:cs="Times New Roman"/>
                <w:b/>
                <w:color w:val="000000"/>
                <w:sz w:val="18"/>
                <w:szCs w:val="18"/>
                <w:lang w:eastAsia="es-MX"/>
              </w:rPr>
              <w:t xml:space="preserve">Miguel Tentei Cortés Solórzano  </w:t>
            </w:r>
          </w:p>
        </w:tc>
        <w:tc>
          <w:tcPr>
            <w:tcW w:w="6685" w:type="dxa"/>
          </w:tcPr>
          <w:p w14:paraId="3519C072" w14:textId="6E9AFB99" w:rsidR="002E1FE7" w:rsidRPr="00644D3C" w:rsidRDefault="002E1FE7" w:rsidP="00D407F2">
            <w:pPr>
              <w:spacing w:after="0" w:line="276" w:lineRule="auto"/>
              <w:jc w:val="both"/>
              <w:rPr>
                <w:rFonts w:ascii="ITC Avant Garde" w:eastAsia="Times New Roman" w:hAnsi="ITC Avant Garde" w:cs="Times New Roman"/>
                <w:i/>
                <w:color w:val="000000"/>
                <w:sz w:val="18"/>
                <w:szCs w:val="18"/>
                <w:lang w:eastAsia="es-MX"/>
              </w:rPr>
            </w:pPr>
            <w:r w:rsidRPr="002E1FE7">
              <w:rPr>
                <w:rFonts w:ascii="ITC Avant Garde" w:eastAsia="Times New Roman" w:hAnsi="ITC Avant Garde" w:cs="Times New Roman"/>
                <w:i/>
                <w:color w:val="000000"/>
                <w:sz w:val="18"/>
                <w:szCs w:val="18"/>
                <w:lang w:eastAsia="es-MX"/>
              </w:rPr>
              <w:t>Este mecanismo demostró su eficacia en la licitación de la banda AWS. Es correcto su uso.</w:t>
            </w:r>
          </w:p>
        </w:tc>
        <w:tc>
          <w:tcPr>
            <w:tcW w:w="6685" w:type="dxa"/>
            <w:vMerge/>
          </w:tcPr>
          <w:p w14:paraId="37F8A1D7" w14:textId="77777777" w:rsidR="002E1FE7" w:rsidRPr="00D700A1" w:rsidRDefault="002E1FE7" w:rsidP="00D407F2">
            <w:pPr>
              <w:spacing w:after="0" w:line="276" w:lineRule="auto"/>
              <w:rPr>
                <w:rFonts w:ascii="ITC Avant Garde" w:eastAsia="Times New Roman" w:hAnsi="ITC Avant Garde" w:cs="Times New Roman"/>
                <w:color w:val="000000"/>
                <w:sz w:val="18"/>
                <w:szCs w:val="18"/>
                <w:lang w:eastAsia="es-MX"/>
              </w:rPr>
            </w:pPr>
          </w:p>
        </w:tc>
      </w:tr>
      <w:tr w:rsidR="00D700A1" w:rsidRPr="00D700A1" w14:paraId="1AE1421F" w14:textId="71A4C68E" w:rsidTr="00D700A1">
        <w:trPr>
          <w:trHeight w:val="678"/>
        </w:trPr>
        <w:tc>
          <w:tcPr>
            <w:tcW w:w="15305" w:type="dxa"/>
            <w:gridSpan w:val="3"/>
            <w:shd w:val="clear" w:color="auto" w:fill="C5E0B3" w:themeFill="accent6" w:themeFillTint="66"/>
            <w:vAlign w:val="center"/>
            <w:hideMark/>
          </w:tcPr>
          <w:p w14:paraId="2E5854EC" w14:textId="77777777" w:rsidR="00D700A1" w:rsidRPr="00D700A1" w:rsidRDefault="00D700A1" w:rsidP="00D407F2">
            <w:pPr>
              <w:pStyle w:val="Prrafodelista"/>
              <w:spacing w:after="0" w:line="276" w:lineRule="auto"/>
              <w:ind w:left="492" w:right="355"/>
              <w:jc w:val="both"/>
              <w:rPr>
                <w:rFonts w:ascii="ITC Avant Garde" w:eastAsia="Times New Roman" w:hAnsi="ITC Avant Garde" w:cs="Times New Roman"/>
                <w:color w:val="000000"/>
                <w:sz w:val="18"/>
                <w:szCs w:val="18"/>
                <w:lang w:eastAsia="es-MX"/>
              </w:rPr>
            </w:pPr>
          </w:p>
          <w:p w14:paraId="0DBEB668" w14:textId="77777777" w:rsidR="00D700A1" w:rsidRPr="00D700A1" w:rsidRDefault="00D700A1" w:rsidP="00D407F2">
            <w:pPr>
              <w:pStyle w:val="Prrafodelista"/>
              <w:numPr>
                <w:ilvl w:val="0"/>
                <w:numId w:val="16"/>
              </w:numPr>
              <w:spacing w:after="0" w:line="276" w:lineRule="auto"/>
              <w:ind w:left="492" w:right="355" w:hanging="283"/>
              <w:jc w:val="both"/>
              <w:rPr>
                <w:rFonts w:ascii="ITC Avant Garde" w:eastAsia="Times New Roman" w:hAnsi="ITC Avant Garde" w:cs="Times New Roman"/>
                <w:color w:val="000000"/>
                <w:sz w:val="18"/>
                <w:szCs w:val="18"/>
                <w:lang w:eastAsia="es-MX"/>
              </w:rPr>
            </w:pPr>
            <w:r w:rsidRPr="00D700A1">
              <w:rPr>
                <w:rFonts w:ascii="ITC Avant Garde" w:hAnsi="ITC Avant Garde"/>
                <w:bCs/>
                <w:color w:val="000000"/>
                <w:sz w:val="18"/>
                <w:szCs w:val="18"/>
                <w:lang w:eastAsia="es-MX"/>
              </w:rPr>
              <w:t>El Instituto invita a cualquier persona o grupo interesado a comentar e incluir propuestas</w:t>
            </w:r>
            <w:r w:rsidRPr="00D700A1">
              <w:rPr>
                <w:rFonts w:ascii="ITC Avant Garde" w:hAnsi="ITC Avant Garde"/>
                <w:sz w:val="18"/>
                <w:szCs w:val="18"/>
              </w:rPr>
              <w:t xml:space="preserve"> </w:t>
            </w:r>
            <w:r w:rsidRPr="00D700A1">
              <w:rPr>
                <w:rFonts w:ascii="ITC Avant Garde" w:hAnsi="ITC Avant Garde"/>
                <w:bCs/>
                <w:color w:val="000000"/>
                <w:sz w:val="18"/>
                <w:szCs w:val="18"/>
                <w:lang w:eastAsia="es-MX"/>
              </w:rPr>
              <w:t>de aplicar un límite máximo de espectro “</w:t>
            </w:r>
            <w:r w:rsidRPr="00D700A1">
              <w:rPr>
                <w:rFonts w:ascii="ITC Avant Garde" w:hAnsi="ITC Avant Garde"/>
                <w:bCs/>
                <w:i/>
                <w:color w:val="000000"/>
                <w:sz w:val="18"/>
                <w:szCs w:val="18"/>
                <w:lang w:eastAsia="es-MX"/>
              </w:rPr>
              <w:t>cap</w:t>
            </w:r>
            <w:r w:rsidRPr="00D700A1">
              <w:rPr>
                <w:rFonts w:ascii="ITC Avant Garde" w:hAnsi="ITC Avant Garde"/>
                <w:bCs/>
                <w:color w:val="000000"/>
                <w:sz w:val="18"/>
                <w:szCs w:val="18"/>
                <w:lang w:eastAsia="es-MX"/>
              </w:rPr>
              <w:t xml:space="preserve">” en fases. En caso de incluir alguna otra propuesta, favor de acompañarla con su justificación correspondiente. </w:t>
            </w:r>
          </w:p>
          <w:p w14:paraId="59621AE3" w14:textId="77777777" w:rsidR="00D700A1" w:rsidRPr="00D700A1" w:rsidRDefault="00D700A1" w:rsidP="00D407F2">
            <w:pPr>
              <w:pStyle w:val="Prrafodelista"/>
              <w:spacing w:after="0" w:line="276" w:lineRule="auto"/>
              <w:ind w:left="492" w:right="355"/>
              <w:jc w:val="both"/>
              <w:rPr>
                <w:rFonts w:ascii="ITC Avant Garde" w:eastAsia="Times New Roman" w:hAnsi="ITC Avant Garde" w:cs="Times New Roman"/>
                <w:color w:val="000000"/>
                <w:sz w:val="18"/>
                <w:szCs w:val="18"/>
                <w:lang w:eastAsia="es-MX"/>
              </w:rPr>
            </w:pPr>
          </w:p>
        </w:tc>
      </w:tr>
      <w:tr w:rsidR="00D700A1" w:rsidRPr="00D700A1" w14:paraId="5186F12E" w14:textId="23AE667C" w:rsidTr="00286AEB">
        <w:trPr>
          <w:trHeight w:val="290"/>
        </w:trPr>
        <w:tc>
          <w:tcPr>
            <w:tcW w:w="1935" w:type="dxa"/>
            <w:shd w:val="clear" w:color="auto" w:fill="auto"/>
            <w:vAlign w:val="center"/>
          </w:tcPr>
          <w:p w14:paraId="6B4F0530" w14:textId="5887D02A"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Participante</w:t>
            </w:r>
          </w:p>
        </w:tc>
        <w:tc>
          <w:tcPr>
            <w:tcW w:w="6685" w:type="dxa"/>
          </w:tcPr>
          <w:p w14:paraId="44AE6349" w14:textId="6D49B89E"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Comentario</w:t>
            </w:r>
          </w:p>
        </w:tc>
        <w:tc>
          <w:tcPr>
            <w:tcW w:w="6685" w:type="dxa"/>
          </w:tcPr>
          <w:p w14:paraId="749E6BB9" w14:textId="403C6BAD"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Consideraciones</w:t>
            </w:r>
          </w:p>
        </w:tc>
      </w:tr>
      <w:tr w:rsidR="00244681" w:rsidRPr="00D700A1" w14:paraId="25D16AD4" w14:textId="77777777" w:rsidTr="00286AEB">
        <w:trPr>
          <w:trHeight w:val="290"/>
        </w:trPr>
        <w:tc>
          <w:tcPr>
            <w:tcW w:w="1935" w:type="dxa"/>
            <w:shd w:val="clear" w:color="auto" w:fill="auto"/>
            <w:vAlign w:val="center"/>
          </w:tcPr>
          <w:p w14:paraId="6D0E23F5" w14:textId="61E4DBB9"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r w:rsidRPr="00523471">
              <w:rPr>
                <w:rFonts w:ascii="ITC Avant Garde" w:eastAsia="Times New Roman" w:hAnsi="ITC Avant Garde" w:cs="Times New Roman"/>
                <w:b/>
                <w:color w:val="000000"/>
                <w:sz w:val="18"/>
                <w:szCs w:val="18"/>
                <w:lang w:eastAsia="es-MX"/>
              </w:rPr>
              <w:t>Pegaso PCS, S.A. de C.V.</w:t>
            </w:r>
          </w:p>
        </w:tc>
        <w:tc>
          <w:tcPr>
            <w:tcW w:w="6685" w:type="dxa"/>
          </w:tcPr>
          <w:p w14:paraId="5286588D" w14:textId="6D1690D3" w:rsidR="00244681" w:rsidRPr="00523471" w:rsidRDefault="00244681" w:rsidP="00D407F2">
            <w:pPr>
              <w:spacing w:after="0" w:line="276"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t>…</w:t>
            </w:r>
            <w:r w:rsidRPr="00523471">
              <w:rPr>
                <w:rFonts w:ascii="ITC Avant Garde" w:eastAsia="Times New Roman" w:hAnsi="ITC Avant Garde" w:cs="Times New Roman"/>
                <w:i/>
                <w:color w:val="000000"/>
                <w:sz w:val="18"/>
                <w:szCs w:val="18"/>
                <w:lang w:eastAsia="es-MX"/>
              </w:rPr>
              <w:t>Por todo lo anterior, consideramos que los límites propuestos por el IFT en las diferentes fases generan una mayor concentración de espectro en lugar de reducir las diferencias existentes en la tenencia de espectro entre los diferentes operadores</w:t>
            </w:r>
            <w:r>
              <w:rPr>
                <w:rFonts w:ascii="ITC Avant Garde" w:eastAsia="Times New Roman" w:hAnsi="ITC Avant Garde" w:cs="Times New Roman"/>
                <w:i/>
                <w:color w:val="000000"/>
                <w:sz w:val="18"/>
                <w:szCs w:val="18"/>
                <w:lang w:eastAsia="es-MX"/>
              </w:rPr>
              <w:t>…</w:t>
            </w:r>
          </w:p>
        </w:tc>
        <w:tc>
          <w:tcPr>
            <w:tcW w:w="6685" w:type="dxa"/>
            <w:vMerge w:val="restart"/>
          </w:tcPr>
          <w:p w14:paraId="29E67222" w14:textId="77777777" w:rsidR="00EA04A9" w:rsidRDefault="00244681" w:rsidP="00244681">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 xml:space="preserve">Se toma conocimiento de los comentarios relativos a las propuestas de los </w:t>
            </w:r>
            <w:r w:rsidR="00EA04A9">
              <w:rPr>
                <w:rFonts w:ascii="ITC Avant Garde" w:eastAsia="Times New Roman" w:hAnsi="ITC Avant Garde" w:cs="Times New Roman"/>
                <w:color w:val="000000"/>
                <w:sz w:val="18"/>
                <w:szCs w:val="18"/>
                <w:lang w:eastAsia="es-MX"/>
              </w:rPr>
              <w:t>li</w:t>
            </w:r>
            <w:r>
              <w:rPr>
                <w:rFonts w:ascii="ITC Avant Garde" w:eastAsia="Times New Roman" w:hAnsi="ITC Avant Garde" w:cs="Times New Roman"/>
                <w:color w:val="000000"/>
                <w:sz w:val="18"/>
                <w:szCs w:val="18"/>
                <w:lang w:eastAsia="es-MX"/>
              </w:rPr>
              <w:t xml:space="preserve">mitantes de participación propuestos en el Anteproyecto. </w:t>
            </w:r>
          </w:p>
          <w:p w14:paraId="149B2F00" w14:textId="77777777" w:rsidR="00EA04A9" w:rsidRDefault="00EA04A9" w:rsidP="00244681">
            <w:pPr>
              <w:spacing w:after="0" w:line="276" w:lineRule="auto"/>
              <w:jc w:val="both"/>
              <w:rPr>
                <w:rFonts w:ascii="ITC Avant Garde" w:eastAsia="Times New Roman" w:hAnsi="ITC Avant Garde" w:cs="Times New Roman"/>
                <w:color w:val="000000"/>
                <w:sz w:val="18"/>
                <w:szCs w:val="18"/>
                <w:lang w:eastAsia="es-MX"/>
              </w:rPr>
            </w:pPr>
          </w:p>
          <w:p w14:paraId="40C5D3D5" w14:textId="4555705E" w:rsidR="00244681" w:rsidRDefault="00244681" w:rsidP="00244681">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Asimismo, se comenta que e</w:t>
            </w:r>
            <w:r w:rsidRPr="002277B7">
              <w:rPr>
                <w:rFonts w:ascii="ITC Avant Garde" w:eastAsia="Times New Roman" w:hAnsi="ITC Avant Garde" w:cs="Times New Roman"/>
                <w:color w:val="000000"/>
                <w:sz w:val="18"/>
                <w:szCs w:val="18"/>
                <w:lang w:eastAsia="es-MX"/>
              </w:rPr>
              <w:t xml:space="preserve">l Instituto podrá restringir la participación de un </w:t>
            </w:r>
            <w:r w:rsidR="00EA04A9">
              <w:rPr>
                <w:rFonts w:ascii="ITC Avant Garde" w:eastAsia="Times New Roman" w:hAnsi="ITC Avant Garde" w:cs="Times New Roman"/>
                <w:color w:val="000000"/>
                <w:sz w:val="18"/>
                <w:szCs w:val="18"/>
                <w:lang w:eastAsia="es-MX"/>
              </w:rPr>
              <w:t>i</w:t>
            </w:r>
            <w:r w:rsidRPr="002277B7">
              <w:rPr>
                <w:rFonts w:ascii="ITC Avant Garde" w:eastAsia="Times New Roman" w:hAnsi="ITC Avant Garde" w:cs="Times New Roman"/>
                <w:color w:val="000000"/>
                <w:sz w:val="18"/>
                <w:szCs w:val="18"/>
                <w:lang w:eastAsia="es-MX"/>
              </w:rPr>
              <w:t xml:space="preserve">nteresado cuando, de acuerdo al marco jurídico y a las determinaciones jurídico-económicas aplicables, su participación pueda significar un efecto adverso a la competencia y libre concurrencia o generar </w:t>
            </w:r>
            <w:r>
              <w:rPr>
                <w:rFonts w:ascii="ITC Avant Garde" w:eastAsia="Times New Roman" w:hAnsi="ITC Avant Garde" w:cs="Times New Roman"/>
                <w:color w:val="000000"/>
                <w:sz w:val="18"/>
                <w:szCs w:val="18"/>
                <w:lang w:eastAsia="es-MX"/>
              </w:rPr>
              <w:t>c</w:t>
            </w:r>
            <w:r w:rsidRPr="002277B7">
              <w:rPr>
                <w:rFonts w:ascii="ITC Avant Garde" w:eastAsia="Times New Roman" w:hAnsi="ITC Avant Garde" w:cs="Times New Roman"/>
                <w:color w:val="000000"/>
                <w:sz w:val="18"/>
                <w:szCs w:val="18"/>
                <w:lang w:eastAsia="es-MX"/>
              </w:rPr>
              <w:t xml:space="preserve">oncentraciones de espectro radioeléctrico contrarias al interés público. A fin de prevenir </w:t>
            </w:r>
            <w:r>
              <w:rPr>
                <w:rFonts w:ascii="ITC Avant Garde" w:eastAsia="Times New Roman" w:hAnsi="ITC Avant Garde" w:cs="Times New Roman"/>
                <w:color w:val="000000"/>
                <w:sz w:val="18"/>
                <w:szCs w:val="18"/>
                <w:lang w:eastAsia="es-MX"/>
              </w:rPr>
              <w:t xml:space="preserve">dichas </w:t>
            </w:r>
            <w:r w:rsidRPr="002277B7">
              <w:rPr>
                <w:rFonts w:ascii="ITC Avant Garde" w:eastAsia="Times New Roman" w:hAnsi="ITC Avant Garde" w:cs="Times New Roman"/>
                <w:color w:val="000000"/>
                <w:sz w:val="18"/>
                <w:szCs w:val="18"/>
                <w:lang w:eastAsia="es-MX"/>
              </w:rPr>
              <w:t xml:space="preserve">concentraciones, </w:t>
            </w:r>
            <w:r w:rsidR="00EA04A9" w:rsidRPr="002277B7">
              <w:rPr>
                <w:rFonts w:ascii="ITC Avant Garde" w:eastAsia="Times New Roman" w:hAnsi="ITC Avant Garde" w:cs="Times New Roman"/>
                <w:color w:val="000000"/>
                <w:sz w:val="18"/>
                <w:szCs w:val="18"/>
                <w:lang w:eastAsia="es-MX"/>
              </w:rPr>
              <w:t>los participantes en la licitación deberán sujetarse a un límite de acumulación de espectro</w:t>
            </w:r>
            <w:r w:rsidRPr="002277B7">
              <w:rPr>
                <w:rFonts w:ascii="ITC Avant Garde" w:eastAsia="Times New Roman" w:hAnsi="ITC Avant Garde" w:cs="Times New Roman"/>
                <w:color w:val="000000"/>
                <w:sz w:val="18"/>
                <w:szCs w:val="18"/>
                <w:lang w:eastAsia="es-MX"/>
              </w:rPr>
              <w:t xml:space="preserve">. </w:t>
            </w:r>
          </w:p>
          <w:p w14:paraId="39C68FF3" w14:textId="77777777" w:rsidR="00244681" w:rsidRPr="002277B7" w:rsidRDefault="00244681" w:rsidP="00244681">
            <w:pPr>
              <w:spacing w:after="0" w:line="276" w:lineRule="auto"/>
              <w:jc w:val="both"/>
              <w:rPr>
                <w:rFonts w:ascii="ITC Avant Garde" w:eastAsia="Times New Roman" w:hAnsi="ITC Avant Garde" w:cs="Times New Roman"/>
                <w:color w:val="000000"/>
                <w:sz w:val="18"/>
                <w:szCs w:val="18"/>
                <w:lang w:eastAsia="es-MX"/>
              </w:rPr>
            </w:pPr>
          </w:p>
          <w:p w14:paraId="41AF1A6B" w14:textId="787AA2B4" w:rsidR="00244681" w:rsidRDefault="00244681" w:rsidP="00244681">
            <w:pPr>
              <w:spacing w:after="0" w:line="276" w:lineRule="auto"/>
              <w:jc w:val="both"/>
              <w:rPr>
                <w:rFonts w:ascii="ITC Avant Garde" w:eastAsia="Times New Roman" w:hAnsi="ITC Avant Garde" w:cs="Times New Roman"/>
                <w:color w:val="000000"/>
                <w:sz w:val="18"/>
                <w:szCs w:val="18"/>
                <w:lang w:eastAsia="es-MX"/>
              </w:rPr>
            </w:pPr>
            <w:r w:rsidRPr="002277B7">
              <w:rPr>
                <w:rFonts w:ascii="ITC Avant Garde" w:eastAsia="Times New Roman" w:hAnsi="ITC Avant Garde" w:cs="Times New Roman"/>
                <w:color w:val="000000"/>
                <w:sz w:val="18"/>
                <w:szCs w:val="18"/>
                <w:lang w:eastAsia="es-MX"/>
              </w:rPr>
              <w:t xml:space="preserve">El </w:t>
            </w:r>
            <w:r w:rsidR="00EA04A9" w:rsidRPr="002277B7">
              <w:rPr>
                <w:rFonts w:ascii="ITC Avant Garde" w:eastAsia="Times New Roman" w:hAnsi="ITC Avant Garde" w:cs="Times New Roman"/>
                <w:color w:val="000000"/>
                <w:sz w:val="18"/>
                <w:szCs w:val="18"/>
                <w:lang w:eastAsia="es-MX"/>
              </w:rPr>
              <w:t xml:space="preserve">límite de acumulación de espectro </w:t>
            </w:r>
            <w:r>
              <w:rPr>
                <w:rFonts w:ascii="ITC Avant Garde" w:eastAsia="Times New Roman" w:hAnsi="ITC Avant Garde" w:cs="Times New Roman"/>
                <w:color w:val="000000"/>
                <w:sz w:val="18"/>
                <w:szCs w:val="18"/>
                <w:lang w:eastAsia="es-MX"/>
              </w:rPr>
              <w:t xml:space="preserve">que se establezca en el Proyecto final de Bases </w:t>
            </w:r>
            <w:r w:rsidRPr="002277B7">
              <w:rPr>
                <w:rFonts w:ascii="ITC Avant Garde" w:eastAsia="Times New Roman" w:hAnsi="ITC Avant Garde" w:cs="Times New Roman"/>
                <w:color w:val="000000"/>
                <w:sz w:val="18"/>
                <w:szCs w:val="18"/>
                <w:lang w:eastAsia="es-MX"/>
              </w:rPr>
              <w:t xml:space="preserve">se aplicará a los </w:t>
            </w:r>
            <w:r w:rsidR="00EA04A9" w:rsidRPr="002277B7">
              <w:rPr>
                <w:rFonts w:ascii="ITC Avant Garde" w:eastAsia="Times New Roman" w:hAnsi="ITC Avant Garde" w:cs="Times New Roman"/>
                <w:color w:val="000000"/>
                <w:sz w:val="18"/>
                <w:szCs w:val="18"/>
                <w:lang w:eastAsia="es-MX"/>
              </w:rPr>
              <w:t xml:space="preserve">interesados evaluados </w:t>
            </w:r>
            <w:r w:rsidRPr="002277B7">
              <w:rPr>
                <w:rFonts w:ascii="ITC Avant Garde" w:eastAsia="Times New Roman" w:hAnsi="ITC Avant Garde" w:cs="Times New Roman"/>
                <w:color w:val="000000"/>
                <w:sz w:val="18"/>
                <w:szCs w:val="18"/>
                <w:lang w:eastAsia="es-MX"/>
              </w:rPr>
              <w:t xml:space="preserve">bajo su dimensión de GIE </w:t>
            </w:r>
            <w:r w:rsidRPr="002277B7">
              <w:rPr>
                <w:rFonts w:ascii="ITC Avant Garde" w:eastAsia="Times New Roman" w:hAnsi="ITC Avant Garde" w:cs="Times New Roman"/>
                <w:color w:val="000000"/>
                <w:sz w:val="18"/>
                <w:szCs w:val="18"/>
                <w:lang w:eastAsia="es-MX"/>
              </w:rPr>
              <w:lastRenderedPageBreak/>
              <w:t>y considerando las personas con las que el GIE tiene vínculos de tipo comercial, organizativo, económico y jurídico</w:t>
            </w:r>
            <w:r>
              <w:rPr>
                <w:rFonts w:ascii="ITC Avant Garde" w:eastAsia="Times New Roman" w:hAnsi="ITC Avant Garde" w:cs="Times New Roman"/>
                <w:color w:val="000000"/>
                <w:sz w:val="18"/>
                <w:szCs w:val="18"/>
                <w:lang w:eastAsia="es-MX"/>
              </w:rPr>
              <w:t>, así como</w:t>
            </w:r>
            <w:r w:rsidRPr="00696602">
              <w:rPr>
                <w:rFonts w:ascii="ITC Avant Garde" w:eastAsia="Times New Roman" w:hAnsi="ITC Avant Garde" w:cs="Times New Roman"/>
                <w:color w:val="000000"/>
                <w:sz w:val="18"/>
                <w:szCs w:val="18"/>
                <w:lang w:eastAsia="es-MX"/>
              </w:rPr>
              <w:t xml:space="preserve"> su evaluación para determinar la calidad de </w:t>
            </w:r>
            <w:r w:rsidR="00EA04A9">
              <w:rPr>
                <w:rFonts w:ascii="ITC Avant Garde" w:eastAsia="Times New Roman" w:hAnsi="ITC Avant Garde" w:cs="Times New Roman"/>
                <w:color w:val="000000"/>
                <w:sz w:val="18"/>
                <w:szCs w:val="18"/>
                <w:lang w:eastAsia="es-MX"/>
              </w:rPr>
              <w:t>p</w:t>
            </w:r>
            <w:r w:rsidRPr="00696602">
              <w:rPr>
                <w:rFonts w:ascii="ITC Avant Garde" w:eastAsia="Times New Roman" w:hAnsi="ITC Avant Garde" w:cs="Times New Roman"/>
                <w:color w:val="000000"/>
                <w:sz w:val="18"/>
                <w:szCs w:val="18"/>
                <w:lang w:eastAsia="es-MX"/>
              </w:rPr>
              <w:t xml:space="preserve">articipante de cada </w:t>
            </w:r>
            <w:r w:rsidR="00EA04A9">
              <w:rPr>
                <w:rFonts w:ascii="ITC Avant Garde" w:eastAsia="Times New Roman" w:hAnsi="ITC Avant Garde" w:cs="Times New Roman"/>
                <w:color w:val="000000"/>
                <w:sz w:val="18"/>
                <w:szCs w:val="18"/>
                <w:lang w:eastAsia="es-MX"/>
              </w:rPr>
              <w:t>i</w:t>
            </w:r>
            <w:r w:rsidRPr="00696602">
              <w:rPr>
                <w:rFonts w:ascii="ITC Avant Garde" w:eastAsia="Times New Roman" w:hAnsi="ITC Avant Garde" w:cs="Times New Roman"/>
                <w:color w:val="000000"/>
                <w:sz w:val="18"/>
                <w:szCs w:val="18"/>
                <w:lang w:eastAsia="es-MX"/>
              </w:rPr>
              <w:t>nteresado tomará como base la tenencia espectral y porcentaje de tenencia espectral de cada Interesado</w:t>
            </w:r>
            <w:r>
              <w:rPr>
                <w:rFonts w:ascii="ITC Avant Garde" w:eastAsia="Times New Roman" w:hAnsi="ITC Avant Garde" w:cs="Times New Roman"/>
                <w:color w:val="000000"/>
                <w:sz w:val="18"/>
                <w:szCs w:val="18"/>
                <w:lang w:eastAsia="es-MX"/>
              </w:rPr>
              <w:t>, conforme a las Bases que, en su caso, sean aprobadas por el Instituto en su momento.</w:t>
            </w:r>
          </w:p>
          <w:p w14:paraId="4DA30D60" w14:textId="68779973" w:rsidR="00244681" w:rsidRDefault="00244681" w:rsidP="002277B7">
            <w:pPr>
              <w:spacing w:after="0" w:line="276" w:lineRule="auto"/>
              <w:rPr>
                <w:rFonts w:ascii="ITC Avant Garde" w:eastAsia="Times New Roman" w:hAnsi="ITC Avant Garde" w:cs="Times New Roman"/>
                <w:color w:val="000000"/>
                <w:sz w:val="18"/>
                <w:szCs w:val="18"/>
                <w:lang w:eastAsia="es-MX"/>
              </w:rPr>
            </w:pPr>
          </w:p>
          <w:p w14:paraId="4F46CE22" w14:textId="77777777" w:rsidR="00244681" w:rsidRDefault="00244681" w:rsidP="002277B7">
            <w:pPr>
              <w:spacing w:after="0" w:line="276" w:lineRule="auto"/>
              <w:rPr>
                <w:rFonts w:ascii="ITC Avant Garde" w:eastAsia="Times New Roman" w:hAnsi="ITC Avant Garde" w:cs="Times New Roman"/>
                <w:color w:val="000000"/>
                <w:sz w:val="18"/>
                <w:szCs w:val="18"/>
                <w:lang w:eastAsia="es-MX"/>
              </w:rPr>
            </w:pPr>
          </w:p>
          <w:p w14:paraId="522B8C29" w14:textId="77777777" w:rsidR="00244681" w:rsidRPr="002277B7" w:rsidRDefault="00244681" w:rsidP="002277B7">
            <w:pPr>
              <w:rPr>
                <w:rFonts w:ascii="ITC Avant Garde" w:eastAsia="Times New Roman" w:hAnsi="ITC Avant Garde" w:cs="Times New Roman"/>
                <w:sz w:val="18"/>
                <w:szCs w:val="18"/>
                <w:lang w:eastAsia="es-MX"/>
              </w:rPr>
            </w:pPr>
          </w:p>
          <w:p w14:paraId="64414E15" w14:textId="77777777" w:rsidR="00244681" w:rsidRPr="002277B7" w:rsidRDefault="00244681" w:rsidP="002277B7">
            <w:pPr>
              <w:rPr>
                <w:rFonts w:ascii="ITC Avant Garde" w:eastAsia="Times New Roman" w:hAnsi="ITC Avant Garde" w:cs="Times New Roman"/>
                <w:sz w:val="18"/>
                <w:szCs w:val="18"/>
                <w:lang w:eastAsia="es-MX"/>
              </w:rPr>
            </w:pPr>
          </w:p>
          <w:p w14:paraId="5F096319" w14:textId="19F4B432" w:rsidR="00244681" w:rsidRDefault="00244681" w:rsidP="002277B7">
            <w:pPr>
              <w:rPr>
                <w:rFonts w:ascii="ITC Avant Garde" w:eastAsia="Times New Roman" w:hAnsi="ITC Avant Garde" w:cs="Times New Roman"/>
                <w:sz w:val="18"/>
                <w:szCs w:val="18"/>
                <w:lang w:eastAsia="es-MX"/>
              </w:rPr>
            </w:pPr>
          </w:p>
          <w:p w14:paraId="5BB1ABAB" w14:textId="55902337" w:rsidR="00244681" w:rsidRDefault="00244681" w:rsidP="002277B7">
            <w:pPr>
              <w:tabs>
                <w:tab w:val="left" w:pos="1119"/>
              </w:tabs>
              <w:rPr>
                <w:rFonts w:ascii="ITC Avant Garde" w:eastAsia="Times New Roman" w:hAnsi="ITC Avant Garde" w:cs="Times New Roman"/>
                <w:color w:val="000000"/>
                <w:sz w:val="18"/>
                <w:szCs w:val="18"/>
                <w:lang w:eastAsia="es-MX"/>
              </w:rPr>
            </w:pPr>
            <w:r>
              <w:rPr>
                <w:rFonts w:ascii="ITC Avant Garde" w:eastAsia="Times New Roman" w:hAnsi="ITC Avant Garde" w:cs="Times New Roman"/>
                <w:sz w:val="18"/>
                <w:szCs w:val="18"/>
                <w:lang w:eastAsia="es-MX"/>
              </w:rPr>
              <w:tab/>
            </w:r>
          </w:p>
        </w:tc>
      </w:tr>
      <w:tr w:rsidR="00244681" w:rsidRPr="00D700A1" w14:paraId="729BDC1B" w14:textId="77777777" w:rsidTr="00286AEB">
        <w:trPr>
          <w:trHeight w:val="290"/>
        </w:trPr>
        <w:tc>
          <w:tcPr>
            <w:tcW w:w="1935" w:type="dxa"/>
            <w:shd w:val="clear" w:color="auto" w:fill="auto"/>
            <w:vAlign w:val="center"/>
          </w:tcPr>
          <w:p w14:paraId="17278CF7" w14:textId="6EA09093" w:rsidR="00244681" w:rsidRPr="00523471" w:rsidRDefault="00244681" w:rsidP="00D407F2">
            <w:pPr>
              <w:spacing w:after="0" w:line="276" w:lineRule="auto"/>
              <w:rPr>
                <w:rFonts w:ascii="ITC Avant Garde" w:eastAsia="Times New Roman" w:hAnsi="ITC Avant Garde" w:cs="Times New Roman"/>
                <w:b/>
                <w:color w:val="000000"/>
                <w:sz w:val="18"/>
                <w:szCs w:val="18"/>
                <w:lang w:eastAsia="es-MX"/>
              </w:rPr>
            </w:pPr>
            <w:r w:rsidRPr="00644D3C">
              <w:rPr>
                <w:rFonts w:ascii="ITC Avant Garde" w:eastAsia="Times New Roman" w:hAnsi="ITC Avant Garde" w:cs="Times New Roman"/>
                <w:b/>
                <w:color w:val="000000"/>
                <w:sz w:val="18"/>
                <w:szCs w:val="18"/>
                <w:lang w:eastAsia="es-MX"/>
              </w:rPr>
              <w:t xml:space="preserve">Rivada Networks, S. de R.L. de C.V.  </w:t>
            </w:r>
          </w:p>
        </w:tc>
        <w:tc>
          <w:tcPr>
            <w:tcW w:w="6685" w:type="dxa"/>
          </w:tcPr>
          <w:p w14:paraId="63578C9C" w14:textId="3E9567C2" w:rsidR="00244681" w:rsidRDefault="00244681" w:rsidP="00D407F2">
            <w:pPr>
              <w:spacing w:after="0" w:line="276" w:lineRule="auto"/>
              <w:jc w:val="both"/>
              <w:rPr>
                <w:rFonts w:ascii="ITC Avant Garde" w:eastAsia="Times New Roman" w:hAnsi="ITC Avant Garde" w:cs="Times New Roman"/>
                <w:i/>
                <w:color w:val="000000"/>
                <w:sz w:val="18"/>
                <w:szCs w:val="18"/>
                <w:lang w:eastAsia="es-MX"/>
              </w:rPr>
            </w:pPr>
            <w:r w:rsidRPr="00644D3C">
              <w:rPr>
                <w:rFonts w:ascii="ITC Avant Garde" w:eastAsia="Times New Roman" w:hAnsi="ITC Avant Garde" w:cs="Times New Roman"/>
                <w:i/>
                <w:color w:val="000000"/>
                <w:sz w:val="18"/>
                <w:szCs w:val="18"/>
                <w:lang w:eastAsia="es-MX"/>
              </w:rPr>
              <w:t xml:space="preserve">Rivada Networks considera que establecer un límite máximo de acumulación de espectro por fases es el mecanismo adecuado para maximizar las posibilidades de asignación de bloques entre los participantes de la presente licitación; sin embargo, al aplicar una ponderación por población en cada región con respecto a la población a nivel nacional para el cálculo de tenencia de espectro de los concesionarios actuales, se diluye significativamente el impacto de acumulación de espectro que se tiene en los principales núcleos urbanos del país donde precisamente las frecuencias altas como 2.5GHz presentan </w:t>
            </w:r>
            <w:r w:rsidRPr="00644D3C">
              <w:rPr>
                <w:rFonts w:ascii="ITC Avant Garde" w:eastAsia="Times New Roman" w:hAnsi="ITC Avant Garde" w:cs="Times New Roman"/>
                <w:i/>
                <w:color w:val="000000"/>
                <w:sz w:val="18"/>
                <w:szCs w:val="18"/>
                <w:lang w:eastAsia="es-MX"/>
              </w:rPr>
              <w:lastRenderedPageBreak/>
              <w:t>la máxima relación de costo-beneficio en los despliegues de red, dicho en otras palabras: el factor geográfico en la tenencia de espectro de la banda de 2.5GHz es fundamental para garantizar la rentabilidad del despliegue de redes de comunicaciones móviles de alta capacidad</w:t>
            </w:r>
            <w:r>
              <w:rPr>
                <w:rFonts w:ascii="ITC Avant Garde" w:eastAsia="Times New Roman" w:hAnsi="ITC Avant Garde" w:cs="Times New Roman"/>
                <w:i/>
                <w:color w:val="000000"/>
                <w:sz w:val="18"/>
                <w:szCs w:val="18"/>
                <w:lang w:eastAsia="es-MX"/>
              </w:rPr>
              <w:t>…</w:t>
            </w:r>
          </w:p>
        </w:tc>
        <w:tc>
          <w:tcPr>
            <w:tcW w:w="6685" w:type="dxa"/>
            <w:vMerge/>
          </w:tcPr>
          <w:p w14:paraId="30BA354F" w14:textId="77777777"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p>
        </w:tc>
      </w:tr>
      <w:tr w:rsidR="00244681" w:rsidRPr="00D700A1" w14:paraId="402EA0A4" w14:textId="77777777" w:rsidTr="00286AEB">
        <w:trPr>
          <w:trHeight w:val="290"/>
        </w:trPr>
        <w:tc>
          <w:tcPr>
            <w:tcW w:w="1935" w:type="dxa"/>
            <w:shd w:val="clear" w:color="auto" w:fill="auto"/>
            <w:vAlign w:val="center"/>
          </w:tcPr>
          <w:p w14:paraId="02C9FCDC" w14:textId="2E2091D3" w:rsidR="00244681" w:rsidRPr="00644D3C" w:rsidRDefault="00244681" w:rsidP="00D407F2">
            <w:pPr>
              <w:spacing w:after="0" w:line="276" w:lineRule="auto"/>
              <w:rPr>
                <w:rFonts w:ascii="ITC Avant Garde" w:eastAsia="Times New Roman" w:hAnsi="ITC Avant Garde" w:cs="Times New Roman"/>
                <w:b/>
                <w:color w:val="000000"/>
                <w:sz w:val="18"/>
                <w:szCs w:val="18"/>
                <w:lang w:eastAsia="es-MX"/>
              </w:rPr>
            </w:pPr>
            <w:r w:rsidRPr="00A22623">
              <w:rPr>
                <w:rFonts w:ascii="ITC Avant Garde" w:eastAsia="Times New Roman" w:hAnsi="ITC Avant Garde" w:cs="Times New Roman"/>
                <w:b/>
                <w:color w:val="000000"/>
                <w:sz w:val="18"/>
                <w:szCs w:val="18"/>
                <w:lang w:eastAsia="es-MX"/>
              </w:rPr>
              <w:t xml:space="preserve">Axtel, S.A.B. de C.V.  </w:t>
            </w:r>
          </w:p>
        </w:tc>
        <w:tc>
          <w:tcPr>
            <w:tcW w:w="6685" w:type="dxa"/>
          </w:tcPr>
          <w:p w14:paraId="19F64137" w14:textId="6CED8670" w:rsidR="00244681" w:rsidRPr="00644D3C" w:rsidRDefault="00244681" w:rsidP="00D407F2">
            <w:pPr>
              <w:spacing w:after="0" w:line="276" w:lineRule="auto"/>
              <w:jc w:val="both"/>
              <w:rPr>
                <w:rFonts w:ascii="ITC Avant Garde" w:eastAsia="Times New Roman" w:hAnsi="ITC Avant Garde" w:cs="Times New Roman"/>
                <w:i/>
                <w:color w:val="000000"/>
                <w:sz w:val="18"/>
                <w:szCs w:val="18"/>
                <w:lang w:eastAsia="es-MX"/>
              </w:rPr>
            </w:pPr>
            <w:r w:rsidRPr="00A22623">
              <w:rPr>
                <w:rFonts w:ascii="ITC Avant Garde" w:eastAsia="Times New Roman" w:hAnsi="ITC Avant Garde" w:cs="Times New Roman"/>
                <w:i/>
                <w:color w:val="000000"/>
                <w:sz w:val="18"/>
                <w:szCs w:val="18"/>
                <w:lang w:eastAsia="es-MX"/>
              </w:rPr>
              <w:t>Para fines de la determinación de los límites de acumulación de espectro, es de suma relevancia que el Instituto reconsidere el criterio de incluir a la banda de 700, que se utiliza exclusivamente</w:t>
            </w:r>
            <w:r w:rsidRPr="00A22623">
              <w:t xml:space="preserve"> </w:t>
            </w:r>
            <w:r w:rsidRPr="00A22623">
              <w:rPr>
                <w:rFonts w:ascii="ITC Avant Garde" w:eastAsia="Times New Roman" w:hAnsi="ITC Avant Garde" w:cs="Times New Roman"/>
                <w:i/>
                <w:color w:val="000000"/>
                <w:sz w:val="18"/>
                <w:szCs w:val="18"/>
                <w:lang w:eastAsia="es-MX"/>
              </w:rPr>
              <w:t>para servicios mayoristas, como parte del espectro disponible para fines de calcular la participación, respecto de dicho espectro, de cada operador que ofrece fundamentalmente servicios minoristas. En este caso, el incluir la banda de 700 genera una grave subestimación de la participación de mercado de los operadores que beneficia al operador que posee más espectro y perjudica al que menos tiene y a los demás operadores que dependerán de la red compartida mayorista.</w:t>
            </w:r>
          </w:p>
        </w:tc>
        <w:tc>
          <w:tcPr>
            <w:tcW w:w="6685" w:type="dxa"/>
            <w:vMerge/>
          </w:tcPr>
          <w:p w14:paraId="1730A4CA" w14:textId="77777777"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p>
        </w:tc>
      </w:tr>
      <w:tr w:rsidR="00244681" w:rsidRPr="00D700A1" w14:paraId="23E91D7C" w14:textId="77777777" w:rsidTr="00286AEB">
        <w:trPr>
          <w:trHeight w:val="290"/>
        </w:trPr>
        <w:tc>
          <w:tcPr>
            <w:tcW w:w="1935" w:type="dxa"/>
            <w:shd w:val="clear" w:color="auto" w:fill="auto"/>
            <w:vAlign w:val="center"/>
          </w:tcPr>
          <w:p w14:paraId="74F640F7" w14:textId="2B744BF2" w:rsidR="00244681" w:rsidRPr="00A22623" w:rsidRDefault="00244681" w:rsidP="00D407F2">
            <w:pPr>
              <w:spacing w:after="0" w:line="276" w:lineRule="auto"/>
              <w:rPr>
                <w:rFonts w:ascii="ITC Avant Garde" w:eastAsia="Times New Roman" w:hAnsi="ITC Avant Garde" w:cs="Times New Roman"/>
                <w:b/>
                <w:color w:val="000000"/>
                <w:sz w:val="18"/>
                <w:szCs w:val="18"/>
                <w:lang w:eastAsia="es-MX"/>
              </w:rPr>
            </w:pPr>
            <w:r w:rsidRPr="00A906EE">
              <w:rPr>
                <w:rFonts w:ascii="ITC Avant Garde" w:eastAsia="Times New Roman" w:hAnsi="ITC Avant Garde" w:cs="Times New Roman"/>
                <w:b/>
                <w:color w:val="000000"/>
                <w:sz w:val="18"/>
                <w:szCs w:val="18"/>
                <w:lang w:eastAsia="es-MX"/>
              </w:rPr>
              <w:t xml:space="preserve">Octavio Lecona Morales y Blanca Luévano García  </w:t>
            </w:r>
          </w:p>
        </w:tc>
        <w:tc>
          <w:tcPr>
            <w:tcW w:w="6685" w:type="dxa"/>
          </w:tcPr>
          <w:p w14:paraId="26274B81" w14:textId="4570EF65" w:rsidR="00244681" w:rsidRPr="00A22623" w:rsidRDefault="00244681" w:rsidP="00F46484">
            <w:pPr>
              <w:spacing w:after="0" w:line="276" w:lineRule="auto"/>
              <w:jc w:val="both"/>
              <w:rPr>
                <w:rFonts w:ascii="ITC Avant Garde" w:eastAsia="Times New Roman" w:hAnsi="ITC Avant Garde" w:cs="Times New Roman"/>
                <w:i/>
                <w:color w:val="000000"/>
                <w:sz w:val="18"/>
                <w:szCs w:val="18"/>
                <w:lang w:eastAsia="es-MX"/>
              </w:rPr>
            </w:pPr>
            <w:r w:rsidRPr="00A906EE">
              <w:rPr>
                <w:rFonts w:ascii="ITC Avant Garde" w:eastAsia="Times New Roman" w:hAnsi="ITC Avant Garde" w:cs="Times New Roman"/>
                <w:i/>
                <w:color w:val="000000"/>
                <w:sz w:val="18"/>
                <w:szCs w:val="18"/>
                <w:lang w:eastAsia="es-MX"/>
              </w:rPr>
              <w:t>Notamos que en la Tabla 2 del Apéndice B en la que se describe la tenencia de espectro en México, en la banda de 2500 MHz (FDD) únicamente se incluyen 45.25 de los 60 MHz que Telcel adquirió a MVS. Con base en lo anterior, ¿qué fórmula se utilizó para determinar que ese espectro es el que se debía contabilizar considerando la ponderación por población en tenencias regionales como es el caso?</w:t>
            </w:r>
          </w:p>
        </w:tc>
        <w:tc>
          <w:tcPr>
            <w:tcW w:w="6685" w:type="dxa"/>
            <w:vMerge/>
          </w:tcPr>
          <w:p w14:paraId="4C884C6F" w14:textId="77777777"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p>
        </w:tc>
      </w:tr>
      <w:tr w:rsidR="00244681" w:rsidRPr="00D700A1" w14:paraId="186864D2" w14:textId="77777777" w:rsidTr="00286AEB">
        <w:trPr>
          <w:trHeight w:val="290"/>
        </w:trPr>
        <w:tc>
          <w:tcPr>
            <w:tcW w:w="1935" w:type="dxa"/>
            <w:shd w:val="clear" w:color="auto" w:fill="auto"/>
            <w:vAlign w:val="center"/>
          </w:tcPr>
          <w:p w14:paraId="706F5EDC" w14:textId="6149FE5C" w:rsidR="00244681" w:rsidRPr="00A906EE" w:rsidRDefault="00244681" w:rsidP="00D407F2">
            <w:pPr>
              <w:spacing w:after="0" w:line="276" w:lineRule="auto"/>
              <w:rPr>
                <w:rFonts w:ascii="ITC Avant Garde" w:eastAsia="Times New Roman" w:hAnsi="ITC Avant Garde" w:cs="Times New Roman"/>
                <w:b/>
                <w:color w:val="000000"/>
                <w:sz w:val="18"/>
                <w:szCs w:val="18"/>
                <w:lang w:eastAsia="es-MX"/>
              </w:rPr>
            </w:pPr>
            <w:r w:rsidRPr="00A906EE">
              <w:rPr>
                <w:rFonts w:ascii="ITC Avant Garde" w:eastAsia="Times New Roman" w:hAnsi="ITC Avant Garde" w:cs="Times New Roman"/>
                <w:b/>
                <w:color w:val="000000"/>
                <w:sz w:val="18"/>
                <w:szCs w:val="18"/>
                <w:lang w:eastAsia="es-MX"/>
              </w:rPr>
              <w:t xml:space="preserve">Radiomóvil Dipsa, S.A. de C.V.  </w:t>
            </w:r>
          </w:p>
        </w:tc>
        <w:tc>
          <w:tcPr>
            <w:tcW w:w="6685" w:type="dxa"/>
          </w:tcPr>
          <w:p w14:paraId="7B971D85" w14:textId="2BA3046A" w:rsidR="00244681" w:rsidRPr="00A906EE" w:rsidRDefault="00244681" w:rsidP="00D407F2">
            <w:pPr>
              <w:spacing w:after="0" w:line="276"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t>…</w:t>
            </w:r>
            <w:r w:rsidRPr="00A906EE">
              <w:rPr>
                <w:rFonts w:ascii="ITC Avant Garde" w:eastAsia="Times New Roman" w:hAnsi="ITC Avant Garde" w:cs="Times New Roman"/>
                <w:i/>
                <w:color w:val="000000"/>
                <w:sz w:val="18"/>
                <w:szCs w:val="18"/>
                <w:lang w:eastAsia="es-MX"/>
              </w:rPr>
              <w:t xml:space="preserve">Por lo anterior, el que mi representada pueda tener un límite de acumulación que en términos reales le permita adquirir espectro en la presente subasta, incrementa la posibilidad de que este recurso se posicione para el agente que más lo necesita en este momento y que puede usarlo de manera más eficiente para hacer frente al crecimiento del tráfico móvil de sus propios usuarios finales así como el de sus clientes </w:t>
            </w:r>
            <w:r w:rsidRPr="00A906EE">
              <w:rPr>
                <w:rFonts w:ascii="ITC Avant Garde" w:eastAsia="Times New Roman" w:hAnsi="ITC Avant Garde" w:cs="Times New Roman"/>
                <w:i/>
                <w:color w:val="000000"/>
                <w:sz w:val="18"/>
                <w:szCs w:val="18"/>
                <w:lang w:eastAsia="es-MX"/>
              </w:rPr>
              <w:lastRenderedPageBreak/>
              <w:t>mayoristas a través de los servicios de OMV y Usuario Visitante, generando así efectos socialmente virtuosos como mejoras inmediatas en la calidad de los servicios que reciben los usuarios de finales de Telcel, de los OMV’s y de los Concesionarios que utilizan sus servicios mayoristas</w:t>
            </w:r>
            <w:r>
              <w:rPr>
                <w:rFonts w:ascii="ITC Avant Garde" w:eastAsia="Times New Roman" w:hAnsi="ITC Avant Garde" w:cs="Times New Roman"/>
                <w:i/>
                <w:color w:val="000000"/>
                <w:sz w:val="18"/>
                <w:szCs w:val="18"/>
                <w:lang w:eastAsia="es-MX"/>
              </w:rPr>
              <w:t>…</w:t>
            </w:r>
          </w:p>
        </w:tc>
        <w:tc>
          <w:tcPr>
            <w:tcW w:w="6685" w:type="dxa"/>
            <w:vMerge/>
          </w:tcPr>
          <w:p w14:paraId="6F548467" w14:textId="77777777"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p>
        </w:tc>
      </w:tr>
      <w:tr w:rsidR="00244681" w:rsidRPr="00D700A1" w14:paraId="0F58CE2E" w14:textId="77777777" w:rsidTr="00286AEB">
        <w:trPr>
          <w:trHeight w:val="290"/>
        </w:trPr>
        <w:tc>
          <w:tcPr>
            <w:tcW w:w="1935" w:type="dxa"/>
            <w:shd w:val="clear" w:color="auto" w:fill="auto"/>
            <w:vAlign w:val="center"/>
          </w:tcPr>
          <w:p w14:paraId="5D85A849" w14:textId="092B6936" w:rsidR="00244681" w:rsidRPr="00A906EE" w:rsidRDefault="00244681" w:rsidP="00D407F2">
            <w:pPr>
              <w:spacing w:after="0" w:line="276" w:lineRule="auto"/>
              <w:rPr>
                <w:rFonts w:ascii="ITC Avant Garde" w:eastAsia="Times New Roman" w:hAnsi="ITC Avant Garde" w:cs="Times New Roman"/>
                <w:b/>
                <w:color w:val="000000"/>
                <w:sz w:val="18"/>
                <w:szCs w:val="18"/>
                <w:lang w:eastAsia="es-MX"/>
              </w:rPr>
            </w:pPr>
            <w:r w:rsidRPr="00661F69">
              <w:rPr>
                <w:rFonts w:ascii="ITC Avant Garde" w:eastAsia="Times New Roman" w:hAnsi="ITC Avant Garde" w:cs="Times New Roman"/>
                <w:b/>
                <w:color w:val="000000"/>
                <w:sz w:val="18"/>
                <w:szCs w:val="18"/>
                <w:lang w:eastAsia="es-MX"/>
              </w:rPr>
              <w:t>Total Play Telecomunicaciones, S.A. de C.V.</w:t>
            </w:r>
          </w:p>
        </w:tc>
        <w:tc>
          <w:tcPr>
            <w:tcW w:w="6685" w:type="dxa"/>
          </w:tcPr>
          <w:p w14:paraId="6B95E4DD" w14:textId="70F73B07" w:rsidR="00244681" w:rsidRDefault="00244681" w:rsidP="00D407F2">
            <w:pPr>
              <w:spacing w:after="0" w:line="276" w:lineRule="auto"/>
              <w:jc w:val="both"/>
              <w:rPr>
                <w:rFonts w:ascii="ITC Avant Garde" w:eastAsia="Times New Roman" w:hAnsi="ITC Avant Garde" w:cs="Times New Roman"/>
                <w:i/>
                <w:color w:val="000000"/>
                <w:sz w:val="18"/>
                <w:szCs w:val="18"/>
                <w:lang w:eastAsia="es-MX"/>
              </w:rPr>
            </w:pPr>
            <w:r w:rsidRPr="00661F69">
              <w:rPr>
                <w:rFonts w:ascii="ITC Avant Garde" w:eastAsia="Times New Roman" w:hAnsi="ITC Avant Garde" w:cs="Times New Roman"/>
                <w:i/>
                <w:color w:val="000000"/>
                <w:sz w:val="18"/>
                <w:szCs w:val="18"/>
                <w:lang w:eastAsia="es-MX"/>
              </w:rPr>
              <w:t>Se propone que es Instituto disminuya los límites máximos de espectro en las las diversas fases a fin de que el agente económico preponderante en el sector de telecomunicaciones únicamente pueda participar en la Fase III. La justificación a la presente propuesta se encuentra en el ANEXO ÚNICO que se adjunta al presente formulario.</w:t>
            </w:r>
          </w:p>
        </w:tc>
        <w:tc>
          <w:tcPr>
            <w:tcW w:w="6685" w:type="dxa"/>
            <w:vMerge/>
          </w:tcPr>
          <w:p w14:paraId="7079E526" w14:textId="77777777"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p>
        </w:tc>
      </w:tr>
      <w:tr w:rsidR="00244681" w:rsidRPr="00D700A1" w14:paraId="71F93AF9" w14:textId="77777777" w:rsidTr="00286AEB">
        <w:trPr>
          <w:trHeight w:val="290"/>
        </w:trPr>
        <w:tc>
          <w:tcPr>
            <w:tcW w:w="1935" w:type="dxa"/>
            <w:shd w:val="clear" w:color="auto" w:fill="auto"/>
            <w:vAlign w:val="center"/>
          </w:tcPr>
          <w:p w14:paraId="43CD1CF8" w14:textId="6BB1790B" w:rsidR="00244681" w:rsidRPr="00661F69" w:rsidRDefault="00244681" w:rsidP="00D407F2">
            <w:pPr>
              <w:spacing w:after="0" w:line="276" w:lineRule="auto"/>
              <w:rPr>
                <w:rFonts w:ascii="ITC Avant Garde" w:eastAsia="Times New Roman" w:hAnsi="ITC Avant Garde" w:cs="Times New Roman"/>
                <w:b/>
                <w:color w:val="000000"/>
                <w:sz w:val="18"/>
                <w:szCs w:val="18"/>
                <w:lang w:eastAsia="es-MX"/>
              </w:rPr>
            </w:pPr>
            <w:r w:rsidRPr="002E1FE7">
              <w:rPr>
                <w:rFonts w:ascii="ITC Avant Garde" w:eastAsia="Times New Roman" w:hAnsi="ITC Avant Garde" w:cs="Times New Roman"/>
                <w:b/>
                <w:color w:val="000000"/>
                <w:sz w:val="18"/>
                <w:szCs w:val="18"/>
                <w:lang w:eastAsia="es-MX"/>
              </w:rPr>
              <w:t xml:space="preserve">Miguel Tentei Cortés Solórzano  </w:t>
            </w:r>
          </w:p>
        </w:tc>
        <w:tc>
          <w:tcPr>
            <w:tcW w:w="6685" w:type="dxa"/>
          </w:tcPr>
          <w:p w14:paraId="2EDD2B83" w14:textId="0CCC879B" w:rsidR="00244681" w:rsidRPr="00661F69" w:rsidRDefault="00244681" w:rsidP="00D407F2">
            <w:pPr>
              <w:spacing w:after="0" w:line="276" w:lineRule="auto"/>
              <w:jc w:val="both"/>
              <w:rPr>
                <w:rFonts w:ascii="ITC Avant Garde" w:eastAsia="Times New Roman" w:hAnsi="ITC Avant Garde" w:cs="Times New Roman"/>
                <w:i/>
                <w:color w:val="000000"/>
                <w:sz w:val="18"/>
                <w:szCs w:val="18"/>
                <w:lang w:eastAsia="es-MX"/>
              </w:rPr>
            </w:pPr>
            <w:r w:rsidRPr="002E1FE7">
              <w:rPr>
                <w:rFonts w:ascii="ITC Avant Garde" w:eastAsia="Times New Roman" w:hAnsi="ITC Avant Garde" w:cs="Times New Roman"/>
                <w:i/>
                <w:color w:val="000000"/>
                <w:sz w:val="18"/>
                <w:szCs w:val="18"/>
                <w:lang w:eastAsia="es-MX"/>
              </w:rPr>
              <w:t>El límite de espectro de 80 MHz por operador resulta poco adecuado dados los nuevos requisitos tecnológicos basados en multi-banda y canales de comunicación. 100 MHz sería un tope más adecuado para permitir 5 canales de 20 MHz. Sin embargo, se deben de considerar limitaciones a ciertos agentes como América Móvil, ya que con su recién adquisición de 60 MHz de espectro a MSV Comunicaciones en el 75% del país se le debería de restringir su participación.</w:t>
            </w:r>
          </w:p>
        </w:tc>
        <w:tc>
          <w:tcPr>
            <w:tcW w:w="6685" w:type="dxa"/>
            <w:vMerge/>
          </w:tcPr>
          <w:p w14:paraId="75DB1D20" w14:textId="77777777" w:rsidR="00244681" w:rsidRPr="00D700A1" w:rsidRDefault="00244681" w:rsidP="00D407F2">
            <w:pPr>
              <w:spacing w:after="0" w:line="276" w:lineRule="auto"/>
              <w:rPr>
                <w:rFonts w:ascii="ITC Avant Garde" w:eastAsia="Times New Roman" w:hAnsi="ITC Avant Garde" w:cs="Times New Roman"/>
                <w:color w:val="000000"/>
                <w:sz w:val="18"/>
                <w:szCs w:val="18"/>
                <w:lang w:eastAsia="es-MX"/>
              </w:rPr>
            </w:pPr>
          </w:p>
        </w:tc>
      </w:tr>
      <w:tr w:rsidR="00D700A1" w:rsidRPr="00D700A1" w14:paraId="06520E06" w14:textId="7C979FC0" w:rsidTr="00D407F2">
        <w:trPr>
          <w:trHeight w:val="678"/>
        </w:trPr>
        <w:tc>
          <w:tcPr>
            <w:tcW w:w="15305" w:type="dxa"/>
            <w:gridSpan w:val="3"/>
            <w:shd w:val="clear" w:color="auto" w:fill="C5E0B3" w:themeFill="accent6" w:themeFillTint="66"/>
            <w:vAlign w:val="center"/>
            <w:hideMark/>
          </w:tcPr>
          <w:p w14:paraId="4E0EAAE7" w14:textId="77777777" w:rsidR="00D700A1" w:rsidRPr="00D700A1" w:rsidRDefault="00D700A1" w:rsidP="00D407F2">
            <w:pPr>
              <w:pStyle w:val="Prrafodelista"/>
              <w:spacing w:after="0" w:line="276" w:lineRule="auto"/>
              <w:ind w:left="1080"/>
              <w:jc w:val="both"/>
              <w:rPr>
                <w:rFonts w:ascii="ITC Avant Garde" w:eastAsia="Times New Roman" w:hAnsi="ITC Avant Garde" w:cs="Times New Roman"/>
                <w:color w:val="000000"/>
                <w:sz w:val="18"/>
                <w:szCs w:val="18"/>
                <w:lang w:eastAsia="es-MX"/>
              </w:rPr>
            </w:pPr>
          </w:p>
          <w:p w14:paraId="23BF4DD7" w14:textId="77777777" w:rsidR="00D700A1" w:rsidRPr="00D700A1" w:rsidRDefault="00D700A1" w:rsidP="00D407F2">
            <w:pPr>
              <w:pStyle w:val="Prrafodelista"/>
              <w:numPr>
                <w:ilvl w:val="0"/>
                <w:numId w:val="16"/>
              </w:numPr>
              <w:spacing w:after="0" w:line="276" w:lineRule="auto"/>
              <w:ind w:left="492" w:right="355" w:hanging="283"/>
              <w:jc w:val="both"/>
              <w:rPr>
                <w:rFonts w:ascii="ITC Avant Garde" w:eastAsia="Times New Roman" w:hAnsi="ITC Avant Garde" w:cs="Times New Roman"/>
                <w:color w:val="000000"/>
                <w:sz w:val="18"/>
                <w:szCs w:val="18"/>
                <w:lang w:eastAsia="es-MX"/>
              </w:rPr>
            </w:pPr>
            <w:r w:rsidRPr="00D700A1">
              <w:rPr>
                <w:rFonts w:ascii="ITC Avant Garde" w:eastAsia="Times New Roman" w:hAnsi="ITC Avant Garde" w:cs="Times New Roman"/>
                <w:bCs/>
                <w:color w:val="000000"/>
                <w:sz w:val="18"/>
                <w:szCs w:val="18"/>
                <w:lang w:eastAsia="es-MX"/>
              </w:rPr>
              <w:t>El Instituto invita a cualquier persona o grupo interesado a comentar sobre su propuesta</w:t>
            </w:r>
            <w:r w:rsidRPr="00D700A1">
              <w:rPr>
                <w:rFonts w:ascii="ITC Avant Garde" w:hAnsi="ITC Avant Garde"/>
                <w:sz w:val="18"/>
                <w:szCs w:val="18"/>
              </w:rPr>
              <w:t xml:space="preserve"> </w:t>
            </w:r>
            <w:r w:rsidRPr="00D700A1">
              <w:rPr>
                <w:rFonts w:ascii="ITC Avant Garde" w:eastAsia="Times New Roman" w:hAnsi="ITC Avant Garde" w:cs="Times New Roman"/>
                <w:bCs/>
                <w:color w:val="000000"/>
                <w:sz w:val="18"/>
                <w:szCs w:val="18"/>
                <w:lang w:eastAsia="es-MX"/>
              </w:rPr>
              <w:t>de aplicar cargos anuales y precios de reserva iniciales.</w:t>
            </w:r>
          </w:p>
          <w:p w14:paraId="5FD87937" w14:textId="77777777" w:rsidR="00D700A1" w:rsidRPr="00D700A1" w:rsidRDefault="00D700A1" w:rsidP="00D407F2">
            <w:pPr>
              <w:pStyle w:val="Prrafodelista"/>
              <w:spacing w:after="0" w:line="276" w:lineRule="auto"/>
              <w:ind w:left="1080"/>
              <w:jc w:val="both"/>
              <w:rPr>
                <w:rFonts w:ascii="ITC Avant Garde" w:eastAsia="Times New Roman" w:hAnsi="ITC Avant Garde" w:cs="Times New Roman"/>
                <w:color w:val="000000"/>
                <w:sz w:val="18"/>
                <w:szCs w:val="18"/>
                <w:lang w:eastAsia="es-MX"/>
              </w:rPr>
            </w:pPr>
          </w:p>
        </w:tc>
      </w:tr>
      <w:tr w:rsidR="00D700A1" w:rsidRPr="00D700A1" w14:paraId="4EC40097" w14:textId="0EAF258D" w:rsidTr="00286AEB">
        <w:trPr>
          <w:trHeight w:val="290"/>
        </w:trPr>
        <w:tc>
          <w:tcPr>
            <w:tcW w:w="1935" w:type="dxa"/>
            <w:shd w:val="clear" w:color="auto" w:fill="auto"/>
            <w:vAlign w:val="center"/>
          </w:tcPr>
          <w:p w14:paraId="6EB91E15" w14:textId="09C7B60C"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Participante</w:t>
            </w:r>
          </w:p>
        </w:tc>
        <w:tc>
          <w:tcPr>
            <w:tcW w:w="6685" w:type="dxa"/>
          </w:tcPr>
          <w:p w14:paraId="32DB2D13" w14:textId="4D9F9166"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Comentario</w:t>
            </w:r>
          </w:p>
        </w:tc>
        <w:tc>
          <w:tcPr>
            <w:tcW w:w="6685" w:type="dxa"/>
          </w:tcPr>
          <w:p w14:paraId="70403B48" w14:textId="7D99C1E1"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Consideraciones</w:t>
            </w:r>
          </w:p>
        </w:tc>
      </w:tr>
      <w:tr w:rsidR="00D700A1" w:rsidRPr="00D700A1" w14:paraId="2FF4F112" w14:textId="77777777" w:rsidTr="00286AEB">
        <w:trPr>
          <w:trHeight w:val="290"/>
        </w:trPr>
        <w:tc>
          <w:tcPr>
            <w:tcW w:w="1935" w:type="dxa"/>
            <w:shd w:val="clear" w:color="auto" w:fill="auto"/>
            <w:vAlign w:val="center"/>
          </w:tcPr>
          <w:p w14:paraId="40B80EB3" w14:textId="6BAF1561" w:rsidR="00D700A1" w:rsidRDefault="007C049D" w:rsidP="00D407F2">
            <w:pPr>
              <w:spacing w:after="0" w:line="276" w:lineRule="auto"/>
              <w:rPr>
                <w:rFonts w:ascii="ITC Avant Garde" w:eastAsia="Times New Roman" w:hAnsi="ITC Avant Garde" w:cs="Times New Roman"/>
                <w:color w:val="000000"/>
                <w:sz w:val="18"/>
                <w:szCs w:val="18"/>
                <w:lang w:eastAsia="es-MX"/>
              </w:rPr>
            </w:pPr>
            <w:r w:rsidRPr="007C049D">
              <w:rPr>
                <w:rFonts w:ascii="ITC Avant Garde" w:eastAsia="Times New Roman" w:hAnsi="ITC Avant Garde" w:cs="Times New Roman"/>
                <w:b/>
                <w:color w:val="000000"/>
                <w:sz w:val="18"/>
                <w:szCs w:val="18"/>
                <w:lang w:eastAsia="es-MX"/>
              </w:rPr>
              <w:t>Pegaso PCS, S.A. de C.V.</w:t>
            </w:r>
          </w:p>
        </w:tc>
        <w:tc>
          <w:tcPr>
            <w:tcW w:w="6685" w:type="dxa"/>
          </w:tcPr>
          <w:p w14:paraId="29A2DE0E" w14:textId="77777777" w:rsidR="00D700A1" w:rsidRDefault="007C049D" w:rsidP="00D407F2">
            <w:pPr>
              <w:spacing w:after="0" w:line="276" w:lineRule="auto"/>
              <w:jc w:val="both"/>
              <w:rPr>
                <w:rFonts w:ascii="ITC Avant Garde" w:eastAsia="Times New Roman" w:hAnsi="ITC Avant Garde" w:cs="Times New Roman"/>
                <w:i/>
                <w:color w:val="000000"/>
                <w:sz w:val="18"/>
                <w:szCs w:val="18"/>
                <w:lang w:eastAsia="es-MX"/>
              </w:rPr>
            </w:pPr>
            <w:r w:rsidRPr="007C049D">
              <w:rPr>
                <w:rFonts w:ascii="ITC Avant Garde" w:eastAsia="Times New Roman" w:hAnsi="ITC Avant Garde" w:cs="Times New Roman"/>
                <w:i/>
                <w:color w:val="000000"/>
                <w:sz w:val="18"/>
                <w:szCs w:val="18"/>
                <w:lang w:eastAsia="es-MX"/>
              </w:rPr>
              <w:t>…Por todo lo anterior, recomendamos que la estructura de los derechos anuales para el espectro móvil en México cambie, en línea con las mejores prácticas de la OCDE. Los derechos anuales para el espectro de 2.5 GHz deberían ser equivalentes a los actualmente establecidos para la banda de 700 MHz…</w:t>
            </w:r>
          </w:p>
          <w:p w14:paraId="6DA0B814" w14:textId="77777777" w:rsidR="007C049D" w:rsidRDefault="007C049D" w:rsidP="00D407F2">
            <w:pPr>
              <w:spacing w:after="0" w:line="276"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lastRenderedPageBreak/>
              <w:t>…</w:t>
            </w:r>
            <w:r w:rsidRPr="007C049D">
              <w:t xml:space="preserve"> </w:t>
            </w:r>
            <w:r w:rsidRPr="007C049D">
              <w:rPr>
                <w:rFonts w:ascii="ITC Avant Garde" w:eastAsia="Times New Roman" w:hAnsi="ITC Avant Garde" w:cs="Times New Roman"/>
                <w:i/>
                <w:color w:val="000000"/>
                <w:sz w:val="18"/>
                <w:szCs w:val="18"/>
                <w:lang w:eastAsia="es-MX"/>
              </w:rPr>
              <w:t>Por lo anterior recomendamos reducir el Valor Mínimo de Referencia por lo menos a los niveles que se tenían en el 2011 de $10 millones de dólares americanos por cada bloque de 10+10 MHz. En consecuencia, las Garantías de Seriedad deberían ajustarse de manera proporcional</w:t>
            </w:r>
            <w:r>
              <w:rPr>
                <w:rFonts w:ascii="ITC Avant Garde" w:eastAsia="Times New Roman" w:hAnsi="ITC Avant Garde" w:cs="Times New Roman"/>
                <w:i/>
                <w:color w:val="000000"/>
                <w:sz w:val="18"/>
                <w:szCs w:val="18"/>
                <w:lang w:eastAsia="es-MX"/>
              </w:rPr>
              <w:t>…</w:t>
            </w:r>
          </w:p>
          <w:p w14:paraId="7018AE7C" w14:textId="0478B3C8" w:rsidR="00B6269B" w:rsidRPr="007C049D" w:rsidRDefault="00B6269B" w:rsidP="00D407F2">
            <w:pPr>
              <w:spacing w:after="0" w:line="276"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t>…</w:t>
            </w:r>
            <w:r w:rsidRPr="00B6269B">
              <w:t xml:space="preserve"> </w:t>
            </w:r>
            <w:r w:rsidRPr="00B6269B">
              <w:rPr>
                <w:rFonts w:ascii="ITC Avant Garde" w:eastAsia="Times New Roman" w:hAnsi="ITC Avant Garde" w:cs="Times New Roman"/>
                <w:i/>
                <w:color w:val="000000"/>
                <w:sz w:val="18"/>
                <w:szCs w:val="18"/>
                <w:lang w:eastAsia="es-MX"/>
              </w:rPr>
              <w:t>Por lo anterior se considera que la banda TDD debería tener tanto un pago de derechos como un VMR menor al de la canalización FDD. En consecuencia, las Garantías de Seriedad deberían ajustarse de manera proporcional</w:t>
            </w:r>
            <w:r>
              <w:rPr>
                <w:rFonts w:ascii="ITC Avant Garde" w:eastAsia="Times New Roman" w:hAnsi="ITC Avant Garde" w:cs="Times New Roman"/>
                <w:i/>
                <w:color w:val="000000"/>
                <w:sz w:val="18"/>
                <w:szCs w:val="18"/>
                <w:lang w:eastAsia="es-MX"/>
              </w:rPr>
              <w:t>…</w:t>
            </w:r>
          </w:p>
        </w:tc>
        <w:tc>
          <w:tcPr>
            <w:tcW w:w="6685" w:type="dxa"/>
            <w:vMerge w:val="restart"/>
          </w:tcPr>
          <w:p w14:paraId="7DEAB37E" w14:textId="0AE05F1B" w:rsidR="00D700A1" w:rsidRDefault="00806400" w:rsidP="00F46484">
            <w:pPr>
              <w:spacing w:line="276" w:lineRule="auto"/>
              <w:jc w:val="both"/>
              <w:rPr>
                <w:rFonts w:ascii="ITC Avant Garde" w:eastAsia="Times New Roman" w:hAnsi="ITC Avant Garde" w:cs="Times New Roman"/>
                <w:color w:val="000000"/>
                <w:sz w:val="18"/>
                <w:szCs w:val="18"/>
                <w:lang w:eastAsia="es-MX"/>
              </w:rPr>
            </w:pPr>
            <w:r>
              <w:rPr>
                <w:rFonts w:ascii="ITC Avant Garde" w:hAnsi="ITC Avant Garde"/>
                <w:sz w:val="18"/>
                <w:szCs w:val="18"/>
              </w:rPr>
              <w:lastRenderedPageBreak/>
              <w:t xml:space="preserve">Se informa que el monto </w:t>
            </w:r>
            <w:r w:rsidR="00286AEB">
              <w:rPr>
                <w:rFonts w:ascii="ITC Avant Garde" w:hAnsi="ITC Avant Garde"/>
                <w:sz w:val="18"/>
                <w:szCs w:val="18"/>
              </w:rPr>
              <w:t xml:space="preserve">de </w:t>
            </w:r>
            <w:r>
              <w:rPr>
                <w:rFonts w:ascii="ITC Avant Garde" w:hAnsi="ITC Avant Garde"/>
                <w:sz w:val="18"/>
                <w:szCs w:val="18"/>
              </w:rPr>
              <w:t xml:space="preserve">los valores mínimos de referencia </w:t>
            </w:r>
            <w:r w:rsidR="00F46484">
              <w:rPr>
                <w:rFonts w:ascii="ITC Avant Garde" w:hAnsi="ITC Avant Garde"/>
                <w:sz w:val="18"/>
                <w:szCs w:val="18"/>
              </w:rPr>
              <w:t>será dado a conocer cuando se emitan las Bases definitivas</w:t>
            </w:r>
            <w:r>
              <w:rPr>
                <w:rFonts w:ascii="ITC Avant Garde" w:hAnsi="ITC Avant Garde"/>
                <w:sz w:val="18"/>
                <w:szCs w:val="18"/>
              </w:rPr>
              <w:t>.  Asimismo, respecto a</w:t>
            </w:r>
            <w:r w:rsidR="00F46484">
              <w:rPr>
                <w:rFonts w:ascii="ITC Avant Garde" w:hAnsi="ITC Avant Garde"/>
                <w:sz w:val="18"/>
                <w:szCs w:val="18"/>
              </w:rPr>
              <w:t>l nivel de</w:t>
            </w:r>
            <w:r>
              <w:rPr>
                <w:rFonts w:ascii="ITC Avant Garde" w:hAnsi="ITC Avant Garde"/>
                <w:sz w:val="18"/>
                <w:szCs w:val="18"/>
              </w:rPr>
              <w:t xml:space="preserve"> las cuotas de derechos anuales</w:t>
            </w:r>
            <w:r w:rsidR="00F46484">
              <w:rPr>
                <w:rFonts w:ascii="ITC Avant Garde" w:hAnsi="ITC Avant Garde"/>
                <w:sz w:val="18"/>
                <w:szCs w:val="18"/>
              </w:rPr>
              <w:t>,</w:t>
            </w:r>
            <w:r>
              <w:rPr>
                <w:rFonts w:ascii="ITC Avant Garde" w:hAnsi="ITC Avant Garde"/>
                <w:sz w:val="18"/>
                <w:szCs w:val="18"/>
              </w:rPr>
              <w:t xml:space="preserve"> </w:t>
            </w:r>
            <w:r w:rsidR="00F46484">
              <w:rPr>
                <w:rFonts w:ascii="ITC Avant Garde" w:hAnsi="ITC Avant Garde"/>
                <w:sz w:val="18"/>
                <w:szCs w:val="18"/>
              </w:rPr>
              <w:t xml:space="preserve">se toma a consideración el comentario y las referencias señaladas. </w:t>
            </w:r>
          </w:p>
        </w:tc>
      </w:tr>
      <w:tr w:rsidR="002E1FE7" w:rsidRPr="00D700A1" w14:paraId="2C01F74C" w14:textId="77777777" w:rsidTr="00286AEB">
        <w:trPr>
          <w:trHeight w:val="290"/>
        </w:trPr>
        <w:tc>
          <w:tcPr>
            <w:tcW w:w="1935" w:type="dxa"/>
            <w:shd w:val="clear" w:color="auto" w:fill="auto"/>
            <w:vAlign w:val="center"/>
          </w:tcPr>
          <w:p w14:paraId="2ED55AD9" w14:textId="409768E9" w:rsidR="002E1FE7" w:rsidRPr="007C049D" w:rsidRDefault="002E1FE7" w:rsidP="00D407F2">
            <w:pPr>
              <w:spacing w:after="0" w:line="276" w:lineRule="auto"/>
              <w:rPr>
                <w:rFonts w:ascii="ITC Avant Garde" w:eastAsia="Times New Roman" w:hAnsi="ITC Avant Garde" w:cs="Times New Roman"/>
                <w:b/>
                <w:color w:val="000000"/>
                <w:sz w:val="18"/>
                <w:szCs w:val="18"/>
                <w:lang w:eastAsia="es-MX"/>
              </w:rPr>
            </w:pPr>
            <w:r w:rsidRPr="002E1FE7">
              <w:rPr>
                <w:rFonts w:ascii="ITC Avant Garde" w:eastAsia="Times New Roman" w:hAnsi="ITC Avant Garde" w:cs="Times New Roman"/>
                <w:b/>
                <w:color w:val="000000"/>
                <w:sz w:val="18"/>
                <w:szCs w:val="18"/>
                <w:lang w:eastAsia="es-MX"/>
              </w:rPr>
              <w:t xml:space="preserve">Miguel Tentei Cortés Solórzano  </w:t>
            </w:r>
          </w:p>
        </w:tc>
        <w:tc>
          <w:tcPr>
            <w:tcW w:w="6685" w:type="dxa"/>
          </w:tcPr>
          <w:p w14:paraId="4A0AF193" w14:textId="3810E0F9" w:rsidR="002E1FE7" w:rsidRPr="007C049D" w:rsidRDefault="002E1FE7" w:rsidP="00D407F2">
            <w:pPr>
              <w:spacing w:after="0" w:line="276" w:lineRule="auto"/>
              <w:jc w:val="both"/>
              <w:rPr>
                <w:rFonts w:ascii="ITC Avant Garde" w:eastAsia="Times New Roman" w:hAnsi="ITC Avant Garde" w:cs="Times New Roman"/>
                <w:i/>
                <w:color w:val="000000"/>
                <w:sz w:val="18"/>
                <w:szCs w:val="18"/>
                <w:lang w:eastAsia="es-MX"/>
              </w:rPr>
            </w:pPr>
            <w:r w:rsidRPr="002E1FE7">
              <w:rPr>
                <w:rFonts w:ascii="ITC Avant Garde" w:eastAsia="Times New Roman" w:hAnsi="ITC Avant Garde" w:cs="Times New Roman"/>
                <w:i/>
                <w:color w:val="000000"/>
                <w:sz w:val="18"/>
                <w:szCs w:val="18"/>
                <w:lang w:eastAsia="es-MX"/>
              </w:rPr>
              <w:t>Los precios de reserva iniciales resultan inadecuados ya que esta licitación debe de fomentar la participación y su aplicación disuadiría dicho propósito. Respecto a los cargos anuales, un sistema eficiente sería queden sujetos al cumplimiento de objetivos</w:t>
            </w:r>
            <w:r>
              <w:rPr>
                <w:rFonts w:ascii="ITC Avant Garde" w:eastAsia="Times New Roman" w:hAnsi="ITC Avant Garde" w:cs="Times New Roman"/>
                <w:i/>
                <w:color w:val="000000"/>
                <w:sz w:val="18"/>
                <w:szCs w:val="18"/>
                <w:lang w:eastAsia="es-MX"/>
              </w:rPr>
              <w:t xml:space="preserve"> </w:t>
            </w:r>
            <w:r w:rsidRPr="002E1FE7">
              <w:rPr>
                <w:rFonts w:ascii="ITC Avant Garde" w:eastAsia="Times New Roman" w:hAnsi="ITC Avant Garde" w:cs="Times New Roman"/>
                <w:i/>
                <w:color w:val="000000"/>
                <w:sz w:val="18"/>
                <w:szCs w:val="18"/>
                <w:lang w:eastAsia="es-MX"/>
              </w:rPr>
              <w:t>de cobertura e incluso en caso de su superados dar incentivos. De esta forma se incentivaría una rápida explotación de los recursos y aprovechamiento tecnológico.</w:t>
            </w:r>
          </w:p>
        </w:tc>
        <w:tc>
          <w:tcPr>
            <w:tcW w:w="6685" w:type="dxa"/>
            <w:vMerge/>
          </w:tcPr>
          <w:p w14:paraId="20E27DD4" w14:textId="77777777" w:rsidR="002E1FE7" w:rsidRDefault="002E1FE7" w:rsidP="00D407F2">
            <w:pPr>
              <w:spacing w:after="0" w:line="276" w:lineRule="auto"/>
              <w:rPr>
                <w:rFonts w:ascii="ITC Avant Garde" w:eastAsia="Times New Roman" w:hAnsi="ITC Avant Garde" w:cs="Times New Roman"/>
                <w:color w:val="000000"/>
                <w:sz w:val="18"/>
                <w:szCs w:val="18"/>
                <w:lang w:eastAsia="es-MX"/>
              </w:rPr>
            </w:pPr>
          </w:p>
        </w:tc>
      </w:tr>
      <w:tr w:rsidR="00D700A1" w:rsidRPr="00D700A1" w14:paraId="4D52C972" w14:textId="6B2F27AC" w:rsidTr="00D407F2">
        <w:trPr>
          <w:trHeight w:val="290"/>
        </w:trPr>
        <w:tc>
          <w:tcPr>
            <w:tcW w:w="15305" w:type="dxa"/>
            <w:gridSpan w:val="3"/>
            <w:shd w:val="clear" w:color="auto" w:fill="C5E0B3" w:themeFill="accent6" w:themeFillTint="66"/>
            <w:vAlign w:val="center"/>
          </w:tcPr>
          <w:p w14:paraId="72BE4858" w14:textId="77777777" w:rsidR="00D700A1" w:rsidRPr="00D700A1" w:rsidRDefault="00D700A1" w:rsidP="00D407F2">
            <w:pPr>
              <w:pStyle w:val="Prrafodelista"/>
              <w:spacing w:after="0" w:line="276" w:lineRule="auto"/>
              <w:ind w:left="1080"/>
              <w:jc w:val="both"/>
              <w:rPr>
                <w:rFonts w:ascii="ITC Avant Garde" w:eastAsia="Times New Roman" w:hAnsi="ITC Avant Garde" w:cs="Times New Roman"/>
                <w:color w:val="000000"/>
                <w:sz w:val="18"/>
                <w:szCs w:val="18"/>
                <w:lang w:eastAsia="es-MX"/>
              </w:rPr>
            </w:pPr>
          </w:p>
          <w:p w14:paraId="08EA4CDC" w14:textId="77777777" w:rsidR="00D700A1" w:rsidRPr="00D700A1" w:rsidRDefault="00D700A1" w:rsidP="00D407F2">
            <w:pPr>
              <w:pStyle w:val="Prrafodelista"/>
              <w:numPr>
                <w:ilvl w:val="0"/>
                <w:numId w:val="16"/>
              </w:numPr>
              <w:spacing w:after="0" w:line="276" w:lineRule="auto"/>
              <w:ind w:left="492" w:right="355" w:hanging="283"/>
              <w:jc w:val="both"/>
              <w:rPr>
                <w:rFonts w:ascii="ITC Avant Garde" w:eastAsia="Times New Roman" w:hAnsi="ITC Avant Garde" w:cs="Times New Roman"/>
                <w:color w:val="000000"/>
                <w:sz w:val="18"/>
                <w:szCs w:val="18"/>
                <w:lang w:eastAsia="es-MX"/>
              </w:rPr>
            </w:pPr>
            <w:r w:rsidRPr="00D700A1">
              <w:rPr>
                <w:rFonts w:ascii="ITC Avant Garde" w:eastAsia="Times New Roman" w:hAnsi="ITC Avant Garde" w:cs="Times New Roman"/>
                <w:bCs/>
                <w:color w:val="000000"/>
                <w:sz w:val="18"/>
                <w:szCs w:val="18"/>
                <w:lang w:eastAsia="es-MX"/>
              </w:rPr>
              <w:t>El Instituto invita a cualquier persona o grupo interesado a comentar respecto a cualquier aspecto del mecanismo y las reglas del Procedimiento de Presentación de Ofertas propuesto, con referencia a los objetivos que el propio Instituto propone para su asignación.</w:t>
            </w:r>
          </w:p>
          <w:p w14:paraId="0B11EEB1" w14:textId="77777777" w:rsidR="00D700A1" w:rsidRPr="00D700A1" w:rsidRDefault="00D700A1" w:rsidP="00D407F2">
            <w:pPr>
              <w:pStyle w:val="Prrafodelista"/>
              <w:spacing w:after="0" w:line="276" w:lineRule="auto"/>
              <w:ind w:left="1080"/>
              <w:jc w:val="both"/>
              <w:rPr>
                <w:rFonts w:ascii="ITC Avant Garde" w:eastAsia="Times New Roman" w:hAnsi="ITC Avant Garde" w:cs="Times New Roman"/>
                <w:color w:val="000000"/>
                <w:sz w:val="18"/>
                <w:szCs w:val="18"/>
                <w:lang w:eastAsia="es-MX"/>
              </w:rPr>
            </w:pPr>
          </w:p>
        </w:tc>
      </w:tr>
      <w:tr w:rsidR="00D700A1" w:rsidRPr="00D700A1" w14:paraId="4DFFF4A1" w14:textId="49FEC3DB" w:rsidTr="00286AEB">
        <w:trPr>
          <w:trHeight w:val="290"/>
        </w:trPr>
        <w:tc>
          <w:tcPr>
            <w:tcW w:w="1935" w:type="dxa"/>
            <w:shd w:val="clear" w:color="auto" w:fill="auto"/>
            <w:vAlign w:val="center"/>
          </w:tcPr>
          <w:p w14:paraId="57114E91" w14:textId="7E3B54C3"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Participante</w:t>
            </w:r>
          </w:p>
        </w:tc>
        <w:tc>
          <w:tcPr>
            <w:tcW w:w="6685" w:type="dxa"/>
          </w:tcPr>
          <w:p w14:paraId="3FA23F6B" w14:textId="452FB83F"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Comentario</w:t>
            </w:r>
          </w:p>
        </w:tc>
        <w:tc>
          <w:tcPr>
            <w:tcW w:w="6685" w:type="dxa"/>
          </w:tcPr>
          <w:p w14:paraId="4DAC944E" w14:textId="52BC2905" w:rsidR="00D700A1" w:rsidRPr="00D700A1" w:rsidRDefault="00D700A1" w:rsidP="00D407F2">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Consideraciones</w:t>
            </w:r>
          </w:p>
        </w:tc>
      </w:tr>
      <w:tr w:rsidR="00286AEB" w:rsidRPr="00D700A1" w14:paraId="55410EE2" w14:textId="77777777" w:rsidTr="00286AEB">
        <w:trPr>
          <w:trHeight w:val="290"/>
        </w:trPr>
        <w:tc>
          <w:tcPr>
            <w:tcW w:w="1935" w:type="dxa"/>
            <w:shd w:val="clear" w:color="auto" w:fill="auto"/>
            <w:vAlign w:val="center"/>
          </w:tcPr>
          <w:p w14:paraId="713F0838" w14:textId="35E29518" w:rsidR="00286AEB" w:rsidRDefault="00286AEB" w:rsidP="00286AEB">
            <w:pPr>
              <w:spacing w:after="0" w:line="276" w:lineRule="auto"/>
              <w:rPr>
                <w:rFonts w:ascii="ITC Avant Garde" w:eastAsia="Times New Roman" w:hAnsi="ITC Avant Garde" w:cs="Times New Roman"/>
                <w:color w:val="000000"/>
                <w:sz w:val="18"/>
                <w:szCs w:val="18"/>
                <w:lang w:eastAsia="es-MX"/>
              </w:rPr>
            </w:pPr>
            <w:r w:rsidRPr="00B00E32">
              <w:rPr>
                <w:rFonts w:ascii="ITC Avant Garde" w:eastAsia="Times New Roman" w:hAnsi="ITC Avant Garde" w:cs="Times New Roman"/>
                <w:b/>
                <w:color w:val="000000"/>
                <w:sz w:val="18"/>
                <w:szCs w:val="18"/>
                <w:lang w:eastAsia="es-MX"/>
              </w:rPr>
              <w:t>Pegaso PCS, S.A. de C.V.</w:t>
            </w:r>
          </w:p>
        </w:tc>
        <w:tc>
          <w:tcPr>
            <w:tcW w:w="6685" w:type="dxa"/>
          </w:tcPr>
          <w:p w14:paraId="1A2B4C66" w14:textId="78416E41" w:rsidR="00286AEB" w:rsidRPr="00B00E32" w:rsidRDefault="00286AEB" w:rsidP="00EA04A9">
            <w:pPr>
              <w:spacing w:after="0" w:line="276"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t>…</w:t>
            </w:r>
            <w:r w:rsidRPr="00B00E32">
              <w:rPr>
                <w:rFonts w:ascii="ITC Avant Garde" w:eastAsia="Times New Roman" w:hAnsi="ITC Avant Garde" w:cs="Times New Roman"/>
                <w:i/>
                <w:color w:val="000000"/>
                <w:sz w:val="18"/>
                <w:szCs w:val="18"/>
                <w:lang w:eastAsia="es-MX"/>
              </w:rPr>
              <w:t xml:space="preserve">En resumen, la opinión de Telefónica en este sentido es que si lo que se busca es primero darle espacio de adquisición a aquellos que no cuentan con espectro en dicha Banda o que tienen una mayor necesidad de espectro, lo que se debiera hacer es establecer que en caso de que existan posturas en la Fase I, aún y cuando la demanda sea menor al número total de Bloques, se respete y se determine el Precio de Adjudicación para el concesionario que solicitó ese Bloque en la Fase I. De tal forma que, para </w:t>
            </w:r>
            <w:r w:rsidRPr="00B00E32">
              <w:rPr>
                <w:rFonts w:ascii="ITC Avant Garde" w:eastAsia="Times New Roman" w:hAnsi="ITC Avant Garde" w:cs="Times New Roman"/>
                <w:i/>
                <w:color w:val="000000"/>
                <w:sz w:val="18"/>
                <w:szCs w:val="18"/>
                <w:lang w:eastAsia="es-MX"/>
              </w:rPr>
              <w:lastRenderedPageBreak/>
              <w:t>la Fase II y III, solamente se ofrezcan los Bloques que no tuvieron demanda en la Fase I o II, respectivamente…</w:t>
            </w:r>
          </w:p>
        </w:tc>
        <w:tc>
          <w:tcPr>
            <w:tcW w:w="6685" w:type="dxa"/>
            <w:vMerge w:val="restart"/>
          </w:tcPr>
          <w:p w14:paraId="51399E63" w14:textId="77777777" w:rsidR="00286AEB" w:rsidRDefault="00286AEB" w:rsidP="00EA04A9">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Se toma conocimiento de su propuesta, cuya conveniencia será evaluada</w:t>
            </w:r>
            <w:r w:rsidR="008E6BEC">
              <w:rPr>
                <w:rFonts w:ascii="ITC Avant Garde" w:eastAsia="Times New Roman" w:hAnsi="ITC Avant Garde" w:cs="Times New Roman"/>
                <w:color w:val="000000"/>
                <w:sz w:val="18"/>
                <w:szCs w:val="18"/>
                <w:lang w:eastAsia="es-MX"/>
              </w:rPr>
              <w:t xml:space="preserve"> en la elaboración del Proyecto de Bases.</w:t>
            </w:r>
          </w:p>
          <w:p w14:paraId="25724F08" w14:textId="77777777" w:rsidR="00CC1369" w:rsidRDefault="00CC1369" w:rsidP="00EA04A9">
            <w:pPr>
              <w:spacing w:after="0" w:line="276" w:lineRule="auto"/>
              <w:jc w:val="both"/>
              <w:rPr>
                <w:rFonts w:ascii="ITC Avant Garde" w:eastAsia="Times New Roman" w:hAnsi="ITC Avant Garde" w:cs="Times New Roman"/>
                <w:color w:val="000000"/>
                <w:sz w:val="18"/>
                <w:szCs w:val="18"/>
                <w:lang w:eastAsia="es-MX"/>
              </w:rPr>
            </w:pPr>
          </w:p>
          <w:p w14:paraId="0A1EA8DE" w14:textId="5CEA67B9" w:rsidR="00286AEB" w:rsidRDefault="00CC1369" w:rsidP="00EA04A9">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Respecto a la recomendación de utilizar la banda objeto de la licitación bajo un esquema de operador mayorista, se informa que  el Programa Nacional de Espectro Radioeléctrico 2017-2018 (DOF 26/09/2017) establece que l</w:t>
            </w:r>
            <w:r w:rsidRPr="00CC1369">
              <w:rPr>
                <w:rFonts w:ascii="ITC Avant Garde" w:eastAsia="Times New Roman" w:hAnsi="ITC Avant Garde" w:cs="Times New Roman"/>
                <w:color w:val="000000"/>
                <w:sz w:val="18"/>
                <w:szCs w:val="18"/>
                <w:lang w:eastAsia="es-MX"/>
              </w:rPr>
              <w:t xml:space="preserve">os concesionarios que operen las redes que se desplieguen en esta </w:t>
            </w:r>
            <w:r w:rsidRPr="00CC1369">
              <w:rPr>
                <w:rFonts w:ascii="ITC Avant Garde" w:eastAsia="Times New Roman" w:hAnsi="ITC Avant Garde" w:cs="Times New Roman"/>
                <w:color w:val="000000"/>
                <w:sz w:val="18"/>
                <w:szCs w:val="18"/>
                <w:lang w:eastAsia="es-MX"/>
              </w:rPr>
              <w:lastRenderedPageBreak/>
              <w:t>banda podrán celebrar convenios para la ubicación y el uso compartido de la infraestructura y observar las disposiciones de carácter general que se emitan en materia de uso compartido de infraestructura o las condiciones que se establezcan en sus títulos de concesión</w:t>
            </w:r>
            <w:r>
              <w:rPr>
                <w:rFonts w:ascii="ITC Avant Garde" w:eastAsia="Times New Roman" w:hAnsi="ITC Avant Garde" w:cs="Times New Roman"/>
                <w:color w:val="000000"/>
                <w:sz w:val="18"/>
                <w:szCs w:val="18"/>
                <w:lang w:eastAsia="es-MX"/>
              </w:rPr>
              <w:t>.</w:t>
            </w:r>
          </w:p>
        </w:tc>
      </w:tr>
      <w:tr w:rsidR="00286AEB" w:rsidRPr="00D700A1" w14:paraId="60EAAD69" w14:textId="77777777" w:rsidTr="00286AEB">
        <w:trPr>
          <w:trHeight w:val="290"/>
        </w:trPr>
        <w:tc>
          <w:tcPr>
            <w:tcW w:w="1935" w:type="dxa"/>
            <w:shd w:val="clear" w:color="auto" w:fill="auto"/>
            <w:vAlign w:val="center"/>
          </w:tcPr>
          <w:p w14:paraId="7321AD15" w14:textId="05B04553" w:rsidR="00286AEB" w:rsidRPr="00B00E32" w:rsidRDefault="00286AEB" w:rsidP="00286AEB">
            <w:pPr>
              <w:spacing w:after="0" w:line="276" w:lineRule="auto"/>
              <w:rPr>
                <w:rFonts w:ascii="ITC Avant Garde" w:eastAsia="Times New Roman" w:hAnsi="ITC Avant Garde" w:cs="Times New Roman"/>
                <w:b/>
                <w:color w:val="000000"/>
                <w:sz w:val="18"/>
                <w:szCs w:val="18"/>
                <w:lang w:eastAsia="es-MX"/>
              </w:rPr>
            </w:pPr>
            <w:r w:rsidRPr="00644D3C">
              <w:rPr>
                <w:rFonts w:ascii="ITC Avant Garde" w:eastAsia="Times New Roman" w:hAnsi="ITC Avant Garde" w:cs="Times New Roman"/>
                <w:b/>
                <w:color w:val="000000"/>
                <w:sz w:val="18"/>
                <w:szCs w:val="18"/>
                <w:lang w:eastAsia="es-MX"/>
              </w:rPr>
              <w:lastRenderedPageBreak/>
              <w:t xml:space="preserve">Rivada Networks, S. de R.L. de C.V.  </w:t>
            </w:r>
          </w:p>
        </w:tc>
        <w:tc>
          <w:tcPr>
            <w:tcW w:w="6685" w:type="dxa"/>
          </w:tcPr>
          <w:p w14:paraId="6DF9FBC2" w14:textId="1E749192" w:rsidR="00286AEB" w:rsidRDefault="00286AEB" w:rsidP="00286AEB">
            <w:pPr>
              <w:spacing w:after="0" w:line="276" w:lineRule="auto"/>
              <w:jc w:val="both"/>
              <w:rPr>
                <w:rFonts w:ascii="ITC Avant Garde" w:eastAsia="Times New Roman" w:hAnsi="ITC Avant Garde" w:cs="Times New Roman"/>
                <w:i/>
                <w:color w:val="000000"/>
                <w:sz w:val="18"/>
                <w:szCs w:val="18"/>
                <w:lang w:eastAsia="es-MX"/>
              </w:rPr>
            </w:pPr>
            <w:r w:rsidRPr="00644D3C">
              <w:rPr>
                <w:rFonts w:ascii="ITC Avant Garde" w:eastAsia="Times New Roman" w:hAnsi="ITC Avant Garde" w:cs="Times New Roman"/>
                <w:i/>
                <w:color w:val="000000"/>
                <w:sz w:val="18"/>
                <w:szCs w:val="18"/>
                <w:lang w:eastAsia="es-MX"/>
              </w:rPr>
              <w:t>Rivada Networks está convencido que la mejor forma de garantizar el máximo aprovechamiento del espectro disponible en la banda de 2.5GHz es bajo un esquema de operador mayorista que no tenga ningún tipo de influencia de los operadores minoristas existentes y que pueda acumular la mayor cantidad de espectro posible para que este recurso sea devuelto cien por ciento al mercado en forma de capacidad de banda ancha</w:t>
            </w:r>
            <w:r>
              <w:rPr>
                <w:rFonts w:ascii="ITC Avant Garde" w:eastAsia="Times New Roman" w:hAnsi="ITC Avant Garde" w:cs="Times New Roman"/>
                <w:i/>
                <w:color w:val="000000"/>
                <w:sz w:val="18"/>
                <w:szCs w:val="18"/>
                <w:lang w:eastAsia="es-MX"/>
              </w:rPr>
              <w:t>…</w:t>
            </w:r>
          </w:p>
        </w:tc>
        <w:tc>
          <w:tcPr>
            <w:tcW w:w="6685" w:type="dxa"/>
            <w:vMerge/>
          </w:tcPr>
          <w:p w14:paraId="2A3C2881" w14:textId="77777777" w:rsidR="00286AEB" w:rsidRDefault="00286AEB" w:rsidP="00286AEB">
            <w:pPr>
              <w:spacing w:after="0" w:line="276" w:lineRule="auto"/>
              <w:rPr>
                <w:rFonts w:ascii="ITC Avant Garde" w:eastAsia="Times New Roman" w:hAnsi="ITC Avant Garde" w:cs="Times New Roman"/>
                <w:color w:val="000000"/>
                <w:sz w:val="18"/>
                <w:szCs w:val="18"/>
                <w:lang w:eastAsia="es-MX"/>
              </w:rPr>
            </w:pPr>
          </w:p>
        </w:tc>
      </w:tr>
      <w:tr w:rsidR="00286AEB" w:rsidRPr="00D700A1" w14:paraId="0813F0A4" w14:textId="77777777" w:rsidTr="00286AEB">
        <w:trPr>
          <w:trHeight w:val="290"/>
        </w:trPr>
        <w:tc>
          <w:tcPr>
            <w:tcW w:w="1935" w:type="dxa"/>
            <w:shd w:val="clear" w:color="auto" w:fill="auto"/>
            <w:vAlign w:val="center"/>
          </w:tcPr>
          <w:p w14:paraId="131841C0" w14:textId="0BBC068E" w:rsidR="00286AEB" w:rsidRPr="00644D3C" w:rsidRDefault="00286AEB" w:rsidP="00286AEB">
            <w:pPr>
              <w:spacing w:after="0" w:line="276" w:lineRule="auto"/>
              <w:rPr>
                <w:rFonts w:ascii="ITC Avant Garde" w:eastAsia="Times New Roman" w:hAnsi="ITC Avant Garde" w:cs="Times New Roman"/>
                <w:b/>
                <w:color w:val="000000"/>
                <w:sz w:val="18"/>
                <w:szCs w:val="18"/>
                <w:lang w:eastAsia="es-MX"/>
              </w:rPr>
            </w:pPr>
            <w:r w:rsidRPr="002E1FE7">
              <w:rPr>
                <w:rFonts w:ascii="ITC Avant Garde" w:eastAsia="Times New Roman" w:hAnsi="ITC Avant Garde" w:cs="Times New Roman"/>
                <w:b/>
                <w:color w:val="000000"/>
                <w:sz w:val="18"/>
                <w:szCs w:val="18"/>
                <w:lang w:eastAsia="es-MX"/>
              </w:rPr>
              <w:t xml:space="preserve">Miguel Tentei Cortés Solórzano  </w:t>
            </w:r>
          </w:p>
        </w:tc>
        <w:tc>
          <w:tcPr>
            <w:tcW w:w="6685" w:type="dxa"/>
          </w:tcPr>
          <w:p w14:paraId="249F1FAB" w14:textId="62ACAC19" w:rsidR="00286AEB" w:rsidRPr="00644D3C" w:rsidRDefault="00286AEB" w:rsidP="00286AEB">
            <w:pPr>
              <w:spacing w:after="0" w:line="276" w:lineRule="auto"/>
              <w:jc w:val="both"/>
              <w:rPr>
                <w:rFonts w:ascii="ITC Avant Garde" w:eastAsia="Times New Roman" w:hAnsi="ITC Avant Garde" w:cs="Times New Roman"/>
                <w:i/>
                <w:color w:val="000000"/>
                <w:sz w:val="18"/>
                <w:szCs w:val="18"/>
                <w:lang w:eastAsia="es-MX"/>
              </w:rPr>
            </w:pPr>
            <w:r w:rsidRPr="002E1FE7">
              <w:rPr>
                <w:rFonts w:ascii="ITC Avant Garde" w:eastAsia="Times New Roman" w:hAnsi="ITC Avant Garde" w:cs="Times New Roman"/>
                <w:i/>
                <w:color w:val="000000"/>
                <w:sz w:val="18"/>
                <w:szCs w:val="18"/>
                <w:lang w:eastAsia="es-MX"/>
              </w:rPr>
              <w:t>Se deben de implementar reglas que propicien una justa participación de mercado y restrinjan los monopolios.</w:t>
            </w:r>
          </w:p>
        </w:tc>
        <w:tc>
          <w:tcPr>
            <w:tcW w:w="6685" w:type="dxa"/>
            <w:vMerge/>
          </w:tcPr>
          <w:p w14:paraId="078EB073" w14:textId="77777777" w:rsidR="00286AEB" w:rsidRDefault="00286AEB" w:rsidP="00286AEB">
            <w:pPr>
              <w:spacing w:after="0" w:line="276" w:lineRule="auto"/>
              <w:rPr>
                <w:rFonts w:ascii="ITC Avant Garde" w:eastAsia="Times New Roman" w:hAnsi="ITC Avant Garde" w:cs="Times New Roman"/>
                <w:color w:val="000000"/>
                <w:sz w:val="18"/>
                <w:szCs w:val="18"/>
                <w:lang w:eastAsia="es-MX"/>
              </w:rPr>
            </w:pPr>
          </w:p>
        </w:tc>
      </w:tr>
      <w:tr w:rsidR="00286AEB" w:rsidRPr="00D700A1" w14:paraId="36EF7347" w14:textId="70C255D1" w:rsidTr="00D407F2">
        <w:trPr>
          <w:trHeight w:val="290"/>
        </w:trPr>
        <w:tc>
          <w:tcPr>
            <w:tcW w:w="15305" w:type="dxa"/>
            <w:gridSpan w:val="3"/>
            <w:shd w:val="clear" w:color="auto" w:fill="C5E0B3" w:themeFill="accent6" w:themeFillTint="66"/>
            <w:vAlign w:val="center"/>
          </w:tcPr>
          <w:p w14:paraId="02AE58C7" w14:textId="77777777" w:rsidR="00286AEB" w:rsidRPr="00D700A1" w:rsidRDefault="00286AEB" w:rsidP="00286AEB">
            <w:pPr>
              <w:pStyle w:val="Prrafodelista"/>
              <w:spacing w:after="0" w:line="276" w:lineRule="auto"/>
              <w:ind w:left="1080"/>
              <w:jc w:val="both"/>
              <w:rPr>
                <w:rFonts w:ascii="ITC Avant Garde" w:eastAsia="Times New Roman" w:hAnsi="ITC Avant Garde" w:cs="Times New Roman"/>
                <w:color w:val="000000"/>
                <w:sz w:val="18"/>
                <w:szCs w:val="18"/>
                <w:lang w:eastAsia="es-MX"/>
              </w:rPr>
            </w:pPr>
          </w:p>
          <w:p w14:paraId="75908D0D" w14:textId="77777777" w:rsidR="00286AEB" w:rsidRPr="00D700A1" w:rsidRDefault="00286AEB" w:rsidP="00286AEB">
            <w:pPr>
              <w:pStyle w:val="Prrafodelista"/>
              <w:numPr>
                <w:ilvl w:val="0"/>
                <w:numId w:val="16"/>
              </w:numPr>
              <w:spacing w:after="0" w:line="276" w:lineRule="auto"/>
              <w:ind w:left="492" w:right="355" w:hanging="283"/>
              <w:jc w:val="both"/>
              <w:rPr>
                <w:rFonts w:ascii="ITC Avant Garde" w:eastAsia="Times New Roman" w:hAnsi="ITC Avant Garde" w:cs="Times New Roman"/>
                <w:color w:val="000000"/>
                <w:sz w:val="18"/>
                <w:szCs w:val="18"/>
                <w:lang w:eastAsia="es-MX"/>
              </w:rPr>
            </w:pPr>
            <w:r w:rsidRPr="00D700A1">
              <w:rPr>
                <w:rFonts w:ascii="ITC Avant Garde" w:eastAsia="Times New Roman" w:hAnsi="ITC Avant Garde" w:cs="Times New Roman"/>
                <w:bCs/>
                <w:color w:val="000000"/>
                <w:sz w:val="18"/>
                <w:szCs w:val="18"/>
                <w:lang w:eastAsia="es-MX"/>
              </w:rPr>
              <w:t>El Instituto invita a cualquier persona o grupo interesado a comentar sobre las propuestas de reglas del Procedimiento de Presentación de Ofertas para promover la contigüidad de frecuencia.</w:t>
            </w:r>
          </w:p>
          <w:p w14:paraId="6A6318D3" w14:textId="77777777" w:rsidR="00286AEB" w:rsidRPr="00D700A1" w:rsidRDefault="00286AEB" w:rsidP="00286AEB">
            <w:pPr>
              <w:pStyle w:val="Prrafodelista"/>
              <w:spacing w:after="0" w:line="276" w:lineRule="auto"/>
              <w:ind w:left="1080"/>
              <w:jc w:val="both"/>
              <w:rPr>
                <w:rFonts w:ascii="ITC Avant Garde" w:eastAsia="Times New Roman" w:hAnsi="ITC Avant Garde" w:cs="Times New Roman"/>
                <w:color w:val="000000"/>
                <w:sz w:val="18"/>
                <w:szCs w:val="18"/>
                <w:lang w:eastAsia="es-MX"/>
              </w:rPr>
            </w:pPr>
          </w:p>
        </w:tc>
      </w:tr>
      <w:tr w:rsidR="00286AEB" w:rsidRPr="00D700A1" w14:paraId="349156DB" w14:textId="76BC580D" w:rsidTr="00286AEB">
        <w:trPr>
          <w:trHeight w:val="290"/>
        </w:trPr>
        <w:tc>
          <w:tcPr>
            <w:tcW w:w="1935" w:type="dxa"/>
            <w:shd w:val="clear" w:color="auto" w:fill="auto"/>
            <w:vAlign w:val="center"/>
          </w:tcPr>
          <w:p w14:paraId="26E183FD" w14:textId="61CBDE0F" w:rsidR="00286AEB" w:rsidRPr="00D700A1" w:rsidRDefault="00286AEB" w:rsidP="00286AEB">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Participante</w:t>
            </w:r>
          </w:p>
        </w:tc>
        <w:tc>
          <w:tcPr>
            <w:tcW w:w="6685" w:type="dxa"/>
          </w:tcPr>
          <w:p w14:paraId="4E1CCEAE" w14:textId="6512C415" w:rsidR="00286AEB" w:rsidRPr="00D700A1" w:rsidRDefault="00286AEB" w:rsidP="00286AEB">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Comentario</w:t>
            </w:r>
          </w:p>
        </w:tc>
        <w:tc>
          <w:tcPr>
            <w:tcW w:w="6685" w:type="dxa"/>
          </w:tcPr>
          <w:p w14:paraId="328ADF2A" w14:textId="1BF94348" w:rsidR="00286AEB" w:rsidRPr="00D700A1" w:rsidRDefault="00286AEB" w:rsidP="00286AEB">
            <w:pPr>
              <w:spacing w:after="0" w:line="276"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Consideraciones</w:t>
            </w:r>
          </w:p>
        </w:tc>
      </w:tr>
      <w:tr w:rsidR="00286AEB" w:rsidRPr="00D700A1" w14:paraId="002D5196" w14:textId="77777777" w:rsidTr="00286AEB">
        <w:trPr>
          <w:trHeight w:val="290"/>
        </w:trPr>
        <w:tc>
          <w:tcPr>
            <w:tcW w:w="1935" w:type="dxa"/>
            <w:shd w:val="clear" w:color="auto" w:fill="auto"/>
            <w:vAlign w:val="center"/>
          </w:tcPr>
          <w:p w14:paraId="3506E551" w14:textId="61C4D773" w:rsidR="00286AEB" w:rsidRDefault="00286AEB" w:rsidP="00286AEB">
            <w:pPr>
              <w:spacing w:after="0" w:line="276" w:lineRule="auto"/>
              <w:rPr>
                <w:rFonts w:ascii="ITC Avant Garde" w:eastAsia="Times New Roman" w:hAnsi="ITC Avant Garde" w:cs="Times New Roman"/>
                <w:color w:val="000000"/>
                <w:sz w:val="18"/>
                <w:szCs w:val="18"/>
                <w:lang w:eastAsia="es-MX"/>
              </w:rPr>
            </w:pPr>
            <w:r w:rsidRPr="00410587">
              <w:rPr>
                <w:rFonts w:ascii="ITC Avant Garde" w:eastAsia="Times New Roman" w:hAnsi="ITC Avant Garde" w:cs="Times New Roman"/>
                <w:b/>
                <w:color w:val="000000"/>
                <w:sz w:val="18"/>
                <w:szCs w:val="18"/>
                <w:lang w:eastAsia="es-MX"/>
              </w:rPr>
              <w:t>Pegaso PCS, S.A. de C.V.</w:t>
            </w:r>
          </w:p>
        </w:tc>
        <w:tc>
          <w:tcPr>
            <w:tcW w:w="6685" w:type="dxa"/>
          </w:tcPr>
          <w:p w14:paraId="64983200" w14:textId="0AAE4F1F" w:rsidR="00286AEB" w:rsidRPr="00410587" w:rsidRDefault="00286AEB" w:rsidP="00286AEB">
            <w:pPr>
              <w:spacing w:after="0" w:line="276" w:lineRule="auto"/>
              <w:jc w:val="both"/>
              <w:rPr>
                <w:rFonts w:ascii="ITC Avant Garde" w:eastAsia="Times New Roman" w:hAnsi="ITC Avant Garde" w:cs="Times New Roman"/>
                <w:i/>
                <w:color w:val="000000"/>
                <w:sz w:val="18"/>
                <w:szCs w:val="18"/>
                <w:lang w:eastAsia="es-MX"/>
              </w:rPr>
            </w:pPr>
            <w:r w:rsidRPr="00410587">
              <w:rPr>
                <w:rFonts w:ascii="ITC Avant Garde" w:eastAsia="Times New Roman" w:hAnsi="ITC Avant Garde" w:cs="Times New Roman"/>
                <w:i/>
                <w:color w:val="000000"/>
                <w:sz w:val="18"/>
                <w:szCs w:val="18"/>
                <w:lang w:eastAsia="es-MX"/>
              </w:rPr>
              <w:t>…</w:t>
            </w:r>
            <w:r w:rsidRPr="00410587">
              <w:rPr>
                <w:i/>
              </w:rPr>
              <w:t xml:space="preserve"> </w:t>
            </w:r>
            <w:r w:rsidRPr="00410587">
              <w:rPr>
                <w:rFonts w:ascii="ITC Avant Garde" w:eastAsia="Times New Roman" w:hAnsi="ITC Avant Garde" w:cs="Times New Roman"/>
                <w:i/>
                <w:color w:val="000000"/>
                <w:sz w:val="18"/>
                <w:szCs w:val="18"/>
                <w:lang w:eastAsia="es-MX"/>
              </w:rPr>
              <w:t>No consideramos que la opción de sobre cerrado sea una buena opción en ninguna circunstancia.</w:t>
            </w:r>
          </w:p>
        </w:tc>
        <w:tc>
          <w:tcPr>
            <w:tcW w:w="6685" w:type="dxa"/>
            <w:vMerge w:val="restart"/>
          </w:tcPr>
          <w:p w14:paraId="3DC315EF" w14:textId="5D914D9A" w:rsidR="00286AEB" w:rsidRDefault="002F122B" w:rsidP="00286AEB">
            <w:pPr>
              <w:spacing w:after="0" w:line="276" w:lineRule="auto"/>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Se toma conocimiento de los comentarios  recibidos en esta sección, que junto al resto de los comentarios y propuestas de este proceso serán considerados en la elaboración del Proyecto de Bases definitivo.</w:t>
            </w:r>
          </w:p>
        </w:tc>
      </w:tr>
      <w:tr w:rsidR="00286AEB" w:rsidRPr="00D700A1" w14:paraId="7F1EE1F4" w14:textId="77777777" w:rsidTr="00286AEB">
        <w:trPr>
          <w:trHeight w:val="290"/>
        </w:trPr>
        <w:tc>
          <w:tcPr>
            <w:tcW w:w="1935" w:type="dxa"/>
            <w:shd w:val="clear" w:color="auto" w:fill="auto"/>
            <w:vAlign w:val="center"/>
          </w:tcPr>
          <w:p w14:paraId="6FC755C7" w14:textId="52B0245B" w:rsidR="00286AEB" w:rsidRPr="00410587" w:rsidRDefault="00286AEB" w:rsidP="00286AEB">
            <w:pPr>
              <w:spacing w:after="0" w:line="276" w:lineRule="auto"/>
              <w:rPr>
                <w:rFonts w:ascii="ITC Avant Garde" w:eastAsia="Times New Roman" w:hAnsi="ITC Avant Garde" w:cs="Times New Roman"/>
                <w:b/>
                <w:color w:val="000000"/>
                <w:sz w:val="18"/>
                <w:szCs w:val="18"/>
                <w:lang w:eastAsia="es-MX"/>
              </w:rPr>
            </w:pPr>
            <w:r w:rsidRPr="00C60CBD">
              <w:rPr>
                <w:rFonts w:ascii="ITC Avant Garde" w:eastAsia="Times New Roman" w:hAnsi="ITC Avant Garde" w:cs="Times New Roman"/>
                <w:b/>
                <w:color w:val="000000"/>
                <w:sz w:val="18"/>
                <w:szCs w:val="18"/>
                <w:lang w:eastAsia="es-MX"/>
              </w:rPr>
              <w:t xml:space="preserve">Qualcomm International Inc.  </w:t>
            </w:r>
          </w:p>
        </w:tc>
        <w:tc>
          <w:tcPr>
            <w:tcW w:w="6685" w:type="dxa"/>
          </w:tcPr>
          <w:p w14:paraId="4D32B119" w14:textId="7E040F81" w:rsidR="00286AEB" w:rsidRPr="00410587" w:rsidRDefault="00286AEB" w:rsidP="00286AEB">
            <w:pPr>
              <w:spacing w:after="0" w:line="276" w:lineRule="auto"/>
              <w:jc w:val="both"/>
              <w:rPr>
                <w:rFonts w:ascii="ITC Avant Garde" w:eastAsia="Times New Roman" w:hAnsi="ITC Avant Garde" w:cs="Times New Roman"/>
                <w:i/>
                <w:color w:val="000000"/>
                <w:sz w:val="18"/>
                <w:szCs w:val="18"/>
                <w:lang w:eastAsia="es-MX"/>
              </w:rPr>
            </w:pPr>
            <w:r w:rsidRPr="00C60CBD">
              <w:rPr>
                <w:rFonts w:ascii="ITC Avant Garde" w:eastAsia="Times New Roman" w:hAnsi="ITC Avant Garde" w:cs="Times New Roman"/>
                <w:i/>
                <w:color w:val="000000"/>
                <w:sz w:val="18"/>
                <w:szCs w:val="18"/>
                <w:lang w:eastAsia="es-MX"/>
              </w:rPr>
              <w:t xml:space="preserve">Qualcomm apoya la propuesta del IFT con relación al arreglo de la banda a ser asignada, es decir, cuatro bloques de 2x10 MHz en FDD y dos bloques de 20 MHz en TDD, siguiendo la disposición de frecuencias C1 de la Recomendación UIT-R M.1036-51. Este arreglo de frecuencias es adecuado para fortalecer la armonización internacional de la banda de 2500 MHz con el fin de prestar servicios móviles avanzados. Dicha armonización a nivel regional, y entre regiones, es clave para alcanzar economías de escala que impacten positivamente en el costo de equipos y reduzcan su complejidad, así como para facilitar las funcionalidades de roaming, entre otros </w:t>
            </w:r>
            <w:r w:rsidRPr="00C60CBD">
              <w:rPr>
                <w:rFonts w:ascii="ITC Avant Garde" w:eastAsia="Times New Roman" w:hAnsi="ITC Avant Garde" w:cs="Times New Roman"/>
                <w:i/>
                <w:color w:val="000000"/>
                <w:sz w:val="18"/>
                <w:szCs w:val="18"/>
                <w:lang w:eastAsia="es-MX"/>
              </w:rPr>
              <w:lastRenderedPageBreak/>
              <w:t>aspectos. Qualcomm también apoya la definición de los bloques de 2x10 MHz. Este ancho de banda permite alcanzar un uso más eficiente del espectro. Qualcomm adicionalmente considera acertada la decisión del IFT de garantizar la asignación contigua de bloques frecuencias a los participantes en la subasta de tal manera que la eficiencia espectral sea mayor, es decir, bloques de 2x20 MHz. Ello es consistente con la práctica internacional tanto en países de la región como Colombia, Chile y Brasil, y en países europeos como Alemania, Bélgica, Dinamarca, Francia, Holanda, Portugal y Suecia, entre otros.</w:t>
            </w:r>
          </w:p>
        </w:tc>
        <w:tc>
          <w:tcPr>
            <w:tcW w:w="6685" w:type="dxa"/>
            <w:vMerge/>
          </w:tcPr>
          <w:p w14:paraId="2CC0E506" w14:textId="77777777" w:rsidR="00286AEB" w:rsidRDefault="00286AEB" w:rsidP="00286AEB">
            <w:pPr>
              <w:spacing w:after="0" w:line="276" w:lineRule="auto"/>
              <w:rPr>
                <w:rFonts w:ascii="ITC Avant Garde" w:eastAsia="Times New Roman" w:hAnsi="ITC Avant Garde" w:cs="Times New Roman"/>
                <w:color w:val="000000"/>
                <w:sz w:val="18"/>
                <w:szCs w:val="18"/>
                <w:lang w:eastAsia="es-MX"/>
              </w:rPr>
            </w:pPr>
          </w:p>
        </w:tc>
      </w:tr>
      <w:tr w:rsidR="00286AEB" w:rsidRPr="00D700A1" w14:paraId="29147D8C" w14:textId="77777777" w:rsidTr="00286AEB">
        <w:trPr>
          <w:trHeight w:val="290"/>
        </w:trPr>
        <w:tc>
          <w:tcPr>
            <w:tcW w:w="1935" w:type="dxa"/>
            <w:shd w:val="clear" w:color="auto" w:fill="auto"/>
            <w:vAlign w:val="center"/>
          </w:tcPr>
          <w:p w14:paraId="23399E1E" w14:textId="17951DA4" w:rsidR="00286AEB" w:rsidRPr="00C60CBD" w:rsidRDefault="00286AEB" w:rsidP="00286AEB">
            <w:pPr>
              <w:spacing w:after="0" w:line="276" w:lineRule="auto"/>
              <w:rPr>
                <w:rFonts w:ascii="ITC Avant Garde" w:eastAsia="Times New Roman" w:hAnsi="ITC Avant Garde" w:cs="Times New Roman"/>
                <w:b/>
                <w:color w:val="000000"/>
                <w:sz w:val="18"/>
                <w:szCs w:val="18"/>
                <w:lang w:eastAsia="es-MX"/>
              </w:rPr>
            </w:pPr>
            <w:r w:rsidRPr="002E1FE7">
              <w:rPr>
                <w:rFonts w:ascii="ITC Avant Garde" w:eastAsia="Times New Roman" w:hAnsi="ITC Avant Garde" w:cs="Times New Roman"/>
                <w:b/>
                <w:color w:val="000000"/>
                <w:sz w:val="18"/>
                <w:szCs w:val="18"/>
                <w:lang w:eastAsia="es-MX"/>
              </w:rPr>
              <w:t xml:space="preserve">Miguel Tentei Cortés Solórzano  </w:t>
            </w:r>
          </w:p>
        </w:tc>
        <w:tc>
          <w:tcPr>
            <w:tcW w:w="6685" w:type="dxa"/>
          </w:tcPr>
          <w:p w14:paraId="7473B2E5" w14:textId="6F6FBD6B" w:rsidR="00286AEB" w:rsidRPr="00C60CBD" w:rsidRDefault="00286AEB" w:rsidP="00286AEB">
            <w:pPr>
              <w:spacing w:after="0" w:line="276" w:lineRule="auto"/>
              <w:jc w:val="both"/>
              <w:rPr>
                <w:rFonts w:ascii="ITC Avant Garde" w:eastAsia="Times New Roman" w:hAnsi="ITC Avant Garde" w:cs="Times New Roman"/>
                <w:i/>
                <w:color w:val="000000"/>
                <w:sz w:val="18"/>
                <w:szCs w:val="18"/>
                <w:lang w:eastAsia="es-MX"/>
              </w:rPr>
            </w:pPr>
            <w:r w:rsidRPr="002E1FE7">
              <w:rPr>
                <w:rFonts w:ascii="ITC Avant Garde" w:eastAsia="Times New Roman" w:hAnsi="ITC Avant Garde" w:cs="Times New Roman"/>
                <w:i/>
                <w:color w:val="000000"/>
                <w:sz w:val="18"/>
                <w:szCs w:val="18"/>
                <w:lang w:eastAsia="es-MX"/>
              </w:rPr>
              <w:t>Es necesario la aplicación de mecanismos de reordenamiento que eviten los huecos dentro del espacio radioeléctrico.</w:t>
            </w:r>
          </w:p>
        </w:tc>
        <w:tc>
          <w:tcPr>
            <w:tcW w:w="6685" w:type="dxa"/>
            <w:vMerge/>
          </w:tcPr>
          <w:p w14:paraId="15A2FEC5" w14:textId="77777777" w:rsidR="00286AEB" w:rsidRDefault="00286AEB" w:rsidP="00286AEB">
            <w:pPr>
              <w:spacing w:after="0" w:line="276" w:lineRule="auto"/>
              <w:rPr>
                <w:rFonts w:ascii="ITC Avant Garde" w:eastAsia="Times New Roman" w:hAnsi="ITC Avant Garde" w:cs="Times New Roman"/>
                <w:color w:val="000000"/>
                <w:sz w:val="18"/>
                <w:szCs w:val="18"/>
                <w:lang w:eastAsia="es-MX"/>
              </w:rPr>
            </w:pPr>
          </w:p>
        </w:tc>
      </w:tr>
    </w:tbl>
    <w:p w14:paraId="354F8278" w14:textId="77777777" w:rsidR="00D700A1" w:rsidRPr="00D700A1" w:rsidRDefault="00D700A1" w:rsidP="00D407F2">
      <w:pPr>
        <w:spacing w:line="276" w:lineRule="auto"/>
        <w:jc w:val="both"/>
        <w:rPr>
          <w:rFonts w:ascii="ITC Avant Garde" w:hAnsi="ITC Avant Garde" w:cs="Arial"/>
          <w:sz w:val="18"/>
          <w:szCs w:val="18"/>
        </w:rPr>
      </w:pPr>
    </w:p>
    <w:p w14:paraId="00A6082A" w14:textId="0B79C771" w:rsidR="00A30F48" w:rsidRDefault="00A30F48" w:rsidP="00D407F2">
      <w:pPr>
        <w:spacing w:line="276" w:lineRule="auto"/>
        <w:jc w:val="both"/>
        <w:rPr>
          <w:rFonts w:ascii="ITC Avant Garde" w:hAnsi="ITC Avant Garde" w:cs="Arial"/>
          <w:sz w:val="20"/>
          <w:szCs w:val="20"/>
        </w:rPr>
      </w:pPr>
    </w:p>
    <w:p w14:paraId="59E4F205" w14:textId="6AF361AD" w:rsidR="00323454" w:rsidRDefault="00323454" w:rsidP="00D407F2">
      <w:pPr>
        <w:spacing w:line="276" w:lineRule="auto"/>
        <w:jc w:val="both"/>
        <w:rPr>
          <w:rFonts w:ascii="ITC Avant Garde" w:hAnsi="ITC Avant Garde" w:cs="Arial"/>
          <w:sz w:val="20"/>
          <w:szCs w:val="20"/>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6420"/>
        <w:gridCol w:w="6054"/>
      </w:tblGrid>
      <w:tr w:rsidR="00323454" w:rsidRPr="00323454" w14:paraId="28A816D9" w14:textId="29538FB9" w:rsidTr="00323454">
        <w:trPr>
          <w:trHeight w:val="600"/>
          <w:jc w:val="center"/>
        </w:trPr>
        <w:tc>
          <w:tcPr>
            <w:tcW w:w="14879" w:type="dxa"/>
            <w:gridSpan w:val="3"/>
            <w:shd w:val="clear" w:color="auto" w:fill="D9D9D9" w:themeFill="background1" w:themeFillShade="D9"/>
            <w:hideMark/>
          </w:tcPr>
          <w:p w14:paraId="05BD7E68" w14:textId="7E7C372D" w:rsidR="00323454" w:rsidRPr="005B1694" w:rsidRDefault="00323454" w:rsidP="00D407F2">
            <w:pPr>
              <w:pStyle w:val="Prrafodelista"/>
              <w:numPr>
                <w:ilvl w:val="0"/>
                <w:numId w:val="19"/>
              </w:numPr>
              <w:spacing w:line="276" w:lineRule="auto"/>
              <w:ind w:left="0" w:hanging="16"/>
              <w:jc w:val="both"/>
              <w:rPr>
                <w:rFonts w:ascii="ITC Avant Garde" w:hAnsi="ITC Avant Garde" w:cs="Arial"/>
                <w:b/>
                <w:bCs/>
                <w:sz w:val="18"/>
                <w:szCs w:val="18"/>
              </w:rPr>
            </w:pPr>
            <w:r w:rsidRPr="005B1694">
              <w:rPr>
                <w:rFonts w:ascii="ITC Avant Garde" w:hAnsi="ITC Avant Garde" w:cs="Arial"/>
                <w:b/>
                <w:bCs/>
                <w:sz w:val="18"/>
                <w:szCs w:val="18"/>
              </w:rPr>
              <w:t>Comentarios, opiniones y aportaciones generales del participante sobre el asunto en opinión pública</w:t>
            </w:r>
          </w:p>
        </w:tc>
      </w:tr>
      <w:tr w:rsidR="00323454" w:rsidRPr="00323454" w14:paraId="227FBEAC" w14:textId="51A71939" w:rsidTr="00F46484">
        <w:trPr>
          <w:trHeight w:val="339"/>
          <w:jc w:val="center"/>
        </w:trPr>
        <w:tc>
          <w:tcPr>
            <w:tcW w:w="2405" w:type="dxa"/>
            <w:shd w:val="clear" w:color="000000" w:fill="FFFFFF"/>
            <w:noWrap/>
            <w:hideMark/>
          </w:tcPr>
          <w:p w14:paraId="53814D4F" w14:textId="14E5F705" w:rsidR="00323454" w:rsidRPr="005B1694" w:rsidRDefault="00323454" w:rsidP="00D407F2">
            <w:pPr>
              <w:spacing w:line="276" w:lineRule="auto"/>
              <w:ind w:hanging="16"/>
              <w:jc w:val="center"/>
              <w:rPr>
                <w:rFonts w:ascii="ITC Avant Garde" w:hAnsi="ITC Avant Garde" w:cs="Arial"/>
                <w:sz w:val="18"/>
                <w:szCs w:val="18"/>
              </w:rPr>
            </w:pPr>
            <w:r w:rsidRPr="005B1694">
              <w:rPr>
                <w:rFonts w:ascii="ITC Avant Garde" w:hAnsi="ITC Avant Garde"/>
                <w:sz w:val="18"/>
                <w:szCs w:val="18"/>
              </w:rPr>
              <w:t>Participante</w:t>
            </w:r>
          </w:p>
        </w:tc>
        <w:tc>
          <w:tcPr>
            <w:tcW w:w="6095" w:type="dxa"/>
            <w:shd w:val="clear" w:color="000000" w:fill="FFFFFF"/>
          </w:tcPr>
          <w:p w14:paraId="2E087B10" w14:textId="55423A48" w:rsidR="00323454" w:rsidRPr="005B1694" w:rsidRDefault="00323454" w:rsidP="00D407F2">
            <w:pPr>
              <w:spacing w:line="276" w:lineRule="auto"/>
              <w:ind w:hanging="16"/>
              <w:jc w:val="center"/>
              <w:rPr>
                <w:rFonts w:ascii="ITC Avant Garde" w:hAnsi="ITC Avant Garde" w:cs="Arial"/>
                <w:sz w:val="18"/>
                <w:szCs w:val="18"/>
              </w:rPr>
            </w:pPr>
            <w:r w:rsidRPr="005B1694">
              <w:rPr>
                <w:rFonts w:ascii="ITC Avant Garde" w:hAnsi="ITC Avant Garde"/>
                <w:sz w:val="18"/>
                <w:szCs w:val="18"/>
              </w:rPr>
              <w:t>Comentario</w:t>
            </w:r>
          </w:p>
        </w:tc>
        <w:tc>
          <w:tcPr>
            <w:tcW w:w="6379" w:type="dxa"/>
            <w:shd w:val="clear" w:color="000000" w:fill="FFFFFF"/>
          </w:tcPr>
          <w:p w14:paraId="127F7773" w14:textId="68C2B039" w:rsidR="00323454" w:rsidRPr="005B1694" w:rsidRDefault="00323454" w:rsidP="00D407F2">
            <w:pPr>
              <w:spacing w:line="276" w:lineRule="auto"/>
              <w:ind w:hanging="16"/>
              <w:jc w:val="center"/>
              <w:rPr>
                <w:rFonts w:ascii="ITC Avant Garde" w:hAnsi="ITC Avant Garde" w:cs="Arial"/>
                <w:sz w:val="18"/>
                <w:szCs w:val="18"/>
              </w:rPr>
            </w:pPr>
            <w:r w:rsidRPr="005B1694">
              <w:rPr>
                <w:rFonts w:ascii="ITC Avant Garde" w:hAnsi="ITC Avant Garde"/>
                <w:sz w:val="18"/>
                <w:szCs w:val="18"/>
              </w:rPr>
              <w:t>Consideraciones</w:t>
            </w:r>
          </w:p>
        </w:tc>
      </w:tr>
      <w:tr w:rsidR="00323454" w:rsidRPr="00323454" w14:paraId="698F4E35" w14:textId="77777777" w:rsidTr="00F46484">
        <w:trPr>
          <w:trHeight w:val="720"/>
          <w:jc w:val="center"/>
        </w:trPr>
        <w:tc>
          <w:tcPr>
            <w:tcW w:w="2405" w:type="dxa"/>
            <w:shd w:val="clear" w:color="000000" w:fill="FFFFFF"/>
            <w:noWrap/>
          </w:tcPr>
          <w:p w14:paraId="34B387A7" w14:textId="6F11619D" w:rsidR="00323454" w:rsidRPr="005B1694" w:rsidRDefault="004C19B6" w:rsidP="00D407F2">
            <w:pPr>
              <w:spacing w:line="276" w:lineRule="auto"/>
              <w:ind w:hanging="16"/>
              <w:jc w:val="both"/>
              <w:rPr>
                <w:rFonts w:ascii="ITC Avant Garde" w:hAnsi="ITC Avant Garde" w:cs="Arial"/>
                <w:sz w:val="18"/>
                <w:szCs w:val="18"/>
              </w:rPr>
            </w:pPr>
            <w:r w:rsidRPr="005B1694">
              <w:rPr>
                <w:rFonts w:ascii="ITC Avant Garde" w:hAnsi="ITC Avant Garde" w:cs="Arial"/>
                <w:b/>
                <w:sz w:val="18"/>
                <w:szCs w:val="18"/>
              </w:rPr>
              <w:t>Pegaso PCS, S.A. de C.V.</w:t>
            </w:r>
          </w:p>
        </w:tc>
        <w:tc>
          <w:tcPr>
            <w:tcW w:w="6095" w:type="dxa"/>
            <w:shd w:val="clear" w:color="000000" w:fill="FFFFFF"/>
          </w:tcPr>
          <w:p w14:paraId="0E1CF94E" w14:textId="77777777" w:rsidR="00323454" w:rsidRDefault="005B1694" w:rsidP="00F46484">
            <w:pPr>
              <w:spacing w:line="276" w:lineRule="auto"/>
              <w:ind w:right="674" w:hanging="16"/>
              <w:jc w:val="both"/>
              <w:rPr>
                <w:rFonts w:ascii="ITC Avant Garde" w:hAnsi="ITC Avant Garde" w:cs="Arial"/>
                <w:i/>
                <w:sz w:val="18"/>
                <w:szCs w:val="18"/>
              </w:rPr>
            </w:pPr>
            <w:r w:rsidRPr="005B1694">
              <w:rPr>
                <w:rFonts w:ascii="ITC Avant Garde" w:hAnsi="ITC Avant Garde" w:cs="Arial"/>
                <w:i/>
                <w:sz w:val="18"/>
                <w:szCs w:val="18"/>
              </w:rPr>
              <w:t>…</w:t>
            </w:r>
            <w:r w:rsidRPr="005B1694">
              <w:rPr>
                <w:i/>
              </w:rPr>
              <w:t xml:space="preserve"> </w:t>
            </w:r>
            <w:r w:rsidRPr="005B1694">
              <w:rPr>
                <w:rFonts w:ascii="ITC Avant Garde" w:hAnsi="ITC Avant Garde" w:cs="Arial"/>
                <w:i/>
                <w:sz w:val="18"/>
                <w:szCs w:val="18"/>
              </w:rPr>
              <w:t xml:space="preserve">Telefónica México propone que los derechos de dicha banda se ajusten a la población ubicada solamente en las ciudades de alta densidad poblacional donde la banda tenga un uso real o que en su defecto la cobertura de la concesión se ajuste, a solicitud del ganador, solamente para las zonas metropolitanas </w:t>
            </w:r>
            <w:r w:rsidRPr="005B1694">
              <w:rPr>
                <w:rFonts w:ascii="ITC Avant Garde" w:hAnsi="ITC Avant Garde" w:cs="Arial"/>
                <w:i/>
                <w:sz w:val="18"/>
                <w:szCs w:val="18"/>
              </w:rPr>
              <w:lastRenderedPageBreak/>
              <w:t>que representan ciudades de alta densidad dentro del territorio nacional que sean de su interés…</w:t>
            </w:r>
          </w:p>
          <w:p w14:paraId="6667E895" w14:textId="4DB072F6" w:rsidR="000C6C8A" w:rsidRPr="005B1694" w:rsidRDefault="000C6C8A" w:rsidP="00D407F2">
            <w:pPr>
              <w:spacing w:line="276" w:lineRule="auto"/>
              <w:ind w:hanging="16"/>
              <w:jc w:val="both"/>
              <w:rPr>
                <w:rFonts w:ascii="ITC Avant Garde" w:hAnsi="ITC Avant Garde" w:cs="Arial"/>
                <w:i/>
                <w:sz w:val="18"/>
                <w:szCs w:val="18"/>
              </w:rPr>
            </w:pPr>
            <w:r>
              <w:rPr>
                <w:rFonts w:ascii="ITC Avant Garde" w:hAnsi="ITC Avant Garde" w:cs="Arial"/>
                <w:i/>
                <w:sz w:val="18"/>
                <w:szCs w:val="18"/>
              </w:rPr>
              <w:t>…</w:t>
            </w:r>
            <w:r w:rsidRPr="000C6C8A">
              <w:t xml:space="preserve"> </w:t>
            </w:r>
            <w:r w:rsidRPr="000C6C8A">
              <w:rPr>
                <w:rFonts w:ascii="ITC Avant Garde" w:hAnsi="ITC Avant Garde" w:cs="Arial"/>
                <w:i/>
                <w:sz w:val="18"/>
                <w:szCs w:val="18"/>
              </w:rPr>
              <w:t>se propone que la vigencia de la concesión pueda ser de menor tiempo, digamos 10 años a solicitud del ganador. Ello le permitiría al ganador que de haber un cambio de derechos en el futuro, él pudiera solicitar ese mismo precio, aunque fuera en la prórroga de la concesión</w:t>
            </w:r>
            <w:r>
              <w:rPr>
                <w:rFonts w:ascii="ITC Avant Garde" w:hAnsi="ITC Avant Garde" w:cs="Arial"/>
                <w:i/>
                <w:sz w:val="18"/>
                <w:szCs w:val="18"/>
              </w:rPr>
              <w:t>…</w:t>
            </w:r>
          </w:p>
        </w:tc>
        <w:tc>
          <w:tcPr>
            <w:tcW w:w="6379" w:type="dxa"/>
            <w:vMerge w:val="restart"/>
            <w:shd w:val="clear" w:color="000000" w:fill="FFFFFF"/>
          </w:tcPr>
          <w:p w14:paraId="3A97F33C" w14:textId="0A3DF8E9" w:rsidR="00F46484" w:rsidRDefault="00F46484" w:rsidP="00D407F2">
            <w:pPr>
              <w:spacing w:line="276" w:lineRule="auto"/>
              <w:ind w:hanging="16"/>
              <w:jc w:val="both"/>
              <w:rPr>
                <w:rFonts w:ascii="ITC Avant Garde" w:hAnsi="ITC Avant Garde"/>
                <w:sz w:val="18"/>
                <w:szCs w:val="18"/>
              </w:rPr>
            </w:pPr>
            <w:r>
              <w:rPr>
                <w:rFonts w:ascii="ITC Avant Garde" w:hAnsi="ITC Avant Garde"/>
                <w:sz w:val="18"/>
                <w:szCs w:val="18"/>
              </w:rPr>
              <w:lastRenderedPageBreak/>
              <w:t xml:space="preserve">Respecto al nivel de las cuotas de derechos anuales, se toma a consideración el comentario y las referencias señaladas. </w:t>
            </w:r>
          </w:p>
          <w:p w14:paraId="14D37327" w14:textId="2249FF79" w:rsidR="00241D49" w:rsidRDefault="00241D49" w:rsidP="00D407F2">
            <w:pPr>
              <w:spacing w:line="276" w:lineRule="auto"/>
              <w:ind w:hanging="16"/>
              <w:jc w:val="both"/>
              <w:rPr>
                <w:rFonts w:ascii="ITC Avant Garde" w:hAnsi="ITC Avant Garde"/>
                <w:sz w:val="18"/>
                <w:szCs w:val="18"/>
              </w:rPr>
            </w:pPr>
            <w:r>
              <w:rPr>
                <w:rFonts w:ascii="ITC Avant Garde" w:hAnsi="ITC Avant Garde"/>
                <w:sz w:val="18"/>
                <w:szCs w:val="18"/>
              </w:rPr>
              <w:t>Respecto a la vigencia de la</w:t>
            </w:r>
            <w:r w:rsidR="00945843">
              <w:rPr>
                <w:rFonts w:ascii="ITC Avant Garde" w:hAnsi="ITC Avant Garde"/>
                <w:sz w:val="18"/>
                <w:szCs w:val="18"/>
              </w:rPr>
              <w:t>s</w:t>
            </w:r>
            <w:r>
              <w:rPr>
                <w:rFonts w:ascii="ITC Avant Garde" w:hAnsi="ITC Avant Garde"/>
                <w:sz w:val="18"/>
                <w:szCs w:val="18"/>
              </w:rPr>
              <w:t xml:space="preserve"> concesiones de espectro radioeléctrico el Anteproyecto considera el plazo máximo </w:t>
            </w:r>
            <w:r>
              <w:rPr>
                <w:rFonts w:ascii="ITC Avant Garde" w:hAnsi="ITC Avant Garde"/>
                <w:sz w:val="18"/>
                <w:szCs w:val="18"/>
              </w:rPr>
              <w:lastRenderedPageBreak/>
              <w:t>establecido en la Ley Federal de Telecomunicaciones y Radiodifusión, mismo que se c</w:t>
            </w:r>
            <w:bookmarkStart w:id="0" w:name="_GoBack"/>
            <w:bookmarkEnd w:id="0"/>
            <w:r>
              <w:rPr>
                <w:rFonts w:ascii="ITC Avant Garde" w:hAnsi="ITC Avant Garde"/>
                <w:sz w:val="18"/>
                <w:szCs w:val="18"/>
              </w:rPr>
              <w:t>onsidera da el mayor nivel de certeza.</w:t>
            </w:r>
          </w:p>
          <w:p w14:paraId="3B5290F1" w14:textId="44414E73" w:rsidR="00323454" w:rsidRPr="005B1694" w:rsidRDefault="00241D49" w:rsidP="00EA04A9">
            <w:pPr>
              <w:spacing w:line="276" w:lineRule="auto"/>
              <w:jc w:val="both"/>
              <w:rPr>
                <w:rFonts w:ascii="ITC Avant Garde" w:hAnsi="ITC Avant Garde" w:cs="Arial"/>
                <w:sz w:val="18"/>
                <w:szCs w:val="18"/>
              </w:rPr>
            </w:pPr>
            <w:r>
              <w:rPr>
                <w:rFonts w:ascii="ITC Avant Garde" w:hAnsi="ITC Avant Garde"/>
                <w:sz w:val="18"/>
                <w:szCs w:val="18"/>
              </w:rPr>
              <w:t>Respecto al comentario de la complementariedad de la banda de 700 MHz y de 2.5 GHz, el Anteproyecto ha considerado lo establecido en el Decreto</w:t>
            </w:r>
            <w:r w:rsidRPr="00241D49">
              <w:rPr>
                <w:rFonts w:ascii="ITC Avant Garde" w:hAnsi="ITC Avant Garde"/>
                <w:sz w:val="18"/>
                <w:szCs w:val="18"/>
              </w:rPr>
              <w:t xml:space="preserve"> por el que se aprueba el Programa Nacional de Espectro Radioeléctrico 2017-2018.</w:t>
            </w:r>
            <w:r>
              <w:rPr>
                <w:rFonts w:ascii="ITC Avant Garde" w:hAnsi="ITC Avant Garde"/>
                <w:sz w:val="18"/>
                <w:szCs w:val="18"/>
              </w:rPr>
              <w:t xml:space="preserve"> </w:t>
            </w:r>
            <w:r w:rsidRPr="00241D49">
              <w:rPr>
                <w:rFonts w:ascii="ITC Avant Garde" w:hAnsi="ITC Avant Garde"/>
                <w:sz w:val="18"/>
                <w:szCs w:val="18"/>
              </w:rPr>
              <w:t xml:space="preserve">Uso óptimo </w:t>
            </w:r>
            <w:r>
              <w:rPr>
                <w:rFonts w:ascii="ITC Avant Garde" w:hAnsi="ITC Avant Garde"/>
                <w:sz w:val="18"/>
                <w:szCs w:val="18"/>
              </w:rPr>
              <w:t>de las bandas 700 MHz y 2.5 GHz.</w:t>
            </w:r>
          </w:p>
        </w:tc>
      </w:tr>
      <w:tr w:rsidR="00644D3C" w:rsidRPr="00323454" w14:paraId="3BD2DE46" w14:textId="77777777" w:rsidTr="00F46484">
        <w:trPr>
          <w:trHeight w:val="720"/>
          <w:jc w:val="center"/>
        </w:trPr>
        <w:tc>
          <w:tcPr>
            <w:tcW w:w="2405" w:type="dxa"/>
            <w:shd w:val="clear" w:color="000000" w:fill="FFFFFF"/>
            <w:noWrap/>
          </w:tcPr>
          <w:p w14:paraId="1A543DC5" w14:textId="63825A7F" w:rsidR="00644D3C" w:rsidRPr="003A21CF" w:rsidRDefault="00644D3C" w:rsidP="00D407F2">
            <w:pPr>
              <w:spacing w:line="276" w:lineRule="auto"/>
              <w:ind w:hanging="16"/>
              <w:jc w:val="both"/>
              <w:rPr>
                <w:rFonts w:ascii="ITC Avant Garde" w:hAnsi="ITC Avant Garde" w:cs="Arial"/>
                <w:b/>
                <w:sz w:val="18"/>
                <w:szCs w:val="18"/>
              </w:rPr>
            </w:pPr>
            <w:r w:rsidRPr="003A21CF">
              <w:rPr>
                <w:rFonts w:ascii="ITC Avant Garde" w:hAnsi="ITC Avant Garde" w:cs="Arial"/>
                <w:b/>
                <w:sz w:val="18"/>
                <w:szCs w:val="18"/>
              </w:rPr>
              <w:lastRenderedPageBreak/>
              <w:t xml:space="preserve">Rivada Networks, S. de R.L. de C.V.  </w:t>
            </w:r>
          </w:p>
        </w:tc>
        <w:tc>
          <w:tcPr>
            <w:tcW w:w="6095" w:type="dxa"/>
            <w:shd w:val="clear" w:color="000000" w:fill="FFFFFF"/>
          </w:tcPr>
          <w:p w14:paraId="2CD27D9E" w14:textId="5629A67B" w:rsidR="00644D3C" w:rsidRPr="005B1694" w:rsidRDefault="00644D3C" w:rsidP="00D407F2">
            <w:pPr>
              <w:spacing w:line="276" w:lineRule="auto"/>
              <w:ind w:hanging="16"/>
              <w:jc w:val="both"/>
              <w:rPr>
                <w:rFonts w:ascii="ITC Avant Garde" w:hAnsi="ITC Avant Garde" w:cs="Arial"/>
                <w:i/>
                <w:sz w:val="18"/>
                <w:szCs w:val="18"/>
              </w:rPr>
            </w:pPr>
            <w:r>
              <w:rPr>
                <w:rFonts w:ascii="ITC Avant Garde" w:hAnsi="ITC Avant Garde" w:cs="Arial"/>
                <w:i/>
                <w:sz w:val="18"/>
                <w:szCs w:val="18"/>
              </w:rPr>
              <w:t>…</w:t>
            </w:r>
            <w:r w:rsidRPr="00644D3C">
              <w:rPr>
                <w:rFonts w:ascii="ITC Avant Garde" w:hAnsi="ITC Avant Garde" w:cs="Arial"/>
                <w:i/>
                <w:sz w:val="18"/>
                <w:szCs w:val="18"/>
              </w:rPr>
              <w:t>En conclusión, Rivada Networks considera fundamental integrar en el programa de uso eficiente de espectro las medidas que aseguren la complementariedad de las Bandas de Frecuencia entre 2.5GHz + 700MHz como parte de la evolución natural de las redes de nueva generación móvil.</w:t>
            </w:r>
          </w:p>
        </w:tc>
        <w:tc>
          <w:tcPr>
            <w:tcW w:w="6379" w:type="dxa"/>
            <w:vMerge/>
            <w:shd w:val="clear" w:color="000000" w:fill="FFFFFF"/>
          </w:tcPr>
          <w:p w14:paraId="2229E214" w14:textId="77777777" w:rsidR="00644D3C" w:rsidRPr="005B1694" w:rsidRDefault="00644D3C" w:rsidP="00D407F2">
            <w:pPr>
              <w:spacing w:line="276" w:lineRule="auto"/>
              <w:ind w:hanging="16"/>
              <w:jc w:val="both"/>
              <w:rPr>
                <w:rFonts w:ascii="ITC Avant Garde" w:hAnsi="ITC Avant Garde" w:cs="Arial"/>
                <w:sz w:val="18"/>
                <w:szCs w:val="18"/>
              </w:rPr>
            </w:pPr>
          </w:p>
        </w:tc>
      </w:tr>
      <w:tr w:rsidR="00377AD4" w:rsidRPr="00323454" w14:paraId="5629514B" w14:textId="77777777" w:rsidTr="00F46484">
        <w:trPr>
          <w:trHeight w:val="720"/>
          <w:jc w:val="center"/>
        </w:trPr>
        <w:tc>
          <w:tcPr>
            <w:tcW w:w="2405" w:type="dxa"/>
            <w:shd w:val="clear" w:color="000000" w:fill="FFFFFF"/>
            <w:noWrap/>
          </w:tcPr>
          <w:p w14:paraId="2F207E64" w14:textId="22D5D7E9" w:rsidR="00377AD4" w:rsidRPr="003A21CF" w:rsidRDefault="00EC5518" w:rsidP="00D407F2">
            <w:pPr>
              <w:spacing w:line="276" w:lineRule="auto"/>
              <w:ind w:hanging="16"/>
              <w:jc w:val="both"/>
              <w:rPr>
                <w:rFonts w:ascii="ITC Avant Garde" w:hAnsi="ITC Avant Garde" w:cs="Arial"/>
                <w:b/>
                <w:sz w:val="18"/>
                <w:szCs w:val="18"/>
              </w:rPr>
            </w:pPr>
            <w:r w:rsidRPr="003A21CF">
              <w:rPr>
                <w:rFonts w:ascii="ITC Avant Garde" w:hAnsi="ITC Avant Garde" w:cs="Arial"/>
                <w:b/>
                <w:sz w:val="18"/>
                <w:szCs w:val="18"/>
              </w:rPr>
              <w:t>Ultravisión, S.A. de C.V.</w:t>
            </w:r>
          </w:p>
        </w:tc>
        <w:tc>
          <w:tcPr>
            <w:tcW w:w="6095" w:type="dxa"/>
            <w:shd w:val="clear" w:color="000000" w:fill="FFFFFF"/>
          </w:tcPr>
          <w:p w14:paraId="0C9D7F9F" w14:textId="40558D0A" w:rsidR="00377AD4" w:rsidRDefault="00377AD4" w:rsidP="00D407F2">
            <w:pPr>
              <w:spacing w:line="276" w:lineRule="auto"/>
              <w:ind w:hanging="16"/>
              <w:jc w:val="both"/>
              <w:rPr>
                <w:rFonts w:ascii="ITC Avant Garde" w:hAnsi="ITC Avant Garde" w:cs="Arial"/>
                <w:i/>
                <w:sz w:val="18"/>
                <w:szCs w:val="18"/>
              </w:rPr>
            </w:pPr>
            <w:r w:rsidRPr="00377AD4">
              <w:rPr>
                <w:rFonts w:ascii="ITC Avant Garde" w:hAnsi="ITC Avant Garde" w:cs="Arial"/>
                <w:i/>
                <w:sz w:val="18"/>
                <w:szCs w:val="18"/>
              </w:rPr>
              <w:t>En nombre y representación de Ultravisión, S.A. de C.V., me permito sugerir que, cuando menos, dos de los bloques propuestos para la utilización del espectro con tecnología LTE para acceso inalámbrico móvil, se designen regionalmente siguiendo la misma estructura de Áreas Básicas de Servicio, que se utilizó para licitar esta banda, lo que permitiría que participaran varios operadores regionales y puedan prestar el servicio de manera eficiente y competitiva por estar más cerca de los usuarios en su zona y generar mejor atención y servicios en forma Regional.</w:t>
            </w:r>
          </w:p>
        </w:tc>
        <w:tc>
          <w:tcPr>
            <w:tcW w:w="6379" w:type="dxa"/>
            <w:vMerge/>
            <w:shd w:val="clear" w:color="000000" w:fill="FFFFFF"/>
          </w:tcPr>
          <w:p w14:paraId="1135C092" w14:textId="77777777" w:rsidR="00377AD4" w:rsidRPr="005B1694" w:rsidRDefault="00377AD4" w:rsidP="00D407F2">
            <w:pPr>
              <w:spacing w:line="276" w:lineRule="auto"/>
              <w:ind w:hanging="16"/>
              <w:jc w:val="both"/>
              <w:rPr>
                <w:rFonts w:ascii="ITC Avant Garde" w:hAnsi="ITC Avant Garde" w:cs="Arial"/>
                <w:sz w:val="18"/>
                <w:szCs w:val="18"/>
              </w:rPr>
            </w:pPr>
          </w:p>
        </w:tc>
      </w:tr>
      <w:tr w:rsidR="003A21CF" w:rsidRPr="00323454" w14:paraId="0E092660" w14:textId="77777777" w:rsidTr="00F46484">
        <w:trPr>
          <w:trHeight w:val="720"/>
          <w:jc w:val="center"/>
        </w:trPr>
        <w:tc>
          <w:tcPr>
            <w:tcW w:w="2405" w:type="dxa"/>
            <w:shd w:val="clear" w:color="000000" w:fill="FFFFFF"/>
            <w:noWrap/>
          </w:tcPr>
          <w:p w14:paraId="02C8F6CD" w14:textId="7A4ADB00" w:rsidR="003A21CF" w:rsidRPr="003A21CF" w:rsidRDefault="003A21CF" w:rsidP="00D407F2">
            <w:pPr>
              <w:spacing w:line="276" w:lineRule="auto"/>
              <w:ind w:hanging="16"/>
              <w:jc w:val="both"/>
              <w:rPr>
                <w:rFonts w:ascii="ITC Avant Garde" w:hAnsi="ITC Avant Garde" w:cs="Arial"/>
                <w:b/>
                <w:sz w:val="18"/>
                <w:szCs w:val="18"/>
              </w:rPr>
            </w:pPr>
            <w:r w:rsidRPr="003A21CF">
              <w:rPr>
                <w:rFonts w:ascii="ITC Avant Garde" w:hAnsi="ITC Avant Garde" w:cs="Arial"/>
                <w:b/>
                <w:sz w:val="18"/>
                <w:szCs w:val="18"/>
              </w:rPr>
              <w:t xml:space="preserve">Qualcomm International Inc.  </w:t>
            </w:r>
          </w:p>
        </w:tc>
        <w:tc>
          <w:tcPr>
            <w:tcW w:w="6095" w:type="dxa"/>
            <w:shd w:val="clear" w:color="000000" w:fill="FFFFFF"/>
          </w:tcPr>
          <w:p w14:paraId="72B0CCF1" w14:textId="4D071FF1" w:rsidR="003A21CF" w:rsidRPr="00377AD4" w:rsidRDefault="003A21CF" w:rsidP="00D407F2">
            <w:pPr>
              <w:spacing w:line="276" w:lineRule="auto"/>
              <w:ind w:hanging="16"/>
              <w:jc w:val="both"/>
              <w:rPr>
                <w:rFonts w:ascii="ITC Avant Garde" w:hAnsi="ITC Avant Garde" w:cs="Arial"/>
                <w:i/>
                <w:sz w:val="18"/>
                <w:szCs w:val="18"/>
              </w:rPr>
            </w:pPr>
            <w:r w:rsidRPr="003A21CF">
              <w:rPr>
                <w:rFonts w:ascii="ITC Avant Garde" w:hAnsi="ITC Avant Garde" w:cs="Arial"/>
                <w:i/>
                <w:sz w:val="18"/>
                <w:szCs w:val="18"/>
              </w:rPr>
              <w:t xml:space="preserve">Qualcomm Inc. agradece a la oportunidad de aportar su opinión a la consulta pública de IFT. Qualcomm es líder mundial en tecnologías inalámbricas 3G, 4G y 5G. Durante más de 30 años, las ideas e </w:t>
            </w:r>
            <w:r w:rsidRPr="003A21CF">
              <w:rPr>
                <w:rFonts w:ascii="ITC Avant Garde" w:hAnsi="ITC Avant Garde" w:cs="Arial"/>
                <w:i/>
                <w:sz w:val="18"/>
                <w:szCs w:val="18"/>
              </w:rPr>
              <w:lastRenderedPageBreak/>
              <w:t>invenciones de Qualcomm han impulsado la evolución de las comunicaciones digitales, conectando a las personas de todo el mundo más de cerca a la información, el entretenimiento y entre sí. Qualcomm es el mayor fabricante mundial de semiconductores fabless y el mayor proveedor de chipsets inalámbricos y tecnología de software, que están en muchos dispositivos inalámbricos comercialmente disponibles hoy en día. Somos un líder mundial reconocido en tecnologías inalámbricas y continuamos</w:t>
            </w:r>
            <w:r w:rsidRPr="003A21CF">
              <w:t xml:space="preserve"> </w:t>
            </w:r>
            <w:r w:rsidRPr="003A21CF">
              <w:rPr>
                <w:rFonts w:ascii="ITC Avant Garde" w:hAnsi="ITC Avant Garde" w:cs="Arial"/>
                <w:i/>
                <w:sz w:val="18"/>
                <w:szCs w:val="18"/>
              </w:rPr>
              <w:t>aportando mejoras tecnológicas al mercado. Desde nuestra fundación, la filosofía de Qualcomm ha sido permitir que muchas otras compañías en la cadena de valor tengan éxito. Hoy en día, licenciamos casi toda nuestra cartera de patentes a más de 275 fabricantes en todo el mundo, desde nuevos entrantes en el mercado hasta grandes empresas multinacionales. El modelo de negocio de Qualcomm ha creado una cadena de valor procompetitiva, pro-innovación de escala global de la cual los beneficiarios finales son los consumidores.</w:t>
            </w:r>
          </w:p>
        </w:tc>
        <w:tc>
          <w:tcPr>
            <w:tcW w:w="6379" w:type="dxa"/>
            <w:vMerge/>
            <w:shd w:val="clear" w:color="000000" w:fill="FFFFFF"/>
          </w:tcPr>
          <w:p w14:paraId="03B33BC8" w14:textId="77777777" w:rsidR="003A21CF" w:rsidRPr="005B1694" w:rsidRDefault="003A21CF" w:rsidP="00D407F2">
            <w:pPr>
              <w:spacing w:line="276" w:lineRule="auto"/>
              <w:ind w:hanging="16"/>
              <w:jc w:val="both"/>
              <w:rPr>
                <w:rFonts w:ascii="ITC Avant Garde" w:hAnsi="ITC Avant Garde" w:cs="Arial"/>
                <w:sz w:val="18"/>
                <w:szCs w:val="18"/>
              </w:rPr>
            </w:pPr>
          </w:p>
        </w:tc>
      </w:tr>
      <w:tr w:rsidR="00147683" w:rsidRPr="00323454" w14:paraId="4609B284" w14:textId="77777777" w:rsidTr="00F46484">
        <w:trPr>
          <w:trHeight w:val="720"/>
          <w:jc w:val="center"/>
        </w:trPr>
        <w:tc>
          <w:tcPr>
            <w:tcW w:w="2405" w:type="dxa"/>
            <w:shd w:val="clear" w:color="000000" w:fill="FFFFFF"/>
            <w:noWrap/>
          </w:tcPr>
          <w:p w14:paraId="06FC17A4" w14:textId="6A7BBA3B" w:rsidR="00147683" w:rsidRPr="003A21CF" w:rsidRDefault="00147683" w:rsidP="00D407F2">
            <w:pPr>
              <w:spacing w:line="276" w:lineRule="auto"/>
              <w:ind w:hanging="16"/>
              <w:jc w:val="both"/>
              <w:rPr>
                <w:rFonts w:ascii="ITC Avant Garde" w:hAnsi="ITC Avant Garde" w:cs="Arial"/>
                <w:b/>
                <w:sz w:val="18"/>
                <w:szCs w:val="18"/>
              </w:rPr>
            </w:pPr>
            <w:r w:rsidRPr="00147683">
              <w:rPr>
                <w:rFonts w:ascii="ITC Avant Garde" w:hAnsi="ITC Avant Garde" w:cs="Arial"/>
                <w:b/>
                <w:sz w:val="18"/>
                <w:szCs w:val="18"/>
              </w:rPr>
              <w:t xml:space="preserve">Axtel, S.A.B. de C.V.  </w:t>
            </w:r>
          </w:p>
        </w:tc>
        <w:tc>
          <w:tcPr>
            <w:tcW w:w="6095" w:type="dxa"/>
            <w:shd w:val="clear" w:color="000000" w:fill="FFFFFF"/>
          </w:tcPr>
          <w:p w14:paraId="44C5566A" w14:textId="77777777" w:rsidR="00147683" w:rsidRDefault="00147683" w:rsidP="00D407F2">
            <w:pPr>
              <w:spacing w:line="276" w:lineRule="auto"/>
              <w:ind w:hanging="16"/>
              <w:jc w:val="both"/>
              <w:rPr>
                <w:rFonts w:ascii="ITC Avant Garde" w:hAnsi="ITC Avant Garde" w:cs="Arial"/>
                <w:i/>
                <w:sz w:val="18"/>
                <w:szCs w:val="18"/>
              </w:rPr>
            </w:pPr>
            <w:r>
              <w:rPr>
                <w:rFonts w:ascii="ITC Avant Garde" w:hAnsi="ITC Avant Garde" w:cs="Arial"/>
                <w:i/>
                <w:sz w:val="18"/>
                <w:szCs w:val="18"/>
              </w:rPr>
              <w:t>…</w:t>
            </w:r>
            <w:r w:rsidRPr="00147683">
              <w:t xml:space="preserve"> </w:t>
            </w:r>
            <w:r w:rsidRPr="00147683">
              <w:rPr>
                <w:rFonts w:ascii="ITC Avant Garde" w:hAnsi="ITC Avant Garde" w:cs="Arial"/>
                <w:i/>
                <w:sz w:val="18"/>
                <w:szCs w:val="18"/>
              </w:rPr>
              <w:t xml:space="preserve">13. Por lo anterior, consideramos que en las bases de licitación de la banda de 2.5 GHz y en los títulos de concesión, que al efecto se emitan, se establezca lo siguiente: </w:t>
            </w:r>
          </w:p>
          <w:p w14:paraId="7CE499F4" w14:textId="77777777"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a. La banda de 2.5 GHz obtenidas deberán ser utilizadas garantizando el cumplimiento de los principios constitucionales referidos en el artículo Décimo Séptimo Transitorio de la Reforma Constitucional. </w:t>
            </w:r>
          </w:p>
          <w:p w14:paraId="2BA9C0A9" w14:textId="77777777" w:rsidR="00147683" w:rsidRDefault="00147683" w:rsidP="00D407F2">
            <w:pPr>
              <w:spacing w:line="276" w:lineRule="auto"/>
              <w:ind w:hanging="16"/>
              <w:jc w:val="both"/>
            </w:pPr>
            <w:r w:rsidRPr="00147683">
              <w:rPr>
                <w:rFonts w:ascii="ITC Avant Garde" w:hAnsi="ITC Avant Garde" w:cs="Arial"/>
                <w:i/>
                <w:sz w:val="18"/>
                <w:szCs w:val="18"/>
              </w:rPr>
              <w:t xml:space="preserve">b. Los poseedores de la banda de 2.5 GHz deberían estar obligados a tener una oferta mayorista de capacidad que se ofrezca de manera no discriminatoria y asegure el cumplimiento del principio de compartición </w:t>
            </w:r>
            <w:r w:rsidRPr="00147683">
              <w:rPr>
                <w:rFonts w:ascii="ITC Avant Garde" w:hAnsi="ITC Avant Garde" w:cs="Arial"/>
                <w:i/>
                <w:sz w:val="18"/>
                <w:szCs w:val="18"/>
              </w:rPr>
              <w:lastRenderedPageBreak/>
              <w:t>de capacidad. en particular es fundamental asegurar la no discriminación no solo frente a terceros, sino también frente a las propias actividades minoristas del operador que posea el espectro.</w:t>
            </w:r>
            <w:r w:rsidRPr="00147683">
              <w:t xml:space="preserve"> </w:t>
            </w:r>
          </w:p>
          <w:p w14:paraId="6B1FB2ED" w14:textId="77777777"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c. La oferta mayorista deberá ser ofrecida antes, o al mismo tiempo que la banda se empiece a utilizar para servicios minoristas </w:t>
            </w:r>
          </w:p>
          <w:p w14:paraId="2F08E997" w14:textId="77777777"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d. En caso el Preponderante pretenda acceder a este espectro, deberá establecerle obligaciones adicionales, incluso, se le debería exigir que todo el espectro que adquiera en esta licitación debe ser utilizado sólo para proveer servicios mayoristas. </w:t>
            </w:r>
          </w:p>
          <w:p w14:paraId="0818D249" w14:textId="7E80D218"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e. En todo caso y dada la dificultad de asegurar la no discriminación frente a operaciones propias en el caso de explotación del espectro por un operador integrado, el Instituto reservará al menos, la mitad del espectro ofertado para redes que exclusivamente ofrezcan capacidades y servicios mayoristas. </w:t>
            </w:r>
          </w:p>
          <w:p w14:paraId="7777413D" w14:textId="3F9D1419"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14. Para fines de la determinación de los límites de acumulación de espectro, es de suma relevancia que el Instituto reconsidere el criterio de incluir a la banda de 700 MHz, que se utiliza exclusivamente para servicios mayoristas, como parte del espectro disponible para fines de calcular la participación, respecto de dicho espectro, de cada operador que ofrece fundamentalmente servicios minoristas. En este caso, el incluir la banda de 700 MHz genera una grave subestimación de la participación de mercado de los operadores que beneficia al operador que posee más espectro y perjudica al que menos tiene y a </w:t>
            </w:r>
            <w:r w:rsidRPr="00147683">
              <w:rPr>
                <w:rFonts w:ascii="ITC Avant Garde" w:hAnsi="ITC Avant Garde" w:cs="Arial"/>
                <w:i/>
                <w:sz w:val="18"/>
                <w:szCs w:val="18"/>
              </w:rPr>
              <w:lastRenderedPageBreak/>
              <w:t xml:space="preserve">los demás operadores que dependerán de la red compartida mayorista. </w:t>
            </w:r>
          </w:p>
          <w:p w14:paraId="5FDF0B0F" w14:textId="1540F157"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15. Finalmente, consideramos que los proyectos que se derivan del principio de acceso compartido, tendrán un alto impacto social al fomentar el uso óptimo de la banda de 700 MHz y de 2.5 GHz, y, en consecuencia, promoverán el cumplimiento de diversos mandatos constitucionales: </w:t>
            </w:r>
          </w:p>
          <w:p w14:paraId="7287039A" w14:textId="77777777"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a. Garantizar la instalación de una red pública compartida </w:t>
            </w:r>
          </w:p>
          <w:p w14:paraId="51D6EDD8" w14:textId="23363B20"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b. Promover la competencia y evitar fenómenos de concentración </w:t>
            </w:r>
          </w:p>
          <w:p w14:paraId="59DAB00C" w14:textId="77777777" w:rsidR="00147683"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 xml:space="preserve">c. Ofrecer servicios de telecomunicaciones a precios competitivos internacionalmente; </w:t>
            </w:r>
          </w:p>
          <w:p w14:paraId="10239804" w14:textId="02358277" w:rsidR="00147683" w:rsidRPr="003A21CF" w:rsidRDefault="00147683" w:rsidP="00D407F2">
            <w:pPr>
              <w:spacing w:line="276" w:lineRule="auto"/>
              <w:ind w:hanging="16"/>
              <w:jc w:val="both"/>
              <w:rPr>
                <w:rFonts w:ascii="ITC Avant Garde" w:hAnsi="ITC Avant Garde" w:cs="Arial"/>
                <w:i/>
                <w:sz w:val="18"/>
                <w:szCs w:val="18"/>
              </w:rPr>
            </w:pPr>
            <w:r w:rsidRPr="00147683">
              <w:rPr>
                <w:rFonts w:ascii="ITC Avant Garde" w:hAnsi="ITC Avant Garde" w:cs="Arial"/>
                <w:i/>
                <w:sz w:val="18"/>
                <w:szCs w:val="18"/>
              </w:rPr>
              <w:t>d. Fomentar la inversión y la innovación en el sector</w:t>
            </w:r>
          </w:p>
        </w:tc>
        <w:tc>
          <w:tcPr>
            <w:tcW w:w="6379" w:type="dxa"/>
            <w:vMerge w:val="restart"/>
            <w:shd w:val="clear" w:color="000000" w:fill="FFFFFF"/>
          </w:tcPr>
          <w:p w14:paraId="408B9616" w14:textId="2A1C471F" w:rsidR="00147683" w:rsidRPr="005B1694" w:rsidRDefault="00CF073A" w:rsidP="00CF073A">
            <w:pPr>
              <w:tabs>
                <w:tab w:val="left" w:pos="1796"/>
              </w:tabs>
              <w:spacing w:line="276" w:lineRule="auto"/>
              <w:ind w:hanging="16"/>
              <w:jc w:val="both"/>
              <w:rPr>
                <w:rFonts w:ascii="ITC Avant Garde" w:hAnsi="ITC Avant Garde" w:cs="Arial"/>
                <w:sz w:val="18"/>
                <w:szCs w:val="18"/>
              </w:rPr>
            </w:pPr>
            <w:r>
              <w:rPr>
                <w:rFonts w:ascii="ITC Avant Garde" w:hAnsi="ITC Avant Garde" w:cs="Arial"/>
                <w:sz w:val="18"/>
                <w:szCs w:val="18"/>
              </w:rPr>
              <w:lastRenderedPageBreak/>
              <w:tab/>
            </w:r>
          </w:p>
        </w:tc>
      </w:tr>
      <w:tr w:rsidR="00EE195B" w:rsidRPr="00323454" w14:paraId="0EE3051B" w14:textId="77777777" w:rsidTr="00F46484">
        <w:trPr>
          <w:trHeight w:val="565"/>
          <w:jc w:val="center"/>
        </w:trPr>
        <w:tc>
          <w:tcPr>
            <w:tcW w:w="2405" w:type="dxa"/>
            <w:shd w:val="clear" w:color="000000" w:fill="FFFFFF"/>
            <w:noWrap/>
          </w:tcPr>
          <w:p w14:paraId="6FFD2BAF" w14:textId="2401F3C3" w:rsidR="00EE195B" w:rsidRPr="00147683" w:rsidRDefault="00A906EE" w:rsidP="00D407F2">
            <w:pPr>
              <w:spacing w:after="0" w:line="276" w:lineRule="auto"/>
              <w:jc w:val="both"/>
              <w:rPr>
                <w:rFonts w:ascii="ITC Avant Garde" w:hAnsi="ITC Avant Garde" w:cs="Arial"/>
                <w:b/>
                <w:sz w:val="18"/>
                <w:szCs w:val="18"/>
              </w:rPr>
            </w:pPr>
            <w:r w:rsidRPr="00A906EE">
              <w:rPr>
                <w:rFonts w:ascii="ITC Avant Garde" w:hAnsi="ITC Avant Garde" w:cs="Arial"/>
                <w:b/>
                <w:sz w:val="18"/>
                <w:szCs w:val="18"/>
              </w:rPr>
              <w:lastRenderedPageBreak/>
              <w:t xml:space="preserve">Altán Redes, S.A.P.I. de C.V.  </w:t>
            </w:r>
          </w:p>
        </w:tc>
        <w:tc>
          <w:tcPr>
            <w:tcW w:w="6095" w:type="dxa"/>
            <w:shd w:val="clear" w:color="000000" w:fill="FFFFFF"/>
          </w:tcPr>
          <w:p w14:paraId="7B843987" w14:textId="1B7C5452" w:rsidR="00EE195B" w:rsidRDefault="00EE195B" w:rsidP="00D407F2">
            <w:pPr>
              <w:spacing w:after="0" w:line="276" w:lineRule="auto"/>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w:t>
            </w:r>
          </w:p>
          <w:p w14:paraId="0BBB88D6" w14:textId="77777777" w:rsidR="00A906EE" w:rsidRDefault="00A906EE" w:rsidP="00D407F2">
            <w:pPr>
              <w:spacing w:after="0" w:line="276" w:lineRule="auto"/>
              <w:jc w:val="both"/>
              <w:rPr>
                <w:rFonts w:ascii="ITC Avant Garde" w:eastAsia="Times New Roman" w:hAnsi="ITC Avant Garde"/>
                <w:iCs/>
                <w:color w:val="000000"/>
                <w:sz w:val="18"/>
                <w:szCs w:val="18"/>
                <w:lang w:eastAsia="es-MX"/>
              </w:rPr>
            </w:pPr>
          </w:p>
          <w:p w14:paraId="14A0BBB8" w14:textId="77777777" w:rsidR="00A906EE" w:rsidRDefault="0009589C" w:rsidP="00D407F2">
            <w:pPr>
              <w:spacing w:after="0" w:line="276" w:lineRule="auto"/>
              <w:jc w:val="both"/>
              <w:rPr>
                <w:rFonts w:ascii="ITC Avant Garde" w:eastAsia="Times New Roman" w:hAnsi="ITC Avant Garde"/>
                <w:iCs/>
                <w:color w:val="000000"/>
                <w:sz w:val="12"/>
                <w:szCs w:val="18"/>
                <w:lang w:eastAsia="es-MX"/>
              </w:rPr>
            </w:pPr>
            <w:hyperlink r:id="rId22" w:history="1">
              <w:r w:rsidR="00A906EE" w:rsidRPr="00A906EE">
                <w:rPr>
                  <w:rStyle w:val="Hipervnculo"/>
                  <w:rFonts w:ascii="ITC Avant Garde" w:eastAsia="Times New Roman" w:hAnsi="ITC Avant Garde"/>
                  <w:iCs/>
                  <w:sz w:val="12"/>
                  <w:szCs w:val="18"/>
                  <w:lang w:eastAsia="es-MX"/>
                </w:rPr>
                <w:t>http://www.ift.org.mx/sites/default/files/industria/temasrelevantes/consultaspublicas/documentos/altan.pdf</w:t>
              </w:r>
            </w:hyperlink>
            <w:r w:rsidR="00A906EE" w:rsidRPr="00A906EE">
              <w:rPr>
                <w:rFonts w:ascii="ITC Avant Garde" w:eastAsia="Times New Roman" w:hAnsi="ITC Avant Garde"/>
                <w:iCs/>
                <w:color w:val="000000"/>
                <w:sz w:val="12"/>
                <w:szCs w:val="18"/>
                <w:lang w:eastAsia="es-MX"/>
              </w:rPr>
              <w:t xml:space="preserve"> </w:t>
            </w:r>
          </w:p>
          <w:p w14:paraId="5E81BC9A" w14:textId="0B06881F" w:rsidR="00A906EE" w:rsidRPr="00EE195B" w:rsidRDefault="00A906EE" w:rsidP="00D407F2">
            <w:pPr>
              <w:spacing w:after="0" w:line="276" w:lineRule="auto"/>
              <w:jc w:val="both"/>
              <w:rPr>
                <w:rFonts w:ascii="ITC Avant Garde" w:eastAsia="Times New Roman" w:hAnsi="ITC Avant Garde"/>
                <w:iCs/>
                <w:color w:val="000000"/>
                <w:sz w:val="18"/>
                <w:szCs w:val="18"/>
                <w:lang w:eastAsia="es-MX"/>
              </w:rPr>
            </w:pPr>
          </w:p>
        </w:tc>
        <w:tc>
          <w:tcPr>
            <w:tcW w:w="6379" w:type="dxa"/>
            <w:vMerge/>
            <w:shd w:val="clear" w:color="000000" w:fill="FFFFFF"/>
          </w:tcPr>
          <w:p w14:paraId="322D4CAB" w14:textId="77777777" w:rsidR="00EE195B" w:rsidRPr="005B1694" w:rsidRDefault="00EE195B" w:rsidP="00D407F2">
            <w:pPr>
              <w:spacing w:after="0" w:line="276" w:lineRule="auto"/>
              <w:jc w:val="both"/>
              <w:rPr>
                <w:rFonts w:ascii="ITC Avant Garde" w:hAnsi="ITC Avant Garde" w:cs="Arial"/>
                <w:sz w:val="18"/>
                <w:szCs w:val="18"/>
              </w:rPr>
            </w:pPr>
          </w:p>
        </w:tc>
      </w:tr>
      <w:tr w:rsidR="002E1FE7" w:rsidRPr="00323454" w14:paraId="3ADC1390" w14:textId="77777777" w:rsidTr="00F46484">
        <w:trPr>
          <w:trHeight w:val="565"/>
          <w:jc w:val="center"/>
        </w:trPr>
        <w:tc>
          <w:tcPr>
            <w:tcW w:w="2405" w:type="dxa"/>
            <w:shd w:val="clear" w:color="000000" w:fill="FFFFFF"/>
            <w:noWrap/>
          </w:tcPr>
          <w:p w14:paraId="68741CA3" w14:textId="10748469" w:rsidR="002E1FE7" w:rsidRPr="00A906EE" w:rsidRDefault="002E1FE7" w:rsidP="00D407F2">
            <w:pPr>
              <w:spacing w:after="0" w:line="276" w:lineRule="auto"/>
              <w:jc w:val="both"/>
              <w:rPr>
                <w:rFonts w:ascii="ITC Avant Garde" w:hAnsi="ITC Avant Garde" w:cs="Arial"/>
                <w:b/>
                <w:sz w:val="18"/>
                <w:szCs w:val="18"/>
              </w:rPr>
            </w:pPr>
            <w:r w:rsidRPr="002E1FE7">
              <w:rPr>
                <w:rFonts w:ascii="ITC Avant Garde" w:hAnsi="ITC Avant Garde" w:cs="Arial"/>
                <w:b/>
                <w:sz w:val="18"/>
                <w:szCs w:val="18"/>
              </w:rPr>
              <w:t xml:space="preserve">Miguel Tentei Cortés Solórzano  </w:t>
            </w:r>
          </w:p>
        </w:tc>
        <w:tc>
          <w:tcPr>
            <w:tcW w:w="6095" w:type="dxa"/>
            <w:shd w:val="clear" w:color="000000" w:fill="FFFFFF"/>
          </w:tcPr>
          <w:p w14:paraId="497B8722" w14:textId="6C1B5AB6" w:rsidR="002E1FE7" w:rsidRPr="002E1FE7" w:rsidRDefault="002E1FE7" w:rsidP="00D407F2">
            <w:pPr>
              <w:spacing w:after="0" w:line="276" w:lineRule="auto"/>
              <w:jc w:val="both"/>
              <w:rPr>
                <w:rFonts w:ascii="ITC Avant Garde" w:eastAsia="Times New Roman" w:hAnsi="ITC Avant Garde"/>
                <w:i/>
                <w:iCs/>
                <w:color w:val="000000"/>
                <w:sz w:val="18"/>
                <w:szCs w:val="18"/>
                <w:lang w:eastAsia="es-MX"/>
              </w:rPr>
            </w:pPr>
            <w:r w:rsidRPr="002E1FE7">
              <w:rPr>
                <w:rFonts w:ascii="ITC Avant Garde" w:eastAsia="Times New Roman" w:hAnsi="ITC Avant Garde"/>
                <w:i/>
                <w:iCs/>
                <w:color w:val="000000"/>
                <w:sz w:val="18"/>
                <w:szCs w:val="18"/>
                <w:lang w:eastAsia="es-MX"/>
              </w:rPr>
              <w:t xml:space="preserve">México se encuentra en una situación complicada: Por una parte, se encuentran evidentes mejoras en el panorama de las telecomunicaciones, más sin embargo también ha variado la situación para el agente económico preponderante (América Movil “Telcel”), misma tendencia que de persistir llevará a la desinversión de Telefónica México “Movistar” y al replanteamiento de las inversiones de AT&amp;T México. Se deben de ofrecer las certezas necesarias que permitan una </w:t>
            </w:r>
            <w:r w:rsidRPr="002E1FE7">
              <w:rPr>
                <w:rFonts w:ascii="ITC Avant Garde" w:eastAsia="Times New Roman" w:hAnsi="ITC Avant Garde"/>
                <w:i/>
                <w:iCs/>
                <w:color w:val="000000"/>
                <w:sz w:val="18"/>
                <w:szCs w:val="18"/>
                <w:lang w:eastAsia="es-MX"/>
              </w:rPr>
              <w:lastRenderedPageBreak/>
              <w:t>sana competencia. De forma realista a los jugadores “menores” y el consorcio ATLAN no podrán lograr un contrapeso eficiente a Telcel, de forma que se debe de empoderar a aquellos participantes con la capacidad para establecer dicho contrapeso. México es el país más rezagado en la evolución de servicios LTE evolucionados. A su vez, se requiere dar prisa a los lineamientos para licitar la banda de 600 MHz, los remanentes de la banda AWS y preparar los lineamientos sobre el espectro de 28 GHz y superior para los servicios 5G.</w:t>
            </w:r>
          </w:p>
        </w:tc>
        <w:tc>
          <w:tcPr>
            <w:tcW w:w="6379" w:type="dxa"/>
            <w:vMerge/>
            <w:shd w:val="clear" w:color="000000" w:fill="FFFFFF"/>
          </w:tcPr>
          <w:p w14:paraId="22FC0F1A" w14:textId="77777777" w:rsidR="002E1FE7" w:rsidRPr="005B1694" w:rsidRDefault="002E1FE7" w:rsidP="00D407F2">
            <w:pPr>
              <w:spacing w:after="0" w:line="276" w:lineRule="auto"/>
              <w:jc w:val="both"/>
              <w:rPr>
                <w:rFonts w:ascii="ITC Avant Garde" w:hAnsi="ITC Avant Garde" w:cs="Arial"/>
                <w:sz w:val="18"/>
                <w:szCs w:val="18"/>
              </w:rPr>
            </w:pPr>
          </w:p>
        </w:tc>
      </w:tr>
    </w:tbl>
    <w:p w14:paraId="15F72D0D" w14:textId="15B674B6" w:rsidR="00323454" w:rsidRPr="00CD0592" w:rsidRDefault="00323454" w:rsidP="00D407F2">
      <w:pPr>
        <w:spacing w:line="276" w:lineRule="auto"/>
        <w:jc w:val="both"/>
        <w:rPr>
          <w:rFonts w:ascii="ITC Avant Garde" w:hAnsi="ITC Avant Garde" w:cs="Arial"/>
          <w:sz w:val="20"/>
          <w:szCs w:val="20"/>
        </w:rPr>
      </w:pPr>
    </w:p>
    <w:sectPr w:rsidR="00323454" w:rsidRPr="00CD0592" w:rsidSect="00B60026">
      <w:pgSz w:w="15840" w:h="12240" w:orient="landscape"/>
      <w:pgMar w:top="1701" w:right="1702" w:bottom="1701" w:left="1417"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1A611" w14:textId="77777777" w:rsidR="0009589C" w:rsidRDefault="0009589C" w:rsidP="00CC7417">
      <w:pPr>
        <w:spacing w:after="0" w:line="240" w:lineRule="auto"/>
      </w:pPr>
      <w:r>
        <w:separator/>
      </w:r>
    </w:p>
  </w:endnote>
  <w:endnote w:type="continuationSeparator" w:id="0">
    <w:p w14:paraId="521B2E6C" w14:textId="77777777" w:rsidR="0009589C" w:rsidRDefault="0009589C" w:rsidP="00CC7417">
      <w:pPr>
        <w:spacing w:after="0" w:line="240" w:lineRule="auto"/>
      </w:pPr>
      <w:r>
        <w:continuationSeparator/>
      </w:r>
    </w:p>
  </w:endnote>
  <w:endnote w:type="continuationNotice" w:id="1">
    <w:p w14:paraId="1E280E9C" w14:textId="77777777" w:rsidR="0009589C" w:rsidRDefault="000958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 Garde">
    <w:altName w:val="Century Gothic"/>
    <w:charset w:val="00"/>
    <w:family w:val="auto"/>
    <w:pitch w:val="variable"/>
    <w:sig w:usb0="00000083" w:usb1="00000000" w:usb2="00000000" w:usb3="00000000" w:csb0="00000009"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8"/>
        <w:szCs w:val="18"/>
      </w:rPr>
      <w:id w:val="679480897"/>
      <w:docPartObj>
        <w:docPartGallery w:val="Page Numbers (Bottom of Page)"/>
        <w:docPartUnique/>
      </w:docPartObj>
    </w:sdtPr>
    <w:sdtContent>
      <w:sdt>
        <w:sdtPr>
          <w:rPr>
            <w:rFonts w:ascii="ITC Avant Garde" w:hAnsi="ITC Avant Garde"/>
            <w:sz w:val="18"/>
            <w:szCs w:val="18"/>
          </w:rPr>
          <w:id w:val="373053140"/>
          <w:docPartObj>
            <w:docPartGallery w:val="Page Numbers (Top of Page)"/>
            <w:docPartUnique/>
          </w:docPartObj>
        </w:sdtPr>
        <w:sdtContent>
          <w:p w14:paraId="0B981F02" w14:textId="406114A3" w:rsidR="0009589C" w:rsidRPr="0066212F" w:rsidRDefault="0009589C">
            <w:pPr>
              <w:pStyle w:val="Piedepgina"/>
              <w:jc w:val="right"/>
              <w:rPr>
                <w:rFonts w:ascii="ITC Avant Garde" w:hAnsi="ITC Avant Garde"/>
                <w:sz w:val="18"/>
                <w:szCs w:val="18"/>
              </w:rPr>
            </w:pPr>
            <w:r w:rsidRPr="0066212F">
              <w:rPr>
                <w:rFonts w:ascii="ITC Avant Garde" w:hAnsi="ITC Avant Garde"/>
                <w:sz w:val="18"/>
                <w:szCs w:val="18"/>
                <w:lang w:val="es-ES"/>
              </w:rPr>
              <w:t xml:space="preserve">Página </w:t>
            </w:r>
            <w:r w:rsidRPr="0066212F">
              <w:rPr>
                <w:rFonts w:ascii="ITC Avant Garde" w:hAnsi="ITC Avant Garde"/>
                <w:b/>
                <w:bCs/>
                <w:sz w:val="18"/>
                <w:szCs w:val="18"/>
              </w:rPr>
              <w:fldChar w:fldCharType="begin"/>
            </w:r>
            <w:r w:rsidRPr="0066212F">
              <w:rPr>
                <w:rFonts w:ascii="ITC Avant Garde" w:hAnsi="ITC Avant Garde"/>
                <w:b/>
                <w:bCs/>
                <w:sz w:val="18"/>
                <w:szCs w:val="18"/>
              </w:rPr>
              <w:instrText>PAGE</w:instrText>
            </w:r>
            <w:r w:rsidRPr="0066212F">
              <w:rPr>
                <w:rFonts w:ascii="ITC Avant Garde" w:hAnsi="ITC Avant Garde"/>
                <w:b/>
                <w:bCs/>
                <w:sz w:val="18"/>
                <w:szCs w:val="18"/>
              </w:rPr>
              <w:fldChar w:fldCharType="separate"/>
            </w:r>
            <w:r w:rsidR="00CB7B98">
              <w:rPr>
                <w:rFonts w:ascii="ITC Avant Garde" w:hAnsi="ITC Avant Garde"/>
                <w:b/>
                <w:bCs/>
                <w:noProof/>
                <w:sz w:val="18"/>
                <w:szCs w:val="18"/>
              </w:rPr>
              <w:t>47</w:t>
            </w:r>
            <w:r w:rsidRPr="0066212F">
              <w:rPr>
                <w:rFonts w:ascii="ITC Avant Garde" w:hAnsi="ITC Avant Garde"/>
                <w:b/>
                <w:bCs/>
                <w:sz w:val="18"/>
                <w:szCs w:val="18"/>
              </w:rPr>
              <w:fldChar w:fldCharType="end"/>
            </w:r>
            <w:r w:rsidRPr="0066212F">
              <w:rPr>
                <w:rFonts w:ascii="ITC Avant Garde" w:hAnsi="ITC Avant Garde"/>
                <w:sz w:val="18"/>
                <w:szCs w:val="18"/>
                <w:lang w:val="es-ES"/>
              </w:rPr>
              <w:t xml:space="preserve"> de </w:t>
            </w:r>
            <w:r w:rsidRPr="0066212F">
              <w:rPr>
                <w:rFonts w:ascii="ITC Avant Garde" w:hAnsi="ITC Avant Garde"/>
                <w:b/>
                <w:bCs/>
                <w:sz w:val="18"/>
                <w:szCs w:val="18"/>
              </w:rPr>
              <w:fldChar w:fldCharType="begin"/>
            </w:r>
            <w:r w:rsidRPr="0066212F">
              <w:rPr>
                <w:rFonts w:ascii="ITC Avant Garde" w:hAnsi="ITC Avant Garde"/>
                <w:b/>
                <w:bCs/>
                <w:sz w:val="18"/>
                <w:szCs w:val="18"/>
              </w:rPr>
              <w:instrText>NUMPAGES</w:instrText>
            </w:r>
            <w:r w:rsidRPr="0066212F">
              <w:rPr>
                <w:rFonts w:ascii="ITC Avant Garde" w:hAnsi="ITC Avant Garde"/>
                <w:b/>
                <w:bCs/>
                <w:sz w:val="18"/>
                <w:szCs w:val="18"/>
              </w:rPr>
              <w:fldChar w:fldCharType="separate"/>
            </w:r>
            <w:r w:rsidR="00CB7B98">
              <w:rPr>
                <w:rFonts w:ascii="ITC Avant Garde" w:hAnsi="ITC Avant Garde"/>
                <w:b/>
                <w:bCs/>
                <w:noProof/>
                <w:sz w:val="18"/>
                <w:szCs w:val="18"/>
              </w:rPr>
              <w:t>51</w:t>
            </w:r>
            <w:r w:rsidRPr="0066212F">
              <w:rPr>
                <w:rFonts w:ascii="ITC Avant Garde" w:hAnsi="ITC Avant Garde"/>
                <w:b/>
                <w:bCs/>
                <w:sz w:val="18"/>
                <w:szCs w:val="18"/>
              </w:rPr>
              <w:fldChar w:fldCharType="end"/>
            </w:r>
          </w:p>
        </w:sdtContent>
      </w:sdt>
    </w:sdtContent>
  </w:sdt>
  <w:p w14:paraId="65EA3437" w14:textId="68E87267" w:rsidR="0009589C" w:rsidRDefault="000958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1882A" w14:textId="77777777" w:rsidR="0009589C" w:rsidRDefault="0009589C" w:rsidP="00CC7417">
      <w:pPr>
        <w:spacing w:after="0" w:line="240" w:lineRule="auto"/>
      </w:pPr>
      <w:r>
        <w:separator/>
      </w:r>
    </w:p>
  </w:footnote>
  <w:footnote w:type="continuationSeparator" w:id="0">
    <w:p w14:paraId="049C0AFF" w14:textId="77777777" w:rsidR="0009589C" w:rsidRDefault="0009589C" w:rsidP="00CC7417">
      <w:pPr>
        <w:spacing w:after="0" w:line="240" w:lineRule="auto"/>
      </w:pPr>
      <w:r>
        <w:continuationSeparator/>
      </w:r>
    </w:p>
  </w:footnote>
  <w:footnote w:type="continuationNotice" w:id="1">
    <w:p w14:paraId="50DF00FA" w14:textId="77777777" w:rsidR="0009589C" w:rsidRDefault="0009589C">
      <w:pPr>
        <w:spacing w:after="0" w:line="240" w:lineRule="auto"/>
      </w:pPr>
    </w:p>
  </w:footnote>
  <w:footnote w:id="2">
    <w:p w14:paraId="05093487" w14:textId="2701D21C" w:rsidR="0009589C" w:rsidRPr="006E1553" w:rsidRDefault="0009589C">
      <w:pPr>
        <w:pStyle w:val="Textonotapie"/>
        <w:rPr>
          <w:sz w:val="16"/>
          <w:szCs w:val="16"/>
        </w:rPr>
      </w:pPr>
      <w:r w:rsidRPr="006E1553">
        <w:rPr>
          <w:rStyle w:val="Refdenotaalpie"/>
          <w:sz w:val="16"/>
          <w:szCs w:val="16"/>
        </w:rPr>
        <w:footnoteRef/>
      </w:r>
      <w:r w:rsidRPr="006E1553">
        <w:rPr>
          <w:sz w:val="16"/>
          <w:szCs w:val="16"/>
        </w:rPr>
        <w:t xml:space="preserve"> </w:t>
      </w:r>
      <w:hyperlink r:id="rId1" w:history="1">
        <w:r w:rsidRPr="006E1553">
          <w:rPr>
            <w:rStyle w:val="Hipervnculo"/>
            <w:sz w:val="16"/>
            <w:szCs w:val="16"/>
          </w:rPr>
          <w:t>http://www.ift.org.mx/industria/consultas-publicas/ficha-de-consulta-publica?project_cp=9470</w:t>
        </w:r>
      </w:hyperlink>
      <w:r w:rsidRPr="006E1553">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13DA" w14:textId="3879C7F0" w:rsidR="0009589C" w:rsidRDefault="0009589C">
    <w:pPr>
      <w:pStyle w:val="Encabezado"/>
    </w:pPr>
    <w:r>
      <w:rPr>
        <w:noProof/>
        <w:lang w:eastAsia="es-MX"/>
      </w:rPr>
      <w:pict w14:anchorId="3BE50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245236" o:spid="_x0000_s2049" type="#_x0000_t75" style="position:absolute;margin-left:-85.05pt;margin-top:-127.35pt;width:612pt;height:11in;z-index:-251658752;mso-position-horizontal-relative:margin;mso-position-vertical-relative:margin" o:allowincell="f">
          <v:imagedata r:id="rId1" o:title="Demarcacion Territorial_bostón_bost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CE4"/>
    <w:multiLevelType w:val="hybridMultilevel"/>
    <w:tmpl w:val="6EF62C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5B091A"/>
    <w:multiLevelType w:val="hybridMultilevel"/>
    <w:tmpl w:val="BE58B8D8"/>
    <w:lvl w:ilvl="0" w:tplc="79C4E8B8">
      <w:start w:val="1"/>
      <w:numFmt w:val="upperRoman"/>
      <w:lvlText w:val="%1."/>
      <w:lvlJc w:val="left"/>
      <w:pPr>
        <w:ind w:left="1800" w:hanging="720"/>
      </w:pPr>
      <w:rPr>
        <w:rFonts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3DF1FA3"/>
    <w:multiLevelType w:val="hybridMultilevel"/>
    <w:tmpl w:val="E6167A5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DC67E1"/>
    <w:multiLevelType w:val="hybridMultilevel"/>
    <w:tmpl w:val="F46EB9BA"/>
    <w:lvl w:ilvl="0" w:tplc="080A0017">
      <w:start w:val="1"/>
      <w:numFmt w:val="lowerLetter"/>
      <w:lvlText w:val="%1)"/>
      <w:lvlJc w:val="left"/>
      <w:pPr>
        <w:ind w:left="-336" w:hanging="360"/>
      </w:pPr>
    </w:lvl>
    <w:lvl w:ilvl="1" w:tplc="080A0013">
      <w:start w:val="1"/>
      <w:numFmt w:val="upperRoman"/>
      <w:lvlText w:val="%2."/>
      <w:lvlJc w:val="right"/>
      <w:pPr>
        <w:ind w:left="384" w:hanging="360"/>
      </w:pPr>
    </w:lvl>
    <w:lvl w:ilvl="2" w:tplc="080A001B">
      <w:start w:val="1"/>
      <w:numFmt w:val="lowerRoman"/>
      <w:lvlText w:val="%3."/>
      <w:lvlJc w:val="right"/>
      <w:pPr>
        <w:ind w:left="1104" w:hanging="180"/>
      </w:pPr>
    </w:lvl>
    <w:lvl w:ilvl="3" w:tplc="080A000F">
      <w:start w:val="1"/>
      <w:numFmt w:val="decimal"/>
      <w:lvlText w:val="%4."/>
      <w:lvlJc w:val="left"/>
      <w:pPr>
        <w:ind w:left="1824" w:hanging="360"/>
      </w:pPr>
    </w:lvl>
    <w:lvl w:ilvl="4" w:tplc="080A0019">
      <w:start w:val="1"/>
      <w:numFmt w:val="lowerLetter"/>
      <w:lvlText w:val="%5."/>
      <w:lvlJc w:val="left"/>
      <w:pPr>
        <w:ind w:left="2544" w:hanging="360"/>
      </w:pPr>
    </w:lvl>
    <w:lvl w:ilvl="5" w:tplc="080A001B">
      <w:start w:val="1"/>
      <w:numFmt w:val="lowerRoman"/>
      <w:lvlText w:val="%6."/>
      <w:lvlJc w:val="right"/>
      <w:pPr>
        <w:ind w:left="3264" w:hanging="180"/>
      </w:pPr>
    </w:lvl>
    <w:lvl w:ilvl="6" w:tplc="080A000F">
      <w:start w:val="1"/>
      <w:numFmt w:val="decimal"/>
      <w:lvlText w:val="%7."/>
      <w:lvlJc w:val="left"/>
      <w:pPr>
        <w:ind w:left="3984" w:hanging="360"/>
      </w:pPr>
    </w:lvl>
    <w:lvl w:ilvl="7" w:tplc="080A0019">
      <w:start w:val="1"/>
      <w:numFmt w:val="lowerLetter"/>
      <w:lvlText w:val="%8."/>
      <w:lvlJc w:val="left"/>
      <w:pPr>
        <w:ind w:left="4704" w:hanging="360"/>
      </w:pPr>
    </w:lvl>
    <w:lvl w:ilvl="8" w:tplc="080A001B">
      <w:start w:val="1"/>
      <w:numFmt w:val="lowerRoman"/>
      <w:lvlText w:val="%9."/>
      <w:lvlJc w:val="right"/>
      <w:pPr>
        <w:ind w:left="5424" w:hanging="180"/>
      </w:pPr>
    </w:lvl>
  </w:abstractNum>
  <w:abstractNum w:abstractNumId="4" w15:restartNumberingAfterBreak="0">
    <w:nsid w:val="0E4B0816"/>
    <w:multiLevelType w:val="hybridMultilevel"/>
    <w:tmpl w:val="86D06140"/>
    <w:lvl w:ilvl="0" w:tplc="E45EA5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F2F99"/>
    <w:multiLevelType w:val="multilevel"/>
    <w:tmpl w:val="8CAAFB70"/>
    <w:lvl w:ilvl="0">
      <w:start w:val="6"/>
      <w:numFmt w:val="decimal"/>
      <w:lvlText w:val="%1."/>
      <w:lvlJc w:val="left"/>
      <w:pPr>
        <w:ind w:left="390" w:hanging="390"/>
      </w:pPr>
      <w:rPr>
        <w:rFonts w:hint="default"/>
      </w:rPr>
    </w:lvl>
    <w:lvl w:ilvl="1">
      <w:start w:val="1"/>
      <w:numFmt w:val="decimal"/>
      <w:lvlText w:val="%1.%2."/>
      <w:lvlJc w:val="left"/>
      <w:pPr>
        <w:ind w:left="2139" w:hanging="720"/>
      </w:pPr>
      <w:rPr>
        <w:rFonts w:hint="default"/>
        <w:b/>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152" w:hanging="1800"/>
      </w:pPr>
      <w:rPr>
        <w:rFonts w:hint="default"/>
      </w:rPr>
    </w:lvl>
  </w:abstractNum>
  <w:abstractNum w:abstractNumId="6" w15:restartNumberingAfterBreak="0">
    <w:nsid w:val="21445ADE"/>
    <w:multiLevelType w:val="hybridMultilevel"/>
    <w:tmpl w:val="EA660E0C"/>
    <w:lvl w:ilvl="0" w:tplc="3614F79E">
      <w:start w:val="1"/>
      <w:numFmt w:val="upperRoman"/>
      <w:lvlText w:val="%1."/>
      <w:lvlJc w:val="right"/>
      <w:pPr>
        <w:ind w:left="1571" w:hanging="360"/>
      </w:pPr>
      <w:rPr>
        <w:rFonts w:ascii="ITC Avant Garde" w:hAnsi="ITC Avant Garde"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D877FF"/>
    <w:multiLevelType w:val="hybridMultilevel"/>
    <w:tmpl w:val="633EA9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F96604"/>
    <w:multiLevelType w:val="hybridMultilevel"/>
    <w:tmpl w:val="D0C4A9AC"/>
    <w:lvl w:ilvl="0" w:tplc="B63EDB98">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8A2952"/>
    <w:multiLevelType w:val="hybridMultilevel"/>
    <w:tmpl w:val="A4E0CFB2"/>
    <w:lvl w:ilvl="0" w:tplc="080A0015">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2313B8"/>
    <w:multiLevelType w:val="hybridMultilevel"/>
    <w:tmpl w:val="6114B690"/>
    <w:lvl w:ilvl="0" w:tplc="FF66B5E4">
      <w:start w:val="1"/>
      <w:numFmt w:val="low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3D6B67F2"/>
    <w:multiLevelType w:val="hybridMultilevel"/>
    <w:tmpl w:val="0AB0686C"/>
    <w:lvl w:ilvl="0" w:tplc="97AC4D12">
      <w:numFmt w:val="bullet"/>
      <w:lvlText w:val="•"/>
      <w:lvlJc w:val="left"/>
      <w:pPr>
        <w:ind w:left="2130" w:hanging="690"/>
      </w:pPr>
      <w:rPr>
        <w:rFonts w:ascii="ITC Avant Garde" w:eastAsia="Calibri" w:hAnsi="ITC Avant Garde"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F205172"/>
    <w:multiLevelType w:val="hybridMultilevel"/>
    <w:tmpl w:val="35569F7A"/>
    <w:lvl w:ilvl="0" w:tplc="080A000F">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664E62"/>
    <w:multiLevelType w:val="multilevel"/>
    <w:tmpl w:val="9BEA0950"/>
    <w:styleLink w:val="Estilo2"/>
    <w:lvl w:ilvl="0">
      <w:start w:val="4"/>
      <w:numFmt w:val="decimal"/>
      <w:lvlText w:val="%1."/>
      <w:lvlJc w:val="left"/>
      <w:pPr>
        <w:ind w:left="809" w:hanging="525"/>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A65D32"/>
    <w:multiLevelType w:val="hybridMultilevel"/>
    <w:tmpl w:val="AECAF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FB52F6"/>
    <w:multiLevelType w:val="hybridMultilevel"/>
    <w:tmpl w:val="D214C61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64887B9A"/>
    <w:multiLevelType w:val="hybridMultilevel"/>
    <w:tmpl w:val="13BEE46A"/>
    <w:lvl w:ilvl="0" w:tplc="9B14DB9E">
      <w:start w:val="4"/>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146200"/>
    <w:multiLevelType w:val="hybridMultilevel"/>
    <w:tmpl w:val="2C08A4C0"/>
    <w:lvl w:ilvl="0" w:tplc="926A8216">
      <w:start w:val="1"/>
      <w:numFmt w:val="bullet"/>
      <w:lvlText w:val="-"/>
      <w:lvlJc w:val="left"/>
      <w:pPr>
        <w:ind w:left="720" w:hanging="360"/>
      </w:pPr>
      <w:rPr>
        <w:rFonts w:ascii="ITC Avant Garde" w:eastAsiaTheme="minorHAnsi" w:hAnsi="ITC Avant Garde"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8A4BAF"/>
    <w:multiLevelType w:val="hybridMultilevel"/>
    <w:tmpl w:val="CA025F3C"/>
    <w:lvl w:ilvl="0" w:tplc="3B3490A0">
      <w:start w:val="1"/>
      <w:numFmt w:val="upperRoman"/>
      <w:lvlText w:val="%1."/>
      <w:lvlJc w:val="left"/>
      <w:pPr>
        <w:ind w:left="703" w:hanging="720"/>
      </w:pPr>
      <w:rPr>
        <w:rFonts w:hint="default"/>
        <w:b/>
      </w:rPr>
    </w:lvl>
    <w:lvl w:ilvl="1" w:tplc="080A0019" w:tentative="1">
      <w:start w:val="1"/>
      <w:numFmt w:val="lowerLetter"/>
      <w:lvlText w:val="%2."/>
      <w:lvlJc w:val="left"/>
      <w:pPr>
        <w:ind w:left="1063" w:hanging="360"/>
      </w:pPr>
    </w:lvl>
    <w:lvl w:ilvl="2" w:tplc="080A001B" w:tentative="1">
      <w:start w:val="1"/>
      <w:numFmt w:val="lowerRoman"/>
      <w:lvlText w:val="%3."/>
      <w:lvlJc w:val="right"/>
      <w:pPr>
        <w:ind w:left="1783" w:hanging="180"/>
      </w:pPr>
    </w:lvl>
    <w:lvl w:ilvl="3" w:tplc="080A000F" w:tentative="1">
      <w:start w:val="1"/>
      <w:numFmt w:val="decimal"/>
      <w:lvlText w:val="%4."/>
      <w:lvlJc w:val="left"/>
      <w:pPr>
        <w:ind w:left="2503" w:hanging="360"/>
      </w:pPr>
    </w:lvl>
    <w:lvl w:ilvl="4" w:tplc="080A0019" w:tentative="1">
      <w:start w:val="1"/>
      <w:numFmt w:val="lowerLetter"/>
      <w:lvlText w:val="%5."/>
      <w:lvlJc w:val="left"/>
      <w:pPr>
        <w:ind w:left="3223" w:hanging="360"/>
      </w:pPr>
    </w:lvl>
    <w:lvl w:ilvl="5" w:tplc="080A001B" w:tentative="1">
      <w:start w:val="1"/>
      <w:numFmt w:val="lowerRoman"/>
      <w:lvlText w:val="%6."/>
      <w:lvlJc w:val="right"/>
      <w:pPr>
        <w:ind w:left="3943" w:hanging="180"/>
      </w:pPr>
    </w:lvl>
    <w:lvl w:ilvl="6" w:tplc="080A000F" w:tentative="1">
      <w:start w:val="1"/>
      <w:numFmt w:val="decimal"/>
      <w:lvlText w:val="%7."/>
      <w:lvlJc w:val="left"/>
      <w:pPr>
        <w:ind w:left="4663" w:hanging="360"/>
      </w:pPr>
    </w:lvl>
    <w:lvl w:ilvl="7" w:tplc="080A0019" w:tentative="1">
      <w:start w:val="1"/>
      <w:numFmt w:val="lowerLetter"/>
      <w:lvlText w:val="%8."/>
      <w:lvlJc w:val="left"/>
      <w:pPr>
        <w:ind w:left="5383" w:hanging="360"/>
      </w:pPr>
    </w:lvl>
    <w:lvl w:ilvl="8" w:tplc="080A001B" w:tentative="1">
      <w:start w:val="1"/>
      <w:numFmt w:val="lowerRoman"/>
      <w:lvlText w:val="%9."/>
      <w:lvlJc w:val="right"/>
      <w:pPr>
        <w:ind w:left="6103" w:hanging="180"/>
      </w:pPr>
    </w:lvl>
  </w:abstractNum>
  <w:abstractNum w:abstractNumId="19" w15:restartNumberingAfterBreak="0">
    <w:nsid w:val="7AE905AC"/>
    <w:multiLevelType w:val="hybridMultilevel"/>
    <w:tmpl w:val="B2BA3E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CD3015B"/>
    <w:multiLevelType w:val="multilevel"/>
    <w:tmpl w:val="9BEA0950"/>
    <w:numStyleLink w:val="Estilo2"/>
  </w:abstractNum>
  <w:abstractNum w:abstractNumId="21" w15:restartNumberingAfterBreak="0">
    <w:nsid w:val="7D5E4F74"/>
    <w:multiLevelType w:val="hybridMultilevel"/>
    <w:tmpl w:val="CE2602EE"/>
    <w:lvl w:ilvl="0" w:tplc="584A8182">
      <w:start w:val="3"/>
      <w:numFmt w:val="upperRoman"/>
      <w:lvlText w:val="%1."/>
      <w:lvlJc w:val="left"/>
      <w:pPr>
        <w:ind w:left="703"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5B22A0"/>
    <w:multiLevelType w:val="hybridMultilevel"/>
    <w:tmpl w:val="AB72E98C"/>
    <w:lvl w:ilvl="0" w:tplc="49128696">
      <w:numFmt w:val="bullet"/>
      <w:lvlText w:val=""/>
      <w:lvlJc w:val="left"/>
      <w:pPr>
        <w:ind w:left="1080" w:hanging="360"/>
      </w:pPr>
      <w:rPr>
        <w:rFonts w:ascii="Symbol" w:eastAsia="Calibri" w:hAnsi="Symbol"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9"/>
  </w:num>
  <w:num w:numId="7">
    <w:abstractNumId w:val="4"/>
  </w:num>
  <w:num w:numId="8">
    <w:abstractNumId w:val="8"/>
  </w:num>
  <w:num w:numId="9">
    <w:abstractNumId w:val="11"/>
  </w:num>
  <w:num w:numId="10">
    <w:abstractNumId w:val="10"/>
  </w:num>
  <w:num w:numId="11">
    <w:abstractNumId w:val="22"/>
  </w:num>
  <w:num w:numId="12">
    <w:abstractNumId w:val="20"/>
  </w:num>
  <w:num w:numId="13">
    <w:abstractNumId w:val="13"/>
  </w:num>
  <w:num w:numId="14">
    <w:abstractNumId w:val="14"/>
  </w:num>
  <w:num w:numId="15">
    <w:abstractNumId w:val="1"/>
  </w:num>
  <w:num w:numId="16">
    <w:abstractNumId w:val="12"/>
  </w:num>
  <w:num w:numId="17">
    <w:abstractNumId w:val="0"/>
  </w:num>
  <w:num w:numId="18">
    <w:abstractNumId w:val="3"/>
  </w:num>
  <w:num w:numId="19">
    <w:abstractNumId w:val="21"/>
  </w:num>
  <w:num w:numId="20">
    <w:abstractNumId w:val="16"/>
  </w:num>
  <w:num w:numId="21">
    <w:abstractNumId w:val="15"/>
  </w:num>
  <w:num w:numId="22">
    <w:abstractNumId w:val="6"/>
  </w:num>
  <w:num w:numId="23">
    <w:abstractNumId w:val="9"/>
  </w:num>
  <w:num w:numId="24">
    <w:abstractNumId w:val="17"/>
  </w:num>
  <w:num w:numId="2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activeWritingStyle w:appName="MSWord" w:lang="es-MX" w:vendorID="64" w:dllVersion="6" w:nlCheck="1" w:checkStyle="0"/>
  <w:activeWritingStyle w:appName="MSWord" w:lang="es-ES" w:vendorID="64" w:dllVersion="6" w:nlCheck="1" w:checkStyle="0"/>
  <w:activeWritingStyle w:appName="MSWord" w:lang="es-EC"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C" w:vendorID="64" w:dllVersion="0" w:nlCheck="1" w:checkStyle="0"/>
  <w:activeWritingStyle w:appName="MSWord" w:lang="es-MX"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C6"/>
    <w:rsid w:val="00000939"/>
    <w:rsid w:val="00000BC0"/>
    <w:rsid w:val="00000C56"/>
    <w:rsid w:val="000013A2"/>
    <w:rsid w:val="000021F1"/>
    <w:rsid w:val="000024ED"/>
    <w:rsid w:val="000026CF"/>
    <w:rsid w:val="00002BBA"/>
    <w:rsid w:val="00002FF3"/>
    <w:rsid w:val="00005EFB"/>
    <w:rsid w:val="0000619B"/>
    <w:rsid w:val="00007001"/>
    <w:rsid w:val="000071D0"/>
    <w:rsid w:val="00010B0B"/>
    <w:rsid w:val="00011008"/>
    <w:rsid w:val="00011260"/>
    <w:rsid w:val="0001191C"/>
    <w:rsid w:val="00011CC5"/>
    <w:rsid w:val="00012751"/>
    <w:rsid w:val="0001441D"/>
    <w:rsid w:val="00014A9A"/>
    <w:rsid w:val="00014E01"/>
    <w:rsid w:val="000155C6"/>
    <w:rsid w:val="0001581F"/>
    <w:rsid w:val="00015FCB"/>
    <w:rsid w:val="0001600E"/>
    <w:rsid w:val="00016490"/>
    <w:rsid w:val="000165E5"/>
    <w:rsid w:val="0001662F"/>
    <w:rsid w:val="00016F8E"/>
    <w:rsid w:val="00017438"/>
    <w:rsid w:val="0001771B"/>
    <w:rsid w:val="000179B4"/>
    <w:rsid w:val="00021BBF"/>
    <w:rsid w:val="00022297"/>
    <w:rsid w:val="00022DF0"/>
    <w:rsid w:val="00023002"/>
    <w:rsid w:val="000243A8"/>
    <w:rsid w:val="000249B2"/>
    <w:rsid w:val="0002712E"/>
    <w:rsid w:val="00030073"/>
    <w:rsid w:val="00031910"/>
    <w:rsid w:val="0003271B"/>
    <w:rsid w:val="000327A1"/>
    <w:rsid w:val="00033692"/>
    <w:rsid w:val="00033EC8"/>
    <w:rsid w:val="000343CA"/>
    <w:rsid w:val="000358B2"/>
    <w:rsid w:val="00035FC1"/>
    <w:rsid w:val="000365A5"/>
    <w:rsid w:val="0003662F"/>
    <w:rsid w:val="000369D1"/>
    <w:rsid w:val="0004041C"/>
    <w:rsid w:val="0004052B"/>
    <w:rsid w:val="00040B94"/>
    <w:rsid w:val="000427A7"/>
    <w:rsid w:val="0004321F"/>
    <w:rsid w:val="00043BE4"/>
    <w:rsid w:val="00044171"/>
    <w:rsid w:val="0004494C"/>
    <w:rsid w:val="00046FF1"/>
    <w:rsid w:val="0005172D"/>
    <w:rsid w:val="0005319C"/>
    <w:rsid w:val="0005415C"/>
    <w:rsid w:val="00054A4F"/>
    <w:rsid w:val="00054DC0"/>
    <w:rsid w:val="000559EE"/>
    <w:rsid w:val="00055FA5"/>
    <w:rsid w:val="000568E0"/>
    <w:rsid w:val="00057014"/>
    <w:rsid w:val="0006062B"/>
    <w:rsid w:val="00060955"/>
    <w:rsid w:val="00060A70"/>
    <w:rsid w:val="000623F9"/>
    <w:rsid w:val="00063227"/>
    <w:rsid w:val="0006322D"/>
    <w:rsid w:val="000638CB"/>
    <w:rsid w:val="00066498"/>
    <w:rsid w:val="000677C7"/>
    <w:rsid w:val="00067BD7"/>
    <w:rsid w:val="0007108C"/>
    <w:rsid w:val="000710E8"/>
    <w:rsid w:val="00071EF6"/>
    <w:rsid w:val="00073675"/>
    <w:rsid w:val="00073AA4"/>
    <w:rsid w:val="000741F8"/>
    <w:rsid w:val="00074691"/>
    <w:rsid w:val="000759E1"/>
    <w:rsid w:val="00076E03"/>
    <w:rsid w:val="00076FFE"/>
    <w:rsid w:val="00077701"/>
    <w:rsid w:val="000777CA"/>
    <w:rsid w:val="000777EE"/>
    <w:rsid w:val="00080308"/>
    <w:rsid w:val="00081354"/>
    <w:rsid w:val="0008265C"/>
    <w:rsid w:val="00082943"/>
    <w:rsid w:val="000829A0"/>
    <w:rsid w:val="000834B8"/>
    <w:rsid w:val="00083FDC"/>
    <w:rsid w:val="0008493A"/>
    <w:rsid w:val="0008671A"/>
    <w:rsid w:val="00086EF2"/>
    <w:rsid w:val="00087560"/>
    <w:rsid w:val="00090A05"/>
    <w:rsid w:val="0009104D"/>
    <w:rsid w:val="00094644"/>
    <w:rsid w:val="00094919"/>
    <w:rsid w:val="00094A5C"/>
    <w:rsid w:val="000951E0"/>
    <w:rsid w:val="00095671"/>
    <w:rsid w:val="0009589C"/>
    <w:rsid w:val="00096B1D"/>
    <w:rsid w:val="00097F46"/>
    <w:rsid w:val="000A0564"/>
    <w:rsid w:val="000A076B"/>
    <w:rsid w:val="000A081C"/>
    <w:rsid w:val="000A0CBD"/>
    <w:rsid w:val="000A0DB1"/>
    <w:rsid w:val="000A0F36"/>
    <w:rsid w:val="000A2141"/>
    <w:rsid w:val="000A237A"/>
    <w:rsid w:val="000A2D06"/>
    <w:rsid w:val="000A30C6"/>
    <w:rsid w:val="000A347A"/>
    <w:rsid w:val="000A34C4"/>
    <w:rsid w:val="000A39F1"/>
    <w:rsid w:val="000A65A2"/>
    <w:rsid w:val="000A7B2B"/>
    <w:rsid w:val="000A7B4D"/>
    <w:rsid w:val="000A7E21"/>
    <w:rsid w:val="000A7E44"/>
    <w:rsid w:val="000B1AF0"/>
    <w:rsid w:val="000B2898"/>
    <w:rsid w:val="000B425F"/>
    <w:rsid w:val="000B43B4"/>
    <w:rsid w:val="000B4F4D"/>
    <w:rsid w:val="000B5781"/>
    <w:rsid w:val="000B5AEF"/>
    <w:rsid w:val="000B5E23"/>
    <w:rsid w:val="000B72F1"/>
    <w:rsid w:val="000C1A8C"/>
    <w:rsid w:val="000C1E28"/>
    <w:rsid w:val="000C1E4C"/>
    <w:rsid w:val="000C29C1"/>
    <w:rsid w:val="000C3D9A"/>
    <w:rsid w:val="000C6C8A"/>
    <w:rsid w:val="000C7E5C"/>
    <w:rsid w:val="000D014F"/>
    <w:rsid w:val="000D08FC"/>
    <w:rsid w:val="000D1D57"/>
    <w:rsid w:val="000D282C"/>
    <w:rsid w:val="000D3147"/>
    <w:rsid w:val="000D40C5"/>
    <w:rsid w:val="000D5698"/>
    <w:rsid w:val="000D651B"/>
    <w:rsid w:val="000D7326"/>
    <w:rsid w:val="000D768C"/>
    <w:rsid w:val="000D79BE"/>
    <w:rsid w:val="000E0083"/>
    <w:rsid w:val="000E021A"/>
    <w:rsid w:val="000E16F4"/>
    <w:rsid w:val="000E3136"/>
    <w:rsid w:val="000E3FC0"/>
    <w:rsid w:val="000E4B26"/>
    <w:rsid w:val="000E57D4"/>
    <w:rsid w:val="000E5E1E"/>
    <w:rsid w:val="000F00A5"/>
    <w:rsid w:val="000F23CD"/>
    <w:rsid w:val="000F2E66"/>
    <w:rsid w:val="000F2F94"/>
    <w:rsid w:val="000F37D7"/>
    <w:rsid w:val="000F482B"/>
    <w:rsid w:val="000F484D"/>
    <w:rsid w:val="000F569A"/>
    <w:rsid w:val="000F7914"/>
    <w:rsid w:val="0010062D"/>
    <w:rsid w:val="0010137C"/>
    <w:rsid w:val="00102365"/>
    <w:rsid w:val="0010768D"/>
    <w:rsid w:val="00107D92"/>
    <w:rsid w:val="001108D2"/>
    <w:rsid w:val="00111420"/>
    <w:rsid w:val="00111C19"/>
    <w:rsid w:val="00113EC8"/>
    <w:rsid w:val="001171FD"/>
    <w:rsid w:val="00121BFC"/>
    <w:rsid w:val="001223C2"/>
    <w:rsid w:val="001238C4"/>
    <w:rsid w:val="00123C9A"/>
    <w:rsid w:val="0012456F"/>
    <w:rsid w:val="0012485A"/>
    <w:rsid w:val="00125417"/>
    <w:rsid w:val="001254AA"/>
    <w:rsid w:val="00126318"/>
    <w:rsid w:val="001278AE"/>
    <w:rsid w:val="00130376"/>
    <w:rsid w:val="00130AB0"/>
    <w:rsid w:val="001319F6"/>
    <w:rsid w:val="0013356F"/>
    <w:rsid w:val="00134378"/>
    <w:rsid w:val="001349E6"/>
    <w:rsid w:val="00136095"/>
    <w:rsid w:val="00136B69"/>
    <w:rsid w:val="0013768A"/>
    <w:rsid w:val="00140697"/>
    <w:rsid w:val="00142EBE"/>
    <w:rsid w:val="0014317B"/>
    <w:rsid w:val="00143248"/>
    <w:rsid w:val="00143A79"/>
    <w:rsid w:val="0014471C"/>
    <w:rsid w:val="001449B1"/>
    <w:rsid w:val="00147683"/>
    <w:rsid w:val="0015076F"/>
    <w:rsid w:val="00150876"/>
    <w:rsid w:val="001509A2"/>
    <w:rsid w:val="00151D4E"/>
    <w:rsid w:val="00151E9A"/>
    <w:rsid w:val="0015229A"/>
    <w:rsid w:val="00155156"/>
    <w:rsid w:val="0015748F"/>
    <w:rsid w:val="00157F8C"/>
    <w:rsid w:val="00157FFD"/>
    <w:rsid w:val="0016120D"/>
    <w:rsid w:val="00163208"/>
    <w:rsid w:val="001638A6"/>
    <w:rsid w:val="00164D24"/>
    <w:rsid w:val="001666FE"/>
    <w:rsid w:val="00166D37"/>
    <w:rsid w:val="001671AB"/>
    <w:rsid w:val="00170458"/>
    <w:rsid w:val="00170927"/>
    <w:rsid w:val="00171D71"/>
    <w:rsid w:val="00172BE1"/>
    <w:rsid w:val="00173B1E"/>
    <w:rsid w:val="001745CE"/>
    <w:rsid w:val="00176BA9"/>
    <w:rsid w:val="00176C41"/>
    <w:rsid w:val="001771D1"/>
    <w:rsid w:val="0017725D"/>
    <w:rsid w:val="001803E3"/>
    <w:rsid w:val="00181731"/>
    <w:rsid w:val="001823C2"/>
    <w:rsid w:val="00183799"/>
    <w:rsid w:val="0018434A"/>
    <w:rsid w:val="001845D0"/>
    <w:rsid w:val="00184DB3"/>
    <w:rsid w:val="00184DFE"/>
    <w:rsid w:val="00185B25"/>
    <w:rsid w:val="00186DEE"/>
    <w:rsid w:val="00187CE0"/>
    <w:rsid w:val="00191B18"/>
    <w:rsid w:val="00193573"/>
    <w:rsid w:val="0019490F"/>
    <w:rsid w:val="00194A1D"/>
    <w:rsid w:val="00196298"/>
    <w:rsid w:val="001A018F"/>
    <w:rsid w:val="001A076B"/>
    <w:rsid w:val="001A0E14"/>
    <w:rsid w:val="001A200D"/>
    <w:rsid w:val="001A378B"/>
    <w:rsid w:val="001A4F59"/>
    <w:rsid w:val="001A55D2"/>
    <w:rsid w:val="001A56D2"/>
    <w:rsid w:val="001A5726"/>
    <w:rsid w:val="001A5A7B"/>
    <w:rsid w:val="001A77BD"/>
    <w:rsid w:val="001B2234"/>
    <w:rsid w:val="001B2A90"/>
    <w:rsid w:val="001B3050"/>
    <w:rsid w:val="001B31EE"/>
    <w:rsid w:val="001B320F"/>
    <w:rsid w:val="001B3294"/>
    <w:rsid w:val="001B33DE"/>
    <w:rsid w:val="001B3963"/>
    <w:rsid w:val="001B5767"/>
    <w:rsid w:val="001B7C63"/>
    <w:rsid w:val="001C0958"/>
    <w:rsid w:val="001C0FF0"/>
    <w:rsid w:val="001C1461"/>
    <w:rsid w:val="001C29A5"/>
    <w:rsid w:val="001C2A27"/>
    <w:rsid w:val="001C3085"/>
    <w:rsid w:val="001C3BA1"/>
    <w:rsid w:val="001C43AA"/>
    <w:rsid w:val="001C44B7"/>
    <w:rsid w:val="001C4D00"/>
    <w:rsid w:val="001C5E09"/>
    <w:rsid w:val="001C6231"/>
    <w:rsid w:val="001C6D3F"/>
    <w:rsid w:val="001C73BE"/>
    <w:rsid w:val="001C73FA"/>
    <w:rsid w:val="001C7469"/>
    <w:rsid w:val="001D2135"/>
    <w:rsid w:val="001D21A7"/>
    <w:rsid w:val="001D397F"/>
    <w:rsid w:val="001D4D6C"/>
    <w:rsid w:val="001D5648"/>
    <w:rsid w:val="001D6DDC"/>
    <w:rsid w:val="001D7155"/>
    <w:rsid w:val="001D79AE"/>
    <w:rsid w:val="001E1D4A"/>
    <w:rsid w:val="001E2792"/>
    <w:rsid w:val="001E5757"/>
    <w:rsid w:val="001E62D0"/>
    <w:rsid w:val="001E678D"/>
    <w:rsid w:val="001E697F"/>
    <w:rsid w:val="001F0780"/>
    <w:rsid w:val="001F139F"/>
    <w:rsid w:val="001F1EEC"/>
    <w:rsid w:val="001F3877"/>
    <w:rsid w:val="001F3FB6"/>
    <w:rsid w:val="001F438D"/>
    <w:rsid w:val="001F4E13"/>
    <w:rsid w:val="001F7003"/>
    <w:rsid w:val="001F7740"/>
    <w:rsid w:val="001F7E16"/>
    <w:rsid w:val="00201591"/>
    <w:rsid w:val="002019B9"/>
    <w:rsid w:val="00201C15"/>
    <w:rsid w:val="00201F75"/>
    <w:rsid w:val="00202BC2"/>
    <w:rsid w:val="00202F78"/>
    <w:rsid w:val="00204690"/>
    <w:rsid w:val="00204EAC"/>
    <w:rsid w:val="0020695B"/>
    <w:rsid w:val="0020706C"/>
    <w:rsid w:val="00211161"/>
    <w:rsid w:val="0021153D"/>
    <w:rsid w:val="002119D7"/>
    <w:rsid w:val="002126EA"/>
    <w:rsid w:val="00212BE2"/>
    <w:rsid w:val="00212C79"/>
    <w:rsid w:val="0021451D"/>
    <w:rsid w:val="0021537B"/>
    <w:rsid w:val="00220302"/>
    <w:rsid w:val="00221098"/>
    <w:rsid w:val="0022252D"/>
    <w:rsid w:val="002233BC"/>
    <w:rsid w:val="00223876"/>
    <w:rsid w:val="00224EBD"/>
    <w:rsid w:val="00225048"/>
    <w:rsid w:val="00225F1B"/>
    <w:rsid w:val="002269EA"/>
    <w:rsid w:val="002277B7"/>
    <w:rsid w:val="00230CCB"/>
    <w:rsid w:val="00231E8D"/>
    <w:rsid w:val="00232052"/>
    <w:rsid w:val="00232C63"/>
    <w:rsid w:val="00232DF1"/>
    <w:rsid w:val="0023338B"/>
    <w:rsid w:val="00234538"/>
    <w:rsid w:val="00234B82"/>
    <w:rsid w:val="00235CC3"/>
    <w:rsid w:val="00237CAD"/>
    <w:rsid w:val="0024027E"/>
    <w:rsid w:val="00240B9A"/>
    <w:rsid w:val="002413D2"/>
    <w:rsid w:val="00241400"/>
    <w:rsid w:val="00241B0A"/>
    <w:rsid w:val="00241D49"/>
    <w:rsid w:val="0024242B"/>
    <w:rsid w:val="0024390B"/>
    <w:rsid w:val="00244681"/>
    <w:rsid w:val="00244AD7"/>
    <w:rsid w:val="00246299"/>
    <w:rsid w:val="0024795D"/>
    <w:rsid w:val="00250623"/>
    <w:rsid w:val="0025146B"/>
    <w:rsid w:val="002519AE"/>
    <w:rsid w:val="00252326"/>
    <w:rsid w:val="00254168"/>
    <w:rsid w:val="002550A4"/>
    <w:rsid w:val="002557E6"/>
    <w:rsid w:val="002558EB"/>
    <w:rsid w:val="00255DE1"/>
    <w:rsid w:val="0025602E"/>
    <w:rsid w:val="00256CFD"/>
    <w:rsid w:val="00256DD8"/>
    <w:rsid w:val="002575E9"/>
    <w:rsid w:val="002610C3"/>
    <w:rsid w:val="002617B7"/>
    <w:rsid w:val="00261B6F"/>
    <w:rsid w:val="00262118"/>
    <w:rsid w:val="0026256F"/>
    <w:rsid w:val="002625EB"/>
    <w:rsid w:val="00262DE6"/>
    <w:rsid w:val="00263580"/>
    <w:rsid w:val="002638AC"/>
    <w:rsid w:val="002652BC"/>
    <w:rsid w:val="00265AF3"/>
    <w:rsid w:val="00266309"/>
    <w:rsid w:val="002663F5"/>
    <w:rsid w:val="002669C8"/>
    <w:rsid w:val="00266D06"/>
    <w:rsid w:val="002704A0"/>
    <w:rsid w:val="00271F82"/>
    <w:rsid w:val="0027223A"/>
    <w:rsid w:val="002724A9"/>
    <w:rsid w:val="00272E08"/>
    <w:rsid w:val="0027329E"/>
    <w:rsid w:val="00273454"/>
    <w:rsid w:val="00273BD1"/>
    <w:rsid w:val="00274857"/>
    <w:rsid w:val="002757B4"/>
    <w:rsid w:val="0027629D"/>
    <w:rsid w:val="00276D93"/>
    <w:rsid w:val="0027779F"/>
    <w:rsid w:val="00280430"/>
    <w:rsid w:val="00281BE5"/>
    <w:rsid w:val="00282D8C"/>
    <w:rsid w:val="00284C72"/>
    <w:rsid w:val="00284F8E"/>
    <w:rsid w:val="00285D4A"/>
    <w:rsid w:val="00285EC4"/>
    <w:rsid w:val="0028607D"/>
    <w:rsid w:val="00286AEB"/>
    <w:rsid w:val="00287794"/>
    <w:rsid w:val="002879EF"/>
    <w:rsid w:val="00291465"/>
    <w:rsid w:val="00291BB6"/>
    <w:rsid w:val="00291CC5"/>
    <w:rsid w:val="00291F6E"/>
    <w:rsid w:val="00292316"/>
    <w:rsid w:val="00292921"/>
    <w:rsid w:val="0029295B"/>
    <w:rsid w:val="00292A0E"/>
    <w:rsid w:val="002939A5"/>
    <w:rsid w:val="00293F03"/>
    <w:rsid w:val="0029561A"/>
    <w:rsid w:val="002962BF"/>
    <w:rsid w:val="0029674F"/>
    <w:rsid w:val="002A0883"/>
    <w:rsid w:val="002A0BF3"/>
    <w:rsid w:val="002A0E98"/>
    <w:rsid w:val="002A1077"/>
    <w:rsid w:val="002A1981"/>
    <w:rsid w:val="002A1E84"/>
    <w:rsid w:val="002A2852"/>
    <w:rsid w:val="002A452A"/>
    <w:rsid w:val="002A48A2"/>
    <w:rsid w:val="002A4BDC"/>
    <w:rsid w:val="002A5781"/>
    <w:rsid w:val="002A61DB"/>
    <w:rsid w:val="002A6285"/>
    <w:rsid w:val="002A6357"/>
    <w:rsid w:val="002A73D1"/>
    <w:rsid w:val="002A76B7"/>
    <w:rsid w:val="002A7C92"/>
    <w:rsid w:val="002B06ED"/>
    <w:rsid w:val="002B0CC8"/>
    <w:rsid w:val="002B0E11"/>
    <w:rsid w:val="002B134D"/>
    <w:rsid w:val="002B27F7"/>
    <w:rsid w:val="002B2DA2"/>
    <w:rsid w:val="002B38A4"/>
    <w:rsid w:val="002B3B6B"/>
    <w:rsid w:val="002B59D7"/>
    <w:rsid w:val="002B5A32"/>
    <w:rsid w:val="002B6147"/>
    <w:rsid w:val="002B6902"/>
    <w:rsid w:val="002B765C"/>
    <w:rsid w:val="002B76AC"/>
    <w:rsid w:val="002C0AF8"/>
    <w:rsid w:val="002C56C0"/>
    <w:rsid w:val="002C5EBB"/>
    <w:rsid w:val="002C6326"/>
    <w:rsid w:val="002D00A3"/>
    <w:rsid w:val="002D1CF2"/>
    <w:rsid w:val="002D25C2"/>
    <w:rsid w:val="002D3932"/>
    <w:rsid w:val="002D64DC"/>
    <w:rsid w:val="002D7B36"/>
    <w:rsid w:val="002D7B65"/>
    <w:rsid w:val="002D7D6E"/>
    <w:rsid w:val="002E1FE7"/>
    <w:rsid w:val="002E2569"/>
    <w:rsid w:val="002E50B9"/>
    <w:rsid w:val="002E552D"/>
    <w:rsid w:val="002F0218"/>
    <w:rsid w:val="002F122B"/>
    <w:rsid w:val="002F4749"/>
    <w:rsid w:val="002F5627"/>
    <w:rsid w:val="002F7A92"/>
    <w:rsid w:val="00301553"/>
    <w:rsid w:val="00301BB9"/>
    <w:rsid w:val="003033B9"/>
    <w:rsid w:val="00303AC2"/>
    <w:rsid w:val="00304B3D"/>
    <w:rsid w:val="00304D13"/>
    <w:rsid w:val="00305742"/>
    <w:rsid w:val="00307264"/>
    <w:rsid w:val="00310BD9"/>
    <w:rsid w:val="00311020"/>
    <w:rsid w:val="00311FD7"/>
    <w:rsid w:val="003122FD"/>
    <w:rsid w:val="003129F8"/>
    <w:rsid w:val="0031305F"/>
    <w:rsid w:val="00314100"/>
    <w:rsid w:val="0031470E"/>
    <w:rsid w:val="00315230"/>
    <w:rsid w:val="00316C30"/>
    <w:rsid w:val="00316EF5"/>
    <w:rsid w:val="00317792"/>
    <w:rsid w:val="00317D52"/>
    <w:rsid w:val="00320898"/>
    <w:rsid w:val="00320AB9"/>
    <w:rsid w:val="003222BB"/>
    <w:rsid w:val="00323454"/>
    <w:rsid w:val="00323853"/>
    <w:rsid w:val="00323DB7"/>
    <w:rsid w:val="00325127"/>
    <w:rsid w:val="00325258"/>
    <w:rsid w:val="00325307"/>
    <w:rsid w:val="00325B02"/>
    <w:rsid w:val="00326ABC"/>
    <w:rsid w:val="00327748"/>
    <w:rsid w:val="00327D36"/>
    <w:rsid w:val="00331136"/>
    <w:rsid w:val="00331140"/>
    <w:rsid w:val="003313A9"/>
    <w:rsid w:val="00332E89"/>
    <w:rsid w:val="00332F2D"/>
    <w:rsid w:val="00333D1B"/>
    <w:rsid w:val="00333FD3"/>
    <w:rsid w:val="00334AB4"/>
    <w:rsid w:val="00335B33"/>
    <w:rsid w:val="00336254"/>
    <w:rsid w:val="00336CF4"/>
    <w:rsid w:val="0033709D"/>
    <w:rsid w:val="00337BA0"/>
    <w:rsid w:val="00340B72"/>
    <w:rsid w:val="00340B8F"/>
    <w:rsid w:val="00341A6C"/>
    <w:rsid w:val="00341ECF"/>
    <w:rsid w:val="003423E4"/>
    <w:rsid w:val="003427B2"/>
    <w:rsid w:val="00343851"/>
    <w:rsid w:val="00344208"/>
    <w:rsid w:val="0034444F"/>
    <w:rsid w:val="0034595F"/>
    <w:rsid w:val="00345A60"/>
    <w:rsid w:val="00345BCF"/>
    <w:rsid w:val="003478F5"/>
    <w:rsid w:val="003479E5"/>
    <w:rsid w:val="00347AB1"/>
    <w:rsid w:val="00350299"/>
    <w:rsid w:val="0035139E"/>
    <w:rsid w:val="00351CBF"/>
    <w:rsid w:val="0035261B"/>
    <w:rsid w:val="00355819"/>
    <w:rsid w:val="00357392"/>
    <w:rsid w:val="003575C3"/>
    <w:rsid w:val="00357FFE"/>
    <w:rsid w:val="00360633"/>
    <w:rsid w:val="00360B7D"/>
    <w:rsid w:val="00360BEF"/>
    <w:rsid w:val="00361AA6"/>
    <w:rsid w:val="00361D78"/>
    <w:rsid w:val="00364064"/>
    <w:rsid w:val="0036416A"/>
    <w:rsid w:val="003652F3"/>
    <w:rsid w:val="00370224"/>
    <w:rsid w:val="0037061F"/>
    <w:rsid w:val="003708AC"/>
    <w:rsid w:val="00370C00"/>
    <w:rsid w:val="00370D2D"/>
    <w:rsid w:val="00373550"/>
    <w:rsid w:val="00373760"/>
    <w:rsid w:val="00374B5F"/>
    <w:rsid w:val="00374FAF"/>
    <w:rsid w:val="003751CC"/>
    <w:rsid w:val="00375B4E"/>
    <w:rsid w:val="003767BD"/>
    <w:rsid w:val="00377009"/>
    <w:rsid w:val="00377AD4"/>
    <w:rsid w:val="003800E0"/>
    <w:rsid w:val="003808BE"/>
    <w:rsid w:val="003810B2"/>
    <w:rsid w:val="00381666"/>
    <w:rsid w:val="00381A78"/>
    <w:rsid w:val="00382773"/>
    <w:rsid w:val="00383349"/>
    <w:rsid w:val="00384F41"/>
    <w:rsid w:val="003858E8"/>
    <w:rsid w:val="00386540"/>
    <w:rsid w:val="003878C2"/>
    <w:rsid w:val="003908C8"/>
    <w:rsid w:val="00390EAF"/>
    <w:rsid w:val="00391EFE"/>
    <w:rsid w:val="0039295D"/>
    <w:rsid w:val="00392DEE"/>
    <w:rsid w:val="0039592C"/>
    <w:rsid w:val="0039614A"/>
    <w:rsid w:val="00396E60"/>
    <w:rsid w:val="00397776"/>
    <w:rsid w:val="0039782A"/>
    <w:rsid w:val="003A0031"/>
    <w:rsid w:val="003A07E2"/>
    <w:rsid w:val="003A084D"/>
    <w:rsid w:val="003A08CE"/>
    <w:rsid w:val="003A1016"/>
    <w:rsid w:val="003A21CF"/>
    <w:rsid w:val="003A3370"/>
    <w:rsid w:val="003A3ECF"/>
    <w:rsid w:val="003A6A3C"/>
    <w:rsid w:val="003A6DE8"/>
    <w:rsid w:val="003A7D93"/>
    <w:rsid w:val="003B2C62"/>
    <w:rsid w:val="003B3347"/>
    <w:rsid w:val="003B5F98"/>
    <w:rsid w:val="003C0878"/>
    <w:rsid w:val="003C26C9"/>
    <w:rsid w:val="003C4583"/>
    <w:rsid w:val="003C49D1"/>
    <w:rsid w:val="003C54FF"/>
    <w:rsid w:val="003C55F1"/>
    <w:rsid w:val="003C56D1"/>
    <w:rsid w:val="003C5C65"/>
    <w:rsid w:val="003C5DF0"/>
    <w:rsid w:val="003C711E"/>
    <w:rsid w:val="003C7124"/>
    <w:rsid w:val="003C76C8"/>
    <w:rsid w:val="003D1519"/>
    <w:rsid w:val="003D15BA"/>
    <w:rsid w:val="003D15E4"/>
    <w:rsid w:val="003D1DE7"/>
    <w:rsid w:val="003D22BB"/>
    <w:rsid w:val="003D23FD"/>
    <w:rsid w:val="003D36D7"/>
    <w:rsid w:val="003D37CB"/>
    <w:rsid w:val="003D413E"/>
    <w:rsid w:val="003D4268"/>
    <w:rsid w:val="003D5129"/>
    <w:rsid w:val="003D5BA1"/>
    <w:rsid w:val="003D5D11"/>
    <w:rsid w:val="003D65AA"/>
    <w:rsid w:val="003D695F"/>
    <w:rsid w:val="003D6D5C"/>
    <w:rsid w:val="003E18E9"/>
    <w:rsid w:val="003E2A9C"/>
    <w:rsid w:val="003E4D0F"/>
    <w:rsid w:val="003E74A4"/>
    <w:rsid w:val="003E7F0F"/>
    <w:rsid w:val="003F0D99"/>
    <w:rsid w:val="003F17AE"/>
    <w:rsid w:val="003F29B1"/>
    <w:rsid w:val="003F373E"/>
    <w:rsid w:val="003F3BC2"/>
    <w:rsid w:val="003F512D"/>
    <w:rsid w:val="003F7546"/>
    <w:rsid w:val="003F7AF7"/>
    <w:rsid w:val="0040056D"/>
    <w:rsid w:val="00402736"/>
    <w:rsid w:val="00402BD6"/>
    <w:rsid w:val="004052FC"/>
    <w:rsid w:val="004101EF"/>
    <w:rsid w:val="00410587"/>
    <w:rsid w:val="004107DF"/>
    <w:rsid w:val="00411506"/>
    <w:rsid w:val="00413EC3"/>
    <w:rsid w:val="00414CD9"/>
    <w:rsid w:val="00415BA5"/>
    <w:rsid w:val="00420240"/>
    <w:rsid w:val="004207A9"/>
    <w:rsid w:val="00421A98"/>
    <w:rsid w:val="00424019"/>
    <w:rsid w:val="00424465"/>
    <w:rsid w:val="0042679B"/>
    <w:rsid w:val="004337D6"/>
    <w:rsid w:val="00433EAB"/>
    <w:rsid w:val="0043522D"/>
    <w:rsid w:val="00435373"/>
    <w:rsid w:val="00436F7B"/>
    <w:rsid w:val="00441ACF"/>
    <w:rsid w:val="00442B65"/>
    <w:rsid w:val="004436A8"/>
    <w:rsid w:val="00443CE2"/>
    <w:rsid w:val="00443E30"/>
    <w:rsid w:val="00443F2F"/>
    <w:rsid w:val="00444CBB"/>
    <w:rsid w:val="0044564D"/>
    <w:rsid w:val="00445D0C"/>
    <w:rsid w:val="004464E2"/>
    <w:rsid w:val="00446DB3"/>
    <w:rsid w:val="004473F7"/>
    <w:rsid w:val="00447594"/>
    <w:rsid w:val="00450225"/>
    <w:rsid w:val="00451F12"/>
    <w:rsid w:val="0045209E"/>
    <w:rsid w:val="0045278A"/>
    <w:rsid w:val="004537D1"/>
    <w:rsid w:val="004542C5"/>
    <w:rsid w:val="00454DE5"/>
    <w:rsid w:val="00456719"/>
    <w:rsid w:val="0045732A"/>
    <w:rsid w:val="004576AA"/>
    <w:rsid w:val="00460312"/>
    <w:rsid w:val="004610B0"/>
    <w:rsid w:val="004611CD"/>
    <w:rsid w:val="00462BA1"/>
    <w:rsid w:val="00462C4B"/>
    <w:rsid w:val="00463B0E"/>
    <w:rsid w:val="00465770"/>
    <w:rsid w:val="00465D53"/>
    <w:rsid w:val="00471115"/>
    <w:rsid w:val="00471CCE"/>
    <w:rsid w:val="004722F7"/>
    <w:rsid w:val="00472C8D"/>
    <w:rsid w:val="00473139"/>
    <w:rsid w:val="004740CA"/>
    <w:rsid w:val="00477DF5"/>
    <w:rsid w:val="00477F96"/>
    <w:rsid w:val="00482C5E"/>
    <w:rsid w:val="004854CD"/>
    <w:rsid w:val="00485D14"/>
    <w:rsid w:val="0048685F"/>
    <w:rsid w:val="004871E4"/>
    <w:rsid w:val="004906DC"/>
    <w:rsid w:val="00491220"/>
    <w:rsid w:val="004918FA"/>
    <w:rsid w:val="00492344"/>
    <w:rsid w:val="004927F9"/>
    <w:rsid w:val="00492C95"/>
    <w:rsid w:val="004930C0"/>
    <w:rsid w:val="0049393F"/>
    <w:rsid w:val="00494B4D"/>
    <w:rsid w:val="00494F7F"/>
    <w:rsid w:val="00495713"/>
    <w:rsid w:val="00497233"/>
    <w:rsid w:val="004A1188"/>
    <w:rsid w:val="004A3136"/>
    <w:rsid w:val="004A33B3"/>
    <w:rsid w:val="004A500A"/>
    <w:rsid w:val="004A560C"/>
    <w:rsid w:val="004A590C"/>
    <w:rsid w:val="004A69C6"/>
    <w:rsid w:val="004A6E5D"/>
    <w:rsid w:val="004A76C5"/>
    <w:rsid w:val="004A7E06"/>
    <w:rsid w:val="004B1A42"/>
    <w:rsid w:val="004B1F55"/>
    <w:rsid w:val="004B2D21"/>
    <w:rsid w:val="004B5D0A"/>
    <w:rsid w:val="004B5EE1"/>
    <w:rsid w:val="004B622B"/>
    <w:rsid w:val="004C0D2F"/>
    <w:rsid w:val="004C19B6"/>
    <w:rsid w:val="004C2893"/>
    <w:rsid w:val="004C2C31"/>
    <w:rsid w:val="004C673C"/>
    <w:rsid w:val="004C7D5D"/>
    <w:rsid w:val="004D02BA"/>
    <w:rsid w:val="004D0AA1"/>
    <w:rsid w:val="004D13F5"/>
    <w:rsid w:val="004D17F2"/>
    <w:rsid w:val="004D23CD"/>
    <w:rsid w:val="004D2C6C"/>
    <w:rsid w:val="004D3A01"/>
    <w:rsid w:val="004D3C03"/>
    <w:rsid w:val="004D514E"/>
    <w:rsid w:val="004E3ABD"/>
    <w:rsid w:val="004E43CC"/>
    <w:rsid w:val="004E5920"/>
    <w:rsid w:val="004E6A38"/>
    <w:rsid w:val="004E7515"/>
    <w:rsid w:val="004E786B"/>
    <w:rsid w:val="004F1666"/>
    <w:rsid w:val="004F1A0B"/>
    <w:rsid w:val="004F21C1"/>
    <w:rsid w:val="004F38FC"/>
    <w:rsid w:val="004F3A22"/>
    <w:rsid w:val="004F3AD7"/>
    <w:rsid w:val="004F47CD"/>
    <w:rsid w:val="004F59B2"/>
    <w:rsid w:val="004F64F0"/>
    <w:rsid w:val="004F731E"/>
    <w:rsid w:val="004F76C6"/>
    <w:rsid w:val="00500A18"/>
    <w:rsid w:val="00500BFE"/>
    <w:rsid w:val="00500C18"/>
    <w:rsid w:val="0050218F"/>
    <w:rsid w:val="00503E80"/>
    <w:rsid w:val="0050573B"/>
    <w:rsid w:val="00505AB3"/>
    <w:rsid w:val="00505CBE"/>
    <w:rsid w:val="00506661"/>
    <w:rsid w:val="005070BE"/>
    <w:rsid w:val="00507755"/>
    <w:rsid w:val="00510679"/>
    <w:rsid w:val="00512393"/>
    <w:rsid w:val="005129F5"/>
    <w:rsid w:val="005131AF"/>
    <w:rsid w:val="00515E6E"/>
    <w:rsid w:val="0052021B"/>
    <w:rsid w:val="0052075E"/>
    <w:rsid w:val="005207B2"/>
    <w:rsid w:val="00522C81"/>
    <w:rsid w:val="00523471"/>
    <w:rsid w:val="00524335"/>
    <w:rsid w:val="00524751"/>
    <w:rsid w:val="0052520F"/>
    <w:rsid w:val="00525C5D"/>
    <w:rsid w:val="00531054"/>
    <w:rsid w:val="005313E6"/>
    <w:rsid w:val="00532D63"/>
    <w:rsid w:val="00532D78"/>
    <w:rsid w:val="00532DEF"/>
    <w:rsid w:val="00534CF9"/>
    <w:rsid w:val="00534FD3"/>
    <w:rsid w:val="0053510A"/>
    <w:rsid w:val="00535B55"/>
    <w:rsid w:val="00536012"/>
    <w:rsid w:val="0053611F"/>
    <w:rsid w:val="0053757C"/>
    <w:rsid w:val="00540385"/>
    <w:rsid w:val="00540611"/>
    <w:rsid w:val="005411C0"/>
    <w:rsid w:val="00541E60"/>
    <w:rsid w:val="00542AC2"/>
    <w:rsid w:val="00543A8A"/>
    <w:rsid w:val="00545E21"/>
    <w:rsid w:val="00546481"/>
    <w:rsid w:val="005466EA"/>
    <w:rsid w:val="00546772"/>
    <w:rsid w:val="00546C5D"/>
    <w:rsid w:val="00546CAF"/>
    <w:rsid w:val="00546EBA"/>
    <w:rsid w:val="00547AEB"/>
    <w:rsid w:val="00551210"/>
    <w:rsid w:val="00551CFD"/>
    <w:rsid w:val="00551DE8"/>
    <w:rsid w:val="00553718"/>
    <w:rsid w:val="00553E4C"/>
    <w:rsid w:val="00553EE1"/>
    <w:rsid w:val="0055485A"/>
    <w:rsid w:val="00554F6D"/>
    <w:rsid w:val="0055571C"/>
    <w:rsid w:val="0056036A"/>
    <w:rsid w:val="005614C2"/>
    <w:rsid w:val="00562E9D"/>
    <w:rsid w:val="005639A0"/>
    <w:rsid w:val="00563B74"/>
    <w:rsid w:val="00564B66"/>
    <w:rsid w:val="0056500B"/>
    <w:rsid w:val="005669A3"/>
    <w:rsid w:val="00566CFD"/>
    <w:rsid w:val="0056727F"/>
    <w:rsid w:val="00567FA3"/>
    <w:rsid w:val="00570049"/>
    <w:rsid w:val="0057194E"/>
    <w:rsid w:val="0057245F"/>
    <w:rsid w:val="00572EE2"/>
    <w:rsid w:val="005733F2"/>
    <w:rsid w:val="00574AF8"/>
    <w:rsid w:val="00574B98"/>
    <w:rsid w:val="00575576"/>
    <w:rsid w:val="005765C9"/>
    <w:rsid w:val="00576C24"/>
    <w:rsid w:val="005775DE"/>
    <w:rsid w:val="0058267C"/>
    <w:rsid w:val="00583267"/>
    <w:rsid w:val="00583989"/>
    <w:rsid w:val="00584E47"/>
    <w:rsid w:val="00587886"/>
    <w:rsid w:val="00587D5A"/>
    <w:rsid w:val="00590F98"/>
    <w:rsid w:val="00591114"/>
    <w:rsid w:val="00594D15"/>
    <w:rsid w:val="005959E3"/>
    <w:rsid w:val="00596A27"/>
    <w:rsid w:val="005A0530"/>
    <w:rsid w:val="005A07A2"/>
    <w:rsid w:val="005A0F6B"/>
    <w:rsid w:val="005A2B2D"/>
    <w:rsid w:val="005A4052"/>
    <w:rsid w:val="005A46A2"/>
    <w:rsid w:val="005A64E4"/>
    <w:rsid w:val="005B1694"/>
    <w:rsid w:val="005B16F0"/>
    <w:rsid w:val="005B17BB"/>
    <w:rsid w:val="005B2600"/>
    <w:rsid w:val="005B2ADA"/>
    <w:rsid w:val="005B2B0C"/>
    <w:rsid w:val="005B511E"/>
    <w:rsid w:val="005B5160"/>
    <w:rsid w:val="005B749D"/>
    <w:rsid w:val="005B7F0A"/>
    <w:rsid w:val="005C042F"/>
    <w:rsid w:val="005C1540"/>
    <w:rsid w:val="005C20AF"/>
    <w:rsid w:val="005C2204"/>
    <w:rsid w:val="005C247E"/>
    <w:rsid w:val="005C2E8E"/>
    <w:rsid w:val="005C3B17"/>
    <w:rsid w:val="005C49D7"/>
    <w:rsid w:val="005C5C9C"/>
    <w:rsid w:val="005C7E12"/>
    <w:rsid w:val="005D05AE"/>
    <w:rsid w:val="005D08FE"/>
    <w:rsid w:val="005D0F94"/>
    <w:rsid w:val="005D1728"/>
    <w:rsid w:val="005D24FB"/>
    <w:rsid w:val="005D27F7"/>
    <w:rsid w:val="005D2D30"/>
    <w:rsid w:val="005D4C4F"/>
    <w:rsid w:val="005D5D4A"/>
    <w:rsid w:val="005D6925"/>
    <w:rsid w:val="005D7922"/>
    <w:rsid w:val="005D7AB5"/>
    <w:rsid w:val="005E024C"/>
    <w:rsid w:val="005E05A3"/>
    <w:rsid w:val="005E10E5"/>
    <w:rsid w:val="005E2698"/>
    <w:rsid w:val="005E5271"/>
    <w:rsid w:val="005E7B38"/>
    <w:rsid w:val="005F05A4"/>
    <w:rsid w:val="005F0DC7"/>
    <w:rsid w:val="005F10F9"/>
    <w:rsid w:val="005F20C6"/>
    <w:rsid w:val="005F30C1"/>
    <w:rsid w:val="005F3CFC"/>
    <w:rsid w:val="005F6057"/>
    <w:rsid w:val="005F661C"/>
    <w:rsid w:val="005F6FD9"/>
    <w:rsid w:val="005F7C55"/>
    <w:rsid w:val="005F7C6C"/>
    <w:rsid w:val="00601ABE"/>
    <w:rsid w:val="00601E99"/>
    <w:rsid w:val="00602841"/>
    <w:rsid w:val="0060331C"/>
    <w:rsid w:val="006040DF"/>
    <w:rsid w:val="0060431F"/>
    <w:rsid w:val="00605D11"/>
    <w:rsid w:val="0060684F"/>
    <w:rsid w:val="00606DB2"/>
    <w:rsid w:val="00607248"/>
    <w:rsid w:val="00607626"/>
    <w:rsid w:val="00610DBC"/>
    <w:rsid w:val="00611774"/>
    <w:rsid w:val="006127B2"/>
    <w:rsid w:val="0061398F"/>
    <w:rsid w:val="00613A1B"/>
    <w:rsid w:val="00614C3E"/>
    <w:rsid w:val="0061536B"/>
    <w:rsid w:val="00616344"/>
    <w:rsid w:val="00617F41"/>
    <w:rsid w:val="006213A8"/>
    <w:rsid w:val="00621596"/>
    <w:rsid w:val="00622136"/>
    <w:rsid w:val="00624A9C"/>
    <w:rsid w:val="00626635"/>
    <w:rsid w:val="0062713E"/>
    <w:rsid w:val="00630139"/>
    <w:rsid w:val="0063046B"/>
    <w:rsid w:val="0063049B"/>
    <w:rsid w:val="006316D8"/>
    <w:rsid w:val="00631728"/>
    <w:rsid w:val="00631F7D"/>
    <w:rsid w:val="00632201"/>
    <w:rsid w:val="006323A5"/>
    <w:rsid w:val="00633724"/>
    <w:rsid w:val="00634EB1"/>
    <w:rsid w:val="006365FC"/>
    <w:rsid w:val="00636BDD"/>
    <w:rsid w:val="00637136"/>
    <w:rsid w:val="00637565"/>
    <w:rsid w:val="0063792A"/>
    <w:rsid w:val="00637C0B"/>
    <w:rsid w:val="00641144"/>
    <w:rsid w:val="00641337"/>
    <w:rsid w:val="0064140B"/>
    <w:rsid w:val="00642B98"/>
    <w:rsid w:val="00642C42"/>
    <w:rsid w:val="00643DC5"/>
    <w:rsid w:val="00644261"/>
    <w:rsid w:val="00644986"/>
    <w:rsid w:val="00644D3C"/>
    <w:rsid w:val="006456D4"/>
    <w:rsid w:val="00645FD9"/>
    <w:rsid w:val="006468FB"/>
    <w:rsid w:val="006518DB"/>
    <w:rsid w:val="00651E7C"/>
    <w:rsid w:val="00653A30"/>
    <w:rsid w:val="00653E9B"/>
    <w:rsid w:val="00654246"/>
    <w:rsid w:val="00660171"/>
    <w:rsid w:val="00661832"/>
    <w:rsid w:val="00661F69"/>
    <w:rsid w:val="0066212F"/>
    <w:rsid w:val="006621F7"/>
    <w:rsid w:val="0066341A"/>
    <w:rsid w:val="00664656"/>
    <w:rsid w:val="0066538F"/>
    <w:rsid w:val="006673C1"/>
    <w:rsid w:val="00670D8D"/>
    <w:rsid w:val="00670DBC"/>
    <w:rsid w:val="00670E12"/>
    <w:rsid w:val="00671BBE"/>
    <w:rsid w:val="00672103"/>
    <w:rsid w:val="00672649"/>
    <w:rsid w:val="00673747"/>
    <w:rsid w:val="006737F7"/>
    <w:rsid w:val="0067416B"/>
    <w:rsid w:val="00676FAD"/>
    <w:rsid w:val="00677488"/>
    <w:rsid w:val="0068306E"/>
    <w:rsid w:val="0068516E"/>
    <w:rsid w:val="00685C68"/>
    <w:rsid w:val="0068682F"/>
    <w:rsid w:val="006875BE"/>
    <w:rsid w:val="006942A6"/>
    <w:rsid w:val="006943AC"/>
    <w:rsid w:val="00696602"/>
    <w:rsid w:val="006975A9"/>
    <w:rsid w:val="00697A80"/>
    <w:rsid w:val="006A0CBE"/>
    <w:rsid w:val="006A190A"/>
    <w:rsid w:val="006A2243"/>
    <w:rsid w:val="006A2A97"/>
    <w:rsid w:val="006A3D63"/>
    <w:rsid w:val="006A4CD6"/>
    <w:rsid w:val="006A5ABF"/>
    <w:rsid w:val="006A6098"/>
    <w:rsid w:val="006A69C4"/>
    <w:rsid w:val="006A7863"/>
    <w:rsid w:val="006A7AD5"/>
    <w:rsid w:val="006B063F"/>
    <w:rsid w:val="006B0853"/>
    <w:rsid w:val="006B177A"/>
    <w:rsid w:val="006B1E0B"/>
    <w:rsid w:val="006B4274"/>
    <w:rsid w:val="006B5EC9"/>
    <w:rsid w:val="006B7011"/>
    <w:rsid w:val="006B751D"/>
    <w:rsid w:val="006C2884"/>
    <w:rsid w:val="006C3528"/>
    <w:rsid w:val="006C409F"/>
    <w:rsid w:val="006C4158"/>
    <w:rsid w:val="006C53CA"/>
    <w:rsid w:val="006C5F1A"/>
    <w:rsid w:val="006C7579"/>
    <w:rsid w:val="006D11E1"/>
    <w:rsid w:val="006D1756"/>
    <w:rsid w:val="006D24FA"/>
    <w:rsid w:val="006D3282"/>
    <w:rsid w:val="006D6BFA"/>
    <w:rsid w:val="006D7482"/>
    <w:rsid w:val="006D7ABE"/>
    <w:rsid w:val="006E1553"/>
    <w:rsid w:val="006E2F7E"/>
    <w:rsid w:val="006E37A8"/>
    <w:rsid w:val="006E63AF"/>
    <w:rsid w:val="006E6BDD"/>
    <w:rsid w:val="006E76DC"/>
    <w:rsid w:val="006E7A41"/>
    <w:rsid w:val="006F064E"/>
    <w:rsid w:val="006F15C5"/>
    <w:rsid w:val="006F237F"/>
    <w:rsid w:val="006F34F1"/>
    <w:rsid w:val="006F3FCB"/>
    <w:rsid w:val="006F5228"/>
    <w:rsid w:val="006F54BC"/>
    <w:rsid w:val="006F5528"/>
    <w:rsid w:val="006F6412"/>
    <w:rsid w:val="006F7CD8"/>
    <w:rsid w:val="00700024"/>
    <w:rsid w:val="00700290"/>
    <w:rsid w:val="00700AA1"/>
    <w:rsid w:val="00700FE5"/>
    <w:rsid w:val="00701C69"/>
    <w:rsid w:val="00702B4C"/>
    <w:rsid w:val="00705399"/>
    <w:rsid w:val="007059BF"/>
    <w:rsid w:val="0070628B"/>
    <w:rsid w:val="00706EE1"/>
    <w:rsid w:val="00707C9B"/>
    <w:rsid w:val="007108E3"/>
    <w:rsid w:val="00711386"/>
    <w:rsid w:val="00711535"/>
    <w:rsid w:val="00712297"/>
    <w:rsid w:val="0071283B"/>
    <w:rsid w:val="007132EC"/>
    <w:rsid w:val="007137D6"/>
    <w:rsid w:val="00714923"/>
    <w:rsid w:val="00716456"/>
    <w:rsid w:val="007170FF"/>
    <w:rsid w:val="00717156"/>
    <w:rsid w:val="0071752F"/>
    <w:rsid w:val="00717EB5"/>
    <w:rsid w:val="00717F64"/>
    <w:rsid w:val="0072026B"/>
    <w:rsid w:val="00720B9C"/>
    <w:rsid w:val="00720C3C"/>
    <w:rsid w:val="00723AFF"/>
    <w:rsid w:val="007242DB"/>
    <w:rsid w:val="007263F4"/>
    <w:rsid w:val="00731A1C"/>
    <w:rsid w:val="00731AAD"/>
    <w:rsid w:val="0073203B"/>
    <w:rsid w:val="007320FF"/>
    <w:rsid w:val="0073258A"/>
    <w:rsid w:val="007332AA"/>
    <w:rsid w:val="00733519"/>
    <w:rsid w:val="007338B9"/>
    <w:rsid w:val="007339B2"/>
    <w:rsid w:val="00734515"/>
    <w:rsid w:val="00735F48"/>
    <w:rsid w:val="0073715F"/>
    <w:rsid w:val="007405D0"/>
    <w:rsid w:val="007406B6"/>
    <w:rsid w:val="00741106"/>
    <w:rsid w:val="0074224D"/>
    <w:rsid w:val="007455E4"/>
    <w:rsid w:val="007461A6"/>
    <w:rsid w:val="00750E31"/>
    <w:rsid w:val="0075211F"/>
    <w:rsid w:val="007522AA"/>
    <w:rsid w:val="00753B71"/>
    <w:rsid w:val="00754633"/>
    <w:rsid w:val="00754897"/>
    <w:rsid w:val="007566C8"/>
    <w:rsid w:val="00756A4B"/>
    <w:rsid w:val="00756BF8"/>
    <w:rsid w:val="00757EFD"/>
    <w:rsid w:val="00761481"/>
    <w:rsid w:val="00761562"/>
    <w:rsid w:val="00762555"/>
    <w:rsid w:val="00763884"/>
    <w:rsid w:val="00763F82"/>
    <w:rsid w:val="00764377"/>
    <w:rsid w:val="0076554C"/>
    <w:rsid w:val="00766125"/>
    <w:rsid w:val="007710B5"/>
    <w:rsid w:val="00771C81"/>
    <w:rsid w:val="00771D46"/>
    <w:rsid w:val="00771ED7"/>
    <w:rsid w:val="00772CD5"/>
    <w:rsid w:val="0077346F"/>
    <w:rsid w:val="00773CD3"/>
    <w:rsid w:val="00774A40"/>
    <w:rsid w:val="00774E53"/>
    <w:rsid w:val="007757C1"/>
    <w:rsid w:val="00775D07"/>
    <w:rsid w:val="00776E86"/>
    <w:rsid w:val="007773CC"/>
    <w:rsid w:val="007802A3"/>
    <w:rsid w:val="007809C1"/>
    <w:rsid w:val="00781A87"/>
    <w:rsid w:val="007823A9"/>
    <w:rsid w:val="00782B9B"/>
    <w:rsid w:val="00782D0B"/>
    <w:rsid w:val="00784335"/>
    <w:rsid w:val="00785463"/>
    <w:rsid w:val="00785CED"/>
    <w:rsid w:val="007902B5"/>
    <w:rsid w:val="00791B60"/>
    <w:rsid w:val="007929CF"/>
    <w:rsid w:val="007931E2"/>
    <w:rsid w:val="0079383A"/>
    <w:rsid w:val="007938D0"/>
    <w:rsid w:val="00793E0D"/>
    <w:rsid w:val="00794623"/>
    <w:rsid w:val="00794FE6"/>
    <w:rsid w:val="007952E9"/>
    <w:rsid w:val="007964D6"/>
    <w:rsid w:val="00797633"/>
    <w:rsid w:val="00797E9B"/>
    <w:rsid w:val="007A0446"/>
    <w:rsid w:val="007A0BBA"/>
    <w:rsid w:val="007A1153"/>
    <w:rsid w:val="007A2A99"/>
    <w:rsid w:val="007A3389"/>
    <w:rsid w:val="007A3F43"/>
    <w:rsid w:val="007A44B0"/>
    <w:rsid w:val="007A4AFF"/>
    <w:rsid w:val="007A5B74"/>
    <w:rsid w:val="007A5CF0"/>
    <w:rsid w:val="007A67EE"/>
    <w:rsid w:val="007B08FE"/>
    <w:rsid w:val="007B095A"/>
    <w:rsid w:val="007B0D90"/>
    <w:rsid w:val="007B0FE0"/>
    <w:rsid w:val="007B1047"/>
    <w:rsid w:val="007B12A8"/>
    <w:rsid w:val="007B1356"/>
    <w:rsid w:val="007B39AC"/>
    <w:rsid w:val="007B4905"/>
    <w:rsid w:val="007B4BB6"/>
    <w:rsid w:val="007B55BA"/>
    <w:rsid w:val="007B674C"/>
    <w:rsid w:val="007B7993"/>
    <w:rsid w:val="007B7B1A"/>
    <w:rsid w:val="007C0397"/>
    <w:rsid w:val="007C049D"/>
    <w:rsid w:val="007C0F0A"/>
    <w:rsid w:val="007C226A"/>
    <w:rsid w:val="007C27C0"/>
    <w:rsid w:val="007C4DF4"/>
    <w:rsid w:val="007C517C"/>
    <w:rsid w:val="007C54F6"/>
    <w:rsid w:val="007C69E5"/>
    <w:rsid w:val="007C7050"/>
    <w:rsid w:val="007C7C23"/>
    <w:rsid w:val="007D3AF8"/>
    <w:rsid w:val="007D49A8"/>
    <w:rsid w:val="007D5319"/>
    <w:rsid w:val="007D5836"/>
    <w:rsid w:val="007D5A74"/>
    <w:rsid w:val="007D798F"/>
    <w:rsid w:val="007E2897"/>
    <w:rsid w:val="007E4C18"/>
    <w:rsid w:val="007E58BB"/>
    <w:rsid w:val="007E7104"/>
    <w:rsid w:val="007F0C46"/>
    <w:rsid w:val="007F15C8"/>
    <w:rsid w:val="007F2351"/>
    <w:rsid w:val="007F3987"/>
    <w:rsid w:val="007F4765"/>
    <w:rsid w:val="007F6FB6"/>
    <w:rsid w:val="007F7D16"/>
    <w:rsid w:val="008012D2"/>
    <w:rsid w:val="008014A8"/>
    <w:rsid w:val="00802001"/>
    <w:rsid w:val="00802351"/>
    <w:rsid w:val="00802A84"/>
    <w:rsid w:val="00803E13"/>
    <w:rsid w:val="008045B8"/>
    <w:rsid w:val="0080499D"/>
    <w:rsid w:val="008060F8"/>
    <w:rsid w:val="008061F5"/>
    <w:rsid w:val="00806400"/>
    <w:rsid w:val="008069D3"/>
    <w:rsid w:val="008121D2"/>
    <w:rsid w:val="008124B8"/>
    <w:rsid w:val="00813321"/>
    <w:rsid w:val="0081352F"/>
    <w:rsid w:val="008137B9"/>
    <w:rsid w:val="00814857"/>
    <w:rsid w:val="00814E28"/>
    <w:rsid w:val="00815598"/>
    <w:rsid w:val="00816729"/>
    <w:rsid w:val="00817009"/>
    <w:rsid w:val="00820458"/>
    <w:rsid w:val="0082199A"/>
    <w:rsid w:val="008220D5"/>
    <w:rsid w:val="00822A11"/>
    <w:rsid w:val="00826E3F"/>
    <w:rsid w:val="00826F1B"/>
    <w:rsid w:val="00831086"/>
    <w:rsid w:val="00832100"/>
    <w:rsid w:val="00834139"/>
    <w:rsid w:val="0083426F"/>
    <w:rsid w:val="00835807"/>
    <w:rsid w:val="008359A1"/>
    <w:rsid w:val="0083686D"/>
    <w:rsid w:val="00837D94"/>
    <w:rsid w:val="008413AE"/>
    <w:rsid w:val="008418C1"/>
    <w:rsid w:val="008428B2"/>
    <w:rsid w:val="0084513A"/>
    <w:rsid w:val="0084682B"/>
    <w:rsid w:val="00846A67"/>
    <w:rsid w:val="00846E3F"/>
    <w:rsid w:val="00847592"/>
    <w:rsid w:val="00850A7B"/>
    <w:rsid w:val="0085124E"/>
    <w:rsid w:val="008538A7"/>
    <w:rsid w:val="00853BF2"/>
    <w:rsid w:val="0085442A"/>
    <w:rsid w:val="0085475D"/>
    <w:rsid w:val="00854ABC"/>
    <w:rsid w:val="00855459"/>
    <w:rsid w:val="00855852"/>
    <w:rsid w:val="00855AE1"/>
    <w:rsid w:val="00857752"/>
    <w:rsid w:val="00860292"/>
    <w:rsid w:val="00860469"/>
    <w:rsid w:val="00861025"/>
    <w:rsid w:val="0086118F"/>
    <w:rsid w:val="00862646"/>
    <w:rsid w:val="00863A39"/>
    <w:rsid w:val="00863C66"/>
    <w:rsid w:val="00864965"/>
    <w:rsid w:val="00870194"/>
    <w:rsid w:val="008712FA"/>
    <w:rsid w:val="00871FC4"/>
    <w:rsid w:val="0087208C"/>
    <w:rsid w:val="008724F1"/>
    <w:rsid w:val="008729D4"/>
    <w:rsid w:val="008737E4"/>
    <w:rsid w:val="00874B71"/>
    <w:rsid w:val="00875DCD"/>
    <w:rsid w:val="00876C63"/>
    <w:rsid w:val="0087711C"/>
    <w:rsid w:val="008777EA"/>
    <w:rsid w:val="008806DC"/>
    <w:rsid w:val="00880A90"/>
    <w:rsid w:val="00880E73"/>
    <w:rsid w:val="008811FC"/>
    <w:rsid w:val="00882428"/>
    <w:rsid w:val="00882A9D"/>
    <w:rsid w:val="0088301C"/>
    <w:rsid w:val="00883777"/>
    <w:rsid w:val="008837F3"/>
    <w:rsid w:val="008838FD"/>
    <w:rsid w:val="00884A3B"/>
    <w:rsid w:val="00884BD3"/>
    <w:rsid w:val="00885218"/>
    <w:rsid w:val="00885C75"/>
    <w:rsid w:val="008866E3"/>
    <w:rsid w:val="00886E55"/>
    <w:rsid w:val="0088786B"/>
    <w:rsid w:val="008923B9"/>
    <w:rsid w:val="008935A0"/>
    <w:rsid w:val="008947A3"/>
    <w:rsid w:val="00894E2A"/>
    <w:rsid w:val="00894E8A"/>
    <w:rsid w:val="008958FC"/>
    <w:rsid w:val="00896F27"/>
    <w:rsid w:val="008977E7"/>
    <w:rsid w:val="008A1DE6"/>
    <w:rsid w:val="008A251D"/>
    <w:rsid w:val="008A4E3D"/>
    <w:rsid w:val="008A71F4"/>
    <w:rsid w:val="008A7361"/>
    <w:rsid w:val="008A7DA0"/>
    <w:rsid w:val="008B14B2"/>
    <w:rsid w:val="008B21F7"/>
    <w:rsid w:val="008B507A"/>
    <w:rsid w:val="008B70DE"/>
    <w:rsid w:val="008B7CBD"/>
    <w:rsid w:val="008B7EF1"/>
    <w:rsid w:val="008C4AF1"/>
    <w:rsid w:val="008C5BCA"/>
    <w:rsid w:val="008C616C"/>
    <w:rsid w:val="008C77EC"/>
    <w:rsid w:val="008C7B9A"/>
    <w:rsid w:val="008D329E"/>
    <w:rsid w:val="008D4F9D"/>
    <w:rsid w:val="008D6AA7"/>
    <w:rsid w:val="008D6CDB"/>
    <w:rsid w:val="008D7144"/>
    <w:rsid w:val="008E01A4"/>
    <w:rsid w:val="008E132F"/>
    <w:rsid w:val="008E13A1"/>
    <w:rsid w:val="008E29E0"/>
    <w:rsid w:val="008E2CEE"/>
    <w:rsid w:val="008E3375"/>
    <w:rsid w:val="008E3F5C"/>
    <w:rsid w:val="008E4BC5"/>
    <w:rsid w:val="008E4C60"/>
    <w:rsid w:val="008E6BEC"/>
    <w:rsid w:val="008E7806"/>
    <w:rsid w:val="008F1F4D"/>
    <w:rsid w:val="008F20B5"/>
    <w:rsid w:val="008F27C6"/>
    <w:rsid w:val="008F4896"/>
    <w:rsid w:val="008F4D8D"/>
    <w:rsid w:val="008F5814"/>
    <w:rsid w:val="008F7D9F"/>
    <w:rsid w:val="00900791"/>
    <w:rsid w:val="00902BEA"/>
    <w:rsid w:val="00902C72"/>
    <w:rsid w:val="00903129"/>
    <w:rsid w:val="0090390E"/>
    <w:rsid w:val="00903981"/>
    <w:rsid w:val="00905ECF"/>
    <w:rsid w:val="00905F1F"/>
    <w:rsid w:val="00905FAF"/>
    <w:rsid w:val="00910458"/>
    <w:rsid w:val="009105F5"/>
    <w:rsid w:val="0091131E"/>
    <w:rsid w:val="00913433"/>
    <w:rsid w:val="00914BB5"/>
    <w:rsid w:val="009155A1"/>
    <w:rsid w:val="009159ED"/>
    <w:rsid w:val="009159F1"/>
    <w:rsid w:val="00916BBA"/>
    <w:rsid w:val="00917F9E"/>
    <w:rsid w:val="00917FF2"/>
    <w:rsid w:val="009205F0"/>
    <w:rsid w:val="009224B2"/>
    <w:rsid w:val="00924574"/>
    <w:rsid w:val="00924A14"/>
    <w:rsid w:val="009266F3"/>
    <w:rsid w:val="00926959"/>
    <w:rsid w:val="00926E63"/>
    <w:rsid w:val="009307EB"/>
    <w:rsid w:val="00931278"/>
    <w:rsid w:val="00932681"/>
    <w:rsid w:val="0093372B"/>
    <w:rsid w:val="009348AA"/>
    <w:rsid w:val="00935AB1"/>
    <w:rsid w:val="00936255"/>
    <w:rsid w:val="00936867"/>
    <w:rsid w:val="00937802"/>
    <w:rsid w:val="0093782C"/>
    <w:rsid w:val="00937AB4"/>
    <w:rsid w:val="009402E7"/>
    <w:rsid w:val="009408B2"/>
    <w:rsid w:val="009410C2"/>
    <w:rsid w:val="0094447A"/>
    <w:rsid w:val="0094478B"/>
    <w:rsid w:val="00945843"/>
    <w:rsid w:val="00946495"/>
    <w:rsid w:val="00947995"/>
    <w:rsid w:val="00950534"/>
    <w:rsid w:val="009511DF"/>
    <w:rsid w:val="0095327F"/>
    <w:rsid w:val="00953C4E"/>
    <w:rsid w:val="00954B20"/>
    <w:rsid w:val="00954B5F"/>
    <w:rsid w:val="00955C42"/>
    <w:rsid w:val="00955D6D"/>
    <w:rsid w:val="009600C3"/>
    <w:rsid w:val="00960637"/>
    <w:rsid w:val="0096084D"/>
    <w:rsid w:val="00962308"/>
    <w:rsid w:val="00962686"/>
    <w:rsid w:val="00962EAE"/>
    <w:rsid w:val="0096398C"/>
    <w:rsid w:val="00963A7B"/>
    <w:rsid w:val="009649A6"/>
    <w:rsid w:val="00965294"/>
    <w:rsid w:val="00965D84"/>
    <w:rsid w:val="00965EC4"/>
    <w:rsid w:val="00966156"/>
    <w:rsid w:val="009661D7"/>
    <w:rsid w:val="0096638F"/>
    <w:rsid w:val="009669E7"/>
    <w:rsid w:val="00966D01"/>
    <w:rsid w:val="009672C9"/>
    <w:rsid w:val="00967751"/>
    <w:rsid w:val="00970417"/>
    <w:rsid w:val="00970787"/>
    <w:rsid w:val="00971047"/>
    <w:rsid w:val="009715AF"/>
    <w:rsid w:val="009741BD"/>
    <w:rsid w:val="00974492"/>
    <w:rsid w:val="00974A59"/>
    <w:rsid w:val="00974F11"/>
    <w:rsid w:val="00975407"/>
    <w:rsid w:val="00976587"/>
    <w:rsid w:val="00976A8F"/>
    <w:rsid w:val="00976DCE"/>
    <w:rsid w:val="00977242"/>
    <w:rsid w:val="00977FA4"/>
    <w:rsid w:val="0098297F"/>
    <w:rsid w:val="0098308B"/>
    <w:rsid w:val="00985B37"/>
    <w:rsid w:val="00985D6A"/>
    <w:rsid w:val="00987EF6"/>
    <w:rsid w:val="009902E8"/>
    <w:rsid w:val="00990649"/>
    <w:rsid w:val="00991661"/>
    <w:rsid w:val="00992C6C"/>
    <w:rsid w:val="00993406"/>
    <w:rsid w:val="00993C1C"/>
    <w:rsid w:val="00994E26"/>
    <w:rsid w:val="009952A5"/>
    <w:rsid w:val="00995375"/>
    <w:rsid w:val="00995520"/>
    <w:rsid w:val="00995DAE"/>
    <w:rsid w:val="009961CF"/>
    <w:rsid w:val="0099644F"/>
    <w:rsid w:val="0099776B"/>
    <w:rsid w:val="00997784"/>
    <w:rsid w:val="00997CBA"/>
    <w:rsid w:val="00997CD8"/>
    <w:rsid w:val="009A0220"/>
    <w:rsid w:val="009A09FA"/>
    <w:rsid w:val="009A13A7"/>
    <w:rsid w:val="009A2735"/>
    <w:rsid w:val="009A3012"/>
    <w:rsid w:val="009A3B7F"/>
    <w:rsid w:val="009A4E55"/>
    <w:rsid w:val="009A55F2"/>
    <w:rsid w:val="009A693F"/>
    <w:rsid w:val="009B0866"/>
    <w:rsid w:val="009B0B14"/>
    <w:rsid w:val="009B0D6A"/>
    <w:rsid w:val="009B1447"/>
    <w:rsid w:val="009B1BD2"/>
    <w:rsid w:val="009B213C"/>
    <w:rsid w:val="009B23DA"/>
    <w:rsid w:val="009B2980"/>
    <w:rsid w:val="009B2C6B"/>
    <w:rsid w:val="009B2DAB"/>
    <w:rsid w:val="009B33F0"/>
    <w:rsid w:val="009B410B"/>
    <w:rsid w:val="009B48A9"/>
    <w:rsid w:val="009B749C"/>
    <w:rsid w:val="009C33AF"/>
    <w:rsid w:val="009C341D"/>
    <w:rsid w:val="009C4009"/>
    <w:rsid w:val="009C4E07"/>
    <w:rsid w:val="009C54EA"/>
    <w:rsid w:val="009C6BDA"/>
    <w:rsid w:val="009C6E0B"/>
    <w:rsid w:val="009C714A"/>
    <w:rsid w:val="009D06C0"/>
    <w:rsid w:val="009D0851"/>
    <w:rsid w:val="009D2441"/>
    <w:rsid w:val="009D347D"/>
    <w:rsid w:val="009D4CDF"/>
    <w:rsid w:val="009D725D"/>
    <w:rsid w:val="009D762E"/>
    <w:rsid w:val="009E0403"/>
    <w:rsid w:val="009E1104"/>
    <w:rsid w:val="009E11A8"/>
    <w:rsid w:val="009E2315"/>
    <w:rsid w:val="009E2C9F"/>
    <w:rsid w:val="009E650F"/>
    <w:rsid w:val="009E6C53"/>
    <w:rsid w:val="009E74B2"/>
    <w:rsid w:val="009E7892"/>
    <w:rsid w:val="009E7D77"/>
    <w:rsid w:val="009F0375"/>
    <w:rsid w:val="009F0AC7"/>
    <w:rsid w:val="009F0CAE"/>
    <w:rsid w:val="009F0D68"/>
    <w:rsid w:val="009F33BA"/>
    <w:rsid w:val="009F4A25"/>
    <w:rsid w:val="009F5C47"/>
    <w:rsid w:val="009F6115"/>
    <w:rsid w:val="009F658C"/>
    <w:rsid w:val="009F7B4E"/>
    <w:rsid w:val="00A0030F"/>
    <w:rsid w:val="00A00599"/>
    <w:rsid w:val="00A01599"/>
    <w:rsid w:val="00A01FA6"/>
    <w:rsid w:val="00A0238A"/>
    <w:rsid w:val="00A025D6"/>
    <w:rsid w:val="00A02975"/>
    <w:rsid w:val="00A03221"/>
    <w:rsid w:val="00A0322B"/>
    <w:rsid w:val="00A038D0"/>
    <w:rsid w:val="00A0499B"/>
    <w:rsid w:val="00A04F25"/>
    <w:rsid w:val="00A0529C"/>
    <w:rsid w:val="00A0622A"/>
    <w:rsid w:val="00A0649F"/>
    <w:rsid w:val="00A069A6"/>
    <w:rsid w:val="00A0777B"/>
    <w:rsid w:val="00A077CD"/>
    <w:rsid w:val="00A145B8"/>
    <w:rsid w:val="00A15537"/>
    <w:rsid w:val="00A161F8"/>
    <w:rsid w:val="00A1644E"/>
    <w:rsid w:val="00A1662B"/>
    <w:rsid w:val="00A1778A"/>
    <w:rsid w:val="00A17DDA"/>
    <w:rsid w:val="00A20087"/>
    <w:rsid w:val="00A200D8"/>
    <w:rsid w:val="00A21E14"/>
    <w:rsid w:val="00A22623"/>
    <w:rsid w:val="00A2296D"/>
    <w:rsid w:val="00A229C3"/>
    <w:rsid w:val="00A23EB9"/>
    <w:rsid w:val="00A24106"/>
    <w:rsid w:val="00A24732"/>
    <w:rsid w:val="00A24D3D"/>
    <w:rsid w:val="00A27E13"/>
    <w:rsid w:val="00A3048E"/>
    <w:rsid w:val="00A30EA0"/>
    <w:rsid w:val="00A30F0A"/>
    <w:rsid w:val="00A30F48"/>
    <w:rsid w:val="00A32423"/>
    <w:rsid w:val="00A32A39"/>
    <w:rsid w:val="00A33B83"/>
    <w:rsid w:val="00A33DA5"/>
    <w:rsid w:val="00A3519C"/>
    <w:rsid w:val="00A35DE9"/>
    <w:rsid w:val="00A36AC7"/>
    <w:rsid w:val="00A37156"/>
    <w:rsid w:val="00A374AB"/>
    <w:rsid w:val="00A37D0A"/>
    <w:rsid w:val="00A408B0"/>
    <w:rsid w:val="00A40B4C"/>
    <w:rsid w:val="00A4130B"/>
    <w:rsid w:val="00A416E0"/>
    <w:rsid w:val="00A44872"/>
    <w:rsid w:val="00A450DF"/>
    <w:rsid w:val="00A4526F"/>
    <w:rsid w:val="00A45475"/>
    <w:rsid w:val="00A4682B"/>
    <w:rsid w:val="00A46978"/>
    <w:rsid w:val="00A47787"/>
    <w:rsid w:val="00A47DF6"/>
    <w:rsid w:val="00A50520"/>
    <w:rsid w:val="00A50C5A"/>
    <w:rsid w:val="00A523A9"/>
    <w:rsid w:val="00A52421"/>
    <w:rsid w:val="00A529C6"/>
    <w:rsid w:val="00A534A6"/>
    <w:rsid w:val="00A53DE5"/>
    <w:rsid w:val="00A53ED7"/>
    <w:rsid w:val="00A54A6B"/>
    <w:rsid w:val="00A54B36"/>
    <w:rsid w:val="00A56961"/>
    <w:rsid w:val="00A57053"/>
    <w:rsid w:val="00A57A64"/>
    <w:rsid w:val="00A57F18"/>
    <w:rsid w:val="00A60570"/>
    <w:rsid w:val="00A61123"/>
    <w:rsid w:val="00A63A19"/>
    <w:rsid w:val="00A65185"/>
    <w:rsid w:val="00A671E9"/>
    <w:rsid w:val="00A712A6"/>
    <w:rsid w:val="00A7173A"/>
    <w:rsid w:val="00A729FC"/>
    <w:rsid w:val="00A7503B"/>
    <w:rsid w:val="00A772D0"/>
    <w:rsid w:val="00A77F08"/>
    <w:rsid w:val="00A81635"/>
    <w:rsid w:val="00A81F34"/>
    <w:rsid w:val="00A83564"/>
    <w:rsid w:val="00A83964"/>
    <w:rsid w:val="00A83D60"/>
    <w:rsid w:val="00A847FE"/>
    <w:rsid w:val="00A84DCC"/>
    <w:rsid w:val="00A87555"/>
    <w:rsid w:val="00A906EE"/>
    <w:rsid w:val="00A909F8"/>
    <w:rsid w:val="00A917BF"/>
    <w:rsid w:val="00A9379E"/>
    <w:rsid w:val="00A94220"/>
    <w:rsid w:val="00A9507F"/>
    <w:rsid w:val="00A953DE"/>
    <w:rsid w:val="00A97347"/>
    <w:rsid w:val="00A97AE7"/>
    <w:rsid w:val="00A97EA1"/>
    <w:rsid w:val="00AA06F5"/>
    <w:rsid w:val="00AA0782"/>
    <w:rsid w:val="00AA08F9"/>
    <w:rsid w:val="00AA18B6"/>
    <w:rsid w:val="00AA1C8F"/>
    <w:rsid w:val="00AA2545"/>
    <w:rsid w:val="00AA26D6"/>
    <w:rsid w:val="00AA32CC"/>
    <w:rsid w:val="00AA33E8"/>
    <w:rsid w:val="00AA364B"/>
    <w:rsid w:val="00AA5196"/>
    <w:rsid w:val="00AA6106"/>
    <w:rsid w:val="00AA6923"/>
    <w:rsid w:val="00AA7021"/>
    <w:rsid w:val="00AB0AA0"/>
    <w:rsid w:val="00AB0B88"/>
    <w:rsid w:val="00AB0D17"/>
    <w:rsid w:val="00AB1040"/>
    <w:rsid w:val="00AB18A3"/>
    <w:rsid w:val="00AB1C3C"/>
    <w:rsid w:val="00AB2D31"/>
    <w:rsid w:val="00AB3672"/>
    <w:rsid w:val="00AB457F"/>
    <w:rsid w:val="00AC1E13"/>
    <w:rsid w:val="00AC445B"/>
    <w:rsid w:val="00AC4C45"/>
    <w:rsid w:val="00AC58D5"/>
    <w:rsid w:val="00AC6095"/>
    <w:rsid w:val="00AC6E1F"/>
    <w:rsid w:val="00AC7590"/>
    <w:rsid w:val="00AD1040"/>
    <w:rsid w:val="00AD1499"/>
    <w:rsid w:val="00AD1881"/>
    <w:rsid w:val="00AD1C2D"/>
    <w:rsid w:val="00AD1E71"/>
    <w:rsid w:val="00AD2A04"/>
    <w:rsid w:val="00AD2C04"/>
    <w:rsid w:val="00AD343B"/>
    <w:rsid w:val="00AD382C"/>
    <w:rsid w:val="00AD3D73"/>
    <w:rsid w:val="00AD3FC2"/>
    <w:rsid w:val="00AD43DC"/>
    <w:rsid w:val="00AD5EBA"/>
    <w:rsid w:val="00AD60DC"/>
    <w:rsid w:val="00AD6E50"/>
    <w:rsid w:val="00AD7A1B"/>
    <w:rsid w:val="00AE12C2"/>
    <w:rsid w:val="00AE1614"/>
    <w:rsid w:val="00AE2B07"/>
    <w:rsid w:val="00AE43B0"/>
    <w:rsid w:val="00AE51CE"/>
    <w:rsid w:val="00AE75DD"/>
    <w:rsid w:val="00AE78D2"/>
    <w:rsid w:val="00AF1524"/>
    <w:rsid w:val="00AF1B17"/>
    <w:rsid w:val="00AF2FB5"/>
    <w:rsid w:val="00AF3A37"/>
    <w:rsid w:val="00AF4CA7"/>
    <w:rsid w:val="00AF7B24"/>
    <w:rsid w:val="00B00E32"/>
    <w:rsid w:val="00B0129F"/>
    <w:rsid w:val="00B01448"/>
    <w:rsid w:val="00B0157B"/>
    <w:rsid w:val="00B03203"/>
    <w:rsid w:val="00B04361"/>
    <w:rsid w:val="00B05BEF"/>
    <w:rsid w:val="00B0643A"/>
    <w:rsid w:val="00B06ED9"/>
    <w:rsid w:val="00B06FAF"/>
    <w:rsid w:val="00B073B7"/>
    <w:rsid w:val="00B073CF"/>
    <w:rsid w:val="00B074C9"/>
    <w:rsid w:val="00B076DA"/>
    <w:rsid w:val="00B07821"/>
    <w:rsid w:val="00B07C71"/>
    <w:rsid w:val="00B1140B"/>
    <w:rsid w:val="00B117B1"/>
    <w:rsid w:val="00B12B96"/>
    <w:rsid w:val="00B13223"/>
    <w:rsid w:val="00B1478D"/>
    <w:rsid w:val="00B14C00"/>
    <w:rsid w:val="00B1554C"/>
    <w:rsid w:val="00B15A3B"/>
    <w:rsid w:val="00B17B47"/>
    <w:rsid w:val="00B17D98"/>
    <w:rsid w:val="00B217D9"/>
    <w:rsid w:val="00B21BE1"/>
    <w:rsid w:val="00B23AB1"/>
    <w:rsid w:val="00B23F41"/>
    <w:rsid w:val="00B250C0"/>
    <w:rsid w:val="00B307CC"/>
    <w:rsid w:val="00B311C1"/>
    <w:rsid w:val="00B32266"/>
    <w:rsid w:val="00B33557"/>
    <w:rsid w:val="00B339FE"/>
    <w:rsid w:val="00B33D6E"/>
    <w:rsid w:val="00B344B7"/>
    <w:rsid w:val="00B34B38"/>
    <w:rsid w:val="00B34F1C"/>
    <w:rsid w:val="00B354D4"/>
    <w:rsid w:val="00B35936"/>
    <w:rsid w:val="00B37661"/>
    <w:rsid w:val="00B4028D"/>
    <w:rsid w:val="00B41D66"/>
    <w:rsid w:val="00B43972"/>
    <w:rsid w:val="00B44909"/>
    <w:rsid w:val="00B45BF5"/>
    <w:rsid w:val="00B46271"/>
    <w:rsid w:val="00B47188"/>
    <w:rsid w:val="00B475E9"/>
    <w:rsid w:val="00B51672"/>
    <w:rsid w:val="00B51A75"/>
    <w:rsid w:val="00B51C65"/>
    <w:rsid w:val="00B52DC6"/>
    <w:rsid w:val="00B537A6"/>
    <w:rsid w:val="00B53C4B"/>
    <w:rsid w:val="00B543F9"/>
    <w:rsid w:val="00B5458E"/>
    <w:rsid w:val="00B556E9"/>
    <w:rsid w:val="00B55864"/>
    <w:rsid w:val="00B562B5"/>
    <w:rsid w:val="00B56536"/>
    <w:rsid w:val="00B574FC"/>
    <w:rsid w:val="00B60026"/>
    <w:rsid w:val="00B6012C"/>
    <w:rsid w:val="00B6269B"/>
    <w:rsid w:val="00B62AAE"/>
    <w:rsid w:val="00B633CE"/>
    <w:rsid w:val="00B63853"/>
    <w:rsid w:val="00B63FCF"/>
    <w:rsid w:val="00B650EE"/>
    <w:rsid w:val="00B65132"/>
    <w:rsid w:val="00B65E37"/>
    <w:rsid w:val="00B6601F"/>
    <w:rsid w:val="00B667F1"/>
    <w:rsid w:val="00B66E4C"/>
    <w:rsid w:val="00B676D8"/>
    <w:rsid w:val="00B67A8B"/>
    <w:rsid w:val="00B70791"/>
    <w:rsid w:val="00B73858"/>
    <w:rsid w:val="00B73870"/>
    <w:rsid w:val="00B74068"/>
    <w:rsid w:val="00B74C30"/>
    <w:rsid w:val="00B7641D"/>
    <w:rsid w:val="00B779C5"/>
    <w:rsid w:val="00B81C45"/>
    <w:rsid w:val="00B821F8"/>
    <w:rsid w:val="00B8308D"/>
    <w:rsid w:val="00B84491"/>
    <w:rsid w:val="00B84652"/>
    <w:rsid w:val="00B8472C"/>
    <w:rsid w:val="00B84FA9"/>
    <w:rsid w:val="00B85ED9"/>
    <w:rsid w:val="00B863A8"/>
    <w:rsid w:val="00B86F83"/>
    <w:rsid w:val="00B87A4F"/>
    <w:rsid w:val="00B908BA"/>
    <w:rsid w:val="00B90BAB"/>
    <w:rsid w:val="00B91390"/>
    <w:rsid w:val="00B91835"/>
    <w:rsid w:val="00B91C5E"/>
    <w:rsid w:val="00B91CBA"/>
    <w:rsid w:val="00B92665"/>
    <w:rsid w:val="00B9340F"/>
    <w:rsid w:val="00B936FD"/>
    <w:rsid w:val="00B93CE8"/>
    <w:rsid w:val="00B946DE"/>
    <w:rsid w:val="00B96F7D"/>
    <w:rsid w:val="00BA02EF"/>
    <w:rsid w:val="00BA0953"/>
    <w:rsid w:val="00BA198C"/>
    <w:rsid w:val="00BA1E14"/>
    <w:rsid w:val="00BA3503"/>
    <w:rsid w:val="00BA4271"/>
    <w:rsid w:val="00BA49EE"/>
    <w:rsid w:val="00BA4CBB"/>
    <w:rsid w:val="00BA679B"/>
    <w:rsid w:val="00BA6861"/>
    <w:rsid w:val="00BB0933"/>
    <w:rsid w:val="00BB0F50"/>
    <w:rsid w:val="00BB1C1F"/>
    <w:rsid w:val="00BB1C54"/>
    <w:rsid w:val="00BB371E"/>
    <w:rsid w:val="00BB41FA"/>
    <w:rsid w:val="00BB4655"/>
    <w:rsid w:val="00BB6A8C"/>
    <w:rsid w:val="00BB7BA8"/>
    <w:rsid w:val="00BC1C3D"/>
    <w:rsid w:val="00BC24BA"/>
    <w:rsid w:val="00BC31E6"/>
    <w:rsid w:val="00BC32DD"/>
    <w:rsid w:val="00BC371B"/>
    <w:rsid w:val="00BC405F"/>
    <w:rsid w:val="00BC4D3B"/>
    <w:rsid w:val="00BD02A0"/>
    <w:rsid w:val="00BD0403"/>
    <w:rsid w:val="00BD1478"/>
    <w:rsid w:val="00BD1A4A"/>
    <w:rsid w:val="00BD3109"/>
    <w:rsid w:val="00BD3662"/>
    <w:rsid w:val="00BD4253"/>
    <w:rsid w:val="00BD652A"/>
    <w:rsid w:val="00BD7C83"/>
    <w:rsid w:val="00BE00E9"/>
    <w:rsid w:val="00BE0F7D"/>
    <w:rsid w:val="00BE1017"/>
    <w:rsid w:val="00BE18BB"/>
    <w:rsid w:val="00BE27AE"/>
    <w:rsid w:val="00BE2B06"/>
    <w:rsid w:val="00BE39A6"/>
    <w:rsid w:val="00BE3B8B"/>
    <w:rsid w:val="00BE46D6"/>
    <w:rsid w:val="00BE58BA"/>
    <w:rsid w:val="00BE5EEB"/>
    <w:rsid w:val="00BE5FD2"/>
    <w:rsid w:val="00BE77BD"/>
    <w:rsid w:val="00BF0F36"/>
    <w:rsid w:val="00BF38C3"/>
    <w:rsid w:val="00BF49A9"/>
    <w:rsid w:val="00BF6C0B"/>
    <w:rsid w:val="00C02939"/>
    <w:rsid w:val="00C02F2B"/>
    <w:rsid w:val="00C0317A"/>
    <w:rsid w:val="00C03526"/>
    <w:rsid w:val="00C03C63"/>
    <w:rsid w:val="00C04899"/>
    <w:rsid w:val="00C0794D"/>
    <w:rsid w:val="00C111B0"/>
    <w:rsid w:val="00C11EDD"/>
    <w:rsid w:val="00C11EF1"/>
    <w:rsid w:val="00C13549"/>
    <w:rsid w:val="00C136B2"/>
    <w:rsid w:val="00C15A28"/>
    <w:rsid w:val="00C175A1"/>
    <w:rsid w:val="00C17BC6"/>
    <w:rsid w:val="00C20CEE"/>
    <w:rsid w:val="00C21F37"/>
    <w:rsid w:val="00C2207B"/>
    <w:rsid w:val="00C22AC4"/>
    <w:rsid w:val="00C23FFB"/>
    <w:rsid w:val="00C247B7"/>
    <w:rsid w:val="00C25917"/>
    <w:rsid w:val="00C25C59"/>
    <w:rsid w:val="00C279BD"/>
    <w:rsid w:val="00C30050"/>
    <w:rsid w:val="00C30546"/>
    <w:rsid w:val="00C3146E"/>
    <w:rsid w:val="00C344A2"/>
    <w:rsid w:val="00C35511"/>
    <w:rsid w:val="00C358F7"/>
    <w:rsid w:val="00C35ED2"/>
    <w:rsid w:val="00C3784E"/>
    <w:rsid w:val="00C40B9A"/>
    <w:rsid w:val="00C415E5"/>
    <w:rsid w:val="00C41EA8"/>
    <w:rsid w:val="00C42F8D"/>
    <w:rsid w:val="00C43801"/>
    <w:rsid w:val="00C439EF"/>
    <w:rsid w:val="00C43AC2"/>
    <w:rsid w:val="00C44E6D"/>
    <w:rsid w:val="00C464AE"/>
    <w:rsid w:val="00C465A5"/>
    <w:rsid w:val="00C47682"/>
    <w:rsid w:val="00C47BAB"/>
    <w:rsid w:val="00C50291"/>
    <w:rsid w:val="00C51698"/>
    <w:rsid w:val="00C51C3E"/>
    <w:rsid w:val="00C51C4A"/>
    <w:rsid w:val="00C52263"/>
    <w:rsid w:val="00C52814"/>
    <w:rsid w:val="00C5293E"/>
    <w:rsid w:val="00C53081"/>
    <w:rsid w:val="00C5313E"/>
    <w:rsid w:val="00C53AF8"/>
    <w:rsid w:val="00C54027"/>
    <w:rsid w:val="00C55A13"/>
    <w:rsid w:val="00C576DA"/>
    <w:rsid w:val="00C57CA7"/>
    <w:rsid w:val="00C602E9"/>
    <w:rsid w:val="00C60AA8"/>
    <w:rsid w:val="00C60CBD"/>
    <w:rsid w:val="00C60CEC"/>
    <w:rsid w:val="00C60E07"/>
    <w:rsid w:val="00C61311"/>
    <w:rsid w:val="00C624BE"/>
    <w:rsid w:val="00C62D68"/>
    <w:rsid w:val="00C62F9A"/>
    <w:rsid w:val="00C63509"/>
    <w:rsid w:val="00C63850"/>
    <w:rsid w:val="00C64E0A"/>
    <w:rsid w:val="00C65E81"/>
    <w:rsid w:val="00C66E00"/>
    <w:rsid w:val="00C6704E"/>
    <w:rsid w:val="00C67067"/>
    <w:rsid w:val="00C671B6"/>
    <w:rsid w:val="00C6785D"/>
    <w:rsid w:val="00C6797F"/>
    <w:rsid w:val="00C67B8E"/>
    <w:rsid w:val="00C67F15"/>
    <w:rsid w:val="00C70C02"/>
    <w:rsid w:val="00C72889"/>
    <w:rsid w:val="00C729F0"/>
    <w:rsid w:val="00C72FCD"/>
    <w:rsid w:val="00C73584"/>
    <w:rsid w:val="00C7385D"/>
    <w:rsid w:val="00C74919"/>
    <w:rsid w:val="00C7534D"/>
    <w:rsid w:val="00C77203"/>
    <w:rsid w:val="00C81B4F"/>
    <w:rsid w:val="00C81C4C"/>
    <w:rsid w:val="00C8252A"/>
    <w:rsid w:val="00C842A8"/>
    <w:rsid w:val="00C85801"/>
    <w:rsid w:val="00C8604A"/>
    <w:rsid w:val="00C86304"/>
    <w:rsid w:val="00C865CA"/>
    <w:rsid w:val="00C86BBE"/>
    <w:rsid w:val="00C86CDD"/>
    <w:rsid w:val="00C87CC3"/>
    <w:rsid w:val="00C87E77"/>
    <w:rsid w:val="00C903A9"/>
    <w:rsid w:val="00C90FD5"/>
    <w:rsid w:val="00C92161"/>
    <w:rsid w:val="00C92190"/>
    <w:rsid w:val="00C94937"/>
    <w:rsid w:val="00C953A2"/>
    <w:rsid w:val="00CA2E08"/>
    <w:rsid w:val="00CA3485"/>
    <w:rsid w:val="00CA35B3"/>
    <w:rsid w:val="00CA3F43"/>
    <w:rsid w:val="00CA6D96"/>
    <w:rsid w:val="00CB0DCE"/>
    <w:rsid w:val="00CB2922"/>
    <w:rsid w:val="00CB4E04"/>
    <w:rsid w:val="00CB627E"/>
    <w:rsid w:val="00CB7702"/>
    <w:rsid w:val="00CB7855"/>
    <w:rsid w:val="00CB7B85"/>
    <w:rsid w:val="00CB7B98"/>
    <w:rsid w:val="00CC0A2D"/>
    <w:rsid w:val="00CC1369"/>
    <w:rsid w:val="00CC20B1"/>
    <w:rsid w:val="00CC22D6"/>
    <w:rsid w:val="00CC4181"/>
    <w:rsid w:val="00CC48B5"/>
    <w:rsid w:val="00CC577A"/>
    <w:rsid w:val="00CC5D06"/>
    <w:rsid w:val="00CC7417"/>
    <w:rsid w:val="00CD0592"/>
    <w:rsid w:val="00CD0B8A"/>
    <w:rsid w:val="00CD1CB6"/>
    <w:rsid w:val="00CD2C56"/>
    <w:rsid w:val="00CD3BAA"/>
    <w:rsid w:val="00CD4878"/>
    <w:rsid w:val="00CD4B55"/>
    <w:rsid w:val="00CD6A8E"/>
    <w:rsid w:val="00CD7310"/>
    <w:rsid w:val="00CE07C4"/>
    <w:rsid w:val="00CE08AB"/>
    <w:rsid w:val="00CE1E9E"/>
    <w:rsid w:val="00CE202F"/>
    <w:rsid w:val="00CE39A0"/>
    <w:rsid w:val="00CE4341"/>
    <w:rsid w:val="00CE5A3A"/>
    <w:rsid w:val="00CE6718"/>
    <w:rsid w:val="00CE752A"/>
    <w:rsid w:val="00CF073A"/>
    <w:rsid w:val="00CF0C81"/>
    <w:rsid w:val="00CF0DE3"/>
    <w:rsid w:val="00CF23D2"/>
    <w:rsid w:val="00CF4D25"/>
    <w:rsid w:val="00CF69EB"/>
    <w:rsid w:val="00D004B7"/>
    <w:rsid w:val="00D006E7"/>
    <w:rsid w:val="00D00C71"/>
    <w:rsid w:val="00D0118C"/>
    <w:rsid w:val="00D05843"/>
    <w:rsid w:val="00D070A5"/>
    <w:rsid w:val="00D11BEA"/>
    <w:rsid w:val="00D12057"/>
    <w:rsid w:val="00D13B40"/>
    <w:rsid w:val="00D14171"/>
    <w:rsid w:val="00D15296"/>
    <w:rsid w:val="00D15D8D"/>
    <w:rsid w:val="00D17AE1"/>
    <w:rsid w:val="00D20BCE"/>
    <w:rsid w:val="00D23298"/>
    <w:rsid w:val="00D247E2"/>
    <w:rsid w:val="00D25975"/>
    <w:rsid w:val="00D25A5E"/>
    <w:rsid w:val="00D267C2"/>
    <w:rsid w:val="00D305C4"/>
    <w:rsid w:val="00D31112"/>
    <w:rsid w:val="00D319D4"/>
    <w:rsid w:val="00D33BCB"/>
    <w:rsid w:val="00D3608E"/>
    <w:rsid w:val="00D36745"/>
    <w:rsid w:val="00D37C49"/>
    <w:rsid w:val="00D400DB"/>
    <w:rsid w:val="00D407F2"/>
    <w:rsid w:val="00D429B7"/>
    <w:rsid w:val="00D44A13"/>
    <w:rsid w:val="00D4580D"/>
    <w:rsid w:val="00D45E6C"/>
    <w:rsid w:val="00D47105"/>
    <w:rsid w:val="00D474CB"/>
    <w:rsid w:val="00D5148D"/>
    <w:rsid w:val="00D51B4A"/>
    <w:rsid w:val="00D52429"/>
    <w:rsid w:val="00D52DB0"/>
    <w:rsid w:val="00D55FDA"/>
    <w:rsid w:val="00D5609F"/>
    <w:rsid w:val="00D569F9"/>
    <w:rsid w:val="00D57127"/>
    <w:rsid w:val="00D6078C"/>
    <w:rsid w:val="00D60886"/>
    <w:rsid w:val="00D61EA2"/>
    <w:rsid w:val="00D62F05"/>
    <w:rsid w:val="00D63FC2"/>
    <w:rsid w:val="00D652F5"/>
    <w:rsid w:val="00D700A1"/>
    <w:rsid w:val="00D73EA4"/>
    <w:rsid w:val="00D7469C"/>
    <w:rsid w:val="00D75A46"/>
    <w:rsid w:val="00D75EE9"/>
    <w:rsid w:val="00D76140"/>
    <w:rsid w:val="00D76545"/>
    <w:rsid w:val="00D8003E"/>
    <w:rsid w:val="00D80E22"/>
    <w:rsid w:val="00D82A73"/>
    <w:rsid w:val="00D83CB5"/>
    <w:rsid w:val="00D85480"/>
    <w:rsid w:val="00D855BA"/>
    <w:rsid w:val="00D870B5"/>
    <w:rsid w:val="00D87B96"/>
    <w:rsid w:val="00D9049B"/>
    <w:rsid w:val="00D9082D"/>
    <w:rsid w:val="00D91505"/>
    <w:rsid w:val="00D91782"/>
    <w:rsid w:val="00D92F4F"/>
    <w:rsid w:val="00D937FE"/>
    <w:rsid w:val="00D9386F"/>
    <w:rsid w:val="00D938F8"/>
    <w:rsid w:val="00D93CB7"/>
    <w:rsid w:val="00D952BC"/>
    <w:rsid w:val="00D97072"/>
    <w:rsid w:val="00D97498"/>
    <w:rsid w:val="00D97970"/>
    <w:rsid w:val="00DA0E7D"/>
    <w:rsid w:val="00DA15BA"/>
    <w:rsid w:val="00DA1B00"/>
    <w:rsid w:val="00DA2A8A"/>
    <w:rsid w:val="00DA2DD0"/>
    <w:rsid w:val="00DA3D0E"/>
    <w:rsid w:val="00DA3FD4"/>
    <w:rsid w:val="00DA559C"/>
    <w:rsid w:val="00DA70A0"/>
    <w:rsid w:val="00DA7C96"/>
    <w:rsid w:val="00DA7D9B"/>
    <w:rsid w:val="00DB2240"/>
    <w:rsid w:val="00DB2ABA"/>
    <w:rsid w:val="00DB3362"/>
    <w:rsid w:val="00DB4C39"/>
    <w:rsid w:val="00DB7561"/>
    <w:rsid w:val="00DC0800"/>
    <w:rsid w:val="00DC113D"/>
    <w:rsid w:val="00DC5253"/>
    <w:rsid w:val="00DC5DEB"/>
    <w:rsid w:val="00DC5ED1"/>
    <w:rsid w:val="00DC65E7"/>
    <w:rsid w:val="00DC6AA0"/>
    <w:rsid w:val="00DD2890"/>
    <w:rsid w:val="00DD300B"/>
    <w:rsid w:val="00DD3214"/>
    <w:rsid w:val="00DD34C2"/>
    <w:rsid w:val="00DD41BF"/>
    <w:rsid w:val="00DD42B5"/>
    <w:rsid w:val="00DD571D"/>
    <w:rsid w:val="00DD776D"/>
    <w:rsid w:val="00DE07DA"/>
    <w:rsid w:val="00DE1514"/>
    <w:rsid w:val="00DE2CF1"/>
    <w:rsid w:val="00DE5E88"/>
    <w:rsid w:val="00DE607B"/>
    <w:rsid w:val="00DE75C8"/>
    <w:rsid w:val="00DE7BDF"/>
    <w:rsid w:val="00DF0BFE"/>
    <w:rsid w:val="00DF12E7"/>
    <w:rsid w:val="00DF14B2"/>
    <w:rsid w:val="00DF17FF"/>
    <w:rsid w:val="00DF1E4B"/>
    <w:rsid w:val="00DF200D"/>
    <w:rsid w:val="00DF20A8"/>
    <w:rsid w:val="00DF2E1F"/>
    <w:rsid w:val="00DF4141"/>
    <w:rsid w:val="00DF5AFE"/>
    <w:rsid w:val="00DF5B11"/>
    <w:rsid w:val="00DF6835"/>
    <w:rsid w:val="00DF6874"/>
    <w:rsid w:val="00DF76E7"/>
    <w:rsid w:val="00DF7AC6"/>
    <w:rsid w:val="00E01C3D"/>
    <w:rsid w:val="00E02A52"/>
    <w:rsid w:val="00E02CA9"/>
    <w:rsid w:val="00E032C2"/>
    <w:rsid w:val="00E03A3F"/>
    <w:rsid w:val="00E04593"/>
    <w:rsid w:val="00E0576E"/>
    <w:rsid w:val="00E0622E"/>
    <w:rsid w:val="00E067D1"/>
    <w:rsid w:val="00E06A44"/>
    <w:rsid w:val="00E1187B"/>
    <w:rsid w:val="00E11A92"/>
    <w:rsid w:val="00E121F0"/>
    <w:rsid w:val="00E1284C"/>
    <w:rsid w:val="00E12DEA"/>
    <w:rsid w:val="00E13B92"/>
    <w:rsid w:val="00E15095"/>
    <w:rsid w:val="00E1597C"/>
    <w:rsid w:val="00E15B02"/>
    <w:rsid w:val="00E16093"/>
    <w:rsid w:val="00E16723"/>
    <w:rsid w:val="00E171E5"/>
    <w:rsid w:val="00E20543"/>
    <w:rsid w:val="00E224CA"/>
    <w:rsid w:val="00E2274C"/>
    <w:rsid w:val="00E22C49"/>
    <w:rsid w:val="00E23C3D"/>
    <w:rsid w:val="00E23E51"/>
    <w:rsid w:val="00E2735F"/>
    <w:rsid w:val="00E30BA6"/>
    <w:rsid w:val="00E317FE"/>
    <w:rsid w:val="00E327B7"/>
    <w:rsid w:val="00E3333B"/>
    <w:rsid w:val="00E335EC"/>
    <w:rsid w:val="00E3424E"/>
    <w:rsid w:val="00E34D1C"/>
    <w:rsid w:val="00E34DD6"/>
    <w:rsid w:val="00E35C85"/>
    <w:rsid w:val="00E35D93"/>
    <w:rsid w:val="00E37865"/>
    <w:rsid w:val="00E400CF"/>
    <w:rsid w:val="00E40747"/>
    <w:rsid w:val="00E41C32"/>
    <w:rsid w:val="00E422CC"/>
    <w:rsid w:val="00E43D36"/>
    <w:rsid w:val="00E45520"/>
    <w:rsid w:val="00E45D42"/>
    <w:rsid w:val="00E45DD2"/>
    <w:rsid w:val="00E46DC2"/>
    <w:rsid w:val="00E476E8"/>
    <w:rsid w:val="00E47D69"/>
    <w:rsid w:val="00E50EAB"/>
    <w:rsid w:val="00E53FDB"/>
    <w:rsid w:val="00E55660"/>
    <w:rsid w:val="00E561CB"/>
    <w:rsid w:val="00E56C63"/>
    <w:rsid w:val="00E607FA"/>
    <w:rsid w:val="00E6203A"/>
    <w:rsid w:val="00E62D10"/>
    <w:rsid w:val="00E63873"/>
    <w:rsid w:val="00E63D6D"/>
    <w:rsid w:val="00E64004"/>
    <w:rsid w:val="00E6423E"/>
    <w:rsid w:val="00E647D9"/>
    <w:rsid w:val="00E64A7D"/>
    <w:rsid w:val="00E64F81"/>
    <w:rsid w:val="00E67196"/>
    <w:rsid w:val="00E678E0"/>
    <w:rsid w:val="00E704E8"/>
    <w:rsid w:val="00E7064C"/>
    <w:rsid w:val="00E720CE"/>
    <w:rsid w:val="00E726DD"/>
    <w:rsid w:val="00E72856"/>
    <w:rsid w:val="00E72C74"/>
    <w:rsid w:val="00E73845"/>
    <w:rsid w:val="00E75BE4"/>
    <w:rsid w:val="00E76AC9"/>
    <w:rsid w:val="00E7768A"/>
    <w:rsid w:val="00E81B23"/>
    <w:rsid w:val="00E81B54"/>
    <w:rsid w:val="00E821FC"/>
    <w:rsid w:val="00E84260"/>
    <w:rsid w:val="00E843F4"/>
    <w:rsid w:val="00E856C2"/>
    <w:rsid w:val="00E856D4"/>
    <w:rsid w:val="00E85BB0"/>
    <w:rsid w:val="00E875D5"/>
    <w:rsid w:val="00E877D7"/>
    <w:rsid w:val="00E90834"/>
    <w:rsid w:val="00E90F68"/>
    <w:rsid w:val="00E93D27"/>
    <w:rsid w:val="00E94714"/>
    <w:rsid w:val="00E94976"/>
    <w:rsid w:val="00E94FB8"/>
    <w:rsid w:val="00E950A1"/>
    <w:rsid w:val="00E95D07"/>
    <w:rsid w:val="00E9661B"/>
    <w:rsid w:val="00E97355"/>
    <w:rsid w:val="00E97792"/>
    <w:rsid w:val="00E97C42"/>
    <w:rsid w:val="00EA038E"/>
    <w:rsid w:val="00EA04A9"/>
    <w:rsid w:val="00EA16FC"/>
    <w:rsid w:val="00EA2292"/>
    <w:rsid w:val="00EA2530"/>
    <w:rsid w:val="00EA25FE"/>
    <w:rsid w:val="00EA2C9D"/>
    <w:rsid w:val="00EA3050"/>
    <w:rsid w:val="00EA4809"/>
    <w:rsid w:val="00EA4D99"/>
    <w:rsid w:val="00EA5706"/>
    <w:rsid w:val="00EA5BAF"/>
    <w:rsid w:val="00EB1DD1"/>
    <w:rsid w:val="00EB1FDD"/>
    <w:rsid w:val="00EB2355"/>
    <w:rsid w:val="00EB254A"/>
    <w:rsid w:val="00EB29BB"/>
    <w:rsid w:val="00EB39F3"/>
    <w:rsid w:val="00EB5114"/>
    <w:rsid w:val="00EB64E2"/>
    <w:rsid w:val="00EB70F9"/>
    <w:rsid w:val="00EB79C8"/>
    <w:rsid w:val="00EB7A44"/>
    <w:rsid w:val="00EC0AA7"/>
    <w:rsid w:val="00EC15A4"/>
    <w:rsid w:val="00EC37EA"/>
    <w:rsid w:val="00EC51B8"/>
    <w:rsid w:val="00EC53F0"/>
    <w:rsid w:val="00EC5518"/>
    <w:rsid w:val="00EC5ECB"/>
    <w:rsid w:val="00EC6C3D"/>
    <w:rsid w:val="00EC748F"/>
    <w:rsid w:val="00ED08DE"/>
    <w:rsid w:val="00ED0954"/>
    <w:rsid w:val="00ED2588"/>
    <w:rsid w:val="00ED2D21"/>
    <w:rsid w:val="00ED634D"/>
    <w:rsid w:val="00ED78B1"/>
    <w:rsid w:val="00EE09BF"/>
    <w:rsid w:val="00EE0EF5"/>
    <w:rsid w:val="00EE157A"/>
    <w:rsid w:val="00EE1606"/>
    <w:rsid w:val="00EE1660"/>
    <w:rsid w:val="00EE195B"/>
    <w:rsid w:val="00EE301A"/>
    <w:rsid w:val="00EE392A"/>
    <w:rsid w:val="00EE4C05"/>
    <w:rsid w:val="00EE569A"/>
    <w:rsid w:val="00EE5FAE"/>
    <w:rsid w:val="00EE637D"/>
    <w:rsid w:val="00EE66D7"/>
    <w:rsid w:val="00EE7741"/>
    <w:rsid w:val="00EE7ABE"/>
    <w:rsid w:val="00EE7F58"/>
    <w:rsid w:val="00EF0751"/>
    <w:rsid w:val="00EF2553"/>
    <w:rsid w:val="00EF302B"/>
    <w:rsid w:val="00EF403F"/>
    <w:rsid w:val="00EF5146"/>
    <w:rsid w:val="00EF69AA"/>
    <w:rsid w:val="00EF7214"/>
    <w:rsid w:val="00EF78A0"/>
    <w:rsid w:val="00F000DC"/>
    <w:rsid w:val="00F00244"/>
    <w:rsid w:val="00F00A3F"/>
    <w:rsid w:val="00F00AC8"/>
    <w:rsid w:val="00F01847"/>
    <w:rsid w:val="00F02FD2"/>
    <w:rsid w:val="00F04902"/>
    <w:rsid w:val="00F04A46"/>
    <w:rsid w:val="00F05B7B"/>
    <w:rsid w:val="00F062E6"/>
    <w:rsid w:val="00F0662C"/>
    <w:rsid w:val="00F06B8E"/>
    <w:rsid w:val="00F06E21"/>
    <w:rsid w:val="00F07699"/>
    <w:rsid w:val="00F10990"/>
    <w:rsid w:val="00F112CF"/>
    <w:rsid w:val="00F12364"/>
    <w:rsid w:val="00F14086"/>
    <w:rsid w:val="00F150ED"/>
    <w:rsid w:val="00F175EA"/>
    <w:rsid w:val="00F17635"/>
    <w:rsid w:val="00F20D84"/>
    <w:rsid w:val="00F214BF"/>
    <w:rsid w:val="00F221FC"/>
    <w:rsid w:val="00F22AEA"/>
    <w:rsid w:val="00F23B2B"/>
    <w:rsid w:val="00F2552F"/>
    <w:rsid w:val="00F2555B"/>
    <w:rsid w:val="00F26B1F"/>
    <w:rsid w:val="00F27EB2"/>
    <w:rsid w:val="00F27F19"/>
    <w:rsid w:val="00F30696"/>
    <w:rsid w:val="00F3201E"/>
    <w:rsid w:val="00F3227E"/>
    <w:rsid w:val="00F32EB4"/>
    <w:rsid w:val="00F34C23"/>
    <w:rsid w:val="00F3693E"/>
    <w:rsid w:val="00F375B0"/>
    <w:rsid w:val="00F40005"/>
    <w:rsid w:val="00F40520"/>
    <w:rsid w:val="00F40929"/>
    <w:rsid w:val="00F41872"/>
    <w:rsid w:val="00F418B0"/>
    <w:rsid w:val="00F43A25"/>
    <w:rsid w:val="00F45070"/>
    <w:rsid w:val="00F45C00"/>
    <w:rsid w:val="00F45F0B"/>
    <w:rsid w:val="00F4609F"/>
    <w:rsid w:val="00F46484"/>
    <w:rsid w:val="00F46733"/>
    <w:rsid w:val="00F46D78"/>
    <w:rsid w:val="00F47331"/>
    <w:rsid w:val="00F47599"/>
    <w:rsid w:val="00F51B98"/>
    <w:rsid w:val="00F51FED"/>
    <w:rsid w:val="00F523D9"/>
    <w:rsid w:val="00F52908"/>
    <w:rsid w:val="00F536BB"/>
    <w:rsid w:val="00F53FF5"/>
    <w:rsid w:val="00F54188"/>
    <w:rsid w:val="00F558FA"/>
    <w:rsid w:val="00F56010"/>
    <w:rsid w:val="00F560FA"/>
    <w:rsid w:val="00F566DE"/>
    <w:rsid w:val="00F56A69"/>
    <w:rsid w:val="00F60150"/>
    <w:rsid w:val="00F603FD"/>
    <w:rsid w:val="00F60605"/>
    <w:rsid w:val="00F60DF2"/>
    <w:rsid w:val="00F60EE4"/>
    <w:rsid w:val="00F615B7"/>
    <w:rsid w:val="00F61CED"/>
    <w:rsid w:val="00F63BE3"/>
    <w:rsid w:val="00F66860"/>
    <w:rsid w:val="00F705EA"/>
    <w:rsid w:val="00F70925"/>
    <w:rsid w:val="00F70CA7"/>
    <w:rsid w:val="00F7112E"/>
    <w:rsid w:val="00F726F2"/>
    <w:rsid w:val="00F728E7"/>
    <w:rsid w:val="00F7328A"/>
    <w:rsid w:val="00F73F37"/>
    <w:rsid w:val="00F74CD6"/>
    <w:rsid w:val="00F759A4"/>
    <w:rsid w:val="00F75E22"/>
    <w:rsid w:val="00F7631F"/>
    <w:rsid w:val="00F76AD7"/>
    <w:rsid w:val="00F8053A"/>
    <w:rsid w:val="00F81407"/>
    <w:rsid w:val="00F81A5E"/>
    <w:rsid w:val="00F81D5D"/>
    <w:rsid w:val="00F820FD"/>
    <w:rsid w:val="00F836FA"/>
    <w:rsid w:val="00F83DD6"/>
    <w:rsid w:val="00F84B2E"/>
    <w:rsid w:val="00F8598E"/>
    <w:rsid w:val="00F866A6"/>
    <w:rsid w:val="00F86CBA"/>
    <w:rsid w:val="00F87B5E"/>
    <w:rsid w:val="00F902A6"/>
    <w:rsid w:val="00F90DE3"/>
    <w:rsid w:val="00F922B6"/>
    <w:rsid w:val="00F93A11"/>
    <w:rsid w:val="00F9453B"/>
    <w:rsid w:val="00F95CD2"/>
    <w:rsid w:val="00F96A8E"/>
    <w:rsid w:val="00FA14BC"/>
    <w:rsid w:val="00FA2DEB"/>
    <w:rsid w:val="00FA32A2"/>
    <w:rsid w:val="00FA375A"/>
    <w:rsid w:val="00FA473D"/>
    <w:rsid w:val="00FA4ADD"/>
    <w:rsid w:val="00FA5E10"/>
    <w:rsid w:val="00FA6528"/>
    <w:rsid w:val="00FA7085"/>
    <w:rsid w:val="00FA7DE9"/>
    <w:rsid w:val="00FB03ED"/>
    <w:rsid w:val="00FB0F1A"/>
    <w:rsid w:val="00FB129B"/>
    <w:rsid w:val="00FB1545"/>
    <w:rsid w:val="00FB42B4"/>
    <w:rsid w:val="00FB45CB"/>
    <w:rsid w:val="00FB68DE"/>
    <w:rsid w:val="00FB6FCE"/>
    <w:rsid w:val="00FB77C0"/>
    <w:rsid w:val="00FB78EC"/>
    <w:rsid w:val="00FC16AC"/>
    <w:rsid w:val="00FC3720"/>
    <w:rsid w:val="00FC3852"/>
    <w:rsid w:val="00FC3F45"/>
    <w:rsid w:val="00FC5588"/>
    <w:rsid w:val="00FC6924"/>
    <w:rsid w:val="00FC6E31"/>
    <w:rsid w:val="00FC6E46"/>
    <w:rsid w:val="00FD1C9D"/>
    <w:rsid w:val="00FD2134"/>
    <w:rsid w:val="00FD2467"/>
    <w:rsid w:val="00FD258D"/>
    <w:rsid w:val="00FD2B19"/>
    <w:rsid w:val="00FD4079"/>
    <w:rsid w:val="00FD4851"/>
    <w:rsid w:val="00FD503B"/>
    <w:rsid w:val="00FD59EA"/>
    <w:rsid w:val="00FD5F97"/>
    <w:rsid w:val="00FD70C5"/>
    <w:rsid w:val="00FD797E"/>
    <w:rsid w:val="00FD79D4"/>
    <w:rsid w:val="00FE01FA"/>
    <w:rsid w:val="00FE042E"/>
    <w:rsid w:val="00FE2260"/>
    <w:rsid w:val="00FE2761"/>
    <w:rsid w:val="00FE2EC7"/>
    <w:rsid w:val="00FE31DE"/>
    <w:rsid w:val="00FE581B"/>
    <w:rsid w:val="00FF05AA"/>
    <w:rsid w:val="00FF1696"/>
    <w:rsid w:val="00FF2170"/>
    <w:rsid w:val="00FF32ED"/>
    <w:rsid w:val="00FF4CE1"/>
    <w:rsid w:val="00FF5DAF"/>
    <w:rsid w:val="00FF7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76D65A"/>
  <w15:docId w15:val="{AB022FBC-ABC1-4EAF-A687-179EF9F3B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95B"/>
  </w:style>
  <w:style w:type="paragraph" w:styleId="Ttulo1">
    <w:name w:val="heading 1"/>
    <w:basedOn w:val="Normal"/>
    <w:next w:val="Normal"/>
    <w:link w:val="Ttulo1Car"/>
    <w:uiPriority w:val="9"/>
    <w:qFormat/>
    <w:rsid w:val="00C47682"/>
    <w:pPr>
      <w:keepNext/>
      <w:keepLines/>
      <w:spacing w:before="240" w:after="0" w:line="276" w:lineRule="auto"/>
      <w:outlineLvl w:val="0"/>
    </w:pPr>
    <w:rPr>
      <w:rFonts w:asciiTheme="majorHAnsi" w:eastAsiaTheme="majorEastAsia" w:hAnsiTheme="majorHAnsi" w:cstheme="majorBidi"/>
      <w:b/>
      <w:sz w:val="32"/>
      <w:szCs w:val="32"/>
      <w:lang w:val="es-EC"/>
    </w:rPr>
  </w:style>
  <w:style w:type="paragraph" w:styleId="Ttulo2">
    <w:name w:val="heading 2"/>
    <w:basedOn w:val="Normal"/>
    <w:next w:val="Normal"/>
    <w:link w:val="Ttulo2Car"/>
    <w:uiPriority w:val="9"/>
    <w:unhideWhenUsed/>
    <w:qFormat/>
    <w:rsid w:val="001006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D34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
    <w:basedOn w:val="Normal"/>
    <w:link w:val="PrrafodelistaCar"/>
    <w:uiPriority w:val="34"/>
    <w:qFormat/>
    <w:rsid w:val="00C865CA"/>
    <w:pPr>
      <w:ind w:left="720"/>
      <w:contextualSpacing/>
    </w:p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uiPriority w:val="34"/>
    <w:locked/>
    <w:rsid w:val="00CC7417"/>
  </w:style>
  <w:style w:type="paragraph" w:styleId="Encabezado">
    <w:name w:val="header"/>
    <w:basedOn w:val="Normal"/>
    <w:link w:val="EncabezadoCar"/>
    <w:uiPriority w:val="99"/>
    <w:unhideWhenUsed/>
    <w:rsid w:val="00CC74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417"/>
  </w:style>
  <w:style w:type="paragraph" w:styleId="Piedepgina">
    <w:name w:val="footer"/>
    <w:basedOn w:val="Normal"/>
    <w:link w:val="PiedepginaCar"/>
    <w:uiPriority w:val="99"/>
    <w:unhideWhenUsed/>
    <w:rsid w:val="00CC74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417"/>
  </w:style>
  <w:style w:type="paragraph" w:customStyle="1" w:styleId="Default">
    <w:name w:val="Default"/>
    <w:rsid w:val="00621596"/>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2519AE"/>
    <w:pPr>
      <w:spacing w:after="0" w:line="240" w:lineRule="auto"/>
    </w:pPr>
    <w:rPr>
      <w:sz w:val="20"/>
      <w:szCs w:val="20"/>
      <w:lang w:val="es-EC"/>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2519AE"/>
    <w:rPr>
      <w:sz w:val="20"/>
      <w:szCs w:val="20"/>
      <w:lang w:val="es-EC"/>
    </w:rPr>
  </w:style>
  <w:style w:type="paragraph" w:styleId="Textocomentario">
    <w:name w:val="annotation text"/>
    <w:basedOn w:val="Normal"/>
    <w:link w:val="TextocomentarioCar"/>
    <w:uiPriority w:val="4"/>
    <w:unhideWhenUsed/>
    <w:rsid w:val="002519AE"/>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4"/>
    <w:rsid w:val="002519AE"/>
    <w:rPr>
      <w:sz w:val="20"/>
      <w:szCs w:val="20"/>
      <w:lang w:val="es-EC"/>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2519AE"/>
    <w:rPr>
      <w:vertAlign w:val="superscript"/>
    </w:rPr>
  </w:style>
  <w:style w:type="character" w:styleId="Refdecomentario">
    <w:name w:val="annotation reference"/>
    <w:basedOn w:val="Fuentedeprrafopredeter"/>
    <w:uiPriority w:val="99"/>
    <w:unhideWhenUsed/>
    <w:rsid w:val="002519AE"/>
    <w:rPr>
      <w:sz w:val="16"/>
      <w:szCs w:val="16"/>
    </w:rPr>
  </w:style>
  <w:style w:type="paragraph" w:styleId="Textodeglobo">
    <w:name w:val="Balloon Text"/>
    <w:basedOn w:val="Normal"/>
    <w:link w:val="TextodegloboCar"/>
    <w:uiPriority w:val="99"/>
    <w:semiHidden/>
    <w:unhideWhenUsed/>
    <w:rsid w:val="00AA70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7021"/>
    <w:rPr>
      <w:rFonts w:ascii="Segoe UI" w:hAnsi="Segoe UI" w:cs="Segoe UI"/>
      <w:sz w:val="18"/>
      <w:szCs w:val="18"/>
    </w:rPr>
  </w:style>
  <w:style w:type="table" w:customStyle="1" w:styleId="Tabladelista6concolores1">
    <w:name w:val="Tabla de lista 6 con colores1"/>
    <w:basedOn w:val="Tablanormal"/>
    <w:uiPriority w:val="51"/>
    <w:rsid w:val="00CA6D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013A2"/>
    <w:pPr>
      <w:spacing w:after="160"/>
    </w:pPr>
    <w:rPr>
      <w:b/>
      <w:bCs/>
      <w:lang w:val="es-MX"/>
    </w:rPr>
  </w:style>
  <w:style w:type="character" w:customStyle="1" w:styleId="AsuntodelcomentarioCar">
    <w:name w:val="Asunto del comentario Car"/>
    <w:basedOn w:val="TextocomentarioCar"/>
    <w:link w:val="Asuntodelcomentario"/>
    <w:uiPriority w:val="99"/>
    <w:semiHidden/>
    <w:rsid w:val="000013A2"/>
    <w:rPr>
      <w:b/>
      <w:bCs/>
      <w:sz w:val="20"/>
      <w:szCs w:val="20"/>
      <w:lang w:val="es-EC"/>
    </w:rPr>
  </w:style>
  <w:style w:type="character" w:customStyle="1" w:styleId="Ttulo1Car">
    <w:name w:val="Título 1 Car"/>
    <w:basedOn w:val="Fuentedeprrafopredeter"/>
    <w:link w:val="Ttulo1"/>
    <w:uiPriority w:val="9"/>
    <w:rsid w:val="00C47682"/>
    <w:rPr>
      <w:rFonts w:asciiTheme="majorHAnsi" w:eastAsiaTheme="majorEastAsia" w:hAnsiTheme="majorHAnsi" w:cstheme="majorBidi"/>
      <w:b/>
      <w:sz w:val="32"/>
      <w:szCs w:val="32"/>
      <w:lang w:val="es-EC"/>
    </w:rPr>
  </w:style>
  <w:style w:type="character" w:customStyle="1" w:styleId="apple-converted-space">
    <w:name w:val="apple-converted-space"/>
    <w:basedOn w:val="Fuentedeprrafopredeter"/>
    <w:rsid w:val="00A53DE5"/>
  </w:style>
  <w:style w:type="character" w:styleId="Hipervnculo">
    <w:name w:val="Hyperlink"/>
    <w:basedOn w:val="Fuentedeprrafopredeter"/>
    <w:uiPriority w:val="99"/>
    <w:unhideWhenUsed/>
    <w:rsid w:val="00A53DE5"/>
    <w:rPr>
      <w:color w:val="0000FF"/>
      <w:u w:val="single"/>
    </w:rPr>
  </w:style>
  <w:style w:type="table" w:styleId="Tablaconcuadrcula">
    <w:name w:val="Table Grid"/>
    <w:basedOn w:val="Tablanormal"/>
    <w:uiPriority w:val="39"/>
    <w:rsid w:val="00414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A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360B7D"/>
    <w:pPr>
      <w:spacing w:after="0" w:line="240" w:lineRule="auto"/>
    </w:pPr>
  </w:style>
  <w:style w:type="character" w:customStyle="1" w:styleId="Ttulo2Car">
    <w:name w:val="Título 2 Car"/>
    <w:basedOn w:val="Fuentedeprrafopredeter"/>
    <w:link w:val="Ttulo2"/>
    <w:uiPriority w:val="9"/>
    <w:rsid w:val="0010062D"/>
    <w:rPr>
      <w:rFonts w:asciiTheme="majorHAnsi" w:eastAsiaTheme="majorEastAsia" w:hAnsiTheme="majorHAnsi" w:cstheme="majorBidi"/>
      <w:color w:val="2E74B5" w:themeColor="accent1" w:themeShade="BF"/>
      <w:sz w:val="26"/>
      <w:szCs w:val="26"/>
    </w:rPr>
  </w:style>
  <w:style w:type="table" w:customStyle="1" w:styleId="Tabladelista6concolores11">
    <w:name w:val="Tabla de lista 6 con colores11"/>
    <w:basedOn w:val="Tablanormal"/>
    <w:uiPriority w:val="51"/>
    <w:rsid w:val="009F7B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
    <w:name w:val="Title"/>
    <w:basedOn w:val="Normal"/>
    <w:next w:val="Normal"/>
    <w:link w:val="TtuloCar"/>
    <w:uiPriority w:val="10"/>
    <w:qFormat/>
    <w:rsid w:val="009B1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1BD2"/>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9D347D"/>
    <w:rPr>
      <w:rFonts w:asciiTheme="majorHAnsi" w:eastAsiaTheme="majorEastAsia" w:hAnsiTheme="majorHAnsi" w:cstheme="majorBidi"/>
      <w:color w:val="1F4D78" w:themeColor="accent1" w:themeShade="7F"/>
      <w:sz w:val="24"/>
      <w:szCs w:val="24"/>
    </w:rPr>
  </w:style>
  <w:style w:type="paragraph" w:customStyle="1" w:styleId="IFTnormal">
    <w:name w:val="IFT normal"/>
    <w:basedOn w:val="Normal"/>
    <w:link w:val="IFTnormalCar"/>
    <w:qFormat/>
    <w:rsid w:val="007B7B1A"/>
    <w:pPr>
      <w:spacing w:after="200" w:line="276" w:lineRule="auto"/>
      <w:jc w:val="both"/>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7B7B1A"/>
    <w:rPr>
      <w:rFonts w:ascii="ITC Avant Garde" w:eastAsia="Calibri" w:hAnsi="ITC Avant Garde" w:cs="Arial"/>
      <w:color w:val="000000"/>
      <w:lang w:val="es-ES_tradnl" w:eastAsia="es-ES"/>
    </w:rPr>
  </w:style>
  <w:style w:type="paragraph" w:customStyle="1" w:styleId="Citaift">
    <w:name w:val="Cita ift"/>
    <w:basedOn w:val="Normal"/>
    <w:link w:val="CitaiftCar"/>
    <w:qFormat/>
    <w:rsid w:val="007B7B1A"/>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B7B1A"/>
    <w:rPr>
      <w:rFonts w:ascii="ITC Avant Garde" w:eastAsia="Times New Roman" w:hAnsi="ITC Avant Garde" w:cs="Arial"/>
      <w:i/>
      <w:color w:val="000000"/>
      <w:sz w:val="18"/>
      <w:szCs w:val="18"/>
      <w:lang w:eastAsia="es-ES"/>
    </w:rPr>
  </w:style>
  <w:style w:type="character" w:styleId="nfasis">
    <w:name w:val="Emphasis"/>
    <w:basedOn w:val="Fuentedeprrafopredeter"/>
    <w:qFormat/>
    <w:rsid w:val="00661832"/>
    <w:rPr>
      <w:i/>
      <w:iCs/>
    </w:rPr>
  </w:style>
  <w:style w:type="paragraph" w:customStyle="1" w:styleId="estilo30">
    <w:name w:val="estilo30"/>
    <w:basedOn w:val="Normal"/>
    <w:rsid w:val="00DA2A8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4-nfasis6">
    <w:name w:val="Grid Table 4 Accent 6"/>
    <w:basedOn w:val="Tablanormal"/>
    <w:uiPriority w:val="49"/>
    <w:rsid w:val="008A71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AA08F9"/>
    <w:rPr>
      <w:color w:val="954F72" w:themeColor="followedHyperlink"/>
      <w:u w:val="single"/>
    </w:rPr>
  </w:style>
  <w:style w:type="paragraph" w:styleId="Sinespaciado">
    <w:name w:val="No Spacing"/>
    <w:basedOn w:val="Normal"/>
    <w:uiPriority w:val="1"/>
    <w:qFormat/>
    <w:rsid w:val="00644261"/>
    <w:pPr>
      <w:spacing w:after="0" w:line="240" w:lineRule="auto"/>
    </w:pPr>
    <w:rPr>
      <w:rFonts w:ascii="Calibri" w:hAnsi="Calibri" w:cs="Calibri"/>
      <w:lang w:eastAsia="es-MX"/>
    </w:rPr>
  </w:style>
  <w:style w:type="paragraph" w:customStyle="1" w:styleId="Text">
    <w:name w:val="Text"/>
    <w:basedOn w:val="Normal"/>
    <w:rsid w:val="000165E5"/>
    <w:pPr>
      <w:spacing w:after="240" w:line="240" w:lineRule="auto"/>
    </w:pPr>
    <w:rPr>
      <w:rFonts w:ascii="Arial" w:eastAsia="Calibri" w:hAnsi="Arial" w:cs="Arial"/>
      <w:b/>
      <w:sz w:val="24"/>
      <w:szCs w:val="20"/>
      <w:lang w:val="es-ES_tradnl"/>
    </w:rPr>
  </w:style>
  <w:style w:type="paragraph" w:customStyle="1" w:styleId="Texto">
    <w:name w:val="Texto"/>
    <w:basedOn w:val="Normal"/>
    <w:link w:val="TextoCar"/>
    <w:rsid w:val="000165E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165E5"/>
    <w:rPr>
      <w:rFonts w:ascii="Arial" w:eastAsia="Times New Roman" w:hAnsi="Arial" w:cs="Arial"/>
      <w:sz w:val="18"/>
      <w:szCs w:val="20"/>
      <w:lang w:val="es-ES" w:eastAsia="es-ES"/>
    </w:rPr>
  </w:style>
  <w:style w:type="numbering" w:customStyle="1" w:styleId="Estilo2">
    <w:name w:val="Estilo2"/>
    <w:uiPriority w:val="99"/>
    <w:rsid w:val="00F40929"/>
    <w:pPr>
      <w:numPr>
        <w:numId w:val="13"/>
      </w:numPr>
    </w:pPr>
  </w:style>
  <w:style w:type="character" w:customStyle="1" w:styleId="Mencinsinresolver1">
    <w:name w:val="Mención sin resolver1"/>
    <w:basedOn w:val="Fuentedeprrafopredeter"/>
    <w:uiPriority w:val="99"/>
    <w:semiHidden/>
    <w:unhideWhenUsed/>
    <w:rsid w:val="005F05A4"/>
    <w:rPr>
      <w:color w:val="605E5C"/>
      <w:shd w:val="clear" w:color="auto" w:fill="E1DFDD"/>
    </w:rPr>
  </w:style>
  <w:style w:type="paragraph" w:styleId="Textoindependiente">
    <w:name w:val="Body Text"/>
    <w:basedOn w:val="Normal"/>
    <w:link w:val="TextoindependienteCar"/>
    <w:qFormat/>
    <w:rsid w:val="00C03526"/>
    <w:pPr>
      <w:spacing w:after="240" w:line="240" w:lineRule="auto"/>
    </w:pPr>
    <w:rPr>
      <w:rFonts w:eastAsiaTheme="minorEastAsia"/>
      <w:sz w:val="24"/>
      <w:szCs w:val="24"/>
      <w:lang w:val="en-GB" w:eastAsia="ja-JP"/>
    </w:rPr>
  </w:style>
  <w:style w:type="character" w:customStyle="1" w:styleId="TextoindependienteCar">
    <w:name w:val="Texto independiente Car"/>
    <w:basedOn w:val="Fuentedeprrafopredeter"/>
    <w:link w:val="Textoindependiente"/>
    <w:rsid w:val="00C03526"/>
    <w:rPr>
      <w:rFonts w:eastAsiaTheme="minorEastAsia"/>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083">
      <w:bodyDiv w:val="1"/>
      <w:marLeft w:val="0"/>
      <w:marRight w:val="0"/>
      <w:marTop w:val="0"/>
      <w:marBottom w:val="0"/>
      <w:divBdr>
        <w:top w:val="none" w:sz="0" w:space="0" w:color="auto"/>
        <w:left w:val="none" w:sz="0" w:space="0" w:color="auto"/>
        <w:bottom w:val="none" w:sz="0" w:space="0" w:color="auto"/>
        <w:right w:val="none" w:sz="0" w:space="0" w:color="auto"/>
      </w:divBdr>
    </w:div>
    <w:div w:id="12654287">
      <w:bodyDiv w:val="1"/>
      <w:marLeft w:val="0"/>
      <w:marRight w:val="0"/>
      <w:marTop w:val="0"/>
      <w:marBottom w:val="0"/>
      <w:divBdr>
        <w:top w:val="none" w:sz="0" w:space="0" w:color="auto"/>
        <w:left w:val="none" w:sz="0" w:space="0" w:color="auto"/>
        <w:bottom w:val="none" w:sz="0" w:space="0" w:color="auto"/>
        <w:right w:val="none" w:sz="0" w:space="0" w:color="auto"/>
      </w:divBdr>
    </w:div>
    <w:div w:id="71588519">
      <w:bodyDiv w:val="1"/>
      <w:marLeft w:val="0"/>
      <w:marRight w:val="0"/>
      <w:marTop w:val="0"/>
      <w:marBottom w:val="0"/>
      <w:divBdr>
        <w:top w:val="none" w:sz="0" w:space="0" w:color="auto"/>
        <w:left w:val="none" w:sz="0" w:space="0" w:color="auto"/>
        <w:bottom w:val="none" w:sz="0" w:space="0" w:color="auto"/>
        <w:right w:val="none" w:sz="0" w:space="0" w:color="auto"/>
      </w:divBdr>
    </w:div>
    <w:div w:id="75179187">
      <w:bodyDiv w:val="1"/>
      <w:marLeft w:val="0"/>
      <w:marRight w:val="0"/>
      <w:marTop w:val="0"/>
      <w:marBottom w:val="0"/>
      <w:divBdr>
        <w:top w:val="none" w:sz="0" w:space="0" w:color="auto"/>
        <w:left w:val="none" w:sz="0" w:space="0" w:color="auto"/>
        <w:bottom w:val="none" w:sz="0" w:space="0" w:color="auto"/>
        <w:right w:val="none" w:sz="0" w:space="0" w:color="auto"/>
      </w:divBdr>
    </w:div>
    <w:div w:id="76289435">
      <w:bodyDiv w:val="1"/>
      <w:marLeft w:val="0"/>
      <w:marRight w:val="0"/>
      <w:marTop w:val="0"/>
      <w:marBottom w:val="0"/>
      <w:divBdr>
        <w:top w:val="none" w:sz="0" w:space="0" w:color="auto"/>
        <w:left w:val="none" w:sz="0" w:space="0" w:color="auto"/>
        <w:bottom w:val="none" w:sz="0" w:space="0" w:color="auto"/>
        <w:right w:val="none" w:sz="0" w:space="0" w:color="auto"/>
      </w:divBdr>
    </w:div>
    <w:div w:id="88162961">
      <w:bodyDiv w:val="1"/>
      <w:marLeft w:val="0"/>
      <w:marRight w:val="0"/>
      <w:marTop w:val="0"/>
      <w:marBottom w:val="0"/>
      <w:divBdr>
        <w:top w:val="none" w:sz="0" w:space="0" w:color="auto"/>
        <w:left w:val="none" w:sz="0" w:space="0" w:color="auto"/>
        <w:bottom w:val="none" w:sz="0" w:space="0" w:color="auto"/>
        <w:right w:val="none" w:sz="0" w:space="0" w:color="auto"/>
      </w:divBdr>
    </w:div>
    <w:div w:id="99104592">
      <w:bodyDiv w:val="1"/>
      <w:marLeft w:val="0"/>
      <w:marRight w:val="0"/>
      <w:marTop w:val="0"/>
      <w:marBottom w:val="0"/>
      <w:divBdr>
        <w:top w:val="none" w:sz="0" w:space="0" w:color="auto"/>
        <w:left w:val="none" w:sz="0" w:space="0" w:color="auto"/>
        <w:bottom w:val="none" w:sz="0" w:space="0" w:color="auto"/>
        <w:right w:val="none" w:sz="0" w:space="0" w:color="auto"/>
      </w:divBdr>
    </w:div>
    <w:div w:id="106581371">
      <w:bodyDiv w:val="1"/>
      <w:marLeft w:val="0"/>
      <w:marRight w:val="0"/>
      <w:marTop w:val="0"/>
      <w:marBottom w:val="0"/>
      <w:divBdr>
        <w:top w:val="none" w:sz="0" w:space="0" w:color="auto"/>
        <w:left w:val="none" w:sz="0" w:space="0" w:color="auto"/>
        <w:bottom w:val="none" w:sz="0" w:space="0" w:color="auto"/>
        <w:right w:val="none" w:sz="0" w:space="0" w:color="auto"/>
      </w:divBdr>
    </w:div>
    <w:div w:id="114101015">
      <w:bodyDiv w:val="1"/>
      <w:marLeft w:val="0"/>
      <w:marRight w:val="0"/>
      <w:marTop w:val="0"/>
      <w:marBottom w:val="0"/>
      <w:divBdr>
        <w:top w:val="none" w:sz="0" w:space="0" w:color="auto"/>
        <w:left w:val="none" w:sz="0" w:space="0" w:color="auto"/>
        <w:bottom w:val="none" w:sz="0" w:space="0" w:color="auto"/>
        <w:right w:val="none" w:sz="0" w:space="0" w:color="auto"/>
      </w:divBdr>
    </w:div>
    <w:div w:id="123622613">
      <w:bodyDiv w:val="1"/>
      <w:marLeft w:val="0"/>
      <w:marRight w:val="0"/>
      <w:marTop w:val="0"/>
      <w:marBottom w:val="0"/>
      <w:divBdr>
        <w:top w:val="none" w:sz="0" w:space="0" w:color="auto"/>
        <w:left w:val="none" w:sz="0" w:space="0" w:color="auto"/>
        <w:bottom w:val="none" w:sz="0" w:space="0" w:color="auto"/>
        <w:right w:val="none" w:sz="0" w:space="0" w:color="auto"/>
      </w:divBdr>
    </w:div>
    <w:div w:id="130290611">
      <w:bodyDiv w:val="1"/>
      <w:marLeft w:val="0"/>
      <w:marRight w:val="0"/>
      <w:marTop w:val="0"/>
      <w:marBottom w:val="0"/>
      <w:divBdr>
        <w:top w:val="none" w:sz="0" w:space="0" w:color="auto"/>
        <w:left w:val="none" w:sz="0" w:space="0" w:color="auto"/>
        <w:bottom w:val="none" w:sz="0" w:space="0" w:color="auto"/>
        <w:right w:val="none" w:sz="0" w:space="0" w:color="auto"/>
      </w:divBdr>
    </w:div>
    <w:div w:id="166334651">
      <w:bodyDiv w:val="1"/>
      <w:marLeft w:val="0"/>
      <w:marRight w:val="0"/>
      <w:marTop w:val="0"/>
      <w:marBottom w:val="0"/>
      <w:divBdr>
        <w:top w:val="none" w:sz="0" w:space="0" w:color="auto"/>
        <w:left w:val="none" w:sz="0" w:space="0" w:color="auto"/>
        <w:bottom w:val="none" w:sz="0" w:space="0" w:color="auto"/>
        <w:right w:val="none" w:sz="0" w:space="0" w:color="auto"/>
      </w:divBdr>
    </w:div>
    <w:div w:id="174268332">
      <w:bodyDiv w:val="1"/>
      <w:marLeft w:val="0"/>
      <w:marRight w:val="0"/>
      <w:marTop w:val="0"/>
      <w:marBottom w:val="0"/>
      <w:divBdr>
        <w:top w:val="none" w:sz="0" w:space="0" w:color="auto"/>
        <w:left w:val="none" w:sz="0" w:space="0" w:color="auto"/>
        <w:bottom w:val="none" w:sz="0" w:space="0" w:color="auto"/>
        <w:right w:val="none" w:sz="0" w:space="0" w:color="auto"/>
      </w:divBdr>
    </w:div>
    <w:div w:id="211618140">
      <w:bodyDiv w:val="1"/>
      <w:marLeft w:val="0"/>
      <w:marRight w:val="0"/>
      <w:marTop w:val="0"/>
      <w:marBottom w:val="0"/>
      <w:divBdr>
        <w:top w:val="none" w:sz="0" w:space="0" w:color="auto"/>
        <w:left w:val="none" w:sz="0" w:space="0" w:color="auto"/>
        <w:bottom w:val="none" w:sz="0" w:space="0" w:color="auto"/>
        <w:right w:val="none" w:sz="0" w:space="0" w:color="auto"/>
      </w:divBdr>
    </w:div>
    <w:div w:id="228539051">
      <w:bodyDiv w:val="1"/>
      <w:marLeft w:val="0"/>
      <w:marRight w:val="0"/>
      <w:marTop w:val="0"/>
      <w:marBottom w:val="0"/>
      <w:divBdr>
        <w:top w:val="none" w:sz="0" w:space="0" w:color="auto"/>
        <w:left w:val="none" w:sz="0" w:space="0" w:color="auto"/>
        <w:bottom w:val="none" w:sz="0" w:space="0" w:color="auto"/>
        <w:right w:val="none" w:sz="0" w:space="0" w:color="auto"/>
      </w:divBdr>
    </w:div>
    <w:div w:id="249583930">
      <w:bodyDiv w:val="1"/>
      <w:marLeft w:val="0"/>
      <w:marRight w:val="0"/>
      <w:marTop w:val="0"/>
      <w:marBottom w:val="0"/>
      <w:divBdr>
        <w:top w:val="none" w:sz="0" w:space="0" w:color="auto"/>
        <w:left w:val="none" w:sz="0" w:space="0" w:color="auto"/>
        <w:bottom w:val="none" w:sz="0" w:space="0" w:color="auto"/>
        <w:right w:val="none" w:sz="0" w:space="0" w:color="auto"/>
      </w:divBdr>
    </w:div>
    <w:div w:id="270666145">
      <w:bodyDiv w:val="1"/>
      <w:marLeft w:val="0"/>
      <w:marRight w:val="0"/>
      <w:marTop w:val="0"/>
      <w:marBottom w:val="0"/>
      <w:divBdr>
        <w:top w:val="none" w:sz="0" w:space="0" w:color="auto"/>
        <w:left w:val="none" w:sz="0" w:space="0" w:color="auto"/>
        <w:bottom w:val="none" w:sz="0" w:space="0" w:color="auto"/>
        <w:right w:val="none" w:sz="0" w:space="0" w:color="auto"/>
      </w:divBdr>
    </w:div>
    <w:div w:id="306400285">
      <w:bodyDiv w:val="1"/>
      <w:marLeft w:val="0"/>
      <w:marRight w:val="0"/>
      <w:marTop w:val="0"/>
      <w:marBottom w:val="0"/>
      <w:divBdr>
        <w:top w:val="none" w:sz="0" w:space="0" w:color="auto"/>
        <w:left w:val="none" w:sz="0" w:space="0" w:color="auto"/>
        <w:bottom w:val="none" w:sz="0" w:space="0" w:color="auto"/>
        <w:right w:val="none" w:sz="0" w:space="0" w:color="auto"/>
      </w:divBdr>
    </w:div>
    <w:div w:id="312179290">
      <w:bodyDiv w:val="1"/>
      <w:marLeft w:val="0"/>
      <w:marRight w:val="0"/>
      <w:marTop w:val="0"/>
      <w:marBottom w:val="0"/>
      <w:divBdr>
        <w:top w:val="none" w:sz="0" w:space="0" w:color="auto"/>
        <w:left w:val="none" w:sz="0" w:space="0" w:color="auto"/>
        <w:bottom w:val="none" w:sz="0" w:space="0" w:color="auto"/>
        <w:right w:val="none" w:sz="0" w:space="0" w:color="auto"/>
      </w:divBdr>
    </w:div>
    <w:div w:id="319889523">
      <w:bodyDiv w:val="1"/>
      <w:marLeft w:val="0"/>
      <w:marRight w:val="0"/>
      <w:marTop w:val="0"/>
      <w:marBottom w:val="0"/>
      <w:divBdr>
        <w:top w:val="none" w:sz="0" w:space="0" w:color="auto"/>
        <w:left w:val="none" w:sz="0" w:space="0" w:color="auto"/>
        <w:bottom w:val="none" w:sz="0" w:space="0" w:color="auto"/>
        <w:right w:val="none" w:sz="0" w:space="0" w:color="auto"/>
      </w:divBdr>
    </w:div>
    <w:div w:id="341322418">
      <w:bodyDiv w:val="1"/>
      <w:marLeft w:val="0"/>
      <w:marRight w:val="0"/>
      <w:marTop w:val="0"/>
      <w:marBottom w:val="0"/>
      <w:divBdr>
        <w:top w:val="none" w:sz="0" w:space="0" w:color="auto"/>
        <w:left w:val="none" w:sz="0" w:space="0" w:color="auto"/>
        <w:bottom w:val="none" w:sz="0" w:space="0" w:color="auto"/>
        <w:right w:val="none" w:sz="0" w:space="0" w:color="auto"/>
      </w:divBdr>
    </w:div>
    <w:div w:id="342904210">
      <w:bodyDiv w:val="1"/>
      <w:marLeft w:val="0"/>
      <w:marRight w:val="0"/>
      <w:marTop w:val="0"/>
      <w:marBottom w:val="0"/>
      <w:divBdr>
        <w:top w:val="none" w:sz="0" w:space="0" w:color="auto"/>
        <w:left w:val="none" w:sz="0" w:space="0" w:color="auto"/>
        <w:bottom w:val="none" w:sz="0" w:space="0" w:color="auto"/>
        <w:right w:val="none" w:sz="0" w:space="0" w:color="auto"/>
      </w:divBdr>
    </w:div>
    <w:div w:id="344988058">
      <w:bodyDiv w:val="1"/>
      <w:marLeft w:val="0"/>
      <w:marRight w:val="0"/>
      <w:marTop w:val="0"/>
      <w:marBottom w:val="0"/>
      <w:divBdr>
        <w:top w:val="none" w:sz="0" w:space="0" w:color="auto"/>
        <w:left w:val="none" w:sz="0" w:space="0" w:color="auto"/>
        <w:bottom w:val="none" w:sz="0" w:space="0" w:color="auto"/>
        <w:right w:val="none" w:sz="0" w:space="0" w:color="auto"/>
      </w:divBdr>
    </w:div>
    <w:div w:id="348407960">
      <w:bodyDiv w:val="1"/>
      <w:marLeft w:val="0"/>
      <w:marRight w:val="0"/>
      <w:marTop w:val="0"/>
      <w:marBottom w:val="0"/>
      <w:divBdr>
        <w:top w:val="none" w:sz="0" w:space="0" w:color="auto"/>
        <w:left w:val="none" w:sz="0" w:space="0" w:color="auto"/>
        <w:bottom w:val="none" w:sz="0" w:space="0" w:color="auto"/>
        <w:right w:val="none" w:sz="0" w:space="0" w:color="auto"/>
      </w:divBdr>
    </w:div>
    <w:div w:id="362439829">
      <w:bodyDiv w:val="1"/>
      <w:marLeft w:val="0"/>
      <w:marRight w:val="0"/>
      <w:marTop w:val="0"/>
      <w:marBottom w:val="0"/>
      <w:divBdr>
        <w:top w:val="none" w:sz="0" w:space="0" w:color="auto"/>
        <w:left w:val="none" w:sz="0" w:space="0" w:color="auto"/>
        <w:bottom w:val="none" w:sz="0" w:space="0" w:color="auto"/>
        <w:right w:val="none" w:sz="0" w:space="0" w:color="auto"/>
      </w:divBdr>
      <w:divsChild>
        <w:div w:id="230434382">
          <w:marLeft w:val="0"/>
          <w:marRight w:val="0"/>
          <w:marTop w:val="0"/>
          <w:marBottom w:val="0"/>
          <w:divBdr>
            <w:top w:val="none" w:sz="0" w:space="0" w:color="auto"/>
            <w:left w:val="none" w:sz="0" w:space="0" w:color="auto"/>
            <w:bottom w:val="none" w:sz="0" w:space="0" w:color="auto"/>
            <w:right w:val="none" w:sz="0" w:space="0" w:color="auto"/>
          </w:divBdr>
          <w:divsChild>
            <w:div w:id="1563566493">
              <w:marLeft w:val="-225"/>
              <w:marRight w:val="-225"/>
              <w:marTop w:val="0"/>
              <w:marBottom w:val="0"/>
              <w:divBdr>
                <w:top w:val="none" w:sz="0" w:space="0" w:color="auto"/>
                <w:left w:val="none" w:sz="0" w:space="0" w:color="auto"/>
                <w:bottom w:val="none" w:sz="0" w:space="0" w:color="auto"/>
                <w:right w:val="none" w:sz="0" w:space="0" w:color="auto"/>
              </w:divBdr>
              <w:divsChild>
                <w:div w:id="1121807273">
                  <w:marLeft w:val="0"/>
                  <w:marRight w:val="0"/>
                  <w:marTop w:val="0"/>
                  <w:marBottom w:val="0"/>
                  <w:divBdr>
                    <w:top w:val="none" w:sz="0" w:space="0" w:color="auto"/>
                    <w:left w:val="none" w:sz="0" w:space="0" w:color="auto"/>
                    <w:bottom w:val="none" w:sz="0" w:space="0" w:color="auto"/>
                    <w:right w:val="none" w:sz="0" w:space="0" w:color="auto"/>
                  </w:divBdr>
                  <w:divsChild>
                    <w:div w:id="732653640">
                      <w:marLeft w:val="-225"/>
                      <w:marRight w:val="-225"/>
                      <w:marTop w:val="0"/>
                      <w:marBottom w:val="0"/>
                      <w:divBdr>
                        <w:top w:val="none" w:sz="0" w:space="0" w:color="auto"/>
                        <w:left w:val="none" w:sz="0" w:space="0" w:color="auto"/>
                        <w:bottom w:val="none" w:sz="0" w:space="0" w:color="auto"/>
                        <w:right w:val="none" w:sz="0" w:space="0" w:color="auto"/>
                      </w:divBdr>
                      <w:divsChild>
                        <w:div w:id="2009088926">
                          <w:marLeft w:val="-225"/>
                          <w:marRight w:val="-225"/>
                          <w:marTop w:val="0"/>
                          <w:marBottom w:val="0"/>
                          <w:divBdr>
                            <w:top w:val="none" w:sz="0" w:space="0" w:color="auto"/>
                            <w:left w:val="none" w:sz="0" w:space="0" w:color="auto"/>
                            <w:bottom w:val="none" w:sz="0" w:space="0" w:color="auto"/>
                            <w:right w:val="none" w:sz="0" w:space="0" w:color="auto"/>
                          </w:divBdr>
                          <w:divsChild>
                            <w:div w:id="723913522">
                              <w:marLeft w:val="0"/>
                              <w:marRight w:val="0"/>
                              <w:marTop w:val="0"/>
                              <w:marBottom w:val="0"/>
                              <w:divBdr>
                                <w:top w:val="none" w:sz="0" w:space="0" w:color="auto"/>
                                <w:left w:val="none" w:sz="0" w:space="0" w:color="auto"/>
                                <w:bottom w:val="none" w:sz="0" w:space="0" w:color="auto"/>
                                <w:right w:val="none" w:sz="0" w:space="0" w:color="auto"/>
                              </w:divBdr>
                              <w:divsChild>
                                <w:div w:id="2044593467">
                                  <w:marLeft w:val="-225"/>
                                  <w:marRight w:val="-225"/>
                                  <w:marTop w:val="0"/>
                                  <w:marBottom w:val="0"/>
                                  <w:divBdr>
                                    <w:top w:val="none" w:sz="0" w:space="0" w:color="auto"/>
                                    <w:left w:val="none" w:sz="0" w:space="0" w:color="auto"/>
                                    <w:bottom w:val="none" w:sz="0" w:space="0" w:color="auto"/>
                                    <w:right w:val="none" w:sz="0" w:space="0" w:color="auto"/>
                                  </w:divBdr>
                                  <w:divsChild>
                                    <w:div w:id="1633634816">
                                      <w:marLeft w:val="0"/>
                                      <w:marRight w:val="0"/>
                                      <w:marTop w:val="0"/>
                                      <w:marBottom w:val="0"/>
                                      <w:divBdr>
                                        <w:top w:val="none" w:sz="0" w:space="0" w:color="auto"/>
                                        <w:left w:val="none" w:sz="0" w:space="0" w:color="auto"/>
                                        <w:bottom w:val="none" w:sz="0" w:space="0" w:color="auto"/>
                                        <w:right w:val="none" w:sz="0" w:space="0" w:color="auto"/>
                                      </w:divBdr>
                                      <w:divsChild>
                                        <w:div w:id="128326343">
                                          <w:marLeft w:val="0"/>
                                          <w:marRight w:val="0"/>
                                          <w:marTop w:val="0"/>
                                          <w:marBottom w:val="300"/>
                                          <w:divBdr>
                                            <w:top w:val="none" w:sz="0" w:space="0" w:color="auto"/>
                                            <w:left w:val="none" w:sz="0" w:space="0" w:color="auto"/>
                                            <w:bottom w:val="none" w:sz="0" w:space="0" w:color="auto"/>
                                            <w:right w:val="none" w:sz="0" w:space="0" w:color="auto"/>
                                          </w:divBdr>
                                          <w:divsChild>
                                            <w:div w:id="1157917257">
                                              <w:marLeft w:val="0"/>
                                              <w:marRight w:val="0"/>
                                              <w:marTop w:val="0"/>
                                              <w:marBottom w:val="0"/>
                                              <w:divBdr>
                                                <w:top w:val="single" w:sz="6" w:space="8" w:color="CACACF"/>
                                                <w:left w:val="single" w:sz="6" w:space="11" w:color="CACACF"/>
                                                <w:bottom w:val="single" w:sz="6" w:space="8" w:color="CACACF"/>
                                                <w:right w:val="single" w:sz="6" w:space="11" w:color="CACACF"/>
                                              </w:divBdr>
                                              <w:divsChild>
                                                <w:div w:id="1545292910">
                                                  <w:marLeft w:val="-225"/>
                                                  <w:marRight w:val="-225"/>
                                                  <w:marTop w:val="0"/>
                                                  <w:marBottom w:val="0"/>
                                                  <w:divBdr>
                                                    <w:top w:val="none" w:sz="0" w:space="0" w:color="auto"/>
                                                    <w:left w:val="none" w:sz="0" w:space="0" w:color="auto"/>
                                                    <w:bottom w:val="none" w:sz="0" w:space="0" w:color="auto"/>
                                                    <w:right w:val="none" w:sz="0" w:space="0" w:color="auto"/>
                                                  </w:divBdr>
                                                  <w:divsChild>
                                                    <w:div w:id="7306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71903">
      <w:bodyDiv w:val="1"/>
      <w:marLeft w:val="0"/>
      <w:marRight w:val="0"/>
      <w:marTop w:val="0"/>
      <w:marBottom w:val="0"/>
      <w:divBdr>
        <w:top w:val="none" w:sz="0" w:space="0" w:color="auto"/>
        <w:left w:val="none" w:sz="0" w:space="0" w:color="auto"/>
        <w:bottom w:val="none" w:sz="0" w:space="0" w:color="auto"/>
        <w:right w:val="none" w:sz="0" w:space="0" w:color="auto"/>
      </w:divBdr>
    </w:div>
    <w:div w:id="389967194">
      <w:bodyDiv w:val="1"/>
      <w:marLeft w:val="0"/>
      <w:marRight w:val="0"/>
      <w:marTop w:val="0"/>
      <w:marBottom w:val="0"/>
      <w:divBdr>
        <w:top w:val="none" w:sz="0" w:space="0" w:color="auto"/>
        <w:left w:val="none" w:sz="0" w:space="0" w:color="auto"/>
        <w:bottom w:val="none" w:sz="0" w:space="0" w:color="auto"/>
        <w:right w:val="none" w:sz="0" w:space="0" w:color="auto"/>
      </w:divBdr>
    </w:div>
    <w:div w:id="420299286">
      <w:bodyDiv w:val="1"/>
      <w:marLeft w:val="0"/>
      <w:marRight w:val="0"/>
      <w:marTop w:val="0"/>
      <w:marBottom w:val="0"/>
      <w:divBdr>
        <w:top w:val="none" w:sz="0" w:space="0" w:color="auto"/>
        <w:left w:val="none" w:sz="0" w:space="0" w:color="auto"/>
        <w:bottom w:val="none" w:sz="0" w:space="0" w:color="auto"/>
        <w:right w:val="none" w:sz="0" w:space="0" w:color="auto"/>
      </w:divBdr>
    </w:div>
    <w:div w:id="446436804">
      <w:bodyDiv w:val="1"/>
      <w:marLeft w:val="0"/>
      <w:marRight w:val="0"/>
      <w:marTop w:val="0"/>
      <w:marBottom w:val="0"/>
      <w:divBdr>
        <w:top w:val="none" w:sz="0" w:space="0" w:color="auto"/>
        <w:left w:val="none" w:sz="0" w:space="0" w:color="auto"/>
        <w:bottom w:val="none" w:sz="0" w:space="0" w:color="auto"/>
        <w:right w:val="none" w:sz="0" w:space="0" w:color="auto"/>
      </w:divBdr>
    </w:div>
    <w:div w:id="447116905">
      <w:bodyDiv w:val="1"/>
      <w:marLeft w:val="0"/>
      <w:marRight w:val="0"/>
      <w:marTop w:val="0"/>
      <w:marBottom w:val="0"/>
      <w:divBdr>
        <w:top w:val="none" w:sz="0" w:space="0" w:color="auto"/>
        <w:left w:val="none" w:sz="0" w:space="0" w:color="auto"/>
        <w:bottom w:val="none" w:sz="0" w:space="0" w:color="auto"/>
        <w:right w:val="none" w:sz="0" w:space="0" w:color="auto"/>
      </w:divBdr>
    </w:div>
    <w:div w:id="462386774">
      <w:bodyDiv w:val="1"/>
      <w:marLeft w:val="0"/>
      <w:marRight w:val="0"/>
      <w:marTop w:val="0"/>
      <w:marBottom w:val="0"/>
      <w:divBdr>
        <w:top w:val="none" w:sz="0" w:space="0" w:color="auto"/>
        <w:left w:val="none" w:sz="0" w:space="0" w:color="auto"/>
        <w:bottom w:val="none" w:sz="0" w:space="0" w:color="auto"/>
        <w:right w:val="none" w:sz="0" w:space="0" w:color="auto"/>
      </w:divBdr>
    </w:div>
    <w:div w:id="514348209">
      <w:bodyDiv w:val="1"/>
      <w:marLeft w:val="0"/>
      <w:marRight w:val="0"/>
      <w:marTop w:val="0"/>
      <w:marBottom w:val="0"/>
      <w:divBdr>
        <w:top w:val="none" w:sz="0" w:space="0" w:color="auto"/>
        <w:left w:val="none" w:sz="0" w:space="0" w:color="auto"/>
        <w:bottom w:val="none" w:sz="0" w:space="0" w:color="auto"/>
        <w:right w:val="none" w:sz="0" w:space="0" w:color="auto"/>
      </w:divBdr>
    </w:div>
    <w:div w:id="519971407">
      <w:bodyDiv w:val="1"/>
      <w:marLeft w:val="0"/>
      <w:marRight w:val="0"/>
      <w:marTop w:val="0"/>
      <w:marBottom w:val="0"/>
      <w:divBdr>
        <w:top w:val="none" w:sz="0" w:space="0" w:color="auto"/>
        <w:left w:val="none" w:sz="0" w:space="0" w:color="auto"/>
        <w:bottom w:val="none" w:sz="0" w:space="0" w:color="auto"/>
        <w:right w:val="none" w:sz="0" w:space="0" w:color="auto"/>
      </w:divBdr>
    </w:div>
    <w:div w:id="522673669">
      <w:bodyDiv w:val="1"/>
      <w:marLeft w:val="0"/>
      <w:marRight w:val="0"/>
      <w:marTop w:val="0"/>
      <w:marBottom w:val="0"/>
      <w:divBdr>
        <w:top w:val="none" w:sz="0" w:space="0" w:color="auto"/>
        <w:left w:val="none" w:sz="0" w:space="0" w:color="auto"/>
        <w:bottom w:val="none" w:sz="0" w:space="0" w:color="auto"/>
        <w:right w:val="none" w:sz="0" w:space="0" w:color="auto"/>
      </w:divBdr>
    </w:div>
    <w:div w:id="523132810">
      <w:bodyDiv w:val="1"/>
      <w:marLeft w:val="0"/>
      <w:marRight w:val="0"/>
      <w:marTop w:val="0"/>
      <w:marBottom w:val="0"/>
      <w:divBdr>
        <w:top w:val="none" w:sz="0" w:space="0" w:color="auto"/>
        <w:left w:val="none" w:sz="0" w:space="0" w:color="auto"/>
        <w:bottom w:val="none" w:sz="0" w:space="0" w:color="auto"/>
        <w:right w:val="none" w:sz="0" w:space="0" w:color="auto"/>
      </w:divBdr>
    </w:div>
    <w:div w:id="547685153">
      <w:bodyDiv w:val="1"/>
      <w:marLeft w:val="0"/>
      <w:marRight w:val="0"/>
      <w:marTop w:val="0"/>
      <w:marBottom w:val="0"/>
      <w:divBdr>
        <w:top w:val="none" w:sz="0" w:space="0" w:color="auto"/>
        <w:left w:val="none" w:sz="0" w:space="0" w:color="auto"/>
        <w:bottom w:val="none" w:sz="0" w:space="0" w:color="auto"/>
        <w:right w:val="none" w:sz="0" w:space="0" w:color="auto"/>
      </w:divBdr>
    </w:div>
    <w:div w:id="551500370">
      <w:bodyDiv w:val="1"/>
      <w:marLeft w:val="0"/>
      <w:marRight w:val="0"/>
      <w:marTop w:val="0"/>
      <w:marBottom w:val="0"/>
      <w:divBdr>
        <w:top w:val="none" w:sz="0" w:space="0" w:color="auto"/>
        <w:left w:val="none" w:sz="0" w:space="0" w:color="auto"/>
        <w:bottom w:val="none" w:sz="0" w:space="0" w:color="auto"/>
        <w:right w:val="none" w:sz="0" w:space="0" w:color="auto"/>
      </w:divBdr>
    </w:div>
    <w:div w:id="552160692">
      <w:bodyDiv w:val="1"/>
      <w:marLeft w:val="0"/>
      <w:marRight w:val="0"/>
      <w:marTop w:val="0"/>
      <w:marBottom w:val="0"/>
      <w:divBdr>
        <w:top w:val="none" w:sz="0" w:space="0" w:color="auto"/>
        <w:left w:val="none" w:sz="0" w:space="0" w:color="auto"/>
        <w:bottom w:val="none" w:sz="0" w:space="0" w:color="auto"/>
        <w:right w:val="none" w:sz="0" w:space="0" w:color="auto"/>
      </w:divBdr>
    </w:div>
    <w:div w:id="564031205">
      <w:bodyDiv w:val="1"/>
      <w:marLeft w:val="0"/>
      <w:marRight w:val="0"/>
      <w:marTop w:val="0"/>
      <w:marBottom w:val="0"/>
      <w:divBdr>
        <w:top w:val="none" w:sz="0" w:space="0" w:color="auto"/>
        <w:left w:val="none" w:sz="0" w:space="0" w:color="auto"/>
        <w:bottom w:val="none" w:sz="0" w:space="0" w:color="auto"/>
        <w:right w:val="none" w:sz="0" w:space="0" w:color="auto"/>
      </w:divBdr>
    </w:div>
    <w:div w:id="572666258">
      <w:bodyDiv w:val="1"/>
      <w:marLeft w:val="0"/>
      <w:marRight w:val="0"/>
      <w:marTop w:val="0"/>
      <w:marBottom w:val="0"/>
      <w:divBdr>
        <w:top w:val="none" w:sz="0" w:space="0" w:color="auto"/>
        <w:left w:val="none" w:sz="0" w:space="0" w:color="auto"/>
        <w:bottom w:val="none" w:sz="0" w:space="0" w:color="auto"/>
        <w:right w:val="none" w:sz="0" w:space="0" w:color="auto"/>
      </w:divBdr>
    </w:div>
    <w:div w:id="576091365">
      <w:bodyDiv w:val="1"/>
      <w:marLeft w:val="0"/>
      <w:marRight w:val="0"/>
      <w:marTop w:val="0"/>
      <w:marBottom w:val="0"/>
      <w:divBdr>
        <w:top w:val="none" w:sz="0" w:space="0" w:color="auto"/>
        <w:left w:val="none" w:sz="0" w:space="0" w:color="auto"/>
        <w:bottom w:val="none" w:sz="0" w:space="0" w:color="auto"/>
        <w:right w:val="none" w:sz="0" w:space="0" w:color="auto"/>
      </w:divBdr>
    </w:div>
    <w:div w:id="588201800">
      <w:bodyDiv w:val="1"/>
      <w:marLeft w:val="0"/>
      <w:marRight w:val="0"/>
      <w:marTop w:val="0"/>
      <w:marBottom w:val="0"/>
      <w:divBdr>
        <w:top w:val="none" w:sz="0" w:space="0" w:color="auto"/>
        <w:left w:val="none" w:sz="0" w:space="0" w:color="auto"/>
        <w:bottom w:val="none" w:sz="0" w:space="0" w:color="auto"/>
        <w:right w:val="none" w:sz="0" w:space="0" w:color="auto"/>
      </w:divBdr>
    </w:div>
    <w:div w:id="605112126">
      <w:bodyDiv w:val="1"/>
      <w:marLeft w:val="0"/>
      <w:marRight w:val="0"/>
      <w:marTop w:val="0"/>
      <w:marBottom w:val="0"/>
      <w:divBdr>
        <w:top w:val="none" w:sz="0" w:space="0" w:color="auto"/>
        <w:left w:val="none" w:sz="0" w:space="0" w:color="auto"/>
        <w:bottom w:val="none" w:sz="0" w:space="0" w:color="auto"/>
        <w:right w:val="none" w:sz="0" w:space="0" w:color="auto"/>
      </w:divBdr>
    </w:div>
    <w:div w:id="665091895">
      <w:bodyDiv w:val="1"/>
      <w:marLeft w:val="0"/>
      <w:marRight w:val="0"/>
      <w:marTop w:val="0"/>
      <w:marBottom w:val="0"/>
      <w:divBdr>
        <w:top w:val="none" w:sz="0" w:space="0" w:color="auto"/>
        <w:left w:val="none" w:sz="0" w:space="0" w:color="auto"/>
        <w:bottom w:val="none" w:sz="0" w:space="0" w:color="auto"/>
        <w:right w:val="none" w:sz="0" w:space="0" w:color="auto"/>
      </w:divBdr>
    </w:div>
    <w:div w:id="667178259">
      <w:bodyDiv w:val="1"/>
      <w:marLeft w:val="0"/>
      <w:marRight w:val="0"/>
      <w:marTop w:val="0"/>
      <w:marBottom w:val="0"/>
      <w:divBdr>
        <w:top w:val="none" w:sz="0" w:space="0" w:color="auto"/>
        <w:left w:val="none" w:sz="0" w:space="0" w:color="auto"/>
        <w:bottom w:val="none" w:sz="0" w:space="0" w:color="auto"/>
        <w:right w:val="none" w:sz="0" w:space="0" w:color="auto"/>
      </w:divBdr>
    </w:div>
    <w:div w:id="668218466">
      <w:bodyDiv w:val="1"/>
      <w:marLeft w:val="0"/>
      <w:marRight w:val="0"/>
      <w:marTop w:val="0"/>
      <w:marBottom w:val="0"/>
      <w:divBdr>
        <w:top w:val="none" w:sz="0" w:space="0" w:color="auto"/>
        <w:left w:val="none" w:sz="0" w:space="0" w:color="auto"/>
        <w:bottom w:val="none" w:sz="0" w:space="0" w:color="auto"/>
        <w:right w:val="none" w:sz="0" w:space="0" w:color="auto"/>
      </w:divBdr>
    </w:div>
    <w:div w:id="676004937">
      <w:bodyDiv w:val="1"/>
      <w:marLeft w:val="0"/>
      <w:marRight w:val="0"/>
      <w:marTop w:val="0"/>
      <w:marBottom w:val="0"/>
      <w:divBdr>
        <w:top w:val="none" w:sz="0" w:space="0" w:color="auto"/>
        <w:left w:val="none" w:sz="0" w:space="0" w:color="auto"/>
        <w:bottom w:val="none" w:sz="0" w:space="0" w:color="auto"/>
        <w:right w:val="none" w:sz="0" w:space="0" w:color="auto"/>
      </w:divBdr>
    </w:div>
    <w:div w:id="680814559">
      <w:bodyDiv w:val="1"/>
      <w:marLeft w:val="0"/>
      <w:marRight w:val="0"/>
      <w:marTop w:val="0"/>
      <w:marBottom w:val="0"/>
      <w:divBdr>
        <w:top w:val="none" w:sz="0" w:space="0" w:color="auto"/>
        <w:left w:val="none" w:sz="0" w:space="0" w:color="auto"/>
        <w:bottom w:val="none" w:sz="0" w:space="0" w:color="auto"/>
        <w:right w:val="none" w:sz="0" w:space="0" w:color="auto"/>
      </w:divBdr>
    </w:div>
    <w:div w:id="682903245">
      <w:bodyDiv w:val="1"/>
      <w:marLeft w:val="0"/>
      <w:marRight w:val="0"/>
      <w:marTop w:val="0"/>
      <w:marBottom w:val="0"/>
      <w:divBdr>
        <w:top w:val="none" w:sz="0" w:space="0" w:color="auto"/>
        <w:left w:val="none" w:sz="0" w:space="0" w:color="auto"/>
        <w:bottom w:val="none" w:sz="0" w:space="0" w:color="auto"/>
        <w:right w:val="none" w:sz="0" w:space="0" w:color="auto"/>
      </w:divBdr>
    </w:div>
    <w:div w:id="692345804">
      <w:bodyDiv w:val="1"/>
      <w:marLeft w:val="0"/>
      <w:marRight w:val="0"/>
      <w:marTop w:val="0"/>
      <w:marBottom w:val="0"/>
      <w:divBdr>
        <w:top w:val="none" w:sz="0" w:space="0" w:color="auto"/>
        <w:left w:val="none" w:sz="0" w:space="0" w:color="auto"/>
        <w:bottom w:val="none" w:sz="0" w:space="0" w:color="auto"/>
        <w:right w:val="none" w:sz="0" w:space="0" w:color="auto"/>
      </w:divBdr>
    </w:div>
    <w:div w:id="723718824">
      <w:bodyDiv w:val="1"/>
      <w:marLeft w:val="0"/>
      <w:marRight w:val="0"/>
      <w:marTop w:val="0"/>
      <w:marBottom w:val="0"/>
      <w:divBdr>
        <w:top w:val="none" w:sz="0" w:space="0" w:color="auto"/>
        <w:left w:val="none" w:sz="0" w:space="0" w:color="auto"/>
        <w:bottom w:val="none" w:sz="0" w:space="0" w:color="auto"/>
        <w:right w:val="none" w:sz="0" w:space="0" w:color="auto"/>
      </w:divBdr>
    </w:div>
    <w:div w:id="748423152">
      <w:bodyDiv w:val="1"/>
      <w:marLeft w:val="0"/>
      <w:marRight w:val="0"/>
      <w:marTop w:val="0"/>
      <w:marBottom w:val="0"/>
      <w:divBdr>
        <w:top w:val="none" w:sz="0" w:space="0" w:color="auto"/>
        <w:left w:val="none" w:sz="0" w:space="0" w:color="auto"/>
        <w:bottom w:val="none" w:sz="0" w:space="0" w:color="auto"/>
        <w:right w:val="none" w:sz="0" w:space="0" w:color="auto"/>
      </w:divBdr>
    </w:div>
    <w:div w:id="766854411">
      <w:bodyDiv w:val="1"/>
      <w:marLeft w:val="0"/>
      <w:marRight w:val="0"/>
      <w:marTop w:val="0"/>
      <w:marBottom w:val="0"/>
      <w:divBdr>
        <w:top w:val="none" w:sz="0" w:space="0" w:color="auto"/>
        <w:left w:val="none" w:sz="0" w:space="0" w:color="auto"/>
        <w:bottom w:val="none" w:sz="0" w:space="0" w:color="auto"/>
        <w:right w:val="none" w:sz="0" w:space="0" w:color="auto"/>
      </w:divBdr>
      <w:divsChild>
        <w:div w:id="99423124">
          <w:marLeft w:val="446"/>
          <w:marRight w:val="0"/>
          <w:marTop w:val="0"/>
          <w:marBottom w:val="0"/>
          <w:divBdr>
            <w:top w:val="none" w:sz="0" w:space="0" w:color="auto"/>
            <w:left w:val="none" w:sz="0" w:space="0" w:color="auto"/>
            <w:bottom w:val="none" w:sz="0" w:space="0" w:color="auto"/>
            <w:right w:val="none" w:sz="0" w:space="0" w:color="auto"/>
          </w:divBdr>
        </w:div>
        <w:div w:id="143395249">
          <w:marLeft w:val="446"/>
          <w:marRight w:val="0"/>
          <w:marTop w:val="0"/>
          <w:marBottom w:val="0"/>
          <w:divBdr>
            <w:top w:val="none" w:sz="0" w:space="0" w:color="auto"/>
            <w:left w:val="none" w:sz="0" w:space="0" w:color="auto"/>
            <w:bottom w:val="none" w:sz="0" w:space="0" w:color="auto"/>
            <w:right w:val="none" w:sz="0" w:space="0" w:color="auto"/>
          </w:divBdr>
        </w:div>
        <w:div w:id="279533884">
          <w:marLeft w:val="446"/>
          <w:marRight w:val="0"/>
          <w:marTop w:val="0"/>
          <w:marBottom w:val="0"/>
          <w:divBdr>
            <w:top w:val="none" w:sz="0" w:space="0" w:color="auto"/>
            <w:left w:val="none" w:sz="0" w:space="0" w:color="auto"/>
            <w:bottom w:val="none" w:sz="0" w:space="0" w:color="auto"/>
            <w:right w:val="none" w:sz="0" w:space="0" w:color="auto"/>
          </w:divBdr>
        </w:div>
        <w:div w:id="290090729">
          <w:marLeft w:val="446"/>
          <w:marRight w:val="0"/>
          <w:marTop w:val="0"/>
          <w:marBottom w:val="0"/>
          <w:divBdr>
            <w:top w:val="none" w:sz="0" w:space="0" w:color="auto"/>
            <w:left w:val="none" w:sz="0" w:space="0" w:color="auto"/>
            <w:bottom w:val="none" w:sz="0" w:space="0" w:color="auto"/>
            <w:right w:val="none" w:sz="0" w:space="0" w:color="auto"/>
          </w:divBdr>
        </w:div>
        <w:div w:id="540939196">
          <w:marLeft w:val="446"/>
          <w:marRight w:val="0"/>
          <w:marTop w:val="0"/>
          <w:marBottom w:val="0"/>
          <w:divBdr>
            <w:top w:val="none" w:sz="0" w:space="0" w:color="auto"/>
            <w:left w:val="none" w:sz="0" w:space="0" w:color="auto"/>
            <w:bottom w:val="none" w:sz="0" w:space="0" w:color="auto"/>
            <w:right w:val="none" w:sz="0" w:space="0" w:color="auto"/>
          </w:divBdr>
        </w:div>
        <w:div w:id="857356318">
          <w:marLeft w:val="446"/>
          <w:marRight w:val="0"/>
          <w:marTop w:val="0"/>
          <w:marBottom w:val="0"/>
          <w:divBdr>
            <w:top w:val="none" w:sz="0" w:space="0" w:color="auto"/>
            <w:left w:val="none" w:sz="0" w:space="0" w:color="auto"/>
            <w:bottom w:val="none" w:sz="0" w:space="0" w:color="auto"/>
            <w:right w:val="none" w:sz="0" w:space="0" w:color="auto"/>
          </w:divBdr>
        </w:div>
        <w:div w:id="1430466146">
          <w:marLeft w:val="446"/>
          <w:marRight w:val="0"/>
          <w:marTop w:val="0"/>
          <w:marBottom w:val="0"/>
          <w:divBdr>
            <w:top w:val="none" w:sz="0" w:space="0" w:color="auto"/>
            <w:left w:val="none" w:sz="0" w:space="0" w:color="auto"/>
            <w:bottom w:val="none" w:sz="0" w:space="0" w:color="auto"/>
            <w:right w:val="none" w:sz="0" w:space="0" w:color="auto"/>
          </w:divBdr>
        </w:div>
        <w:div w:id="1496263108">
          <w:marLeft w:val="446"/>
          <w:marRight w:val="0"/>
          <w:marTop w:val="0"/>
          <w:marBottom w:val="0"/>
          <w:divBdr>
            <w:top w:val="none" w:sz="0" w:space="0" w:color="auto"/>
            <w:left w:val="none" w:sz="0" w:space="0" w:color="auto"/>
            <w:bottom w:val="none" w:sz="0" w:space="0" w:color="auto"/>
            <w:right w:val="none" w:sz="0" w:space="0" w:color="auto"/>
          </w:divBdr>
        </w:div>
      </w:divsChild>
    </w:div>
    <w:div w:id="803044037">
      <w:bodyDiv w:val="1"/>
      <w:marLeft w:val="0"/>
      <w:marRight w:val="0"/>
      <w:marTop w:val="0"/>
      <w:marBottom w:val="0"/>
      <w:divBdr>
        <w:top w:val="none" w:sz="0" w:space="0" w:color="auto"/>
        <w:left w:val="none" w:sz="0" w:space="0" w:color="auto"/>
        <w:bottom w:val="none" w:sz="0" w:space="0" w:color="auto"/>
        <w:right w:val="none" w:sz="0" w:space="0" w:color="auto"/>
      </w:divBdr>
    </w:div>
    <w:div w:id="820317949">
      <w:bodyDiv w:val="1"/>
      <w:marLeft w:val="0"/>
      <w:marRight w:val="0"/>
      <w:marTop w:val="0"/>
      <w:marBottom w:val="0"/>
      <w:divBdr>
        <w:top w:val="none" w:sz="0" w:space="0" w:color="auto"/>
        <w:left w:val="none" w:sz="0" w:space="0" w:color="auto"/>
        <w:bottom w:val="none" w:sz="0" w:space="0" w:color="auto"/>
        <w:right w:val="none" w:sz="0" w:space="0" w:color="auto"/>
      </w:divBdr>
    </w:div>
    <w:div w:id="825054260">
      <w:bodyDiv w:val="1"/>
      <w:marLeft w:val="0"/>
      <w:marRight w:val="0"/>
      <w:marTop w:val="0"/>
      <w:marBottom w:val="0"/>
      <w:divBdr>
        <w:top w:val="none" w:sz="0" w:space="0" w:color="auto"/>
        <w:left w:val="none" w:sz="0" w:space="0" w:color="auto"/>
        <w:bottom w:val="none" w:sz="0" w:space="0" w:color="auto"/>
        <w:right w:val="none" w:sz="0" w:space="0" w:color="auto"/>
      </w:divBdr>
    </w:div>
    <w:div w:id="825439072">
      <w:bodyDiv w:val="1"/>
      <w:marLeft w:val="0"/>
      <w:marRight w:val="0"/>
      <w:marTop w:val="0"/>
      <w:marBottom w:val="0"/>
      <w:divBdr>
        <w:top w:val="none" w:sz="0" w:space="0" w:color="auto"/>
        <w:left w:val="none" w:sz="0" w:space="0" w:color="auto"/>
        <w:bottom w:val="none" w:sz="0" w:space="0" w:color="auto"/>
        <w:right w:val="none" w:sz="0" w:space="0" w:color="auto"/>
      </w:divBdr>
    </w:div>
    <w:div w:id="830293560">
      <w:bodyDiv w:val="1"/>
      <w:marLeft w:val="0"/>
      <w:marRight w:val="0"/>
      <w:marTop w:val="0"/>
      <w:marBottom w:val="0"/>
      <w:divBdr>
        <w:top w:val="none" w:sz="0" w:space="0" w:color="auto"/>
        <w:left w:val="none" w:sz="0" w:space="0" w:color="auto"/>
        <w:bottom w:val="none" w:sz="0" w:space="0" w:color="auto"/>
        <w:right w:val="none" w:sz="0" w:space="0" w:color="auto"/>
      </w:divBdr>
    </w:div>
    <w:div w:id="860628909">
      <w:bodyDiv w:val="1"/>
      <w:marLeft w:val="0"/>
      <w:marRight w:val="0"/>
      <w:marTop w:val="0"/>
      <w:marBottom w:val="0"/>
      <w:divBdr>
        <w:top w:val="none" w:sz="0" w:space="0" w:color="auto"/>
        <w:left w:val="none" w:sz="0" w:space="0" w:color="auto"/>
        <w:bottom w:val="none" w:sz="0" w:space="0" w:color="auto"/>
        <w:right w:val="none" w:sz="0" w:space="0" w:color="auto"/>
      </w:divBdr>
    </w:div>
    <w:div w:id="872156419">
      <w:bodyDiv w:val="1"/>
      <w:marLeft w:val="0"/>
      <w:marRight w:val="0"/>
      <w:marTop w:val="0"/>
      <w:marBottom w:val="0"/>
      <w:divBdr>
        <w:top w:val="none" w:sz="0" w:space="0" w:color="auto"/>
        <w:left w:val="none" w:sz="0" w:space="0" w:color="auto"/>
        <w:bottom w:val="none" w:sz="0" w:space="0" w:color="auto"/>
        <w:right w:val="none" w:sz="0" w:space="0" w:color="auto"/>
      </w:divBdr>
    </w:div>
    <w:div w:id="886332654">
      <w:bodyDiv w:val="1"/>
      <w:marLeft w:val="0"/>
      <w:marRight w:val="0"/>
      <w:marTop w:val="0"/>
      <w:marBottom w:val="0"/>
      <w:divBdr>
        <w:top w:val="none" w:sz="0" w:space="0" w:color="auto"/>
        <w:left w:val="none" w:sz="0" w:space="0" w:color="auto"/>
        <w:bottom w:val="none" w:sz="0" w:space="0" w:color="auto"/>
        <w:right w:val="none" w:sz="0" w:space="0" w:color="auto"/>
      </w:divBdr>
    </w:div>
    <w:div w:id="928276584">
      <w:bodyDiv w:val="1"/>
      <w:marLeft w:val="0"/>
      <w:marRight w:val="0"/>
      <w:marTop w:val="0"/>
      <w:marBottom w:val="0"/>
      <w:divBdr>
        <w:top w:val="none" w:sz="0" w:space="0" w:color="auto"/>
        <w:left w:val="none" w:sz="0" w:space="0" w:color="auto"/>
        <w:bottom w:val="none" w:sz="0" w:space="0" w:color="auto"/>
        <w:right w:val="none" w:sz="0" w:space="0" w:color="auto"/>
      </w:divBdr>
    </w:div>
    <w:div w:id="928390366">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465084">
      <w:bodyDiv w:val="1"/>
      <w:marLeft w:val="0"/>
      <w:marRight w:val="0"/>
      <w:marTop w:val="0"/>
      <w:marBottom w:val="0"/>
      <w:divBdr>
        <w:top w:val="none" w:sz="0" w:space="0" w:color="auto"/>
        <w:left w:val="none" w:sz="0" w:space="0" w:color="auto"/>
        <w:bottom w:val="none" w:sz="0" w:space="0" w:color="auto"/>
        <w:right w:val="none" w:sz="0" w:space="0" w:color="auto"/>
      </w:divBdr>
    </w:div>
    <w:div w:id="947002049">
      <w:bodyDiv w:val="1"/>
      <w:marLeft w:val="0"/>
      <w:marRight w:val="0"/>
      <w:marTop w:val="0"/>
      <w:marBottom w:val="0"/>
      <w:divBdr>
        <w:top w:val="none" w:sz="0" w:space="0" w:color="auto"/>
        <w:left w:val="none" w:sz="0" w:space="0" w:color="auto"/>
        <w:bottom w:val="none" w:sz="0" w:space="0" w:color="auto"/>
        <w:right w:val="none" w:sz="0" w:space="0" w:color="auto"/>
      </w:divBdr>
    </w:div>
    <w:div w:id="957642895">
      <w:bodyDiv w:val="1"/>
      <w:marLeft w:val="0"/>
      <w:marRight w:val="0"/>
      <w:marTop w:val="0"/>
      <w:marBottom w:val="0"/>
      <w:divBdr>
        <w:top w:val="none" w:sz="0" w:space="0" w:color="auto"/>
        <w:left w:val="none" w:sz="0" w:space="0" w:color="auto"/>
        <w:bottom w:val="none" w:sz="0" w:space="0" w:color="auto"/>
        <w:right w:val="none" w:sz="0" w:space="0" w:color="auto"/>
      </w:divBdr>
    </w:div>
    <w:div w:id="974018702">
      <w:bodyDiv w:val="1"/>
      <w:marLeft w:val="0"/>
      <w:marRight w:val="0"/>
      <w:marTop w:val="0"/>
      <w:marBottom w:val="0"/>
      <w:divBdr>
        <w:top w:val="none" w:sz="0" w:space="0" w:color="auto"/>
        <w:left w:val="none" w:sz="0" w:space="0" w:color="auto"/>
        <w:bottom w:val="none" w:sz="0" w:space="0" w:color="auto"/>
        <w:right w:val="none" w:sz="0" w:space="0" w:color="auto"/>
      </w:divBdr>
    </w:div>
    <w:div w:id="1001591891">
      <w:bodyDiv w:val="1"/>
      <w:marLeft w:val="0"/>
      <w:marRight w:val="0"/>
      <w:marTop w:val="0"/>
      <w:marBottom w:val="0"/>
      <w:divBdr>
        <w:top w:val="none" w:sz="0" w:space="0" w:color="auto"/>
        <w:left w:val="none" w:sz="0" w:space="0" w:color="auto"/>
        <w:bottom w:val="none" w:sz="0" w:space="0" w:color="auto"/>
        <w:right w:val="none" w:sz="0" w:space="0" w:color="auto"/>
      </w:divBdr>
    </w:div>
    <w:div w:id="1024749613">
      <w:bodyDiv w:val="1"/>
      <w:marLeft w:val="0"/>
      <w:marRight w:val="0"/>
      <w:marTop w:val="0"/>
      <w:marBottom w:val="0"/>
      <w:divBdr>
        <w:top w:val="none" w:sz="0" w:space="0" w:color="auto"/>
        <w:left w:val="none" w:sz="0" w:space="0" w:color="auto"/>
        <w:bottom w:val="none" w:sz="0" w:space="0" w:color="auto"/>
        <w:right w:val="none" w:sz="0" w:space="0" w:color="auto"/>
      </w:divBdr>
    </w:div>
    <w:div w:id="1042317249">
      <w:bodyDiv w:val="1"/>
      <w:marLeft w:val="0"/>
      <w:marRight w:val="0"/>
      <w:marTop w:val="0"/>
      <w:marBottom w:val="0"/>
      <w:divBdr>
        <w:top w:val="none" w:sz="0" w:space="0" w:color="auto"/>
        <w:left w:val="none" w:sz="0" w:space="0" w:color="auto"/>
        <w:bottom w:val="none" w:sz="0" w:space="0" w:color="auto"/>
        <w:right w:val="none" w:sz="0" w:space="0" w:color="auto"/>
      </w:divBdr>
    </w:div>
    <w:div w:id="1051731869">
      <w:bodyDiv w:val="1"/>
      <w:marLeft w:val="0"/>
      <w:marRight w:val="0"/>
      <w:marTop w:val="0"/>
      <w:marBottom w:val="0"/>
      <w:divBdr>
        <w:top w:val="none" w:sz="0" w:space="0" w:color="auto"/>
        <w:left w:val="none" w:sz="0" w:space="0" w:color="auto"/>
        <w:bottom w:val="none" w:sz="0" w:space="0" w:color="auto"/>
        <w:right w:val="none" w:sz="0" w:space="0" w:color="auto"/>
      </w:divBdr>
    </w:div>
    <w:div w:id="1061059594">
      <w:bodyDiv w:val="1"/>
      <w:marLeft w:val="0"/>
      <w:marRight w:val="0"/>
      <w:marTop w:val="0"/>
      <w:marBottom w:val="0"/>
      <w:divBdr>
        <w:top w:val="none" w:sz="0" w:space="0" w:color="auto"/>
        <w:left w:val="none" w:sz="0" w:space="0" w:color="auto"/>
        <w:bottom w:val="none" w:sz="0" w:space="0" w:color="auto"/>
        <w:right w:val="none" w:sz="0" w:space="0" w:color="auto"/>
      </w:divBdr>
    </w:div>
    <w:div w:id="1067536552">
      <w:bodyDiv w:val="1"/>
      <w:marLeft w:val="0"/>
      <w:marRight w:val="0"/>
      <w:marTop w:val="0"/>
      <w:marBottom w:val="0"/>
      <w:divBdr>
        <w:top w:val="none" w:sz="0" w:space="0" w:color="auto"/>
        <w:left w:val="none" w:sz="0" w:space="0" w:color="auto"/>
        <w:bottom w:val="none" w:sz="0" w:space="0" w:color="auto"/>
        <w:right w:val="none" w:sz="0" w:space="0" w:color="auto"/>
      </w:divBdr>
    </w:div>
    <w:div w:id="1067847564">
      <w:bodyDiv w:val="1"/>
      <w:marLeft w:val="0"/>
      <w:marRight w:val="0"/>
      <w:marTop w:val="0"/>
      <w:marBottom w:val="0"/>
      <w:divBdr>
        <w:top w:val="none" w:sz="0" w:space="0" w:color="auto"/>
        <w:left w:val="none" w:sz="0" w:space="0" w:color="auto"/>
        <w:bottom w:val="none" w:sz="0" w:space="0" w:color="auto"/>
        <w:right w:val="none" w:sz="0" w:space="0" w:color="auto"/>
      </w:divBdr>
    </w:div>
    <w:div w:id="1090155298">
      <w:bodyDiv w:val="1"/>
      <w:marLeft w:val="0"/>
      <w:marRight w:val="0"/>
      <w:marTop w:val="0"/>
      <w:marBottom w:val="0"/>
      <w:divBdr>
        <w:top w:val="none" w:sz="0" w:space="0" w:color="auto"/>
        <w:left w:val="none" w:sz="0" w:space="0" w:color="auto"/>
        <w:bottom w:val="none" w:sz="0" w:space="0" w:color="auto"/>
        <w:right w:val="none" w:sz="0" w:space="0" w:color="auto"/>
      </w:divBdr>
    </w:div>
    <w:div w:id="1108426681">
      <w:bodyDiv w:val="1"/>
      <w:marLeft w:val="0"/>
      <w:marRight w:val="0"/>
      <w:marTop w:val="0"/>
      <w:marBottom w:val="0"/>
      <w:divBdr>
        <w:top w:val="none" w:sz="0" w:space="0" w:color="auto"/>
        <w:left w:val="none" w:sz="0" w:space="0" w:color="auto"/>
        <w:bottom w:val="none" w:sz="0" w:space="0" w:color="auto"/>
        <w:right w:val="none" w:sz="0" w:space="0" w:color="auto"/>
      </w:divBdr>
    </w:div>
    <w:div w:id="1120689040">
      <w:bodyDiv w:val="1"/>
      <w:marLeft w:val="0"/>
      <w:marRight w:val="0"/>
      <w:marTop w:val="0"/>
      <w:marBottom w:val="0"/>
      <w:divBdr>
        <w:top w:val="none" w:sz="0" w:space="0" w:color="auto"/>
        <w:left w:val="none" w:sz="0" w:space="0" w:color="auto"/>
        <w:bottom w:val="none" w:sz="0" w:space="0" w:color="auto"/>
        <w:right w:val="none" w:sz="0" w:space="0" w:color="auto"/>
      </w:divBdr>
    </w:div>
    <w:div w:id="1124420986">
      <w:bodyDiv w:val="1"/>
      <w:marLeft w:val="0"/>
      <w:marRight w:val="0"/>
      <w:marTop w:val="0"/>
      <w:marBottom w:val="0"/>
      <w:divBdr>
        <w:top w:val="none" w:sz="0" w:space="0" w:color="auto"/>
        <w:left w:val="none" w:sz="0" w:space="0" w:color="auto"/>
        <w:bottom w:val="none" w:sz="0" w:space="0" w:color="auto"/>
        <w:right w:val="none" w:sz="0" w:space="0" w:color="auto"/>
      </w:divBdr>
    </w:div>
    <w:div w:id="1141075826">
      <w:bodyDiv w:val="1"/>
      <w:marLeft w:val="0"/>
      <w:marRight w:val="0"/>
      <w:marTop w:val="0"/>
      <w:marBottom w:val="0"/>
      <w:divBdr>
        <w:top w:val="none" w:sz="0" w:space="0" w:color="auto"/>
        <w:left w:val="none" w:sz="0" w:space="0" w:color="auto"/>
        <w:bottom w:val="none" w:sz="0" w:space="0" w:color="auto"/>
        <w:right w:val="none" w:sz="0" w:space="0" w:color="auto"/>
      </w:divBdr>
    </w:div>
    <w:div w:id="1150293493">
      <w:bodyDiv w:val="1"/>
      <w:marLeft w:val="0"/>
      <w:marRight w:val="0"/>
      <w:marTop w:val="0"/>
      <w:marBottom w:val="0"/>
      <w:divBdr>
        <w:top w:val="none" w:sz="0" w:space="0" w:color="auto"/>
        <w:left w:val="none" w:sz="0" w:space="0" w:color="auto"/>
        <w:bottom w:val="none" w:sz="0" w:space="0" w:color="auto"/>
        <w:right w:val="none" w:sz="0" w:space="0" w:color="auto"/>
      </w:divBdr>
    </w:div>
    <w:div w:id="1150632333">
      <w:bodyDiv w:val="1"/>
      <w:marLeft w:val="0"/>
      <w:marRight w:val="0"/>
      <w:marTop w:val="0"/>
      <w:marBottom w:val="0"/>
      <w:divBdr>
        <w:top w:val="none" w:sz="0" w:space="0" w:color="auto"/>
        <w:left w:val="none" w:sz="0" w:space="0" w:color="auto"/>
        <w:bottom w:val="none" w:sz="0" w:space="0" w:color="auto"/>
        <w:right w:val="none" w:sz="0" w:space="0" w:color="auto"/>
      </w:divBdr>
    </w:div>
    <w:div w:id="1158880934">
      <w:bodyDiv w:val="1"/>
      <w:marLeft w:val="0"/>
      <w:marRight w:val="0"/>
      <w:marTop w:val="0"/>
      <w:marBottom w:val="0"/>
      <w:divBdr>
        <w:top w:val="none" w:sz="0" w:space="0" w:color="auto"/>
        <w:left w:val="none" w:sz="0" w:space="0" w:color="auto"/>
        <w:bottom w:val="none" w:sz="0" w:space="0" w:color="auto"/>
        <w:right w:val="none" w:sz="0" w:space="0" w:color="auto"/>
      </w:divBdr>
    </w:div>
    <w:div w:id="1160080608">
      <w:bodyDiv w:val="1"/>
      <w:marLeft w:val="0"/>
      <w:marRight w:val="0"/>
      <w:marTop w:val="0"/>
      <w:marBottom w:val="0"/>
      <w:divBdr>
        <w:top w:val="none" w:sz="0" w:space="0" w:color="auto"/>
        <w:left w:val="none" w:sz="0" w:space="0" w:color="auto"/>
        <w:bottom w:val="none" w:sz="0" w:space="0" w:color="auto"/>
        <w:right w:val="none" w:sz="0" w:space="0" w:color="auto"/>
      </w:divBdr>
    </w:div>
    <w:div w:id="1176841977">
      <w:bodyDiv w:val="1"/>
      <w:marLeft w:val="0"/>
      <w:marRight w:val="0"/>
      <w:marTop w:val="0"/>
      <w:marBottom w:val="0"/>
      <w:divBdr>
        <w:top w:val="none" w:sz="0" w:space="0" w:color="auto"/>
        <w:left w:val="none" w:sz="0" w:space="0" w:color="auto"/>
        <w:bottom w:val="none" w:sz="0" w:space="0" w:color="auto"/>
        <w:right w:val="none" w:sz="0" w:space="0" w:color="auto"/>
      </w:divBdr>
    </w:div>
    <w:div w:id="1227764088">
      <w:bodyDiv w:val="1"/>
      <w:marLeft w:val="0"/>
      <w:marRight w:val="0"/>
      <w:marTop w:val="0"/>
      <w:marBottom w:val="0"/>
      <w:divBdr>
        <w:top w:val="none" w:sz="0" w:space="0" w:color="auto"/>
        <w:left w:val="none" w:sz="0" w:space="0" w:color="auto"/>
        <w:bottom w:val="none" w:sz="0" w:space="0" w:color="auto"/>
        <w:right w:val="none" w:sz="0" w:space="0" w:color="auto"/>
      </w:divBdr>
    </w:div>
    <w:div w:id="1233930400">
      <w:bodyDiv w:val="1"/>
      <w:marLeft w:val="0"/>
      <w:marRight w:val="0"/>
      <w:marTop w:val="0"/>
      <w:marBottom w:val="0"/>
      <w:divBdr>
        <w:top w:val="none" w:sz="0" w:space="0" w:color="auto"/>
        <w:left w:val="none" w:sz="0" w:space="0" w:color="auto"/>
        <w:bottom w:val="none" w:sz="0" w:space="0" w:color="auto"/>
        <w:right w:val="none" w:sz="0" w:space="0" w:color="auto"/>
      </w:divBdr>
    </w:div>
    <w:div w:id="1235358643">
      <w:bodyDiv w:val="1"/>
      <w:marLeft w:val="0"/>
      <w:marRight w:val="0"/>
      <w:marTop w:val="0"/>
      <w:marBottom w:val="0"/>
      <w:divBdr>
        <w:top w:val="none" w:sz="0" w:space="0" w:color="auto"/>
        <w:left w:val="none" w:sz="0" w:space="0" w:color="auto"/>
        <w:bottom w:val="none" w:sz="0" w:space="0" w:color="auto"/>
        <w:right w:val="none" w:sz="0" w:space="0" w:color="auto"/>
      </w:divBdr>
    </w:div>
    <w:div w:id="1266302978">
      <w:bodyDiv w:val="1"/>
      <w:marLeft w:val="0"/>
      <w:marRight w:val="0"/>
      <w:marTop w:val="0"/>
      <w:marBottom w:val="0"/>
      <w:divBdr>
        <w:top w:val="none" w:sz="0" w:space="0" w:color="auto"/>
        <w:left w:val="none" w:sz="0" w:space="0" w:color="auto"/>
        <w:bottom w:val="none" w:sz="0" w:space="0" w:color="auto"/>
        <w:right w:val="none" w:sz="0" w:space="0" w:color="auto"/>
      </w:divBdr>
    </w:div>
    <w:div w:id="1274440673">
      <w:bodyDiv w:val="1"/>
      <w:marLeft w:val="0"/>
      <w:marRight w:val="0"/>
      <w:marTop w:val="0"/>
      <w:marBottom w:val="0"/>
      <w:divBdr>
        <w:top w:val="none" w:sz="0" w:space="0" w:color="auto"/>
        <w:left w:val="none" w:sz="0" w:space="0" w:color="auto"/>
        <w:bottom w:val="none" w:sz="0" w:space="0" w:color="auto"/>
        <w:right w:val="none" w:sz="0" w:space="0" w:color="auto"/>
      </w:divBdr>
    </w:div>
    <w:div w:id="1312171095">
      <w:bodyDiv w:val="1"/>
      <w:marLeft w:val="0"/>
      <w:marRight w:val="0"/>
      <w:marTop w:val="0"/>
      <w:marBottom w:val="0"/>
      <w:divBdr>
        <w:top w:val="none" w:sz="0" w:space="0" w:color="auto"/>
        <w:left w:val="none" w:sz="0" w:space="0" w:color="auto"/>
        <w:bottom w:val="none" w:sz="0" w:space="0" w:color="auto"/>
        <w:right w:val="none" w:sz="0" w:space="0" w:color="auto"/>
      </w:divBdr>
    </w:div>
    <w:div w:id="1430354277">
      <w:bodyDiv w:val="1"/>
      <w:marLeft w:val="0"/>
      <w:marRight w:val="0"/>
      <w:marTop w:val="0"/>
      <w:marBottom w:val="0"/>
      <w:divBdr>
        <w:top w:val="none" w:sz="0" w:space="0" w:color="auto"/>
        <w:left w:val="none" w:sz="0" w:space="0" w:color="auto"/>
        <w:bottom w:val="none" w:sz="0" w:space="0" w:color="auto"/>
        <w:right w:val="none" w:sz="0" w:space="0" w:color="auto"/>
      </w:divBdr>
    </w:div>
    <w:div w:id="1444494072">
      <w:bodyDiv w:val="1"/>
      <w:marLeft w:val="0"/>
      <w:marRight w:val="0"/>
      <w:marTop w:val="0"/>
      <w:marBottom w:val="0"/>
      <w:divBdr>
        <w:top w:val="none" w:sz="0" w:space="0" w:color="auto"/>
        <w:left w:val="none" w:sz="0" w:space="0" w:color="auto"/>
        <w:bottom w:val="none" w:sz="0" w:space="0" w:color="auto"/>
        <w:right w:val="none" w:sz="0" w:space="0" w:color="auto"/>
      </w:divBdr>
    </w:div>
    <w:div w:id="1481654628">
      <w:bodyDiv w:val="1"/>
      <w:marLeft w:val="0"/>
      <w:marRight w:val="0"/>
      <w:marTop w:val="0"/>
      <w:marBottom w:val="0"/>
      <w:divBdr>
        <w:top w:val="none" w:sz="0" w:space="0" w:color="auto"/>
        <w:left w:val="none" w:sz="0" w:space="0" w:color="auto"/>
        <w:bottom w:val="none" w:sz="0" w:space="0" w:color="auto"/>
        <w:right w:val="none" w:sz="0" w:space="0" w:color="auto"/>
      </w:divBdr>
    </w:div>
    <w:div w:id="1523082875">
      <w:bodyDiv w:val="1"/>
      <w:marLeft w:val="0"/>
      <w:marRight w:val="0"/>
      <w:marTop w:val="0"/>
      <w:marBottom w:val="0"/>
      <w:divBdr>
        <w:top w:val="none" w:sz="0" w:space="0" w:color="auto"/>
        <w:left w:val="none" w:sz="0" w:space="0" w:color="auto"/>
        <w:bottom w:val="none" w:sz="0" w:space="0" w:color="auto"/>
        <w:right w:val="none" w:sz="0" w:space="0" w:color="auto"/>
      </w:divBdr>
    </w:div>
    <w:div w:id="1562016442">
      <w:bodyDiv w:val="1"/>
      <w:marLeft w:val="0"/>
      <w:marRight w:val="0"/>
      <w:marTop w:val="0"/>
      <w:marBottom w:val="0"/>
      <w:divBdr>
        <w:top w:val="none" w:sz="0" w:space="0" w:color="auto"/>
        <w:left w:val="none" w:sz="0" w:space="0" w:color="auto"/>
        <w:bottom w:val="none" w:sz="0" w:space="0" w:color="auto"/>
        <w:right w:val="none" w:sz="0" w:space="0" w:color="auto"/>
      </w:divBdr>
    </w:div>
    <w:div w:id="1567762532">
      <w:bodyDiv w:val="1"/>
      <w:marLeft w:val="0"/>
      <w:marRight w:val="0"/>
      <w:marTop w:val="0"/>
      <w:marBottom w:val="0"/>
      <w:divBdr>
        <w:top w:val="none" w:sz="0" w:space="0" w:color="auto"/>
        <w:left w:val="none" w:sz="0" w:space="0" w:color="auto"/>
        <w:bottom w:val="none" w:sz="0" w:space="0" w:color="auto"/>
        <w:right w:val="none" w:sz="0" w:space="0" w:color="auto"/>
      </w:divBdr>
    </w:div>
    <w:div w:id="1595934919">
      <w:bodyDiv w:val="1"/>
      <w:marLeft w:val="0"/>
      <w:marRight w:val="0"/>
      <w:marTop w:val="0"/>
      <w:marBottom w:val="0"/>
      <w:divBdr>
        <w:top w:val="none" w:sz="0" w:space="0" w:color="auto"/>
        <w:left w:val="none" w:sz="0" w:space="0" w:color="auto"/>
        <w:bottom w:val="none" w:sz="0" w:space="0" w:color="auto"/>
        <w:right w:val="none" w:sz="0" w:space="0" w:color="auto"/>
      </w:divBdr>
    </w:div>
    <w:div w:id="1641111214">
      <w:bodyDiv w:val="1"/>
      <w:marLeft w:val="0"/>
      <w:marRight w:val="0"/>
      <w:marTop w:val="0"/>
      <w:marBottom w:val="0"/>
      <w:divBdr>
        <w:top w:val="none" w:sz="0" w:space="0" w:color="auto"/>
        <w:left w:val="none" w:sz="0" w:space="0" w:color="auto"/>
        <w:bottom w:val="none" w:sz="0" w:space="0" w:color="auto"/>
        <w:right w:val="none" w:sz="0" w:space="0" w:color="auto"/>
      </w:divBdr>
    </w:div>
    <w:div w:id="1654798805">
      <w:bodyDiv w:val="1"/>
      <w:marLeft w:val="0"/>
      <w:marRight w:val="0"/>
      <w:marTop w:val="0"/>
      <w:marBottom w:val="0"/>
      <w:divBdr>
        <w:top w:val="none" w:sz="0" w:space="0" w:color="auto"/>
        <w:left w:val="none" w:sz="0" w:space="0" w:color="auto"/>
        <w:bottom w:val="none" w:sz="0" w:space="0" w:color="auto"/>
        <w:right w:val="none" w:sz="0" w:space="0" w:color="auto"/>
      </w:divBdr>
    </w:div>
    <w:div w:id="1666320446">
      <w:bodyDiv w:val="1"/>
      <w:marLeft w:val="0"/>
      <w:marRight w:val="0"/>
      <w:marTop w:val="0"/>
      <w:marBottom w:val="0"/>
      <w:divBdr>
        <w:top w:val="none" w:sz="0" w:space="0" w:color="auto"/>
        <w:left w:val="none" w:sz="0" w:space="0" w:color="auto"/>
        <w:bottom w:val="none" w:sz="0" w:space="0" w:color="auto"/>
        <w:right w:val="none" w:sz="0" w:space="0" w:color="auto"/>
      </w:divBdr>
    </w:div>
    <w:div w:id="1675306816">
      <w:bodyDiv w:val="1"/>
      <w:marLeft w:val="0"/>
      <w:marRight w:val="0"/>
      <w:marTop w:val="0"/>
      <w:marBottom w:val="0"/>
      <w:divBdr>
        <w:top w:val="none" w:sz="0" w:space="0" w:color="auto"/>
        <w:left w:val="none" w:sz="0" w:space="0" w:color="auto"/>
        <w:bottom w:val="none" w:sz="0" w:space="0" w:color="auto"/>
        <w:right w:val="none" w:sz="0" w:space="0" w:color="auto"/>
      </w:divBdr>
    </w:div>
    <w:div w:id="1688482548">
      <w:bodyDiv w:val="1"/>
      <w:marLeft w:val="0"/>
      <w:marRight w:val="0"/>
      <w:marTop w:val="0"/>
      <w:marBottom w:val="0"/>
      <w:divBdr>
        <w:top w:val="none" w:sz="0" w:space="0" w:color="auto"/>
        <w:left w:val="none" w:sz="0" w:space="0" w:color="auto"/>
        <w:bottom w:val="none" w:sz="0" w:space="0" w:color="auto"/>
        <w:right w:val="none" w:sz="0" w:space="0" w:color="auto"/>
      </w:divBdr>
      <w:divsChild>
        <w:div w:id="654728221">
          <w:marLeft w:val="0"/>
          <w:marRight w:val="0"/>
          <w:marTop w:val="0"/>
          <w:marBottom w:val="0"/>
          <w:divBdr>
            <w:top w:val="none" w:sz="0" w:space="0" w:color="auto"/>
            <w:left w:val="none" w:sz="0" w:space="0" w:color="auto"/>
            <w:bottom w:val="none" w:sz="0" w:space="0" w:color="auto"/>
            <w:right w:val="none" w:sz="0" w:space="0" w:color="auto"/>
          </w:divBdr>
          <w:divsChild>
            <w:div w:id="1981567373">
              <w:marLeft w:val="-225"/>
              <w:marRight w:val="-225"/>
              <w:marTop w:val="0"/>
              <w:marBottom w:val="0"/>
              <w:divBdr>
                <w:top w:val="none" w:sz="0" w:space="0" w:color="auto"/>
                <w:left w:val="none" w:sz="0" w:space="0" w:color="auto"/>
                <w:bottom w:val="none" w:sz="0" w:space="0" w:color="auto"/>
                <w:right w:val="none" w:sz="0" w:space="0" w:color="auto"/>
              </w:divBdr>
              <w:divsChild>
                <w:div w:id="867331046">
                  <w:marLeft w:val="0"/>
                  <w:marRight w:val="0"/>
                  <w:marTop w:val="0"/>
                  <w:marBottom w:val="0"/>
                  <w:divBdr>
                    <w:top w:val="none" w:sz="0" w:space="0" w:color="auto"/>
                    <w:left w:val="none" w:sz="0" w:space="0" w:color="auto"/>
                    <w:bottom w:val="none" w:sz="0" w:space="0" w:color="auto"/>
                    <w:right w:val="none" w:sz="0" w:space="0" w:color="auto"/>
                  </w:divBdr>
                  <w:divsChild>
                    <w:div w:id="1275938642">
                      <w:marLeft w:val="0"/>
                      <w:marRight w:val="0"/>
                      <w:marTop w:val="0"/>
                      <w:marBottom w:val="0"/>
                      <w:divBdr>
                        <w:top w:val="none" w:sz="0" w:space="0" w:color="auto"/>
                        <w:left w:val="none" w:sz="0" w:space="0" w:color="auto"/>
                        <w:bottom w:val="none" w:sz="0" w:space="0" w:color="auto"/>
                        <w:right w:val="none" w:sz="0" w:space="0" w:color="auto"/>
                      </w:divBdr>
                      <w:divsChild>
                        <w:div w:id="1066103698">
                          <w:marLeft w:val="0"/>
                          <w:marRight w:val="0"/>
                          <w:marTop w:val="0"/>
                          <w:marBottom w:val="0"/>
                          <w:divBdr>
                            <w:top w:val="none" w:sz="0" w:space="0" w:color="auto"/>
                            <w:left w:val="none" w:sz="0" w:space="0" w:color="auto"/>
                            <w:bottom w:val="none" w:sz="0" w:space="0" w:color="auto"/>
                            <w:right w:val="none" w:sz="0" w:space="0" w:color="auto"/>
                          </w:divBdr>
                          <w:divsChild>
                            <w:div w:id="1949579209">
                              <w:marLeft w:val="-225"/>
                              <w:marRight w:val="-225"/>
                              <w:marTop w:val="0"/>
                              <w:marBottom w:val="0"/>
                              <w:divBdr>
                                <w:top w:val="none" w:sz="0" w:space="0" w:color="auto"/>
                                <w:left w:val="none" w:sz="0" w:space="0" w:color="auto"/>
                                <w:bottom w:val="none" w:sz="0" w:space="0" w:color="auto"/>
                                <w:right w:val="none" w:sz="0" w:space="0" w:color="auto"/>
                              </w:divBdr>
                              <w:divsChild>
                                <w:div w:id="1242135977">
                                  <w:marLeft w:val="0"/>
                                  <w:marRight w:val="0"/>
                                  <w:marTop w:val="0"/>
                                  <w:marBottom w:val="0"/>
                                  <w:divBdr>
                                    <w:top w:val="none" w:sz="0" w:space="0" w:color="auto"/>
                                    <w:left w:val="none" w:sz="0" w:space="0" w:color="auto"/>
                                    <w:bottom w:val="none" w:sz="0" w:space="0" w:color="auto"/>
                                    <w:right w:val="none" w:sz="0" w:space="0" w:color="auto"/>
                                  </w:divBdr>
                                  <w:divsChild>
                                    <w:div w:id="716314587">
                                      <w:marLeft w:val="0"/>
                                      <w:marRight w:val="0"/>
                                      <w:marTop w:val="0"/>
                                      <w:marBottom w:val="0"/>
                                      <w:divBdr>
                                        <w:top w:val="none" w:sz="0" w:space="0" w:color="auto"/>
                                        <w:left w:val="none" w:sz="0" w:space="0" w:color="auto"/>
                                        <w:bottom w:val="none" w:sz="0" w:space="0" w:color="auto"/>
                                        <w:right w:val="none" w:sz="0" w:space="0" w:color="auto"/>
                                      </w:divBdr>
                                      <w:divsChild>
                                        <w:div w:id="28726889">
                                          <w:marLeft w:val="0"/>
                                          <w:marRight w:val="0"/>
                                          <w:marTop w:val="0"/>
                                          <w:marBottom w:val="0"/>
                                          <w:divBdr>
                                            <w:top w:val="none" w:sz="0" w:space="0" w:color="auto"/>
                                            <w:left w:val="none" w:sz="0" w:space="0" w:color="auto"/>
                                            <w:bottom w:val="none" w:sz="0" w:space="0" w:color="auto"/>
                                            <w:right w:val="none" w:sz="0" w:space="0" w:color="auto"/>
                                          </w:divBdr>
                                          <w:divsChild>
                                            <w:div w:id="28265314">
                                              <w:marLeft w:val="0"/>
                                              <w:marRight w:val="0"/>
                                              <w:marTop w:val="0"/>
                                              <w:marBottom w:val="0"/>
                                              <w:divBdr>
                                                <w:top w:val="none" w:sz="0" w:space="0" w:color="auto"/>
                                                <w:left w:val="none" w:sz="0" w:space="0" w:color="auto"/>
                                                <w:bottom w:val="none" w:sz="0" w:space="0" w:color="auto"/>
                                                <w:right w:val="none" w:sz="0" w:space="0" w:color="auto"/>
                                              </w:divBdr>
                                              <w:divsChild>
                                                <w:div w:id="231544737">
                                                  <w:marLeft w:val="0"/>
                                                  <w:marRight w:val="0"/>
                                                  <w:marTop w:val="0"/>
                                                  <w:marBottom w:val="0"/>
                                                  <w:divBdr>
                                                    <w:top w:val="none" w:sz="0" w:space="0" w:color="auto"/>
                                                    <w:left w:val="none" w:sz="0" w:space="0" w:color="auto"/>
                                                    <w:bottom w:val="none" w:sz="0" w:space="0" w:color="auto"/>
                                                    <w:right w:val="none" w:sz="0" w:space="0" w:color="auto"/>
                                                  </w:divBdr>
                                                  <w:divsChild>
                                                    <w:div w:id="1452432301">
                                                      <w:marLeft w:val="-225"/>
                                                      <w:marRight w:val="-225"/>
                                                      <w:marTop w:val="0"/>
                                                      <w:marBottom w:val="0"/>
                                                      <w:divBdr>
                                                        <w:top w:val="none" w:sz="0" w:space="0" w:color="auto"/>
                                                        <w:left w:val="none" w:sz="0" w:space="0" w:color="auto"/>
                                                        <w:bottom w:val="none" w:sz="0" w:space="0" w:color="auto"/>
                                                        <w:right w:val="none" w:sz="0" w:space="0" w:color="auto"/>
                                                      </w:divBdr>
                                                      <w:divsChild>
                                                        <w:div w:id="672729868">
                                                          <w:marLeft w:val="0"/>
                                                          <w:marRight w:val="0"/>
                                                          <w:marTop w:val="0"/>
                                                          <w:marBottom w:val="0"/>
                                                          <w:divBdr>
                                                            <w:top w:val="none" w:sz="0" w:space="0" w:color="auto"/>
                                                            <w:left w:val="none" w:sz="0" w:space="0" w:color="auto"/>
                                                            <w:bottom w:val="none" w:sz="0" w:space="0" w:color="auto"/>
                                                            <w:right w:val="none" w:sz="0" w:space="0" w:color="auto"/>
                                                          </w:divBdr>
                                                          <w:divsChild>
                                                            <w:div w:id="2028023782">
                                                              <w:marLeft w:val="-225"/>
                                                              <w:marRight w:val="-225"/>
                                                              <w:marTop w:val="0"/>
                                                              <w:marBottom w:val="0"/>
                                                              <w:divBdr>
                                                                <w:top w:val="none" w:sz="0" w:space="0" w:color="auto"/>
                                                                <w:left w:val="none" w:sz="0" w:space="0" w:color="auto"/>
                                                                <w:bottom w:val="none" w:sz="0" w:space="0" w:color="auto"/>
                                                                <w:right w:val="none" w:sz="0" w:space="0" w:color="auto"/>
                                                              </w:divBdr>
                                                              <w:divsChild>
                                                                <w:div w:id="8285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989675">
      <w:bodyDiv w:val="1"/>
      <w:marLeft w:val="0"/>
      <w:marRight w:val="0"/>
      <w:marTop w:val="0"/>
      <w:marBottom w:val="0"/>
      <w:divBdr>
        <w:top w:val="none" w:sz="0" w:space="0" w:color="auto"/>
        <w:left w:val="none" w:sz="0" w:space="0" w:color="auto"/>
        <w:bottom w:val="none" w:sz="0" w:space="0" w:color="auto"/>
        <w:right w:val="none" w:sz="0" w:space="0" w:color="auto"/>
      </w:divBdr>
    </w:div>
    <w:div w:id="1691562494">
      <w:bodyDiv w:val="1"/>
      <w:marLeft w:val="0"/>
      <w:marRight w:val="0"/>
      <w:marTop w:val="0"/>
      <w:marBottom w:val="0"/>
      <w:divBdr>
        <w:top w:val="none" w:sz="0" w:space="0" w:color="auto"/>
        <w:left w:val="none" w:sz="0" w:space="0" w:color="auto"/>
        <w:bottom w:val="none" w:sz="0" w:space="0" w:color="auto"/>
        <w:right w:val="none" w:sz="0" w:space="0" w:color="auto"/>
      </w:divBdr>
    </w:div>
    <w:div w:id="1691637375">
      <w:bodyDiv w:val="1"/>
      <w:marLeft w:val="0"/>
      <w:marRight w:val="0"/>
      <w:marTop w:val="0"/>
      <w:marBottom w:val="0"/>
      <w:divBdr>
        <w:top w:val="none" w:sz="0" w:space="0" w:color="auto"/>
        <w:left w:val="none" w:sz="0" w:space="0" w:color="auto"/>
        <w:bottom w:val="none" w:sz="0" w:space="0" w:color="auto"/>
        <w:right w:val="none" w:sz="0" w:space="0" w:color="auto"/>
      </w:divBdr>
    </w:div>
    <w:div w:id="1699428252">
      <w:bodyDiv w:val="1"/>
      <w:marLeft w:val="0"/>
      <w:marRight w:val="0"/>
      <w:marTop w:val="0"/>
      <w:marBottom w:val="0"/>
      <w:divBdr>
        <w:top w:val="none" w:sz="0" w:space="0" w:color="auto"/>
        <w:left w:val="none" w:sz="0" w:space="0" w:color="auto"/>
        <w:bottom w:val="none" w:sz="0" w:space="0" w:color="auto"/>
        <w:right w:val="none" w:sz="0" w:space="0" w:color="auto"/>
      </w:divBdr>
    </w:div>
    <w:div w:id="1704934993">
      <w:bodyDiv w:val="1"/>
      <w:marLeft w:val="0"/>
      <w:marRight w:val="0"/>
      <w:marTop w:val="0"/>
      <w:marBottom w:val="0"/>
      <w:divBdr>
        <w:top w:val="none" w:sz="0" w:space="0" w:color="auto"/>
        <w:left w:val="none" w:sz="0" w:space="0" w:color="auto"/>
        <w:bottom w:val="none" w:sz="0" w:space="0" w:color="auto"/>
        <w:right w:val="none" w:sz="0" w:space="0" w:color="auto"/>
      </w:divBdr>
    </w:div>
    <w:div w:id="1707631541">
      <w:bodyDiv w:val="1"/>
      <w:marLeft w:val="0"/>
      <w:marRight w:val="0"/>
      <w:marTop w:val="0"/>
      <w:marBottom w:val="0"/>
      <w:divBdr>
        <w:top w:val="none" w:sz="0" w:space="0" w:color="auto"/>
        <w:left w:val="none" w:sz="0" w:space="0" w:color="auto"/>
        <w:bottom w:val="none" w:sz="0" w:space="0" w:color="auto"/>
        <w:right w:val="none" w:sz="0" w:space="0" w:color="auto"/>
      </w:divBdr>
    </w:div>
    <w:div w:id="1734425212">
      <w:bodyDiv w:val="1"/>
      <w:marLeft w:val="0"/>
      <w:marRight w:val="0"/>
      <w:marTop w:val="0"/>
      <w:marBottom w:val="0"/>
      <w:divBdr>
        <w:top w:val="none" w:sz="0" w:space="0" w:color="auto"/>
        <w:left w:val="none" w:sz="0" w:space="0" w:color="auto"/>
        <w:bottom w:val="none" w:sz="0" w:space="0" w:color="auto"/>
        <w:right w:val="none" w:sz="0" w:space="0" w:color="auto"/>
      </w:divBdr>
    </w:div>
    <w:div w:id="1746105004">
      <w:bodyDiv w:val="1"/>
      <w:marLeft w:val="0"/>
      <w:marRight w:val="0"/>
      <w:marTop w:val="0"/>
      <w:marBottom w:val="0"/>
      <w:divBdr>
        <w:top w:val="none" w:sz="0" w:space="0" w:color="auto"/>
        <w:left w:val="none" w:sz="0" w:space="0" w:color="auto"/>
        <w:bottom w:val="none" w:sz="0" w:space="0" w:color="auto"/>
        <w:right w:val="none" w:sz="0" w:space="0" w:color="auto"/>
      </w:divBdr>
    </w:div>
    <w:div w:id="1786118725">
      <w:bodyDiv w:val="1"/>
      <w:marLeft w:val="0"/>
      <w:marRight w:val="0"/>
      <w:marTop w:val="0"/>
      <w:marBottom w:val="0"/>
      <w:divBdr>
        <w:top w:val="none" w:sz="0" w:space="0" w:color="auto"/>
        <w:left w:val="none" w:sz="0" w:space="0" w:color="auto"/>
        <w:bottom w:val="none" w:sz="0" w:space="0" w:color="auto"/>
        <w:right w:val="none" w:sz="0" w:space="0" w:color="auto"/>
      </w:divBdr>
    </w:div>
    <w:div w:id="1790732865">
      <w:bodyDiv w:val="1"/>
      <w:marLeft w:val="0"/>
      <w:marRight w:val="0"/>
      <w:marTop w:val="0"/>
      <w:marBottom w:val="0"/>
      <w:divBdr>
        <w:top w:val="none" w:sz="0" w:space="0" w:color="auto"/>
        <w:left w:val="none" w:sz="0" w:space="0" w:color="auto"/>
        <w:bottom w:val="none" w:sz="0" w:space="0" w:color="auto"/>
        <w:right w:val="none" w:sz="0" w:space="0" w:color="auto"/>
      </w:divBdr>
    </w:div>
    <w:div w:id="1794640454">
      <w:bodyDiv w:val="1"/>
      <w:marLeft w:val="0"/>
      <w:marRight w:val="0"/>
      <w:marTop w:val="0"/>
      <w:marBottom w:val="0"/>
      <w:divBdr>
        <w:top w:val="none" w:sz="0" w:space="0" w:color="auto"/>
        <w:left w:val="none" w:sz="0" w:space="0" w:color="auto"/>
        <w:bottom w:val="none" w:sz="0" w:space="0" w:color="auto"/>
        <w:right w:val="none" w:sz="0" w:space="0" w:color="auto"/>
      </w:divBdr>
    </w:div>
    <w:div w:id="1803693188">
      <w:bodyDiv w:val="1"/>
      <w:marLeft w:val="0"/>
      <w:marRight w:val="0"/>
      <w:marTop w:val="0"/>
      <w:marBottom w:val="0"/>
      <w:divBdr>
        <w:top w:val="none" w:sz="0" w:space="0" w:color="auto"/>
        <w:left w:val="none" w:sz="0" w:space="0" w:color="auto"/>
        <w:bottom w:val="none" w:sz="0" w:space="0" w:color="auto"/>
        <w:right w:val="none" w:sz="0" w:space="0" w:color="auto"/>
      </w:divBdr>
    </w:div>
    <w:div w:id="1860850062">
      <w:bodyDiv w:val="1"/>
      <w:marLeft w:val="0"/>
      <w:marRight w:val="0"/>
      <w:marTop w:val="0"/>
      <w:marBottom w:val="0"/>
      <w:divBdr>
        <w:top w:val="none" w:sz="0" w:space="0" w:color="auto"/>
        <w:left w:val="none" w:sz="0" w:space="0" w:color="auto"/>
        <w:bottom w:val="none" w:sz="0" w:space="0" w:color="auto"/>
        <w:right w:val="none" w:sz="0" w:space="0" w:color="auto"/>
      </w:divBdr>
    </w:div>
    <w:div w:id="1871644293">
      <w:bodyDiv w:val="1"/>
      <w:marLeft w:val="0"/>
      <w:marRight w:val="0"/>
      <w:marTop w:val="0"/>
      <w:marBottom w:val="0"/>
      <w:divBdr>
        <w:top w:val="none" w:sz="0" w:space="0" w:color="auto"/>
        <w:left w:val="none" w:sz="0" w:space="0" w:color="auto"/>
        <w:bottom w:val="none" w:sz="0" w:space="0" w:color="auto"/>
        <w:right w:val="none" w:sz="0" w:space="0" w:color="auto"/>
      </w:divBdr>
    </w:div>
    <w:div w:id="1902328646">
      <w:bodyDiv w:val="1"/>
      <w:marLeft w:val="0"/>
      <w:marRight w:val="0"/>
      <w:marTop w:val="0"/>
      <w:marBottom w:val="0"/>
      <w:divBdr>
        <w:top w:val="none" w:sz="0" w:space="0" w:color="auto"/>
        <w:left w:val="none" w:sz="0" w:space="0" w:color="auto"/>
        <w:bottom w:val="none" w:sz="0" w:space="0" w:color="auto"/>
        <w:right w:val="none" w:sz="0" w:space="0" w:color="auto"/>
      </w:divBdr>
    </w:div>
    <w:div w:id="1909146205">
      <w:bodyDiv w:val="1"/>
      <w:marLeft w:val="0"/>
      <w:marRight w:val="0"/>
      <w:marTop w:val="0"/>
      <w:marBottom w:val="0"/>
      <w:divBdr>
        <w:top w:val="none" w:sz="0" w:space="0" w:color="auto"/>
        <w:left w:val="none" w:sz="0" w:space="0" w:color="auto"/>
        <w:bottom w:val="none" w:sz="0" w:space="0" w:color="auto"/>
        <w:right w:val="none" w:sz="0" w:space="0" w:color="auto"/>
      </w:divBdr>
    </w:div>
    <w:div w:id="1960800194">
      <w:bodyDiv w:val="1"/>
      <w:marLeft w:val="0"/>
      <w:marRight w:val="0"/>
      <w:marTop w:val="0"/>
      <w:marBottom w:val="0"/>
      <w:divBdr>
        <w:top w:val="none" w:sz="0" w:space="0" w:color="auto"/>
        <w:left w:val="none" w:sz="0" w:space="0" w:color="auto"/>
        <w:bottom w:val="none" w:sz="0" w:space="0" w:color="auto"/>
        <w:right w:val="none" w:sz="0" w:space="0" w:color="auto"/>
      </w:divBdr>
    </w:div>
    <w:div w:id="1966428048">
      <w:bodyDiv w:val="1"/>
      <w:marLeft w:val="0"/>
      <w:marRight w:val="0"/>
      <w:marTop w:val="0"/>
      <w:marBottom w:val="0"/>
      <w:divBdr>
        <w:top w:val="none" w:sz="0" w:space="0" w:color="auto"/>
        <w:left w:val="none" w:sz="0" w:space="0" w:color="auto"/>
        <w:bottom w:val="none" w:sz="0" w:space="0" w:color="auto"/>
        <w:right w:val="none" w:sz="0" w:space="0" w:color="auto"/>
      </w:divBdr>
    </w:div>
    <w:div w:id="1967856923">
      <w:bodyDiv w:val="1"/>
      <w:marLeft w:val="0"/>
      <w:marRight w:val="0"/>
      <w:marTop w:val="0"/>
      <w:marBottom w:val="0"/>
      <w:divBdr>
        <w:top w:val="none" w:sz="0" w:space="0" w:color="auto"/>
        <w:left w:val="none" w:sz="0" w:space="0" w:color="auto"/>
        <w:bottom w:val="none" w:sz="0" w:space="0" w:color="auto"/>
        <w:right w:val="none" w:sz="0" w:space="0" w:color="auto"/>
      </w:divBdr>
    </w:div>
    <w:div w:id="1971787838">
      <w:bodyDiv w:val="1"/>
      <w:marLeft w:val="0"/>
      <w:marRight w:val="0"/>
      <w:marTop w:val="0"/>
      <w:marBottom w:val="0"/>
      <w:divBdr>
        <w:top w:val="none" w:sz="0" w:space="0" w:color="auto"/>
        <w:left w:val="none" w:sz="0" w:space="0" w:color="auto"/>
        <w:bottom w:val="none" w:sz="0" w:space="0" w:color="auto"/>
        <w:right w:val="none" w:sz="0" w:space="0" w:color="auto"/>
      </w:divBdr>
    </w:div>
    <w:div w:id="1977100559">
      <w:bodyDiv w:val="1"/>
      <w:marLeft w:val="0"/>
      <w:marRight w:val="0"/>
      <w:marTop w:val="0"/>
      <w:marBottom w:val="0"/>
      <w:divBdr>
        <w:top w:val="none" w:sz="0" w:space="0" w:color="auto"/>
        <w:left w:val="none" w:sz="0" w:space="0" w:color="auto"/>
        <w:bottom w:val="none" w:sz="0" w:space="0" w:color="auto"/>
        <w:right w:val="none" w:sz="0" w:space="0" w:color="auto"/>
      </w:divBdr>
    </w:div>
    <w:div w:id="1996375770">
      <w:bodyDiv w:val="1"/>
      <w:marLeft w:val="0"/>
      <w:marRight w:val="0"/>
      <w:marTop w:val="0"/>
      <w:marBottom w:val="0"/>
      <w:divBdr>
        <w:top w:val="none" w:sz="0" w:space="0" w:color="auto"/>
        <w:left w:val="none" w:sz="0" w:space="0" w:color="auto"/>
        <w:bottom w:val="none" w:sz="0" w:space="0" w:color="auto"/>
        <w:right w:val="none" w:sz="0" w:space="0" w:color="auto"/>
      </w:divBdr>
    </w:div>
    <w:div w:id="2016758402">
      <w:bodyDiv w:val="1"/>
      <w:marLeft w:val="0"/>
      <w:marRight w:val="0"/>
      <w:marTop w:val="0"/>
      <w:marBottom w:val="0"/>
      <w:divBdr>
        <w:top w:val="none" w:sz="0" w:space="0" w:color="auto"/>
        <w:left w:val="none" w:sz="0" w:space="0" w:color="auto"/>
        <w:bottom w:val="none" w:sz="0" w:space="0" w:color="auto"/>
        <w:right w:val="none" w:sz="0" w:space="0" w:color="auto"/>
      </w:divBdr>
    </w:div>
    <w:div w:id="2044673699">
      <w:bodyDiv w:val="1"/>
      <w:marLeft w:val="0"/>
      <w:marRight w:val="0"/>
      <w:marTop w:val="0"/>
      <w:marBottom w:val="0"/>
      <w:divBdr>
        <w:top w:val="none" w:sz="0" w:space="0" w:color="auto"/>
        <w:left w:val="none" w:sz="0" w:space="0" w:color="auto"/>
        <w:bottom w:val="none" w:sz="0" w:space="0" w:color="auto"/>
        <w:right w:val="none" w:sz="0" w:space="0" w:color="auto"/>
      </w:divBdr>
    </w:div>
    <w:div w:id="2071611123">
      <w:bodyDiv w:val="1"/>
      <w:marLeft w:val="0"/>
      <w:marRight w:val="0"/>
      <w:marTop w:val="0"/>
      <w:marBottom w:val="0"/>
      <w:divBdr>
        <w:top w:val="none" w:sz="0" w:space="0" w:color="auto"/>
        <w:left w:val="none" w:sz="0" w:space="0" w:color="auto"/>
        <w:bottom w:val="none" w:sz="0" w:space="0" w:color="auto"/>
        <w:right w:val="none" w:sz="0" w:space="0" w:color="auto"/>
      </w:divBdr>
    </w:div>
    <w:div w:id="2071731173">
      <w:bodyDiv w:val="1"/>
      <w:marLeft w:val="0"/>
      <w:marRight w:val="0"/>
      <w:marTop w:val="0"/>
      <w:marBottom w:val="0"/>
      <w:divBdr>
        <w:top w:val="none" w:sz="0" w:space="0" w:color="auto"/>
        <w:left w:val="none" w:sz="0" w:space="0" w:color="auto"/>
        <w:bottom w:val="none" w:sz="0" w:space="0" w:color="auto"/>
        <w:right w:val="none" w:sz="0" w:space="0" w:color="auto"/>
      </w:divBdr>
    </w:div>
    <w:div w:id="2093818371">
      <w:bodyDiv w:val="1"/>
      <w:marLeft w:val="0"/>
      <w:marRight w:val="0"/>
      <w:marTop w:val="0"/>
      <w:marBottom w:val="0"/>
      <w:divBdr>
        <w:top w:val="none" w:sz="0" w:space="0" w:color="auto"/>
        <w:left w:val="none" w:sz="0" w:space="0" w:color="auto"/>
        <w:bottom w:val="none" w:sz="0" w:space="0" w:color="auto"/>
        <w:right w:val="none" w:sz="0" w:space="0" w:color="auto"/>
      </w:divBdr>
    </w:div>
    <w:div w:id="2113695077">
      <w:bodyDiv w:val="1"/>
      <w:marLeft w:val="0"/>
      <w:marRight w:val="0"/>
      <w:marTop w:val="0"/>
      <w:marBottom w:val="0"/>
      <w:divBdr>
        <w:top w:val="none" w:sz="0" w:space="0" w:color="auto"/>
        <w:left w:val="none" w:sz="0" w:space="0" w:color="auto"/>
        <w:bottom w:val="none" w:sz="0" w:space="0" w:color="auto"/>
        <w:right w:val="none" w:sz="0" w:space="0" w:color="auto"/>
      </w:divBdr>
    </w:div>
    <w:div w:id="2130582641">
      <w:bodyDiv w:val="1"/>
      <w:marLeft w:val="0"/>
      <w:marRight w:val="0"/>
      <w:marTop w:val="0"/>
      <w:marBottom w:val="0"/>
      <w:divBdr>
        <w:top w:val="none" w:sz="0" w:space="0" w:color="auto"/>
        <w:left w:val="none" w:sz="0" w:space="0" w:color="auto"/>
        <w:bottom w:val="none" w:sz="0" w:space="0" w:color="auto"/>
        <w:right w:val="none" w:sz="0" w:space="0" w:color="auto"/>
      </w:divBdr>
    </w:div>
    <w:div w:id="21328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ft.org.mx/sites/default/files/industria/temasrelevantes/consultaspublicas/documentos/att_2.pdf" TargetMode="External"/><Relationship Id="rId3" Type="http://schemas.openxmlformats.org/officeDocument/2006/relationships/customXml" Target="../customXml/item3.xml"/><Relationship Id="rId21" Type="http://schemas.openxmlformats.org/officeDocument/2006/relationships/hyperlink" Target="http://www.ift.org.mx/sites/default/files/industria/temasrelevantes/consultaspublicas/documentos/comentariossprintlicitacionift-7-pdf.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ft.org.mx/sites/default/files/industria/temasrelevantes/consultaspublicas/documentos/supportingthemexicandigitisationwhitepapergsma.pdf" TargetMode="External"/><Relationship Id="rId2" Type="http://schemas.openxmlformats.org/officeDocument/2006/relationships/customXml" Target="../customXml/item2.xml"/><Relationship Id="rId16" Type="http://schemas.openxmlformats.org/officeDocument/2006/relationships/hyperlink" Target="http://www.ift.org.mx/sites/default/files/industria/temasrelevantes/consultaspublicas/documentos/opinionpegasopcsconcorreo.pdf" TargetMode="External"/><Relationship Id="rId20" Type="http://schemas.openxmlformats.org/officeDocument/2006/relationships/hyperlink" Target="http://www.ift.org.mx/sites/default/files/industria/temasrelevantes/consultaspublicas/documentos/totalplaytelecomunicacioness.a.dec.v_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t.org.mx/industria/consultas-publicas/licitacion-ift-7-130-mhz-en-la-banda-de-frecuencias-2500-2690-mhz"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ft.org.mx/sites/default/files/industria/temasrelevantes/consultaspublicas/documentos/comentariossihisprintlicitacionift-7-pdf.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ft.org.mx/sites/default/files/industria/temasrelevantes/consultaspublicas/documentos/televisa_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ft.org.mx/industria/consultas-publicas/opinion-publica-sobre-el-proyecto-de-bases-de-licitacion-publica-para-concesionar-el-uso-0?page=1" TargetMode="External"/><Relationship Id="rId22" Type="http://schemas.openxmlformats.org/officeDocument/2006/relationships/hyperlink" Target="http://www.ift.org.mx/sites/default/files/industria/temasrelevantes/consultaspublicas/documentos/alta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industria/consultas-publicas/ficha-de-consulta-publica?project_cp=94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44f48c01e0757405315d91470c592f4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79EF-97BE-41A0-9E41-EFA0AD0425D9}">
  <ds:schemaRefs>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2718BBD-1992-47C5-AC61-523E619E7B0D}">
  <ds:schemaRefs>
    <ds:schemaRef ds:uri="http://schemas.microsoft.com/sharepoint/v3/contenttype/forms"/>
  </ds:schemaRefs>
</ds:datastoreItem>
</file>

<file path=customXml/itemProps3.xml><?xml version="1.0" encoding="utf-8"?>
<ds:datastoreItem xmlns:ds="http://schemas.openxmlformats.org/officeDocument/2006/customXml" ds:itemID="{0BFFEDDB-745C-4560-A1F4-AE5338184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FBFD1F-4750-430B-8B37-959A59FB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51</Pages>
  <Words>16475</Words>
  <Characters>90615</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edgar.sandoval@ift.org.mx</dc:creator>
  <cp:keywords/>
  <dc:description/>
  <cp:lastModifiedBy>Federico Saggiante Rangel</cp:lastModifiedBy>
  <cp:revision>4</cp:revision>
  <dcterms:created xsi:type="dcterms:W3CDTF">2021-06-16T02:43:00Z</dcterms:created>
  <dcterms:modified xsi:type="dcterms:W3CDTF">2021-06-17T02:02:00Z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ies>
</file>