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571616722"/>
        <w:docPartObj>
          <w:docPartGallery w:val="Cover Pages"/>
          <w:docPartUnique/>
        </w:docPartObj>
      </w:sdtPr>
      <w:sdtEndPr/>
      <w:sdtContent>
        <w:p w14:paraId="7712D8D4" w14:textId="356D78FE" w:rsidR="00DC405F" w:rsidRPr="007352E9" w:rsidRDefault="00DC405F"/>
        <w:p w14:paraId="2B7A1315" w14:textId="12887EE5" w:rsidR="00DC405F" w:rsidRPr="007352E9" w:rsidRDefault="003752F2">
          <w:r w:rsidRPr="007352E9">
            <w:rPr>
              <w:noProof/>
              <w:lang w:eastAsia="es-MX"/>
            </w:rPr>
            <mc:AlternateContent>
              <mc:Choice Requires="wps">
                <w:drawing>
                  <wp:anchor distT="0" distB="0" distL="114300" distR="114300" simplePos="0" relativeHeight="251659264" behindDoc="0" locked="0" layoutInCell="1" allowOverlap="1" wp14:anchorId="748B92F5" wp14:editId="70844FD1">
                    <wp:simplePos x="0" y="0"/>
                    <wp:positionH relativeFrom="page">
                      <wp:align>right</wp:align>
                    </wp:positionH>
                    <wp:positionV relativeFrom="page">
                      <wp:posOffset>2265528</wp:posOffset>
                    </wp:positionV>
                    <wp:extent cx="7560737"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560737"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BDCA0" w14:textId="5C35C58A" w:rsidR="00B43B80" w:rsidRPr="00691F26" w:rsidRDefault="00934D23" w:rsidP="003752F2">
                                <w:pPr>
                                  <w:rPr>
                                    <w:b/>
                                    <w:color w:val="70AD47" w:themeColor="accent6"/>
                                    <w:sz w:val="64"/>
                                    <w:szCs w:val="64"/>
                                  </w:rPr>
                                </w:pPr>
                                <w:sdt>
                                  <w:sdtPr>
                                    <w:rPr>
                                      <w:rFonts w:cs="Arial"/>
                                      <w:b/>
                                      <w:color w:val="70AD47" w:themeColor="accent6"/>
                                      <w:sz w:val="64"/>
                                      <w:szCs w:val="64"/>
                                    </w:rPr>
                                    <w:alias w:val="Título"/>
                                    <w:tag w:val=""/>
                                    <w:id w:val="-145353105"/>
                                    <w:dataBinding w:prefixMappings="xmlns:ns0='http://purl.org/dc/elements/1.1/' xmlns:ns1='http://schemas.openxmlformats.org/package/2006/metadata/core-properties' " w:xpath="/ns1:coreProperties[1]/ns0:title[1]" w:storeItemID="{6C3C8BC8-F283-45AE-878A-BAB7291924A1}"/>
                                    <w:text w:multiLine="1"/>
                                  </w:sdtPr>
                                  <w:sdtEndPr/>
                                  <w:sdtContent>
                                    <w:r w:rsidR="00B43B80" w:rsidRPr="00691F26">
                                      <w:rPr>
                                        <w:rFonts w:cs="Arial"/>
                                        <w:b/>
                                        <w:color w:val="70AD47" w:themeColor="accent6"/>
                                        <w:sz w:val="64"/>
                                        <w:szCs w:val="64"/>
                                      </w:rPr>
                                      <w:t>Análisis de la banda de 60 GHz para su posible clasificación como espectro libre</w:t>
                                    </w:r>
                                  </w:sdtContent>
                                </w:sdt>
                              </w:p>
                              <w:p w14:paraId="745BBA91" w14:textId="52881360" w:rsidR="00B43B80" w:rsidRDefault="00B43B80">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748B92F5" id="_x0000_t202" coordsize="21600,21600" o:spt="202" path="m,l,21600r21600,l21600,xe">
                    <v:stroke joinstyle="miter"/>
                    <v:path gradientshapeok="t" o:connecttype="rect"/>
                  </v:shapetype>
                  <v:shape id="Cuadro de texto 154" o:spid="_x0000_s1026" type="#_x0000_t202" style="position:absolute;margin-left:544.15pt;margin-top:178.4pt;width:595.35pt;height:286.5pt;z-index:251659264;visibility:visible;mso-wrap-style:square;mso-width-percent:0;mso-height-percent:363;mso-wrap-distance-left:9pt;mso-wrap-distance-top:0;mso-wrap-distance-right:9pt;mso-wrap-distance-bottom:0;mso-position-horizontal:right;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" filled="f" stroked="f" strokeweight=".5pt">
                    <v:textbox inset="126pt,0,54pt,0">
                      <w:txbxContent>
                        <w:p w14:paraId="374BDCA0" w14:textId="5C35C58A" w:rsidR="00B43B80" w:rsidRPr="00691F26" w:rsidRDefault="007352E9" w:rsidP="003752F2">
                          <w:pPr>
                            <w:rPr>
                              <w:b/>
                              <w:color w:val="70AD47" w:themeColor="accent6"/>
                              <w:sz w:val="64"/>
                              <w:szCs w:val="64"/>
                            </w:rPr>
                          </w:pPr>
                          <w:sdt>
                            <w:sdtPr>
                              <w:rPr>
                                <w:rFonts w:cs="Arial"/>
                                <w:b/>
                                <w:color w:val="70AD47" w:themeColor="accent6"/>
                                <w:sz w:val="64"/>
                                <w:szCs w:val="64"/>
                              </w:rPr>
                              <w:alias w:val="Título"/>
                              <w:tag w:val=""/>
                              <w:id w:val="-145353105"/>
                              <w:dataBinding w:prefixMappings="xmlns:ns0='http://purl.org/dc/elements/1.1/' xmlns:ns1='http://schemas.openxmlformats.org/package/2006/metadata/core-properties' " w:xpath="/ns1:coreProperties[1]/ns0:title[1]" w:storeItemID="{6C3C8BC8-F283-45AE-878A-BAB7291924A1}"/>
                              <w:text w:multiLine="1"/>
                            </w:sdtPr>
                            <w:sdtEndPr/>
                            <w:sdtContent>
                              <w:r w:rsidR="00B43B80" w:rsidRPr="00691F26">
                                <w:rPr>
                                  <w:rFonts w:cs="Arial"/>
                                  <w:b/>
                                  <w:color w:val="70AD47" w:themeColor="accent6"/>
                                  <w:sz w:val="64"/>
                                  <w:szCs w:val="64"/>
                                </w:rPr>
                                <w:t>Análisis de la banda de 60 GHz para su posible clasificación como espectro libre</w:t>
                              </w:r>
                            </w:sdtContent>
                          </w:sdt>
                        </w:p>
                        <w:p w14:paraId="745BBA91" w14:textId="52881360" w:rsidR="00B43B80" w:rsidRDefault="00B43B80">
                          <w:pPr>
                            <w:jc w:val="right"/>
                            <w:rPr>
                              <w:smallCaps/>
                              <w:color w:val="404040" w:themeColor="text1" w:themeTint="BF"/>
                              <w:sz w:val="36"/>
                              <w:szCs w:val="36"/>
                            </w:rPr>
                          </w:pPr>
                        </w:p>
                      </w:txbxContent>
                    </v:textbox>
                    <w10:wrap type="square" anchorx="page" anchory="page"/>
                  </v:shape>
                </w:pict>
              </mc:Fallback>
            </mc:AlternateContent>
          </w:r>
          <w:r w:rsidR="00DC405F" w:rsidRPr="007352E9">
            <w:br w:type="page"/>
          </w:r>
        </w:p>
      </w:sdtContent>
    </w:sdt>
    <w:p w14:paraId="2D82EB90" w14:textId="35D79BA0" w:rsidR="00E82214" w:rsidRPr="007352E9" w:rsidRDefault="00B66288" w:rsidP="00B66288">
      <w:pPr>
        <w:spacing w:after="0" w:line="240" w:lineRule="auto"/>
        <w:ind w:left="1416" w:hanging="1416"/>
        <w:contextualSpacing/>
        <w:jc w:val="center"/>
        <w:rPr>
          <w:rFonts w:cs="Arial"/>
          <w:color w:val="70AD47" w:themeColor="accent6"/>
        </w:rPr>
      </w:pPr>
      <w:r w:rsidRPr="007352E9">
        <w:rPr>
          <w:rFonts w:cs="Arial"/>
          <w:color w:val="70AD47" w:themeColor="accent6"/>
        </w:rPr>
        <w:lastRenderedPageBreak/>
        <w:t>Análisis de la banda de 60 GHz para su posible clasificación como espectro libre</w:t>
      </w:r>
    </w:p>
    <w:p w14:paraId="1293CD01" w14:textId="77777777" w:rsidR="00E82214" w:rsidRPr="007352E9" w:rsidRDefault="00E82214" w:rsidP="00E82214">
      <w:pPr>
        <w:spacing w:after="0" w:line="240" w:lineRule="auto"/>
        <w:contextualSpacing/>
        <w:rPr>
          <w:rFonts w:cs="Arial"/>
        </w:rPr>
      </w:pPr>
    </w:p>
    <w:sdt>
      <w:sdtPr>
        <w:rPr>
          <w:rFonts w:cs="Arial"/>
          <w:lang w:val="es-ES"/>
        </w:rPr>
        <w:id w:val="-1741173396"/>
        <w:docPartObj>
          <w:docPartGallery w:val="Table of Contents"/>
          <w:docPartUnique/>
        </w:docPartObj>
      </w:sdtPr>
      <w:sdtEndPr>
        <w:rPr>
          <w:b/>
          <w:bCs/>
        </w:rPr>
      </w:sdtEndPr>
      <w:sdtContent>
        <w:p w14:paraId="4B2C6319" w14:textId="77777777" w:rsidR="00E82214" w:rsidRPr="007352E9" w:rsidRDefault="00E82214" w:rsidP="00E82214">
          <w:pPr>
            <w:pStyle w:val="Sinespaciado"/>
            <w:contextualSpacing/>
            <w:rPr>
              <w:rFonts w:eastAsiaTheme="majorEastAsia" w:cs="Arial"/>
              <w:color w:val="70AD47" w:themeColor="accent6"/>
            </w:rPr>
          </w:pPr>
          <w:r w:rsidRPr="007352E9">
            <w:rPr>
              <w:rFonts w:eastAsiaTheme="majorEastAsia" w:cs="Arial"/>
              <w:color w:val="70AD47" w:themeColor="accent6"/>
            </w:rPr>
            <w:t>Índice</w:t>
          </w:r>
        </w:p>
        <w:p w14:paraId="71574BE1" w14:textId="77777777" w:rsidR="00DB2075" w:rsidRDefault="00E82214">
          <w:pPr>
            <w:pStyle w:val="TDC1"/>
            <w:tabs>
              <w:tab w:val="left" w:pos="440"/>
              <w:tab w:val="right" w:leader="dot" w:pos="8828"/>
            </w:tabs>
            <w:rPr>
              <w:rFonts w:eastAsiaTheme="minorEastAsia"/>
              <w:noProof/>
              <w:lang w:eastAsia="es-MX"/>
            </w:rPr>
          </w:pPr>
          <w:r w:rsidRPr="007352E9">
            <w:rPr>
              <w:rFonts w:eastAsiaTheme="majorEastAsia" w:cs="Arial"/>
              <w:color w:val="2E74B5" w:themeColor="accent1" w:themeShade="BF"/>
            </w:rPr>
            <w:fldChar w:fldCharType="begin"/>
          </w:r>
          <w:r w:rsidRPr="007352E9">
            <w:rPr>
              <w:rFonts w:cs="Arial"/>
            </w:rPr>
            <w:instrText xml:space="preserve"> TOC \o "1-3" \h \z \u </w:instrText>
          </w:r>
          <w:r w:rsidRPr="007352E9">
            <w:rPr>
              <w:rFonts w:eastAsiaTheme="majorEastAsia" w:cs="Arial"/>
              <w:color w:val="2E74B5" w:themeColor="accent1" w:themeShade="BF"/>
            </w:rPr>
            <w:fldChar w:fldCharType="separate"/>
          </w:r>
          <w:hyperlink w:anchor="_Toc474325836" w:history="1">
            <w:r w:rsidR="00DB2075" w:rsidRPr="004852BA">
              <w:rPr>
                <w:rStyle w:val="Hipervnculo"/>
                <w:noProof/>
              </w:rPr>
              <w:t>1.</w:t>
            </w:r>
            <w:r w:rsidR="00DB2075">
              <w:rPr>
                <w:rFonts w:eastAsiaTheme="minorEastAsia"/>
                <w:noProof/>
                <w:lang w:eastAsia="es-MX"/>
              </w:rPr>
              <w:tab/>
            </w:r>
            <w:r w:rsidR="00DB2075" w:rsidRPr="004852BA">
              <w:rPr>
                <w:rStyle w:val="Hipervnculo"/>
                <w:noProof/>
              </w:rPr>
              <w:t>Introducción</w:t>
            </w:r>
            <w:r w:rsidR="00DB2075">
              <w:rPr>
                <w:noProof/>
                <w:webHidden/>
              </w:rPr>
              <w:tab/>
            </w:r>
            <w:r w:rsidR="00DB2075">
              <w:rPr>
                <w:noProof/>
                <w:webHidden/>
              </w:rPr>
              <w:fldChar w:fldCharType="begin"/>
            </w:r>
            <w:r w:rsidR="00DB2075">
              <w:rPr>
                <w:noProof/>
                <w:webHidden/>
              </w:rPr>
              <w:instrText xml:space="preserve"> PAGEREF _Toc474325836 \h </w:instrText>
            </w:r>
            <w:r w:rsidR="00DB2075">
              <w:rPr>
                <w:noProof/>
                <w:webHidden/>
              </w:rPr>
            </w:r>
            <w:r w:rsidR="00DB2075">
              <w:rPr>
                <w:noProof/>
                <w:webHidden/>
              </w:rPr>
              <w:fldChar w:fldCharType="separate"/>
            </w:r>
            <w:r w:rsidR="00505B23">
              <w:rPr>
                <w:noProof/>
                <w:webHidden/>
              </w:rPr>
              <w:t>2</w:t>
            </w:r>
            <w:r w:rsidR="00DB2075">
              <w:rPr>
                <w:noProof/>
                <w:webHidden/>
              </w:rPr>
              <w:fldChar w:fldCharType="end"/>
            </w:r>
          </w:hyperlink>
        </w:p>
        <w:p w14:paraId="3D06F046" w14:textId="77777777" w:rsidR="00DB2075" w:rsidRDefault="00934D23">
          <w:pPr>
            <w:pStyle w:val="TDC1"/>
            <w:tabs>
              <w:tab w:val="left" w:pos="440"/>
              <w:tab w:val="right" w:leader="dot" w:pos="8828"/>
            </w:tabs>
            <w:rPr>
              <w:rFonts w:eastAsiaTheme="minorEastAsia"/>
              <w:noProof/>
              <w:lang w:eastAsia="es-MX"/>
            </w:rPr>
          </w:pPr>
          <w:hyperlink w:anchor="_Toc474325837" w:history="1">
            <w:r w:rsidR="00DB2075" w:rsidRPr="004852BA">
              <w:rPr>
                <w:rStyle w:val="Hipervnculo"/>
                <w:noProof/>
              </w:rPr>
              <w:t>2.</w:t>
            </w:r>
            <w:r w:rsidR="00DB2075">
              <w:rPr>
                <w:rFonts w:eastAsiaTheme="minorEastAsia"/>
                <w:noProof/>
                <w:lang w:eastAsia="es-MX"/>
              </w:rPr>
              <w:tab/>
            </w:r>
            <w:r w:rsidR="00DB2075" w:rsidRPr="004852BA">
              <w:rPr>
                <w:rStyle w:val="Hipervnculo"/>
                <w:noProof/>
              </w:rPr>
              <w:t>Alcance y Objetivos</w:t>
            </w:r>
            <w:r w:rsidR="00DB2075">
              <w:rPr>
                <w:noProof/>
                <w:webHidden/>
              </w:rPr>
              <w:tab/>
            </w:r>
            <w:r w:rsidR="00DB2075">
              <w:rPr>
                <w:noProof/>
                <w:webHidden/>
              </w:rPr>
              <w:fldChar w:fldCharType="begin"/>
            </w:r>
            <w:r w:rsidR="00DB2075">
              <w:rPr>
                <w:noProof/>
                <w:webHidden/>
              </w:rPr>
              <w:instrText xml:space="preserve"> PAGEREF _Toc474325837 \h </w:instrText>
            </w:r>
            <w:r w:rsidR="00DB2075">
              <w:rPr>
                <w:noProof/>
                <w:webHidden/>
              </w:rPr>
            </w:r>
            <w:r w:rsidR="00DB2075">
              <w:rPr>
                <w:noProof/>
                <w:webHidden/>
              </w:rPr>
              <w:fldChar w:fldCharType="separate"/>
            </w:r>
            <w:r w:rsidR="00505B23">
              <w:rPr>
                <w:noProof/>
                <w:webHidden/>
              </w:rPr>
              <w:t>3</w:t>
            </w:r>
            <w:r w:rsidR="00DB2075">
              <w:rPr>
                <w:noProof/>
                <w:webHidden/>
              </w:rPr>
              <w:fldChar w:fldCharType="end"/>
            </w:r>
          </w:hyperlink>
        </w:p>
        <w:p w14:paraId="4E3C78E2" w14:textId="77777777" w:rsidR="00DB2075" w:rsidRDefault="00934D23">
          <w:pPr>
            <w:pStyle w:val="TDC1"/>
            <w:tabs>
              <w:tab w:val="left" w:pos="440"/>
              <w:tab w:val="right" w:leader="dot" w:pos="8828"/>
            </w:tabs>
            <w:rPr>
              <w:rFonts w:eastAsiaTheme="minorEastAsia"/>
              <w:noProof/>
              <w:lang w:eastAsia="es-MX"/>
            </w:rPr>
          </w:pPr>
          <w:hyperlink w:anchor="_Toc474325838" w:history="1">
            <w:r w:rsidR="00DB2075" w:rsidRPr="004852BA">
              <w:rPr>
                <w:rStyle w:val="Hipervnculo"/>
                <w:noProof/>
              </w:rPr>
              <w:t>3.</w:t>
            </w:r>
            <w:r w:rsidR="00DB2075">
              <w:rPr>
                <w:rFonts w:eastAsiaTheme="minorEastAsia"/>
                <w:noProof/>
                <w:lang w:eastAsia="es-MX"/>
              </w:rPr>
              <w:tab/>
            </w:r>
            <w:r w:rsidR="00DB2075" w:rsidRPr="004852BA">
              <w:rPr>
                <w:rStyle w:val="Hipervnculo"/>
                <w:noProof/>
              </w:rPr>
              <w:t>Antecedentes</w:t>
            </w:r>
            <w:r w:rsidR="00DB2075">
              <w:rPr>
                <w:noProof/>
                <w:webHidden/>
              </w:rPr>
              <w:tab/>
            </w:r>
            <w:r w:rsidR="00DB2075">
              <w:rPr>
                <w:noProof/>
                <w:webHidden/>
              </w:rPr>
              <w:fldChar w:fldCharType="begin"/>
            </w:r>
            <w:r w:rsidR="00DB2075">
              <w:rPr>
                <w:noProof/>
                <w:webHidden/>
              </w:rPr>
              <w:instrText xml:space="preserve"> PAGEREF _Toc474325838 \h </w:instrText>
            </w:r>
            <w:r w:rsidR="00DB2075">
              <w:rPr>
                <w:noProof/>
                <w:webHidden/>
              </w:rPr>
            </w:r>
            <w:r w:rsidR="00DB2075">
              <w:rPr>
                <w:noProof/>
                <w:webHidden/>
              </w:rPr>
              <w:fldChar w:fldCharType="separate"/>
            </w:r>
            <w:r w:rsidR="00505B23">
              <w:rPr>
                <w:noProof/>
                <w:webHidden/>
              </w:rPr>
              <w:t>3</w:t>
            </w:r>
            <w:r w:rsidR="00DB2075">
              <w:rPr>
                <w:noProof/>
                <w:webHidden/>
              </w:rPr>
              <w:fldChar w:fldCharType="end"/>
            </w:r>
          </w:hyperlink>
        </w:p>
        <w:p w14:paraId="00F64C93" w14:textId="77777777" w:rsidR="00DB2075" w:rsidRDefault="00934D23">
          <w:pPr>
            <w:pStyle w:val="TDC2"/>
            <w:tabs>
              <w:tab w:val="right" w:leader="dot" w:pos="8828"/>
            </w:tabs>
            <w:rPr>
              <w:rFonts w:eastAsiaTheme="minorEastAsia"/>
              <w:noProof/>
              <w:lang w:eastAsia="es-MX"/>
            </w:rPr>
          </w:pPr>
          <w:hyperlink w:anchor="_Toc474325839" w:history="1">
            <w:r w:rsidR="00DB2075" w:rsidRPr="004852BA">
              <w:rPr>
                <w:rStyle w:val="Hipervnculo"/>
                <w:noProof/>
              </w:rPr>
              <w:t>Uso eficiente</w:t>
            </w:r>
            <w:r w:rsidR="00DB2075">
              <w:rPr>
                <w:noProof/>
                <w:webHidden/>
              </w:rPr>
              <w:tab/>
            </w:r>
            <w:r w:rsidR="00DB2075">
              <w:rPr>
                <w:noProof/>
                <w:webHidden/>
              </w:rPr>
              <w:fldChar w:fldCharType="begin"/>
            </w:r>
            <w:r w:rsidR="00DB2075">
              <w:rPr>
                <w:noProof/>
                <w:webHidden/>
              </w:rPr>
              <w:instrText xml:space="preserve"> PAGEREF _Toc474325839 \h </w:instrText>
            </w:r>
            <w:r w:rsidR="00DB2075">
              <w:rPr>
                <w:noProof/>
                <w:webHidden/>
              </w:rPr>
            </w:r>
            <w:r w:rsidR="00DB2075">
              <w:rPr>
                <w:noProof/>
                <w:webHidden/>
              </w:rPr>
              <w:fldChar w:fldCharType="separate"/>
            </w:r>
            <w:r w:rsidR="00505B23">
              <w:rPr>
                <w:noProof/>
                <w:webHidden/>
              </w:rPr>
              <w:t>3</w:t>
            </w:r>
            <w:r w:rsidR="00DB2075">
              <w:rPr>
                <w:noProof/>
                <w:webHidden/>
              </w:rPr>
              <w:fldChar w:fldCharType="end"/>
            </w:r>
          </w:hyperlink>
        </w:p>
        <w:p w14:paraId="03E4480C" w14:textId="77777777" w:rsidR="00DB2075" w:rsidRDefault="00934D23">
          <w:pPr>
            <w:pStyle w:val="TDC2"/>
            <w:tabs>
              <w:tab w:val="right" w:leader="dot" w:pos="8828"/>
            </w:tabs>
            <w:rPr>
              <w:rFonts w:eastAsiaTheme="minorEastAsia"/>
              <w:noProof/>
              <w:lang w:eastAsia="es-MX"/>
            </w:rPr>
          </w:pPr>
          <w:hyperlink w:anchor="_Toc474325840" w:history="1">
            <w:r w:rsidR="00DB2075" w:rsidRPr="004852BA">
              <w:rPr>
                <w:rStyle w:val="Hipervnculo"/>
                <w:noProof/>
              </w:rPr>
              <w:t>Atribución</w:t>
            </w:r>
            <w:r w:rsidR="00DB2075">
              <w:rPr>
                <w:noProof/>
                <w:webHidden/>
              </w:rPr>
              <w:tab/>
            </w:r>
            <w:r w:rsidR="00DB2075">
              <w:rPr>
                <w:noProof/>
                <w:webHidden/>
              </w:rPr>
              <w:fldChar w:fldCharType="begin"/>
            </w:r>
            <w:r w:rsidR="00DB2075">
              <w:rPr>
                <w:noProof/>
                <w:webHidden/>
              </w:rPr>
              <w:instrText xml:space="preserve"> PAGEREF _Toc474325840 \h </w:instrText>
            </w:r>
            <w:r w:rsidR="00DB2075">
              <w:rPr>
                <w:noProof/>
                <w:webHidden/>
              </w:rPr>
            </w:r>
            <w:r w:rsidR="00DB2075">
              <w:rPr>
                <w:noProof/>
                <w:webHidden/>
              </w:rPr>
              <w:fldChar w:fldCharType="separate"/>
            </w:r>
            <w:r w:rsidR="00505B23">
              <w:rPr>
                <w:noProof/>
                <w:webHidden/>
              </w:rPr>
              <w:t>4</w:t>
            </w:r>
            <w:r w:rsidR="00DB2075">
              <w:rPr>
                <w:noProof/>
                <w:webHidden/>
              </w:rPr>
              <w:fldChar w:fldCharType="end"/>
            </w:r>
          </w:hyperlink>
        </w:p>
        <w:p w14:paraId="67ACA104" w14:textId="77777777" w:rsidR="00DB2075" w:rsidRDefault="00934D23">
          <w:pPr>
            <w:pStyle w:val="TDC3"/>
            <w:tabs>
              <w:tab w:val="right" w:leader="dot" w:pos="8828"/>
            </w:tabs>
            <w:rPr>
              <w:rFonts w:eastAsiaTheme="minorEastAsia"/>
              <w:noProof/>
              <w:lang w:eastAsia="es-MX"/>
            </w:rPr>
          </w:pPr>
          <w:hyperlink w:anchor="_Toc474325841" w:history="1">
            <w:r w:rsidR="00DB2075" w:rsidRPr="004852BA">
              <w:rPr>
                <w:rStyle w:val="Hipervnculo"/>
                <w:noProof/>
              </w:rPr>
              <w:t>Atribuciones en el Reglamento de Radiocomunicaciones de la UIT</w:t>
            </w:r>
            <w:r w:rsidR="00DB2075">
              <w:rPr>
                <w:noProof/>
                <w:webHidden/>
              </w:rPr>
              <w:tab/>
            </w:r>
            <w:r w:rsidR="00DB2075">
              <w:rPr>
                <w:noProof/>
                <w:webHidden/>
              </w:rPr>
              <w:fldChar w:fldCharType="begin"/>
            </w:r>
            <w:r w:rsidR="00DB2075">
              <w:rPr>
                <w:noProof/>
                <w:webHidden/>
              </w:rPr>
              <w:instrText xml:space="preserve"> PAGEREF _Toc474325841 \h </w:instrText>
            </w:r>
            <w:r w:rsidR="00DB2075">
              <w:rPr>
                <w:noProof/>
                <w:webHidden/>
              </w:rPr>
            </w:r>
            <w:r w:rsidR="00DB2075">
              <w:rPr>
                <w:noProof/>
                <w:webHidden/>
              </w:rPr>
              <w:fldChar w:fldCharType="separate"/>
            </w:r>
            <w:r w:rsidR="00505B23">
              <w:rPr>
                <w:noProof/>
                <w:webHidden/>
              </w:rPr>
              <w:t>4</w:t>
            </w:r>
            <w:r w:rsidR="00DB2075">
              <w:rPr>
                <w:noProof/>
                <w:webHidden/>
              </w:rPr>
              <w:fldChar w:fldCharType="end"/>
            </w:r>
          </w:hyperlink>
        </w:p>
        <w:p w14:paraId="64AA05AD" w14:textId="77777777" w:rsidR="00DB2075" w:rsidRDefault="00934D23">
          <w:pPr>
            <w:pStyle w:val="TDC3"/>
            <w:tabs>
              <w:tab w:val="right" w:leader="dot" w:pos="8828"/>
            </w:tabs>
            <w:rPr>
              <w:rFonts w:eastAsiaTheme="minorEastAsia"/>
              <w:noProof/>
              <w:lang w:eastAsia="es-MX"/>
            </w:rPr>
          </w:pPr>
          <w:hyperlink w:anchor="_Toc474325842" w:history="1">
            <w:r w:rsidR="00DB2075" w:rsidRPr="004852BA">
              <w:rPr>
                <w:rStyle w:val="Hipervnculo"/>
                <w:noProof/>
              </w:rPr>
              <w:t>Notas Relevantes en el Reglamento de Radiocomunicaciones de la UIT</w:t>
            </w:r>
            <w:r w:rsidR="00DB2075">
              <w:rPr>
                <w:noProof/>
                <w:webHidden/>
              </w:rPr>
              <w:tab/>
            </w:r>
            <w:r w:rsidR="00DB2075">
              <w:rPr>
                <w:noProof/>
                <w:webHidden/>
              </w:rPr>
              <w:fldChar w:fldCharType="begin"/>
            </w:r>
            <w:r w:rsidR="00DB2075">
              <w:rPr>
                <w:noProof/>
                <w:webHidden/>
              </w:rPr>
              <w:instrText xml:space="preserve"> PAGEREF _Toc474325842 \h </w:instrText>
            </w:r>
            <w:r w:rsidR="00DB2075">
              <w:rPr>
                <w:noProof/>
                <w:webHidden/>
              </w:rPr>
            </w:r>
            <w:r w:rsidR="00DB2075">
              <w:rPr>
                <w:noProof/>
                <w:webHidden/>
              </w:rPr>
              <w:fldChar w:fldCharType="separate"/>
            </w:r>
            <w:r w:rsidR="00505B23">
              <w:rPr>
                <w:noProof/>
                <w:webHidden/>
              </w:rPr>
              <w:t>5</w:t>
            </w:r>
            <w:r w:rsidR="00DB2075">
              <w:rPr>
                <w:noProof/>
                <w:webHidden/>
              </w:rPr>
              <w:fldChar w:fldCharType="end"/>
            </w:r>
          </w:hyperlink>
        </w:p>
        <w:p w14:paraId="69A8BC06" w14:textId="77777777" w:rsidR="00DB2075" w:rsidRDefault="00934D23">
          <w:pPr>
            <w:pStyle w:val="TDC3"/>
            <w:tabs>
              <w:tab w:val="right" w:leader="dot" w:pos="8828"/>
            </w:tabs>
            <w:rPr>
              <w:rFonts w:eastAsiaTheme="minorEastAsia"/>
              <w:noProof/>
              <w:lang w:eastAsia="es-MX"/>
            </w:rPr>
          </w:pPr>
          <w:hyperlink w:anchor="_Toc474325843" w:history="1">
            <w:r w:rsidR="00DB2075" w:rsidRPr="004852BA">
              <w:rPr>
                <w:rStyle w:val="Hipervnculo"/>
                <w:noProof/>
              </w:rPr>
              <w:t>Cuadro Nacional de Atribución de Frecuencias</w:t>
            </w:r>
            <w:r w:rsidR="00DB2075">
              <w:rPr>
                <w:noProof/>
                <w:webHidden/>
              </w:rPr>
              <w:tab/>
            </w:r>
            <w:r w:rsidR="00DB2075">
              <w:rPr>
                <w:noProof/>
                <w:webHidden/>
              </w:rPr>
              <w:fldChar w:fldCharType="begin"/>
            </w:r>
            <w:r w:rsidR="00DB2075">
              <w:rPr>
                <w:noProof/>
                <w:webHidden/>
              </w:rPr>
              <w:instrText xml:space="preserve"> PAGEREF _Toc474325843 \h </w:instrText>
            </w:r>
            <w:r w:rsidR="00DB2075">
              <w:rPr>
                <w:noProof/>
                <w:webHidden/>
              </w:rPr>
            </w:r>
            <w:r w:rsidR="00DB2075">
              <w:rPr>
                <w:noProof/>
                <w:webHidden/>
              </w:rPr>
              <w:fldChar w:fldCharType="separate"/>
            </w:r>
            <w:r w:rsidR="00505B23">
              <w:rPr>
                <w:noProof/>
                <w:webHidden/>
              </w:rPr>
              <w:t>6</w:t>
            </w:r>
            <w:r w:rsidR="00DB2075">
              <w:rPr>
                <w:noProof/>
                <w:webHidden/>
              </w:rPr>
              <w:fldChar w:fldCharType="end"/>
            </w:r>
          </w:hyperlink>
        </w:p>
        <w:p w14:paraId="09422DE4" w14:textId="77777777" w:rsidR="00DB2075" w:rsidRDefault="00934D23">
          <w:pPr>
            <w:pStyle w:val="TDC3"/>
            <w:tabs>
              <w:tab w:val="right" w:leader="dot" w:pos="8828"/>
            </w:tabs>
            <w:rPr>
              <w:rFonts w:eastAsiaTheme="minorEastAsia"/>
              <w:noProof/>
              <w:lang w:eastAsia="es-MX"/>
            </w:rPr>
          </w:pPr>
          <w:hyperlink w:anchor="_Toc474325844" w:history="1">
            <w:r w:rsidR="00DB2075" w:rsidRPr="004852BA">
              <w:rPr>
                <w:rStyle w:val="Hipervnculo"/>
                <w:noProof/>
              </w:rPr>
              <w:t>Notas Nacionales Relevantes</w:t>
            </w:r>
            <w:r w:rsidR="00DB2075">
              <w:rPr>
                <w:noProof/>
                <w:webHidden/>
              </w:rPr>
              <w:tab/>
            </w:r>
            <w:r w:rsidR="00DB2075">
              <w:rPr>
                <w:noProof/>
                <w:webHidden/>
              </w:rPr>
              <w:fldChar w:fldCharType="begin"/>
            </w:r>
            <w:r w:rsidR="00DB2075">
              <w:rPr>
                <w:noProof/>
                <w:webHidden/>
              </w:rPr>
              <w:instrText xml:space="preserve"> PAGEREF _Toc474325844 \h </w:instrText>
            </w:r>
            <w:r w:rsidR="00DB2075">
              <w:rPr>
                <w:noProof/>
                <w:webHidden/>
              </w:rPr>
            </w:r>
            <w:r w:rsidR="00DB2075">
              <w:rPr>
                <w:noProof/>
                <w:webHidden/>
              </w:rPr>
              <w:fldChar w:fldCharType="separate"/>
            </w:r>
            <w:r w:rsidR="00505B23">
              <w:rPr>
                <w:noProof/>
                <w:webHidden/>
              </w:rPr>
              <w:t>6</w:t>
            </w:r>
            <w:r w:rsidR="00DB2075">
              <w:rPr>
                <w:noProof/>
                <w:webHidden/>
              </w:rPr>
              <w:fldChar w:fldCharType="end"/>
            </w:r>
          </w:hyperlink>
        </w:p>
        <w:p w14:paraId="4AE73308" w14:textId="77777777" w:rsidR="00DB2075" w:rsidRDefault="00934D23">
          <w:pPr>
            <w:pStyle w:val="TDC2"/>
            <w:tabs>
              <w:tab w:val="right" w:leader="dot" w:pos="8828"/>
            </w:tabs>
            <w:rPr>
              <w:rFonts w:eastAsiaTheme="minorEastAsia"/>
              <w:noProof/>
              <w:lang w:eastAsia="es-MX"/>
            </w:rPr>
          </w:pPr>
          <w:hyperlink w:anchor="_Toc474325845" w:history="1">
            <w:r w:rsidR="00DB2075" w:rsidRPr="004852BA">
              <w:rPr>
                <w:rStyle w:val="Hipervnculo"/>
                <w:noProof/>
              </w:rPr>
              <w:t>Estandarización y Recomendaciones</w:t>
            </w:r>
            <w:r w:rsidR="00DB2075">
              <w:rPr>
                <w:noProof/>
                <w:webHidden/>
              </w:rPr>
              <w:tab/>
            </w:r>
            <w:r w:rsidR="00DB2075">
              <w:rPr>
                <w:noProof/>
                <w:webHidden/>
              </w:rPr>
              <w:fldChar w:fldCharType="begin"/>
            </w:r>
            <w:r w:rsidR="00DB2075">
              <w:rPr>
                <w:noProof/>
                <w:webHidden/>
              </w:rPr>
              <w:instrText xml:space="preserve"> PAGEREF _Toc474325845 \h </w:instrText>
            </w:r>
            <w:r w:rsidR="00DB2075">
              <w:rPr>
                <w:noProof/>
                <w:webHidden/>
              </w:rPr>
            </w:r>
            <w:r w:rsidR="00DB2075">
              <w:rPr>
                <w:noProof/>
                <w:webHidden/>
              </w:rPr>
              <w:fldChar w:fldCharType="separate"/>
            </w:r>
            <w:r w:rsidR="00505B23">
              <w:rPr>
                <w:noProof/>
                <w:webHidden/>
              </w:rPr>
              <w:t>7</w:t>
            </w:r>
            <w:r w:rsidR="00DB2075">
              <w:rPr>
                <w:noProof/>
                <w:webHidden/>
              </w:rPr>
              <w:fldChar w:fldCharType="end"/>
            </w:r>
          </w:hyperlink>
        </w:p>
        <w:p w14:paraId="229DA462" w14:textId="77777777" w:rsidR="00DB2075" w:rsidRDefault="00934D23">
          <w:pPr>
            <w:pStyle w:val="TDC3"/>
            <w:tabs>
              <w:tab w:val="right" w:leader="dot" w:pos="8828"/>
            </w:tabs>
            <w:rPr>
              <w:rFonts w:eastAsiaTheme="minorEastAsia"/>
              <w:noProof/>
              <w:lang w:eastAsia="es-MX"/>
            </w:rPr>
          </w:pPr>
          <w:hyperlink w:anchor="_Toc474325846" w:history="1">
            <w:r w:rsidR="00DB2075" w:rsidRPr="004852BA">
              <w:rPr>
                <w:rStyle w:val="Hipervnculo"/>
                <w:noProof/>
              </w:rPr>
              <w:t>Estándares</w:t>
            </w:r>
            <w:r w:rsidR="00DB2075">
              <w:rPr>
                <w:noProof/>
                <w:webHidden/>
              </w:rPr>
              <w:tab/>
            </w:r>
            <w:r w:rsidR="00DB2075">
              <w:rPr>
                <w:noProof/>
                <w:webHidden/>
              </w:rPr>
              <w:fldChar w:fldCharType="begin"/>
            </w:r>
            <w:r w:rsidR="00DB2075">
              <w:rPr>
                <w:noProof/>
                <w:webHidden/>
              </w:rPr>
              <w:instrText xml:space="preserve"> PAGEREF _Toc474325846 \h </w:instrText>
            </w:r>
            <w:r w:rsidR="00DB2075">
              <w:rPr>
                <w:noProof/>
                <w:webHidden/>
              </w:rPr>
            </w:r>
            <w:r w:rsidR="00DB2075">
              <w:rPr>
                <w:noProof/>
                <w:webHidden/>
              </w:rPr>
              <w:fldChar w:fldCharType="separate"/>
            </w:r>
            <w:r w:rsidR="00505B23">
              <w:rPr>
                <w:noProof/>
                <w:webHidden/>
              </w:rPr>
              <w:t>7</w:t>
            </w:r>
            <w:r w:rsidR="00DB2075">
              <w:rPr>
                <w:noProof/>
                <w:webHidden/>
              </w:rPr>
              <w:fldChar w:fldCharType="end"/>
            </w:r>
          </w:hyperlink>
        </w:p>
        <w:p w14:paraId="14B7FB5A" w14:textId="77777777" w:rsidR="00DB2075" w:rsidRDefault="00934D23">
          <w:pPr>
            <w:pStyle w:val="TDC3"/>
            <w:tabs>
              <w:tab w:val="right" w:leader="dot" w:pos="8828"/>
            </w:tabs>
            <w:rPr>
              <w:rFonts w:eastAsiaTheme="minorEastAsia"/>
              <w:noProof/>
              <w:lang w:eastAsia="es-MX"/>
            </w:rPr>
          </w:pPr>
          <w:hyperlink w:anchor="_Toc474325847" w:history="1">
            <w:r w:rsidR="00DB2075" w:rsidRPr="004852BA">
              <w:rPr>
                <w:rStyle w:val="Hipervnculo"/>
                <w:noProof/>
              </w:rPr>
              <w:t>Recomendaciones</w:t>
            </w:r>
            <w:r w:rsidR="00DB2075">
              <w:rPr>
                <w:noProof/>
                <w:webHidden/>
              </w:rPr>
              <w:tab/>
            </w:r>
            <w:r w:rsidR="00DB2075">
              <w:rPr>
                <w:noProof/>
                <w:webHidden/>
              </w:rPr>
              <w:fldChar w:fldCharType="begin"/>
            </w:r>
            <w:r w:rsidR="00DB2075">
              <w:rPr>
                <w:noProof/>
                <w:webHidden/>
              </w:rPr>
              <w:instrText xml:space="preserve"> PAGEREF _Toc474325847 \h </w:instrText>
            </w:r>
            <w:r w:rsidR="00DB2075">
              <w:rPr>
                <w:noProof/>
                <w:webHidden/>
              </w:rPr>
            </w:r>
            <w:r w:rsidR="00DB2075">
              <w:rPr>
                <w:noProof/>
                <w:webHidden/>
              </w:rPr>
              <w:fldChar w:fldCharType="separate"/>
            </w:r>
            <w:r w:rsidR="00505B23">
              <w:rPr>
                <w:noProof/>
                <w:webHidden/>
              </w:rPr>
              <w:t>8</w:t>
            </w:r>
            <w:r w:rsidR="00DB2075">
              <w:rPr>
                <w:noProof/>
                <w:webHidden/>
              </w:rPr>
              <w:fldChar w:fldCharType="end"/>
            </w:r>
          </w:hyperlink>
        </w:p>
        <w:p w14:paraId="71326490" w14:textId="77777777" w:rsidR="00DB2075" w:rsidRDefault="00934D23">
          <w:pPr>
            <w:pStyle w:val="TDC2"/>
            <w:tabs>
              <w:tab w:val="right" w:leader="dot" w:pos="8828"/>
            </w:tabs>
            <w:rPr>
              <w:rFonts w:eastAsiaTheme="minorEastAsia"/>
              <w:noProof/>
              <w:lang w:eastAsia="es-MX"/>
            </w:rPr>
          </w:pPr>
          <w:hyperlink w:anchor="_Toc474325848" w:history="1">
            <w:r w:rsidR="00DB2075" w:rsidRPr="004852BA">
              <w:rPr>
                <w:rStyle w:val="Hipervnculo"/>
                <w:noProof/>
              </w:rPr>
              <w:t>Disponibilidad tecnológica</w:t>
            </w:r>
            <w:r w:rsidR="00DB2075">
              <w:rPr>
                <w:noProof/>
                <w:webHidden/>
              </w:rPr>
              <w:tab/>
            </w:r>
            <w:r w:rsidR="00DB2075">
              <w:rPr>
                <w:noProof/>
                <w:webHidden/>
              </w:rPr>
              <w:fldChar w:fldCharType="begin"/>
            </w:r>
            <w:r w:rsidR="00DB2075">
              <w:rPr>
                <w:noProof/>
                <w:webHidden/>
              </w:rPr>
              <w:instrText xml:space="preserve"> PAGEREF _Toc474325848 \h </w:instrText>
            </w:r>
            <w:r w:rsidR="00DB2075">
              <w:rPr>
                <w:noProof/>
                <w:webHidden/>
              </w:rPr>
            </w:r>
            <w:r w:rsidR="00DB2075">
              <w:rPr>
                <w:noProof/>
                <w:webHidden/>
              </w:rPr>
              <w:fldChar w:fldCharType="separate"/>
            </w:r>
            <w:r w:rsidR="00505B23">
              <w:rPr>
                <w:noProof/>
                <w:webHidden/>
              </w:rPr>
              <w:t>9</w:t>
            </w:r>
            <w:r w:rsidR="00DB2075">
              <w:rPr>
                <w:noProof/>
                <w:webHidden/>
              </w:rPr>
              <w:fldChar w:fldCharType="end"/>
            </w:r>
          </w:hyperlink>
        </w:p>
        <w:p w14:paraId="3548E359" w14:textId="77777777" w:rsidR="00DB2075" w:rsidRDefault="00934D23">
          <w:pPr>
            <w:pStyle w:val="TDC3"/>
            <w:tabs>
              <w:tab w:val="right" w:leader="dot" w:pos="8828"/>
            </w:tabs>
            <w:rPr>
              <w:rFonts w:eastAsiaTheme="minorEastAsia"/>
              <w:noProof/>
              <w:lang w:eastAsia="es-MX"/>
            </w:rPr>
          </w:pPr>
          <w:hyperlink w:anchor="_Toc474325849" w:history="1">
            <w:r w:rsidR="00DB2075" w:rsidRPr="004852BA">
              <w:rPr>
                <w:rStyle w:val="Hipervnculo"/>
                <w:noProof/>
              </w:rPr>
              <w:t>Homologación de Equipos</w:t>
            </w:r>
            <w:r w:rsidR="00DB2075">
              <w:rPr>
                <w:noProof/>
                <w:webHidden/>
              </w:rPr>
              <w:tab/>
            </w:r>
            <w:r w:rsidR="00DB2075">
              <w:rPr>
                <w:noProof/>
                <w:webHidden/>
              </w:rPr>
              <w:fldChar w:fldCharType="begin"/>
            </w:r>
            <w:r w:rsidR="00DB2075">
              <w:rPr>
                <w:noProof/>
                <w:webHidden/>
              </w:rPr>
              <w:instrText xml:space="preserve"> PAGEREF _Toc474325849 \h </w:instrText>
            </w:r>
            <w:r w:rsidR="00DB2075">
              <w:rPr>
                <w:noProof/>
                <w:webHidden/>
              </w:rPr>
            </w:r>
            <w:r w:rsidR="00DB2075">
              <w:rPr>
                <w:noProof/>
                <w:webHidden/>
              </w:rPr>
              <w:fldChar w:fldCharType="separate"/>
            </w:r>
            <w:r w:rsidR="00505B23">
              <w:rPr>
                <w:noProof/>
                <w:webHidden/>
              </w:rPr>
              <w:t>9</w:t>
            </w:r>
            <w:r w:rsidR="00DB2075">
              <w:rPr>
                <w:noProof/>
                <w:webHidden/>
              </w:rPr>
              <w:fldChar w:fldCharType="end"/>
            </w:r>
          </w:hyperlink>
        </w:p>
        <w:p w14:paraId="48468AB3" w14:textId="77777777" w:rsidR="00DB2075" w:rsidRDefault="00934D23">
          <w:pPr>
            <w:pStyle w:val="TDC3"/>
            <w:tabs>
              <w:tab w:val="right" w:leader="dot" w:pos="8828"/>
            </w:tabs>
            <w:rPr>
              <w:rFonts w:eastAsiaTheme="minorEastAsia"/>
              <w:noProof/>
              <w:lang w:eastAsia="es-MX"/>
            </w:rPr>
          </w:pPr>
          <w:hyperlink w:anchor="_Toc474325850" w:history="1">
            <w:r w:rsidR="00DB2075" w:rsidRPr="004852BA">
              <w:rPr>
                <w:rStyle w:val="Hipervnculo"/>
                <w:noProof/>
              </w:rPr>
              <w:t>Diversidad de Equipos</w:t>
            </w:r>
            <w:r w:rsidR="00DB2075">
              <w:rPr>
                <w:noProof/>
                <w:webHidden/>
              </w:rPr>
              <w:tab/>
            </w:r>
            <w:r w:rsidR="00DB2075">
              <w:rPr>
                <w:noProof/>
                <w:webHidden/>
              </w:rPr>
              <w:fldChar w:fldCharType="begin"/>
            </w:r>
            <w:r w:rsidR="00DB2075">
              <w:rPr>
                <w:noProof/>
                <w:webHidden/>
              </w:rPr>
              <w:instrText xml:space="preserve"> PAGEREF _Toc474325850 \h </w:instrText>
            </w:r>
            <w:r w:rsidR="00DB2075">
              <w:rPr>
                <w:noProof/>
                <w:webHidden/>
              </w:rPr>
            </w:r>
            <w:r w:rsidR="00DB2075">
              <w:rPr>
                <w:noProof/>
                <w:webHidden/>
              </w:rPr>
              <w:fldChar w:fldCharType="separate"/>
            </w:r>
            <w:r w:rsidR="00505B23">
              <w:rPr>
                <w:noProof/>
                <w:webHidden/>
              </w:rPr>
              <w:t>9</w:t>
            </w:r>
            <w:r w:rsidR="00DB2075">
              <w:rPr>
                <w:noProof/>
                <w:webHidden/>
              </w:rPr>
              <w:fldChar w:fldCharType="end"/>
            </w:r>
          </w:hyperlink>
        </w:p>
        <w:p w14:paraId="5543C5CD" w14:textId="77777777" w:rsidR="00DB2075" w:rsidRDefault="00934D23">
          <w:pPr>
            <w:pStyle w:val="TDC1"/>
            <w:tabs>
              <w:tab w:val="left" w:pos="440"/>
              <w:tab w:val="right" w:leader="dot" w:pos="8828"/>
            </w:tabs>
            <w:rPr>
              <w:rFonts w:eastAsiaTheme="minorEastAsia"/>
              <w:noProof/>
              <w:lang w:eastAsia="es-MX"/>
            </w:rPr>
          </w:pPr>
          <w:hyperlink w:anchor="_Toc474325851" w:history="1">
            <w:r w:rsidR="00DB2075" w:rsidRPr="004852BA">
              <w:rPr>
                <w:rStyle w:val="Hipervnculo"/>
                <w:noProof/>
              </w:rPr>
              <w:t>4.</w:t>
            </w:r>
            <w:r w:rsidR="00DB2075">
              <w:rPr>
                <w:rFonts w:eastAsiaTheme="minorEastAsia"/>
                <w:noProof/>
                <w:lang w:eastAsia="es-MX"/>
              </w:rPr>
              <w:tab/>
            </w:r>
            <w:r w:rsidR="00DB2075" w:rsidRPr="004852BA">
              <w:rPr>
                <w:rStyle w:val="Hipervnculo"/>
                <w:noProof/>
              </w:rPr>
              <w:t>Tendencias Internacionales</w:t>
            </w:r>
            <w:r w:rsidR="00DB2075">
              <w:rPr>
                <w:noProof/>
                <w:webHidden/>
              </w:rPr>
              <w:tab/>
            </w:r>
            <w:r w:rsidR="00DB2075">
              <w:rPr>
                <w:noProof/>
                <w:webHidden/>
              </w:rPr>
              <w:fldChar w:fldCharType="begin"/>
            </w:r>
            <w:r w:rsidR="00DB2075">
              <w:rPr>
                <w:noProof/>
                <w:webHidden/>
              </w:rPr>
              <w:instrText xml:space="preserve"> PAGEREF _Toc474325851 \h </w:instrText>
            </w:r>
            <w:r w:rsidR="00DB2075">
              <w:rPr>
                <w:noProof/>
                <w:webHidden/>
              </w:rPr>
            </w:r>
            <w:r w:rsidR="00DB2075">
              <w:rPr>
                <w:noProof/>
                <w:webHidden/>
              </w:rPr>
              <w:fldChar w:fldCharType="separate"/>
            </w:r>
            <w:r w:rsidR="00505B23">
              <w:rPr>
                <w:noProof/>
                <w:webHidden/>
              </w:rPr>
              <w:t>11</w:t>
            </w:r>
            <w:r w:rsidR="00DB2075">
              <w:rPr>
                <w:noProof/>
                <w:webHidden/>
              </w:rPr>
              <w:fldChar w:fldCharType="end"/>
            </w:r>
          </w:hyperlink>
        </w:p>
        <w:p w14:paraId="24081BF9" w14:textId="77777777" w:rsidR="00DB2075" w:rsidRDefault="00934D23">
          <w:pPr>
            <w:pStyle w:val="TDC2"/>
            <w:tabs>
              <w:tab w:val="right" w:leader="dot" w:pos="8828"/>
            </w:tabs>
            <w:rPr>
              <w:rFonts w:eastAsiaTheme="minorEastAsia"/>
              <w:noProof/>
              <w:lang w:eastAsia="es-MX"/>
            </w:rPr>
          </w:pPr>
          <w:hyperlink w:anchor="_Toc474325852" w:history="1">
            <w:r w:rsidR="00DB2075" w:rsidRPr="004852BA">
              <w:rPr>
                <w:rStyle w:val="Hipervnculo"/>
                <w:noProof/>
              </w:rPr>
              <w:t>Panorama Internacional</w:t>
            </w:r>
            <w:r w:rsidR="00DB2075">
              <w:rPr>
                <w:noProof/>
                <w:webHidden/>
              </w:rPr>
              <w:tab/>
            </w:r>
            <w:r w:rsidR="00DB2075">
              <w:rPr>
                <w:noProof/>
                <w:webHidden/>
              </w:rPr>
              <w:fldChar w:fldCharType="begin"/>
            </w:r>
            <w:r w:rsidR="00DB2075">
              <w:rPr>
                <w:noProof/>
                <w:webHidden/>
              </w:rPr>
              <w:instrText xml:space="preserve"> PAGEREF _Toc474325852 \h </w:instrText>
            </w:r>
            <w:r w:rsidR="00DB2075">
              <w:rPr>
                <w:noProof/>
                <w:webHidden/>
              </w:rPr>
            </w:r>
            <w:r w:rsidR="00DB2075">
              <w:rPr>
                <w:noProof/>
                <w:webHidden/>
              </w:rPr>
              <w:fldChar w:fldCharType="separate"/>
            </w:r>
            <w:r w:rsidR="00505B23">
              <w:rPr>
                <w:noProof/>
                <w:webHidden/>
              </w:rPr>
              <w:t>11</w:t>
            </w:r>
            <w:r w:rsidR="00DB2075">
              <w:rPr>
                <w:noProof/>
                <w:webHidden/>
              </w:rPr>
              <w:fldChar w:fldCharType="end"/>
            </w:r>
          </w:hyperlink>
        </w:p>
        <w:p w14:paraId="6625D268" w14:textId="77777777" w:rsidR="00DB2075" w:rsidRDefault="00934D23">
          <w:pPr>
            <w:pStyle w:val="TDC3"/>
            <w:tabs>
              <w:tab w:val="right" w:leader="dot" w:pos="8828"/>
            </w:tabs>
            <w:rPr>
              <w:rFonts w:eastAsiaTheme="minorEastAsia"/>
              <w:noProof/>
              <w:lang w:eastAsia="es-MX"/>
            </w:rPr>
          </w:pPr>
          <w:hyperlink w:anchor="_Toc474325853" w:history="1">
            <w:r w:rsidR="00DB2075" w:rsidRPr="004852BA">
              <w:rPr>
                <w:rStyle w:val="Hipervnculo"/>
                <w:noProof/>
              </w:rPr>
              <w:t>Región 1</w:t>
            </w:r>
            <w:r w:rsidR="00DB2075">
              <w:rPr>
                <w:noProof/>
                <w:webHidden/>
              </w:rPr>
              <w:tab/>
            </w:r>
            <w:r w:rsidR="00DB2075">
              <w:rPr>
                <w:noProof/>
                <w:webHidden/>
              </w:rPr>
              <w:fldChar w:fldCharType="begin"/>
            </w:r>
            <w:r w:rsidR="00DB2075">
              <w:rPr>
                <w:noProof/>
                <w:webHidden/>
              </w:rPr>
              <w:instrText xml:space="preserve"> PAGEREF _Toc474325853 \h </w:instrText>
            </w:r>
            <w:r w:rsidR="00DB2075">
              <w:rPr>
                <w:noProof/>
                <w:webHidden/>
              </w:rPr>
            </w:r>
            <w:r w:rsidR="00DB2075">
              <w:rPr>
                <w:noProof/>
                <w:webHidden/>
              </w:rPr>
              <w:fldChar w:fldCharType="separate"/>
            </w:r>
            <w:r w:rsidR="00505B23">
              <w:rPr>
                <w:noProof/>
                <w:webHidden/>
              </w:rPr>
              <w:t>11</w:t>
            </w:r>
            <w:r w:rsidR="00DB2075">
              <w:rPr>
                <w:noProof/>
                <w:webHidden/>
              </w:rPr>
              <w:fldChar w:fldCharType="end"/>
            </w:r>
          </w:hyperlink>
        </w:p>
        <w:p w14:paraId="5405CD67" w14:textId="77777777" w:rsidR="00DB2075" w:rsidRDefault="00934D23">
          <w:pPr>
            <w:pStyle w:val="TDC3"/>
            <w:tabs>
              <w:tab w:val="right" w:leader="dot" w:pos="8828"/>
            </w:tabs>
            <w:rPr>
              <w:rFonts w:eastAsiaTheme="minorEastAsia"/>
              <w:noProof/>
              <w:lang w:eastAsia="es-MX"/>
            </w:rPr>
          </w:pPr>
          <w:hyperlink w:anchor="_Toc474325854" w:history="1">
            <w:r w:rsidR="00DB2075" w:rsidRPr="004852BA">
              <w:rPr>
                <w:rStyle w:val="Hipervnculo"/>
                <w:noProof/>
              </w:rPr>
              <w:t>Región 2</w:t>
            </w:r>
            <w:r w:rsidR="00DB2075">
              <w:rPr>
                <w:noProof/>
                <w:webHidden/>
              </w:rPr>
              <w:tab/>
            </w:r>
            <w:r w:rsidR="00DB2075">
              <w:rPr>
                <w:noProof/>
                <w:webHidden/>
              </w:rPr>
              <w:fldChar w:fldCharType="begin"/>
            </w:r>
            <w:r w:rsidR="00DB2075">
              <w:rPr>
                <w:noProof/>
                <w:webHidden/>
              </w:rPr>
              <w:instrText xml:space="preserve"> PAGEREF _Toc474325854 \h </w:instrText>
            </w:r>
            <w:r w:rsidR="00DB2075">
              <w:rPr>
                <w:noProof/>
                <w:webHidden/>
              </w:rPr>
            </w:r>
            <w:r w:rsidR="00DB2075">
              <w:rPr>
                <w:noProof/>
                <w:webHidden/>
              </w:rPr>
              <w:fldChar w:fldCharType="separate"/>
            </w:r>
            <w:r w:rsidR="00505B23">
              <w:rPr>
                <w:noProof/>
                <w:webHidden/>
              </w:rPr>
              <w:t>11</w:t>
            </w:r>
            <w:r w:rsidR="00DB2075">
              <w:rPr>
                <w:noProof/>
                <w:webHidden/>
              </w:rPr>
              <w:fldChar w:fldCharType="end"/>
            </w:r>
          </w:hyperlink>
        </w:p>
        <w:p w14:paraId="7DA5B84A" w14:textId="77777777" w:rsidR="00DB2075" w:rsidRDefault="00934D23">
          <w:pPr>
            <w:pStyle w:val="TDC3"/>
            <w:tabs>
              <w:tab w:val="right" w:leader="dot" w:pos="8828"/>
            </w:tabs>
            <w:rPr>
              <w:rFonts w:eastAsiaTheme="minorEastAsia"/>
              <w:noProof/>
              <w:lang w:eastAsia="es-MX"/>
            </w:rPr>
          </w:pPr>
          <w:hyperlink w:anchor="_Toc474325855" w:history="1">
            <w:r w:rsidR="00DB2075" w:rsidRPr="004852BA">
              <w:rPr>
                <w:rStyle w:val="Hipervnculo"/>
                <w:noProof/>
              </w:rPr>
              <w:t>Región 3</w:t>
            </w:r>
            <w:r w:rsidR="00DB2075">
              <w:rPr>
                <w:noProof/>
                <w:webHidden/>
              </w:rPr>
              <w:tab/>
            </w:r>
            <w:r w:rsidR="00DB2075">
              <w:rPr>
                <w:noProof/>
                <w:webHidden/>
              </w:rPr>
              <w:fldChar w:fldCharType="begin"/>
            </w:r>
            <w:r w:rsidR="00DB2075">
              <w:rPr>
                <w:noProof/>
                <w:webHidden/>
              </w:rPr>
              <w:instrText xml:space="preserve"> PAGEREF _Toc474325855 \h </w:instrText>
            </w:r>
            <w:r w:rsidR="00DB2075">
              <w:rPr>
                <w:noProof/>
                <w:webHidden/>
              </w:rPr>
            </w:r>
            <w:r w:rsidR="00DB2075">
              <w:rPr>
                <w:noProof/>
                <w:webHidden/>
              </w:rPr>
              <w:fldChar w:fldCharType="separate"/>
            </w:r>
            <w:r w:rsidR="00505B23">
              <w:rPr>
                <w:noProof/>
                <w:webHidden/>
              </w:rPr>
              <w:t>12</w:t>
            </w:r>
            <w:r w:rsidR="00DB2075">
              <w:rPr>
                <w:noProof/>
                <w:webHidden/>
              </w:rPr>
              <w:fldChar w:fldCharType="end"/>
            </w:r>
          </w:hyperlink>
        </w:p>
        <w:p w14:paraId="599BE0D9" w14:textId="77777777" w:rsidR="00DB2075" w:rsidRDefault="00934D23">
          <w:pPr>
            <w:pStyle w:val="TDC1"/>
            <w:tabs>
              <w:tab w:val="left" w:pos="440"/>
              <w:tab w:val="right" w:leader="dot" w:pos="8828"/>
            </w:tabs>
            <w:rPr>
              <w:rFonts w:eastAsiaTheme="minorEastAsia"/>
              <w:noProof/>
              <w:lang w:eastAsia="es-MX"/>
            </w:rPr>
          </w:pPr>
          <w:hyperlink w:anchor="_Toc474325856" w:history="1">
            <w:r w:rsidR="00DB2075" w:rsidRPr="004852BA">
              <w:rPr>
                <w:rStyle w:val="Hipervnculo"/>
                <w:noProof/>
              </w:rPr>
              <w:t>5.</w:t>
            </w:r>
            <w:r w:rsidR="00DB2075">
              <w:rPr>
                <w:rFonts w:eastAsiaTheme="minorEastAsia"/>
                <w:noProof/>
                <w:lang w:eastAsia="es-MX"/>
              </w:rPr>
              <w:tab/>
            </w:r>
            <w:r w:rsidR="00DB2075" w:rsidRPr="004852BA">
              <w:rPr>
                <w:rStyle w:val="Hipervnculo"/>
                <w:noProof/>
              </w:rPr>
              <w:t>Resultados del proceso de opinión pública</w:t>
            </w:r>
            <w:r w:rsidR="00DB2075">
              <w:rPr>
                <w:noProof/>
                <w:webHidden/>
              </w:rPr>
              <w:tab/>
            </w:r>
            <w:r w:rsidR="00DB2075">
              <w:rPr>
                <w:noProof/>
                <w:webHidden/>
              </w:rPr>
              <w:fldChar w:fldCharType="begin"/>
            </w:r>
            <w:r w:rsidR="00DB2075">
              <w:rPr>
                <w:noProof/>
                <w:webHidden/>
              </w:rPr>
              <w:instrText xml:space="preserve"> PAGEREF _Toc474325856 \h </w:instrText>
            </w:r>
            <w:r w:rsidR="00DB2075">
              <w:rPr>
                <w:noProof/>
                <w:webHidden/>
              </w:rPr>
            </w:r>
            <w:r w:rsidR="00DB2075">
              <w:rPr>
                <w:noProof/>
                <w:webHidden/>
              </w:rPr>
              <w:fldChar w:fldCharType="separate"/>
            </w:r>
            <w:r w:rsidR="00505B23">
              <w:rPr>
                <w:noProof/>
                <w:webHidden/>
              </w:rPr>
              <w:t>13</w:t>
            </w:r>
            <w:r w:rsidR="00DB2075">
              <w:rPr>
                <w:noProof/>
                <w:webHidden/>
              </w:rPr>
              <w:fldChar w:fldCharType="end"/>
            </w:r>
          </w:hyperlink>
        </w:p>
        <w:p w14:paraId="4C0DC94F" w14:textId="77777777" w:rsidR="00DB2075" w:rsidRDefault="00934D23">
          <w:pPr>
            <w:pStyle w:val="TDC1"/>
            <w:tabs>
              <w:tab w:val="left" w:pos="440"/>
              <w:tab w:val="right" w:leader="dot" w:pos="8828"/>
            </w:tabs>
            <w:rPr>
              <w:rFonts w:eastAsiaTheme="minorEastAsia"/>
              <w:noProof/>
              <w:lang w:eastAsia="es-MX"/>
            </w:rPr>
          </w:pPr>
          <w:hyperlink w:anchor="_Toc474325857" w:history="1">
            <w:r w:rsidR="00DB2075" w:rsidRPr="004852BA">
              <w:rPr>
                <w:rStyle w:val="Hipervnculo"/>
                <w:noProof/>
              </w:rPr>
              <w:t>6.</w:t>
            </w:r>
            <w:r w:rsidR="00DB2075">
              <w:rPr>
                <w:rFonts w:eastAsiaTheme="minorEastAsia"/>
                <w:noProof/>
                <w:lang w:eastAsia="es-MX"/>
              </w:rPr>
              <w:tab/>
            </w:r>
            <w:r w:rsidR="00DB2075" w:rsidRPr="004852BA">
              <w:rPr>
                <w:rStyle w:val="Hipervnculo"/>
                <w:noProof/>
              </w:rPr>
              <w:t>Conclusión</w:t>
            </w:r>
            <w:r w:rsidR="00DB2075">
              <w:rPr>
                <w:noProof/>
                <w:webHidden/>
              </w:rPr>
              <w:tab/>
            </w:r>
            <w:r w:rsidR="00DB2075">
              <w:rPr>
                <w:noProof/>
                <w:webHidden/>
              </w:rPr>
              <w:fldChar w:fldCharType="begin"/>
            </w:r>
            <w:r w:rsidR="00DB2075">
              <w:rPr>
                <w:noProof/>
                <w:webHidden/>
              </w:rPr>
              <w:instrText xml:space="preserve"> PAGEREF _Toc474325857 \h </w:instrText>
            </w:r>
            <w:r w:rsidR="00DB2075">
              <w:rPr>
                <w:noProof/>
                <w:webHidden/>
              </w:rPr>
            </w:r>
            <w:r w:rsidR="00DB2075">
              <w:rPr>
                <w:noProof/>
                <w:webHidden/>
              </w:rPr>
              <w:fldChar w:fldCharType="separate"/>
            </w:r>
            <w:r w:rsidR="00505B23">
              <w:rPr>
                <w:noProof/>
                <w:webHidden/>
              </w:rPr>
              <w:t>13</w:t>
            </w:r>
            <w:r w:rsidR="00DB2075">
              <w:rPr>
                <w:noProof/>
                <w:webHidden/>
              </w:rPr>
              <w:fldChar w:fldCharType="end"/>
            </w:r>
          </w:hyperlink>
        </w:p>
        <w:p w14:paraId="47F0CBCB" w14:textId="77777777" w:rsidR="00DB2075" w:rsidRDefault="00934D23">
          <w:pPr>
            <w:pStyle w:val="TDC2"/>
            <w:tabs>
              <w:tab w:val="right" w:leader="dot" w:pos="8828"/>
            </w:tabs>
            <w:rPr>
              <w:rFonts w:eastAsiaTheme="minorEastAsia"/>
              <w:noProof/>
              <w:lang w:eastAsia="es-MX"/>
            </w:rPr>
          </w:pPr>
          <w:hyperlink w:anchor="_Toc474325858" w:history="1">
            <w:r w:rsidR="00DB2075" w:rsidRPr="004852BA">
              <w:rPr>
                <w:rStyle w:val="Hipervnculo"/>
                <w:noProof/>
              </w:rPr>
              <w:t>Condiciones de operación permitidas en la banda de frecuencias 57-64 GHz</w:t>
            </w:r>
            <w:r w:rsidR="00DB2075">
              <w:rPr>
                <w:noProof/>
                <w:webHidden/>
              </w:rPr>
              <w:tab/>
            </w:r>
            <w:r w:rsidR="00DB2075">
              <w:rPr>
                <w:noProof/>
                <w:webHidden/>
              </w:rPr>
              <w:fldChar w:fldCharType="begin"/>
            </w:r>
            <w:r w:rsidR="00DB2075">
              <w:rPr>
                <w:noProof/>
                <w:webHidden/>
              </w:rPr>
              <w:instrText xml:space="preserve"> PAGEREF _Toc474325858 \h </w:instrText>
            </w:r>
            <w:r w:rsidR="00DB2075">
              <w:rPr>
                <w:noProof/>
                <w:webHidden/>
              </w:rPr>
            </w:r>
            <w:r w:rsidR="00DB2075">
              <w:rPr>
                <w:noProof/>
                <w:webHidden/>
              </w:rPr>
              <w:fldChar w:fldCharType="separate"/>
            </w:r>
            <w:r w:rsidR="00505B23">
              <w:rPr>
                <w:noProof/>
                <w:webHidden/>
              </w:rPr>
              <w:t>14</w:t>
            </w:r>
            <w:r w:rsidR="00DB2075">
              <w:rPr>
                <w:noProof/>
                <w:webHidden/>
              </w:rPr>
              <w:fldChar w:fldCharType="end"/>
            </w:r>
          </w:hyperlink>
        </w:p>
        <w:p w14:paraId="7BC6FA64" w14:textId="77777777" w:rsidR="00DB2075" w:rsidRDefault="00934D23">
          <w:pPr>
            <w:pStyle w:val="TDC2"/>
            <w:tabs>
              <w:tab w:val="right" w:leader="dot" w:pos="8828"/>
            </w:tabs>
            <w:rPr>
              <w:rFonts w:eastAsiaTheme="minorEastAsia"/>
              <w:noProof/>
              <w:lang w:eastAsia="es-MX"/>
            </w:rPr>
          </w:pPr>
          <w:hyperlink w:anchor="_Toc474325859" w:history="1">
            <w:r w:rsidR="00DB2075" w:rsidRPr="004852BA">
              <w:rPr>
                <w:rStyle w:val="Hipervnculo"/>
                <w:noProof/>
              </w:rPr>
              <w:t>Condiciones para las operaciones permitidas en la banda de frecuencias 57-64 GHz</w:t>
            </w:r>
            <w:r w:rsidR="00DB2075">
              <w:rPr>
                <w:noProof/>
                <w:webHidden/>
              </w:rPr>
              <w:tab/>
            </w:r>
            <w:r w:rsidR="00DB2075">
              <w:rPr>
                <w:noProof/>
                <w:webHidden/>
              </w:rPr>
              <w:fldChar w:fldCharType="begin"/>
            </w:r>
            <w:r w:rsidR="00DB2075">
              <w:rPr>
                <w:noProof/>
                <w:webHidden/>
              </w:rPr>
              <w:instrText xml:space="preserve"> PAGEREF _Toc474325859 \h </w:instrText>
            </w:r>
            <w:r w:rsidR="00DB2075">
              <w:rPr>
                <w:noProof/>
                <w:webHidden/>
              </w:rPr>
            </w:r>
            <w:r w:rsidR="00DB2075">
              <w:rPr>
                <w:noProof/>
                <w:webHidden/>
              </w:rPr>
              <w:fldChar w:fldCharType="separate"/>
            </w:r>
            <w:r w:rsidR="00505B23">
              <w:rPr>
                <w:noProof/>
                <w:webHidden/>
              </w:rPr>
              <w:t>14</w:t>
            </w:r>
            <w:r w:rsidR="00DB2075">
              <w:rPr>
                <w:noProof/>
                <w:webHidden/>
              </w:rPr>
              <w:fldChar w:fldCharType="end"/>
            </w:r>
          </w:hyperlink>
        </w:p>
        <w:p w14:paraId="1B80D1C1" w14:textId="77777777" w:rsidR="00DB2075" w:rsidRDefault="00934D23">
          <w:pPr>
            <w:pStyle w:val="TDC2"/>
            <w:tabs>
              <w:tab w:val="right" w:leader="dot" w:pos="8828"/>
            </w:tabs>
            <w:rPr>
              <w:rFonts w:eastAsiaTheme="minorEastAsia"/>
              <w:noProof/>
              <w:lang w:eastAsia="es-MX"/>
            </w:rPr>
          </w:pPr>
          <w:hyperlink w:anchor="_Toc474325860" w:history="1">
            <w:r w:rsidR="00DB2075" w:rsidRPr="004852BA">
              <w:rPr>
                <w:rStyle w:val="Hipervnculo"/>
                <w:noProof/>
              </w:rPr>
              <w:t>Operaciones no permitidas</w:t>
            </w:r>
            <w:r w:rsidR="00DB2075">
              <w:rPr>
                <w:noProof/>
                <w:webHidden/>
              </w:rPr>
              <w:tab/>
            </w:r>
            <w:r w:rsidR="00DB2075">
              <w:rPr>
                <w:noProof/>
                <w:webHidden/>
              </w:rPr>
              <w:fldChar w:fldCharType="begin"/>
            </w:r>
            <w:r w:rsidR="00DB2075">
              <w:rPr>
                <w:noProof/>
                <w:webHidden/>
              </w:rPr>
              <w:instrText xml:space="preserve"> PAGEREF _Toc474325860 \h </w:instrText>
            </w:r>
            <w:r w:rsidR="00DB2075">
              <w:rPr>
                <w:noProof/>
                <w:webHidden/>
              </w:rPr>
            </w:r>
            <w:r w:rsidR="00DB2075">
              <w:rPr>
                <w:noProof/>
                <w:webHidden/>
              </w:rPr>
              <w:fldChar w:fldCharType="separate"/>
            </w:r>
            <w:r w:rsidR="00505B23">
              <w:rPr>
                <w:noProof/>
                <w:webHidden/>
              </w:rPr>
              <w:t>15</w:t>
            </w:r>
            <w:r w:rsidR="00DB2075">
              <w:rPr>
                <w:noProof/>
                <w:webHidden/>
              </w:rPr>
              <w:fldChar w:fldCharType="end"/>
            </w:r>
          </w:hyperlink>
        </w:p>
        <w:p w14:paraId="37FBA3AB" w14:textId="77777777" w:rsidR="00DB2075" w:rsidRDefault="00934D23">
          <w:pPr>
            <w:pStyle w:val="TDC1"/>
            <w:tabs>
              <w:tab w:val="left" w:pos="440"/>
              <w:tab w:val="right" w:leader="dot" w:pos="8828"/>
            </w:tabs>
            <w:rPr>
              <w:rFonts w:eastAsiaTheme="minorEastAsia"/>
              <w:noProof/>
              <w:lang w:eastAsia="es-MX"/>
            </w:rPr>
          </w:pPr>
          <w:hyperlink w:anchor="_Toc474325861" w:history="1">
            <w:r w:rsidR="00DB2075" w:rsidRPr="004852BA">
              <w:rPr>
                <w:rStyle w:val="Hipervnculo"/>
                <w:noProof/>
              </w:rPr>
              <w:t>7.</w:t>
            </w:r>
            <w:r w:rsidR="00DB2075">
              <w:rPr>
                <w:rFonts w:eastAsiaTheme="minorEastAsia"/>
                <w:noProof/>
                <w:lang w:eastAsia="es-MX"/>
              </w:rPr>
              <w:tab/>
            </w:r>
            <w:r w:rsidR="00DB2075" w:rsidRPr="004852BA">
              <w:rPr>
                <w:rStyle w:val="Hipervnculo"/>
                <w:noProof/>
              </w:rPr>
              <w:t>Referencias</w:t>
            </w:r>
            <w:r w:rsidR="00DB2075">
              <w:rPr>
                <w:noProof/>
                <w:webHidden/>
              </w:rPr>
              <w:tab/>
            </w:r>
            <w:r w:rsidR="00DB2075">
              <w:rPr>
                <w:noProof/>
                <w:webHidden/>
              </w:rPr>
              <w:fldChar w:fldCharType="begin"/>
            </w:r>
            <w:r w:rsidR="00DB2075">
              <w:rPr>
                <w:noProof/>
                <w:webHidden/>
              </w:rPr>
              <w:instrText xml:space="preserve"> PAGEREF _Toc474325861 \h </w:instrText>
            </w:r>
            <w:r w:rsidR="00DB2075">
              <w:rPr>
                <w:noProof/>
                <w:webHidden/>
              </w:rPr>
            </w:r>
            <w:r w:rsidR="00DB2075">
              <w:rPr>
                <w:noProof/>
                <w:webHidden/>
              </w:rPr>
              <w:fldChar w:fldCharType="separate"/>
            </w:r>
            <w:r w:rsidR="00505B23">
              <w:rPr>
                <w:noProof/>
                <w:webHidden/>
              </w:rPr>
              <w:t>16</w:t>
            </w:r>
            <w:r w:rsidR="00DB2075">
              <w:rPr>
                <w:noProof/>
                <w:webHidden/>
              </w:rPr>
              <w:fldChar w:fldCharType="end"/>
            </w:r>
          </w:hyperlink>
        </w:p>
        <w:p w14:paraId="06C959A8" w14:textId="7FEDB1F3" w:rsidR="00F730F7" w:rsidRPr="007352E9" w:rsidRDefault="00E82214" w:rsidP="003346A6">
          <w:pPr>
            <w:pStyle w:val="TDC1"/>
            <w:tabs>
              <w:tab w:val="left" w:pos="440"/>
              <w:tab w:val="right" w:leader="dot" w:pos="8828"/>
            </w:tabs>
            <w:rPr>
              <w:lang w:val="es-ES"/>
            </w:rPr>
          </w:pPr>
          <w:r w:rsidRPr="007352E9">
            <w:rPr>
              <w:rFonts w:cs="Arial"/>
              <w:b/>
              <w:bCs/>
              <w:lang w:val="es-ES"/>
            </w:rPr>
            <w:fldChar w:fldCharType="end"/>
          </w:r>
        </w:p>
      </w:sdtContent>
    </w:sdt>
    <w:p w14:paraId="71890790" w14:textId="30F4200A" w:rsidR="00CB4B32" w:rsidRPr="007352E9" w:rsidRDefault="00CB4B32">
      <w:pPr>
        <w:rPr>
          <w:b/>
          <w:color w:val="70AD47" w:themeColor="accent6"/>
        </w:rPr>
      </w:pPr>
      <w:r w:rsidRPr="007352E9">
        <w:br w:type="page"/>
      </w:r>
    </w:p>
    <w:p w14:paraId="758124DF" w14:textId="77777777" w:rsidR="00AA0D7C" w:rsidRPr="007352E9" w:rsidRDefault="003D751C" w:rsidP="0093209B">
      <w:pPr>
        <w:pStyle w:val="Ttulo1"/>
        <w:numPr>
          <w:ilvl w:val="0"/>
          <w:numId w:val="1"/>
        </w:numPr>
        <w:ind w:left="284"/>
        <w:rPr>
          <w:sz w:val="22"/>
        </w:rPr>
      </w:pPr>
      <w:bookmarkStart w:id="1" w:name="_Toc474325836"/>
      <w:r w:rsidRPr="007352E9">
        <w:rPr>
          <w:sz w:val="22"/>
        </w:rPr>
        <w:lastRenderedPageBreak/>
        <w:t>Introducción</w:t>
      </w:r>
      <w:bookmarkEnd w:id="1"/>
    </w:p>
    <w:p w14:paraId="47C280DC" w14:textId="357A7862" w:rsidR="00D029D1" w:rsidRPr="007352E9" w:rsidRDefault="006715C6" w:rsidP="00D029D1">
      <w:pPr>
        <w:jc w:val="both"/>
      </w:pPr>
      <w:r w:rsidRPr="007352E9">
        <w:t>E</w:t>
      </w:r>
      <w:r w:rsidR="00D029D1" w:rsidRPr="007352E9">
        <w:t>l espectro radioeléctrico es un recurso finito, extremadamente escaso y de un valor estratégico sin precedentes en el contexto económico y tecnológico actual. Por tal motivo, la gestión, administración y planificación del espectro se revela como una labor fundamental y con una enorme incidencia en los aspectos social y económico de</w:t>
      </w:r>
      <w:r w:rsidR="00C13569" w:rsidRPr="007352E9">
        <w:t xml:space="preserve"> cada</w:t>
      </w:r>
      <w:r w:rsidR="00D029D1" w:rsidRPr="007352E9">
        <w:t xml:space="preserve"> país.</w:t>
      </w:r>
    </w:p>
    <w:p w14:paraId="11DC5555" w14:textId="28914CC2" w:rsidR="00C13569" w:rsidRPr="007352E9" w:rsidRDefault="00C13569" w:rsidP="00C13569">
      <w:pPr>
        <w:jc w:val="both"/>
      </w:pPr>
      <w:r w:rsidRPr="007352E9">
        <w:t>En el contexto mundial, la Unión Internacional de Telecomunicaciones (UIT) es el organismo especializado de las Naciones Unidas para las Tecnologías de la Información y la Comunicación (TIC); específicamente, el sector de Radiocomunicaciones (UIT-R) es el encargado de atribuir el espectro radioeléctrico y las órbitas satelitales a escala mundial</w:t>
      </w:r>
      <w:r w:rsidR="00B144AD" w:rsidRPr="007352E9">
        <w:t>,</w:t>
      </w:r>
      <w:r w:rsidRPr="007352E9">
        <w:t xml:space="preserve"> así como de elaborar normas técnicas o recomendaciones que garanticen la interconexión continua de las redes y las tecnologías.</w:t>
      </w:r>
    </w:p>
    <w:p w14:paraId="0BD663F9" w14:textId="16A6543B" w:rsidR="003D751C" w:rsidRPr="007352E9" w:rsidRDefault="00686F74" w:rsidP="00686F74">
      <w:pPr>
        <w:jc w:val="both"/>
      </w:pPr>
      <w:r w:rsidRPr="007352E9">
        <w:t>Particularmente</w:t>
      </w:r>
      <w:r w:rsidR="003D751C" w:rsidRPr="007352E9">
        <w:t xml:space="preserve"> el desarrollo de sistemas y la planificación para servicios fijos</w:t>
      </w:r>
      <w:r w:rsidR="007E234B" w:rsidRPr="007352E9">
        <w:t xml:space="preserve"> y móviles</w:t>
      </w:r>
      <w:r w:rsidR="003D751C" w:rsidRPr="007352E9">
        <w:t xml:space="preserve"> han </w:t>
      </w:r>
      <w:r w:rsidR="00652072" w:rsidRPr="007352E9">
        <w:t xml:space="preserve">evolucionado </w:t>
      </w:r>
      <w:r w:rsidR="004030D2" w:rsidRPr="007352E9">
        <w:t xml:space="preserve">vertiginosamente </w:t>
      </w:r>
      <w:r w:rsidR="003D751C" w:rsidRPr="007352E9">
        <w:t xml:space="preserve">durante los últimos años. Esta </w:t>
      </w:r>
      <w:r w:rsidR="00652072" w:rsidRPr="007352E9">
        <w:t xml:space="preserve">evolución </w:t>
      </w:r>
      <w:r w:rsidR="003D751C" w:rsidRPr="007352E9">
        <w:t xml:space="preserve">se debe, en gran parte, a la tendencia hacia una mayor demanda y competencia en la prestación de servicios de telecomunicaciones. Lo anterior, impacta directamente en </w:t>
      </w:r>
      <w:r w:rsidR="00C13569" w:rsidRPr="007352E9">
        <w:t>la necesidad de contar con segmentos</w:t>
      </w:r>
      <w:r w:rsidR="003D751C" w:rsidRPr="007352E9">
        <w:t xml:space="preserve"> del espectro radioeléctrico para la operación de las diversas aplicaciones de</w:t>
      </w:r>
      <w:r w:rsidR="007E234B" w:rsidRPr="007352E9">
        <w:t xml:space="preserve"> </w:t>
      </w:r>
      <w:r w:rsidR="005139FB" w:rsidRPr="007352E9">
        <w:t xml:space="preserve">estos </w:t>
      </w:r>
      <w:r w:rsidR="003D751C" w:rsidRPr="007352E9">
        <w:t>servicio</w:t>
      </w:r>
      <w:r w:rsidR="007E234B" w:rsidRPr="007352E9">
        <w:t>s</w:t>
      </w:r>
      <w:r w:rsidR="003D751C" w:rsidRPr="007352E9">
        <w:t>.</w:t>
      </w:r>
    </w:p>
    <w:p w14:paraId="605DC276" w14:textId="7DE4227A" w:rsidR="002D28BD" w:rsidRPr="007352E9" w:rsidRDefault="004030D2" w:rsidP="007C7005">
      <w:pPr>
        <w:jc w:val="both"/>
      </w:pPr>
      <w:r w:rsidRPr="007352E9">
        <w:t>Actualmente</w:t>
      </w:r>
      <w:r w:rsidR="007C7005" w:rsidRPr="007352E9">
        <w:t xml:space="preserve">, las redes de banda ancha utilizan principalmente </w:t>
      </w:r>
      <w:r w:rsidR="00C13569" w:rsidRPr="007352E9">
        <w:t xml:space="preserve">bandas o segmentos </w:t>
      </w:r>
      <w:r w:rsidR="005139FB" w:rsidRPr="007352E9">
        <w:t>d</w:t>
      </w:r>
      <w:r w:rsidR="007C7005" w:rsidRPr="007352E9">
        <w:t xml:space="preserve">el espectro por debajo de 3 GHz, debido a las características </w:t>
      </w:r>
      <w:r w:rsidR="00C13569" w:rsidRPr="007352E9">
        <w:t xml:space="preserve">propias </w:t>
      </w:r>
      <w:r w:rsidR="007C7005" w:rsidRPr="007352E9">
        <w:t>de propagación y a las economías de escala existentes</w:t>
      </w:r>
      <w:r w:rsidR="00C13569" w:rsidRPr="007352E9">
        <w:t xml:space="preserve"> para estos segmentos</w:t>
      </w:r>
      <w:r w:rsidR="007C7005" w:rsidRPr="007352E9">
        <w:t xml:space="preserve">; sin embargo, con el avance de la tecnología se han comenzado a utilizar bandas </w:t>
      </w:r>
      <w:r w:rsidR="00174603" w:rsidRPr="007352E9">
        <w:t>de frecuencias</w:t>
      </w:r>
      <w:r w:rsidR="002D28BD" w:rsidRPr="007352E9">
        <w:t xml:space="preserve"> superiores a los 3 GHz para </w:t>
      </w:r>
      <w:r w:rsidR="005139FB" w:rsidRPr="007352E9">
        <w:t xml:space="preserve">diversos </w:t>
      </w:r>
      <w:r w:rsidR="002D28BD" w:rsidRPr="007352E9">
        <w:t>sistemas inalámbricos, con mayor interés en segmentos</w:t>
      </w:r>
      <w:r w:rsidR="00174603" w:rsidRPr="007352E9">
        <w:t xml:space="preserve"> entre 24</w:t>
      </w:r>
      <w:r w:rsidR="007C7005" w:rsidRPr="007352E9">
        <w:t xml:space="preserve"> y 300 GHz.</w:t>
      </w:r>
    </w:p>
    <w:p w14:paraId="506AEEDE" w14:textId="4D43F8B9" w:rsidR="007C7005" w:rsidRPr="007352E9" w:rsidRDefault="002D28BD" w:rsidP="007C7005">
      <w:pPr>
        <w:jc w:val="both"/>
      </w:pPr>
      <w:r w:rsidRPr="007352E9">
        <w:t>En este sentido</w:t>
      </w:r>
      <w:r w:rsidR="001B0262" w:rsidRPr="007352E9">
        <w:t xml:space="preserve">, </w:t>
      </w:r>
      <w:r w:rsidR="00444687" w:rsidRPr="007352E9">
        <w:t xml:space="preserve">debido a </w:t>
      </w:r>
      <w:r w:rsidR="00A04D70" w:rsidRPr="007352E9">
        <w:t xml:space="preserve">las características de propagación </w:t>
      </w:r>
      <w:r w:rsidR="00444687" w:rsidRPr="007352E9">
        <w:t xml:space="preserve">reducida </w:t>
      </w:r>
      <w:r w:rsidR="00A04D70" w:rsidRPr="007352E9">
        <w:t xml:space="preserve">y </w:t>
      </w:r>
      <w:r w:rsidR="00444687" w:rsidRPr="007352E9">
        <w:t xml:space="preserve">de fácil </w:t>
      </w:r>
      <w:r w:rsidR="00A04D70" w:rsidRPr="007352E9">
        <w:t>absorción atmosférica en las bandas de frecuencias por encima de los 24 GHz</w:t>
      </w:r>
      <w:r w:rsidR="00444687" w:rsidRPr="007352E9">
        <w:t>, estas</w:t>
      </w:r>
      <w:r w:rsidR="00A04D70" w:rsidRPr="007352E9">
        <w:t xml:space="preserve"> se utilizan </w:t>
      </w:r>
      <w:r w:rsidR="00444687" w:rsidRPr="007352E9">
        <w:t xml:space="preserve">generalmente </w:t>
      </w:r>
      <w:r w:rsidR="00A04D70" w:rsidRPr="007352E9">
        <w:t>para el establecimiento de enlaces de alta capacidad</w:t>
      </w:r>
      <w:r w:rsidR="00444687" w:rsidRPr="007352E9">
        <w:t xml:space="preserve"> a distancias cortas y para dispositivos de corto alcance</w:t>
      </w:r>
      <w:r w:rsidR="00A04D70" w:rsidRPr="007352E9">
        <w:t>, los cuales son indispensables para satisfacer la demanda de comunicaciones y la transferencia de información en la actualidad</w:t>
      </w:r>
      <w:r w:rsidR="001B0262" w:rsidRPr="007352E9">
        <w:t>.</w:t>
      </w:r>
    </w:p>
    <w:p w14:paraId="58B303ED" w14:textId="7079F1ED" w:rsidR="00A04D70" w:rsidRPr="007352E9" w:rsidRDefault="00A04D70" w:rsidP="007C7005">
      <w:pPr>
        <w:jc w:val="both"/>
      </w:pPr>
      <w:r w:rsidRPr="007352E9">
        <w:t>Asimismo, este tipo de bandas de frecuencias pueden ser utilizadas para redes de área local, sistemas que requieran de una alta tasa de transmisión, así como en sistemas en los que existan varios transmisores operando en proximidad</w:t>
      </w:r>
      <w:r w:rsidR="002D28BD" w:rsidRPr="007352E9">
        <w:t>. La operación de estas redes con estas configuraciones permite un alto grado de reúso de espectro, lo que fomenta el uso eficiente del mismo</w:t>
      </w:r>
      <w:r w:rsidRPr="007352E9">
        <w:t>.</w:t>
      </w:r>
    </w:p>
    <w:p w14:paraId="07B0A828" w14:textId="180B37F1" w:rsidR="00EB0665" w:rsidRPr="007352E9" w:rsidRDefault="00561C42" w:rsidP="00CB4B32">
      <w:pPr>
        <w:jc w:val="both"/>
      </w:pPr>
      <w:r w:rsidRPr="007352E9">
        <w:t>Es importante mencionar que e</w:t>
      </w:r>
      <w:r w:rsidR="00EB0665" w:rsidRPr="007352E9">
        <w:t xml:space="preserve">n años recientes </w:t>
      </w:r>
      <w:r w:rsidRPr="007352E9">
        <w:t>existe un</w:t>
      </w:r>
      <w:r w:rsidR="00EB0665" w:rsidRPr="007352E9">
        <w:t xml:space="preserve"> aumento significativo en el uso de dispositivos inteligentes</w:t>
      </w:r>
      <w:r w:rsidRPr="007352E9">
        <w:t>, portátiles o personales</w:t>
      </w:r>
      <w:r w:rsidR="00EB0665" w:rsidRPr="007352E9">
        <w:t xml:space="preserve"> </w:t>
      </w:r>
      <w:r w:rsidR="00B851DB" w:rsidRPr="007352E9">
        <w:t xml:space="preserve">conectados </w:t>
      </w:r>
      <w:r w:rsidRPr="007352E9">
        <w:t xml:space="preserve">principalmente </w:t>
      </w:r>
      <w:r w:rsidR="00B851DB" w:rsidRPr="007352E9">
        <w:t>a redes</w:t>
      </w:r>
      <w:r w:rsidR="00C75F29" w:rsidRPr="007352E9">
        <w:t xml:space="preserve"> inalámbricas</w:t>
      </w:r>
      <w:r w:rsidR="00B851DB" w:rsidRPr="007352E9">
        <w:t xml:space="preserve"> </w:t>
      </w:r>
      <w:r w:rsidR="00C75F29" w:rsidRPr="007352E9">
        <w:t>(</w:t>
      </w:r>
      <w:r w:rsidR="00B851DB" w:rsidRPr="007352E9">
        <w:t>WiFi</w:t>
      </w:r>
      <w:r w:rsidR="00193EAD" w:rsidRPr="007352E9">
        <w:t xml:space="preserve"> y/o Bluetooth</w:t>
      </w:r>
      <w:r w:rsidR="00C75F29" w:rsidRPr="007352E9">
        <w:t>)</w:t>
      </w:r>
      <w:r w:rsidR="00193EAD" w:rsidRPr="007352E9">
        <w:t xml:space="preserve">, los cuales </w:t>
      </w:r>
      <w:r w:rsidR="00826C24" w:rsidRPr="007352E9">
        <w:t>tienen la característica de opera</w:t>
      </w:r>
      <w:r w:rsidR="00193EAD" w:rsidRPr="007352E9">
        <w:t>r</w:t>
      </w:r>
      <w:r w:rsidR="00826C24" w:rsidRPr="007352E9">
        <w:t xml:space="preserve"> utilizando frecuencias del espectro radioeléctrico en las que no se tiene la necesidad de contar con un permiso, autorización, asignación o concesión para poder explotarlas. En México, este tipo de bandas de frecuencias se conocen como espectro libre.</w:t>
      </w:r>
    </w:p>
    <w:p w14:paraId="489FA659" w14:textId="0C059B42" w:rsidR="001B0262" w:rsidRPr="007352E9" w:rsidRDefault="00826C24" w:rsidP="00CB4B32">
      <w:pPr>
        <w:jc w:val="both"/>
      </w:pPr>
      <w:r w:rsidRPr="007352E9">
        <w:t>En esta tesitura</w:t>
      </w:r>
      <w:r w:rsidR="001B0262" w:rsidRPr="007352E9">
        <w:t>, la Ley Federal de Telecomunicaciones y Radiodifusión</w:t>
      </w:r>
      <w:r w:rsidR="00C75F29" w:rsidRPr="007352E9">
        <w:t xml:space="preserve"> (LFTyR)</w:t>
      </w:r>
      <w:r w:rsidR="001B0262" w:rsidRPr="007352E9">
        <w:t xml:space="preserve">, en el Artículo 55, fracción II </w:t>
      </w:r>
      <w:r w:rsidR="00193EAD" w:rsidRPr="007352E9">
        <w:t xml:space="preserve">prevé esta figura para su autorización, y </w:t>
      </w:r>
      <w:r w:rsidR="001B0262" w:rsidRPr="007352E9">
        <w:t>define el espectro libre como:</w:t>
      </w:r>
    </w:p>
    <w:p w14:paraId="70A6B0CB" w14:textId="45D95714" w:rsidR="00B4703D" w:rsidRPr="007352E9" w:rsidRDefault="001B0262" w:rsidP="00B4703D">
      <w:pPr>
        <w:ind w:left="705" w:right="1040"/>
        <w:jc w:val="both"/>
        <w:rPr>
          <w:i/>
        </w:rPr>
      </w:pPr>
      <w:r w:rsidRPr="007352E9">
        <w:rPr>
          <w:i/>
        </w:rPr>
        <w:t>“</w:t>
      </w:r>
      <w:r w:rsidRPr="007352E9">
        <w:rPr>
          <w:b/>
          <w:i/>
        </w:rPr>
        <w:t>Espectro libre</w:t>
      </w:r>
      <w:r w:rsidRPr="007352E9">
        <w:rPr>
          <w:i/>
        </w:rPr>
        <w:t>: Son aquellas bandas de frecuencias de acceso libre, que pueden ser utilizadas por el público en general, bajo los lineamientos o especificaciones que establezca el Instituto, sin necesidad de concesión o autorización”</w:t>
      </w:r>
    </w:p>
    <w:p w14:paraId="1672EB03" w14:textId="77777777" w:rsidR="003C4188" w:rsidRPr="007352E9" w:rsidRDefault="003C4188" w:rsidP="00B4703D">
      <w:pPr>
        <w:ind w:left="705" w:right="1040"/>
        <w:jc w:val="both"/>
        <w:rPr>
          <w:i/>
        </w:rPr>
      </w:pPr>
    </w:p>
    <w:p w14:paraId="056C5CCD" w14:textId="0C9FC9CA" w:rsidR="00AA0D7C" w:rsidRPr="007352E9" w:rsidRDefault="00AA0D7C" w:rsidP="0093209B">
      <w:pPr>
        <w:pStyle w:val="Ttulo1"/>
        <w:numPr>
          <w:ilvl w:val="0"/>
          <w:numId w:val="1"/>
        </w:numPr>
        <w:ind w:left="284"/>
        <w:rPr>
          <w:sz w:val="22"/>
        </w:rPr>
      </w:pPr>
      <w:bookmarkStart w:id="2" w:name="_Toc474325837"/>
      <w:r w:rsidRPr="007352E9">
        <w:rPr>
          <w:sz w:val="22"/>
        </w:rPr>
        <w:t>Alcance y Objetivos</w:t>
      </w:r>
      <w:bookmarkEnd w:id="2"/>
    </w:p>
    <w:p w14:paraId="2930D9D3" w14:textId="0BE9360D" w:rsidR="00780312" w:rsidRPr="007352E9" w:rsidRDefault="00780312" w:rsidP="00780312">
      <w:pPr>
        <w:jc w:val="both"/>
      </w:pPr>
      <w:r w:rsidRPr="007352E9">
        <w:t xml:space="preserve">Las bandas de frecuencias </w:t>
      </w:r>
      <w:r w:rsidR="00276743" w:rsidRPr="007352E9">
        <w:t>clasificadas como espectro libre</w:t>
      </w:r>
      <w:r w:rsidRPr="007352E9">
        <w:t xml:space="preserve">, son fundamentales para dar servicio a una gran variedad de aplicaciones de índole </w:t>
      </w:r>
      <w:r w:rsidR="004F2856" w:rsidRPr="007352E9">
        <w:t xml:space="preserve">social, </w:t>
      </w:r>
      <w:r w:rsidRPr="007352E9">
        <w:t>público</w:t>
      </w:r>
      <w:r w:rsidR="00193EAD" w:rsidRPr="007352E9">
        <w:t>, privado y comercial</w:t>
      </w:r>
      <w:r w:rsidR="004F2856" w:rsidRPr="007352E9">
        <w:t xml:space="preserve"> en zonas interurbanas y rurales</w:t>
      </w:r>
      <w:r w:rsidRPr="007352E9">
        <w:t xml:space="preserve">. Dichas bandas de frecuencias </w:t>
      </w:r>
      <w:r w:rsidR="00554920" w:rsidRPr="007352E9">
        <w:t>son utilizadas masivamente</w:t>
      </w:r>
      <w:r w:rsidRPr="007352E9">
        <w:t xml:space="preserve"> para el despliegue de redes inalámbricas y algunas de ellas </w:t>
      </w:r>
      <w:r w:rsidR="00554920" w:rsidRPr="007352E9">
        <w:t>pueden llegar</w:t>
      </w:r>
      <w:r w:rsidRPr="007352E9">
        <w:t xml:space="preserve"> a niveles de ocupación elevados.</w:t>
      </w:r>
    </w:p>
    <w:p w14:paraId="522133B7" w14:textId="729F0EFF" w:rsidR="00780312" w:rsidRPr="007352E9" w:rsidRDefault="00780312" w:rsidP="00780312">
      <w:pPr>
        <w:jc w:val="both"/>
      </w:pPr>
      <w:r w:rsidRPr="007352E9">
        <w:t xml:space="preserve">Por otro lado, la convergencia en las comunicaciones digitales (datos, voz, imágenes y vídeo) ha dado lugar al surgimiento vertiginoso de tendencias tecnológicas para </w:t>
      </w:r>
      <w:r w:rsidR="00A931EE" w:rsidRPr="007352E9">
        <w:t>los</w:t>
      </w:r>
      <w:r w:rsidRPr="007352E9">
        <w:t xml:space="preserve"> servicio</w:t>
      </w:r>
      <w:r w:rsidR="00A931EE" w:rsidRPr="007352E9">
        <w:t>s</w:t>
      </w:r>
      <w:r w:rsidRPr="007352E9">
        <w:t xml:space="preserve"> fijo</w:t>
      </w:r>
      <w:r w:rsidR="00A931EE" w:rsidRPr="007352E9">
        <w:t xml:space="preserve"> y móvil</w:t>
      </w:r>
      <w:r w:rsidRPr="007352E9">
        <w:t xml:space="preserve">. Actualmente, </w:t>
      </w:r>
      <w:r w:rsidR="00554920" w:rsidRPr="007352E9">
        <w:t xml:space="preserve">esta tendencia ha regido en gran medida </w:t>
      </w:r>
      <w:r w:rsidRPr="007352E9">
        <w:t>tanto en las redes de acceso</w:t>
      </w:r>
      <w:r w:rsidR="004F2856" w:rsidRPr="007352E9">
        <w:t xml:space="preserve">, </w:t>
      </w:r>
      <w:r w:rsidRPr="007352E9">
        <w:t>como en segmentos identificados como espectro libre</w:t>
      </w:r>
      <w:r w:rsidR="00193EAD" w:rsidRPr="007352E9">
        <w:t>. L</w:t>
      </w:r>
      <w:r w:rsidR="006C6D79" w:rsidRPr="007352E9">
        <w:t>o anterior</w:t>
      </w:r>
      <w:r w:rsidR="00193EAD" w:rsidRPr="007352E9">
        <w:t>,</w:t>
      </w:r>
      <w:r w:rsidR="006C6D79" w:rsidRPr="007352E9">
        <w:t xml:space="preserve"> ha dado lugar a una revolución en </w:t>
      </w:r>
      <w:r w:rsidR="00193EAD" w:rsidRPr="007352E9">
        <w:t>el desarrollo de diversas</w:t>
      </w:r>
      <w:r w:rsidR="006C6D79" w:rsidRPr="007352E9">
        <w:t xml:space="preserve"> </w:t>
      </w:r>
      <w:r w:rsidR="00212EE7" w:rsidRPr="007352E9">
        <w:t xml:space="preserve">tecnologías de comunicación </w:t>
      </w:r>
      <w:r w:rsidR="006C6D79" w:rsidRPr="007352E9">
        <w:t>y ha permitido incrementar l</w:t>
      </w:r>
      <w:r w:rsidRPr="007352E9">
        <w:t>a competencia en el mercado</w:t>
      </w:r>
      <w:r w:rsidR="007B5DFB" w:rsidRPr="007352E9">
        <w:t>,</w:t>
      </w:r>
      <w:r w:rsidRPr="007352E9">
        <w:t xml:space="preserve"> </w:t>
      </w:r>
      <w:r w:rsidR="006C6D79" w:rsidRPr="007352E9">
        <w:t xml:space="preserve">así como </w:t>
      </w:r>
      <w:r w:rsidRPr="007352E9">
        <w:t xml:space="preserve">la disminución del costo </w:t>
      </w:r>
      <w:r w:rsidR="00212EE7" w:rsidRPr="007352E9">
        <w:t>de los dispositivos correspondientes</w:t>
      </w:r>
      <w:r w:rsidRPr="007352E9">
        <w:t>.</w:t>
      </w:r>
    </w:p>
    <w:p w14:paraId="5EC9D8EF" w14:textId="3A70DD75" w:rsidR="0093209B" w:rsidRPr="007352E9" w:rsidRDefault="00780312" w:rsidP="00780312">
      <w:pPr>
        <w:jc w:val="both"/>
      </w:pPr>
      <w:r w:rsidRPr="007352E9">
        <w:t>Derivado de lo anterior, se estima necesario estudiar y analizar l</w:t>
      </w:r>
      <w:r w:rsidR="00212EE7" w:rsidRPr="007352E9">
        <w:t>a</w:t>
      </w:r>
      <w:r w:rsidR="00C73411" w:rsidRPr="007352E9">
        <w:t>s</w:t>
      </w:r>
      <w:r w:rsidRPr="007352E9">
        <w:t xml:space="preserve"> tecnol</w:t>
      </w:r>
      <w:r w:rsidR="00212EE7" w:rsidRPr="007352E9">
        <w:t>o</w:t>
      </w:r>
      <w:r w:rsidRPr="007352E9">
        <w:t>g</w:t>
      </w:r>
      <w:r w:rsidR="00212EE7" w:rsidRPr="007352E9">
        <w:t>ía</w:t>
      </w:r>
      <w:r w:rsidR="00C73411" w:rsidRPr="007352E9">
        <w:t>s</w:t>
      </w:r>
      <w:r w:rsidRPr="007352E9">
        <w:t xml:space="preserve"> que permita</w:t>
      </w:r>
      <w:r w:rsidR="00444687" w:rsidRPr="007352E9">
        <w:t>n</w:t>
      </w:r>
      <w:r w:rsidRPr="007352E9">
        <w:t xml:space="preserve"> el uso eficiente de las bandas de frecuencias </w:t>
      </w:r>
      <w:r w:rsidR="002A6574" w:rsidRPr="007352E9">
        <w:t xml:space="preserve">idóneas para el despliegue de </w:t>
      </w:r>
      <w:r w:rsidR="00212EE7" w:rsidRPr="007352E9">
        <w:t xml:space="preserve">los </w:t>
      </w:r>
      <w:r w:rsidR="002A6574" w:rsidRPr="007352E9">
        <w:t>desarrollos y aplicaciones</w:t>
      </w:r>
      <w:r w:rsidR="00212EE7" w:rsidRPr="007352E9">
        <w:t xml:space="preserve"> antes mencionados</w:t>
      </w:r>
      <w:r w:rsidR="002A6574" w:rsidRPr="007352E9">
        <w:t>. Por tanto, el presente documento consolida la información referente a los usos, tendencias y planificación de la banda de frecuencias de 57 a 64 GHz</w:t>
      </w:r>
      <w:r w:rsidR="000123BF" w:rsidRPr="007352E9">
        <w:t xml:space="preserve"> (</w:t>
      </w:r>
      <w:r w:rsidR="00B9583F" w:rsidRPr="007352E9">
        <w:t xml:space="preserve">banda de </w:t>
      </w:r>
      <w:r w:rsidR="000123BF" w:rsidRPr="007352E9">
        <w:t>60 GHz)</w:t>
      </w:r>
      <w:r w:rsidR="002A6574" w:rsidRPr="007352E9">
        <w:t xml:space="preserve">, con el objeto de evaluar la </w:t>
      </w:r>
      <w:r w:rsidR="007B5DFB" w:rsidRPr="007352E9">
        <w:t xml:space="preserve">clasificación </w:t>
      </w:r>
      <w:r w:rsidR="002A6574" w:rsidRPr="007352E9">
        <w:t xml:space="preserve">de </w:t>
      </w:r>
      <w:r w:rsidR="00212EE7" w:rsidRPr="007352E9">
        <w:t xml:space="preserve">este </w:t>
      </w:r>
      <w:r w:rsidR="002A6574" w:rsidRPr="007352E9">
        <w:t>recurso espectral como espectro l</w:t>
      </w:r>
      <w:r w:rsidR="00001E92" w:rsidRPr="007352E9">
        <w:t>ibre, para que en caso que así sea, sea posible</w:t>
      </w:r>
      <w:r w:rsidR="002A6574" w:rsidRPr="007352E9">
        <w:t xml:space="preserve"> satisfacer </w:t>
      </w:r>
      <w:r w:rsidR="00D26605" w:rsidRPr="007352E9">
        <w:t>estas</w:t>
      </w:r>
      <w:r w:rsidR="002A6574" w:rsidRPr="007352E9">
        <w:t xml:space="preserve"> </w:t>
      </w:r>
      <w:r w:rsidR="00D26605" w:rsidRPr="007352E9">
        <w:t>necesidades</w:t>
      </w:r>
      <w:r w:rsidRPr="007352E9">
        <w:t>.</w:t>
      </w:r>
    </w:p>
    <w:p w14:paraId="54BA61D6" w14:textId="13699551" w:rsidR="004F2856" w:rsidRPr="007352E9" w:rsidRDefault="006C6D79" w:rsidP="00780312">
      <w:pPr>
        <w:jc w:val="both"/>
      </w:pPr>
      <w:r w:rsidRPr="007352E9">
        <w:t>A consecuencia y derivado de las atribuciones que</w:t>
      </w:r>
      <w:r w:rsidR="007B5DFB" w:rsidRPr="007352E9">
        <w:t xml:space="preserve"> tiene</w:t>
      </w:r>
      <w:r w:rsidRPr="007352E9">
        <w:t xml:space="preserve"> el Instituto Feder</w:t>
      </w:r>
      <w:r w:rsidR="00D26605" w:rsidRPr="007352E9">
        <w:t xml:space="preserve">al de Telecomunicaciones (IFT) </w:t>
      </w:r>
      <w:r w:rsidRPr="007352E9">
        <w:t>como regulador de</w:t>
      </w:r>
      <w:r w:rsidR="00BF12BD" w:rsidRPr="007352E9">
        <w:t xml:space="preserve"> las Telecomunicaciones y la Radiodifusión en</w:t>
      </w:r>
      <w:r w:rsidRPr="007352E9">
        <w:t xml:space="preserve"> México, </w:t>
      </w:r>
      <w:r w:rsidR="00F95A9E" w:rsidRPr="007352E9">
        <w:t xml:space="preserve">se </w:t>
      </w:r>
      <w:r w:rsidRPr="007352E9">
        <w:t xml:space="preserve">pretende </w:t>
      </w:r>
      <w:r w:rsidR="00C73411" w:rsidRPr="007352E9">
        <w:t>contribuir en</w:t>
      </w:r>
      <w:r w:rsidRPr="007352E9">
        <w:t xml:space="preserve"> </w:t>
      </w:r>
      <w:r w:rsidR="00001E92" w:rsidRPr="007352E9">
        <w:t xml:space="preserve">las </w:t>
      </w:r>
      <w:r w:rsidRPr="007352E9">
        <w:t xml:space="preserve">políticas económicas y sociales que permitan la </w:t>
      </w:r>
      <w:r w:rsidR="00F95A9E" w:rsidRPr="007352E9">
        <w:t>extensión</w:t>
      </w:r>
      <w:r w:rsidRPr="007352E9">
        <w:t xml:space="preserve"> de negocios, servicios educativos, servicios de salud, acceso a servicios financieros, entre otros que permitan a nuestro país obtener un </w:t>
      </w:r>
      <w:r w:rsidR="00F95A9E" w:rsidRPr="007352E9">
        <w:t>crecimiento en el sector de la t</w:t>
      </w:r>
      <w:r w:rsidRPr="007352E9">
        <w:t>elecomunicaciones</w:t>
      </w:r>
      <w:r w:rsidR="00001E92" w:rsidRPr="007352E9">
        <w:t xml:space="preserve"> y el reducir </w:t>
      </w:r>
      <w:r w:rsidRPr="007352E9">
        <w:t>la brecha digital.</w:t>
      </w:r>
    </w:p>
    <w:p w14:paraId="4D9A1AD5" w14:textId="00C314DE" w:rsidR="00D26605" w:rsidRPr="007352E9" w:rsidRDefault="00C73411" w:rsidP="00780312">
      <w:pPr>
        <w:jc w:val="both"/>
        <w:rPr>
          <w:i/>
        </w:rPr>
      </w:pPr>
      <w:r w:rsidRPr="007352E9">
        <w:t xml:space="preserve">Lo anterior </w:t>
      </w:r>
      <w:r w:rsidR="00001E92" w:rsidRPr="007352E9">
        <w:t xml:space="preserve">con apego </w:t>
      </w:r>
      <w:r w:rsidRPr="007352E9">
        <w:t xml:space="preserve">al Plan Nacional de Desarrollo 2013-2018, Meta IV. México Próspero  Objetivo 4.5 </w:t>
      </w:r>
      <w:r w:rsidRPr="007352E9">
        <w:rPr>
          <w:i/>
        </w:rPr>
        <w:t>“Democratizar el acceso a servicios de telecomunicaciones.”</w:t>
      </w:r>
      <w:r w:rsidRPr="007352E9">
        <w:t xml:space="preserve">, Estrategia 4.5.1 </w:t>
      </w:r>
      <w:r w:rsidRPr="007352E9">
        <w:rPr>
          <w:i/>
        </w:rPr>
        <w:t>“Impulsar el desarrollo e innovación tecnológica de las telecomunicaciones que amplíe la cobertura y accesibilidad para impulsar mejores servicios y promover la competencia, buscando la reducción de costos y la eficiencia de las comunicaciones</w:t>
      </w:r>
      <w:r w:rsidRPr="007352E9">
        <w:t xml:space="preserve"> “, </w:t>
      </w:r>
      <w:r w:rsidRPr="007352E9">
        <w:rPr>
          <w:i/>
        </w:rPr>
        <w:t xml:space="preserve"> </w:t>
      </w:r>
      <w:r w:rsidRPr="007352E9">
        <w:t>contribuyendo con el Gobierno de México para impulsar el avance hacia la eliminación de la brecha digital.</w:t>
      </w:r>
    </w:p>
    <w:p w14:paraId="0094206B" w14:textId="77777777" w:rsidR="00AA0D7C" w:rsidRPr="007352E9" w:rsidRDefault="00AA0D7C" w:rsidP="0093209B">
      <w:pPr>
        <w:pStyle w:val="Ttulo1"/>
        <w:numPr>
          <w:ilvl w:val="0"/>
          <w:numId w:val="1"/>
        </w:numPr>
        <w:ind w:left="284"/>
        <w:rPr>
          <w:sz w:val="22"/>
        </w:rPr>
      </w:pPr>
      <w:bookmarkStart w:id="3" w:name="_Toc474325838"/>
      <w:r w:rsidRPr="007352E9">
        <w:rPr>
          <w:sz w:val="22"/>
        </w:rPr>
        <w:t>Antecedentes</w:t>
      </w:r>
      <w:bookmarkEnd w:id="3"/>
    </w:p>
    <w:p w14:paraId="4DAC694F" w14:textId="77777777" w:rsidR="00AA0D7C" w:rsidRPr="007352E9" w:rsidRDefault="0093209B" w:rsidP="008E2F1E">
      <w:pPr>
        <w:pStyle w:val="Ttulo2"/>
        <w:tabs>
          <w:tab w:val="left" w:pos="426"/>
        </w:tabs>
        <w:ind w:left="284"/>
        <w:rPr>
          <w:rFonts w:asciiTheme="minorHAnsi" w:hAnsiTheme="minorHAnsi"/>
          <w:sz w:val="22"/>
        </w:rPr>
      </w:pPr>
      <w:bookmarkStart w:id="4" w:name="_Toc474325839"/>
      <w:r w:rsidRPr="007352E9">
        <w:rPr>
          <w:rFonts w:asciiTheme="minorHAnsi" w:hAnsiTheme="minorHAnsi"/>
          <w:sz w:val="22"/>
        </w:rPr>
        <w:t>Uso eficiente</w:t>
      </w:r>
      <w:bookmarkEnd w:id="4"/>
    </w:p>
    <w:p w14:paraId="6A50DDA1" w14:textId="2083723C" w:rsidR="00A84CC9" w:rsidRPr="007352E9" w:rsidRDefault="00A84CC9" w:rsidP="00A84CC9">
      <w:pPr>
        <w:jc w:val="both"/>
      </w:pPr>
      <w:r w:rsidRPr="007352E9">
        <w:t xml:space="preserve">El espectro radioeléctrico es un bien de dominio público finito cuya titularidad, gestión, planificación, administración y control corresponden al Estado, quien debe garantizar su uso </w:t>
      </w:r>
      <w:r w:rsidR="00CA482B" w:rsidRPr="007352E9">
        <w:t>eficaz</w:t>
      </w:r>
      <w:r w:rsidRPr="007352E9">
        <w:t>, favorecer el desarrollo tecnológico, la innovación y promover su uso como factor de desarrollo económico.</w:t>
      </w:r>
    </w:p>
    <w:p w14:paraId="3B535E4D" w14:textId="39A686F6" w:rsidR="00A84CC9" w:rsidRPr="007352E9" w:rsidRDefault="00A84CC9" w:rsidP="00A84CC9">
      <w:pPr>
        <w:jc w:val="both"/>
      </w:pPr>
      <w:r w:rsidRPr="007352E9">
        <w:t>Una condición necesaria para el desarrollo del sector</w:t>
      </w:r>
      <w:r w:rsidR="008B5A7F" w:rsidRPr="007352E9">
        <w:t>,</w:t>
      </w:r>
      <w:r w:rsidRPr="007352E9">
        <w:t xml:space="preserve"> es la eficiencia en el uso del espectro</w:t>
      </w:r>
      <w:r w:rsidR="008B5A7F" w:rsidRPr="007352E9">
        <w:t>. P</w:t>
      </w:r>
      <w:r w:rsidRPr="007352E9">
        <w:t xml:space="preserve">ara conseguir la mayor </w:t>
      </w:r>
      <w:r w:rsidR="00AB3780" w:rsidRPr="007352E9">
        <w:t>eficacia</w:t>
      </w:r>
      <w:r w:rsidRPr="007352E9">
        <w:t xml:space="preserve"> posible se debe considerar que la gestión del espectro radioeléctrico es un tema clave en un entorno en el que las redes inalámbricas se vu</w:t>
      </w:r>
      <w:r w:rsidR="008B5A7F" w:rsidRPr="007352E9">
        <w:t>elven cada vez más importantes.</w:t>
      </w:r>
    </w:p>
    <w:p w14:paraId="085590A2" w14:textId="3E12E7B7" w:rsidR="00A84CC9" w:rsidRPr="007352E9" w:rsidRDefault="00A84CC9" w:rsidP="00A84CC9">
      <w:pPr>
        <w:jc w:val="both"/>
      </w:pPr>
      <w:r w:rsidRPr="007352E9">
        <w:lastRenderedPageBreak/>
        <w:t xml:space="preserve">La evolución tecnológica permite el incremento de servicios que pueden operar en una misma banda de frecuencias mediante el desarrollo de sistemas para lograr un uso más eficiente del espectro. </w:t>
      </w:r>
      <w:r w:rsidR="00AB3780" w:rsidRPr="007352E9">
        <w:t xml:space="preserve">A este respecto, </w:t>
      </w:r>
      <w:r w:rsidR="00202887" w:rsidRPr="007352E9">
        <w:t xml:space="preserve">se pueden mencionar </w:t>
      </w:r>
      <w:r w:rsidRPr="007352E9">
        <w:t>tres tipos de eficiencia</w:t>
      </w:r>
      <w:r w:rsidR="00840987" w:rsidRPr="007352E9">
        <w:rPr>
          <w:rStyle w:val="Refdenotaalpie"/>
        </w:rPr>
        <w:footnoteReference w:id="1"/>
      </w:r>
      <w:r w:rsidR="00840987" w:rsidRPr="007352E9">
        <w:t xml:space="preserve"> </w:t>
      </w:r>
      <w:r w:rsidRPr="007352E9">
        <w:t>del espectro radioeléctrico:</w:t>
      </w:r>
    </w:p>
    <w:p w14:paraId="031A97A2" w14:textId="57B9C617" w:rsidR="00E1731C" w:rsidRPr="007352E9" w:rsidRDefault="00E1731C" w:rsidP="00132851">
      <w:pPr>
        <w:pStyle w:val="Prrafodelista"/>
        <w:numPr>
          <w:ilvl w:val="0"/>
          <w:numId w:val="21"/>
        </w:numPr>
        <w:ind w:left="714" w:hanging="357"/>
        <w:contextualSpacing w:val="0"/>
        <w:jc w:val="both"/>
      </w:pPr>
      <w:r w:rsidRPr="007352E9">
        <w:rPr>
          <w:b/>
        </w:rPr>
        <w:t>E</w:t>
      </w:r>
      <w:r w:rsidR="00A84CC9" w:rsidRPr="007352E9">
        <w:rPr>
          <w:b/>
        </w:rPr>
        <w:t>ficiencia técnica</w:t>
      </w:r>
      <w:r w:rsidRPr="007352E9">
        <w:rPr>
          <w:b/>
        </w:rPr>
        <w:t>:</w:t>
      </w:r>
      <w:r w:rsidR="00A84CC9" w:rsidRPr="007352E9">
        <w:t xml:space="preserve"> se refiere a la</w:t>
      </w:r>
      <w:r w:rsidR="00484E3D" w:rsidRPr="007352E9">
        <w:t xml:space="preserve"> máxima utilización de las frecuencias del espectro</w:t>
      </w:r>
      <w:r w:rsidR="00A84CC9" w:rsidRPr="007352E9">
        <w:t xml:space="preserve"> </w:t>
      </w:r>
      <w:r w:rsidR="00484E3D" w:rsidRPr="007352E9">
        <w:t xml:space="preserve">radioeléctrico, tomando en cuenta los parámetros de operación necesarios como </w:t>
      </w:r>
      <w:r w:rsidR="00A84CC9" w:rsidRPr="007352E9">
        <w:t xml:space="preserve">bandas de guarda </w:t>
      </w:r>
      <w:r w:rsidR="00484E3D" w:rsidRPr="007352E9">
        <w:t>e</w:t>
      </w:r>
      <w:r w:rsidR="00A84CC9" w:rsidRPr="007352E9">
        <w:t xml:space="preserve"> interferencias perjudiciales entre los servicios</w:t>
      </w:r>
      <w:r w:rsidR="00484E3D" w:rsidRPr="007352E9">
        <w:t>.</w:t>
      </w:r>
    </w:p>
    <w:p w14:paraId="01A8A8BC" w14:textId="0CF14D9B" w:rsidR="00E1731C" w:rsidRPr="007352E9" w:rsidRDefault="00E1731C" w:rsidP="00132851">
      <w:pPr>
        <w:pStyle w:val="Prrafodelista"/>
        <w:numPr>
          <w:ilvl w:val="0"/>
          <w:numId w:val="21"/>
        </w:numPr>
        <w:ind w:left="714" w:hanging="357"/>
        <w:contextualSpacing w:val="0"/>
        <w:jc w:val="both"/>
      </w:pPr>
      <w:r w:rsidRPr="007352E9">
        <w:rPr>
          <w:b/>
        </w:rPr>
        <w:t>E</w:t>
      </w:r>
      <w:r w:rsidR="00A84CC9" w:rsidRPr="007352E9">
        <w:rPr>
          <w:b/>
        </w:rPr>
        <w:t>ficiencia social</w:t>
      </w:r>
      <w:r w:rsidRPr="007352E9">
        <w:rPr>
          <w:b/>
        </w:rPr>
        <w:t>:</w:t>
      </w:r>
      <w:r w:rsidR="00A84CC9" w:rsidRPr="007352E9">
        <w:t xml:space="preserve"> favorece el desarrollo social mediante </w:t>
      </w:r>
      <w:r w:rsidR="005A7B9C" w:rsidRPr="007352E9">
        <w:t xml:space="preserve">la competencia, fomentando </w:t>
      </w:r>
      <w:r w:rsidR="00A84CC9" w:rsidRPr="007352E9">
        <w:t xml:space="preserve">el acceso a una amplia gama de servicios </w:t>
      </w:r>
      <w:r w:rsidR="005A7B9C" w:rsidRPr="007352E9">
        <w:t>que satisfagan las necesidades de</w:t>
      </w:r>
      <w:r w:rsidR="00A84CC9" w:rsidRPr="007352E9">
        <w:t xml:space="preserve"> a los usuarios finales.</w:t>
      </w:r>
    </w:p>
    <w:p w14:paraId="5613EF1D" w14:textId="31C59318" w:rsidR="00A84CC9" w:rsidRPr="007352E9" w:rsidRDefault="00E1731C" w:rsidP="00132851">
      <w:pPr>
        <w:pStyle w:val="Prrafodelista"/>
        <w:numPr>
          <w:ilvl w:val="0"/>
          <w:numId w:val="21"/>
        </w:numPr>
        <w:ind w:left="714" w:hanging="357"/>
        <w:contextualSpacing w:val="0"/>
        <w:jc w:val="both"/>
      </w:pPr>
      <w:r w:rsidRPr="007352E9">
        <w:rPr>
          <w:b/>
        </w:rPr>
        <w:t>E</w:t>
      </w:r>
      <w:r w:rsidR="00A84CC9" w:rsidRPr="007352E9">
        <w:rPr>
          <w:b/>
        </w:rPr>
        <w:t>ficiencia económica</w:t>
      </w:r>
      <w:r w:rsidRPr="007352E9">
        <w:t>:</w:t>
      </w:r>
      <w:r w:rsidR="00A84CC9" w:rsidRPr="007352E9">
        <w:t xml:space="preserve"> </w:t>
      </w:r>
      <w:r w:rsidR="00775C0F" w:rsidRPr="007352E9">
        <w:t>busca la distribución eficaz espectro radioeléctrico para producir el mayor beneficio para la sociedad y maximiza el valor del rendimiento del espectro disponible.</w:t>
      </w:r>
    </w:p>
    <w:p w14:paraId="55C91017" w14:textId="77777777" w:rsidR="0093209B" w:rsidRPr="007352E9" w:rsidRDefault="0093209B" w:rsidP="00506BDF">
      <w:pPr>
        <w:pStyle w:val="Ttulo2"/>
        <w:tabs>
          <w:tab w:val="left" w:pos="426"/>
        </w:tabs>
        <w:ind w:left="284"/>
        <w:rPr>
          <w:rFonts w:asciiTheme="minorHAnsi" w:hAnsiTheme="minorHAnsi"/>
          <w:sz w:val="22"/>
        </w:rPr>
      </w:pPr>
      <w:bookmarkStart w:id="5" w:name="_Toc422489763"/>
      <w:bookmarkStart w:id="6" w:name="_Toc422495264"/>
      <w:bookmarkStart w:id="7" w:name="_Toc426394729"/>
      <w:bookmarkStart w:id="8" w:name="_Toc474325840"/>
      <w:r w:rsidRPr="007352E9">
        <w:rPr>
          <w:rFonts w:asciiTheme="minorHAnsi" w:hAnsiTheme="minorHAnsi"/>
          <w:sz w:val="22"/>
        </w:rPr>
        <w:t>Atribución</w:t>
      </w:r>
      <w:bookmarkEnd w:id="5"/>
      <w:bookmarkEnd w:id="6"/>
      <w:bookmarkEnd w:id="7"/>
      <w:bookmarkEnd w:id="8"/>
    </w:p>
    <w:p w14:paraId="1D7B130E" w14:textId="5D0D5F08" w:rsidR="0093209B" w:rsidRPr="007352E9" w:rsidRDefault="0093209B" w:rsidP="00506BDF">
      <w:pPr>
        <w:pStyle w:val="Ttulo3"/>
        <w:spacing w:before="0" w:after="120"/>
        <w:ind w:left="283"/>
        <w:rPr>
          <w:rFonts w:asciiTheme="minorHAnsi" w:hAnsiTheme="minorHAnsi"/>
          <w:sz w:val="22"/>
          <w:szCs w:val="22"/>
        </w:rPr>
      </w:pPr>
      <w:bookmarkStart w:id="9" w:name="_Toc422489764"/>
      <w:bookmarkStart w:id="10" w:name="_Toc422495265"/>
      <w:bookmarkStart w:id="11" w:name="_Toc426394730"/>
      <w:bookmarkStart w:id="12" w:name="_Toc474325841"/>
      <w:r w:rsidRPr="007352E9">
        <w:rPr>
          <w:rFonts w:asciiTheme="minorHAnsi" w:hAnsiTheme="minorHAnsi"/>
          <w:sz w:val="22"/>
          <w:szCs w:val="22"/>
        </w:rPr>
        <w:t xml:space="preserve">Atribuciones </w:t>
      </w:r>
      <w:r w:rsidR="00506BDF" w:rsidRPr="007352E9">
        <w:rPr>
          <w:rFonts w:asciiTheme="minorHAnsi" w:hAnsiTheme="minorHAnsi"/>
          <w:sz w:val="22"/>
          <w:szCs w:val="22"/>
        </w:rPr>
        <w:t xml:space="preserve">en el </w:t>
      </w:r>
      <w:r w:rsidRPr="007352E9">
        <w:rPr>
          <w:rFonts w:asciiTheme="minorHAnsi" w:hAnsiTheme="minorHAnsi"/>
          <w:sz w:val="22"/>
          <w:szCs w:val="22"/>
        </w:rPr>
        <w:t>R</w:t>
      </w:r>
      <w:r w:rsidR="00506BDF" w:rsidRPr="007352E9">
        <w:rPr>
          <w:rFonts w:asciiTheme="minorHAnsi" w:hAnsiTheme="minorHAnsi"/>
          <w:sz w:val="22"/>
          <w:szCs w:val="22"/>
        </w:rPr>
        <w:t xml:space="preserve">eglamento de </w:t>
      </w:r>
      <w:r w:rsidRPr="007352E9">
        <w:rPr>
          <w:rFonts w:asciiTheme="minorHAnsi" w:hAnsiTheme="minorHAnsi"/>
          <w:sz w:val="22"/>
          <w:szCs w:val="22"/>
        </w:rPr>
        <w:t>R</w:t>
      </w:r>
      <w:r w:rsidR="00506BDF" w:rsidRPr="007352E9">
        <w:rPr>
          <w:rFonts w:asciiTheme="minorHAnsi" w:hAnsiTheme="minorHAnsi"/>
          <w:sz w:val="22"/>
          <w:szCs w:val="22"/>
        </w:rPr>
        <w:t xml:space="preserve">adiocomunicaciones de la </w:t>
      </w:r>
      <w:r w:rsidRPr="007352E9">
        <w:rPr>
          <w:rFonts w:asciiTheme="minorHAnsi" w:hAnsiTheme="minorHAnsi"/>
          <w:sz w:val="22"/>
          <w:szCs w:val="22"/>
        </w:rPr>
        <w:t>UIT</w:t>
      </w:r>
      <w:bookmarkEnd w:id="9"/>
      <w:bookmarkEnd w:id="10"/>
      <w:bookmarkEnd w:id="11"/>
      <w:bookmarkEnd w:id="12"/>
    </w:p>
    <w:p w14:paraId="1A739FD8" w14:textId="1558CEFB" w:rsidR="00695DCC" w:rsidRPr="007352E9" w:rsidRDefault="000123BF" w:rsidP="00562001">
      <w:pPr>
        <w:jc w:val="both"/>
      </w:pPr>
      <w:r w:rsidRPr="007352E9">
        <w:t>L</w:t>
      </w:r>
      <w:r w:rsidR="00562001" w:rsidRPr="007352E9">
        <w:t>a UIT ha dividido el mundo en tres Regiones</w:t>
      </w:r>
      <w:r w:rsidRPr="007352E9">
        <w:t xml:space="preserve">, las cuales </w:t>
      </w:r>
      <w:r w:rsidR="00562001" w:rsidRPr="007352E9">
        <w:t xml:space="preserve">se encuentran descritas en el artículo 5, sección I, números 5.3 a 5.9 del </w:t>
      </w:r>
      <w:r w:rsidR="009F189F" w:rsidRPr="007352E9">
        <w:t>Reglamento de Radiocomunicaciones (</w:t>
      </w:r>
      <w:r w:rsidR="00562001" w:rsidRPr="007352E9">
        <w:t>RR</w:t>
      </w:r>
      <w:r w:rsidR="009F189F" w:rsidRPr="007352E9">
        <w:t>)</w:t>
      </w:r>
      <w:r w:rsidR="00562001" w:rsidRPr="007352E9">
        <w:t xml:space="preserve">. En la siguiente tabla se encuentra la atribución de las </w:t>
      </w:r>
      <w:r w:rsidR="009C7CE1" w:rsidRPr="007352E9">
        <w:t>tres Regiones antes mencionadas</w:t>
      </w:r>
      <w:r w:rsidR="009F189F" w:rsidRPr="007352E9">
        <w:t xml:space="preserve"> para el rango de frecuencias de 57 a 64 GHz</w:t>
      </w:r>
      <w:r w:rsidR="00562001" w:rsidRPr="007352E9">
        <w:t>.</w:t>
      </w:r>
    </w:p>
    <w:tbl>
      <w:tblPr>
        <w:tblStyle w:val="Tabladecuadrcula4-nfasis6"/>
        <w:tblW w:w="0" w:type="auto"/>
        <w:jc w:val="center"/>
        <w:tblLook w:val="04A0" w:firstRow="1" w:lastRow="0" w:firstColumn="1" w:lastColumn="0" w:noHBand="0" w:noVBand="1"/>
        <w:tblCaption w:val="Tabla"/>
        <w:tblDescription w:val="Tabla de atribución de las tres regiones"/>
      </w:tblPr>
      <w:tblGrid>
        <w:gridCol w:w="1871"/>
        <w:gridCol w:w="1871"/>
        <w:gridCol w:w="1871"/>
      </w:tblGrid>
      <w:tr w:rsidR="009C7CE1" w:rsidRPr="007352E9" w14:paraId="1D6E3163" w14:textId="77777777" w:rsidTr="000123B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71" w:type="dxa"/>
          </w:tcPr>
          <w:p w14:paraId="51993DA1" w14:textId="77777777" w:rsidR="009C7CE1" w:rsidRPr="007352E9" w:rsidRDefault="009C7CE1" w:rsidP="00B8583D">
            <w:pPr>
              <w:ind w:left="142"/>
              <w:jc w:val="center"/>
              <w:rPr>
                <w:b w:val="0"/>
                <w:sz w:val="20"/>
              </w:rPr>
            </w:pPr>
            <w:r w:rsidRPr="007352E9">
              <w:rPr>
                <w:b w:val="0"/>
                <w:sz w:val="20"/>
              </w:rPr>
              <w:t>Región 1</w:t>
            </w:r>
          </w:p>
        </w:tc>
        <w:tc>
          <w:tcPr>
            <w:tcW w:w="1871" w:type="dxa"/>
          </w:tcPr>
          <w:p w14:paraId="7EDE1EBE" w14:textId="77777777" w:rsidR="009C7CE1" w:rsidRPr="007352E9" w:rsidRDefault="009C7CE1" w:rsidP="00B8583D">
            <w:pPr>
              <w:ind w:left="142"/>
              <w:jc w:val="center"/>
              <w:cnfStyle w:val="100000000000" w:firstRow="1" w:lastRow="0" w:firstColumn="0" w:lastColumn="0" w:oddVBand="0" w:evenVBand="0" w:oddHBand="0" w:evenHBand="0" w:firstRowFirstColumn="0" w:firstRowLastColumn="0" w:lastRowFirstColumn="0" w:lastRowLastColumn="0"/>
              <w:rPr>
                <w:b w:val="0"/>
                <w:sz w:val="20"/>
              </w:rPr>
            </w:pPr>
            <w:r w:rsidRPr="007352E9">
              <w:rPr>
                <w:b w:val="0"/>
                <w:sz w:val="20"/>
              </w:rPr>
              <w:t>Región 2</w:t>
            </w:r>
          </w:p>
        </w:tc>
        <w:tc>
          <w:tcPr>
            <w:tcW w:w="1871" w:type="dxa"/>
          </w:tcPr>
          <w:p w14:paraId="2A4E6B11" w14:textId="77777777" w:rsidR="009C7CE1" w:rsidRPr="007352E9" w:rsidRDefault="009C7CE1" w:rsidP="00B8583D">
            <w:pPr>
              <w:ind w:left="142"/>
              <w:jc w:val="center"/>
              <w:cnfStyle w:val="100000000000" w:firstRow="1" w:lastRow="0" w:firstColumn="0" w:lastColumn="0" w:oddVBand="0" w:evenVBand="0" w:oddHBand="0" w:evenHBand="0" w:firstRowFirstColumn="0" w:firstRowLastColumn="0" w:lastRowFirstColumn="0" w:lastRowLastColumn="0"/>
              <w:rPr>
                <w:b w:val="0"/>
                <w:sz w:val="20"/>
              </w:rPr>
            </w:pPr>
            <w:r w:rsidRPr="007352E9">
              <w:rPr>
                <w:b w:val="0"/>
                <w:sz w:val="20"/>
              </w:rPr>
              <w:t>Región 3</w:t>
            </w:r>
          </w:p>
        </w:tc>
      </w:tr>
      <w:tr w:rsidR="009C7CE1" w:rsidRPr="007352E9" w14:paraId="3F02D849" w14:textId="77777777" w:rsidTr="000123BF">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1871" w:type="dxa"/>
            <w:gridSpan w:val="3"/>
            <w:shd w:val="clear" w:color="auto" w:fill="auto"/>
          </w:tcPr>
          <w:p w14:paraId="27695E03" w14:textId="0873B8B6" w:rsidR="009C7CE1" w:rsidRPr="007352E9" w:rsidRDefault="009C7CE1" w:rsidP="00B8583D">
            <w:pPr>
              <w:jc w:val="both"/>
              <w:rPr>
                <w:sz w:val="20"/>
              </w:rPr>
            </w:pPr>
            <w:r w:rsidRPr="007352E9">
              <w:rPr>
                <w:sz w:val="20"/>
              </w:rPr>
              <w:t>57-58.2 GHz</w:t>
            </w:r>
          </w:p>
          <w:p w14:paraId="6E437825" w14:textId="77777777" w:rsidR="009C7CE1" w:rsidRPr="007352E9" w:rsidRDefault="009C7CE1" w:rsidP="009C7CE1">
            <w:pPr>
              <w:jc w:val="both"/>
              <w:rPr>
                <w:b w:val="0"/>
                <w:sz w:val="20"/>
              </w:rPr>
            </w:pPr>
            <w:r w:rsidRPr="007352E9">
              <w:rPr>
                <w:b w:val="0"/>
                <w:sz w:val="20"/>
              </w:rPr>
              <w:t>EXPLORACIÓN DE LA TIERRA POR SATÉLITE (pasivo)</w:t>
            </w:r>
          </w:p>
          <w:p w14:paraId="2D650945" w14:textId="77777777" w:rsidR="009C7CE1" w:rsidRPr="007352E9" w:rsidRDefault="009C7CE1" w:rsidP="009C7CE1">
            <w:pPr>
              <w:jc w:val="both"/>
              <w:rPr>
                <w:b w:val="0"/>
                <w:sz w:val="20"/>
              </w:rPr>
            </w:pPr>
            <w:r w:rsidRPr="007352E9">
              <w:rPr>
                <w:b w:val="0"/>
                <w:sz w:val="20"/>
              </w:rPr>
              <w:t>FIJO</w:t>
            </w:r>
          </w:p>
          <w:p w14:paraId="18217037" w14:textId="77777777" w:rsidR="009C7CE1" w:rsidRPr="007352E9" w:rsidRDefault="009C7CE1" w:rsidP="009C7CE1">
            <w:pPr>
              <w:jc w:val="both"/>
              <w:rPr>
                <w:b w:val="0"/>
                <w:sz w:val="20"/>
              </w:rPr>
            </w:pPr>
            <w:r w:rsidRPr="007352E9">
              <w:rPr>
                <w:b w:val="0"/>
                <w:sz w:val="20"/>
              </w:rPr>
              <w:t>ENTRE SATÉLITES 5.556A</w:t>
            </w:r>
          </w:p>
          <w:p w14:paraId="55DAA0C8" w14:textId="77777777" w:rsidR="009C7CE1" w:rsidRPr="007352E9" w:rsidRDefault="009C7CE1" w:rsidP="009C7CE1">
            <w:pPr>
              <w:jc w:val="both"/>
              <w:rPr>
                <w:b w:val="0"/>
                <w:sz w:val="20"/>
              </w:rPr>
            </w:pPr>
            <w:r w:rsidRPr="007352E9">
              <w:rPr>
                <w:b w:val="0"/>
                <w:sz w:val="20"/>
              </w:rPr>
              <w:t>MÓVIL 5.558</w:t>
            </w:r>
          </w:p>
          <w:p w14:paraId="3F56F857" w14:textId="77777777" w:rsidR="009C7CE1" w:rsidRPr="007352E9" w:rsidRDefault="009C7CE1" w:rsidP="009C7CE1">
            <w:pPr>
              <w:jc w:val="both"/>
              <w:rPr>
                <w:b w:val="0"/>
                <w:sz w:val="20"/>
              </w:rPr>
            </w:pPr>
            <w:r w:rsidRPr="007352E9">
              <w:rPr>
                <w:b w:val="0"/>
                <w:sz w:val="20"/>
              </w:rPr>
              <w:t>INVESTIGACIÓN ESPACIAL (pasivo)</w:t>
            </w:r>
          </w:p>
          <w:p w14:paraId="41719F8E" w14:textId="2DB9198A" w:rsidR="009C7CE1" w:rsidRPr="007352E9" w:rsidRDefault="009C7CE1" w:rsidP="000811E1">
            <w:pPr>
              <w:jc w:val="right"/>
              <w:rPr>
                <w:sz w:val="20"/>
              </w:rPr>
            </w:pPr>
            <w:r w:rsidRPr="007352E9">
              <w:rPr>
                <w:sz w:val="20"/>
              </w:rPr>
              <w:t>5.547</w:t>
            </w:r>
          </w:p>
        </w:tc>
      </w:tr>
      <w:tr w:rsidR="009C7CE1" w:rsidRPr="007352E9" w14:paraId="557F9E12" w14:textId="77777777" w:rsidTr="000123BF">
        <w:trPr>
          <w:trHeight w:val="1135"/>
          <w:jc w:val="center"/>
        </w:trPr>
        <w:tc>
          <w:tcPr>
            <w:cnfStyle w:val="001000000000" w:firstRow="0" w:lastRow="0" w:firstColumn="1" w:lastColumn="0" w:oddVBand="0" w:evenVBand="0" w:oddHBand="0" w:evenHBand="0" w:firstRowFirstColumn="0" w:firstRowLastColumn="0" w:lastRowFirstColumn="0" w:lastRowLastColumn="0"/>
            <w:tcW w:w="1871" w:type="dxa"/>
            <w:gridSpan w:val="3"/>
            <w:shd w:val="clear" w:color="auto" w:fill="auto"/>
          </w:tcPr>
          <w:p w14:paraId="6B305038" w14:textId="2B519716" w:rsidR="009C7CE1" w:rsidRPr="007352E9" w:rsidRDefault="009C7CE1" w:rsidP="00B8583D">
            <w:pPr>
              <w:jc w:val="both"/>
              <w:rPr>
                <w:sz w:val="20"/>
              </w:rPr>
            </w:pPr>
            <w:r w:rsidRPr="007352E9">
              <w:rPr>
                <w:sz w:val="20"/>
              </w:rPr>
              <w:t>58.2-59 GHz</w:t>
            </w:r>
          </w:p>
          <w:p w14:paraId="66687250" w14:textId="77777777" w:rsidR="009C7CE1" w:rsidRPr="007352E9" w:rsidRDefault="009C7CE1" w:rsidP="009C7CE1">
            <w:pPr>
              <w:jc w:val="both"/>
              <w:rPr>
                <w:b w:val="0"/>
                <w:sz w:val="20"/>
              </w:rPr>
            </w:pPr>
            <w:r w:rsidRPr="007352E9">
              <w:rPr>
                <w:b w:val="0"/>
                <w:sz w:val="20"/>
              </w:rPr>
              <w:t>EXPLORACIÓN DE LA TIERRA POR SATÉLITE (pasivo)</w:t>
            </w:r>
          </w:p>
          <w:p w14:paraId="4FF65249" w14:textId="77777777" w:rsidR="009C7CE1" w:rsidRPr="007352E9" w:rsidRDefault="009C7CE1" w:rsidP="009C7CE1">
            <w:pPr>
              <w:jc w:val="both"/>
              <w:rPr>
                <w:b w:val="0"/>
                <w:sz w:val="20"/>
              </w:rPr>
            </w:pPr>
            <w:r w:rsidRPr="007352E9">
              <w:rPr>
                <w:b w:val="0"/>
                <w:sz w:val="20"/>
              </w:rPr>
              <w:t>FIJO</w:t>
            </w:r>
          </w:p>
          <w:p w14:paraId="37BF9196" w14:textId="77777777" w:rsidR="009C7CE1" w:rsidRPr="007352E9" w:rsidRDefault="009C7CE1" w:rsidP="009C7CE1">
            <w:pPr>
              <w:jc w:val="both"/>
              <w:rPr>
                <w:b w:val="0"/>
                <w:sz w:val="20"/>
              </w:rPr>
            </w:pPr>
            <w:r w:rsidRPr="007352E9">
              <w:rPr>
                <w:b w:val="0"/>
                <w:sz w:val="20"/>
              </w:rPr>
              <w:t>MÓVIL</w:t>
            </w:r>
          </w:p>
          <w:p w14:paraId="4B4103E1" w14:textId="77777777" w:rsidR="009C7CE1" w:rsidRPr="007352E9" w:rsidRDefault="009C7CE1" w:rsidP="009C7CE1">
            <w:pPr>
              <w:jc w:val="both"/>
              <w:rPr>
                <w:b w:val="0"/>
                <w:sz w:val="20"/>
              </w:rPr>
            </w:pPr>
            <w:r w:rsidRPr="007352E9">
              <w:rPr>
                <w:b w:val="0"/>
                <w:sz w:val="20"/>
              </w:rPr>
              <w:t>INVESTIGACIÓN ESPACIAL (pasivo)</w:t>
            </w:r>
          </w:p>
          <w:p w14:paraId="5F6F8CF6" w14:textId="183EA728" w:rsidR="009C7CE1" w:rsidRPr="007352E9" w:rsidRDefault="009C7CE1" w:rsidP="009C7CE1">
            <w:pPr>
              <w:jc w:val="right"/>
              <w:rPr>
                <w:sz w:val="20"/>
              </w:rPr>
            </w:pPr>
            <w:r w:rsidRPr="007352E9">
              <w:rPr>
                <w:sz w:val="20"/>
              </w:rPr>
              <w:t>5.547 5.556</w:t>
            </w:r>
          </w:p>
        </w:tc>
      </w:tr>
      <w:tr w:rsidR="009C7CE1" w:rsidRPr="007352E9" w14:paraId="666C32A3" w14:textId="77777777" w:rsidTr="000123BF">
        <w:trPr>
          <w:cnfStyle w:val="000000100000" w:firstRow="0" w:lastRow="0" w:firstColumn="0" w:lastColumn="0" w:oddVBand="0" w:evenVBand="0" w:oddHBand="1" w:evenHBand="0" w:firstRowFirstColumn="0" w:firstRowLastColumn="0" w:lastRowFirstColumn="0" w:lastRowLastColumn="0"/>
          <w:trHeight w:val="1135"/>
          <w:jc w:val="center"/>
        </w:trPr>
        <w:tc>
          <w:tcPr>
            <w:cnfStyle w:val="001000000000" w:firstRow="0" w:lastRow="0" w:firstColumn="1" w:lastColumn="0" w:oddVBand="0" w:evenVBand="0" w:oddHBand="0" w:evenHBand="0" w:firstRowFirstColumn="0" w:firstRowLastColumn="0" w:lastRowFirstColumn="0" w:lastRowLastColumn="0"/>
            <w:tcW w:w="1871" w:type="dxa"/>
            <w:gridSpan w:val="3"/>
            <w:shd w:val="clear" w:color="auto" w:fill="auto"/>
          </w:tcPr>
          <w:p w14:paraId="1C2BBECD" w14:textId="77777777" w:rsidR="009C7CE1" w:rsidRPr="007352E9" w:rsidRDefault="009C7CE1" w:rsidP="00B8583D">
            <w:pPr>
              <w:jc w:val="both"/>
              <w:rPr>
                <w:sz w:val="20"/>
              </w:rPr>
            </w:pPr>
            <w:r w:rsidRPr="007352E9">
              <w:rPr>
                <w:sz w:val="20"/>
              </w:rPr>
              <w:t>59-59.3 GHz</w:t>
            </w:r>
          </w:p>
          <w:p w14:paraId="168C079C" w14:textId="77777777" w:rsidR="009C7CE1" w:rsidRPr="007352E9" w:rsidRDefault="009C7CE1" w:rsidP="009C7CE1">
            <w:pPr>
              <w:jc w:val="both"/>
              <w:rPr>
                <w:b w:val="0"/>
                <w:sz w:val="20"/>
              </w:rPr>
            </w:pPr>
            <w:r w:rsidRPr="007352E9">
              <w:rPr>
                <w:b w:val="0"/>
                <w:sz w:val="20"/>
              </w:rPr>
              <w:t>EXPLORACIÓN DE LA TIERRA POR SATÉLITE (pasivo)</w:t>
            </w:r>
          </w:p>
          <w:p w14:paraId="150CA3A5" w14:textId="77777777" w:rsidR="009C7CE1" w:rsidRPr="007352E9" w:rsidRDefault="009C7CE1" w:rsidP="009C7CE1">
            <w:pPr>
              <w:jc w:val="both"/>
              <w:rPr>
                <w:b w:val="0"/>
                <w:sz w:val="20"/>
              </w:rPr>
            </w:pPr>
            <w:r w:rsidRPr="007352E9">
              <w:rPr>
                <w:b w:val="0"/>
                <w:sz w:val="20"/>
              </w:rPr>
              <w:t>FIJO</w:t>
            </w:r>
          </w:p>
          <w:p w14:paraId="20EEBEB8" w14:textId="77777777" w:rsidR="009C7CE1" w:rsidRPr="007352E9" w:rsidRDefault="009C7CE1" w:rsidP="009C7CE1">
            <w:pPr>
              <w:jc w:val="both"/>
              <w:rPr>
                <w:b w:val="0"/>
                <w:sz w:val="20"/>
              </w:rPr>
            </w:pPr>
            <w:r w:rsidRPr="007352E9">
              <w:rPr>
                <w:b w:val="0"/>
                <w:sz w:val="20"/>
              </w:rPr>
              <w:t>ENTRE SATÉLITES 5.556A</w:t>
            </w:r>
          </w:p>
          <w:p w14:paraId="02176127" w14:textId="77777777" w:rsidR="009C7CE1" w:rsidRPr="007352E9" w:rsidRDefault="009C7CE1" w:rsidP="009C7CE1">
            <w:pPr>
              <w:jc w:val="both"/>
              <w:rPr>
                <w:b w:val="0"/>
                <w:sz w:val="20"/>
              </w:rPr>
            </w:pPr>
            <w:r w:rsidRPr="007352E9">
              <w:rPr>
                <w:b w:val="0"/>
                <w:sz w:val="20"/>
              </w:rPr>
              <w:t>MÓVIL 5.558</w:t>
            </w:r>
          </w:p>
          <w:p w14:paraId="791D00DC" w14:textId="77777777" w:rsidR="009C7CE1" w:rsidRPr="007352E9" w:rsidRDefault="009C7CE1" w:rsidP="009C7CE1">
            <w:pPr>
              <w:jc w:val="both"/>
              <w:rPr>
                <w:b w:val="0"/>
                <w:sz w:val="20"/>
              </w:rPr>
            </w:pPr>
            <w:r w:rsidRPr="007352E9">
              <w:rPr>
                <w:b w:val="0"/>
                <w:sz w:val="20"/>
              </w:rPr>
              <w:t>RADIOLOCALIZACIÓN 5.559</w:t>
            </w:r>
          </w:p>
          <w:p w14:paraId="1CAE5128" w14:textId="12AB1044" w:rsidR="009C7CE1" w:rsidRPr="007352E9" w:rsidRDefault="009C7CE1" w:rsidP="009C7CE1">
            <w:pPr>
              <w:jc w:val="both"/>
              <w:rPr>
                <w:sz w:val="20"/>
              </w:rPr>
            </w:pPr>
            <w:r w:rsidRPr="007352E9">
              <w:rPr>
                <w:b w:val="0"/>
                <w:sz w:val="20"/>
              </w:rPr>
              <w:t>INVESTIGACIÓN ESPACIAL (pasivo)</w:t>
            </w:r>
          </w:p>
        </w:tc>
      </w:tr>
      <w:tr w:rsidR="009C7CE1" w:rsidRPr="007352E9" w14:paraId="27D5C7C0" w14:textId="77777777" w:rsidTr="000123BF">
        <w:trPr>
          <w:trHeight w:val="1135"/>
          <w:jc w:val="center"/>
        </w:trPr>
        <w:tc>
          <w:tcPr>
            <w:cnfStyle w:val="001000000000" w:firstRow="0" w:lastRow="0" w:firstColumn="1" w:lastColumn="0" w:oddVBand="0" w:evenVBand="0" w:oddHBand="0" w:evenHBand="0" w:firstRowFirstColumn="0" w:firstRowLastColumn="0" w:lastRowFirstColumn="0" w:lastRowLastColumn="0"/>
            <w:tcW w:w="1871" w:type="dxa"/>
            <w:gridSpan w:val="3"/>
          </w:tcPr>
          <w:p w14:paraId="4F5CD42F" w14:textId="3744FB32" w:rsidR="009C7CE1" w:rsidRPr="007352E9" w:rsidRDefault="009C7CE1" w:rsidP="00B8583D">
            <w:pPr>
              <w:jc w:val="both"/>
              <w:rPr>
                <w:sz w:val="20"/>
              </w:rPr>
            </w:pPr>
            <w:r w:rsidRPr="007352E9">
              <w:rPr>
                <w:sz w:val="20"/>
              </w:rPr>
              <w:lastRenderedPageBreak/>
              <w:t>59.3-64 GHz</w:t>
            </w:r>
          </w:p>
          <w:p w14:paraId="167256ED" w14:textId="77777777" w:rsidR="009C7CE1" w:rsidRPr="007352E9" w:rsidRDefault="009C7CE1" w:rsidP="009C7CE1">
            <w:pPr>
              <w:jc w:val="both"/>
              <w:rPr>
                <w:b w:val="0"/>
                <w:sz w:val="20"/>
              </w:rPr>
            </w:pPr>
            <w:r w:rsidRPr="007352E9">
              <w:rPr>
                <w:b w:val="0"/>
                <w:sz w:val="20"/>
              </w:rPr>
              <w:t>FIJO</w:t>
            </w:r>
          </w:p>
          <w:p w14:paraId="3B7D775F" w14:textId="77777777" w:rsidR="009C7CE1" w:rsidRPr="007352E9" w:rsidRDefault="009C7CE1" w:rsidP="009C7CE1">
            <w:pPr>
              <w:jc w:val="both"/>
              <w:rPr>
                <w:b w:val="0"/>
                <w:sz w:val="20"/>
              </w:rPr>
            </w:pPr>
            <w:r w:rsidRPr="007352E9">
              <w:rPr>
                <w:b w:val="0"/>
                <w:sz w:val="20"/>
              </w:rPr>
              <w:t>ENTRE SATÉLITES</w:t>
            </w:r>
          </w:p>
          <w:p w14:paraId="575956F8" w14:textId="77777777" w:rsidR="009C7CE1" w:rsidRPr="007352E9" w:rsidRDefault="009C7CE1" w:rsidP="009C7CE1">
            <w:pPr>
              <w:jc w:val="both"/>
              <w:rPr>
                <w:b w:val="0"/>
                <w:sz w:val="20"/>
              </w:rPr>
            </w:pPr>
            <w:r w:rsidRPr="007352E9">
              <w:rPr>
                <w:b w:val="0"/>
                <w:sz w:val="20"/>
              </w:rPr>
              <w:t>MÓVIL 5.558</w:t>
            </w:r>
          </w:p>
          <w:p w14:paraId="196A51AC" w14:textId="77777777" w:rsidR="009C7CE1" w:rsidRPr="007352E9" w:rsidRDefault="009C7CE1" w:rsidP="009C7CE1">
            <w:pPr>
              <w:jc w:val="both"/>
              <w:rPr>
                <w:b w:val="0"/>
                <w:sz w:val="20"/>
              </w:rPr>
            </w:pPr>
            <w:r w:rsidRPr="007352E9">
              <w:rPr>
                <w:b w:val="0"/>
                <w:sz w:val="20"/>
              </w:rPr>
              <w:t>RADIOLOCALIZACIÓN 5.559</w:t>
            </w:r>
          </w:p>
          <w:p w14:paraId="3D56039F" w14:textId="1ECBE457" w:rsidR="009C7CE1" w:rsidRPr="007352E9" w:rsidRDefault="009C7CE1" w:rsidP="009C7CE1">
            <w:pPr>
              <w:jc w:val="right"/>
              <w:rPr>
                <w:sz w:val="20"/>
              </w:rPr>
            </w:pPr>
            <w:r w:rsidRPr="007352E9">
              <w:rPr>
                <w:sz w:val="20"/>
              </w:rPr>
              <w:t>5.138</w:t>
            </w:r>
          </w:p>
        </w:tc>
      </w:tr>
    </w:tbl>
    <w:p w14:paraId="5448B04D" w14:textId="77777777" w:rsidR="009F189F" w:rsidRPr="007352E9" w:rsidRDefault="009F189F" w:rsidP="000123BF"/>
    <w:p w14:paraId="68982BAC" w14:textId="064308EA" w:rsidR="005A0D01" w:rsidRPr="007352E9" w:rsidRDefault="0025238A" w:rsidP="00506BDF">
      <w:pPr>
        <w:pStyle w:val="Ttulo3"/>
        <w:spacing w:before="0" w:after="120"/>
        <w:ind w:left="283"/>
        <w:rPr>
          <w:rFonts w:asciiTheme="minorHAnsi" w:hAnsiTheme="minorHAnsi"/>
          <w:sz w:val="22"/>
          <w:szCs w:val="22"/>
        </w:rPr>
      </w:pPr>
      <w:bookmarkStart w:id="13" w:name="_Toc474325842"/>
      <w:r w:rsidRPr="007352E9">
        <w:rPr>
          <w:rFonts w:asciiTheme="minorHAnsi" w:hAnsiTheme="minorHAnsi"/>
          <w:sz w:val="22"/>
          <w:szCs w:val="22"/>
        </w:rPr>
        <w:t xml:space="preserve">Notas Relevantes </w:t>
      </w:r>
      <w:r w:rsidR="00506BDF" w:rsidRPr="007352E9">
        <w:rPr>
          <w:rFonts w:asciiTheme="minorHAnsi" w:hAnsiTheme="minorHAnsi"/>
          <w:sz w:val="22"/>
          <w:szCs w:val="22"/>
        </w:rPr>
        <w:t xml:space="preserve">en el Reglamento de Radiocomunicaciones de la </w:t>
      </w:r>
      <w:r w:rsidRPr="007352E9">
        <w:rPr>
          <w:rFonts w:asciiTheme="minorHAnsi" w:hAnsiTheme="minorHAnsi"/>
          <w:sz w:val="22"/>
          <w:szCs w:val="22"/>
        </w:rPr>
        <w:t>UIT</w:t>
      </w:r>
      <w:bookmarkEnd w:id="13"/>
    </w:p>
    <w:p w14:paraId="5258A787" w14:textId="77777777" w:rsidR="000811E1" w:rsidRPr="007352E9" w:rsidRDefault="000811E1" w:rsidP="00171E29">
      <w:pPr>
        <w:spacing w:after="0"/>
        <w:ind w:left="284"/>
        <w:jc w:val="both"/>
      </w:pPr>
      <w:r w:rsidRPr="007352E9">
        <w:rPr>
          <w:b/>
        </w:rPr>
        <w:t xml:space="preserve">5.138 </w:t>
      </w:r>
      <w:r w:rsidRPr="007352E9">
        <w:t>Las bandas:</w:t>
      </w:r>
    </w:p>
    <w:p w14:paraId="2E1FC9A0" w14:textId="16F1216D" w:rsidR="000811E1" w:rsidRPr="007352E9" w:rsidRDefault="000811E1" w:rsidP="00CB4B32">
      <w:pPr>
        <w:spacing w:after="0"/>
        <w:ind w:right="333" w:firstLine="708"/>
        <w:jc w:val="both"/>
      </w:pPr>
      <w:r w:rsidRPr="007352E9">
        <w:t xml:space="preserve">6 765-6 795 kHz </w:t>
      </w:r>
      <w:r w:rsidRPr="007352E9">
        <w:tab/>
        <w:t>(frecuencia central 6 780 kHz),</w:t>
      </w:r>
    </w:p>
    <w:p w14:paraId="10CBD51C" w14:textId="5A9803A7" w:rsidR="000811E1" w:rsidRPr="007352E9" w:rsidRDefault="000811E1" w:rsidP="00CB4B32">
      <w:pPr>
        <w:spacing w:after="0"/>
        <w:ind w:left="2832" w:right="333" w:hanging="2124"/>
        <w:jc w:val="both"/>
      </w:pPr>
      <w:r w:rsidRPr="007352E9">
        <w:t xml:space="preserve">433,05-434,79 MHz </w:t>
      </w:r>
      <w:r w:rsidRPr="007352E9">
        <w:tab/>
        <w:t xml:space="preserve">(frecuencia central 433,92 MHz) en la Región 1, excepto en los países mencionados en el número </w:t>
      </w:r>
      <w:r w:rsidRPr="007352E9">
        <w:rPr>
          <w:b/>
        </w:rPr>
        <w:t>5.280</w:t>
      </w:r>
      <w:r w:rsidRPr="007352E9">
        <w:t>,</w:t>
      </w:r>
    </w:p>
    <w:p w14:paraId="76BB455F" w14:textId="57D9B7DE" w:rsidR="000811E1" w:rsidRPr="007352E9" w:rsidRDefault="000811E1" w:rsidP="00CB4B32">
      <w:pPr>
        <w:spacing w:after="0"/>
        <w:ind w:left="708" w:right="333"/>
        <w:jc w:val="both"/>
      </w:pPr>
      <w:r w:rsidRPr="007352E9">
        <w:t>61-61,5 GHz</w:t>
      </w:r>
      <w:r w:rsidRPr="007352E9">
        <w:tab/>
      </w:r>
      <w:r w:rsidRPr="007352E9">
        <w:tab/>
        <w:t>(frecuencia central 61,25 GHz),</w:t>
      </w:r>
    </w:p>
    <w:p w14:paraId="0961422E" w14:textId="11B3A9D8" w:rsidR="000811E1" w:rsidRPr="007352E9" w:rsidRDefault="000811E1" w:rsidP="00CB4B32">
      <w:pPr>
        <w:spacing w:after="0"/>
        <w:ind w:right="333" w:firstLine="708"/>
        <w:jc w:val="both"/>
      </w:pPr>
      <w:r w:rsidRPr="007352E9">
        <w:t xml:space="preserve">122-123 GHz </w:t>
      </w:r>
      <w:r w:rsidRPr="007352E9">
        <w:tab/>
      </w:r>
      <w:r w:rsidRPr="007352E9">
        <w:tab/>
        <w:t>(frecuencia central 122,5 GHz), y</w:t>
      </w:r>
    </w:p>
    <w:p w14:paraId="73348B24" w14:textId="4E6916E0" w:rsidR="000811E1" w:rsidRPr="007352E9" w:rsidRDefault="000811E1" w:rsidP="00F66BBC">
      <w:pPr>
        <w:spacing w:after="120"/>
        <w:ind w:right="335" w:firstLine="709"/>
        <w:jc w:val="both"/>
      </w:pPr>
      <w:r w:rsidRPr="007352E9">
        <w:t xml:space="preserve">244-246 GHz </w:t>
      </w:r>
      <w:r w:rsidRPr="007352E9">
        <w:tab/>
      </w:r>
      <w:r w:rsidRPr="007352E9">
        <w:tab/>
        <w:t>(frecuencia central 245 GHz)</w:t>
      </w:r>
    </w:p>
    <w:p w14:paraId="7586DF5C" w14:textId="2136A63A" w:rsidR="000811E1" w:rsidRPr="007352E9" w:rsidRDefault="000811E1" w:rsidP="00171E29">
      <w:pPr>
        <w:ind w:left="284" w:right="333"/>
        <w:jc w:val="both"/>
      </w:pPr>
      <w:r w:rsidRPr="007352E9">
        <w:t>están designadas para aplicaciones industriales, científicas y médicas (ICM). La utilización de estas bandas para las aplicaciones ICM está sujeta a una autorización especial concedida por la administración interesada de acuerdo con las otras administraciones cuyos servicios de radiocomunicación puedan resultar afectados. Al aplicar esta disposición, las administraciones tendrán debidamente en cuenta las últimas Recomendaciones UIT-R pertinentes.</w:t>
      </w:r>
    </w:p>
    <w:p w14:paraId="65D94F28" w14:textId="61781D30" w:rsidR="000811E1" w:rsidRPr="007352E9" w:rsidRDefault="000811E1" w:rsidP="00171E29">
      <w:pPr>
        <w:ind w:left="284" w:right="333"/>
        <w:jc w:val="both"/>
      </w:pPr>
      <w:r w:rsidRPr="007352E9">
        <w:rPr>
          <w:b/>
        </w:rPr>
        <w:t xml:space="preserve">5.547 </w:t>
      </w:r>
      <w:r w:rsidRPr="007352E9">
        <w:t xml:space="preserve">Las bandas 31,8-33,4 GHz, 37-40 GHz, 40,5-43,5 GHz, 51,4-52,6 GHz, 55,78-59 GHz y 64-66 GHz están disponibles para aplicaciones de alta densidad en el servicio fijo (véase la Resolución </w:t>
      </w:r>
      <w:r w:rsidRPr="007352E9">
        <w:rPr>
          <w:b/>
        </w:rPr>
        <w:t xml:space="preserve">75 </w:t>
      </w:r>
      <w:r w:rsidRPr="007352E9">
        <w:t>(</w:t>
      </w:r>
      <w:r w:rsidRPr="007352E9">
        <w:rPr>
          <w:b/>
        </w:rPr>
        <w:t>CMR-2000</w:t>
      </w:r>
      <w:r w:rsidRPr="007352E9">
        <w:t>)</w:t>
      </w:r>
      <w:r w:rsidR="00F609EB" w:rsidRPr="007352E9">
        <w:rPr>
          <w:rFonts w:ascii="Cambria Math" w:hAnsi="Cambria Math" w:cs="Cambria Math"/>
          <w:vertAlign w:val="superscript"/>
        </w:rPr>
        <w:t>*</w:t>
      </w:r>
      <w:r w:rsidRPr="007352E9">
        <w:t xml:space="preserve">). Las administraciones deben tener en cuenta esta circunstancia cuando consideren las disposiciones reglamentarias relativas a estas bandas. Debido a la posible instalación de aplicaciones de alta densidad en el servicio fijo por satélite en las bandas 39,5-40 GHz y 40,5-42 GHz, (véase el número </w:t>
      </w:r>
      <w:r w:rsidRPr="007352E9">
        <w:rPr>
          <w:b/>
        </w:rPr>
        <w:t>5.516B</w:t>
      </w:r>
      <w:r w:rsidRPr="007352E9">
        <w:t>), las administraciones deben tener en cuenta además las posibles limitaciones a las aplicaciones de alta densidad en el servicio fijo, según el caso. (CMR-07)</w:t>
      </w:r>
    </w:p>
    <w:p w14:paraId="5F932068" w14:textId="77777777" w:rsidR="005A0D01" w:rsidRPr="007352E9" w:rsidRDefault="005A0D01" w:rsidP="00171E29">
      <w:pPr>
        <w:ind w:left="284" w:right="333"/>
        <w:jc w:val="both"/>
      </w:pPr>
      <w:r w:rsidRPr="007352E9">
        <w:rPr>
          <w:b/>
        </w:rPr>
        <w:t>5.556</w:t>
      </w:r>
      <w:r w:rsidR="001427C4" w:rsidRPr="007352E9">
        <w:rPr>
          <w:b/>
        </w:rPr>
        <w:t xml:space="preserve"> </w:t>
      </w:r>
      <w:r w:rsidR="001427C4" w:rsidRPr="007352E9">
        <w:t>En virtud de disposiciones nacionales, pueden llevarse a cabo observaciones de radioastronomía en las bandas 51,4-54,25 GHz, 58,2-59 GHz y 64-65 GHz. (CMR-2000)</w:t>
      </w:r>
    </w:p>
    <w:p w14:paraId="2A4F1431" w14:textId="77777777" w:rsidR="001427C4" w:rsidRPr="007352E9" w:rsidRDefault="001427C4" w:rsidP="00171E29">
      <w:pPr>
        <w:ind w:left="284" w:right="333"/>
        <w:jc w:val="both"/>
      </w:pPr>
      <w:r w:rsidRPr="007352E9">
        <w:rPr>
          <w:b/>
        </w:rPr>
        <w:t>5.556</w:t>
      </w:r>
      <w:r w:rsidR="00592BB8" w:rsidRPr="007352E9">
        <w:rPr>
          <w:b/>
        </w:rPr>
        <w:t>A</w:t>
      </w:r>
      <w:r w:rsidR="000D4D2F" w:rsidRPr="007352E9">
        <w:rPr>
          <w:b/>
        </w:rPr>
        <w:t xml:space="preserve"> </w:t>
      </w:r>
      <w:r w:rsidR="000D4D2F" w:rsidRPr="007352E9">
        <w:t>La utilización de las bandas 54,25-56,9 GHz, 57-58,2 GHz y 59-59,3 GHz por el servicio entre satélites se limita a los satélites geoestacionarios. La densidad de flujo de potencia de una sola fuente en altitudes entre 0 km y 1 000 km sobre la superficie de la Tierra producida por las emisiones procedentes de una estación del servicio entre satélites, para todas las condiciones y todos los métodos de modulación, no deberá rebasar el valor de –147 dB(W/(m</w:t>
      </w:r>
      <w:r w:rsidR="000D4D2F" w:rsidRPr="007352E9">
        <w:rPr>
          <w:vertAlign w:val="superscript"/>
        </w:rPr>
        <w:t>2</w:t>
      </w:r>
      <w:r w:rsidR="000D4D2F" w:rsidRPr="007352E9">
        <w:t xml:space="preserve"> </w:t>
      </w:r>
      <w:r w:rsidR="000D4D2F" w:rsidRPr="007352E9">
        <w:rPr>
          <w:rFonts w:ascii="Cambria Math" w:hAnsi="Cambria Math" w:cs="Cambria Math"/>
        </w:rPr>
        <w:t>⋅</w:t>
      </w:r>
      <w:r w:rsidR="000D4D2F" w:rsidRPr="007352E9">
        <w:t xml:space="preserve"> 100 MHz)), en todos los </w:t>
      </w:r>
      <w:r w:rsidR="000D4D2F" w:rsidRPr="007352E9">
        <w:rPr>
          <w:rFonts w:cs="Calibri"/>
        </w:rPr>
        <w:t>á</w:t>
      </w:r>
      <w:r w:rsidR="000D4D2F" w:rsidRPr="007352E9">
        <w:t>ngulos de incidencia. (CMR-97)</w:t>
      </w:r>
    </w:p>
    <w:p w14:paraId="36C6708C" w14:textId="77777777" w:rsidR="005A0D01" w:rsidRPr="007352E9" w:rsidRDefault="005A0D01" w:rsidP="00171E29">
      <w:pPr>
        <w:ind w:left="284" w:right="333"/>
        <w:jc w:val="both"/>
      </w:pPr>
      <w:r w:rsidRPr="007352E9">
        <w:rPr>
          <w:b/>
        </w:rPr>
        <w:t>5.558</w:t>
      </w:r>
      <w:r w:rsidR="001427C4" w:rsidRPr="007352E9">
        <w:rPr>
          <w:b/>
        </w:rPr>
        <w:t xml:space="preserve"> </w:t>
      </w:r>
      <w:r w:rsidR="001427C4" w:rsidRPr="007352E9">
        <w:t xml:space="preserve">En las bandas 55,78-58,2 GHz, 59-64 GHz, 66-71 GHz, 122,25-123 GHz, 130-134 GHz, 167-174,8 GHz y 191,8-200 GHz podrán utilizarse estaciones del servicio móvil aeronáutico, a reserva de no causar interferencias perjudiciales al servicio entre satélites (véase el número </w:t>
      </w:r>
      <w:r w:rsidR="001427C4" w:rsidRPr="007352E9">
        <w:rPr>
          <w:b/>
        </w:rPr>
        <w:t>5.43</w:t>
      </w:r>
      <w:r w:rsidR="001427C4" w:rsidRPr="007352E9">
        <w:t>). (CMR-2000)</w:t>
      </w:r>
    </w:p>
    <w:p w14:paraId="2322E5ED" w14:textId="0EEF7848" w:rsidR="000811E1" w:rsidRPr="007352E9" w:rsidRDefault="000811E1" w:rsidP="00171E29">
      <w:pPr>
        <w:ind w:left="284" w:right="333"/>
        <w:jc w:val="both"/>
      </w:pPr>
      <w:r w:rsidRPr="007352E9">
        <w:rPr>
          <w:b/>
        </w:rPr>
        <w:lastRenderedPageBreak/>
        <w:t>5.559</w:t>
      </w:r>
      <w:r w:rsidRPr="007352E9">
        <w:t xml:space="preserve"> En la banda 59-64 GHz podrán utilizarse radares a bordo de aeronaves en el servicio de radiolocalización, a reserva de no causar interferencias perjudiciales al servicio entre satélites (véase el número </w:t>
      </w:r>
      <w:r w:rsidRPr="007352E9">
        <w:rPr>
          <w:b/>
        </w:rPr>
        <w:t>5.43</w:t>
      </w:r>
      <w:r w:rsidRPr="007352E9">
        <w:t>). (CMR-2000)</w:t>
      </w:r>
    </w:p>
    <w:p w14:paraId="214A1B7F" w14:textId="77777777" w:rsidR="008655F7" w:rsidRPr="007352E9" w:rsidRDefault="008655F7" w:rsidP="008655F7">
      <w:pPr>
        <w:ind w:right="333"/>
        <w:jc w:val="both"/>
      </w:pPr>
    </w:p>
    <w:p w14:paraId="0B28DE14" w14:textId="3C277C4A" w:rsidR="003E69C8" w:rsidRPr="007352E9" w:rsidRDefault="0025238A" w:rsidP="00506BDF">
      <w:pPr>
        <w:pStyle w:val="Ttulo3"/>
        <w:spacing w:before="0" w:after="120"/>
        <w:ind w:left="283"/>
        <w:rPr>
          <w:rFonts w:asciiTheme="minorHAnsi" w:hAnsiTheme="minorHAnsi"/>
          <w:sz w:val="22"/>
          <w:szCs w:val="22"/>
        </w:rPr>
      </w:pPr>
      <w:bookmarkStart w:id="14" w:name="_Toc474325843"/>
      <w:r w:rsidRPr="007352E9">
        <w:rPr>
          <w:rFonts w:asciiTheme="minorHAnsi" w:hAnsiTheme="minorHAnsi"/>
          <w:sz w:val="22"/>
          <w:szCs w:val="22"/>
        </w:rPr>
        <w:t>C</w:t>
      </w:r>
      <w:r w:rsidR="00B8053C" w:rsidRPr="007352E9">
        <w:rPr>
          <w:rFonts w:asciiTheme="minorHAnsi" w:hAnsiTheme="minorHAnsi"/>
          <w:sz w:val="22"/>
          <w:szCs w:val="22"/>
        </w:rPr>
        <w:t>uadro Nacional de Atribución de Frecuencias</w:t>
      </w:r>
      <w:bookmarkStart w:id="15" w:name="_Toc422489767"/>
      <w:bookmarkStart w:id="16" w:name="_Toc422495268"/>
      <w:bookmarkStart w:id="17" w:name="_Toc426394733"/>
      <w:bookmarkEnd w:id="14"/>
    </w:p>
    <w:p w14:paraId="5579005E" w14:textId="77777777" w:rsidR="003E69C8" w:rsidRPr="007352E9" w:rsidRDefault="003E69C8" w:rsidP="00C733E8">
      <w:pPr>
        <w:jc w:val="both"/>
      </w:pPr>
      <w:r w:rsidRPr="007352E9">
        <w:t>El Cuadro Nacional de Atribución de Frecuencias (CNAF) es la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1E0FF216" w14:textId="663C573D" w:rsidR="003E69C8" w:rsidRPr="007352E9" w:rsidRDefault="003E69C8" w:rsidP="00C733E8">
      <w:pPr>
        <w:jc w:val="both"/>
      </w:pPr>
      <w:r w:rsidRPr="007352E9">
        <w:t>En este sentido, la atribución de una banda de frecuencias constituye el acto por el cual una banda de frecuencias determinada se destina al uso de uno o varios servicios de radiocomunicación</w:t>
      </w:r>
      <w:r w:rsidR="00506BDF" w:rsidRPr="007352E9">
        <w:t xml:space="preserve"> en nuestro país</w:t>
      </w:r>
      <w:r w:rsidRPr="007352E9">
        <w:t>, conforme al propio CNAF.</w:t>
      </w:r>
    </w:p>
    <w:tbl>
      <w:tblPr>
        <w:tblStyle w:val="Tabladelista5oscura-nfasis6"/>
        <w:tblW w:w="0" w:type="auto"/>
        <w:jc w:val="center"/>
        <w:tblLook w:val="0000" w:firstRow="0" w:lastRow="0" w:firstColumn="0" w:lastColumn="0" w:noHBand="0" w:noVBand="0"/>
        <w:tblCaption w:val="Tabla"/>
        <w:tblDescription w:val="Tabla: Atribución nacional y notas nacionales"/>
      </w:tblPr>
      <w:tblGrid>
        <w:gridCol w:w="4370"/>
        <w:gridCol w:w="1631"/>
      </w:tblGrid>
      <w:tr w:rsidR="00812A5F" w:rsidRPr="007352E9" w14:paraId="509CD951" w14:textId="77777777" w:rsidTr="002C6363">
        <w:trPr>
          <w:tblHeader/>
          <w:jc w:val="center"/>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70AD47" w:themeColor="accent6"/>
            </w:tcBorders>
          </w:tcPr>
          <w:p w14:paraId="4D1CFE17" w14:textId="77777777" w:rsidR="00812A5F" w:rsidRPr="007352E9" w:rsidRDefault="00812A5F" w:rsidP="00B8583D">
            <w:pPr>
              <w:jc w:val="center"/>
              <w:rPr>
                <w:b/>
                <w:sz w:val="20"/>
              </w:rPr>
            </w:pPr>
            <w:r w:rsidRPr="007352E9">
              <w:rPr>
                <w:b/>
                <w:sz w:val="20"/>
              </w:rPr>
              <w:t>Atribución nacional</w:t>
            </w:r>
          </w:p>
        </w:tc>
        <w:tc>
          <w:tcPr>
            <w:cnfStyle w:val="000001000000" w:firstRow="0" w:lastRow="0" w:firstColumn="0" w:lastColumn="0" w:oddVBand="0" w:evenVBand="1" w:oddHBand="0" w:evenHBand="0" w:firstRowFirstColumn="0" w:firstRowLastColumn="0" w:lastRowFirstColumn="0" w:lastRowLastColumn="0"/>
            <w:tcW w:w="0" w:type="auto"/>
            <w:tcBorders>
              <w:bottom w:val="single" w:sz="4" w:space="0" w:color="70AD47" w:themeColor="accent6"/>
            </w:tcBorders>
          </w:tcPr>
          <w:p w14:paraId="6C4C927E" w14:textId="77777777" w:rsidR="00812A5F" w:rsidRPr="007352E9" w:rsidRDefault="00812A5F" w:rsidP="00B8583D">
            <w:pPr>
              <w:jc w:val="center"/>
              <w:rPr>
                <w:b/>
                <w:sz w:val="20"/>
              </w:rPr>
            </w:pPr>
            <w:r w:rsidRPr="007352E9">
              <w:rPr>
                <w:b/>
                <w:sz w:val="20"/>
              </w:rPr>
              <w:t>Notas nacionales</w:t>
            </w:r>
          </w:p>
        </w:tc>
      </w:tr>
      <w:tr w:rsidR="00812A5F" w:rsidRPr="007352E9" w14:paraId="13C9B154" w14:textId="77777777" w:rsidTr="000123BF">
        <w:trPr>
          <w:cnfStyle w:val="000000100000" w:firstRow="0" w:lastRow="0" w:firstColumn="0" w:lastColumn="0" w:oddVBand="0" w:evenVBand="0" w:oddHBand="1" w:evenHBand="0" w:firstRowFirstColumn="0" w:firstRowLastColumn="0" w:lastRowFirstColumn="0" w:lastRowLastColumn="0"/>
          <w:trHeight w:val="498"/>
          <w:jc w:val="cent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2C49E7D8" w14:textId="11151DCA" w:rsidR="00812A5F" w:rsidRPr="007352E9" w:rsidRDefault="00812A5F" w:rsidP="000123BF">
            <w:pPr>
              <w:rPr>
                <w:b/>
                <w:color w:val="auto"/>
                <w:sz w:val="20"/>
              </w:rPr>
            </w:pPr>
            <w:r w:rsidRPr="007352E9">
              <w:rPr>
                <w:b/>
                <w:color w:val="auto"/>
                <w:sz w:val="20"/>
                <w:lang w:val="es-ES_tradnl"/>
              </w:rPr>
              <w:t>55.78-58.2</w:t>
            </w:r>
          </w:p>
          <w:p w14:paraId="721A64B9" w14:textId="77777777" w:rsidR="00812A5F" w:rsidRPr="007352E9" w:rsidRDefault="00812A5F" w:rsidP="000123BF">
            <w:pPr>
              <w:rPr>
                <w:color w:val="auto"/>
                <w:sz w:val="20"/>
                <w:lang w:val="es-ES_tradnl"/>
              </w:rPr>
            </w:pPr>
            <w:r w:rsidRPr="007352E9">
              <w:rPr>
                <w:color w:val="auto"/>
                <w:sz w:val="20"/>
                <w:lang w:val="es-ES_tradnl"/>
              </w:rPr>
              <w:t>ENTRE SATÉLITES</w:t>
            </w:r>
          </w:p>
          <w:p w14:paraId="64E18961" w14:textId="77777777" w:rsidR="00812A5F" w:rsidRPr="007352E9" w:rsidRDefault="00812A5F" w:rsidP="000123BF">
            <w:pPr>
              <w:rPr>
                <w:color w:val="auto"/>
                <w:sz w:val="20"/>
                <w:lang w:val="es-ES_tradnl"/>
              </w:rPr>
            </w:pPr>
            <w:r w:rsidRPr="007352E9">
              <w:rPr>
                <w:color w:val="auto"/>
                <w:sz w:val="20"/>
                <w:lang w:val="es-ES_tradnl"/>
              </w:rPr>
              <w:t>EXPLORACIÓN DE LA TIERRA POR SATÉLITE (pasivo)</w:t>
            </w:r>
          </w:p>
          <w:p w14:paraId="72E2D974" w14:textId="77777777" w:rsidR="00812A5F" w:rsidRPr="007352E9" w:rsidRDefault="00812A5F" w:rsidP="000123BF">
            <w:pPr>
              <w:rPr>
                <w:color w:val="auto"/>
                <w:sz w:val="20"/>
                <w:lang w:val="es-ES_tradnl"/>
              </w:rPr>
            </w:pPr>
            <w:r w:rsidRPr="007352E9">
              <w:rPr>
                <w:color w:val="auto"/>
                <w:sz w:val="20"/>
                <w:lang w:val="es-ES_tradnl"/>
              </w:rPr>
              <w:t>FIJO</w:t>
            </w:r>
          </w:p>
          <w:p w14:paraId="1BF4956C" w14:textId="77777777" w:rsidR="00812A5F" w:rsidRPr="007352E9" w:rsidRDefault="00812A5F" w:rsidP="000123BF">
            <w:pPr>
              <w:rPr>
                <w:color w:val="auto"/>
                <w:sz w:val="20"/>
                <w:lang w:val="es-ES_tradnl"/>
              </w:rPr>
            </w:pPr>
            <w:r w:rsidRPr="007352E9">
              <w:rPr>
                <w:color w:val="auto"/>
                <w:sz w:val="20"/>
                <w:lang w:val="es-ES_tradnl"/>
              </w:rPr>
              <w:t>INVESTIGACIÓN ESPACIAL (pasivo)</w:t>
            </w:r>
          </w:p>
          <w:p w14:paraId="2A502721" w14:textId="7D93C6B8" w:rsidR="00812A5F" w:rsidRPr="007352E9" w:rsidRDefault="00812A5F" w:rsidP="000123BF">
            <w:pPr>
              <w:rPr>
                <w:color w:val="auto"/>
                <w:sz w:val="20"/>
              </w:rPr>
            </w:pPr>
            <w:r w:rsidRPr="007352E9">
              <w:rPr>
                <w:color w:val="auto"/>
                <w:sz w:val="20"/>
                <w:lang w:val="es-ES_tradnl"/>
              </w:rPr>
              <w:t>MÓVIL</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FF9F8C6" w14:textId="492A3F24" w:rsidR="00812A5F" w:rsidRPr="007352E9" w:rsidRDefault="00812A5F" w:rsidP="000123BF">
            <w:pPr>
              <w:jc w:val="center"/>
              <w:rPr>
                <w:color w:val="auto"/>
                <w:sz w:val="20"/>
              </w:rPr>
            </w:pPr>
            <w:r w:rsidRPr="007352E9">
              <w:rPr>
                <w:color w:val="auto"/>
                <w:sz w:val="20"/>
              </w:rPr>
              <w:t>MX278</w:t>
            </w:r>
          </w:p>
        </w:tc>
      </w:tr>
      <w:tr w:rsidR="00812A5F" w:rsidRPr="007352E9" w14:paraId="5A3468CC" w14:textId="77777777" w:rsidTr="000123BF">
        <w:trPr>
          <w:trHeight w:val="498"/>
          <w:jc w:val="cent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3BA49E7C" w14:textId="6B6234A3" w:rsidR="00812A5F" w:rsidRPr="007352E9" w:rsidRDefault="00812A5F" w:rsidP="000123BF">
            <w:pPr>
              <w:rPr>
                <w:b/>
                <w:color w:val="auto"/>
                <w:sz w:val="20"/>
              </w:rPr>
            </w:pPr>
            <w:r w:rsidRPr="007352E9">
              <w:rPr>
                <w:b/>
                <w:color w:val="auto"/>
                <w:sz w:val="20"/>
                <w:lang w:val="es-ES_tradnl"/>
              </w:rPr>
              <w:t>58.2-59</w:t>
            </w:r>
          </w:p>
          <w:p w14:paraId="3560D303" w14:textId="213A34DE" w:rsidR="00812A5F" w:rsidRPr="007352E9" w:rsidRDefault="00812A5F" w:rsidP="000123BF">
            <w:pPr>
              <w:rPr>
                <w:color w:val="auto"/>
                <w:sz w:val="20"/>
                <w:lang w:val="es-ES_tradnl"/>
              </w:rPr>
            </w:pPr>
            <w:r w:rsidRPr="007352E9">
              <w:rPr>
                <w:color w:val="auto"/>
                <w:sz w:val="20"/>
                <w:lang w:val="es-ES_tradnl"/>
              </w:rPr>
              <w:t>EXPLORACIÓN DE LA TIERRA POR SATÉLITE (pasivo)</w:t>
            </w:r>
          </w:p>
          <w:p w14:paraId="510ADE26" w14:textId="28F925CF" w:rsidR="00812A5F" w:rsidRPr="007352E9" w:rsidRDefault="00812A5F" w:rsidP="000123BF">
            <w:pPr>
              <w:rPr>
                <w:color w:val="auto"/>
                <w:sz w:val="20"/>
                <w:lang w:val="es-ES_tradnl"/>
              </w:rPr>
            </w:pPr>
            <w:r w:rsidRPr="007352E9">
              <w:rPr>
                <w:color w:val="auto"/>
                <w:sz w:val="20"/>
                <w:lang w:val="es-ES_tradnl"/>
              </w:rPr>
              <w:t>FIJO</w:t>
            </w:r>
          </w:p>
          <w:p w14:paraId="5E8BFD5E" w14:textId="2EC8FDB4" w:rsidR="00812A5F" w:rsidRPr="007352E9" w:rsidRDefault="00812A5F" w:rsidP="000123BF">
            <w:pPr>
              <w:rPr>
                <w:color w:val="auto"/>
                <w:sz w:val="20"/>
                <w:lang w:val="es-ES_tradnl"/>
              </w:rPr>
            </w:pPr>
            <w:r w:rsidRPr="007352E9">
              <w:rPr>
                <w:color w:val="auto"/>
                <w:sz w:val="20"/>
                <w:lang w:val="es-ES_tradnl"/>
              </w:rPr>
              <w:t>INVESTIGACIÓN ESPACIAL (pasivo)</w:t>
            </w:r>
          </w:p>
          <w:p w14:paraId="3B83F2D7" w14:textId="2ED33595" w:rsidR="00812A5F" w:rsidRPr="007352E9" w:rsidRDefault="00812A5F" w:rsidP="000123BF">
            <w:pPr>
              <w:rPr>
                <w:b/>
                <w:color w:val="auto"/>
                <w:sz w:val="20"/>
                <w:lang w:val="es-ES_tradnl"/>
              </w:rPr>
            </w:pPr>
            <w:r w:rsidRPr="007352E9">
              <w:rPr>
                <w:color w:val="auto"/>
                <w:sz w:val="20"/>
                <w:lang w:val="es-ES_tradnl"/>
              </w:rPr>
              <w:t>MÓVIL</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007E6F7" w14:textId="49EC8375" w:rsidR="00812A5F" w:rsidRPr="007352E9" w:rsidRDefault="00812A5F" w:rsidP="000123BF">
            <w:pPr>
              <w:jc w:val="center"/>
              <w:rPr>
                <w:color w:val="auto"/>
                <w:sz w:val="20"/>
              </w:rPr>
            </w:pPr>
            <w:r w:rsidRPr="007352E9">
              <w:rPr>
                <w:color w:val="auto"/>
                <w:sz w:val="20"/>
              </w:rPr>
              <w:t>MX279</w:t>
            </w:r>
          </w:p>
        </w:tc>
      </w:tr>
      <w:tr w:rsidR="00812A5F" w:rsidRPr="007352E9" w14:paraId="4C99FA05" w14:textId="77777777" w:rsidTr="000123BF">
        <w:trPr>
          <w:cnfStyle w:val="000000100000" w:firstRow="0" w:lastRow="0" w:firstColumn="0" w:lastColumn="0" w:oddVBand="0" w:evenVBand="0" w:oddHBand="1" w:evenHBand="0" w:firstRowFirstColumn="0" w:firstRowLastColumn="0" w:lastRowFirstColumn="0" w:lastRowLastColumn="0"/>
          <w:trHeight w:val="498"/>
          <w:jc w:val="cent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4A1982F5" w14:textId="4FC1D57B" w:rsidR="00812A5F" w:rsidRPr="007352E9" w:rsidRDefault="00812A5F" w:rsidP="000123BF">
            <w:pPr>
              <w:rPr>
                <w:b/>
                <w:color w:val="auto"/>
                <w:sz w:val="20"/>
                <w:lang w:val="es-ES_tradnl"/>
              </w:rPr>
            </w:pPr>
            <w:r w:rsidRPr="007352E9">
              <w:rPr>
                <w:b/>
                <w:color w:val="auto"/>
                <w:sz w:val="20"/>
                <w:lang w:val="es-ES_tradnl"/>
              </w:rPr>
              <w:t>59-59.3</w:t>
            </w:r>
          </w:p>
          <w:p w14:paraId="64447BC3" w14:textId="77777777" w:rsidR="00812A5F" w:rsidRPr="007352E9" w:rsidRDefault="00812A5F" w:rsidP="000123BF">
            <w:pPr>
              <w:rPr>
                <w:color w:val="auto"/>
                <w:sz w:val="20"/>
                <w:lang w:val="es-ES_tradnl"/>
              </w:rPr>
            </w:pPr>
            <w:r w:rsidRPr="007352E9">
              <w:rPr>
                <w:color w:val="auto"/>
                <w:sz w:val="20"/>
                <w:lang w:val="es-ES_tradnl"/>
              </w:rPr>
              <w:t>ENTRE SATÉLITES</w:t>
            </w:r>
          </w:p>
          <w:p w14:paraId="324CCD25" w14:textId="77777777" w:rsidR="00812A5F" w:rsidRPr="007352E9" w:rsidRDefault="00812A5F" w:rsidP="000123BF">
            <w:pPr>
              <w:rPr>
                <w:color w:val="auto"/>
                <w:sz w:val="20"/>
                <w:lang w:val="es-ES_tradnl"/>
              </w:rPr>
            </w:pPr>
            <w:r w:rsidRPr="007352E9">
              <w:rPr>
                <w:color w:val="auto"/>
                <w:sz w:val="20"/>
                <w:lang w:val="es-ES_tradnl"/>
              </w:rPr>
              <w:t>EXPLORACIÓN DE LA TIERRA POR SATÉLITE (pasivo)</w:t>
            </w:r>
          </w:p>
          <w:p w14:paraId="4766CE19" w14:textId="77777777" w:rsidR="00812A5F" w:rsidRPr="007352E9" w:rsidRDefault="00812A5F" w:rsidP="000123BF">
            <w:pPr>
              <w:rPr>
                <w:color w:val="auto"/>
                <w:sz w:val="20"/>
                <w:lang w:val="es-ES_tradnl"/>
              </w:rPr>
            </w:pPr>
            <w:r w:rsidRPr="007352E9">
              <w:rPr>
                <w:color w:val="auto"/>
                <w:sz w:val="20"/>
                <w:lang w:val="es-ES_tradnl"/>
              </w:rPr>
              <w:t>FIJO</w:t>
            </w:r>
          </w:p>
          <w:p w14:paraId="4DFD5DC3" w14:textId="77777777" w:rsidR="00812A5F" w:rsidRPr="007352E9" w:rsidRDefault="00812A5F" w:rsidP="000123BF">
            <w:pPr>
              <w:rPr>
                <w:color w:val="auto"/>
                <w:sz w:val="20"/>
                <w:lang w:val="es-ES_tradnl"/>
              </w:rPr>
            </w:pPr>
            <w:r w:rsidRPr="007352E9">
              <w:rPr>
                <w:color w:val="auto"/>
                <w:sz w:val="20"/>
                <w:lang w:val="es-ES_tradnl"/>
              </w:rPr>
              <w:t>INVESTIGACIÓN ESPACIAL (pasivo)</w:t>
            </w:r>
          </w:p>
          <w:p w14:paraId="640907C6" w14:textId="77777777" w:rsidR="00812A5F" w:rsidRPr="007352E9" w:rsidRDefault="00812A5F" w:rsidP="000123BF">
            <w:pPr>
              <w:rPr>
                <w:color w:val="auto"/>
                <w:sz w:val="20"/>
                <w:lang w:val="es-ES_tradnl"/>
              </w:rPr>
            </w:pPr>
            <w:r w:rsidRPr="007352E9">
              <w:rPr>
                <w:color w:val="auto"/>
                <w:sz w:val="20"/>
                <w:lang w:val="es-ES_tradnl"/>
              </w:rPr>
              <w:t>MÓVIL</w:t>
            </w:r>
          </w:p>
          <w:p w14:paraId="61E833B6" w14:textId="3B5F1BEA" w:rsidR="00812A5F" w:rsidRPr="007352E9" w:rsidRDefault="00812A5F" w:rsidP="000123BF">
            <w:pPr>
              <w:rPr>
                <w:color w:val="auto"/>
                <w:sz w:val="20"/>
                <w:lang w:val="es-ES_tradnl"/>
              </w:rPr>
            </w:pPr>
            <w:r w:rsidRPr="007352E9">
              <w:rPr>
                <w:color w:val="auto"/>
                <w:sz w:val="20"/>
                <w:lang w:val="es-ES_tradnl"/>
              </w:rPr>
              <w:t>RADIOLOCALIZACIÓN</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2414CA19" w14:textId="69112F3A" w:rsidR="00812A5F" w:rsidRPr="007352E9" w:rsidRDefault="00812A5F" w:rsidP="000123BF">
            <w:pPr>
              <w:jc w:val="center"/>
              <w:rPr>
                <w:color w:val="auto"/>
                <w:sz w:val="20"/>
              </w:rPr>
            </w:pPr>
            <w:r w:rsidRPr="007352E9">
              <w:rPr>
                <w:color w:val="auto"/>
                <w:sz w:val="20"/>
              </w:rPr>
              <w:t>MX280</w:t>
            </w:r>
          </w:p>
        </w:tc>
      </w:tr>
      <w:tr w:rsidR="00812A5F" w:rsidRPr="007352E9" w14:paraId="3F86B81C" w14:textId="77777777" w:rsidTr="000123BF">
        <w:trPr>
          <w:trHeight w:val="498"/>
          <w:jc w:val="cent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2E51D8D9" w14:textId="14F8CC09" w:rsidR="00812A5F" w:rsidRPr="007352E9" w:rsidRDefault="00812A5F" w:rsidP="000123BF">
            <w:pPr>
              <w:rPr>
                <w:b/>
                <w:color w:val="auto"/>
                <w:sz w:val="20"/>
                <w:lang w:val="es-ES_tradnl"/>
              </w:rPr>
            </w:pPr>
            <w:r w:rsidRPr="007352E9">
              <w:rPr>
                <w:b/>
                <w:color w:val="auto"/>
                <w:sz w:val="20"/>
                <w:lang w:val="es-ES_tradnl"/>
              </w:rPr>
              <w:t>59.3-64</w:t>
            </w:r>
          </w:p>
          <w:p w14:paraId="522F502A" w14:textId="77777777" w:rsidR="00812A5F" w:rsidRPr="007352E9" w:rsidRDefault="00812A5F" w:rsidP="000123BF">
            <w:pPr>
              <w:rPr>
                <w:color w:val="auto"/>
                <w:sz w:val="20"/>
                <w:lang w:val="es-ES_tradnl"/>
              </w:rPr>
            </w:pPr>
            <w:r w:rsidRPr="007352E9">
              <w:rPr>
                <w:color w:val="auto"/>
                <w:sz w:val="20"/>
                <w:lang w:val="es-ES_tradnl"/>
              </w:rPr>
              <w:t>ENTRE SATÉLITES</w:t>
            </w:r>
          </w:p>
          <w:p w14:paraId="718FE586" w14:textId="77777777" w:rsidR="00812A5F" w:rsidRPr="007352E9" w:rsidRDefault="00812A5F" w:rsidP="000123BF">
            <w:pPr>
              <w:rPr>
                <w:color w:val="auto"/>
                <w:sz w:val="20"/>
                <w:lang w:val="es-ES_tradnl"/>
              </w:rPr>
            </w:pPr>
            <w:r w:rsidRPr="007352E9">
              <w:rPr>
                <w:color w:val="auto"/>
                <w:sz w:val="20"/>
                <w:lang w:val="es-ES_tradnl"/>
              </w:rPr>
              <w:t>FIJO</w:t>
            </w:r>
          </w:p>
          <w:p w14:paraId="1BE6F283" w14:textId="77777777" w:rsidR="00812A5F" w:rsidRPr="007352E9" w:rsidRDefault="00812A5F" w:rsidP="000123BF">
            <w:pPr>
              <w:rPr>
                <w:color w:val="auto"/>
                <w:sz w:val="20"/>
                <w:lang w:val="es-ES_tradnl"/>
              </w:rPr>
            </w:pPr>
            <w:r w:rsidRPr="007352E9">
              <w:rPr>
                <w:color w:val="auto"/>
                <w:sz w:val="20"/>
                <w:lang w:val="es-ES_tradnl"/>
              </w:rPr>
              <w:t>MÓVIL</w:t>
            </w:r>
          </w:p>
          <w:p w14:paraId="4F7F1021" w14:textId="3BD4450B" w:rsidR="00812A5F" w:rsidRPr="007352E9" w:rsidRDefault="00812A5F" w:rsidP="000123BF">
            <w:pPr>
              <w:rPr>
                <w:color w:val="auto"/>
                <w:sz w:val="20"/>
                <w:lang w:val="es-ES_tradnl"/>
              </w:rPr>
            </w:pPr>
            <w:r w:rsidRPr="007352E9">
              <w:rPr>
                <w:color w:val="auto"/>
                <w:sz w:val="20"/>
                <w:lang w:val="es-ES_tradnl"/>
              </w:rPr>
              <w:t>RADIOLOCALIZACIÓN</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Pr>
          <w:p w14:paraId="589AA3B2" w14:textId="77777777" w:rsidR="00812A5F" w:rsidRPr="007352E9" w:rsidRDefault="00812A5F" w:rsidP="000123BF">
            <w:pPr>
              <w:jc w:val="center"/>
              <w:rPr>
                <w:color w:val="auto"/>
                <w:sz w:val="20"/>
              </w:rPr>
            </w:pPr>
          </w:p>
        </w:tc>
      </w:tr>
    </w:tbl>
    <w:p w14:paraId="30EE4745" w14:textId="77777777" w:rsidR="00A9511C" w:rsidRPr="007352E9" w:rsidRDefault="00A9511C" w:rsidP="008826D1">
      <w:pPr>
        <w:spacing w:after="0"/>
      </w:pPr>
    </w:p>
    <w:p w14:paraId="4030FCF4" w14:textId="77777777" w:rsidR="0025238A" w:rsidRPr="007352E9" w:rsidRDefault="0025238A" w:rsidP="00506BDF">
      <w:pPr>
        <w:pStyle w:val="Ttulo3"/>
        <w:spacing w:before="0" w:after="120"/>
        <w:ind w:left="283"/>
        <w:rPr>
          <w:rFonts w:asciiTheme="minorHAnsi" w:hAnsiTheme="minorHAnsi"/>
          <w:sz w:val="22"/>
          <w:szCs w:val="22"/>
        </w:rPr>
      </w:pPr>
      <w:bookmarkStart w:id="18" w:name="_Toc474325844"/>
      <w:r w:rsidRPr="007352E9">
        <w:rPr>
          <w:rFonts w:asciiTheme="minorHAnsi" w:hAnsiTheme="minorHAnsi"/>
          <w:sz w:val="22"/>
          <w:szCs w:val="22"/>
        </w:rPr>
        <w:t>Notas Nacionales Relevantes</w:t>
      </w:r>
      <w:bookmarkEnd w:id="15"/>
      <w:bookmarkEnd w:id="16"/>
      <w:bookmarkEnd w:id="17"/>
      <w:bookmarkEnd w:id="18"/>
    </w:p>
    <w:p w14:paraId="02CB6834" w14:textId="0AD3E476" w:rsidR="008E2F1E" w:rsidRPr="007352E9" w:rsidRDefault="00812A5F" w:rsidP="00171E29">
      <w:pPr>
        <w:spacing w:line="240" w:lineRule="auto"/>
        <w:ind w:left="284" w:right="333"/>
        <w:jc w:val="both"/>
        <w:rPr>
          <w:rFonts w:cs="Calibri"/>
          <w:bCs/>
          <w:color w:val="000000"/>
        </w:rPr>
      </w:pPr>
      <w:r w:rsidRPr="007352E9">
        <w:rPr>
          <w:rFonts w:cs="Calibri"/>
          <w:b/>
          <w:bCs/>
          <w:color w:val="000000"/>
        </w:rPr>
        <w:t xml:space="preserve">MX278 </w:t>
      </w:r>
      <w:r w:rsidRPr="007352E9">
        <w:rPr>
          <w:rFonts w:cs="Calibri"/>
          <w:bCs/>
          <w:color w:val="000000"/>
        </w:rPr>
        <w:t>La banda de frecuencias 55.78 – 58.2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0150B771" w14:textId="10040E52" w:rsidR="00812A5F" w:rsidRPr="007352E9" w:rsidRDefault="00812A5F" w:rsidP="00171E29">
      <w:pPr>
        <w:spacing w:line="240" w:lineRule="auto"/>
        <w:ind w:left="284" w:right="333"/>
        <w:jc w:val="both"/>
      </w:pPr>
      <w:r w:rsidRPr="007352E9">
        <w:rPr>
          <w:b/>
        </w:rPr>
        <w:lastRenderedPageBreak/>
        <w:t xml:space="preserve">MX279 </w:t>
      </w:r>
      <w:r w:rsidRPr="007352E9">
        <w:t>La banda de frecuencias 58.2 – 59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71AEF677" w14:textId="2A014D8B" w:rsidR="008826D1" w:rsidRPr="007352E9" w:rsidRDefault="00812A5F" w:rsidP="00171E29">
      <w:pPr>
        <w:spacing w:line="240" w:lineRule="auto"/>
        <w:ind w:left="284" w:right="333"/>
        <w:jc w:val="both"/>
      </w:pPr>
      <w:r w:rsidRPr="007352E9">
        <w:rPr>
          <w:b/>
        </w:rPr>
        <w:t>MX280</w:t>
      </w:r>
      <w:r w:rsidRPr="007352E9">
        <w:t xml:space="preserve"> La banda de frecuencias 59 – 59.3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radiolocalización y entre satélites no deberá causar interferencias perjudiciales a la operación del servicio de exploración de la Tierra por satélite, ni deberá reclamar protección contra interferencias perjudiciales provenientes de dicho servicio.</w:t>
      </w:r>
    </w:p>
    <w:p w14:paraId="61F03EED" w14:textId="77777777" w:rsidR="00CB4B32" w:rsidRPr="007352E9" w:rsidRDefault="00CB4B32" w:rsidP="00CB4B32">
      <w:pPr>
        <w:spacing w:line="240" w:lineRule="auto"/>
        <w:ind w:right="333"/>
        <w:jc w:val="both"/>
      </w:pPr>
    </w:p>
    <w:p w14:paraId="230064CB" w14:textId="54E4B6EA" w:rsidR="00BA655F" w:rsidRPr="007352E9" w:rsidRDefault="00BA655F" w:rsidP="00506BDF">
      <w:pPr>
        <w:pStyle w:val="Ttulo2"/>
        <w:tabs>
          <w:tab w:val="left" w:pos="426"/>
        </w:tabs>
        <w:ind w:left="284"/>
        <w:rPr>
          <w:rFonts w:asciiTheme="minorHAnsi" w:hAnsiTheme="minorHAnsi"/>
          <w:sz w:val="22"/>
        </w:rPr>
      </w:pPr>
      <w:bookmarkStart w:id="19" w:name="_Toc474325845"/>
      <w:r w:rsidRPr="007352E9">
        <w:rPr>
          <w:rFonts w:asciiTheme="minorHAnsi" w:hAnsiTheme="minorHAnsi"/>
          <w:sz w:val="22"/>
        </w:rPr>
        <w:t>Estandarización</w:t>
      </w:r>
      <w:r w:rsidR="00CB4B32" w:rsidRPr="007352E9">
        <w:rPr>
          <w:rFonts w:asciiTheme="minorHAnsi" w:hAnsiTheme="minorHAnsi"/>
          <w:sz w:val="22"/>
        </w:rPr>
        <w:t xml:space="preserve"> y Recomendaciones</w:t>
      </w:r>
      <w:bookmarkEnd w:id="19"/>
    </w:p>
    <w:p w14:paraId="330D96FA" w14:textId="39E39814" w:rsidR="008655F7" w:rsidRPr="007352E9" w:rsidRDefault="00CB4B32" w:rsidP="00CB4B32">
      <w:pPr>
        <w:spacing w:after="120"/>
        <w:jc w:val="both"/>
      </w:pPr>
      <w:r w:rsidRPr="007352E9">
        <w:t>Mundialmente existen diversos organismos que se encargan de estudiar y proponer lineamientos o reglas, reportes y recomendaciones, para el desarrollo de tecnología, los resultados de dichos lineamientos se plasman en estándares que son adoptados por la industria, academia, fabricantes, etc</w:t>
      </w:r>
      <w:r w:rsidR="00CB3818" w:rsidRPr="007352E9">
        <w:t>.</w:t>
      </w:r>
      <w:r w:rsidRPr="007352E9">
        <w:t>, y buscan establecer los parámetros y características que permitan armonizar el uso del espectro, fomentar economías de escala y log</w:t>
      </w:r>
      <w:r w:rsidR="005054FA" w:rsidRPr="007352E9">
        <w:t>r</w:t>
      </w:r>
      <w:r w:rsidRPr="007352E9">
        <w:t>ar un mayor desarrollo del sector.</w:t>
      </w:r>
    </w:p>
    <w:p w14:paraId="60F273D5" w14:textId="77777777" w:rsidR="008655F7" w:rsidRPr="007352E9" w:rsidRDefault="008655F7" w:rsidP="00CB4B32">
      <w:pPr>
        <w:spacing w:after="120"/>
        <w:jc w:val="both"/>
      </w:pPr>
    </w:p>
    <w:p w14:paraId="60E93B36" w14:textId="47DC1854" w:rsidR="00CB4B32" w:rsidRPr="007352E9" w:rsidRDefault="00CB3818" w:rsidP="00CB4B32">
      <w:pPr>
        <w:pStyle w:val="Ttulo3"/>
        <w:spacing w:before="0" w:after="120"/>
        <w:ind w:left="283"/>
        <w:rPr>
          <w:rFonts w:asciiTheme="minorHAnsi" w:hAnsiTheme="minorHAnsi"/>
          <w:sz w:val="22"/>
          <w:szCs w:val="22"/>
        </w:rPr>
      </w:pPr>
      <w:bookmarkStart w:id="20" w:name="_Toc474325846"/>
      <w:r w:rsidRPr="007352E9">
        <w:rPr>
          <w:rFonts w:asciiTheme="minorHAnsi" w:hAnsiTheme="minorHAnsi"/>
          <w:sz w:val="22"/>
          <w:szCs w:val="22"/>
        </w:rPr>
        <w:t>Estándares</w:t>
      </w:r>
      <w:bookmarkEnd w:id="20"/>
    </w:p>
    <w:p w14:paraId="473A9DA9" w14:textId="6C084E03" w:rsidR="00825DB7" w:rsidRPr="007352E9" w:rsidRDefault="00180D05" w:rsidP="00CB4B32">
      <w:pPr>
        <w:spacing w:after="120"/>
        <w:jc w:val="both"/>
      </w:pPr>
      <w:r w:rsidRPr="007352E9">
        <w:t>En este sentido, d</w:t>
      </w:r>
      <w:r w:rsidR="00E61488" w:rsidRPr="007352E9">
        <w:t>esde hace varios años la banda de frecuencias de 60 GHz ha sido estudiada e incluida en estándares para tecnologías de altas tasas de transmisión, debido al ancho de banda del segmento 57-64 GHz. Tal es el caso del estándar</w:t>
      </w:r>
      <w:r w:rsidR="000953FA" w:rsidRPr="007352E9">
        <w:t xml:space="preserve"> </w:t>
      </w:r>
      <w:r w:rsidR="00E61488" w:rsidRPr="007352E9">
        <w:t>802.11ad</w:t>
      </w:r>
      <w:r w:rsidR="000953FA" w:rsidRPr="007352E9">
        <w:t>,</w:t>
      </w:r>
      <w:r w:rsidR="00015DCF" w:rsidRPr="007352E9">
        <w:t xml:space="preserve"> conocido también como “WiGig”</w:t>
      </w:r>
      <w:r w:rsidR="00816F48" w:rsidRPr="007352E9">
        <w:t>, sobre redes de acceso inalámbrico local (WLAN)</w:t>
      </w:r>
      <w:r w:rsidR="000953FA" w:rsidRPr="007352E9">
        <w:t>; así como el estándar</w:t>
      </w:r>
      <w:r w:rsidR="00E61488" w:rsidRPr="007352E9">
        <w:t xml:space="preserve"> </w:t>
      </w:r>
      <w:r w:rsidR="000953FA" w:rsidRPr="007352E9">
        <w:t xml:space="preserve">802.15.3-2016, </w:t>
      </w:r>
      <w:r w:rsidR="00F87B14" w:rsidRPr="007352E9">
        <w:t>“IEEE Standard for High Data Rate Wireless Multi-Media Networks”</w:t>
      </w:r>
      <w:r w:rsidR="00816F48" w:rsidRPr="007352E9">
        <w:t>, sobre redes de acceso inalámbrico personal (WPAN)</w:t>
      </w:r>
      <w:r w:rsidR="000953FA" w:rsidRPr="007352E9">
        <w:t>. A</w:t>
      </w:r>
      <w:r w:rsidR="00367DC6" w:rsidRPr="007352E9">
        <w:t>mbos</w:t>
      </w:r>
      <w:r w:rsidR="00816F48" w:rsidRPr="007352E9">
        <w:t xml:space="preserve"> definidos por el organismo de estandarización IEEE (Institute of Electrical and Electronics Engineers).</w:t>
      </w:r>
      <w:r w:rsidR="001F5E62" w:rsidRPr="007352E9">
        <w:t xml:space="preserve"> </w:t>
      </w:r>
      <w:r w:rsidR="00825DB7" w:rsidRPr="007352E9">
        <w:t>Algunos de los estándares para esta banda de frecuencias son:</w:t>
      </w:r>
    </w:p>
    <w:tbl>
      <w:tblPr>
        <w:tblStyle w:val="Tabladelista5oscura-nfasis6"/>
        <w:tblW w:w="0" w:type="auto"/>
        <w:jc w:val="center"/>
        <w:tblLook w:val="0000" w:firstRow="0" w:lastRow="0" w:firstColumn="0" w:lastColumn="0" w:noHBand="0" w:noVBand="0"/>
        <w:tblCaption w:val="TABLA"/>
        <w:tblDescription w:val="TABLA EN LA CUAL SE DECRIBE EL ORGANISMO Y EL ESTANDAR"/>
      </w:tblPr>
      <w:tblGrid>
        <w:gridCol w:w="1213"/>
        <w:gridCol w:w="1158"/>
      </w:tblGrid>
      <w:tr w:rsidR="008173D4" w:rsidRPr="007352E9" w14:paraId="17C7CFD1" w14:textId="77777777" w:rsidTr="002C6363">
        <w:trPr>
          <w:tblHeader/>
          <w:jc w:val="center"/>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70AD47" w:themeColor="accent6"/>
            </w:tcBorders>
          </w:tcPr>
          <w:p w14:paraId="393A02F5" w14:textId="2F156EDE" w:rsidR="008173D4" w:rsidRPr="007352E9" w:rsidRDefault="008173D4" w:rsidP="00F66BBC">
            <w:pPr>
              <w:spacing w:after="120"/>
              <w:jc w:val="center"/>
              <w:rPr>
                <w:b/>
              </w:rPr>
            </w:pPr>
            <w:r w:rsidRPr="007352E9">
              <w:rPr>
                <w:b/>
              </w:rPr>
              <w:t>Organismo</w:t>
            </w:r>
          </w:p>
        </w:tc>
        <w:tc>
          <w:tcPr>
            <w:cnfStyle w:val="000001000000" w:firstRow="0" w:lastRow="0" w:firstColumn="0" w:lastColumn="0" w:oddVBand="0" w:evenVBand="1" w:oddHBand="0" w:evenHBand="0" w:firstRowFirstColumn="0" w:firstRowLastColumn="0" w:lastRowFirstColumn="0" w:lastRowLastColumn="0"/>
            <w:tcW w:w="0" w:type="auto"/>
            <w:tcBorders>
              <w:bottom w:val="single" w:sz="4" w:space="0" w:color="70AD47" w:themeColor="accent6"/>
            </w:tcBorders>
          </w:tcPr>
          <w:p w14:paraId="01904C32" w14:textId="02CB7826" w:rsidR="008173D4" w:rsidRPr="007352E9" w:rsidRDefault="008173D4" w:rsidP="00F66BBC">
            <w:pPr>
              <w:spacing w:after="120"/>
              <w:jc w:val="center"/>
              <w:rPr>
                <w:b/>
              </w:rPr>
            </w:pPr>
            <w:r w:rsidRPr="007352E9">
              <w:rPr>
                <w:b/>
              </w:rPr>
              <w:t>Estándar</w:t>
            </w:r>
          </w:p>
        </w:tc>
      </w:tr>
      <w:tr w:rsidR="008173D4" w:rsidRPr="007352E9" w14:paraId="40C9E729" w14:textId="77777777" w:rsidTr="003346A6">
        <w:trPr>
          <w:cnfStyle w:val="000000100000" w:firstRow="0" w:lastRow="0" w:firstColumn="0" w:lastColumn="0" w:oddVBand="0" w:evenVBand="0" w:oddHBand="1" w:evenHBand="0" w:firstRowFirstColumn="0" w:firstRowLastColumn="0" w:lastRowFirstColumn="0" w:lastRowLastColumn="0"/>
          <w:trHeight w:val="498"/>
          <w:jc w:val="cent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4C6FCA8" w14:textId="3DA37B92" w:rsidR="008173D4" w:rsidRPr="007352E9" w:rsidRDefault="008173D4" w:rsidP="00F66BBC">
            <w:pPr>
              <w:spacing w:after="120"/>
              <w:rPr>
                <w:color w:val="auto"/>
                <w:sz w:val="20"/>
              </w:rPr>
            </w:pPr>
            <w:r w:rsidRPr="007352E9">
              <w:rPr>
                <w:rFonts w:ascii="Calibri" w:eastAsia="Times New Roman" w:hAnsi="Calibri" w:cs="Times New Roman"/>
                <w:color w:val="000000"/>
                <w:lang w:eastAsia="es-MX"/>
              </w:rPr>
              <w:t>ECMA</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60D75AF9" w14:textId="77317556" w:rsidR="008173D4" w:rsidRPr="007352E9" w:rsidRDefault="00934D23" w:rsidP="00F66BBC">
            <w:pPr>
              <w:spacing w:after="120"/>
              <w:jc w:val="center"/>
              <w:rPr>
                <w:color w:val="auto"/>
                <w:sz w:val="20"/>
              </w:rPr>
            </w:pPr>
            <w:hyperlink r:id="rId12" w:history="1">
              <w:r w:rsidR="008173D4" w:rsidRPr="007352E9">
                <w:rPr>
                  <w:rStyle w:val="Hipervnculo"/>
                  <w:rFonts w:ascii="Calibri" w:eastAsia="Times New Roman" w:hAnsi="Calibri" w:cs="Times New Roman"/>
                  <w:lang w:eastAsia="es-MX"/>
                </w:rPr>
                <w:t>ECMA-387</w:t>
              </w:r>
            </w:hyperlink>
          </w:p>
        </w:tc>
      </w:tr>
      <w:tr w:rsidR="008173D4" w:rsidRPr="007352E9" w14:paraId="4B5BA57D" w14:textId="77777777" w:rsidTr="003346A6">
        <w:trPr>
          <w:trHeight w:val="498"/>
          <w:jc w:val="cent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1F989CCD" w14:textId="210A81EF" w:rsidR="008173D4" w:rsidRPr="007352E9" w:rsidRDefault="008173D4" w:rsidP="00F66BBC">
            <w:pPr>
              <w:spacing w:after="120"/>
              <w:rPr>
                <w:b/>
                <w:color w:val="auto"/>
                <w:lang w:val="es-ES_tradnl"/>
              </w:rPr>
            </w:pPr>
            <w:r w:rsidRPr="007352E9">
              <w:rPr>
                <w:rFonts w:ascii="Calibri" w:eastAsia="Times New Roman" w:hAnsi="Calibri" w:cs="Times New Roman"/>
                <w:color w:val="000000"/>
                <w:lang w:eastAsia="es-MX"/>
              </w:rPr>
              <w:t>IEEE</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235EDB08" w14:textId="77777777" w:rsidR="008173D4" w:rsidRPr="007352E9" w:rsidRDefault="00934D23" w:rsidP="00F66BBC">
            <w:pPr>
              <w:spacing w:after="120"/>
              <w:jc w:val="center"/>
              <w:rPr>
                <w:rFonts w:ascii="Calibri" w:eastAsia="Times New Roman" w:hAnsi="Calibri" w:cs="Times New Roman"/>
                <w:color w:val="000000"/>
                <w:lang w:eastAsia="es-MX"/>
              </w:rPr>
            </w:pPr>
            <w:hyperlink r:id="rId13" w:history="1">
              <w:r w:rsidR="008173D4" w:rsidRPr="007352E9">
                <w:rPr>
                  <w:rStyle w:val="Hipervnculo"/>
                  <w:rFonts w:ascii="Calibri" w:eastAsia="Times New Roman" w:hAnsi="Calibri" w:cs="Times New Roman"/>
                  <w:lang w:eastAsia="es-MX"/>
                </w:rPr>
                <w:t>802.15.3</w:t>
              </w:r>
            </w:hyperlink>
          </w:p>
          <w:p w14:paraId="3CC42210" w14:textId="0905844C" w:rsidR="008173D4" w:rsidRPr="007352E9" w:rsidRDefault="00934D23" w:rsidP="00F66BBC">
            <w:pPr>
              <w:spacing w:after="120"/>
              <w:jc w:val="center"/>
              <w:rPr>
                <w:color w:val="auto"/>
              </w:rPr>
            </w:pPr>
            <w:hyperlink r:id="rId14" w:history="1">
              <w:r w:rsidR="008173D4" w:rsidRPr="007352E9">
                <w:rPr>
                  <w:rStyle w:val="Hipervnculo"/>
                  <w:rFonts w:ascii="Calibri" w:eastAsia="Times New Roman" w:hAnsi="Calibri" w:cs="Times New Roman"/>
                  <w:lang w:eastAsia="es-MX"/>
                </w:rPr>
                <w:t>802.11ad</w:t>
              </w:r>
            </w:hyperlink>
          </w:p>
        </w:tc>
      </w:tr>
      <w:tr w:rsidR="008173D4" w:rsidRPr="007352E9" w14:paraId="736F2039" w14:textId="77777777" w:rsidTr="003346A6">
        <w:trPr>
          <w:cnfStyle w:val="000000100000" w:firstRow="0" w:lastRow="0" w:firstColumn="0" w:lastColumn="0" w:oddVBand="0" w:evenVBand="0" w:oddHBand="1" w:evenHBand="0" w:firstRowFirstColumn="0" w:firstRowLastColumn="0" w:lastRowFirstColumn="0" w:lastRowLastColumn="0"/>
          <w:trHeight w:val="498"/>
          <w:jc w:val="cent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330B0B08" w14:textId="3C45EF50" w:rsidR="008173D4" w:rsidRPr="007352E9" w:rsidRDefault="008173D4" w:rsidP="00F66BBC">
            <w:pPr>
              <w:spacing w:after="120"/>
              <w:rPr>
                <w:color w:val="auto"/>
                <w:lang w:val="es-ES_tradnl"/>
              </w:rPr>
            </w:pPr>
            <w:r w:rsidRPr="007352E9">
              <w:rPr>
                <w:rFonts w:ascii="Calibri" w:eastAsia="Times New Roman" w:hAnsi="Calibri" w:cs="Times New Roman"/>
                <w:color w:val="000000"/>
                <w:lang w:eastAsia="es-MX"/>
              </w:rPr>
              <w:t>ETSI</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5F5427F9" w14:textId="3EDB3B90" w:rsidR="008173D4" w:rsidRPr="007352E9" w:rsidRDefault="00934D23" w:rsidP="00F66BBC">
            <w:pPr>
              <w:spacing w:after="120"/>
              <w:jc w:val="center"/>
              <w:rPr>
                <w:color w:val="auto"/>
              </w:rPr>
            </w:pPr>
            <w:hyperlink r:id="rId15" w:history="1">
              <w:r w:rsidR="001F5E62" w:rsidRPr="007352E9">
                <w:rPr>
                  <w:rStyle w:val="Hipervnculo"/>
                </w:rPr>
                <w:t>302 217</w:t>
              </w:r>
            </w:hyperlink>
          </w:p>
          <w:p w14:paraId="49B30261" w14:textId="3D05A897" w:rsidR="001F5E62" w:rsidRPr="007352E9" w:rsidRDefault="00934D23" w:rsidP="00F66BBC">
            <w:pPr>
              <w:spacing w:after="120"/>
              <w:jc w:val="center"/>
              <w:rPr>
                <w:color w:val="auto"/>
              </w:rPr>
            </w:pPr>
            <w:hyperlink r:id="rId16" w:history="1">
              <w:r w:rsidR="001F5E62" w:rsidRPr="007352E9">
                <w:rPr>
                  <w:rStyle w:val="Hipervnculo"/>
                </w:rPr>
                <w:t>302 567</w:t>
              </w:r>
            </w:hyperlink>
          </w:p>
        </w:tc>
      </w:tr>
    </w:tbl>
    <w:p w14:paraId="31CBF018" w14:textId="77777777" w:rsidR="000953FA" w:rsidRPr="007352E9" w:rsidRDefault="000953FA" w:rsidP="00F66BBC">
      <w:pPr>
        <w:spacing w:after="120"/>
      </w:pPr>
    </w:p>
    <w:p w14:paraId="4379636A" w14:textId="048F359E" w:rsidR="00EC7ED9" w:rsidRPr="007352E9" w:rsidRDefault="00EC7ED9" w:rsidP="00506BDF">
      <w:pPr>
        <w:pStyle w:val="Ttulo3"/>
        <w:spacing w:before="0" w:after="120"/>
        <w:ind w:left="283"/>
        <w:rPr>
          <w:rFonts w:asciiTheme="minorHAnsi" w:hAnsiTheme="minorHAnsi"/>
          <w:sz w:val="22"/>
          <w:szCs w:val="22"/>
        </w:rPr>
      </w:pPr>
      <w:bookmarkStart w:id="21" w:name="_Toc474325847"/>
      <w:r w:rsidRPr="007352E9">
        <w:rPr>
          <w:rFonts w:asciiTheme="minorHAnsi" w:hAnsiTheme="minorHAnsi"/>
          <w:sz w:val="22"/>
          <w:szCs w:val="22"/>
        </w:rPr>
        <w:lastRenderedPageBreak/>
        <w:t>Recomendaciones</w:t>
      </w:r>
      <w:bookmarkEnd w:id="21"/>
    </w:p>
    <w:p w14:paraId="58C27508" w14:textId="1F515F27" w:rsidR="001003C6" w:rsidRPr="007352E9" w:rsidRDefault="001003C6" w:rsidP="00180D05">
      <w:pPr>
        <w:spacing w:after="120"/>
        <w:jc w:val="both"/>
      </w:pPr>
      <w:r w:rsidRPr="007352E9">
        <w:t xml:space="preserve">Las Recomendaciones UIT-R constituyen una serie de normas técnicas internacionales desarrolladas por el Sector de Radiocomunicaciones de la UIT y son el resultado de los estudios realizados por las Comisiones de Estudio de Radiocomunicaciones sobre </w:t>
      </w:r>
      <w:r w:rsidR="004D4ED6" w:rsidRPr="007352E9">
        <w:t xml:space="preserve">diversos </w:t>
      </w:r>
      <w:r w:rsidRPr="007352E9">
        <w:t>temas como</w:t>
      </w:r>
      <w:r w:rsidR="004D4ED6" w:rsidRPr="007352E9">
        <w:t>:</w:t>
      </w:r>
      <w:r w:rsidRPr="007352E9">
        <w:t xml:space="preserve"> la gestión del espectro </w:t>
      </w:r>
      <w:r w:rsidR="00254AC2" w:rsidRPr="007352E9">
        <w:t>radioeléctrico</w:t>
      </w:r>
      <w:r w:rsidRPr="007352E9">
        <w:t xml:space="preserve"> y las órbitas de satélite; el uso eficaz del espectro </w:t>
      </w:r>
      <w:r w:rsidR="00254AC2" w:rsidRPr="007352E9">
        <w:t xml:space="preserve">radioeléctrico </w:t>
      </w:r>
      <w:r w:rsidRPr="007352E9">
        <w:t>por todos los servicios de radiocomunicaciones,</w:t>
      </w:r>
      <w:r w:rsidR="004D4ED6" w:rsidRPr="007352E9">
        <w:t xml:space="preserve"> el desarrollo e implementación de las </w:t>
      </w:r>
      <w:r w:rsidR="00C97441" w:rsidRPr="007352E9">
        <w:t>Telecomunicaciones Móviles Internacionales (IMT, por sus siglas en inglés),</w:t>
      </w:r>
      <w:r w:rsidRPr="007352E9">
        <w:t xml:space="preserve"> los sistemas y las redes para el servicio por satélite para el servicio fijo y para el servicio móvil, entre otros.</w:t>
      </w:r>
    </w:p>
    <w:p w14:paraId="211F3794" w14:textId="76365493" w:rsidR="001003C6" w:rsidRPr="007352E9" w:rsidRDefault="001003C6" w:rsidP="00180D05">
      <w:pPr>
        <w:spacing w:after="120"/>
        <w:jc w:val="both"/>
      </w:pPr>
      <w:r w:rsidRPr="007352E9">
        <w:t>En virtud de que</w:t>
      </w:r>
      <w:r w:rsidR="00EB487A" w:rsidRPr="007352E9">
        <w:t xml:space="preserve"> las Recomendaciones UIT-R</w:t>
      </w:r>
      <w:r w:rsidRPr="007352E9">
        <w:t xml:space="preserve"> se aprueban por consenso entre los Estados Miembros y puesto que </w:t>
      </w:r>
      <w:r w:rsidR="00F33BC7" w:rsidRPr="007352E9">
        <w:t>e</w:t>
      </w:r>
      <w:r w:rsidRPr="007352E9">
        <w:t xml:space="preserve">stas son elaboradas </w:t>
      </w:r>
      <w:r w:rsidR="00254AC2" w:rsidRPr="007352E9">
        <w:t xml:space="preserve">en conjunto </w:t>
      </w:r>
      <w:r w:rsidRPr="007352E9">
        <w:t xml:space="preserve">por </w:t>
      </w:r>
      <w:r w:rsidR="00254AC2" w:rsidRPr="007352E9">
        <w:t>expertos de las administraciones</w:t>
      </w:r>
      <w:r w:rsidRPr="007352E9">
        <w:t xml:space="preserve">, los operadores, el sector industrial y otras organizaciones dedicadas a las radiocomunicaciones en todo el mundo, disfrutan de una prestigiosa reputación y se </w:t>
      </w:r>
      <w:r w:rsidR="00F33BC7" w:rsidRPr="007352E9">
        <w:t xml:space="preserve">adoptan </w:t>
      </w:r>
      <w:r w:rsidRPr="007352E9">
        <w:t>a escala mundial.</w:t>
      </w:r>
    </w:p>
    <w:p w14:paraId="4CE42319" w14:textId="30838775" w:rsidR="00CE4433" w:rsidRPr="007352E9" w:rsidRDefault="00180D05" w:rsidP="00CB4B32">
      <w:pPr>
        <w:spacing w:after="120"/>
        <w:jc w:val="both"/>
      </w:pPr>
      <w:r w:rsidRPr="007352E9">
        <w:t xml:space="preserve">Adicionalmente, así como las recomendaciones </w:t>
      </w:r>
      <w:r w:rsidR="00F66BBC" w:rsidRPr="007352E9">
        <w:t xml:space="preserve">y reportes </w:t>
      </w:r>
      <w:r w:rsidRPr="007352E9">
        <w:t>de la UIT-R</w:t>
      </w:r>
      <w:r w:rsidR="00F66BBC" w:rsidRPr="007352E9">
        <w:t xml:space="preserve">, también </w:t>
      </w:r>
      <w:r w:rsidRPr="007352E9">
        <w:t xml:space="preserve"> existen recomendaciones de diversos organismos </w:t>
      </w:r>
      <w:r w:rsidR="00CE4433" w:rsidRPr="007352E9">
        <w:t xml:space="preserve">como </w:t>
      </w:r>
      <w:r w:rsidR="0004476D" w:rsidRPr="007352E9">
        <w:t xml:space="preserve">el Comité de Comunicaciones Electrónicas </w:t>
      </w:r>
      <w:r w:rsidR="003116B0" w:rsidRPr="007352E9">
        <w:t xml:space="preserve">(ECC por sus siglas en inglés) </w:t>
      </w:r>
      <w:r w:rsidR="0004476D" w:rsidRPr="007352E9">
        <w:t>de la Conferencia Europea de Administraciones de Correos y Telecomunicaciones (</w:t>
      </w:r>
      <w:r w:rsidR="00CE4433" w:rsidRPr="007352E9">
        <w:t>CEPT</w:t>
      </w:r>
      <w:r w:rsidR="003116B0" w:rsidRPr="007352E9">
        <w:t xml:space="preserve"> por sus siglas en inglés</w:t>
      </w:r>
      <w:r w:rsidR="00CE4433" w:rsidRPr="007352E9">
        <w:t xml:space="preserve">), conformado por representantes de las administraciones de la Unión Europea; estas recomendaciones se fundamentan en la regulación de la región. </w:t>
      </w:r>
    </w:p>
    <w:p w14:paraId="3BAC5808" w14:textId="20BE30E3" w:rsidR="001003C6" w:rsidRPr="007352E9" w:rsidRDefault="001003C6" w:rsidP="00180D05">
      <w:pPr>
        <w:spacing w:after="120"/>
        <w:jc w:val="both"/>
      </w:pPr>
      <w:r w:rsidRPr="007352E9">
        <w:t xml:space="preserve">Derivado de todo lo anterior, se considera adecuado tomar en cuenta las </w:t>
      </w:r>
      <w:r w:rsidR="00F33BC7" w:rsidRPr="007352E9">
        <w:t>R</w:t>
      </w:r>
      <w:r w:rsidRPr="007352E9">
        <w:t xml:space="preserve">ecomendaciones </w:t>
      </w:r>
      <w:r w:rsidR="00254AC2" w:rsidRPr="007352E9">
        <w:t>y</w:t>
      </w:r>
      <w:r w:rsidR="00B8583D" w:rsidRPr="007352E9">
        <w:t xml:space="preserve"> reportes </w:t>
      </w:r>
      <w:r w:rsidR="002A1D58" w:rsidRPr="007352E9">
        <w:t>publicad</w:t>
      </w:r>
      <w:r w:rsidR="00B8583D" w:rsidRPr="007352E9">
        <w:t>o</w:t>
      </w:r>
      <w:r w:rsidR="002A1D58" w:rsidRPr="007352E9">
        <w:t>s por la UIT</w:t>
      </w:r>
      <w:r w:rsidR="00956F7D" w:rsidRPr="007352E9">
        <w:t xml:space="preserve">, así como de otros organismos internacionales como </w:t>
      </w:r>
      <w:r w:rsidR="00CB4B32" w:rsidRPr="007352E9">
        <w:t>CEPT</w:t>
      </w:r>
      <w:r w:rsidR="00254AC2" w:rsidRPr="007352E9">
        <w:t xml:space="preserve">, </w:t>
      </w:r>
      <w:r w:rsidR="00CB4B32" w:rsidRPr="007352E9">
        <w:t>que cuenten con información relevante al uso y aprovechamiento de la banda de frecuencias de 60 GHz</w:t>
      </w:r>
      <w:r w:rsidR="00254AC2" w:rsidRPr="007352E9">
        <w:t>.</w:t>
      </w:r>
      <w:r w:rsidR="00EC7ED9" w:rsidRPr="007352E9">
        <w:t xml:space="preserve"> </w:t>
      </w:r>
      <w:r w:rsidR="00254AC2" w:rsidRPr="007352E9">
        <w:t xml:space="preserve">A continuación se enlistan </w:t>
      </w:r>
      <w:r w:rsidR="00F914DD" w:rsidRPr="007352E9">
        <w:t xml:space="preserve">algunas de las recomendaciones </w:t>
      </w:r>
      <w:r w:rsidR="00254AC2" w:rsidRPr="007352E9">
        <w:t xml:space="preserve">que existen </w:t>
      </w:r>
      <w:r w:rsidR="002A1D58" w:rsidRPr="007352E9">
        <w:t>para la banda de frecuencias de 57-64 GHz</w:t>
      </w:r>
      <w:r w:rsidR="00254AC2" w:rsidRPr="007352E9">
        <w:t>.</w:t>
      </w:r>
    </w:p>
    <w:tbl>
      <w:tblPr>
        <w:tblW w:w="467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43" w:type="dxa"/>
          <w:right w:w="43" w:type="dxa"/>
        </w:tblCellMar>
        <w:tblLook w:val="0000" w:firstRow="0" w:lastRow="0" w:firstColumn="0" w:lastColumn="0" w:noHBand="0" w:noVBand="0"/>
      </w:tblPr>
      <w:tblGrid>
        <w:gridCol w:w="1413"/>
        <w:gridCol w:w="3260"/>
      </w:tblGrid>
      <w:tr w:rsidR="00EC7ED9" w:rsidRPr="007352E9" w14:paraId="5D08E632" w14:textId="2350DF67" w:rsidTr="00EC7ED9">
        <w:trPr>
          <w:tblHeader/>
          <w:jc w:val="center"/>
        </w:trPr>
        <w:tc>
          <w:tcPr>
            <w:tcW w:w="1413" w:type="dxa"/>
            <w:shd w:val="clear" w:color="auto" w:fill="70AD47" w:themeFill="accent6"/>
            <w:vAlign w:val="center"/>
          </w:tcPr>
          <w:p w14:paraId="4CCC301D" w14:textId="406B5009" w:rsidR="00EC7ED9" w:rsidRPr="007352E9" w:rsidRDefault="00EC7ED9" w:rsidP="00F66BBC">
            <w:pPr>
              <w:spacing w:after="120" w:line="240" w:lineRule="auto"/>
              <w:jc w:val="center"/>
              <w:rPr>
                <w:rFonts w:ascii="Calibri" w:eastAsia="Times New Roman" w:hAnsi="Calibri" w:cs="Times New Roman"/>
                <w:b/>
                <w:bCs/>
                <w:color w:val="000000"/>
                <w:lang w:eastAsia="es-MX"/>
              </w:rPr>
            </w:pPr>
            <w:r w:rsidRPr="007352E9">
              <w:rPr>
                <w:rFonts w:ascii="Calibri" w:eastAsia="Times New Roman" w:hAnsi="Calibri" w:cs="Times New Roman"/>
                <w:b/>
                <w:bCs/>
                <w:color w:val="000000"/>
                <w:lang w:eastAsia="es-MX"/>
              </w:rPr>
              <w:t>Organismo</w:t>
            </w:r>
          </w:p>
        </w:tc>
        <w:tc>
          <w:tcPr>
            <w:tcW w:w="3260" w:type="dxa"/>
            <w:shd w:val="clear" w:color="auto" w:fill="70AD47" w:themeFill="accent6"/>
            <w:vAlign w:val="center"/>
          </w:tcPr>
          <w:p w14:paraId="70973ACC" w14:textId="5897EA23" w:rsidR="00EC7ED9" w:rsidRPr="007352E9" w:rsidRDefault="00EC7ED9" w:rsidP="00F66BBC">
            <w:pPr>
              <w:spacing w:after="120" w:line="240" w:lineRule="auto"/>
              <w:jc w:val="center"/>
              <w:rPr>
                <w:b/>
              </w:rPr>
            </w:pPr>
            <w:r w:rsidRPr="007352E9">
              <w:rPr>
                <w:b/>
              </w:rPr>
              <w:t>Recomendación</w:t>
            </w:r>
          </w:p>
        </w:tc>
      </w:tr>
      <w:tr w:rsidR="00EC7ED9" w:rsidRPr="007352E9" w14:paraId="0E7A3812" w14:textId="4AB31335" w:rsidTr="00F66BBC">
        <w:trPr>
          <w:trHeight w:val="3951"/>
          <w:jc w:val="center"/>
        </w:trPr>
        <w:tc>
          <w:tcPr>
            <w:tcW w:w="1413" w:type="dxa"/>
            <w:shd w:val="clear" w:color="auto" w:fill="auto"/>
            <w:vAlign w:val="center"/>
          </w:tcPr>
          <w:p w14:paraId="43C38EA4" w14:textId="19179CA3" w:rsidR="00EC7ED9" w:rsidRPr="007352E9" w:rsidRDefault="00EC7ED9" w:rsidP="00EC7ED9">
            <w:pPr>
              <w:spacing w:after="0" w:line="240" w:lineRule="auto"/>
              <w:jc w:val="center"/>
              <w:rPr>
                <w:rFonts w:ascii="Calibri" w:eastAsia="Times New Roman" w:hAnsi="Calibri" w:cs="Times New Roman"/>
                <w:color w:val="000000"/>
                <w:lang w:eastAsia="es-MX"/>
              </w:rPr>
            </w:pPr>
            <w:r w:rsidRPr="007352E9">
              <w:rPr>
                <w:rFonts w:ascii="Calibri" w:eastAsia="Times New Roman" w:hAnsi="Calibri" w:cs="Times New Roman"/>
                <w:color w:val="000000"/>
                <w:lang w:eastAsia="es-MX"/>
              </w:rPr>
              <w:t>UIT-R</w:t>
            </w:r>
          </w:p>
        </w:tc>
        <w:tc>
          <w:tcPr>
            <w:tcW w:w="3260" w:type="dxa"/>
            <w:vAlign w:val="center"/>
          </w:tcPr>
          <w:p w14:paraId="3B921826" w14:textId="77777777"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17" w:history="1">
              <w:r w:rsidR="00EC7ED9" w:rsidRPr="007352E9">
                <w:rPr>
                  <w:rStyle w:val="Hipervnculo"/>
                  <w:rFonts w:ascii="Calibri" w:eastAsia="Times New Roman" w:hAnsi="Calibri" w:cs="Times New Roman"/>
                  <w:lang w:val="en-GB" w:eastAsia="es-MX"/>
                </w:rPr>
                <w:t>P.1411-8</w:t>
              </w:r>
            </w:hyperlink>
          </w:p>
          <w:p w14:paraId="151E016A" w14:textId="77777777"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18" w:history="1">
              <w:r w:rsidR="00EC7ED9" w:rsidRPr="007352E9">
                <w:rPr>
                  <w:rStyle w:val="Hipervnculo"/>
                  <w:rFonts w:ascii="Calibri" w:eastAsia="Times New Roman" w:hAnsi="Calibri" w:cs="Times New Roman"/>
                  <w:lang w:val="en-GB" w:eastAsia="es-MX"/>
                </w:rPr>
                <w:t>RS.515-5</w:t>
              </w:r>
            </w:hyperlink>
          </w:p>
          <w:p w14:paraId="469B4809" w14:textId="280C4672"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19" w:history="1">
              <w:r w:rsidR="00EC7ED9" w:rsidRPr="007352E9">
                <w:rPr>
                  <w:rStyle w:val="Hipervnculo"/>
                  <w:rFonts w:ascii="Calibri" w:eastAsia="Times New Roman" w:hAnsi="Calibri" w:cs="Times New Roman"/>
                  <w:lang w:val="en-GB" w:eastAsia="es-MX"/>
                </w:rPr>
                <w:t>RS.1259</w:t>
              </w:r>
            </w:hyperlink>
          </w:p>
          <w:p w14:paraId="65159F43" w14:textId="02A5E595"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0" w:history="1">
              <w:r w:rsidR="00EC7ED9" w:rsidRPr="007352E9">
                <w:rPr>
                  <w:rStyle w:val="Hipervnculo"/>
                  <w:rFonts w:ascii="Calibri" w:eastAsia="Times New Roman" w:hAnsi="Calibri" w:cs="Times New Roman"/>
                  <w:lang w:val="en-GB" w:eastAsia="es-MX"/>
                </w:rPr>
                <w:t>SM.329-12</w:t>
              </w:r>
            </w:hyperlink>
          </w:p>
          <w:p w14:paraId="19BB938C" w14:textId="77777777"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1" w:history="1">
              <w:r w:rsidR="00EC7ED9" w:rsidRPr="007352E9">
                <w:rPr>
                  <w:rStyle w:val="Hipervnculo"/>
                  <w:rFonts w:ascii="Calibri" w:eastAsia="Times New Roman" w:hAnsi="Calibri" w:cs="Times New Roman"/>
                  <w:lang w:val="en-GB" w:eastAsia="es-MX"/>
                </w:rPr>
                <w:t>SM.1056-1</w:t>
              </w:r>
            </w:hyperlink>
          </w:p>
          <w:p w14:paraId="0C6BA9C9" w14:textId="7A19B7EF"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2" w:history="1">
              <w:r w:rsidR="00EC7ED9" w:rsidRPr="007352E9">
                <w:rPr>
                  <w:rStyle w:val="Hipervnculo"/>
                  <w:rFonts w:ascii="Calibri" w:eastAsia="Times New Roman" w:hAnsi="Calibri" w:cs="Times New Roman"/>
                  <w:lang w:val="en-GB" w:eastAsia="es-MX"/>
                </w:rPr>
                <w:t>SM.1265-1</w:t>
              </w:r>
            </w:hyperlink>
          </w:p>
          <w:p w14:paraId="1BA7FCAA" w14:textId="75AC59E0"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3" w:history="1">
              <w:r w:rsidR="00EC7ED9" w:rsidRPr="007352E9">
                <w:rPr>
                  <w:rStyle w:val="Hipervnculo"/>
                  <w:rFonts w:ascii="Calibri" w:eastAsia="Times New Roman" w:hAnsi="Calibri" w:cs="Times New Roman"/>
                  <w:lang w:val="en-GB" w:eastAsia="es-MX"/>
                </w:rPr>
                <w:t>SM.1488</w:t>
              </w:r>
            </w:hyperlink>
          </w:p>
          <w:p w14:paraId="1D008CD3" w14:textId="77777777"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4" w:history="1">
              <w:r w:rsidR="00EC7ED9" w:rsidRPr="007352E9">
                <w:rPr>
                  <w:rStyle w:val="Hipervnculo"/>
                  <w:rFonts w:ascii="Calibri" w:eastAsia="Times New Roman" w:hAnsi="Calibri" w:cs="Times New Roman"/>
                  <w:lang w:val="en-GB" w:eastAsia="es-MX"/>
                </w:rPr>
                <w:t>SM.1896</w:t>
              </w:r>
            </w:hyperlink>
          </w:p>
          <w:p w14:paraId="53D6A33F" w14:textId="2633CC6C"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5" w:history="1">
              <w:r w:rsidR="00EC7ED9" w:rsidRPr="007352E9">
                <w:rPr>
                  <w:rStyle w:val="Hipervnculo"/>
                  <w:rFonts w:ascii="Calibri" w:eastAsia="Times New Roman" w:hAnsi="Calibri" w:cs="Times New Roman"/>
                  <w:lang w:val="en-GB" w:eastAsia="es-MX"/>
                </w:rPr>
                <w:t>F.2107-2</w:t>
              </w:r>
            </w:hyperlink>
          </w:p>
          <w:p w14:paraId="04FECC34" w14:textId="70196255" w:rsidR="00EC7ED9" w:rsidRPr="007352E9" w:rsidRDefault="004A7270" w:rsidP="00EC7ED9">
            <w:pPr>
              <w:spacing w:after="0" w:line="240" w:lineRule="auto"/>
              <w:jc w:val="center"/>
              <w:rPr>
                <w:rStyle w:val="Hipervnculo"/>
                <w:rFonts w:ascii="Calibri" w:eastAsia="Times New Roman" w:hAnsi="Calibri" w:cs="Times New Roman"/>
                <w:lang w:val="en-GB" w:eastAsia="es-MX"/>
              </w:rPr>
            </w:pPr>
            <w:r w:rsidRPr="007352E9">
              <w:rPr>
                <w:rFonts w:ascii="Calibri" w:eastAsia="Times New Roman" w:hAnsi="Calibri" w:cs="Times New Roman"/>
                <w:lang w:val="en-GB" w:eastAsia="es-MX"/>
              </w:rPr>
              <w:fldChar w:fldCharType="begin"/>
            </w:r>
            <w:r w:rsidRPr="007352E9">
              <w:rPr>
                <w:rFonts w:ascii="Calibri" w:eastAsia="Times New Roman" w:hAnsi="Calibri" w:cs="Times New Roman"/>
                <w:lang w:val="en-GB" w:eastAsia="es-MX"/>
              </w:rPr>
              <w:instrText xml:space="preserve"> HYPERLINK "http://www.itu.int/dms_pub/itu-r/opb/rep/R-REP-F.2323-2014-PDF-E.pdf" </w:instrText>
            </w:r>
            <w:r w:rsidRPr="007352E9">
              <w:rPr>
                <w:rFonts w:ascii="Calibri" w:eastAsia="Times New Roman" w:hAnsi="Calibri" w:cs="Times New Roman"/>
                <w:lang w:val="en-GB" w:eastAsia="es-MX"/>
              </w:rPr>
              <w:fldChar w:fldCharType="separate"/>
            </w:r>
            <w:r w:rsidR="00EC7ED9" w:rsidRPr="007352E9">
              <w:rPr>
                <w:rStyle w:val="Hipervnculo"/>
                <w:rFonts w:ascii="Calibri" w:eastAsia="Times New Roman" w:hAnsi="Calibri" w:cs="Times New Roman"/>
                <w:lang w:val="en-GB" w:eastAsia="es-MX"/>
              </w:rPr>
              <w:t>F.2323-0</w:t>
            </w:r>
          </w:p>
          <w:p w14:paraId="5DCA55EF" w14:textId="376E1C85" w:rsidR="00EC7ED9" w:rsidRPr="007352E9" w:rsidRDefault="004A7270" w:rsidP="00EC7ED9">
            <w:pPr>
              <w:spacing w:after="0" w:line="240" w:lineRule="auto"/>
              <w:jc w:val="center"/>
              <w:rPr>
                <w:rFonts w:ascii="Calibri" w:eastAsia="Times New Roman" w:hAnsi="Calibri" w:cs="Times New Roman"/>
                <w:color w:val="000000"/>
                <w:lang w:val="en-GB" w:eastAsia="es-MX"/>
              </w:rPr>
            </w:pPr>
            <w:r w:rsidRPr="007352E9">
              <w:rPr>
                <w:rFonts w:ascii="Calibri" w:eastAsia="Times New Roman" w:hAnsi="Calibri" w:cs="Times New Roman"/>
                <w:lang w:val="en-GB" w:eastAsia="es-MX"/>
              </w:rPr>
              <w:fldChar w:fldCharType="end"/>
            </w:r>
            <w:hyperlink r:id="rId26" w:history="1">
              <w:r w:rsidR="00EC7ED9" w:rsidRPr="007352E9">
                <w:rPr>
                  <w:rStyle w:val="Hipervnculo"/>
                  <w:rFonts w:ascii="Calibri" w:eastAsia="Times New Roman" w:hAnsi="Calibri" w:cs="Times New Roman"/>
                  <w:lang w:val="en-GB" w:eastAsia="es-MX"/>
                </w:rPr>
                <w:t>M.2227-1</w:t>
              </w:r>
            </w:hyperlink>
          </w:p>
          <w:p w14:paraId="44784FB5" w14:textId="2B83CDE9"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7" w:history="1">
              <w:r w:rsidR="00EC7ED9" w:rsidRPr="007352E9">
                <w:rPr>
                  <w:rStyle w:val="Hipervnculo"/>
                  <w:rFonts w:ascii="Calibri" w:eastAsia="Times New Roman" w:hAnsi="Calibri" w:cs="Times New Roman"/>
                  <w:lang w:val="en-GB" w:eastAsia="es-MX"/>
                </w:rPr>
                <w:t>M.2228-1</w:t>
              </w:r>
            </w:hyperlink>
          </w:p>
          <w:p w14:paraId="762A4BC5" w14:textId="14D5DA6C"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8" w:history="1">
              <w:r w:rsidR="00EC7ED9" w:rsidRPr="007352E9">
                <w:rPr>
                  <w:rStyle w:val="Hipervnculo"/>
                  <w:rFonts w:ascii="Calibri" w:eastAsia="Times New Roman" w:hAnsi="Calibri" w:cs="Times New Roman"/>
                  <w:lang w:val="en-GB" w:eastAsia="es-MX"/>
                </w:rPr>
                <w:t>M.2376-0</w:t>
              </w:r>
            </w:hyperlink>
          </w:p>
          <w:p w14:paraId="52F4C845" w14:textId="69F3D426" w:rsidR="00EC7ED9" w:rsidRPr="007352E9" w:rsidRDefault="00934D23" w:rsidP="00EC7ED9">
            <w:pPr>
              <w:spacing w:after="0" w:line="240" w:lineRule="auto"/>
              <w:jc w:val="center"/>
              <w:rPr>
                <w:rFonts w:ascii="Calibri" w:eastAsia="Times New Roman" w:hAnsi="Calibri" w:cs="Times New Roman"/>
                <w:color w:val="000000"/>
                <w:lang w:val="en-GB" w:eastAsia="es-MX"/>
              </w:rPr>
            </w:pPr>
            <w:hyperlink r:id="rId29" w:history="1">
              <w:r w:rsidR="00EC7ED9" w:rsidRPr="007352E9">
                <w:rPr>
                  <w:rStyle w:val="Hipervnculo"/>
                  <w:rFonts w:ascii="Calibri" w:eastAsia="Times New Roman" w:hAnsi="Calibri" w:cs="Times New Roman"/>
                  <w:lang w:val="en-GB" w:eastAsia="es-MX"/>
                </w:rPr>
                <w:t>SM.2153-5</w:t>
              </w:r>
            </w:hyperlink>
          </w:p>
        </w:tc>
      </w:tr>
      <w:tr w:rsidR="00180D05" w:rsidRPr="007352E9" w14:paraId="5D9444EB" w14:textId="77777777" w:rsidTr="00595207">
        <w:trPr>
          <w:trHeight w:val="498"/>
          <w:jc w:val="center"/>
        </w:trPr>
        <w:tc>
          <w:tcPr>
            <w:tcW w:w="1413" w:type="dxa"/>
            <w:shd w:val="clear" w:color="auto" w:fill="auto"/>
            <w:vAlign w:val="center"/>
          </w:tcPr>
          <w:p w14:paraId="60E46463" w14:textId="77777777" w:rsidR="00180D05" w:rsidRPr="007352E9" w:rsidRDefault="00180D05" w:rsidP="00595207">
            <w:pPr>
              <w:spacing w:after="0" w:line="240" w:lineRule="auto"/>
              <w:jc w:val="center"/>
              <w:rPr>
                <w:b/>
                <w:lang w:val="es-ES_tradnl"/>
              </w:rPr>
            </w:pPr>
            <w:r w:rsidRPr="007352E9">
              <w:rPr>
                <w:rFonts w:ascii="Calibri" w:eastAsia="Times New Roman" w:hAnsi="Calibri" w:cs="Times New Roman"/>
                <w:color w:val="000000"/>
                <w:lang w:eastAsia="es-MX"/>
              </w:rPr>
              <w:t>CEPT</w:t>
            </w:r>
          </w:p>
        </w:tc>
        <w:tc>
          <w:tcPr>
            <w:tcW w:w="3260" w:type="dxa"/>
            <w:vAlign w:val="center"/>
          </w:tcPr>
          <w:p w14:paraId="34EC054E" w14:textId="77777777" w:rsidR="00180D05" w:rsidRPr="007352E9" w:rsidRDefault="00934D23" w:rsidP="00595207">
            <w:pPr>
              <w:spacing w:after="0" w:line="240" w:lineRule="auto"/>
              <w:jc w:val="center"/>
              <w:rPr>
                <w:rFonts w:ascii="Calibri" w:eastAsia="Times New Roman" w:hAnsi="Calibri" w:cs="Times New Roman"/>
                <w:color w:val="000000"/>
                <w:lang w:eastAsia="es-MX"/>
              </w:rPr>
            </w:pPr>
            <w:hyperlink r:id="rId30" w:history="1">
              <w:r w:rsidR="00180D05" w:rsidRPr="007352E9">
                <w:rPr>
                  <w:rStyle w:val="Hipervnculo"/>
                  <w:rFonts w:ascii="Calibri" w:eastAsia="Times New Roman" w:hAnsi="Calibri" w:cs="Times New Roman"/>
                  <w:lang w:eastAsia="es-MX"/>
                </w:rPr>
                <w:t>ERC/REC 09(01)</w:t>
              </w:r>
            </w:hyperlink>
          </w:p>
        </w:tc>
      </w:tr>
    </w:tbl>
    <w:p w14:paraId="18E5266D" w14:textId="77777777" w:rsidR="00956F7D" w:rsidRPr="007352E9" w:rsidRDefault="00956F7D" w:rsidP="00BD58D4">
      <w:pPr>
        <w:spacing w:after="0" w:line="240" w:lineRule="auto"/>
        <w:contextualSpacing/>
        <w:rPr>
          <w:lang w:val="en-GB"/>
        </w:rPr>
      </w:pPr>
    </w:p>
    <w:p w14:paraId="043CFCCF" w14:textId="77777777" w:rsidR="00CB4B32" w:rsidRPr="007352E9" w:rsidRDefault="00CB4B32" w:rsidP="00CB4B32">
      <w:pPr>
        <w:pStyle w:val="Ttulo2"/>
        <w:tabs>
          <w:tab w:val="left" w:pos="426"/>
        </w:tabs>
        <w:ind w:left="284"/>
        <w:rPr>
          <w:rFonts w:asciiTheme="minorHAnsi" w:hAnsiTheme="minorHAnsi"/>
          <w:sz w:val="22"/>
        </w:rPr>
      </w:pPr>
      <w:bookmarkStart w:id="22" w:name="_Toc474325848"/>
      <w:r w:rsidRPr="007352E9">
        <w:rPr>
          <w:rFonts w:asciiTheme="minorHAnsi" w:hAnsiTheme="minorHAnsi"/>
          <w:sz w:val="22"/>
        </w:rPr>
        <w:lastRenderedPageBreak/>
        <w:t>Disponibilidad tecnológica</w:t>
      </w:r>
      <w:bookmarkEnd w:id="22"/>
    </w:p>
    <w:p w14:paraId="5EA853C1" w14:textId="2777E5CA" w:rsidR="00EC7ED9" w:rsidRPr="007352E9" w:rsidRDefault="00EC7ED9" w:rsidP="00506BDF">
      <w:pPr>
        <w:pStyle w:val="Ttulo3"/>
        <w:spacing w:before="0" w:after="120"/>
        <w:ind w:left="283"/>
        <w:rPr>
          <w:rFonts w:asciiTheme="minorHAnsi" w:hAnsiTheme="minorHAnsi"/>
          <w:sz w:val="22"/>
          <w:szCs w:val="22"/>
        </w:rPr>
      </w:pPr>
      <w:bookmarkStart w:id="23" w:name="_Toc474325849"/>
      <w:r w:rsidRPr="007352E9">
        <w:rPr>
          <w:rFonts w:asciiTheme="minorHAnsi" w:hAnsiTheme="minorHAnsi"/>
          <w:sz w:val="22"/>
          <w:szCs w:val="22"/>
        </w:rPr>
        <w:t>Homologación de Equipos</w:t>
      </w:r>
      <w:bookmarkEnd w:id="23"/>
      <w:r w:rsidRPr="007352E9">
        <w:rPr>
          <w:rFonts w:asciiTheme="minorHAnsi" w:hAnsiTheme="minorHAnsi"/>
          <w:sz w:val="22"/>
          <w:szCs w:val="22"/>
        </w:rPr>
        <w:t xml:space="preserve"> </w:t>
      </w:r>
    </w:p>
    <w:p w14:paraId="06F5DB46" w14:textId="32B8D586" w:rsidR="00031F41" w:rsidRPr="007352E9" w:rsidRDefault="00031F41" w:rsidP="00221DC5">
      <w:pPr>
        <w:spacing w:after="120" w:line="240" w:lineRule="auto"/>
        <w:jc w:val="both"/>
      </w:pPr>
      <w:r w:rsidRPr="007352E9">
        <w:t xml:space="preserve">Actualmente se cuenta con el registro de </w:t>
      </w:r>
      <w:r w:rsidR="00EC7ED9" w:rsidRPr="007352E9">
        <w:t>certificados de homologación</w:t>
      </w:r>
      <w:r w:rsidR="005F3559" w:rsidRPr="007352E9">
        <w:t xml:space="preserve"> y de solicitudes de homologación</w:t>
      </w:r>
      <w:r w:rsidRPr="007352E9">
        <w:t xml:space="preserve"> </w:t>
      </w:r>
      <w:r w:rsidR="00EB347E" w:rsidRPr="007352E9">
        <w:t>provisional</w:t>
      </w:r>
      <w:r w:rsidR="00221DC5" w:rsidRPr="007352E9">
        <w:t>es</w:t>
      </w:r>
      <w:r w:rsidR="003F1EE9" w:rsidRPr="007352E9">
        <w:t xml:space="preserve">, </w:t>
      </w:r>
      <w:r w:rsidR="00EC7ED9" w:rsidRPr="007352E9">
        <w:t>para diversos</w:t>
      </w:r>
      <w:r w:rsidRPr="007352E9">
        <w:t xml:space="preserve"> equipo</w:t>
      </w:r>
      <w:r w:rsidR="00EC7ED9" w:rsidRPr="007352E9">
        <w:t>s que pueden operar</w:t>
      </w:r>
      <w:r w:rsidRPr="007352E9">
        <w:t xml:space="preserve"> </w:t>
      </w:r>
      <w:r w:rsidR="00B8583D" w:rsidRPr="007352E9">
        <w:t>en la banda de frecuencias 57</w:t>
      </w:r>
      <w:r w:rsidRPr="007352E9">
        <w:t>-64 GHz.</w:t>
      </w:r>
      <w:r w:rsidR="00EC7ED9" w:rsidRPr="007352E9">
        <w:t xml:space="preserve"> A continuación se presenta una lista de los mismos.</w:t>
      </w:r>
    </w:p>
    <w:tbl>
      <w:tblPr>
        <w:tblW w:w="0" w:type="auto"/>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4A0" w:firstRow="1" w:lastRow="0" w:firstColumn="1" w:lastColumn="0" w:noHBand="0" w:noVBand="1"/>
      </w:tblPr>
      <w:tblGrid>
        <w:gridCol w:w="717"/>
        <w:gridCol w:w="1083"/>
        <w:gridCol w:w="943"/>
        <w:gridCol w:w="1602"/>
        <w:gridCol w:w="656"/>
      </w:tblGrid>
      <w:tr w:rsidR="001F5E62" w:rsidRPr="007352E9" w14:paraId="6271E696" w14:textId="77777777" w:rsidTr="00221DC5">
        <w:trPr>
          <w:trHeight w:val="652"/>
          <w:jc w:val="center"/>
        </w:trPr>
        <w:tc>
          <w:tcPr>
            <w:tcW w:w="0" w:type="auto"/>
            <w:shd w:val="clear" w:color="auto" w:fill="70AD47" w:themeFill="accent6"/>
            <w:noWrap/>
            <w:vAlign w:val="center"/>
            <w:hideMark/>
          </w:tcPr>
          <w:p w14:paraId="3BC29D28" w14:textId="77777777" w:rsidR="001F5E62" w:rsidRPr="007352E9" w:rsidRDefault="001F5E62" w:rsidP="008655F7">
            <w:pPr>
              <w:spacing w:after="0" w:line="240" w:lineRule="auto"/>
              <w:jc w:val="center"/>
              <w:rPr>
                <w:rFonts w:ascii="Calibri" w:hAnsi="Calibri"/>
                <w:b/>
                <w:bCs/>
                <w:color w:val="000000"/>
                <w:lang w:eastAsia="es-MX"/>
              </w:rPr>
            </w:pPr>
            <w:r w:rsidRPr="007352E9">
              <w:rPr>
                <w:rFonts w:ascii="Calibri" w:hAnsi="Calibri"/>
                <w:b/>
                <w:bCs/>
                <w:color w:val="000000"/>
                <w:lang w:eastAsia="es-MX"/>
              </w:rPr>
              <w:t>Banda</w:t>
            </w:r>
          </w:p>
          <w:p w14:paraId="20E9B053" w14:textId="0197BCB1" w:rsidR="001F5E62" w:rsidRPr="007352E9" w:rsidRDefault="001F5E62" w:rsidP="008655F7">
            <w:pPr>
              <w:spacing w:after="0" w:line="240" w:lineRule="auto"/>
              <w:jc w:val="center"/>
              <w:rPr>
                <w:rFonts w:ascii="Calibri" w:hAnsi="Calibri"/>
                <w:b/>
                <w:bCs/>
                <w:color w:val="000000"/>
                <w:lang w:eastAsia="es-MX"/>
              </w:rPr>
            </w:pPr>
            <w:r w:rsidRPr="007352E9">
              <w:rPr>
                <w:rFonts w:ascii="Calibri" w:hAnsi="Calibri"/>
                <w:b/>
                <w:bCs/>
                <w:color w:val="000000"/>
                <w:lang w:eastAsia="es-MX"/>
              </w:rPr>
              <w:t>(</w:t>
            </w:r>
            <w:r w:rsidRPr="007352E9">
              <w:rPr>
                <w:rFonts w:ascii="Calibri" w:hAnsi="Calibri"/>
                <w:b/>
                <w:color w:val="000000"/>
                <w:lang w:eastAsia="es-MX"/>
              </w:rPr>
              <w:t>GHz)</w:t>
            </w:r>
          </w:p>
        </w:tc>
        <w:tc>
          <w:tcPr>
            <w:tcW w:w="0" w:type="auto"/>
            <w:shd w:val="clear" w:color="auto" w:fill="70AD47" w:themeFill="accent6"/>
            <w:noWrap/>
            <w:vAlign w:val="center"/>
            <w:hideMark/>
          </w:tcPr>
          <w:p w14:paraId="5CEC78C5" w14:textId="77777777" w:rsidR="001F5E62" w:rsidRPr="007352E9" w:rsidRDefault="001F5E62" w:rsidP="008655F7">
            <w:pPr>
              <w:spacing w:after="0" w:line="240" w:lineRule="auto"/>
              <w:jc w:val="center"/>
              <w:rPr>
                <w:rFonts w:ascii="Calibri" w:hAnsi="Calibri"/>
                <w:b/>
                <w:bCs/>
                <w:color w:val="000000"/>
                <w:lang w:eastAsia="es-MX"/>
              </w:rPr>
            </w:pPr>
            <w:r w:rsidRPr="007352E9">
              <w:rPr>
                <w:rFonts w:ascii="Calibri" w:hAnsi="Calibri"/>
                <w:b/>
                <w:bCs/>
                <w:color w:val="000000"/>
                <w:lang w:eastAsia="es-MX"/>
              </w:rPr>
              <w:t>Aplicación</w:t>
            </w:r>
          </w:p>
        </w:tc>
        <w:tc>
          <w:tcPr>
            <w:tcW w:w="0" w:type="auto"/>
            <w:shd w:val="clear" w:color="auto" w:fill="70AD47" w:themeFill="accent6"/>
            <w:vAlign w:val="center"/>
          </w:tcPr>
          <w:p w14:paraId="76E210F4" w14:textId="77777777" w:rsidR="001F5E62" w:rsidRPr="007352E9" w:rsidRDefault="001F5E62" w:rsidP="008655F7">
            <w:pPr>
              <w:spacing w:after="0" w:line="240" w:lineRule="auto"/>
              <w:jc w:val="center"/>
              <w:rPr>
                <w:rFonts w:ascii="Calibri" w:hAnsi="Calibri"/>
                <w:b/>
                <w:bCs/>
                <w:color w:val="000000"/>
                <w:lang w:eastAsia="es-MX"/>
              </w:rPr>
            </w:pPr>
            <w:r w:rsidRPr="007352E9">
              <w:rPr>
                <w:rFonts w:ascii="Calibri" w:hAnsi="Calibri"/>
                <w:b/>
                <w:bCs/>
                <w:color w:val="000000"/>
                <w:lang w:eastAsia="es-MX"/>
              </w:rPr>
              <w:t>Estándar</w:t>
            </w:r>
          </w:p>
        </w:tc>
        <w:tc>
          <w:tcPr>
            <w:tcW w:w="0" w:type="auto"/>
            <w:shd w:val="clear" w:color="auto" w:fill="70AD47" w:themeFill="accent6"/>
            <w:vAlign w:val="center"/>
          </w:tcPr>
          <w:p w14:paraId="59B1565A" w14:textId="77777777" w:rsidR="001F5E62" w:rsidRPr="007352E9" w:rsidRDefault="001F5E62" w:rsidP="008655F7">
            <w:pPr>
              <w:spacing w:after="0" w:line="240" w:lineRule="auto"/>
              <w:jc w:val="center"/>
              <w:rPr>
                <w:rFonts w:ascii="Calibri" w:hAnsi="Calibri"/>
                <w:b/>
                <w:bCs/>
                <w:color w:val="000000"/>
                <w:lang w:eastAsia="es-MX"/>
              </w:rPr>
            </w:pPr>
            <w:r w:rsidRPr="007352E9">
              <w:rPr>
                <w:rFonts w:ascii="Calibri" w:hAnsi="Calibri"/>
                <w:b/>
                <w:bCs/>
                <w:color w:val="000000"/>
                <w:lang w:eastAsia="es-MX"/>
              </w:rPr>
              <w:t>Recomendación</w:t>
            </w:r>
          </w:p>
        </w:tc>
        <w:tc>
          <w:tcPr>
            <w:tcW w:w="0" w:type="auto"/>
            <w:shd w:val="clear" w:color="auto" w:fill="70AD47" w:themeFill="accent6"/>
            <w:vAlign w:val="center"/>
          </w:tcPr>
          <w:p w14:paraId="210E4B0D" w14:textId="77777777" w:rsidR="001F5E62" w:rsidRPr="007352E9" w:rsidRDefault="001F5E62" w:rsidP="008655F7">
            <w:pPr>
              <w:spacing w:after="0" w:line="240" w:lineRule="auto"/>
              <w:jc w:val="center"/>
              <w:rPr>
                <w:rFonts w:ascii="Calibri" w:hAnsi="Calibri"/>
                <w:b/>
                <w:bCs/>
                <w:color w:val="000000"/>
                <w:vertAlign w:val="subscript"/>
                <w:lang w:eastAsia="es-MX"/>
              </w:rPr>
            </w:pPr>
            <w:r w:rsidRPr="007352E9">
              <w:rPr>
                <w:rFonts w:ascii="Calibri" w:hAnsi="Calibri"/>
                <w:b/>
                <w:bCs/>
                <w:color w:val="000000"/>
                <w:lang w:eastAsia="es-MX"/>
              </w:rPr>
              <w:t>P</w:t>
            </w:r>
            <w:r w:rsidRPr="007352E9">
              <w:rPr>
                <w:rFonts w:ascii="Calibri" w:hAnsi="Calibri"/>
                <w:b/>
                <w:bCs/>
                <w:color w:val="000000"/>
                <w:vertAlign w:val="subscript"/>
                <w:lang w:eastAsia="es-MX"/>
              </w:rPr>
              <w:t>TX</w:t>
            </w:r>
          </w:p>
          <w:p w14:paraId="3CDF6D53" w14:textId="468609B0" w:rsidR="001F5E62" w:rsidRPr="007352E9" w:rsidRDefault="001F5E62" w:rsidP="008655F7">
            <w:pPr>
              <w:spacing w:after="0" w:line="240" w:lineRule="auto"/>
              <w:jc w:val="center"/>
              <w:rPr>
                <w:rFonts w:ascii="Calibri" w:hAnsi="Calibri"/>
                <w:b/>
                <w:bCs/>
                <w:color w:val="000000"/>
                <w:lang w:eastAsia="es-MX"/>
              </w:rPr>
            </w:pPr>
            <w:r w:rsidRPr="007352E9">
              <w:rPr>
                <w:rFonts w:ascii="Calibri" w:hAnsi="Calibri"/>
                <w:b/>
                <w:color w:val="000000"/>
                <w:lang w:eastAsia="es-MX"/>
              </w:rPr>
              <w:t>(mW)</w:t>
            </w:r>
          </w:p>
        </w:tc>
      </w:tr>
      <w:tr w:rsidR="001F5E62" w:rsidRPr="007352E9" w14:paraId="49EDD285" w14:textId="77777777" w:rsidTr="00221DC5">
        <w:trPr>
          <w:trHeight w:val="210"/>
          <w:jc w:val="center"/>
        </w:trPr>
        <w:tc>
          <w:tcPr>
            <w:tcW w:w="0" w:type="auto"/>
            <w:noWrap/>
            <w:vAlign w:val="center"/>
          </w:tcPr>
          <w:p w14:paraId="270FD0B7" w14:textId="5595C17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57-64</w:t>
            </w:r>
          </w:p>
        </w:tc>
        <w:tc>
          <w:tcPr>
            <w:tcW w:w="0" w:type="auto"/>
            <w:noWrap/>
            <w:vAlign w:val="center"/>
          </w:tcPr>
          <w:p w14:paraId="0D2DEA16" w14:textId="7777777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WLAN</w:t>
            </w:r>
          </w:p>
          <w:p w14:paraId="11280E22" w14:textId="357A000C"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TDD</w:t>
            </w:r>
          </w:p>
        </w:tc>
        <w:tc>
          <w:tcPr>
            <w:tcW w:w="0" w:type="auto"/>
            <w:vAlign w:val="center"/>
          </w:tcPr>
          <w:p w14:paraId="48B2F9A7" w14:textId="77777777" w:rsidR="001F5E62" w:rsidRPr="007352E9" w:rsidRDefault="001F5E62" w:rsidP="008655F7">
            <w:pPr>
              <w:spacing w:after="0" w:line="240" w:lineRule="auto"/>
              <w:jc w:val="center"/>
              <w:rPr>
                <w:rFonts w:ascii="Calibri" w:hAnsi="Calibri"/>
                <w:color w:val="000000"/>
                <w:sz w:val="20"/>
                <w:lang w:eastAsia="es-MX"/>
              </w:rPr>
            </w:pPr>
          </w:p>
        </w:tc>
        <w:tc>
          <w:tcPr>
            <w:tcW w:w="0" w:type="auto"/>
            <w:vAlign w:val="center"/>
          </w:tcPr>
          <w:p w14:paraId="15206A91" w14:textId="7777777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UIT-R SM.2153-2</w:t>
            </w:r>
          </w:p>
        </w:tc>
        <w:tc>
          <w:tcPr>
            <w:tcW w:w="0" w:type="auto"/>
            <w:vAlign w:val="center"/>
          </w:tcPr>
          <w:p w14:paraId="3386801E" w14:textId="77777777" w:rsidR="001F5E62" w:rsidRPr="007352E9" w:rsidRDefault="001F5E62" w:rsidP="008655F7">
            <w:pPr>
              <w:spacing w:after="0" w:line="240" w:lineRule="auto"/>
              <w:jc w:val="center"/>
              <w:rPr>
                <w:rFonts w:ascii="Calibri" w:hAnsi="Calibri"/>
                <w:color w:val="000000"/>
                <w:sz w:val="20"/>
                <w:lang w:eastAsia="es-MX"/>
              </w:rPr>
            </w:pPr>
          </w:p>
        </w:tc>
      </w:tr>
      <w:tr w:rsidR="001F5E62" w:rsidRPr="007352E9" w14:paraId="77C525BC" w14:textId="77777777" w:rsidTr="00221DC5">
        <w:trPr>
          <w:trHeight w:val="70"/>
          <w:jc w:val="center"/>
        </w:trPr>
        <w:tc>
          <w:tcPr>
            <w:tcW w:w="0" w:type="auto"/>
            <w:noWrap/>
            <w:vAlign w:val="center"/>
          </w:tcPr>
          <w:p w14:paraId="43B20711" w14:textId="7AEAEC86"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57-64</w:t>
            </w:r>
          </w:p>
        </w:tc>
        <w:tc>
          <w:tcPr>
            <w:tcW w:w="0" w:type="auto"/>
            <w:noWrap/>
            <w:vAlign w:val="center"/>
          </w:tcPr>
          <w:p w14:paraId="35B0785F" w14:textId="25A7A45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WLAN</w:t>
            </w:r>
          </w:p>
        </w:tc>
        <w:tc>
          <w:tcPr>
            <w:tcW w:w="0" w:type="auto"/>
            <w:vAlign w:val="center"/>
          </w:tcPr>
          <w:p w14:paraId="4E06B6BE" w14:textId="7777777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802.11ad</w:t>
            </w:r>
          </w:p>
        </w:tc>
        <w:tc>
          <w:tcPr>
            <w:tcW w:w="0" w:type="auto"/>
            <w:vAlign w:val="center"/>
          </w:tcPr>
          <w:p w14:paraId="729D75E1" w14:textId="463074F2"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UIT-R SM.2153-4</w:t>
            </w:r>
            <w:r w:rsidRPr="007352E9">
              <w:rPr>
                <w:rStyle w:val="Refdenotaalpie"/>
                <w:rFonts w:ascii="Calibri" w:hAnsi="Calibri"/>
                <w:color w:val="000000"/>
                <w:sz w:val="14"/>
                <w:lang w:eastAsia="es-MX"/>
              </w:rPr>
              <w:footnoteReference w:id="2"/>
            </w:r>
          </w:p>
        </w:tc>
        <w:tc>
          <w:tcPr>
            <w:tcW w:w="0" w:type="auto"/>
            <w:vAlign w:val="center"/>
          </w:tcPr>
          <w:p w14:paraId="528FF55F" w14:textId="69A00D69"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 xml:space="preserve">500 </w:t>
            </w:r>
          </w:p>
        </w:tc>
      </w:tr>
      <w:tr w:rsidR="001F5E62" w:rsidRPr="007352E9" w14:paraId="5C53B965" w14:textId="77777777" w:rsidTr="00221DC5">
        <w:trPr>
          <w:trHeight w:val="70"/>
          <w:jc w:val="center"/>
        </w:trPr>
        <w:tc>
          <w:tcPr>
            <w:tcW w:w="0" w:type="auto"/>
            <w:noWrap/>
            <w:vAlign w:val="center"/>
          </w:tcPr>
          <w:p w14:paraId="61459089" w14:textId="61DD44CF"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57-64</w:t>
            </w:r>
          </w:p>
        </w:tc>
        <w:tc>
          <w:tcPr>
            <w:tcW w:w="0" w:type="auto"/>
            <w:noWrap/>
            <w:vAlign w:val="center"/>
          </w:tcPr>
          <w:p w14:paraId="120FEFCE" w14:textId="3F4AD315"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WLAN</w:t>
            </w:r>
          </w:p>
        </w:tc>
        <w:tc>
          <w:tcPr>
            <w:tcW w:w="0" w:type="auto"/>
            <w:vAlign w:val="center"/>
          </w:tcPr>
          <w:p w14:paraId="086F79C5" w14:textId="7777777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802.11ad</w:t>
            </w:r>
          </w:p>
        </w:tc>
        <w:tc>
          <w:tcPr>
            <w:tcW w:w="0" w:type="auto"/>
            <w:vAlign w:val="center"/>
          </w:tcPr>
          <w:p w14:paraId="379F3C6E" w14:textId="34FAC927" w:rsidR="001F5E62" w:rsidRPr="007352E9" w:rsidRDefault="001F5E62" w:rsidP="008655F7">
            <w:pPr>
              <w:spacing w:after="0" w:line="240" w:lineRule="auto"/>
              <w:jc w:val="center"/>
              <w:rPr>
                <w:rFonts w:ascii="Calibri" w:hAnsi="Calibri"/>
                <w:color w:val="000000"/>
                <w:sz w:val="20"/>
                <w:vertAlign w:val="superscript"/>
                <w:lang w:eastAsia="es-MX"/>
              </w:rPr>
            </w:pPr>
            <w:r w:rsidRPr="007352E9">
              <w:rPr>
                <w:rFonts w:ascii="Calibri" w:hAnsi="Calibri"/>
                <w:color w:val="000000"/>
                <w:sz w:val="20"/>
                <w:lang w:eastAsia="es-MX"/>
              </w:rPr>
              <w:t>UIT-R SM.2153-4</w:t>
            </w:r>
            <w:r w:rsidRPr="007352E9">
              <w:rPr>
                <w:rStyle w:val="Refdenotaalpie"/>
                <w:rFonts w:ascii="Calibri" w:hAnsi="Calibri"/>
                <w:color w:val="000000"/>
                <w:sz w:val="14"/>
                <w:lang w:eastAsia="es-MX"/>
              </w:rPr>
              <w:footnoteReference w:id="3"/>
            </w:r>
          </w:p>
        </w:tc>
        <w:tc>
          <w:tcPr>
            <w:tcW w:w="0" w:type="auto"/>
            <w:vAlign w:val="center"/>
          </w:tcPr>
          <w:p w14:paraId="388EE0D2" w14:textId="3B6377B6"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 xml:space="preserve">500 </w:t>
            </w:r>
          </w:p>
        </w:tc>
      </w:tr>
      <w:tr w:rsidR="001F5E62" w:rsidRPr="007352E9" w14:paraId="72EE3D9C" w14:textId="77777777" w:rsidTr="00221DC5">
        <w:trPr>
          <w:trHeight w:val="300"/>
          <w:jc w:val="center"/>
        </w:trPr>
        <w:tc>
          <w:tcPr>
            <w:tcW w:w="0" w:type="auto"/>
            <w:noWrap/>
            <w:vAlign w:val="center"/>
          </w:tcPr>
          <w:p w14:paraId="50BF2A4D" w14:textId="423BDC9E"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57-64</w:t>
            </w:r>
          </w:p>
        </w:tc>
        <w:tc>
          <w:tcPr>
            <w:tcW w:w="0" w:type="auto"/>
            <w:noWrap/>
            <w:vAlign w:val="center"/>
          </w:tcPr>
          <w:p w14:paraId="72ED4A8A" w14:textId="77777777" w:rsidR="001F5E62" w:rsidRPr="007352E9" w:rsidRDefault="001F5E62" w:rsidP="008655F7">
            <w:pPr>
              <w:spacing w:after="0" w:line="240" w:lineRule="auto"/>
              <w:jc w:val="center"/>
              <w:rPr>
                <w:rFonts w:ascii="Calibri" w:hAnsi="Calibri"/>
                <w:color w:val="000000"/>
                <w:sz w:val="20"/>
                <w:lang w:eastAsia="es-MX"/>
              </w:rPr>
            </w:pPr>
          </w:p>
        </w:tc>
        <w:tc>
          <w:tcPr>
            <w:tcW w:w="0" w:type="auto"/>
            <w:vAlign w:val="center"/>
          </w:tcPr>
          <w:p w14:paraId="14517703" w14:textId="7777777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802.11ad</w:t>
            </w:r>
          </w:p>
        </w:tc>
        <w:tc>
          <w:tcPr>
            <w:tcW w:w="0" w:type="auto"/>
            <w:vAlign w:val="center"/>
          </w:tcPr>
          <w:p w14:paraId="144F70B4" w14:textId="7777777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UIT-R SM.2153-2</w:t>
            </w:r>
          </w:p>
        </w:tc>
        <w:tc>
          <w:tcPr>
            <w:tcW w:w="0" w:type="auto"/>
            <w:vAlign w:val="center"/>
          </w:tcPr>
          <w:p w14:paraId="10ADB465" w14:textId="0D8B7ACF"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500</w:t>
            </w:r>
          </w:p>
        </w:tc>
      </w:tr>
      <w:tr w:rsidR="001F5E62" w:rsidRPr="007352E9" w14:paraId="59B2B8FF" w14:textId="77777777" w:rsidTr="00221DC5">
        <w:trPr>
          <w:trHeight w:val="70"/>
          <w:jc w:val="center"/>
        </w:trPr>
        <w:tc>
          <w:tcPr>
            <w:tcW w:w="0" w:type="auto"/>
            <w:noWrap/>
            <w:vAlign w:val="center"/>
          </w:tcPr>
          <w:p w14:paraId="38BE8F58" w14:textId="285B848A"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 xml:space="preserve">57-64 </w:t>
            </w:r>
          </w:p>
        </w:tc>
        <w:tc>
          <w:tcPr>
            <w:tcW w:w="0" w:type="auto"/>
            <w:noWrap/>
            <w:vAlign w:val="center"/>
          </w:tcPr>
          <w:p w14:paraId="3F6D5FC5" w14:textId="77777777" w:rsidR="001F5E62" w:rsidRPr="007352E9" w:rsidRDefault="001F5E62" w:rsidP="008655F7">
            <w:pPr>
              <w:spacing w:after="0" w:line="240" w:lineRule="auto"/>
              <w:jc w:val="center"/>
              <w:rPr>
                <w:rFonts w:ascii="Calibri" w:hAnsi="Calibri"/>
                <w:color w:val="000000"/>
                <w:sz w:val="20"/>
                <w:lang w:eastAsia="es-MX"/>
              </w:rPr>
            </w:pPr>
          </w:p>
        </w:tc>
        <w:tc>
          <w:tcPr>
            <w:tcW w:w="0" w:type="auto"/>
            <w:vAlign w:val="center"/>
          </w:tcPr>
          <w:p w14:paraId="61FFCBC7" w14:textId="77777777" w:rsidR="001F5E62" w:rsidRPr="007352E9" w:rsidRDefault="001F5E62" w:rsidP="008655F7">
            <w:pPr>
              <w:spacing w:after="0" w:line="240" w:lineRule="auto"/>
              <w:jc w:val="center"/>
              <w:rPr>
                <w:rFonts w:ascii="Calibri" w:hAnsi="Calibri"/>
                <w:color w:val="000000"/>
                <w:sz w:val="20"/>
                <w:lang w:eastAsia="es-MX"/>
              </w:rPr>
            </w:pPr>
          </w:p>
        </w:tc>
        <w:tc>
          <w:tcPr>
            <w:tcW w:w="0" w:type="auto"/>
            <w:vAlign w:val="center"/>
          </w:tcPr>
          <w:p w14:paraId="2D3973FA" w14:textId="77777777"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UIT-R SM.2153-2</w:t>
            </w:r>
          </w:p>
        </w:tc>
        <w:tc>
          <w:tcPr>
            <w:tcW w:w="0" w:type="auto"/>
            <w:vAlign w:val="center"/>
          </w:tcPr>
          <w:p w14:paraId="7E31DB30" w14:textId="3DD56E8A" w:rsidR="001F5E62" w:rsidRPr="007352E9" w:rsidRDefault="001F5E62" w:rsidP="008655F7">
            <w:pPr>
              <w:spacing w:after="0" w:line="240" w:lineRule="auto"/>
              <w:jc w:val="center"/>
              <w:rPr>
                <w:rFonts w:ascii="Calibri" w:hAnsi="Calibri"/>
                <w:color w:val="000000"/>
                <w:sz w:val="20"/>
                <w:lang w:eastAsia="es-MX"/>
              </w:rPr>
            </w:pPr>
            <w:r w:rsidRPr="007352E9">
              <w:rPr>
                <w:rFonts w:ascii="Calibri" w:hAnsi="Calibri"/>
                <w:color w:val="000000"/>
                <w:sz w:val="20"/>
                <w:lang w:eastAsia="es-MX"/>
              </w:rPr>
              <w:t xml:space="preserve">500 </w:t>
            </w:r>
          </w:p>
        </w:tc>
      </w:tr>
    </w:tbl>
    <w:p w14:paraId="050FD5D8" w14:textId="77777777" w:rsidR="00BD58D4" w:rsidRPr="007352E9" w:rsidRDefault="00BD58D4" w:rsidP="00EA2AB7">
      <w:pPr>
        <w:spacing w:after="0"/>
        <w:contextualSpacing/>
        <w:jc w:val="both"/>
      </w:pPr>
    </w:p>
    <w:p w14:paraId="552DE53F" w14:textId="1101F365" w:rsidR="001F20A9" w:rsidRPr="007352E9" w:rsidRDefault="001F20A9" w:rsidP="00506BDF">
      <w:pPr>
        <w:pStyle w:val="Ttulo3"/>
        <w:spacing w:before="0" w:after="120"/>
        <w:ind w:left="283"/>
        <w:rPr>
          <w:rFonts w:asciiTheme="minorHAnsi" w:hAnsiTheme="minorHAnsi"/>
          <w:sz w:val="22"/>
          <w:szCs w:val="22"/>
        </w:rPr>
      </w:pPr>
      <w:bookmarkStart w:id="24" w:name="_Toc474325850"/>
      <w:r w:rsidRPr="007352E9">
        <w:rPr>
          <w:rFonts w:asciiTheme="minorHAnsi" w:hAnsiTheme="minorHAnsi"/>
          <w:sz w:val="22"/>
          <w:szCs w:val="22"/>
        </w:rPr>
        <w:t>Diversidad de Equipos</w:t>
      </w:r>
      <w:bookmarkEnd w:id="24"/>
    </w:p>
    <w:p w14:paraId="4B1A8C9A" w14:textId="16B847CE" w:rsidR="00C87233" w:rsidRPr="007352E9" w:rsidRDefault="00545FE7" w:rsidP="00221DC5">
      <w:pPr>
        <w:spacing w:after="120"/>
        <w:jc w:val="both"/>
      </w:pPr>
      <w:r w:rsidRPr="007352E9">
        <w:t>Ahora bien</w:t>
      </w:r>
      <w:r w:rsidR="00C87233" w:rsidRPr="007352E9">
        <w:t xml:space="preserve">, </w:t>
      </w:r>
      <w:r w:rsidRPr="007352E9">
        <w:t xml:space="preserve">respecto a la disponibilidad de tecnología que pueda hacer uso de la banda de 60 GHz, </w:t>
      </w:r>
      <w:r w:rsidR="00C87233" w:rsidRPr="007352E9">
        <w:t xml:space="preserve">se realizó un análisis sobre los </w:t>
      </w:r>
      <w:r w:rsidR="002A1D58" w:rsidRPr="007352E9">
        <w:t>dispositivos</w:t>
      </w:r>
      <w:r w:rsidR="00C87233" w:rsidRPr="007352E9">
        <w:t xml:space="preserve"> disponibles en el rango de </w:t>
      </w:r>
      <w:r w:rsidR="002A1D58" w:rsidRPr="007352E9">
        <w:t>frecuencias 57-64</w:t>
      </w:r>
      <w:r w:rsidR="00C87233" w:rsidRPr="007352E9">
        <w:t xml:space="preserve"> GHz; en este análisis se </w:t>
      </w:r>
      <w:r w:rsidRPr="007352E9">
        <w:t xml:space="preserve">estudiaron y </w:t>
      </w:r>
      <w:r w:rsidR="00C87233" w:rsidRPr="007352E9">
        <w:t>revisaron los</w:t>
      </w:r>
      <w:r w:rsidR="007130AD" w:rsidRPr="007352E9">
        <w:t xml:space="preserve"> </w:t>
      </w:r>
      <w:r w:rsidRPr="007352E9">
        <w:t>equipos</w:t>
      </w:r>
      <w:r w:rsidR="007130AD" w:rsidRPr="007352E9">
        <w:t xml:space="preserve"> de </w:t>
      </w:r>
      <w:r w:rsidR="00DE0FF9" w:rsidRPr="007352E9">
        <w:t xml:space="preserve">diversas </w:t>
      </w:r>
      <w:r w:rsidRPr="007352E9">
        <w:t xml:space="preserve">aplicaciones, diferentes </w:t>
      </w:r>
      <w:r w:rsidR="007130AD" w:rsidRPr="007352E9">
        <w:t>marcas</w:t>
      </w:r>
      <w:r w:rsidR="00CE3883" w:rsidRPr="007352E9">
        <w:t xml:space="preserve">, </w:t>
      </w:r>
      <w:r w:rsidRPr="007352E9">
        <w:t>los</w:t>
      </w:r>
      <w:r w:rsidR="00CE3883" w:rsidRPr="007352E9">
        <w:t xml:space="preserve"> rangos de operación, </w:t>
      </w:r>
      <w:r w:rsidRPr="007352E9">
        <w:t>la</w:t>
      </w:r>
      <w:r w:rsidR="00CE3883" w:rsidRPr="007352E9">
        <w:t xml:space="preserve"> modulación</w:t>
      </w:r>
      <w:r w:rsidRPr="007352E9">
        <w:t xml:space="preserve"> que utilizan</w:t>
      </w:r>
      <w:r w:rsidR="00CE3883" w:rsidRPr="007352E9">
        <w:t>, entre otros</w:t>
      </w:r>
      <w:r w:rsidRPr="007352E9">
        <w:t xml:space="preserve"> datos técnicos</w:t>
      </w:r>
      <w:r w:rsidR="00CE3883" w:rsidRPr="007352E9">
        <w:t>.</w:t>
      </w:r>
    </w:p>
    <w:p w14:paraId="502A063F" w14:textId="4A299974" w:rsidR="00B3730B" w:rsidRPr="007352E9" w:rsidRDefault="00CE3883" w:rsidP="00221DC5">
      <w:pPr>
        <w:spacing w:after="120"/>
        <w:jc w:val="both"/>
      </w:pPr>
      <w:r w:rsidRPr="007352E9">
        <w:t xml:space="preserve">Derivado de lo anterior, </w:t>
      </w:r>
      <w:r w:rsidR="00FC363A" w:rsidRPr="007352E9">
        <w:t>en la</w:t>
      </w:r>
      <w:r w:rsidR="00545FE7" w:rsidRPr="007352E9">
        <w:t>s</w:t>
      </w:r>
      <w:r w:rsidR="00FC363A" w:rsidRPr="007352E9">
        <w:t xml:space="preserve"> </w:t>
      </w:r>
      <w:r w:rsidR="00545FE7" w:rsidRPr="007352E9">
        <w:t xml:space="preserve">siguientes </w:t>
      </w:r>
      <w:r w:rsidR="00FC363A" w:rsidRPr="007352E9">
        <w:t>gráfica</w:t>
      </w:r>
      <w:r w:rsidR="00545FE7" w:rsidRPr="007352E9">
        <w:t>s</w:t>
      </w:r>
      <w:r w:rsidR="00FC363A" w:rsidRPr="007352E9">
        <w:t xml:space="preserve"> se </w:t>
      </w:r>
      <w:r w:rsidR="00545FE7" w:rsidRPr="007352E9">
        <w:t>puede observar el resultado de dicho análisis respecto a</w:t>
      </w:r>
      <w:r w:rsidR="00FC363A" w:rsidRPr="007352E9">
        <w:t xml:space="preserve"> la disponibilidad tecnológica </w:t>
      </w:r>
      <w:r w:rsidR="00A645C8" w:rsidRPr="007352E9">
        <w:t>relativos a las diferentes aplicaciones y agrupados por</w:t>
      </w:r>
      <w:r w:rsidR="00545FE7" w:rsidRPr="007352E9">
        <w:t xml:space="preserve"> rangos de operación </w:t>
      </w:r>
      <w:r w:rsidR="00EA2AB7" w:rsidRPr="007352E9">
        <w:t xml:space="preserve">del total de </w:t>
      </w:r>
      <w:r w:rsidR="00545FE7" w:rsidRPr="007352E9">
        <w:t xml:space="preserve">los </w:t>
      </w:r>
      <w:r w:rsidR="00EA2AB7" w:rsidRPr="007352E9">
        <w:t>dispositivos encontrados</w:t>
      </w:r>
      <w:r w:rsidR="00FC363A" w:rsidRPr="007352E9">
        <w:t>:</w:t>
      </w:r>
    </w:p>
    <w:p w14:paraId="7DDAC625" w14:textId="11AE90B8" w:rsidR="00BA74AE" w:rsidRPr="007352E9" w:rsidRDefault="00171E29" w:rsidP="002C6363">
      <w:pPr>
        <w:spacing w:after="0"/>
        <w:contextualSpacing/>
      </w:pPr>
      <w:r w:rsidRPr="007352E9">
        <w:rPr>
          <w:noProof/>
          <w:lang w:eastAsia="es-MX"/>
        </w:rPr>
        <w:lastRenderedPageBreak/>
        <w:drawing>
          <wp:anchor distT="0" distB="0" distL="114300" distR="114300" simplePos="0" relativeHeight="251660288" behindDoc="0" locked="0" layoutInCell="1" allowOverlap="1" wp14:anchorId="3ACC5788" wp14:editId="7CE2539C">
            <wp:simplePos x="1479550" y="5308600"/>
            <wp:positionH relativeFrom="column">
              <wp:posOffset>1473835</wp:posOffset>
            </wp:positionH>
            <wp:positionV relativeFrom="paragraph">
              <wp:align>top</wp:align>
            </wp:positionV>
            <wp:extent cx="4819650" cy="3000375"/>
            <wp:effectExtent l="0" t="0" r="0" b="9525"/>
            <wp:wrapSquare wrapText="bothSides"/>
            <wp:docPr id="4" name="Gráfico 4" descr="EQUIPOS DE RADIO, DISPONIBILIDAD TECNOLOGICA" title="GRAF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2C6363">
        <w:br w:type="textWrapping" w:clear="all"/>
      </w:r>
    </w:p>
    <w:p w14:paraId="2358B53B" w14:textId="77777777" w:rsidR="00A55B33" w:rsidRPr="007352E9" w:rsidRDefault="00A55B33" w:rsidP="00E135D7">
      <w:pPr>
        <w:tabs>
          <w:tab w:val="left" w:pos="426"/>
          <w:tab w:val="left" w:pos="2127"/>
          <w:tab w:val="left" w:pos="6521"/>
          <w:tab w:val="left" w:pos="8080"/>
        </w:tabs>
        <w:spacing w:after="0"/>
        <w:jc w:val="center"/>
        <w:rPr>
          <w:sz w:val="18"/>
        </w:rPr>
      </w:pPr>
      <w:r w:rsidRPr="007352E9">
        <w:rPr>
          <w:sz w:val="18"/>
        </w:rPr>
        <w:t>Gráfica 1. Disponibilidad Tecnológica</w:t>
      </w:r>
    </w:p>
    <w:p w14:paraId="773E6EAF" w14:textId="77777777" w:rsidR="001A0A71" w:rsidRPr="007352E9" w:rsidRDefault="001A0A71" w:rsidP="00171E29">
      <w:pPr>
        <w:tabs>
          <w:tab w:val="left" w:pos="426"/>
          <w:tab w:val="left" w:pos="2127"/>
          <w:tab w:val="left" w:pos="6521"/>
          <w:tab w:val="left" w:pos="8080"/>
        </w:tabs>
        <w:spacing w:after="0"/>
        <w:rPr>
          <w:sz w:val="20"/>
        </w:rPr>
      </w:pPr>
    </w:p>
    <w:p w14:paraId="53C9463C" w14:textId="0C440E73" w:rsidR="00171E29" w:rsidRPr="007352E9" w:rsidRDefault="00171E29" w:rsidP="00171E29">
      <w:pPr>
        <w:spacing w:after="120"/>
        <w:jc w:val="both"/>
      </w:pPr>
      <w:r w:rsidRPr="007352E9">
        <w:t>De la gráfica anterior se puede observar que la mayor parte de la disponibilidad tecnológica para los equipos de radio, recae en el segmento 57-64 GHz.</w:t>
      </w:r>
    </w:p>
    <w:p w14:paraId="3F66AB2D" w14:textId="5D584527" w:rsidR="00130253" w:rsidRPr="007352E9" w:rsidRDefault="00130253" w:rsidP="00C87233">
      <w:pPr>
        <w:tabs>
          <w:tab w:val="left" w:pos="426"/>
          <w:tab w:val="left" w:pos="2127"/>
          <w:tab w:val="left" w:pos="6521"/>
          <w:tab w:val="left" w:pos="8080"/>
        </w:tabs>
        <w:jc w:val="center"/>
      </w:pPr>
      <w:r w:rsidRPr="007352E9">
        <w:rPr>
          <w:noProof/>
          <w:lang w:eastAsia="es-MX"/>
        </w:rPr>
        <w:drawing>
          <wp:inline distT="0" distB="0" distL="0" distR="0" wp14:anchorId="1E61E268" wp14:editId="4A4E4114">
            <wp:extent cx="5419725" cy="2705100"/>
            <wp:effectExtent l="0" t="0" r="9525" b="0"/>
            <wp:docPr id="7" name="Gráfico 7" descr="DISPOSITIVOS DE CORTO ALCANCE, GRAFICA 2 " title="GRAF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D2D5AE6" w14:textId="0649E5F4" w:rsidR="00A55B33" w:rsidRPr="007352E9" w:rsidRDefault="00A55B33" w:rsidP="00A55B33">
      <w:pPr>
        <w:tabs>
          <w:tab w:val="left" w:pos="426"/>
          <w:tab w:val="left" w:pos="2127"/>
          <w:tab w:val="left" w:pos="6521"/>
          <w:tab w:val="left" w:pos="8080"/>
        </w:tabs>
        <w:jc w:val="center"/>
        <w:rPr>
          <w:sz w:val="18"/>
        </w:rPr>
      </w:pPr>
      <w:r w:rsidRPr="007352E9">
        <w:rPr>
          <w:sz w:val="18"/>
        </w:rPr>
        <w:t>Gráfica 2. Disponibilidad Tecnológica</w:t>
      </w:r>
    </w:p>
    <w:p w14:paraId="310326C6" w14:textId="17320695" w:rsidR="00171E29" w:rsidRPr="007352E9" w:rsidRDefault="00171E29" w:rsidP="00171E29">
      <w:pPr>
        <w:spacing w:after="120"/>
        <w:jc w:val="both"/>
      </w:pPr>
      <w:r w:rsidRPr="007352E9">
        <w:t>De la gráfica anterior se puede observar si existe disponibilidad tecnológica para los dispositivos de corto alcance en la banda de 60 GHz.</w:t>
      </w:r>
    </w:p>
    <w:p w14:paraId="5F1B2FBC" w14:textId="77777777" w:rsidR="00171E29" w:rsidRPr="007352E9" w:rsidRDefault="00171E29" w:rsidP="00171E29">
      <w:pPr>
        <w:tabs>
          <w:tab w:val="left" w:pos="426"/>
          <w:tab w:val="left" w:pos="2127"/>
          <w:tab w:val="left" w:pos="6521"/>
          <w:tab w:val="left" w:pos="8080"/>
        </w:tabs>
      </w:pPr>
    </w:p>
    <w:p w14:paraId="68FE7227" w14:textId="538A8255" w:rsidR="00130253" w:rsidRPr="007352E9" w:rsidRDefault="00130253" w:rsidP="00C87233">
      <w:pPr>
        <w:tabs>
          <w:tab w:val="left" w:pos="426"/>
          <w:tab w:val="left" w:pos="2127"/>
          <w:tab w:val="left" w:pos="6521"/>
          <w:tab w:val="left" w:pos="8080"/>
        </w:tabs>
        <w:jc w:val="center"/>
      </w:pPr>
      <w:r w:rsidRPr="007352E9">
        <w:rPr>
          <w:noProof/>
          <w:lang w:eastAsia="es-MX"/>
        </w:rPr>
        <w:lastRenderedPageBreak/>
        <w:drawing>
          <wp:inline distT="0" distB="0" distL="0" distR="0" wp14:anchorId="03B6DE6F" wp14:editId="7574E391">
            <wp:extent cx="4629150" cy="3038475"/>
            <wp:effectExtent l="0" t="0" r="0" b="0"/>
            <wp:docPr id="9" name="Gráfico 9" descr="RUTEADORES, GRAFICA 3" title="GRAF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3425A37" w14:textId="43FA7A6E" w:rsidR="00DE0FF9" w:rsidRPr="007352E9" w:rsidRDefault="00DE0FF9" w:rsidP="00DE0FF9">
      <w:pPr>
        <w:tabs>
          <w:tab w:val="left" w:pos="426"/>
          <w:tab w:val="left" w:pos="2127"/>
          <w:tab w:val="left" w:pos="6521"/>
          <w:tab w:val="left" w:pos="8080"/>
        </w:tabs>
        <w:jc w:val="center"/>
        <w:rPr>
          <w:sz w:val="18"/>
        </w:rPr>
      </w:pPr>
      <w:r w:rsidRPr="007352E9">
        <w:rPr>
          <w:sz w:val="18"/>
        </w:rPr>
        <w:t xml:space="preserve">Gráfica </w:t>
      </w:r>
      <w:r w:rsidR="00A55B33" w:rsidRPr="007352E9">
        <w:rPr>
          <w:sz w:val="18"/>
        </w:rPr>
        <w:t>3</w:t>
      </w:r>
      <w:r w:rsidRPr="007352E9">
        <w:rPr>
          <w:sz w:val="18"/>
        </w:rPr>
        <w:t>. Disponibilidad Tecnológica</w:t>
      </w:r>
    </w:p>
    <w:p w14:paraId="4A0C3C6D" w14:textId="2D3D9078" w:rsidR="00171E29" w:rsidRPr="007352E9" w:rsidRDefault="00171E29" w:rsidP="00171E29">
      <w:pPr>
        <w:spacing w:after="120"/>
        <w:jc w:val="both"/>
      </w:pPr>
      <w:r w:rsidRPr="007352E9">
        <w:t>De la gráfica anterior se puede observar que existe disponibilidad tecnológica tanto para los dispositivos de ruteo en las bandas bajas, como en la banda de 60 GHz.</w:t>
      </w:r>
    </w:p>
    <w:p w14:paraId="75333F31" w14:textId="77777777" w:rsidR="00171E29" w:rsidRPr="007352E9" w:rsidRDefault="00171E29" w:rsidP="00171E29">
      <w:pPr>
        <w:tabs>
          <w:tab w:val="left" w:pos="426"/>
          <w:tab w:val="left" w:pos="2127"/>
          <w:tab w:val="left" w:pos="6521"/>
          <w:tab w:val="left" w:pos="8080"/>
        </w:tabs>
        <w:rPr>
          <w:sz w:val="18"/>
        </w:rPr>
      </w:pPr>
    </w:p>
    <w:p w14:paraId="3217A5F2" w14:textId="77777777" w:rsidR="0025238A" w:rsidRPr="007352E9" w:rsidRDefault="0025238A" w:rsidP="0025238A">
      <w:pPr>
        <w:pStyle w:val="Ttulo1"/>
        <w:numPr>
          <w:ilvl w:val="0"/>
          <w:numId w:val="1"/>
        </w:numPr>
        <w:ind w:left="284"/>
        <w:rPr>
          <w:sz w:val="22"/>
        </w:rPr>
      </w:pPr>
      <w:bookmarkStart w:id="25" w:name="_Toc474325851"/>
      <w:r w:rsidRPr="007352E9">
        <w:rPr>
          <w:sz w:val="22"/>
        </w:rPr>
        <w:t>Tendencias Internacionales</w:t>
      </w:r>
      <w:bookmarkEnd w:id="25"/>
    </w:p>
    <w:p w14:paraId="50460011" w14:textId="77777777" w:rsidR="0025238A" w:rsidRPr="007352E9" w:rsidRDefault="0025238A" w:rsidP="00506BDF">
      <w:pPr>
        <w:pStyle w:val="Ttulo2"/>
        <w:tabs>
          <w:tab w:val="left" w:pos="426"/>
        </w:tabs>
        <w:ind w:left="284"/>
        <w:rPr>
          <w:rFonts w:asciiTheme="minorHAnsi" w:hAnsiTheme="minorHAnsi"/>
          <w:sz w:val="22"/>
        </w:rPr>
      </w:pPr>
      <w:bookmarkStart w:id="26" w:name="_Toc474325852"/>
      <w:r w:rsidRPr="007352E9">
        <w:rPr>
          <w:rFonts w:asciiTheme="minorHAnsi" w:hAnsiTheme="minorHAnsi"/>
          <w:sz w:val="22"/>
        </w:rPr>
        <w:t>Panorama Internacional</w:t>
      </w:r>
      <w:bookmarkEnd w:id="26"/>
    </w:p>
    <w:p w14:paraId="2FA69D7C" w14:textId="4D481353" w:rsidR="00004FFC" w:rsidRPr="007352E9" w:rsidRDefault="00B90E10" w:rsidP="003346A6">
      <w:pPr>
        <w:jc w:val="both"/>
      </w:pPr>
      <w:r w:rsidRPr="007352E9">
        <w:t xml:space="preserve">México forma parte de los Estados Miembros de la UIT, </w:t>
      </w:r>
      <w:r w:rsidR="003346A6" w:rsidRPr="007352E9">
        <w:t>y forma parte</w:t>
      </w:r>
      <w:r w:rsidRPr="007352E9">
        <w:t xml:space="preserve"> de la denominada Región 2 </w:t>
      </w:r>
      <w:r w:rsidR="003346A6" w:rsidRPr="007352E9">
        <w:t xml:space="preserve">de la UIT, </w:t>
      </w:r>
      <w:r w:rsidRPr="007352E9">
        <w:t>que corresponde a los Estados Americanos; no obstante, derivado de que en la UIT se busca armonizar el uso del espectro tanto a nivel regional como a nivel mundial, se considera una buena práctica analizar el estado que guarda la banda de frecuencias 57-64 GHz en todas las regiones de la UIT.</w:t>
      </w:r>
    </w:p>
    <w:p w14:paraId="50378BE3" w14:textId="41156D3F" w:rsidR="00B8583D" w:rsidRPr="007352E9" w:rsidRDefault="00E65B98" w:rsidP="00506BDF">
      <w:pPr>
        <w:pStyle w:val="Ttulo3"/>
        <w:spacing w:before="0" w:after="120"/>
        <w:ind w:left="283"/>
        <w:rPr>
          <w:rFonts w:asciiTheme="minorHAnsi" w:hAnsiTheme="minorHAnsi"/>
          <w:sz w:val="22"/>
          <w:szCs w:val="22"/>
        </w:rPr>
      </w:pPr>
      <w:bookmarkStart w:id="27" w:name="_Toc474325853"/>
      <w:r w:rsidRPr="007352E9">
        <w:rPr>
          <w:rFonts w:asciiTheme="minorHAnsi" w:hAnsiTheme="minorHAnsi"/>
          <w:sz w:val="22"/>
          <w:szCs w:val="22"/>
        </w:rPr>
        <w:t>Región 1</w:t>
      </w:r>
      <w:bookmarkEnd w:id="27"/>
    </w:p>
    <w:p w14:paraId="11D723E8" w14:textId="6CBD9BD0" w:rsidR="00E65B98" w:rsidRPr="007352E9" w:rsidRDefault="00E65B98" w:rsidP="00E65B98">
      <w:pPr>
        <w:contextualSpacing/>
        <w:jc w:val="both"/>
      </w:pPr>
      <w:r w:rsidRPr="007352E9">
        <w:t>La Unión Europea tiene diferentes esquemas de licenciamiento en los distintos segmentos de la banda de frecuencias; después de revisar la legislación en la Unión Europea y específicamente en países como Austria, Bélgica, Bulgaria, Croacia, Dinamarca, Finlandia, Alemania, Grecia, Irlanda, Liechtenstein, Luxemburgo, Noruega, Polonia, Eslovaquia, España, Inglaterra, Suiza y Suecia, se tiene lo siguiente:</w:t>
      </w:r>
    </w:p>
    <w:p w14:paraId="2EC7198B" w14:textId="394C3E3A" w:rsidR="008A0770" w:rsidRPr="007352E9" w:rsidRDefault="008A0770" w:rsidP="001F20A9">
      <w:pPr>
        <w:contextualSpacing/>
        <w:jc w:val="center"/>
        <w:rPr>
          <w:i/>
        </w:rPr>
      </w:pPr>
      <w:r w:rsidRPr="007352E9">
        <w:rPr>
          <w:noProof/>
          <w:lang w:eastAsia="es-MX"/>
        </w:rPr>
        <w:lastRenderedPageBreak/>
        <w:drawing>
          <wp:inline distT="0" distB="0" distL="0" distR="0" wp14:anchorId="3CFC17CE" wp14:editId="7574F983">
            <wp:extent cx="5908675" cy="3838575"/>
            <wp:effectExtent l="0" t="0" r="0" b="0"/>
            <wp:docPr id="1" name="Gráfico 1" descr="GRAFICA 4 ESQUEMA DE LICENCIAMIENTO EN REGION 1" title="GRAF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A7546A" w14:textId="47DAE8B4" w:rsidR="009117B9" w:rsidRPr="007352E9" w:rsidRDefault="009117B9" w:rsidP="009117B9">
      <w:pPr>
        <w:tabs>
          <w:tab w:val="left" w:pos="426"/>
          <w:tab w:val="left" w:pos="2127"/>
          <w:tab w:val="left" w:pos="6521"/>
          <w:tab w:val="left" w:pos="8080"/>
        </w:tabs>
        <w:jc w:val="center"/>
        <w:rPr>
          <w:sz w:val="18"/>
        </w:rPr>
      </w:pPr>
      <w:r w:rsidRPr="007352E9">
        <w:rPr>
          <w:sz w:val="18"/>
        </w:rPr>
        <w:t xml:space="preserve">Gráfica </w:t>
      </w:r>
      <w:r w:rsidR="00A55B33" w:rsidRPr="007352E9">
        <w:rPr>
          <w:sz w:val="18"/>
        </w:rPr>
        <w:t>4</w:t>
      </w:r>
      <w:r w:rsidRPr="007352E9">
        <w:rPr>
          <w:sz w:val="18"/>
        </w:rPr>
        <w:t>. Esquema de licenciamiento en Región 1.</w:t>
      </w:r>
    </w:p>
    <w:p w14:paraId="7DFE63F8" w14:textId="01DF0D59" w:rsidR="00B8583D" w:rsidRPr="007352E9" w:rsidRDefault="00E65B98" w:rsidP="00506BDF">
      <w:pPr>
        <w:pStyle w:val="Ttulo3"/>
        <w:spacing w:before="0" w:after="120"/>
        <w:ind w:left="283"/>
        <w:rPr>
          <w:rFonts w:asciiTheme="minorHAnsi" w:hAnsiTheme="minorHAnsi"/>
          <w:sz w:val="22"/>
          <w:szCs w:val="22"/>
        </w:rPr>
      </w:pPr>
      <w:bookmarkStart w:id="28" w:name="_Toc474325854"/>
      <w:r w:rsidRPr="007352E9">
        <w:rPr>
          <w:rFonts w:asciiTheme="minorHAnsi" w:hAnsiTheme="minorHAnsi"/>
          <w:sz w:val="22"/>
          <w:szCs w:val="22"/>
        </w:rPr>
        <w:t>Región 2</w:t>
      </w:r>
      <w:bookmarkEnd w:id="28"/>
    </w:p>
    <w:p w14:paraId="27E438A7" w14:textId="1329FC20" w:rsidR="00E65B98" w:rsidRPr="007352E9" w:rsidRDefault="00E65B98" w:rsidP="002534A0">
      <w:pPr>
        <w:contextualSpacing/>
      </w:pPr>
      <w:r w:rsidRPr="007352E9">
        <w:t>Después de analizar las tendencias dentro de la Región 2, de la que forma parte México, se obtuvo que en los 5 países revisados, el segmento 57-64 GHz es No Licenciado</w:t>
      </w:r>
      <w:r w:rsidR="00F730F7" w:rsidRPr="007352E9">
        <w:t xml:space="preserve">; es decir, no es necesario contar con una </w:t>
      </w:r>
      <w:r w:rsidR="003116B0" w:rsidRPr="007352E9">
        <w:t xml:space="preserve">licencia, </w:t>
      </w:r>
      <w:r w:rsidR="00F730F7" w:rsidRPr="007352E9">
        <w:t>concesión o autorización</w:t>
      </w:r>
      <w:r w:rsidRPr="007352E9">
        <w:t>.</w:t>
      </w:r>
    </w:p>
    <w:p w14:paraId="106508BE" w14:textId="77777777" w:rsidR="00357EBF" w:rsidRPr="007352E9" w:rsidRDefault="00357EBF" w:rsidP="002534A0">
      <w:pPr>
        <w:contextualSpacing/>
      </w:pPr>
    </w:p>
    <w:p w14:paraId="0F0D1733" w14:textId="1EAEB8C6" w:rsidR="00357EBF" w:rsidRPr="007352E9" w:rsidRDefault="00357EBF" w:rsidP="002534A0">
      <w:pPr>
        <w:contextualSpacing/>
      </w:pPr>
      <w:r w:rsidRPr="007352E9">
        <w:t>Particularmente, la FCC, regulador de Estados Unidos de América, cuenta con 147 registros de certificados de autorización para dicho rango de frecuencias.</w:t>
      </w:r>
    </w:p>
    <w:p w14:paraId="3987477A" w14:textId="77777777" w:rsidR="005C0E5D" w:rsidRPr="007352E9" w:rsidRDefault="005C0E5D" w:rsidP="002534A0">
      <w:pPr>
        <w:contextualSpacing/>
      </w:pPr>
    </w:p>
    <w:p w14:paraId="650FB552" w14:textId="498B702B" w:rsidR="00E65B98" w:rsidRPr="007352E9" w:rsidRDefault="00E65B98" w:rsidP="001F20A9">
      <w:pPr>
        <w:contextualSpacing/>
        <w:jc w:val="center"/>
      </w:pPr>
      <w:r w:rsidRPr="007352E9">
        <w:rPr>
          <w:noProof/>
          <w:lang w:eastAsia="es-MX"/>
        </w:rPr>
        <w:lastRenderedPageBreak/>
        <w:drawing>
          <wp:inline distT="0" distB="0" distL="0" distR="0" wp14:anchorId="301FCA54" wp14:editId="74DFE87F">
            <wp:extent cx="4943475" cy="2667000"/>
            <wp:effectExtent l="0" t="0" r="9525" b="0"/>
            <wp:docPr id="2" name="Gráfico 2" descr="GRAFICA 5 ESQUEMA DE LICENCIAMINETO EN REGION 2" title="GRAF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2651D00" w14:textId="02DB4B44" w:rsidR="009117B9" w:rsidRPr="007352E9" w:rsidRDefault="009117B9" w:rsidP="009117B9">
      <w:pPr>
        <w:tabs>
          <w:tab w:val="left" w:pos="426"/>
          <w:tab w:val="left" w:pos="2127"/>
          <w:tab w:val="left" w:pos="6521"/>
          <w:tab w:val="left" w:pos="8080"/>
        </w:tabs>
        <w:jc w:val="center"/>
        <w:rPr>
          <w:sz w:val="18"/>
        </w:rPr>
      </w:pPr>
      <w:r w:rsidRPr="007352E9">
        <w:rPr>
          <w:sz w:val="18"/>
        </w:rPr>
        <w:t xml:space="preserve">Gráfica </w:t>
      </w:r>
      <w:r w:rsidR="00A55B33" w:rsidRPr="007352E9">
        <w:rPr>
          <w:sz w:val="18"/>
        </w:rPr>
        <w:t>5</w:t>
      </w:r>
      <w:r w:rsidRPr="007352E9">
        <w:rPr>
          <w:sz w:val="18"/>
        </w:rPr>
        <w:t>. Esquema de licenciamiento en Región 2.</w:t>
      </w:r>
    </w:p>
    <w:p w14:paraId="0CDACC6C" w14:textId="068DB4AB" w:rsidR="00E65B98" w:rsidRPr="007352E9" w:rsidRDefault="00E65B98" w:rsidP="002534A0">
      <w:pPr>
        <w:contextualSpacing/>
      </w:pPr>
    </w:p>
    <w:p w14:paraId="0E38B116" w14:textId="3FB04411" w:rsidR="00881257" w:rsidRPr="007352E9" w:rsidRDefault="00E65B98" w:rsidP="00506BDF">
      <w:pPr>
        <w:pStyle w:val="Ttulo3"/>
        <w:spacing w:before="0" w:after="120"/>
        <w:ind w:left="283"/>
        <w:rPr>
          <w:rFonts w:asciiTheme="minorHAnsi" w:hAnsiTheme="minorHAnsi"/>
          <w:sz w:val="22"/>
          <w:szCs w:val="22"/>
        </w:rPr>
      </w:pPr>
      <w:bookmarkStart w:id="29" w:name="_Toc474325855"/>
      <w:r w:rsidRPr="007352E9">
        <w:rPr>
          <w:rFonts w:asciiTheme="minorHAnsi" w:hAnsiTheme="minorHAnsi"/>
          <w:sz w:val="22"/>
          <w:szCs w:val="22"/>
        </w:rPr>
        <w:t>Región 3</w:t>
      </w:r>
      <w:bookmarkEnd w:id="29"/>
    </w:p>
    <w:p w14:paraId="4D992368" w14:textId="1F93AB1D" w:rsidR="00E65B98" w:rsidRPr="007352E9" w:rsidRDefault="00E65B98" w:rsidP="00881257">
      <w:pPr>
        <w:contextualSpacing/>
      </w:pPr>
      <w:r w:rsidRPr="007352E9">
        <w:t>Respecto a los países de la Región 3, se obtuvo lo siguiente:</w:t>
      </w:r>
    </w:p>
    <w:p w14:paraId="0AA38EF7" w14:textId="77777777" w:rsidR="00E65B98" w:rsidRPr="007352E9" w:rsidRDefault="00E65B98" w:rsidP="00881257">
      <w:pPr>
        <w:contextualSpacing/>
        <w:rPr>
          <w:i/>
        </w:rPr>
      </w:pPr>
    </w:p>
    <w:p w14:paraId="68300BB4" w14:textId="6337876B" w:rsidR="00E65B98" w:rsidRPr="007352E9" w:rsidRDefault="00E65B98" w:rsidP="001F20A9">
      <w:pPr>
        <w:contextualSpacing/>
        <w:jc w:val="center"/>
        <w:rPr>
          <w:i/>
        </w:rPr>
      </w:pPr>
      <w:r w:rsidRPr="007352E9">
        <w:rPr>
          <w:noProof/>
          <w:lang w:eastAsia="es-MX"/>
        </w:rPr>
        <w:drawing>
          <wp:inline distT="0" distB="0" distL="0" distR="0" wp14:anchorId="64530D8E" wp14:editId="4DF6B1DA">
            <wp:extent cx="4781550" cy="2362200"/>
            <wp:effectExtent l="0" t="0" r="0" b="0"/>
            <wp:docPr id="12" name="Gráfico 12" descr="GRAFICA 6 ESQUEMA DE LICENCIAMIENTO EN REGION 3" title="GRAF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3E2B8BE" w14:textId="6FA9F2FA" w:rsidR="009117B9" w:rsidRPr="007352E9" w:rsidRDefault="009117B9" w:rsidP="009117B9">
      <w:pPr>
        <w:tabs>
          <w:tab w:val="left" w:pos="426"/>
          <w:tab w:val="left" w:pos="2127"/>
          <w:tab w:val="left" w:pos="6521"/>
          <w:tab w:val="left" w:pos="8080"/>
        </w:tabs>
        <w:jc w:val="center"/>
        <w:rPr>
          <w:sz w:val="18"/>
        </w:rPr>
      </w:pPr>
      <w:r w:rsidRPr="007352E9">
        <w:rPr>
          <w:sz w:val="18"/>
        </w:rPr>
        <w:t xml:space="preserve">Gráfica </w:t>
      </w:r>
      <w:r w:rsidR="00A55B33" w:rsidRPr="007352E9">
        <w:rPr>
          <w:sz w:val="18"/>
        </w:rPr>
        <w:t>6</w:t>
      </w:r>
      <w:r w:rsidRPr="007352E9">
        <w:rPr>
          <w:sz w:val="18"/>
        </w:rPr>
        <w:t>. Esquema de licenciamiento en Región 3.</w:t>
      </w:r>
    </w:p>
    <w:p w14:paraId="42DB4875" w14:textId="77777777" w:rsidR="00E135D7" w:rsidRPr="007352E9" w:rsidRDefault="00E135D7" w:rsidP="002C143F">
      <w:pPr>
        <w:tabs>
          <w:tab w:val="left" w:pos="426"/>
          <w:tab w:val="left" w:pos="2127"/>
          <w:tab w:val="left" w:pos="6521"/>
          <w:tab w:val="left" w:pos="8080"/>
        </w:tabs>
        <w:rPr>
          <w:sz w:val="18"/>
        </w:rPr>
      </w:pPr>
    </w:p>
    <w:p w14:paraId="24C44261" w14:textId="10BDAF05" w:rsidR="00B90E10" w:rsidRPr="007352E9" w:rsidRDefault="00B90E10" w:rsidP="003346A6">
      <w:pPr>
        <w:tabs>
          <w:tab w:val="left" w:pos="426"/>
          <w:tab w:val="left" w:pos="2127"/>
          <w:tab w:val="left" w:pos="6521"/>
          <w:tab w:val="left" w:pos="8080"/>
        </w:tabs>
        <w:jc w:val="both"/>
      </w:pPr>
      <w:r w:rsidRPr="007352E9">
        <w:t>Derivado de lo expuesto en esta sección, se observa que la tendencia internacional es que esta banda de frecuencias se utilice por el público en general sin necesidad de una licencia</w:t>
      </w:r>
      <w:r w:rsidR="00613E1D" w:rsidRPr="007352E9">
        <w:t>,</w:t>
      </w:r>
      <w:r w:rsidRPr="007352E9">
        <w:t xml:space="preserve"> </w:t>
      </w:r>
      <w:r w:rsidR="002C7497" w:rsidRPr="007352E9">
        <w:t xml:space="preserve">concesión </w:t>
      </w:r>
      <w:r w:rsidRPr="007352E9">
        <w:t xml:space="preserve">o permiso. Lo anterior deja entrever que </w:t>
      </w:r>
      <w:r w:rsidR="003A2D0C" w:rsidRPr="007352E9">
        <w:t xml:space="preserve">el desarrollo de equipo se encuentra en crecimiento, por lo que en el corto plazo </w:t>
      </w:r>
      <w:r w:rsidRPr="007352E9">
        <w:t xml:space="preserve"> </w:t>
      </w:r>
      <w:r w:rsidR="003A2D0C" w:rsidRPr="007352E9">
        <w:t>las economías de escala habrán alcanzado un nivel adecuado para el despliegue eficaz de redes en esta banda.</w:t>
      </w:r>
    </w:p>
    <w:p w14:paraId="29F64BF0" w14:textId="6D095586" w:rsidR="00534FA8" w:rsidRPr="007352E9" w:rsidRDefault="00534FA8" w:rsidP="00956F7D">
      <w:pPr>
        <w:pStyle w:val="Ttulo1"/>
        <w:numPr>
          <w:ilvl w:val="0"/>
          <w:numId w:val="1"/>
        </w:numPr>
        <w:ind w:left="284"/>
        <w:rPr>
          <w:sz w:val="22"/>
        </w:rPr>
      </w:pPr>
      <w:bookmarkStart w:id="30" w:name="_Toc474325856"/>
      <w:r w:rsidRPr="007352E9">
        <w:rPr>
          <w:sz w:val="22"/>
        </w:rPr>
        <w:t>Resultados del proceso de opinión pública</w:t>
      </w:r>
      <w:bookmarkEnd w:id="30"/>
    </w:p>
    <w:p w14:paraId="229A351C" w14:textId="6907EA99" w:rsidR="00810190" w:rsidRPr="007352E9" w:rsidRDefault="006918D5" w:rsidP="0022364B">
      <w:pPr>
        <w:jc w:val="both"/>
      </w:pPr>
      <w:r w:rsidRPr="007352E9">
        <w:lastRenderedPageBreak/>
        <w:t xml:space="preserve">El 17 de Noviembre de 2016 se </w:t>
      </w:r>
      <w:r w:rsidR="00ED1181" w:rsidRPr="007352E9">
        <w:t>dio inici</w:t>
      </w:r>
      <w:r w:rsidR="00315832" w:rsidRPr="007352E9">
        <w:t>o</w:t>
      </w:r>
      <w:r w:rsidR="00ED1181" w:rsidRPr="007352E9">
        <w:t xml:space="preserve">, mediante publicación de un documento en </w:t>
      </w:r>
      <w:r w:rsidRPr="007352E9">
        <w:t xml:space="preserve">la página oficial del </w:t>
      </w:r>
      <w:r w:rsidR="005201F0" w:rsidRPr="007352E9">
        <w:t>Instituto</w:t>
      </w:r>
      <w:r w:rsidR="00ED1181" w:rsidRPr="007352E9">
        <w:t>,</w:t>
      </w:r>
      <w:r w:rsidRPr="007352E9">
        <w:t xml:space="preserve"> </w:t>
      </w:r>
      <w:r w:rsidR="00ED1181" w:rsidRPr="007352E9">
        <w:t xml:space="preserve">al proceso de </w:t>
      </w:r>
      <w:r w:rsidRPr="007352E9">
        <w:t xml:space="preserve">Opinión pública </w:t>
      </w:r>
      <w:r w:rsidR="00174607" w:rsidRPr="007352E9">
        <w:t>relativa a</w:t>
      </w:r>
      <w:r w:rsidRPr="007352E9">
        <w:t>l “Análisis de la banda de 57-64 GHz para su posible clasificación como espectro libre”, donde l</w:t>
      </w:r>
      <w:r w:rsidR="00534FA8" w:rsidRPr="007352E9">
        <w:t>os</w:t>
      </w:r>
      <w:r w:rsidRPr="007352E9">
        <w:t xml:space="preserve"> comentarios , opiniones y respuestas recibidas por los </w:t>
      </w:r>
      <w:r w:rsidR="00534FA8" w:rsidRPr="007352E9">
        <w:t xml:space="preserve">participantes coinciden </w:t>
      </w:r>
      <w:r w:rsidR="007E09BF" w:rsidRPr="007352E9">
        <w:t xml:space="preserve">en que sería una medida positiva </w:t>
      </w:r>
      <w:r w:rsidR="00534FA8" w:rsidRPr="007352E9">
        <w:t xml:space="preserve">que la banda </w:t>
      </w:r>
      <w:r w:rsidR="007E09BF" w:rsidRPr="007352E9">
        <w:t xml:space="preserve">de frecuencias </w:t>
      </w:r>
      <w:r w:rsidR="00534FA8" w:rsidRPr="007352E9">
        <w:t>57</w:t>
      </w:r>
      <w:r w:rsidR="007E09BF" w:rsidRPr="007352E9">
        <w:t xml:space="preserve"> </w:t>
      </w:r>
      <w:r w:rsidR="00534FA8" w:rsidRPr="007352E9">
        <w:t>–</w:t>
      </w:r>
      <w:r w:rsidR="007E09BF" w:rsidRPr="007352E9">
        <w:t xml:space="preserve"> </w:t>
      </w:r>
      <w:r w:rsidR="00534FA8" w:rsidRPr="007352E9">
        <w:t xml:space="preserve">64 GHz </w:t>
      </w:r>
      <w:r w:rsidRPr="007352E9">
        <w:t>(</w:t>
      </w:r>
      <w:r w:rsidR="00ED1181" w:rsidRPr="007352E9">
        <w:t xml:space="preserve">banda de </w:t>
      </w:r>
      <w:r w:rsidRPr="007352E9">
        <w:t xml:space="preserve">60 GHz) sea clasificada </w:t>
      </w:r>
      <w:r w:rsidR="00534FA8" w:rsidRPr="007352E9">
        <w:t>como espectro libre,</w:t>
      </w:r>
      <w:r w:rsidR="00A547BC" w:rsidRPr="007352E9">
        <w:t xml:space="preserve"> </w:t>
      </w:r>
      <w:r w:rsidR="005201F0" w:rsidRPr="007352E9">
        <w:t>resaltando q</w:t>
      </w:r>
      <w:r w:rsidR="00174607" w:rsidRPr="007352E9">
        <w:t>ue de ser identificada permitiría</w:t>
      </w:r>
      <w:r w:rsidR="005201F0" w:rsidRPr="007352E9">
        <w:t xml:space="preserve"> </w:t>
      </w:r>
      <w:r w:rsidR="00A547BC" w:rsidRPr="007352E9">
        <w:t xml:space="preserve">el despliegue de redes WPAN y WLAN de alta densidad en </w:t>
      </w:r>
      <w:r w:rsidR="007E09BF" w:rsidRPr="007352E9">
        <w:t xml:space="preserve">distancias </w:t>
      </w:r>
      <w:r w:rsidR="00A547BC" w:rsidRPr="007352E9">
        <w:t xml:space="preserve">cortas, </w:t>
      </w:r>
      <w:r w:rsidR="007E09BF" w:rsidRPr="007352E9">
        <w:t xml:space="preserve">así mismo </w:t>
      </w:r>
      <w:r w:rsidR="00A547BC" w:rsidRPr="007352E9">
        <w:t>fomentará la competencia</w:t>
      </w:r>
      <w:r w:rsidR="007E09BF" w:rsidRPr="007352E9">
        <w:t xml:space="preserve"> y</w:t>
      </w:r>
      <w:r w:rsidR="00A547BC" w:rsidRPr="007352E9">
        <w:t xml:space="preserve"> coadyuvará a incrementar la capacidad de las redes</w:t>
      </w:r>
      <w:r w:rsidR="00534FA8" w:rsidRPr="007352E9">
        <w:t xml:space="preserve"> </w:t>
      </w:r>
      <w:r w:rsidR="00CE2B2F" w:rsidRPr="007352E9">
        <w:t>móviles actuales</w:t>
      </w:r>
      <w:r w:rsidR="00810190" w:rsidRPr="007352E9">
        <w:t xml:space="preserve"> desahogando el tráfico que congestiona las bandas de frecuencias 2.4 y 5 GHz.</w:t>
      </w:r>
    </w:p>
    <w:p w14:paraId="0DC0F029" w14:textId="450F048C" w:rsidR="00A547BC" w:rsidRPr="007352E9" w:rsidRDefault="00810190" w:rsidP="0022364B">
      <w:pPr>
        <w:jc w:val="both"/>
      </w:pPr>
      <w:r w:rsidRPr="007352E9">
        <w:t>Adicionalmente se menciona que la clasificación de la banda de mérito como espectro libre fomen</w:t>
      </w:r>
      <w:r w:rsidR="007E09BF" w:rsidRPr="007352E9">
        <w:t xml:space="preserve">tará el desarrollo tecnológico </w:t>
      </w:r>
      <w:r w:rsidRPr="007352E9">
        <w:t>y permitirá mejorar tanto calidad de servicio como la cobertura al permitir soluciones inalámbricas rentables y de despliegue más rápido.</w:t>
      </w:r>
    </w:p>
    <w:p w14:paraId="769766A7" w14:textId="37E228A7" w:rsidR="00810190" w:rsidRPr="007352E9" w:rsidRDefault="00810190" w:rsidP="00B130E1">
      <w:pPr>
        <w:jc w:val="both"/>
      </w:pPr>
      <w:r w:rsidRPr="007352E9">
        <w:t>De igual forma, se hace notar que existe equipo tanto para aplicaciones fijas como móviles</w:t>
      </w:r>
      <w:r w:rsidR="00174607" w:rsidRPr="007352E9">
        <w:t>,</w:t>
      </w:r>
      <w:r w:rsidRPr="007352E9">
        <w:t xml:space="preserve"> para uso en interiores y exteriores</w:t>
      </w:r>
      <w:r w:rsidR="00174607" w:rsidRPr="007352E9">
        <w:t>,</w:t>
      </w:r>
      <w:r w:rsidRPr="007352E9">
        <w:t xml:space="preserve"> con los que se alcanzan mayores velocidades y se logra una latencia menor. Asimismo, en virtud de que esta banda de frecuencias es altamente susceptible a las condiciones climatológicas, las distancias </w:t>
      </w:r>
      <w:r w:rsidR="00D04534" w:rsidRPr="007352E9">
        <w:t>que alcanzan los enlaces son cortas, cualidad que permite reutilizar frecuencias</w:t>
      </w:r>
      <w:r w:rsidR="006E20C8" w:rsidRPr="007352E9">
        <w:t xml:space="preserve"> y por ende, hacer una óptima utilización de este recurso</w:t>
      </w:r>
      <w:r w:rsidR="00D04534" w:rsidRPr="007352E9">
        <w:t>; lo anterior aunado al acotamiento de las condiciones de uso coadyuvará a que se tenga poca interferencia entre los dispositivos y se alcance un grado alto de seguridad.</w:t>
      </w:r>
    </w:p>
    <w:p w14:paraId="7E32D271" w14:textId="782FFE7D" w:rsidR="00534FA8" w:rsidRPr="007352E9" w:rsidRDefault="00534FA8" w:rsidP="00B130E1">
      <w:pPr>
        <w:jc w:val="both"/>
      </w:pPr>
      <w:r w:rsidRPr="007352E9">
        <w:t xml:space="preserve">Dentro de las condiciones de operación </w:t>
      </w:r>
      <w:r w:rsidR="00D04534" w:rsidRPr="007352E9">
        <w:t>sugeridas</w:t>
      </w:r>
      <w:r w:rsidR="006E20C8" w:rsidRPr="007352E9">
        <w:t xml:space="preserve"> por los participantes, se</w:t>
      </w:r>
      <w:r w:rsidR="00D04534" w:rsidRPr="007352E9">
        <w:t xml:space="preserve"> destacó la reglamentación que se tiene actualmente en Estados Unidos</w:t>
      </w:r>
      <w:r w:rsidR="006E20C8" w:rsidRPr="007352E9">
        <w:t xml:space="preserve"> de América</w:t>
      </w:r>
      <w:r w:rsidR="00D04534" w:rsidRPr="007352E9">
        <w:t xml:space="preserve"> y Canadá; </w:t>
      </w:r>
      <w:r w:rsidR="006E20C8" w:rsidRPr="007352E9">
        <w:t>adicionalmente,</w:t>
      </w:r>
      <w:r w:rsidR="00D04534" w:rsidRPr="007352E9">
        <w:t xml:space="preserve"> se recomendó revisar las mejores prácticas de otros países, </w:t>
      </w:r>
      <w:r w:rsidR="006E20C8" w:rsidRPr="007352E9">
        <w:t xml:space="preserve">así como </w:t>
      </w:r>
      <w:r w:rsidR="00D04534" w:rsidRPr="007352E9">
        <w:t>los estándares</w:t>
      </w:r>
      <w:r w:rsidR="006E20C8" w:rsidRPr="007352E9">
        <w:t xml:space="preserve"> mencionados en las secciones anteriores, principalmente 802.11ad;</w:t>
      </w:r>
      <w:r w:rsidR="00D04534" w:rsidRPr="007352E9">
        <w:t xml:space="preserve"> y las recomendaciones y reportes de la UIT.</w:t>
      </w:r>
    </w:p>
    <w:p w14:paraId="0611FB91" w14:textId="7A3E6D99" w:rsidR="001365CE" w:rsidRPr="007352E9" w:rsidRDefault="001365CE" w:rsidP="00B130E1">
      <w:pPr>
        <w:jc w:val="both"/>
      </w:pPr>
      <w:r w:rsidRPr="007352E9">
        <w:t xml:space="preserve">Por último, </w:t>
      </w:r>
      <w:r w:rsidR="006E20C8" w:rsidRPr="007352E9">
        <w:t xml:space="preserve">como parte de los cuestionamientos, </w:t>
      </w:r>
      <w:r w:rsidRPr="007352E9">
        <w:t>se solicitó información sobre bandas de frecuencias en las que exista interés para su posible clasificación como espectro libre</w:t>
      </w:r>
      <w:r w:rsidR="006E20C8" w:rsidRPr="007352E9">
        <w:t xml:space="preserve"> en un futuro</w:t>
      </w:r>
      <w:r w:rsidR="0033074D" w:rsidRPr="007352E9">
        <w:t xml:space="preserve">; </w:t>
      </w:r>
      <w:r w:rsidR="00174607" w:rsidRPr="007352E9">
        <w:t xml:space="preserve">como resultado </w:t>
      </w:r>
      <w:r w:rsidR="0033074D" w:rsidRPr="007352E9">
        <w:t xml:space="preserve">los segmentos </w:t>
      </w:r>
      <w:r w:rsidR="006E20C8" w:rsidRPr="007352E9">
        <w:t xml:space="preserve">que mayor interés generaron y los </w:t>
      </w:r>
      <w:r w:rsidR="0033074D" w:rsidRPr="007352E9">
        <w:t xml:space="preserve">más solicitados </w:t>
      </w:r>
      <w:r w:rsidR="006E20C8" w:rsidRPr="007352E9">
        <w:t>de estudio fueron</w:t>
      </w:r>
      <w:r w:rsidR="0033074D" w:rsidRPr="007352E9">
        <w:t xml:space="preserve"> 64-71 GHz (extensión de banda de frecuencias 57-64 GHz) y 24.05-24.25 GHz.</w:t>
      </w:r>
    </w:p>
    <w:p w14:paraId="76D875F2" w14:textId="36321482" w:rsidR="00956F7D" w:rsidRPr="007352E9" w:rsidRDefault="00956F7D" w:rsidP="00956F7D">
      <w:pPr>
        <w:pStyle w:val="Ttulo1"/>
        <w:numPr>
          <w:ilvl w:val="0"/>
          <w:numId w:val="1"/>
        </w:numPr>
        <w:ind w:left="284"/>
        <w:rPr>
          <w:sz w:val="22"/>
        </w:rPr>
      </w:pPr>
      <w:bookmarkStart w:id="31" w:name="_Toc474325857"/>
      <w:r w:rsidRPr="007352E9">
        <w:rPr>
          <w:sz w:val="22"/>
        </w:rPr>
        <w:t>Conclusión</w:t>
      </w:r>
      <w:bookmarkEnd w:id="31"/>
    </w:p>
    <w:p w14:paraId="5D7B9D55" w14:textId="2509CA0E" w:rsidR="006E01FC" w:rsidRPr="007352E9" w:rsidRDefault="00480AC3" w:rsidP="006E20C8">
      <w:pPr>
        <w:spacing w:after="120"/>
        <w:jc w:val="both"/>
      </w:pPr>
      <w:r w:rsidRPr="007352E9">
        <w:t>Como resultado</w:t>
      </w:r>
      <w:r w:rsidR="00A33B1F" w:rsidRPr="007352E9">
        <w:t xml:space="preserve"> de</w:t>
      </w:r>
      <w:r w:rsidR="00FD4779" w:rsidRPr="007352E9">
        <w:t>l análisis efectuado</w:t>
      </w:r>
      <w:r w:rsidR="002C143F" w:rsidRPr="007352E9">
        <w:t xml:space="preserve"> con base en el marco Internacional</w:t>
      </w:r>
      <w:r w:rsidRPr="007352E9">
        <w:t>, así como de los comentarios, opiniones y respuestas de los participantes en la opinión pública</w:t>
      </w:r>
      <w:r w:rsidR="002C143F" w:rsidRPr="007352E9">
        <w:t>;</w:t>
      </w:r>
      <w:r w:rsidR="00F730F7" w:rsidRPr="007352E9">
        <w:t xml:space="preserve"> </w:t>
      </w:r>
      <w:r w:rsidRPr="007352E9">
        <w:t xml:space="preserve">desde el punto de vista de planeación del espectro </w:t>
      </w:r>
      <w:r w:rsidR="00A33B1F" w:rsidRPr="007352E9">
        <w:t xml:space="preserve">se considera viable la clasificación de la banda de 60 GHz para su </w:t>
      </w:r>
      <w:r w:rsidR="00AE17BB" w:rsidRPr="007352E9">
        <w:t>utilización como espectro libre</w:t>
      </w:r>
      <w:r w:rsidR="00F730F7" w:rsidRPr="007352E9">
        <w:t>.</w:t>
      </w:r>
    </w:p>
    <w:p w14:paraId="407B022E" w14:textId="381499D9" w:rsidR="001C25A6" w:rsidRPr="007352E9" w:rsidRDefault="006E01FC" w:rsidP="006E20C8">
      <w:pPr>
        <w:spacing w:after="120"/>
        <w:jc w:val="both"/>
      </w:pPr>
      <w:r w:rsidRPr="007352E9">
        <w:t xml:space="preserve">Con </w:t>
      </w:r>
      <w:r w:rsidR="00C94827" w:rsidRPr="007352E9">
        <w:t xml:space="preserve">lo anterior </w:t>
      </w:r>
      <w:r w:rsidRPr="007352E9">
        <w:t xml:space="preserve">se logrará </w:t>
      </w:r>
      <w:r w:rsidR="001C25A6" w:rsidRPr="007352E9">
        <w:t xml:space="preserve">que el público en general tenga al alcance recursos espectrales que permitan satisfacer las necesidades de acceso a banda ancha, </w:t>
      </w:r>
      <w:r w:rsidR="00480AC3" w:rsidRPr="007352E9">
        <w:t>en diferentes circunstancias y aplicaciones, tanto</w:t>
      </w:r>
      <w:r w:rsidR="001C25A6" w:rsidRPr="007352E9">
        <w:t xml:space="preserve"> en interiores como en exteriores</w:t>
      </w:r>
      <w:r w:rsidR="0089124D" w:rsidRPr="007352E9">
        <w:t xml:space="preserve">. Igualmente, se fomentará el desarrollo de economías de escala que satisfagan la necesidad </w:t>
      </w:r>
      <w:r w:rsidR="001C25A6" w:rsidRPr="007352E9">
        <w:t xml:space="preserve">tecnológica para </w:t>
      </w:r>
      <w:r w:rsidRPr="007352E9">
        <w:t>comunicación inalámbrica</w:t>
      </w:r>
      <w:r w:rsidR="007F713E" w:rsidRPr="007352E9">
        <w:t xml:space="preserve"> y permitirá el acceso a este tipo de tecnologías al público en general</w:t>
      </w:r>
      <w:r w:rsidR="00174607" w:rsidRPr="007352E9">
        <w:t>.</w:t>
      </w:r>
    </w:p>
    <w:p w14:paraId="1C7CDD76" w14:textId="6FBFD003" w:rsidR="006E01FC" w:rsidRPr="007352E9" w:rsidRDefault="007F713E" w:rsidP="006E20C8">
      <w:pPr>
        <w:spacing w:after="120"/>
        <w:jc w:val="both"/>
      </w:pPr>
      <w:r w:rsidRPr="007352E9">
        <w:t>Adicionalmente</w:t>
      </w:r>
      <w:r w:rsidR="0089124D" w:rsidRPr="007352E9">
        <w:t xml:space="preserve">, </w:t>
      </w:r>
      <w:r w:rsidR="002A7D49" w:rsidRPr="007352E9">
        <w:t xml:space="preserve">por </w:t>
      </w:r>
      <w:r w:rsidRPr="007352E9">
        <w:t>las</w:t>
      </w:r>
      <w:r w:rsidR="002A7D49" w:rsidRPr="007352E9">
        <w:t xml:space="preserve"> características físicas como la absorción de oxígeno y la directividad de las antenas, la banda de frecuencias de 60 GHz </w:t>
      </w:r>
      <w:r w:rsidR="00480AC3" w:rsidRPr="007352E9">
        <w:t>permitirá</w:t>
      </w:r>
      <w:r w:rsidR="006A08DB" w:rsidRPr="007352E9">
        <w:t xml:space="preserve"> establecer</w:t>
      </w:r>
      <w:r w:rsidR="0089124D" w:rsidRPr="007352E9">
        <w:t xml:space="preserve"> enlaces </w:t>
      </w:r>
      <w:r w:rsidR="00B31F96" w:rsidRPr="007352E9">
        <w:t>de corta</w:t>
      </w:r>
      <w:r w:rsidR="006A08DB" w:rsidRPr="007352E9">
        <w:t xml:space="preserve"> distancia</w:t>
      </w:r>
      <w:r w:rsidR="002A7D49" w:rsidRPr="007352E9">
        <w:t xml:space="preserve"> y </w:t>
      </w:r>
      <w:r w:rsidR="00480AC3" w:rsidRPr="007352E9">
        <w:t>favorecerá</w:t>
      </w:r>
      <w:r w:rsidR="0089124D" w:rsidRPr="007352E9">
        <w:t xml:space="preserve"> </w:t>
      </w:r>
      <w:r w:rsidR="00480AC3" w:rsidRPr="007352E9">
        <w:t xml:space="preserve">a </w:t>
      </w:r>
      <w:r w:rsidR="0089124D" w:rsidRPr="007352E9">
        <w:t>la reutilización de las frecuencias</w:t>
      </w:r>
      <w:r w:rsidR="00480AC3" w:rsidRPr="007352E9">
        <w:t>,</w:t>
      </w:r>
      <w:r w:rsidR="0089124D" w:rsidRPr="007352E9">
        <w:t xml:space="preserve"> </w:t>
      </w:r>
      <w:r w:rsidR="00480AC3" w:rsidRPr="007352E9">
        <w:t>con lo que se fomentará</w:t>
      </w:r>
      <w:r w:rsidR="002A7D49" w:rsidRPr="007352E9">
        <w:t xml:space="preserve"> </w:t>
      </w:r>
      <w:r w:rsidR="0089124D" w:rsidRPr="007352E9">
        <w:t>el uso</w:t>
      </w:r>
      <w:r w:rsidR="002A7D49" w:rsidRPr="007352E9">
        <w:t xml:space="preserve"> más</w:t>
      </w:r>
      <w:r w:rsidR="0089124D" w:rsidRPr="007352E9">
        <w:t xml:space="preserve"> eficaz de</w:t>
      </w:r>
      <w:r w:rsidR="002A7D49" w:rsidRPr="007352E9">
        <w:t xml:space="preserve">l espectro radioeléctrico </w:t>
      </w:r>
      <w:r w:rsidR="0089124D" w:rsidRPr="007352E9">
        <w:t>al ser poco propenso a interferencias perjudiciales provenientes de dispositivos cercanos.</w:t>
      </w:r>
    </w:p>
    <w:p w14:paraId="30C42D43" w14:textId="141618F4" w:rsidR="00A843C2" w:rsidRPr="007352E9" w:rsidRDefault="00A843C2" w:rsidP="006E20C8">
      <w:pPr>
        <w:spacing w:after="120"/>
        <w:jc w:val="both"/>
      </w:pPr>
      <w:r w:rsidRPr="007352E9">
        <w:lastRenderedPageBreak/>
        <w:t xml:space="preserve">Finalmente, desde el punto de vista técnico, con el objeto de </w:t>
      </w:r>
      <w:r w:rsidR="00480AC3" w:rsidRPr="007352E9">
        <w:t>procurar</w:t>
      </w:r>
      <w:r w:rsidRPr="007352E9">
        <w:t xml:space="preserve"> una operación sin interferencias perjudiciales de los sistemas que se lleguen a desplegar, se proponen las </w:t>
      </w:r>
      <w:r w:rsidR="00492849" w:rsidRPr="007352E9">
        <w:t>siguientes condiciones</w:t>
      </w:r>
      <w:r w:rsidRPr="007352E9">
        <w:t>:</w:t>
      </w:r>
    </w:p>
    <w:p w14:paraId="20F0F14C" w14:textId="10F50081" w:rsidR="0035563B" w:rsidRPr="007352E9" w:rsidRDefault="00BC7291" w:rsidP="00480AC3">
      <w:pPr>
        <w:pStyle w:val="Ttulo2"/>
        <w:tabs>
          <w:tab w:val="left" w:pos="426"/>
        </w:tabs>
        <w:ind w:left="284"/>
        <w:rPr>
          <w:rFonts w:asciiTheme="minorHAnsi" w:hAnsiTheme="minorHAnsi"/>
          <w:sz w:val="22"/>
        </w:rPr>
      </w:pPr>
      <w:bookmarkStart w:id="32" w:name="_Toc474325858"/>
      <w:r w:rsidRPr="007352E9">
        <w:rPr>
          <w:rFonts w:asciiTheme="minorHAnsi" w:hAnsiTheme="minorHAnsi"/>
          <w:sz w:val="22"/>
        </w:rPr>
        <w:t>Condiciones de operación permitidas en la banda de frecuencias 57-64 GHz</w:t>
      </w:r>
      <w:bookmarkEnd w:id="32"/>
    </w:p>
    <w:p w14:paraId="3C321631" w14:textId="77777777" w:rsidR="00A77102" w:rsidRPr="007352E9" w:rsidRDefault="00A77102" w:rsidP="00A77102">
      <w:pPr>
        <w:pStyle w:val="Prrafodelista"/>
        <w:numPr>
          <w:ilvl w:val="0"/>
          <w:numId w:val="22"/>
        </w:numPr>
        <w:spacing w:after="120"/>
        <w:ind w:left="709" w:hanging="425"/>
        <w:contextualSpacing w:val="0"/>
        <w:jc w:val="both"/>
      </w:pPr>
      <w:r w:rsidRPr="007352E9">
        <w:t>Los dispositivos, equipos o productos deberán ser homologados en términos del Título Décimo Tercero, Capítulo Único de la Ley Federal de Telecomunicaciones y Radiodifusión, así como de las demás disposiciones reglamentarias y administrativas aplicables.</w:t>
      </w:r>
    </w:p>
    <w:p w14:paraId="688A3914" w14:textId="77777777" w:rsidR="00A77102" w:rsidRPr="007352E9" w:rsidRDefault="00A77102" w:rsidP="00A77102">
      <w:pPr>
        <w:pStyle w:val="Prrafodelista"/>
        <w:numPr>
          <w:ilvl w:val="0"/>
          <w:numId w:val="22"/>
        </w:numPr>
        <w:spacing w:after="120"/>
        <w:ind w:left="709" w:hanging="425"/>
        <w:contextualSpacing w:val="0"/>
        <w:jc w:val="both"/>
      </w:pPr>
      <w:r w:rsidRPr="007352E9">
        <w:t>Los sistemas, dispositivos, equipos o estaciones no provocarán interferencia perjudicial a estaciones cuyo usuario cuente con un título habilitante para hacer uso del espectro radioeléctrico, ni reclamarán protección contra interferencia perjudicial proveniente de estas últimas.</w:t>
      </w:r>
    </w:p>
    <w:p w14:paraId="19BCA7F5" w14:textId="77777777" w:rsidR="00A77102" w:rsidRPr="007352E9" w:rsidRDefault="00A77102" w:rsidP="00A77102">
      <w:pPr>
        <w:pStyle w:val="Prrafodelista"/>
        <w:numPr>
          <w:ilvl w:val="0"/>
          <w:numId w:val="22"/>
        </w:numPr>
        <w:spacing w:after="120"/>
        <w:ind w:left="709" w:hanging="425"/>
        <w:contextualSpacing w:val="0"/>
        <w:jc w:val="both"/>
      </w:pPr>
      <w:r w:rsidRPr="007352E9">
        <w:t>Aun cuando el dispositivo, equipo o producto se encuentre debidamente homologado, en casos de interferencias perjudiciales a estaciones cuyo usuario cuente con un título habilitante para hacer uso del espectro radioeléctrico, el usuario deberá cesar la operación del dispositivo, equipo o producto hasta que se elimine la interferencia perjudicial.</w:t>
      </w:r>
    </w:p>
    <w:p w14:paraId="758426DC" w14:textId="77777777" w:rsidR="00A77102" w:rsidRPr="007352E9" w:rsidRDefault="00A77102" w:rsidP="00A77102">
      <w:pPr>
        <w:pStyle w:val="Prrafodelista"/>
        <w:numPr>
          <w:ilvl w:val="0"/>
          <w:numId w:val="22"/>
        </w:numPr>
        <w:spacing w:after="120"/>
        <w:ind w:left="709" w:hanging="425"/>
        <w:contextualSpacing w:val="0"/>
        <w:jc w:val="both"/>
      </w:pPr>
      <w:r w:rsidRPr="007352E9">
        <w:t>Los sistemas, dispositivos, equipos o estaciones no recibirán protección contra interferencias provenientes de otros sistemas, dispositivos, equipos o estaciones que operen de conformidad con el presente documento.</w:t>
      </w:r>
    </w:p>
    <w:p w14:paraId="33AA9906" w14:textId="7FD4FA7D" w:rsidR="0048457C" w:rsidRPr="007352E9" w:rsidRDefault="00A77102" w:rsidP="002C143F">
      <w:pPr>
        <w:pStyle w:val="Ttulo2"/>
        <w:tabs>
          <w:tab w:val="left" w:pos="426"/>
        </w:tabs>
        <w:ind w:left="284"/>
        <w:jc w:val="both"/>
        <w:rPr>
          <w:rFonts w:asciiTheme="minorHAnsi" w:hAnsiTheme="minorHAnsi"/>
          <w:sz w:val="22"/>
        </w:rPr>
      </w:pPr>
      <w:bookmarkStart w:id="33" w:name="_Toc474325859"/>
      <w:r w:rsidRPr="007352E9">
        <w:rPr>
          <w:rFonts w:asciiTheme="minorHAnsi" w:hAnsiTheme="minorHAnsi"/>
          <w:sz w:val="22"/>
        </w:rPr>
        <w:t>Condiciones para las operaciones permitidas en la banda de frecuencias 57-64 GHz</w:t>
      </w:r>
      <w:bookmarkEnd w:id="33"/>
    </w:p>
    <w:p w14:paraId="5813F131" w14:textId="00E9E025" w:rsidR="00BC7291" w:rsidRPr="007352E9" w:rsidRDefault="00BC7291" w:rsidP="00BC7291">
      <w:pPr>
        <w:pStyle w:val="Prrafodelista"/>
        <w:numPr>
          <w:ilvl w:val="0"/>
          <w:numId w:val="28"/>
        </w:numPr>
        <w:spacing w:after="120"/>
        <w:contextualSpacing w:val="0"/>
        <w:jc w:val="both"/>
      </w:pPr>
      <w:r w:rsidRPr="007352E9">
        <w:t>Los dispositivos, equipos o productos que operen en esta banda de frecuencias deberán ser homologados de conformidad con los artículos establecidos en el Título Décimo Tercero de la Ley Federal de Telecomunicaciones y Radiodifusión, así como de las demás disposiciones reglamentarias y administrativas aplicables.</w:t>
      </w:r>
    </w:p>
    <w:p w14:paraId="1018BCEB" w14:textId="2C9BFA87" w:rsidR="00BC7291" w:rsidRPr="007352E9" w:rsidRDefault="00BC7291" w:rsidP="00BC7291">
      <w:pPr>
        <w:pStyle w:val="Prrafodelista"/>
        <w:numPr>
          <w:ilvl w:val="0"/>
          <w:numId w:val="28"/>
        </w:numPr>
        <w:spacing w:after="120"/>
        <w:contextualSpacing w:val="0"/>
        <w:jc w:val="both"/>
      </w:pPr>
      <w:r w:rsidRPr="007352E9">
        <w:t>Los niveles de emisión de Potencia Isótropa Radiada Equivalente (PIRE), medidos durante el intervalo de la transmisión, no deberán exceder los valores descritos en el presente documento.</w:t>
      </w:r>
    </w:p>
    <w:p w14:paraId="79B5964E" w14:textId="77777777" w:rsidR="00BC7291" w:rsidRPr="007352E9" w:rsidRDefault="00BC7291" w:rsidP="00BC7291">
      <w:pPr>
        <w:pStyle w:val="Prrafodelista"/>
        <w:numPr>
          <w:ilvl w:val="0"/>
          <w:numId w:val="28"/>
        </w:numPr>
        <w:spacing w:after="120"/>
        <w:contextualSpacing w:val="0"/>
        <w:jc w:val="both"/>
      </w:pPr>
      <w:r w:rsidRPr="007352E9">
        <w:t>Los transmisores de enlaces punto a punto del servicio fijo localizados en exteriores, deberán operar con una PIRE promedio que no exceda 82 dBm y una PIRE máxima que no exceda de 85 dBm. En los casos que la ganancia de la antena sea menor a 51 dBi, se deberán restar 2 dB a la PIRE promedio y a la PIRE máxima, por cada dB de diferencia en la ganancia de antena.</w:t>
      </w:r>
    </w:p>
    <w:p w14:paraId="4A3CB525" w14:textId="77777777" w:rsidR="00BC7291" w:rsidRPr="007352E9" w:rsidRDefault="00BC7291" w:rsidP="00BC7291">
      <w:pPr>
        <w:pStyle w:val="Prrafodelista"/>
        <w:spacing w:after="200" w:line="276" w:lineRule="auto"/>
        <w:ind w:left="1134"/>
        <w:jc w:val="both"/>
        <w:rPr>
          <w:i/>
        </w:rPr>
      </w:pPr>
      <w:r w:rsidRPr="007352E9">
        <w:rPr>
          <w:i/>
        </w:rPr>
        <w:t>Referencias: (5) (7) (8) (12) (16) (18) (19) (20) (21) (24)</w:t>
      </w:r>
    </w:p>
    <w:p w14:paraId="5B82F869" w14:textId="77777777" w:rsidR="00BC7291" w:rsidRPr="007352E9" w:rsidRDefault="00BC7291" w:rsidP="00BC7291">
      <w:pPr>
        <w:pStyle w:val="Prrafodelista"/>
        <w:spacing w:after="120"/>
        <w:contextualSpacing w:val="0"/>
        <w:jc w:val="both"/>
      </w:pPr>
    </w:p>
    <w:p w14:paraId="488A9F50" w14:textId="77777777" w:rsidR="00BC7291" w:rsidRPr="007352E9" w:rsidRDefault="00BC7291" w:rsidP="00BC7291">
      <w:pPr>
        <w:pStyle w:val="Prrafodelista"/>
        <w:numPr>
          <w:ilvl w:val="0"/>
          <w:numId w:val="28"/>
        </w:numPr>
        <w:spacing w:after="120"/>
        <w:contextualSpacing w:val="0"/>
        <w:jc w:val="both"/>
      </w:pPr>
      <w:r w:rsidRPr="007352E9">
        <w:t>Los sensores de perturbación de campo fijo con ancho de banda igual o menor a 500 MHz que operen dentro del segmento 61-61.5 GHz, deberán operar con una PIRE promedio que no exceda 40 dBm y una PIRE máxima que no exceda 43 dBm.</w:t>
      </w:r>
    </w:p>
    <w:p w14:paraId="4A80BDA5" w14:textId="77777777" w:rsidR="00BC7291" w:rsidRPr="007352E9" w:rsidRDefault="00BC7291" w:rsidP="00BC7291">
      <w:pPr>
        <w:pStyle w:val="Prrafodelista"/>
        <w:spacing w:after="120"/>
        <w:contextualSpacing w:val="0"/>
        <w:jc w:val="both"/>
      </w:pPr>
    </w:p>
    <w:p w14:paraId="17D0A6E2" w14:textId="77777777" w:rsidR="00BC7291" w:rsidRPr="007352E9" w:rsidRDefault="00BC7291" w:rsidP="00BC7291">
      <w:pPr>
        <w:pStyle w:val="Prrafodelista"/>
        <w:numPr>
          <w:ilvl w:val="0"/>
          <w:numId w:val="28"/>
        </w:numPr>
        <w:spacing w:after="120"/>
        <w:contextualSpacing w:val="0"/>
        <w:jc w:val="both"/>
      </w:pPr>
      <w:r w:rsidRPr="007352E9">
        <w:t xml:space="preserve">Los sensores de perturbación de campo fijo con ancho de banda igual o menor a 500 MHz que operen dentro de la banda 57-64 GHz, con excepción del segmento 61-61.5 GHz, </w:t>
      </w:r>
      <w:r w:rsidRPr="007352E9">
        <w:lastRenderedPageBreak/>
        <w:t>deberán operar con una PIRE promedio que no exceda 10 dBm y una PIRE máxima que no exceda 13 dBm.</w:t>
      </w:r>
    </w:p>
    <w:p w14:paraId="2748951A" w14:textId="0032918E" w:rsidR="00BC7291" w:rsidRPr="007352E9" w:rsidRDefault="00BC7291" w:rsidP="00BC7291">
      <w:pPr>
        <w:pStyle w:val="Prrafodelista"/>
        <w:numPr>
          <w:ilvl w:val="0"/>
          <w:numId w:val="28"/>
        </w:numPr>
        <w:spacing w:after="120"/>
        <w:contextualSpacing w:val="0"/>
        <w:jc w:val="both"/>
      </w:pPr>
      <w:r w:rsidRPr="007352E9">
        <w:t>Los sensores de perturbación de campo fijo diferentes a los mencionados en los incisos IV y V, así como los sensores de movimiento interactivo, deberán operar con una potencia pico de salida del transmisor de  -10 dBm y PIRE máxima de 10 dBm</w:t>
      </w:r>
    </w:p>
    <w:p w14:paraId="6A2D97F0" w14:textId="77777777" w:rsidR="00BC7291" w:rsidRPr="007352E9" w:rsidRDefault="00BC7291" w:rsidP="00BC7291">
      <w:pPr>
        <w:pStyle w:val="Prrafodelista"/>
        <w:ind w:left="1134"/>
        <w:rPr>
          <w:i/>
        </w:rPr>
      </w:pPr>
      <w:r w:rsidRPr="007352E9">
        <w:rPr>
          <w:i/>
        </w:rPr>
        <w:t>Referencias: (</w:t>
      </w:r>
      <w:r w:rsidRPr="007352E9">
        <w:rPr>
          <w:i/>
        </w:rPr>
        <w:fldChar w:fldCharType="begin"/>
      </w:r>
      <w:r w:rsidRPr="007352E9">
        <w:rPr>
          <w:i/>
        </w:rPr>
        <w:instrText xml:space="preserve"> REF _Ref469589160 \w \h  \* MERGEFORMAT </w:instrText>
      </w:r>
      <w:r w:rsidRPr="007352E9">
        <w:rPr>
          <w:i/>
        </w:rPr>
      </w:r>
      <w:r w:rsidRPr="007352E9">
        <w:rPr>
          <w:i/>
        </w:rPr>
        <w:fldChar w:fldCharType="separate"/>
      </w:r>
      <w:r w:rsidR="00505B23">
        <w:rPr>
          <w:i/>
        </w:rPr>
        <w:t>(7)</w:t>
      </w:r>
      <w:r w:rsidRPr="007352E9">
        <w:rPr>
          <w:i/>
        </w:rPr>
        <w:fldChar w:fldCharType="end"/>
      </w:r>
      <w:r w:rsidRPr="007352E9">
        <w:rPr>
          <w:i/>
        </w:rPr>
        <w:t xml:space="preserve"> (</w:t>
      </w:r>
      <w:r w:rsidRPr="007352E9">
        <w:rPr>
          <w:i/>
        </w:rPr>
        <w:fldChar w:fldCharType="begin"/>
      </w:r>
      <w:r w:rsidRPr="007352E9">
        <w:rPr>
          <w:i/>
        </w:rPr>
        <w:instrText xml:space="preserve"> REF _Ref469590893 \w \h  \* MERGEFORMAT </w:instrText>
      </w:r>
      <w:r w:rsidRPr="007352E9">
        <w:rPr>
          <w:i/>
        </w:rPr>
      </w:r>
      <w:r w:rsidRPr="007352E9">
        <w:rPr>
          <w:i/>
        </w:rPr>
        <w:fldChar w:fldCharType="separate"/>
      </w:r>
      <w:r w:rsidR="00505B23">
        <w:rPr>
          <w:i/>
        </w:rPr>
        <w:t>(8)</w:t>
      </w:r>
      <w:r w:rsidRPr="007352E9">
        <w:rPr>
          <w:i/>
        </w:rPr>
        <w:fldChar w:fldCharType="end"/>
      </w:r>
      <w:r w:rsidRPr="007352E9">
        <w:rPr>
          <w:i/>
        </w:rPr>
        <w:t xml:space="preserve"> (</w:t>
      </w:r>
      <w:r w:rsidRPr="007352E9">
        <w:rPr>
          <w:i/>
        </w:rPr>
        <w:fldChar w:fldCharType="begin"/>
      </w:r>
      <w:r w:rsidRPr="007352E9">
        <w:rPr>
          <w:i/>
        </w:rPr>
        <w:instrText xml:space="preserve"> REF _Ref469655042 \r \h  \* MERGEFORMAT </w:instrText>
      </w:r>
      <w:r w:rsidRPr="007352E9">
        <w:rPr>
          <w:i/>
        </w:rPr>
      </w:r>
      <w:r w:rsidRPr="007352E9">
        <w:rPr>
          <w:i/>
        </w:rPr>
        <w:fldChar w:fldCharType="separate"/>
      </w:r>
      <w:r w:rsidR="00505B23">
        <w:rPr>
          <w:i/>
        </w:rPr>
        <w:t>(18)</w:t>
      </w:r>
      <w:r w:rsidRPr="007352E9">
        <w:rPr>
          <w:i/>
        </w:rPr>
        <w:fldChar w:fldCharType="end"/>
      </w:r>
      <w:r w:rsidRPr="007352E9">
        <w:rPr>
          <w:i/>
        </w:rPr>
        <w:t xml:space="preserve"> (20)</w:t>
      </w:r>
    </w:p>
    <w:p w14:paraId="593D1B69" w14:textId="77777777" w:rsidR="00BC7291" w:rsidRPr="007352E9" w:rsidRDefault="00BC7291" w:rsidP="00BC7291">
      <w:pPr>
        <w:pStyle w:val="Prrafodelista"/>
        <w:ind w:left="1134"/>
        <w:rPr>
          <w:i/>
        </w:rPr>
      </w:pPr>
    </w:p>
    <w:p w14:paraId="49CD04C7" w14:textId="77777777" w:rsidR="00BC7291" w:rsidRPr="007352E9" w:rsidRDefault="00BC7291" w:rsidP="00BC7291">
      <w:pPr>
        <w:pStyle w:val="Prrafodelista"/>
        <w:numPr>
          <w:ilvl w:val="0"/>
          <w:numId w:val="28"/>
        </w:numPr>
        <w:spacing w:after="120"/>
        <w:contextualSpacing w:val="0"/>
        <w:jc w:val="both"/>
      </w:pPr>
      <w:r w:rsidRPr="007352E9">
        <w:t>Los sistemas de transporte inteligente operen dentro del segmento 63-64 GHz, y deberán operar con una PIRE máxima de 40 dBm y ganancia de antena menor o igual a 23 dBi.</w:t>
      </w:r>
    </w:p>
    <w:p w14:paraId="32BAE771" w14:textId="4AE5BF32" w:rsidR="00BC7291" w:rsidRPr="007352E9" w:rsidRDefault="00BC7291" w:rsidP="00BC7291">
      <w:pPr>
        <w:pStyle w:val="Prrafodelista"/>
        <w:spacing w:after="200" w:line="276" w:lineRule="auto"/>
        <w:ind w:left="1134"/>
        <w:rPr>
          <w:i/>
        </w:rPr>
      </w:pPr>
      <w:r w:rsidRPr="007352E9">
        <w:rPr>
          <w:i/>
        </w:rPr>
        <w:t>Referencias: (</w:t>
      </w:r>
      <w:r w:rsidRPr="007352E9">
        <w:rPr>
          <w:i/>
        </w:rPr>
        <w:fldChar w:fldCharType="begin"/>
      </w:r>
      <w:r w:rsidRPr="007352E9">
        <w:rPr>
          <w:i/>
        </w:rPr>
        <w:instrText xml:space="preserve"> REF _Ref469646263 \r \h  \* MERGEFORMAT </w:instrText>
      </w:r>
      <w:r w:rsidRPr="007352E9">
        <w:rPr>
          <w:i/>
        </w:rPr>
      </w:r>
      <w:r w:rsidRPr="007352E9">
        <w:rPr>
          <w:i/>
        </w:rPr>
        <w:fldChar w:fldCharType="separate"/>
      </w:r>
      <w:r w:rsidR="00505B23">
        <w:rPr>
          <w:i/>
        </w:rPr>
        <w:t>(11)</w:t>
      </w:r>
      <w:r w:rsidRPr="007352E9">
        <w:rPr>
          <w:i/>
        </w:rPr>
        <w:fldChar w:fldCharType="end"/>
      </w:r>
      <w:r w:rsidRPr="007352E9">
        <w:rPr>
          <w:i/>
        </w:rPr>
        <w:t xml:space="preserve"> (23)</w:t>
      </w:r>
      <w:r w:rsidRPr="007352E9">
        <w:rPr>
          <w:i/>
        </w:rPr>
        <w:fldChar w:fldCharType="begin"/>
      </w:r>
      <w:r w:rsidRPr="007352E9">
        <w:rPr>
          <w:i/>
        </w:rPr>
        <w:instrText xml:space="preserve"> REF _Ref472494444 \r \h </w:instrText>
      </w:r>
      <w:r w:rsidR="007352E9">
        <w:rPr>
          <w:i/>
        </w:rPr>
        <w:instrText xml:space="preserve"> \* MERGEFORMAT </w:instrText>
      </w:r>
      <w:r w:rsidRPr="007352E9">
        <w:rPr>
          <w:i/>
        </w:rPr>
      </w:r>
      <w:r w:rsidRPr="007352E9">
        <w:rPr>
          <w:i/>
        </w:rPr>
        <w:fldChar w:fldCharType="separate"/>
      </w:r>
      <w:r w:rsidR="00505B23">
        <w:rPr>
          <w:i/>
        </w:rPr>
        <w:t>0</w:t>
      </w:r>
      <w:r w:rsidRPr="007352E9">
        <w:rPr>
          <w:i/>
        </w:rPr>
        <w:fldChar w:fldCharType="end"/>
      </w:r>
    </w:p>
    <w:p w14:paraId="209AF2D2" w14:textId="77777777" w:rsidR="00BC7291" w:rsidRPr="007352E9" w:rsidRDefault="00BC7291" w:rsidP="00BC7291">
      <w:pPr>
        <w:pStyle w:val="Prrafodelista"/>
        <w:spacing w:after="120"/>
        <w:contextualSpacing w:val="0"/>
        <w:jc w:val="both"/>
      </w:pPr>
    </w:p>
    <w:p w14:paraId="0B619B46" w14:textId="77777777" w:rsidR="00BC7291" w:rsidRPr="007352E9" w:rsidRDefault="00BC7291" w:rsidP="00BC7291">
      <w:pPr>
        <w:pStyle w:val="Prrafodelista"/>
        <w:numPr>
          <w:ilvl w:val="0"/>
          <w:numId w:val="28"/>
        </w:numPr>
        <w:spacing w:after="120"/>
        <w:contextualSpacing w:val="0"/>
        <w:jc w:val="both"/>
      </w:pPr>
      <w:r w:rsidRPr="007352E9">
        <w:t>Cualquier sistema, dispositivo, equipo o estación no considerado en los incisos III, IV, V, VI y VII, deberá operar con una PIRE promedio que no exceda 40 dBm y una PIRE máxima que no exceda 43 dBm.</w:t>
      </w:r>
    </w:p>
    <w:p w14:paraId="770BC478" w14:textId="2BDFA809" w:rsidR="00BC7291" w:rsidRPr="007352E9" w:rsidRDefault="00BC7291" w:rsidP="00BC7291">
      <w:pPr>
        <w:pStyle w:val="Prrafodelista"/>
        <w:spacing w:after="200" w:line="276" w:lineRule="auto"/>
        <w:ind w:left="1134"/>
        <w:jc w:val="both"/>
        <w:rPr>
          <w:i/>
        </w:rPr>
      </w:pPr>
      <w:r w:rsidRPr="007352E9">
        <w:rPr>
          <w:i/>
        </w:rPr>
        <w:t>Referencias: (1) (2) (5) (6) (7) (8) (9) (10) (12) (13) (14) (16) (17) (18) (20) (21) (24)</w:t>
      </w:r>
    </w:p>
    <w:p w14:paraId="3E3E2C7F" w14:textId="77777777" w:rsidR="00BC7291" w:rsidRPr="007352E9" w:rsidRDefault="00BC7291" w:rsidP="00BC7291">
      <w:pPr>
        <w:pStyle w:val="Prrafodelista"/>
        <w:spacing w:after="200" w:line="276" w:lineRule="auto"/>
        <w:ind w:left="1134"/>
        <w:jc w:val="both"/>
        <w:rPr>
          <w:i/>
        </w:rPr>
      </w:pPr>
    </w:p>
    <w:p w14:paraId="5388827D" w14:textId="77777777" w:rsidR="00847FEB" w:rsidRPr="007352E9" w:rsidRDefault="00847FEB" w:rsidP="00847FEB">
      <w:pPr>
        <w:pStyle w:val="Prrafodelista"/>
        <w:numPr>
          <w:ilvl w:val="0"/>
          <w:numId w:val="28"/>
        </w:numPr>
        <w:spacing w:after="120"/>
        <w:contextualSpacing w:val="0"/>
        <w:jc w:val="both"/>
      </w:pPr>
      <w:r w:rsidRPr="007352E9">
        <w:t xml:space="preserve">Potencia de salida pico del transmisor: </w:t>
      </w:r>
    </w:p>
    <w:p w14:paraId="3702CFC6" w14:textId="77777777" w:rsidR="00847FEB" w:rsidRPr="007352E9" w:rsidRDefault="00847FEB" w:rsidP="00847FEB">
      <w:pPr>
        <w:pStyle w:val="Prrafodelista"/>
        <w:numPr>
          <w:ilvl w:val="1"/>
          <w:numId w:val="29"/>
        </w:numPr>
        <w:spacing w:after="120"/>
        <w:contextualSpacing w:val="0"/>
        <w:jc w:val="both"/>
      </w:pPr>
      <w:r w:rsidRPr="007352E9">
        <w:t>Los dispositivos que utilicen un ancho de banda de emisión mayor a 100 MHz, no deberá exceder 500 mW.</w:t>
      </w:r>
    </w:p>
    <w:p w14:paraId="0029554B" w14:textId="5C2BB52E" w:rsidR="00BC7291" w:rsidRPr="007352E9" w:rsidRDefault="00847FEB" w:rsidP="00847FEB">
      <w:pPr>
        <w:pStyle w:val="Prrafodelista"/>
        <w:numPr>
          <w:ilvl w:val="1"/>
          <w:numId w:val="29"/>
        </w:numPr>
        <w:spacing w:after="120"/>
        <w:contextualSpacing w:val="0"/>
        <w:jc w:val="both"/>
      </w:pPr>
      <w:r w:rsidRPr="007352E9">
        <w:t xml:space="preserve">Los dispositivos que utilicen un ancho de banda de emisión menor a 100 MHz deben limitar la potencia de salida pico del transmisor del dispositivo, equipo o estación a lo resultante de 500 mW multiplicado por su ancho de banda de emisión en MHz, dividido entre 100 MHz. </w:t>
      </w:r>
    </w:p>
    <w:p w14:paraId="25110572" w14:textId="65037A3B" w:rsidR="00BC7291" w:rsidRPr="007352E9" w:rsidRDefault="00847FEB" w:rsidP="00847FEB">
      <w:pPr>
        <w:pStyle w:val="Prrafodelista"/>
        <w:spacing w:after="120"/>
        <w:ind w:left="1134"/>
        <w:contextualSpacing w:val="0"/>
        <w:jc w:val="both"/>
      </w:pPr>
      <w:r w:rsidRPr="007352E9">
        <w:rPr>
          <w:i/>
        </w:rPr>
        <w:t xml:space="preserve">Referencias: </w:t>
      </w:r>
      <w:r w:rsidRPr="007352E9">
        <w:rPr>
          <w:i/>
        </w:rPr>
        <w:fldChar w:fldCharType="begin"/>
      </w:r>
      <w:r w:rsidRPr="007352E9">
        <w:rPr>
          <w:i/>
        </w:rPr>
        <w:instrText xml:space="preserve"> REF _Ref469589160 \r \h </w:instrText>
      </w:r>
      <w:r w:rsidR="007352E9">
        <w:rPr>
          <w:i/>
        </w:rPr>
        <w:instrText xml:space="preserve"> \* MERGEFORMAT </w:instrText>
      </w:r>
      <w:r w:rsidRPr="007352E9">
        <w:rPr>
          <w:i/>
        </w:rPr>
      </w:r>
      <w:r w:rsidRPr="007352E9">
        <w:rPr>
          <w:i/>
        </w:rPr>
        <w:fldChar w:fldCharType="separate"/>
      </w:r>
      <w:r w:rsidR="00505B23">
        <w:rPr>
          <w:i/>
        </w:rPr>
        <w:t>(7)</w:t>
      </w:r>
      <w:r w:rsidRPr="007352E9">
        <w:rPr>
          <w:i/>
        </w:rPr>
        <w:fldChar w:fldCharType="end"/>
      </w:r>
      <w:r w:rsidRPr="007352E9">
        <w:rPr>
          <w:i/>
        </w:rPr>
        <w:fldChar w:fldCharType="begin"/>
      </w:r>
      <w:r w:rsidRPr="007352E9">
        <w:rPr>
          <w:i/>
        </w:rPr>
        <w:instrText xml:space="preserve"> REF _Ref472526464 \r \h </w:instrText>
      </w:r>
      <w:r w:rsidR="007352E9">
        <w:rPr>
          <w:i/>
        </w:rPr>
        <w:instrText xml:space="preserve"> \* MERGEFORMAT </w:instrText>
      </w:r>
      <w:r w:rsidRPr="007352E9">
        <w:rPr>
          <w:i/>
        </w:rPr>
      </w:r>
      <w:r w:rsidRPr="007352E9">
        <w:rPr>
          <w:i/>
        </w:rPr>
        <w:fldChar w:fldCharType="separate"/>
      </w:r>
      <w:r w:rsidR="00505B23">
        <w:rPr>
          <w:i/>
        </w:rPr>
        <w:t>(24)</w:t>
      </w:r>
      <w:r w:rsidRPr="007352E9">
        <w:rPr>
          <w:i/>
        </w:rPr>
        <w:fldChar w:fldCharType="end"/>
      </w:r>
    </w:p>
    <w:p w14:paraId="6175B4CC" w14:textId="6B9BA255" w:rsidR="005C7D11" w:rsidRPr="007352E9" w:rsidRDefault="005C7D11" w:rsidP="005C7D11">
      <w:pPr>
        <w:pStyle w:val="Ttulo2"/>
        <w:tabs>
          <w:tab w:val="left" w:pos="426"/>
        </w:tabs>
        <w:ind w:left="284"/>
        <w:jc w:val="both"/>
        <w:rPr>
          <w:rFonts w:asciiTheme="minorHAnsi" w:hAnsiTheme="minorHAnsi"/>
          <w:sz w:val="22"/>
        </w:rPr>
      </w:pPr>
      <w:bookmarkStart w:id="34" w:name="_Toc474325860"/>
      <w:r w:rsidRPr="007352E9">
        <w:rPr>
          <w:rFonts w:asciiTheme="minorHAnsi" w:hAnsiTheme="minorHAnsi"/>
          <w:sz w:val="22"/>
        </w:rPr>
        <w:t>Operaciones no permitidas</w:t>
      </w:r>
      <w:bookmarkEnd w:id="34"/>
    </w:p>
    <w:p w14:paraId="2B6C5E2E" w14:textId="77777777" w:rsidR="005C7D11" w:rsidRPr="007352E9" w:rsidRDefault="005C7D11" w:rsidP="005C7D11">
      <w:pPr>
        <w:pStyle w:val="Prrafodelista"/>
        <w:spacing w:after="120"/>
        <w:ind w:left="709"/>
        <w:contextualSpacing w:val="0"/>
        <w:jc w:val="both"/>
      </w:pPr>
      <w:r w:rsidRPr="007352E9">
        <w:t>La operación bajo las condiciones antes descritas no se permite para los siguientes:</w:t>
      </w:r>
    </w:p>
    <w:p w14:paraId="7765E1C6" w14:textId="77777777" w:rsidR="005C7D11" w:rsidRPr="007352E9" w:rsidRDefault="005C7D11" w:rsidP="005C7D11">
      <w:pPr>
        <w:pStyle w:val="Prrafodelista"/>
        <w:numPr>
          <w:ilvl w:val="0"/>
          <w:numId w:val="27"/>
        </w:numPr>
        <w:spacing w:after="120"/>
        <w:ind w:left="709" w:hanging="425"/>
        <w:contextualSpacing w:val="0"/>
        <w:jc w:val="both"/>
      </w:pPr>
      <w:r w:rsidRPr="007352E9">
        <w:t>Equipo utilizado en aeronaves o satélites</w:t>
      </w:r>
    </w:p>
    <w:p w14:paraId="1A936BAF" w14:textId="77777777" w:rsidR="005C7D11" w:rsidRPr="007352E9" w:rsidRDefault="005C7D11" w:rsidP="005C7D11">
      <w:pPr>
        <w:pStyle w:val="Prrafodelista"/>
        <w:numPr>
          <w:ilvl w:val="0"/>
          <w:numId w:val="27"/>
        </w:numPr>
        <w:spacing w:after="120"/>
        <w:ind w:left="709" w:hanging="425"/>
        <w:contextualSpacing w:val="0"/>
        <w:jc w:val="both"/>
      </w:pPr>
      <w:r w:rsidRPr="007352E9">
        <w:t>Sensores de perturbación de campo, incluyendo sistemas vehiculares de radar, con excepción de aquellos que sean utilizados como dispositivos de corto alcance que se utilicen como sensor de movimiento interactivo y los  que operen dentro del servicio fijo, incluidos los sensores de perturbación de campo instalados en equipo fijo, aun cuando el sensor se mueva dentro del equipo.</w:t>
      </w:r>
    </w:p>
    <w:p w14:paraId="0CA45E52" w14:textId="026124B4" w:rsidR="00174607" w:rsidRPr="007352E9" w:rsidRDefault="00174607">
      <w:r w:rsidRPr="007352E9">
        <w:br w:type="page"/>
      </w:r>
    </w:p>
    <w:p w14:paraId="29436AD4" w14:textId="0260048C" w:rsidR="00A843C2" w:rsidRPr="007352E9" w:rsidRDefault="00A843C2" w:rsidP="00A843C2">
      <w:pPr>
        <w:pStyle w:val="Ttulo1"/>
        <w:numPr>
          <w:ilvl w:val="0"/>
          <w:numId w:val="1"/>
        </w:numPr>
        <w:ind w:left="284"/>
        <w:rPr>
          <w:sz w:val="22"/>
        </w:rPr>
      </w:pPr>
      <w:bookmarkStart w:id="35" w:name="_Toc474325861"/>
      <w:r w:rsidRPr="007352E9">
        <w:rPr>
          <w:sz w:val="22"/>
        </w:rPr>
        <w:lastRenderedPageBreak/>
        <w:t>Referencias</w:t>
      </w:r>
      <w:bookmarkEnd w:id="35"/>
    </w:p>
    <w:p w14:paraId="4D0C524E" w14:textId="27E59AC0" w:rsidR="009850B9" w:rsidRPr="007352E9" w:rsidRDefault="009850B9" w:rsidP="00480AC3">
      <w:pPr>
        <w:pStyle w:val="Prrafodelista"/>
        <w:numPr>
          <w:ilvl w:val="0"/>
          <w:numId w:val="13"/>
        </w:numPr>
        <w:spacing w:after="200" w:line="276" w:lineRule="auto"/>
        <w:jc w:val="both"/>
      </w:pPr>
      <w:bookmarkStart w:id="36" w:name="_Ref469586426"/>
      <w:r w:rsidRPr="007352E9">
        <w:t>Especificación de la interfaz Punto a punto para sistemas de retransmisión de radio en el rango de 58 GHz</w:t>
      </w:r>
      <w:bookmarkEnd w:id="36"/>
    </w:p>
    <w:p w14:paraId="21E78D1F" w14:textId="46B90B93" w:rsidR="009850B9" w:rsidRPr="007352E9" w:rsidRDefault="009850B9" w:rsidP="00480AC3">
      <w:pPr>
        <w:pStyle w:val="Prrafodelista"/>
        <w:spacing w:after="200" w:line="276" w:lineRule="auto"/>
        <w:jc w:val="both"/>
      </w:pPr>
      <w:r w:rsidRPr="007352E9">
        <w:t>Julio 2011, Alemania</w:t>
      </w:r>
    </w:p>
    <w:p w14:paraId="14AB311A" w14:textId="77777777" w:rsidR="009850B9" w:rsidRPr="007352E9" w:rsidRDefault="009850B9" w:rsidP="00480AC3">
      <w:pPr>
        <w:pStyle w:val="Prrafodelista"/>
        <w:spacing w:after="200" w:line="276" w:lineRule="auto"/>
        <w:jc w:val="both"/>
      </w:pPr>
    </w:p>
    <w:p w14:paraId="552E84E3" w14:textId="699C17FD" w:rsidR="009850B9" w:rsidRPr="007352E9" w:rsidRDefault="009850B9" w:rsidP="00480AC3">
      <w:pPr>
        <w:pStyle w:val="Prrafodelista"/>
        <w:numPr>
          <w:ilvl w:val="0"/>
          <w:numId w:val="13"/>
        </w:numPr>
        <w:spacing w:after="200" w:line="276" w:lineRule="auto"/>
        <w:jc w:val="both"/>
      </w:pPr>
      <w:bookmarkStart w:id="37" w:name="_Ref469586524"/>
      <w:r w:rsidRPr="007352E9">
        <w:t>Especificación de la interfaz Punto a punto para sistemas de retransmisión de radio en el rango de 59-63 GHz</w:t>
      </w:r>
      <w:bookmarkEnd w:id="37"/>
    </w:p>
    <w:p w14:paraId="06875DFC" w14:textId="65BA4205" w:rsidR="009850B9" w:rsidRPr="007352E9" w:rsidRDefault="009850B9" w:rsidP="00480AC3">
      <w:pPr>
        <w:pStyle w:val="Prrafodelista"/>
        <w:spacing w:after="200" w:line="276" w:lineRule="auto"/>
        <w:jc w:val="both"/>
      </w:pPr>
      <w:r w:rsidRPr="007352E9">
        <w:t>Febrero 2012, Alemania</w:t>
      </w:r>
    </w:p>
    <w:p w14:paraId="6B25CAC7" w14:textId="77777777" w:rsidR="009850B9" w:rsidRPr="007352E9" w:rsidRDefault="009850B9" w:rsidP="00480AC3">
      <w:pPr>
        <w:pStyle w:val="Prrafodelista"/>
        <w:spacing w:after="200" w:line="276" w:lineRule="auto"/>
        <w:jc w:val="both"/>
      </w:pPr>
    </w:p>
    <w:p w14:paraId="788C4271" w14:textId="77777777" w:rsidR="00DC2B88" w:rsidRPr="007352E9" w:rsidRDefault="00DC2B88" w:rsidP="00480AC3">
      <w:pPr>
        <w:pStyle w:val="Prrafodelista"/>
        <w:numPr>
          <w:ilvl w:val="0"/>
          <w:numId w:val="13"/>
        </w:numPr>
        <w:autoSpaceDE w:val="0"/>
        <w:autoSpaceDN w:val="0"/>
        <w:adjustRightInd w:val="0"/>
        <w:spacing w:after="200" w:line="240" w:lineRule="auto"/>
        <w:jc w:val="both"/>
        <w:rPr>
          <w:lang w:val="en-GB"/>
        </w:rPr>
      </w:pPr>
      <w:r w:rsidRPr="007352E9">
        <w:rPr>
          <w:lang w:val="en-GB"/>
        </w:rPr>
        <w:t>60 GHz Band, Millimetre wave technology; Gayan de Alwis/Murray Delahoy; Spectrum Planning and Engineering Team; Radiofrequency Planning Group Document: 3/04; Australian Communications Authority</w:t>
      </w:r>
    </w:p>
    <w:p w14:paraId="37DDF2D8" w14:textId="77777777" w:rsidR="00DC2B88" w:rsidRPr="007352E9" w:rsidRDefault="00DC2B88" w:rsidP="00480AC3">
      <w:pPr>
        <w:pStyle w:val="Prrafodelista"/>
        <w:autoSpaceDE w:val="0"/>
        <w:autoSpaceDN w:val="0"/>
        <w:adjustRightInd w:val="0"/>
        <w:spacing w:line="240" w:lineRule="auto"/>
        <w:jc w:val="both"/>
      </w:pPr>
      <w:r w:rsidRPr="007352E9">
        <w:t>Diciembre 2004, Australia</w:t>
      </w:r>
    </w:p>
    <w:p w14:paraId="4FF12056" w14:textId="77777777" w:rsidR="00DC2B88" w:rsidRPr="007352E9" w:rsidRDefault="00DC2B88" w:rsidP="00480AC3">
      <w:pPr>
        <w:pStyle w:val="Prrafodelista"/>
        <w:spacing w:after="200" w:line="276" w:lineRule="auto"/>
        <w:jc w:val="both"/>
      </w:pPr>
    </w:p>
    <w:p w14:paraId="015C5E6E" w14:textId="77777777" w:rsidR="00DC2B88" w:rsidRPr="007352E9" w:rsidRDefault="00DC2B88" w:rsidP="00480AC3">
      <w:pPr>
        <w:pStyle w:val="Prrafodelista"/>
        <w:numPr>
          <w:ilvl w:val="0"/>
          <w:numId w:val="13"/>
        </w:numPr>
        <w:spacing w:after="200" w:line="276" w:lineRule="auto"/>
        <w:jc w:val="both"/>
        <w:rPr>
          <w:lang w:val="en-US"/>
        </w:rPr>
      </w:pPr>
      <w:r w:rsidRPr="007352E9">
        <w:rPr>
          <w:i/>
          <w:lang w:val="en-US"/>
        </w:rPr>
        <w:t>Radiocommunications (Low Interference Potencial Devices) Class Licence 2000</w:t>
      </w:r>
    </w:p>
    <w:p w14:paraId="4F9F5E34" w14:textId="77777777" w:rsidR="00DC2B88" w:rsidRPr="007352E9" w:rsidRDefault="00DC2B88" w:rsidP="00480AC3">
      <w:pPr>
        <w:pStyle w:val="Prrafodelista"/>
        <w:spacing w:after="200" w:line="276" w:lineRule="auto"/>
        <w:jc w:val="both"/>
      </w:pPr>
      <w:r w:rsidRPr="007352E9">
        <w:t>Julio 2014, Australia</w:t>
      </w:r>
    </w:p>
    <w:p w14:paraId="32D5609A" w14:textId="77777777" w:rsidR="00ED3379" w:rsidRPr="007352E9" w:rsidRDefault="00ED3379" w:rsidP="00480AC3">
      <w:pPr>
        <w:pStyle w:val="Prrafodelista"/>
        <w:spacing w:after="200" w:line="276" w:lineRule="auto"/>
        <w:jc w:val="both"/>
      </w:pPr>
    </w:p>
    <w:p w14:paraId="5C1F3D17" w14:textId="77777777" w:rsidR="00ED3379" w:rsidRPr="007352E9" w:rsidRDefault="00ED3379" w:rsidP="00480AC3">
      <w:pPr>
        <w:pStyle w:val="Prrafodelista"/>
        <w:numPr>
          <w:ilvl w:val="0"/>
          <w:numId w:val="13"/>
        </w:numPr>
        <w:spacing w:after="200" w:line="276" w:lineRule="auto"/>
        <w:jc w:val="both"/>
        <w:rPr>
          <w:lang w:val="en-GB"/>
        </w:rPr>
      </w:pPr>
      <w:bookmarkStart w:id="38" w:name="_Ref469587612"/>
      <w:r w:rsidRPr="007352E9">
        <w:rPr>
          <w:lang w:val="en-GB"/>
        </w:rPr>
        <w:t>Radio Interface Specification; Multi Gigabit Wireless Systems (MGWS)</w:t>
      </w:r>
      <w:bookmarkEnd w:id="38"/>
    </w:p>
    <w:p w14:paraId="4A490E7E" w14:textId="77777777" w:rsidR="00D23B79" w:rsidRPr="007352E9" w:rsidRDefault="00ED3379" w:rsidP="00480AC3">
      <w:pPr>
        <w:pStyle w:val="Prrafodelista"/>
        <w:jc w:val="both"/>
      </w:pPr>
      <w:r w:rsidRPr="007352E9">
        <w:t>B02-02, V1.2 – 19/03/2010</w:t>
      </w:r>
    </w:p>
    <w:p w14:paraId="35777917" w14:textId="5AAADB45" w:rsidR="00ED3379" w:rsidRPr="007352E9" w:rsidRDefault="00D23B79" w:rsidP="00480AC3">
      <w:pPr>
        <w:pStyle w:val="Prrafodelista"/>
        <w:jc w:val="both"/>
      </w:pPr>
      <w:r w:rsidRPr="007352E9">
        <w:t xml:space="preserve">Marzo 2010, </w:t>
      </w:r>
      <w:r w:rsidR="00ED3379" w:rsidRPr="007352E9">
        <w:t>Bélgica</w:t>
      </w:r>
    </w:p>
    <w:p w14:paraId="6522117F" w14:textId="77777777" w:rsidR="007F6087" w:rsidRPr="007352E9" w:rsidRDefault="007F6087" w:rsidP="00480AC3">
      <w:pPr>
        <w:pStyle w:val="Prrafodelista"/>
        <w:jc w:val="both"/>
      </w:pPr>
    </w:p>
    <w:p w14:paraId="7901C688" w14:textId="77777777" w:rsidR="00ED3379" w:rsidRPr="007352E9" w:rsidRDefault="00ED3379" w:rsidP="00480AC3">
      <w:pPr>
        <w:pStyle w:val="Prrafodelista"/>
        <w:numPr>
          <w:ilvl w:val="0"/>
          <w:numId w:val="13"/>
        </w:numPr>
        <w:spacing w:after="200" w:line="276" w:lineRule="auto"/>
        <w:jc w:val="both"/>
        <w:rPr>
          <w:lang w:val="en-US"/>
        </w:rPr>
      </w:pPr>
      <w:bookmarkStart w:id="39" w:name="_Ref469587940"/>
      <w:r w:rsidRPr="007352E9">
        <w:rPr>
          <w:lang w:val="en-US"/>
        </w:rPr>
        <w:t>Radio Interface Specification; Digital Radio Relay 58 GHz</w:t>
      </w:r>
      <w:bookmarkEnd w:id="39"/>
    </w:p>
    <w:p w14:paraId="3CEA1034" w14:textId="77777777" w:rsidR="00D23B79" w:rsidRPr="007352E9" w:rsidRDefault="00ED3379" w:rsidP="00480AC3">
      <w:pPr>
        <w:pStyle w:val="Prrafodelista"/>
        <w:jc w:val="both"/>
      </w:pPr>
      <w:r w:rsidRPr="007352E9">
        <w:t>E20, V2.1 – 18/11/2009</w:t>
      </w:r>
    </w:p>
    <w:p w14:paraId="542A47F7" w14:textId="67AADC3A" w:rsidR="00ED3379" w:rsidRPr="007352E9" w:rsidRDefault="00D23B79" w:rsidP="00480AC3">
      <w:pPr>
        <w:pStyle w:val="Prrafodelista"/>
        <w:jc w:val="both"/>
      </w:pPr>
      <w:r w:rsidRPr="007352E9">
        <w:t xml:space="preserve">Noviembre 2011, </w:t>
      </w:r>
      <w:r w:rsidR="00ED3379" w:rsidRPr="007352E9">
        <w:t>Bélgica</w:t>
      </w:r>
    </w:p>
    <w:p w14:paraId="1628EBF6" w14:textId="77777777" w:rsidR="007F6087" w:rsidRPr="007352E9" w:rsidRDefault="007F6087" w:rsidP="00480AC3">
      <w:pPr>
        <w:pStyle w:val="Prrafodelista"/>
        <w:jc w:val="both"/>
      </w:pPr>
    </w:p>
    <w:p w14:paraId="67062DB2" w14:textId="6D4549B1" w:rsidR="007F6087" w:rsidRPr="007352E9" w:rsidRDefault="007F6087" w:rsidP="00480AC3">
      <w:pPr>
        <w:pStyle w:val="Prrafodelista"/>
        <w:numPr>
          <w:ilvl w:val="0"/>
          <w:numId w:val="13"/>
        </w:numPr>
        <w:jc w:val="both"/>
        <w:rPr>
          <w:lang w:val="en-GB"/>
        </w:rPr>
      </w:pPr>
      <w:bookmarkStart w:id="40" w:name="_Ref469589160"/>
      <w:r w:rsidRPr="007352E9">
        <w:rPr>
          <w:lang w:val="en-GB"/>
        </w:rPr>
        <w:t>Spectrum Utilization Policy for Licence Exempt Wireless Devices in the Bands 46.7-46.9 GHz, 57-64 GHz and 76-77 GHz</w:t>
      </w:r>
      <w:bookmarkEnd w:id="40"/>
    </w:p>
    <w:p w14:paraId="1F65E23D" w14:textId="30D8FDB8" w:rsidR="00D42791" w:rsidRPr="007352E9" w:rsidRDefault="00D42791" w:rsidP="00480AC3">
      <w:pPr>
        <w:pStyle w:val="Prrafodelista"/>
        <w:jc w:val="both"/>
      </w:pPr>
      <w:r w:rsidRPr="007352E9">
        <w:t>Enero 2001, Canadá</w:t>
      </w:r>
    </w:p>
    <w:p w14:paraId="446C1487" w14:textId="77777777" w:rsidR="00DC2B88" w:rsidRPr="007352E9" w:rsidRDefault="00DC2B88" w:rsidP="00480AC3">
      <w:pPr>
        <w:pStyle w:val="Prrafodelista"/>
        <w:spacing w:after="200" w:line="276" w:lineRule="auto"/>
        <w:jc w:val="both"/>
      </w:pPr>
    </w:p>
    <w:p w14:paraId="6FA4EB69" w14:textId="7C7605BC" w:rsidR="00D42791" w:rsidRPr="007352E9" w:rsidRDefault="00D42791" w:rsidP="00480AC3">
      <w:pPr>
        <w:pStyle w:val="Prrafodelista"/>
        <w:numPr>
          <w:ilvl w:val="0"/>
          <w:numId w:val="13"/>
        </w:numPr>
        <w:spacing w:after="200" w:line="276" w:lineRule="auto"/>
        <w:jc w:val="both"/>
        <w:rPr>
          <w:lang w:val="en-GB"/>
        </w:rPr>
      </w:pPr>
      <w:bookmarkStart w:id="41" w:name="_Ref469590893"/>
      <w:bookmarkStart w:id="42" w:name="_Ref469586531"/>
      <w:r w:rsidRPr="007352E9">
        <w:rPr>
          <w:lang w:val="en-GB"/>
        </w:rPr>
        <w:t>Licence-exempt Radio Apparatus (All Frequency Bands): Category I Equipment</w:t>
      </w:r>
      <w:bookmarkEnd w:id="41"/>
    </w:p>
    <w:p w14:paraId="74A51726" w14:textId="13C1A65E" w:rsidR="00D42791" w:rsidRPr="007352E9" w:rsidRDefault="00D42791" w:rsidP="00480AC3">
      <w:pPr>
        <w:pStyle w:val="Prrafodelista"/>
        <w:jc w:val="both"/>
      </w:pPr>
      <w:r w:rsidRPr="007352E9">
        <w:t>Diciembre 2010, Canadá</w:t>
      </w:r>
    </w:p>
    <w:p w14:paraId="4F685FCF" w14:textId="77777777" w:rsidR="00D42791" w:rsidRPr="007352E9" w:rsidRDefault="00D42791" w:rsidP="00347BB7">
      <w:pPr>
        <w:pStyle w:val="Prrafodelista"/>
      </w:pPr>
    </w:p>
    <w:p w14:paraId="07F5E263" w14:textId="7E56231E" w:rsidR="00B41849" w:rsidRPr="007352E9" w:rsidRDefault="00B41849" w:rsidP="00480AC3">
      <w:pPr>
        <w:pStyle w:val="Prrafodelista"/>
        <w:numPr>
          <w:ilvl w:val="0"/>
          <w:numId w:val="13"/>
        </w:numPr>
        <w:spacing w:after="200" w:line="276" w:lineRule="auto"/>
        <w:jc w:val="both"/>
      </w:pPr>
      <w:bookmarkStart w:id="43" w:name="_Ref469644313"/>
      <w:r w:rsidRPr="007352E9">
        <w:t>Resolución 755 EXENTA, Ministerio de Transportes y Telecomunicaciones</w:t>
      </w:r>
      <w:bookmarkEnd w:id="43"/>
    </w:p>
    <w:p w14:paraId="3F320E29" w14:textId="498E2923" w:rsidR="00B41849" w:rsidRPr="007352E9" w:rsidRDefault="00B41849" w:rsidP="00480AC3">
      <w:pPr>
        <w:pStyle w:val="Prrafodelista"/>
        <w:spacing w:after="200" w:line="276" w:lineRule="auto"/>
        <w:jc w:val="both"/>
      </w:pPr>
      <w:r w:rsidRPr="007352E9">
        <w:t>22 de octubre de 2015, Chile</w:t>
      </w:r>
    </w:p>
    <w:p w14:paraId="43DE83CD" w14:textId="77777777" w:rsidR="00FA4E33" w:rsidRPr="007352E9" w:rsidRDefault="00FA4E33" w:rsidP="00480AC3">
      <w:pPr>
        <w:pStyle w:val="Prrafodelista"/>
        <w:spacing w:after="200" w:line="276" w:lineRule="auto"/>
        <w:jc w:val="both"/>
      </w:pPr>
    </w:p>
    <w:p w14:paraId="4A731B13" w14:textId="557A1D7B" w:rsidR="00FA4E33" w:rsidRPr="007352E9" w:rsidRDefault="00FA4E33" w:rsidP="00480AC3">
      <w:pPr>
        <w:pStyle w:val="Prrafodelista"/>
        <w:numPr>
          <w:ilvl w:val="0"/>
          <w:numId w:val="13"/>
        </w:numPr>
        <w:spacing w:after="200" w:line="276" w:lineRule="auto"/>
        <w:jc w:val="both"/>
      </w:pPr>
      <w:bookmarkStart w:id="44" w:name="_Ref469645719"/>
      <w:r w:rsidRPr="007352E9">
        <w:t>Boletín Oficial del Estado, Ministerio de Industria, Turismo y Comercio, Núm. 292, Sec. III. Pág. 129309</w:t>
      </w:r>
      <w:bookmarkEnd w:id="44"/>
    </w:p>
    <w:p w14:paraId="5E2F3E69" w14:textId="03E1D78D" w:rsidR="00FA4E33" w:rsidRPr="007352E9" w:rsidRDefault="00FA4E33" w:rsidP="00480AC3">
      <w:pPr>
        <w:pStyle w:val="Prrafodelista"/>
        <w:spacing w:after="200" w:line="276" w:lineRule="auto"/>
        <w:jc w:val="both"/>
      </w:pPr>
      <w:r w:rsidRPr="007352E9">
        <w:t>5 de diciembre 2011, España</w:t>
      </w:r>
    </w:p>
    <w:p w14:paraId="48C9E1A2" w14:textId="77777777" w:rsidR="00FA4E33" w:rsidRPr="007352E9" w:rsidRDefault="00FA4E33" w:rsidP="00480AC3">
      <w:pPr>
        <w:pStyle w:val="Prrafodelista"/>
        <w:spacing w:after="200" w:line="276" w:lineRule="auto"/>
        <w:jc w:val="both"/>
      </w:pPr>
    </w:p>
    <w:p w14:paraId="417AD47C" w14:textId="0AD736AF" w:rsidR="0075513D" w:rsidRPr="007352E9" w:rsidRDefault="0075513D" w:rsidP="00480AC3">
      <w:pPr>
        <w:pStyle w:val="Prrafodelista"/>
        <w:numPr>
          <w:ilvl w:val="0"/>
          <w:numId w:val="13"/>
        </w:numPr>
        <w:spacing w:after="200" w:line="276" w:lineRule="auto"/>
        <w:jc w:val="both"/>
      </w:pPr>
      <w:bookmarkStart w:id="45" w:name="_Ref469646263"/>
      <w:r w:rsidRPr="007352E9">
        <w:t>Boletín Oficial del Estado, Ministerio de Industria, Turismo y Comercio, Núm. 135, Sec. III. Pág. 55755</w:t>
      </w:r>
      <w:bookmarkEnd w:id="45"/>
    </w:p>
    <w:p w14:paraId="20367D61" w14:textId="6AC683D5" w:rsidR="0075513D" w:rsidRPr="007352E9" w:rsidRDefault="0075513D" w:rsidP="00480AC3">
      <w:pPr>
        <w:pStyle w:val="Prrafodelista"/>
        <w:spacing w:after="200" w:line="276" w:lineRule="auto"/>
        <w:jc w:val="both"/>
      </w:pPr>
      <w:r w:rsidRPr="007352E9">
        <w:t>7 de junio 2011, España</w:t>
      </w:r>
    </w:p>
    <w:p w14:paraId="782E0466" w14:textId="77777777" w:rsidR="0075513D" w:rsidRPr="007352E9" w:rsidRDefault="0075513D" w:rsidP="00347BB7">
      <w:pPr>
        <w:pStyle w:val="Prrafodelista"/>
        <w:spacing w:after="200" w:line="276" w:lineRule="auto"/>
      </w:pPr>
    </w:p>
    <w:p w14:paraId="04C34B4A" w14:textId="05247472" w:rsidR="006A6742" w:rsidRPr="007352E9" w:rsidRDefault="006A6742" w:rsidP="00480AC3">
      <w:pPr>
        <w:pStyle w:val="Prrafodelista"/>
        <w:numPr>
          <w:ilvl w:val="0"/>
          <w:numId w:val="13"/>
        </w:numPr>
        <w:spacing w:after="200" w:line="276" w:lineRule="auto"/>
        <w:jc w:val="both"/>
      </w:pPr>
      <w:bookmarkStart w:id="46" w:name="_Ref469646273"/>
      <w:r w:rsidRPr="007352E9">
        <w:lastRenderedPageBreak/>
        <w:t>Boletín Oficial del Estado, Ministerio de Industria, Turismo y Comercio, Núm. 308, Sec. III. Pág. 104868</w:t>
      </w:r>
      <w:bookmarkEnd w:id="46"/>
    </w:p>
    <w:p w14:paraId="532C02FD" w14:textId="32C5FA78" w:rsidR="006A6742" w:rsidRPr="007352E9" w:rsidRDefault="006A6742" w:rsidP="00480AC3">
      <w:pPr>
        <w:pStyle w:val="Prrafodelista"/>
        <w:spacing w:after="200" w:line="276" w:lineRule="auto"/>
        <w:jc w:val="both"/>
      </w:pPr>
      <w:r w:rsidRPr="007352E9">
        <w:t>20 de diciembre 2010, España</w:t>
      </w:r>
    </w:p>
    <w:p w14:paraId="22AA9282" w14:textId="77777777" w:rsidR="006A6742" w:rsidRPr="007352E9" w:rsidRDefault="006A6742" w:rsidP="00480AC3">
      <w:pPr>
        <w:pStyle w:val="Prrafodelista"/>
        <w:spacing w:after="200" w:line="276" w:lineRule="auto"/>
        <w:jc w:val="both"/>
      </w:pPr>
    </w:p>
    <w:p w14:paraId="72B93074" w14:textId="44218050" w:rsidR="00873652" w:rsidRPr="007352E9" w:rsidRDefault="00873652" w:rsidP="00480AC3">
      <w:pPr>
        <w:pStyle w:val="Prrafodelista"/>
        <w:numPr>
          <w:ilvl w:val="0"/>
          <w:numId w:val="13"/>
        </w:numPr>
        <w:spacing w:after="200" w:line="276" w:lineRule="auto"/>
        <w:jc w:val="both"/>
        <w:rPr>
          <w:lang w:val="en-GB"/>
        </w:rPr>
      </w:pPr>
      <w:bookmarkStart w:id="47" w:name="_Ref469652027"/>
      <w:bookmarkStart w:id="48" w:name="_Ref469647689"/>
      <w:r w:rsidRPr="007352E9">
        <w:rPr>
          <w:lang w:val="en-GB"/>
        </w:rPr>
        <w:t>IR 2078 – UK Interface Requirement, Fixed Wireless Systems in the frequency band 57.1-63.9 GHz</w:t>
      </w:r>
      <w:bookmarkEnd w:id="47"/>
    </w:p>
    <w:p w14:paraId="67DDD42C" w14:textId="5E05BF3C" w:rsidR="00873652" w:rsidRPr="007352E9" w:rsidRDefault="00873652" w:rsidP="00480AC3">
      <w:pPr>
        <w:pStyle w:val="Prrafodelista"/>
        <w:spacing w:after="200" w:line="276" w:lineRule="auto"/>
        <w:jc w:val="both"/>
      </w:pPr>
      <w:r w:rsidRPr="007352E9">
        <w:t>Octubre 2010, Reino Unido</w:t>
      </w:r>
    </w:p>
    <w:p w14:paraId="54445F38" w14:textId="77777777" w:rsidR="00873652" w:rsidRPr="007352E9" w:rsidRDefault="00873652" w:rsidP="00347BB7">
      <w:pPr>
        <w:pStyle w:val="Prrafodelista"/>
        <w:spacing w:after="200" w:line="276" w:lineRule="auto"/>
      </w:pPr>
    </w:p>
    <w:p w14:paraId="62AF532B" w14:textId="6518C7EE" w:rsidR="00347BB7" w:rsidRPr="007352E9" w:rsidRDefault="00347BB7" w:rsidP="00480AC3">
      <w:pPr>
        <w:pStyle w:val="Prrafodelista"/>
        <w:numPr>
          <w:ilvl w:val="0"/>
          <w:numId w:val="13"/>
        </w:numPr>
        <w:spacing w:after="200" w:line="276" w:lineRule="auto"/>
        <w:jc w:val="both"/>
        <w:rPr>
          <w:lang w:val="en-GB"/>
        </w:rPr>
      </w:pPr>
      <w:bookmarkStart w:id="49" w:name="_Ref469652503"/>
      <w:bookmarkStart w:id="50" w:name="_Ref469652097"/>
      <w:r w:rsidRPr="007352E9">
        <w:rPr>
          <w:lang w:val="en-GB"/>
        </w:rPr>
        <w:t>Release of the 59-64 GHz band, A statement on Ofcom’s decisi</w:t>
      </w:r>
      <w:r w:rsidR="00DC405F" w:rsidRPr="007352E9">
        <w:rPr>
          <w:lang w:val="en-GB"/>
        </w:rPr>
        <w:t>o</w:t>
      </w:r>
      <w:r w:rsidRPr="007352E9">
        <w:rPr>
          <w:lang w:val="en-GB"/>
        </w:rPr>
        <w:t>n for a licence exempt approach for Fixed Wireless Systems in the 60 GHz Band</w:t>
      </w:r>
      <w:bookmarkEnd w:id="49"/>
    </w:p>
    <w:p w14:paraId="23207651" w14:textId="38D5F09E" w:rsidR="00347BB7" w:rsidRPr="007352E9" w:rsidRDefault="00347BB7" w:rsidP="00480AC3">
      <w:pPr>
        <w:pStyle w:val="Prrafodelista"/>
        <w:spacing w:after="200" w:line="276" w:lineRule="auto"/>
        <w:jc w:val="both"/>
      </w:pPr>
      <w:r w:rsidRPr="007352E9">
        <w:t>Diciembre 2009, Reino Unido</w:t>
      </w:r>
    </w:p>
    <w:p w14:paraId="060A7F29" w14:textId="77777777" w:rsidR="00E23D29" w:rsidRPr="007352E9" w:rsidRDefault="00E23D29" w:rsidP="00480AC3">
      <w:pPr>
        <w:pStyle w:val="Prrafodelista"/>
        <w:spacing w:after="200" w:line="276" w:lineRule="auto"/>
        <w:jc w:val="both"/>
      </w:pPr>
    </w:p>
    <w:p w14:paraId="5BBCF3CD" w14:textId="74ABC7FC" w:rsidR="00E23D29" w:rsidRPr="007352E9" w:rsidRDefault="00E23D29" w:rsidP="00480AC3">
      <w:pPr>
        <w:pStyle w:val="Prrafodelista"/>
        <w:numPr>
          <w:ilvl w:val="0"/>
          <w:numId w:val="13"/>
        </w:numPr>
        <w:spacing w:after="200" w:line="276" w:lineRule="auto"/>
        <w:jc w:val="both"/>
        <w:rPr>
          <w:lang w:val="en-GB"/>
        </w:rPr>
      </w:pPr>
      <w:bookmarkStart w:id="51" w:name="_Ref469652778"/>
      <w:r w:rsidRPr="007352E9">
        <w:rPr>
          <w:lang w:val="en-GB"/>
        </w:rPr>
        <w:t>Permitted Short Range Devices in Ireland</w:t>
      </w:r>
      <w:bookmarkEnd w:id="51"/>
    </w:p>
    <w:p w14:paraId="1B71B7FB" w14:textId="7D240A66" w:rsidR="00E23D29" w:rsidRPr="007352E9" w:rsidRDefault="00E23D29" w:rsidP="00480AC3">
      <w:pPr>
        <w:pStyle w:val="Prrafodelista"/>
        <w:spacing w:after="200" w:line="276" w:lineRule="auto"/>
        <w:jc w:val="both"/>
      </w:pPr>
      <w:r w:rsidRPr="007352E9">
        <w:t>Mayo 2016, Irlanda</w:t>
      </w:r>
    </w:p>
    <w:p w14:paraId="01DF98CA" w14:textId="77777777" w:rsidR="00347BB7" w:rsidRPr="007352E9" w:rsidRDefault="00347BB7" w:rsidP="00480AC3">
      <w:pPr>
        <w:pStyle w:val="Prrafodelista"/>
        <w:spacing w:after="200" w:line="276" w:lineRule="auto"/>
        <w:jc w:val="both"/>
      </w:pPr>
    </w:p>
    <w:p w14:paraId="4DFD5C11" w14:textId="3FB198BA" w:rsidR="0035578C" w:rsidRPr="007352E9" w:rsidRDefault="0035578C" w:rsidP="00480AC3">
      <w:pPr>
        <w:pStyle w:val="Prrafodelista"/>
        <w:numPr>
          <w:ilvl w:val="0"/>
          <w:numId w:val="13"/>
        </w:numPr>
        <w:spacing w:after="200" w:line="276" w:lineRule="auto"/>
        <w:jc w:val="both"/>
        <w:rPr>
          <w:lang w:val="en-GB"/>
        </w:rPr>
      </w:pPr>
      <w:bookmarkStart w:id="52" w:name="_Ref469653474"/>
      <w:bookmarkStart w:id="53" w:name="_Ref469652289"/>
      <w:r w:rsidRPr="007352E9">
        <w:rPr>
          <w:lang w:val="en-GB"/>
        </w:rPr>
        <w:t>Luxembourg Radio Interface specifications according to Directive 1999/5/EC</w:t>
      </w:r>
      <w:bookmarkEnd w:id="52"/>
    </w:p>
    <w:p w14:paraId="0BC1CEDF" w14:textId="3BD04D2A" w:rsidR="0035578C" w:rsidRPr="007352E9" w:rsidRDefault="0035578C" w:rsidP="00480AC3">
      <w:pPr>
        <w:pStyle w:val="Prrafodelista"/>
        <w:spacing w:after="200" w:line="276" w:lineRule="auto"/>
        <w:jc w:val="both"/>
      </w:pPr>
      <w:r w:rsidRPr="007352E9">
        <w:t>Enero 2016, Luxemburgo</w:t>
      </w:r>
    </w:p>
    <w:p w14:paraId="567E069B" w14:textId="77777777" w:rsidR="0035578C" w:rsidRPr="007352E9" w:rsidRDefault="0035578C" w:rsidP="00480AC3">
      <w:pPr>
        <w:pStyle w:val="Prrafodelista"/>
        <w:spacing w:after="200" w:line="276" w:lineRule="auto"/>
        <w:jc w:val="both"/>
      </w:pPr>
    </w:p>
    <w:p w14:paraId="6B095BD6" w14:textId="6C4BC682" w:rsidR="00433F65" w:rsidRPr="007352E9" w:rsidRDefault="00433F65" w:rsidP="00480AC3">
      <w:pPr>
        <w:pStyle w:val="Prrafodelista"/>
        <w:numPr>
          <w:ilvl w:val="0"/>
          <w:numId w:val="13"/>
        </w:numPr>
        <w:spacing w:after="200" w:line="276" w:lineRule="auto"/>
        <w:jc w:val="both"/>
        <w:rPr>
          <w:lang w:val="en-GB"/>
        </w:rPr>
      </w:pPr>
      <w:bookmarkStart w:id="54" w:name="_Ref469653500"/>
      <w:r w:rsidRPr="007352E9">
        <w:rPr>
          <w:lang w:val="en-GB"/>
        </w:rPr>
        <w:t>Indicative list of equipment sub-c</w:t>
      </w:r>
      <w:r w:rsidR="00642E6E" w:rsidRPr="007352E9">
        <w:rPr>
          <w:lang w:val="en-GB"/>
        </w:rPr>
        <w:t>lasses in accordance with the R&amp;</w:t>
      </w:r>
      <w:r w:rsidRPr="007352E9">
        <w:rPr>
          <w:lang w:val="en-GB"/>
        </w:rPr>
        <w:t>TTE Directive (1999/5/EC)</w:t>
      </w:r>
    </w:p>
    <w:p w14:paraId="611506CB" w14:textId="1A4D6D7F" w:rsidR="00433F65" w:rsidRPr="007352E9" w:rsidRDefault="00433F65" w:rsidP="00480AC3">
      <w:pPr>
        <w:pStyle w:val="Prrafodelista"/>
        <w:spacing w:after="200" w:line="276" w:lineRule="auto"/>
        <w:jc w:val="both"/>
      </w:pPr>
      <w:r w:rsidRPr="007352E9">
        <w:t>Polonia</w:t>
      </w:r>
    </w:p>
    <w:p w14:paraId="215378C9" w14:textId="77777777" w:rsidR="00433F65" w:rsidRPr="007352E9" w:rsidRDefault="00433F65" w:rsidP="00480AC3">
      <w:pPr>
        <w:pStyle w:val="Prrafodelista"/>
        <w:spacing w:after="200" w:line="276" w:lineRule="auto"/>
        <w:jc w:val="both"/>
      </w:pPr>
    </w:p>
    <w:p w14:paraId="3BCD2972" w14:textId="15F92789" w:rsidR="0071730B" w:rsidRPr="007352E9" w:rsidRDefault="00642E6E" w:rsidP="00480AC3">
      <w:pPr>
        <w:pStyle w:val="Prrafodelista"/>
        <w:numPr>
          <w:ilvl w:val="0"/>
          <w:numId w:val="13"/>
        </w:numPr>
        <w:spacing w:after="200" w:line="276" w:lineRule="auto"/>
        <w:jc w:val="both"/>
        <w:rPr>
          <w:lang w:val="en-GB"/>
        </w:rPr>
      </w:pPr>
      <w:bookmarkStart w:id="55" w:name="_Ref469935757"/>
      <w:bookmarkStart w:id="56" w:name="_Ref469655042"/>
      <w:bookmarkStart w:id="57" w:name="_Ref469654436"/>
      <w:r w:rsidRPr="007352E9">
        <w:rPr>
          <w:lang w:val="en-GB"/>
        </w:rPr>
        <w:t xml:space="preserve">Revision </w:t>
      </w:r>
      <w:r w:rsidR="0071730B" w:rsidRPr="007352E9">
        <w:rPr>
          <w:lang w:val="en-GB"/>
        </w:rPr>
        <w:t>of Part 15 of the Commission’s Rules Regarding Operation in the 57-64 GHz Band</w:t>
      </w:r>
      <w:r w:rsidR="00D127E6" w:rsidRPr="007352E9">
        <w:rPr>
          <w:lang w:val="en-GB"/>
        </w:rPr>
        <w:t xml:space="preserve"> (FCC-13-112A1)</w:t>
      </w:r>
      <w:bookmarkEnd w:id="55"/>
    </w:p>
    <w:p w14:paraId="540CC2FF" w14:textId="4BD65C87" w:rsidR="00600953" w:rsidRPr="007352E9" w:rsidRDefault="0071730B" w:rsidP="00480AC3">
      <w:pPr>
        <w:pStyle w:val="Prrafodelista"/>
        <w:spacing w:after="200" w:line="276" w:lineRule="auto"/>
        <w:jc w:val="both"/>
      </w:pPr>
      <w:r w:rsidRPr="007352E9">
        <w:t xml:space="preserve">Agosto 2013, </w:t>
      </w:r>
      <w:r w:rsidR="00600953" w:rsidRPr="007352E9">
        <w:t>Estados Unidos</w:t>
      </w:r>
      <w:bookmarkEnd w:id="56"/>
      <w:r w:rsidR="00BB3241" w:rsidRPr="007352E9">
        <w:t xml:space="preserve"> </w:t>
      </w:r>
    </w:p>
    <w:p w14:paraId="0916345F" w14:textId="77777777" w:rsidR="0071730B" w:rsidRPr="007352E9" w:rsidRDefault="0071730B" w:rsidP="0057471B">
      <w:pPr>
        <w:pStyle w:val="Prrafodelista"/>
        <w:spacing w:after="200" w:line="276" w:lineRule="auto"/>
      </w:pPr>
    </w:p>
    <w:p w14:paraId="126E765C" w14:textId="0AA86F75" w:rsidR="00D127E6" w:rsidRPr="007352E9" w:rsidRDefault="00D127E6" w:rsidP="00480AC3">
      <w:pPr>
        <w:pStyle w:val="Prrafodelista"/>
        <w:numPr>
          <w:ilvl w:val="0"/>
          <w:numId w:val="13"/>
        </w:numPr>
        <w:spacing w:after="200" w:line="276" w:lineRule="auto"/>
        <w:jc w:val="both"/>
        <w:rPr>
          <w:lang w:val="en-GB"/>
        </w:rPr>
      </w:pPr>
      <w:r w:rsidRPr="007352E9">
        <w:rPr>
          <w:lang w:val="en-GB"/>
        </w:rPr>
        <w:t>Use of Spectrum Bands Above 24 GHz For Mobile Radio Services (FCC-14-154A1)</w:t>
      </w:r>
    </w:p>
    <w:p w14:paraId="0533F8D4" w14:textId="459CCE21" w:rsidR="002E19AF" w:rsidRPr="007352E9" w:rsidRDefault="00D127E6" w:rsidP="00480AC3">
      <w:pPr>
        <w:pStyle w:val="Prrafodelista"/>
        <w:spacing w:after="200" w:line="276" w:lineRule="auto"/>
        <w:jc w:val="both"/>
      </w:pPr>
      <w:r w:rsidRPr="007352E9">
        <w:t>Octubre 2014, Estados Unidos</w:t>
      </w:r>
    </w:p>
    <w:p w14:paraId="08A19A5D" w14:textId="77777777" w:rsidR="00600953" w:rsidRPr="007352E9" w:rsidRDefault="00600953" w:rsidP="00480AC3">
      <w:pPr>
        <w:pStyle w:val="Prrafodelista"/>
        <w:spacing w:after="200" w:line="276" w:lineRule="auto"/>
        <w:jc w:val="both"/>
      </w:pPr>
    </w:p>
    <w:p w14:paraId="1A66056F" w14:textId="2D56A7C7" w:rsidR="00A843C2" w:rsidRPr="007352E9" w:rsidRDefault="009A3E3B" w:rsidP="00480AC3">
      <w:pPr>
        <w:pStyle w:val="Prrafodelista"/>
        <w:numPr>
          <w:ilvl w:val="0"/>
          <w:numId w:val="13"/>
        </w:numPr>
        <w:spacing w:after="200" w:line="276" w:lineRule="auto"/>
        <w:jc w:val="both"/>
        <w:rPr>
          <w:lang w:val="en-GB"/>
        </w:rPr>
      </w:pPr>
      <w:bookmarkStart w:id="58" w:name="_Ref469654999"/>
      <w:bookmarkEnd w:id="42"/>
      <w:r w:rsidRPr="007352E9">
        <w:rPr>
          <w:lang w:val="en-GB"/>
        </w:rPr>
        <w:t>Use of the 57-64 GHz Frequency band for Point to Point fixed Wireless systems</w:t>
      </w:r>
      <w:bookmarkEnd w:id="48"/>
      <w:bookmarkEnd w:id="50"/>
      <w:bookmarkEnd w:id="53"/>
      <w:bookmarkEnd w:id="54"/>
      <w:bookmarkEnd w:id="57"/>
      <w:bookmarkEnd w:id="58"/>
    </w:p>
    <w:p w14:paraId="56EB3290" w14:textId="77777777" w:rsidR="00A843C2" w:rsidRPr="007352E9" w:rsidRDefault="00A843C2" w:rsidP="00480AC3">
      <w:pPr>
        <w:pStyle w:val="Prrafodelista"/>
        <w:jc w:val="both"/>
        <w:rPr>
          <w:lang w:val="en-GB"/>
        </w:rPr>
      </w:pPr>
      <w:r w:rsidRPr="007352E9">
        <w:rPr>
          <w:lang w:val="en-GB"/>
        </w:rPr>
        <w:t>Electronic Communicationes Commitee (ECC) within the European Conference of Postal and Telecommunications Administrations (CEPT)</w:t>
      </w:r>
    </w:p>
    <w:p w14:paraId="289B7C28" w14:textId="77777777" w:rsidR="00660306" w:rsidRPr="007352E9" w:rsidRDefault="00576A26" w:rsidP="00480AC3">
      <w:pPr>
        <w:pStyle w:val="Prrafodelista"/>
        <w:jc w:val="both"/>
      </w:pPr>
      <w:r w:rsidRPr="007352E9">
        <w:t>Recomendación ECC/REC/(09)01</w:t>
      </w:r>
    </w:p>
    <w:p w14:paraId="17FFA3D8" w14:textId="6FF6E052" w:rsidR="00A843C2" w:rsidRPr="007352E9" w:rsidRDefault="00A843C2" w:rsidP="00480AC3">
      <w:pPr>
        <w:pStyle w:val="Prrafodelista"/>
        <w:jc w:val="both"/>
      </w:pPr>
      <w:r w:rsidRPr="007352E9">
        <w:t>Enero 2009</w:t>
      </w:r>
    </w:p>
    <w:p w14:paraId="453D4DAA" w14:textId="77777777" w:rsidR="00A843C2" w:rsidRPr="007352E9" w:rsidRDefault="00A843C2" w:rsidP="00480AC3">
      <w:pPr>
        <w:pStyle w:val="Prrafodelista"/>
        <w:jc w:val="both"/>
      </w:pPr>
    </w:p>
    <w:p w14:paraId="5BD95570" w14:textId="77777777" w:rsidR="00A843C2" w:rsidRPr="007352E9" w:rsidRDefault="00A843C2" w:rsidP="00480AC3">
      <w:pPr>
        <w:pStyle w:val="Prrafodelista"/>
        <w:numPr>
          <w:ilvl w:val="0"/>
          <w:numId w:val="13"/>
        </w:numPr>
        <w:spacing w:after="200" w:line="276" w:lineRule="auto"/>
        <w:jc w:val="both"/>
        <w:rPr>
          <w:lang w:val="en-GB"/>
        </w:rPr>
      </w:pPr>
      <w:bookmarkStart w:id="59" w:name="_Ref469586579"/>
      <w:r w:rsidRPr="007352E9">
        <w:rPr>
          <w:lang w:val="en-GB"/>
        </w:rPr>
        <w:t>Broadband Radio Access Networks (BRAN); 60 GHz Multiple-Gigabit WAS/RLAN Systems; Harmonized EN covering the essential requirements of article 3.2 of the R&amp;TTE Directive</w:t>
      </w:r>
      <w:bookmarkEnd w:id="59"/>
    </w:p>
    <w:p w14:paraId="3BAF8BFE" w14:textId="77777777" w:rsidR="00A843C2" w:rsidRPr="007352E9" w:rsidRDefault="00A843C2" w:rsidP="00480AC3">
      <w:pPr>
        <w:pStyle w:val="Prrafodelista"/>
        <w:jc w:val="both"/>
      </w:pPr>
      <w:r w:rsidRPr="007352E9">
        <w:t>ETSI EN 302 567 V1.2.1 (2012-01)</w:t>
      </w:r>
    </w:p>
    <w:p w14:paraId="6D08A92A" w14:textId="004EA85F" w:rsidR="00660306" w:rsidRPr="007352E9" w:rsidRDefault="00660306" w:rsidP="00480AC3">
      <w:pPr>
        <w:pStyle w:val="Prrafodelista"/>
        <w:jc w:val="both"/>
      </w:pPr>
      <w:r w:rsidRPr="007352E9">
        <w:t>Enero 2012</w:t>
      </w:r>
    </w:p>
    <w:p w14:paraId="1FF02E8D" w14:textId="77777777" w:rsidR="002A066C" w:rsidRPr="007352E9" w:rsidRDefault="002A066C" w:rsidP="00480AC3">
      <w:pPr>
        <w:pStyle w:val="Prrafodelista"/>
        <w:jc w:val="both"/>
      </w:pPr>
    </w:p>
    <w:p w14:paraId="01D3449B" w14:textId="32EF5211" w:rsidR="003A2CB5" w:rsidRPr="007352E9" w:rsidRDefault="003A2CB5" w:rsidP="00480AC3">
      <w:pPr>
        <w:pStyle w:val="Prrafodelista"/>
        <w:numPr>
          <w:ilvl w:val="0"/>
          <w:numId w:val="13"/>
        </w:numPr>
        <w:jc w:val="both"/>
        <w:rPr>
          <w:lang w:val="en-GB"/>
        </w:rPr>
      </w:pPr>
      <w:bookmarkStart w:id="60" w:name="_Ref469587370"/>
      <w:r w:rsidRPr="007352E9">
        <w:rPr>
          <w:lang w:val="en-GB"/>
        </w:rPr>
        <w:t xml:space="preserve">Fixed Radio Systems; Characteristics and requirements for point-to-point equipment and  antennas; Part 3: Equipment operating in frequency bands where both frequency  </w:t>
      </w:r>
      <w:r w:rsidRPr="007352E9">
        <w:rPr>
          <w:lang w:val="en-GB"/>
        </w:rPr>
        <w:lastRenderedPageBreak/>
        <w:t>coordinated or uncoordinated deployment might be applied; Harmonized EN covering the essential requirements of article 3.2 of the R&amp;TTE Directive</w:t>
      </w:r>
    </w:p>
    <w:p w14:paraId="222C2634" w14:textId="42ED0456" w:rsidR="003A2CB5" w:rsidRPr="007352E9" w:rsidRDefault="003A2CB5" w:rsidP="00480AC3">
      <w:pPr>
        <w:pStyle w:val="Prrafodelista"/>
        <w:jc w:val="both"/>
      </w:pPr>
      <w:r w:rsidRPr="007352E9">
        <w:t>ETSI EN 302 217-3 v2.2.1</w:t>
      </w:r>
    </w:p>
    <w:p w14:paraId="12C24C12" w14:textId="19CC411E" w:rsidR="003A2CB5" w:rsidRPr="007352E9" w:rsidRDefault="003A2CB5" w:rsidP="00480AC3">
      <w:pPr>
        <w:pStyle w:val="Prrafodelista"/>
        <w:jc w:val="both"/>
      </w:pPr>
      <w:r w:rsidRPr="007352E9">
        <w:t>Abril 2014</w:t>
      </w:r>
    </w:p>
    <w:p w14:paraId="4BEAE8A0" w14:textId="77777777" w:rsidR="003A2CB5" w:rsidRPr="007352E9" w:rsidRDefault="003A2CB5" w:rsidP="00480AC3">
      <w:pPr>
        <w:pStyle w:val="Prrafodelista"/>
        <w:jc w:val="both"/>
      </w:pPr>
    </w:p>
    <w:p w14:paraId="348F2588" w14:textId="77777777" w:rsidR="00605F6A" w:rsidRPr="007352E9" w:rsidRDefault="002A066C" w:rsidP="00480AC3">
      <w:pPr>
        <w:pStyle w:val="Prrafodelista"/>
        <w:numPr>
          <w:ilvl w:val="0"/>
          <w:numId w:val="13"/>
        </w:numPr>
        <w:jc w:val="both"/>
      </w:pPr>
      <w:r w:rsidRPr="007352E9">
        <w:t>Uso armonizado de sistemas inteligentes de transportes en la banda de 63-64 GHz Decisión ECC(09)01</w:t>
      </w:r>
    </w:p>
    <w:p w14:paraId="5C36A140" w14:textId="605F680B" w:rsidR="002A066C" w:rsidRPr="007352E9" w:rsidRDefault="00605F6A" w:rsidP="00480AC3">
      <w:pPr>
        <w:pStyle w:val="Prrafodelista"/>
        <w:jc w:val="both"/>
      </w:pPr>
      <w:r w:rsidRPr="007352E9">
        <w:t>M</w:t>
      </w:r>
      <w:r w:rsidR="002A066C" w:rsidRPr="007352E9">
        <w:t>arzo 2016</w:t>
      </w:r>
      <w:bookmarkEnd w:id="60"/>
    </w:p>
    <w:p w14:paraId="0AF7BC8D" w14:textId="77777777" w:rsidR="00AF24B4" w:rsidRPr="007352E9" w:rsidRDefault="00AF24B4" w:rsidP="00480AC3">
      <w:pPr>
        <w:pStyle w:val="Prrafodelista"/>
        <w:jc w:val="both"/>
      </w:pPr>
    </w:p>
    <w:p w14:paraId="6E308ECA" w14:textId="281480F3" w:rsidR="00B41BCD" w:rsidRPr="007352E9" w:rsidRDefault="00B41BCD" w:rsidP="00480AC3">
      <w:pPr>
        <w:pStyle w:val="Prrafodelista"/>
        <w:numPr>
          <w:ilvl w:val="0"/>
          <w:numId w:val="13"/>
        </w:numPr>
        <w:jc w:val="both"/>
      </w:pPr>
      <w:bookmarkStart w:id="61" w:name="_Ref472526464"/>
      <w:bookmarkStart w:id="62" w:name="_Ref469586565"/>
      <w:r w:rsidRPr="007352E9">
        <w:t xml:space="preserve">Rules and Regulations Title </w:t>
      </w:r>
      <w:r w:rsidR="00AF24B4" w:rsidRPr="007352E9">
        <w:t>47</w:t>
      </w:r>
      <w:r w:rsidRPr="007352E9">
        <w:t xml:space="preserve"> – Telecommunication</w:t>
      </w:r>
      <w:bookmarkEnd w:id="61"/>
    </w:p>
    <w:p w14:paraId="037AEE33" w14:textId="77777777" w:rsidR="00925F6F" w:rsidRPr="007352E9" w:rsidRDefault="00925F6F" w:rsidP="00925F6F">
      <w:pPr>
        <w:pStyle w:val="Prrafodelista"/>
        <w:jc w:val="both"/>
      </w:pPr>
      <w:r w:rsidRPr="007352E9">
        <w:t>Chapter 1 - FEDERAL COMMUNICATIONS COMMISSION</w:t>
      </w:r>
    </w:p>
    <w:p w14:paraId="1E10BEF2" w14:textId="77777777" w:rsidR="00925F6F" w:rsidRPr="007352E9" w:rsidRDefault="00925F6F" w:rsidP="00925F6F">
      <w:pPr>
        <w:pStyle w:val="Prrafodelista"/>
        <w:jc w:val="both"/>
      </w:pPr>
      <w:r w:rsidRPr="007352E9">
        <w:t>Subchapter A – General</w:t>
      </w:r>
    </w:p>
    <w:p w14:paraId="037A0809" w14:textId="77777777" w:rsidR="00925F6F" w:rsidRPr="007352E9" w:rsidRDefault="00925F6F" w:rsidP="00925F6F">
      <w:pPr>
        <w:pStyle w:val="Prrafodelista"/>
        <w:jc w:val="both"/>
      </w:pPr>
      <w:r w:rsidRPr="007352E9">
        <w:t>Part 15 – RADIO FREQUENCY DEVICES</w:t>
      </w:r>
    </w:p>
    <w:p w14:paraId="7B92E4A2" w14:textId="77777777" w:rsidR="00925F6F" w:rsidRPr="007352E9" w:rsidRDefault="00925F6F" w:rsidP="00925F6F">
      <w:pPr>
        <w:pStyle w:val="Prrafodelista"/>
        <w:jc w:val="both"/>
      </w:pPr>
      <w:r w:rsidRPr="007352E9">
        <w:t>15.255 – Operation within the band 57-71 GHz</w:t>
      </w:r>
    </w:p>
    <w:p w14:paraId="02F718A2" w14:textId="77777777" w:rsidR="00925F6F" w:rsidRPr="007352E9" w:rsidRDefault="00925F6F" w:rsidP="00925F6F">
      <w:pPr>
        <w:pStyle w:val="Prrafodelista"/>
        <w:jc w:val="both"/>
      </w:pPr>
    </w:p>
    <w:p w14:paraId="2D0F0091" w14:textId="4C4985B2" w:rsidR="001D2B6C" w:rsidRPr="007352E9" w:rsidRDefault="001D2B6C" w:rsidP="00492849">
      <w:pPr>
        <w:pStyle w:val="Prrafodelista"/>
        <w:numPr>
          <w:ilvl w:val="0"/>
          <w:numId w:val="13"/>
        </w:numPr>
        <w:jc w:val="both"/>
      </w:pPr>
      <w:r w:rsidRPr="007352E9">
        <w:t>Radares de ondas milimétricas para evitar colisiones entre vehículos y sistemas de radiocomunicaciones para aplicaciones de sistemas de transporte inteligentes</w:t>
      </w:r>
    </w:p>
    <w:p w14:paraId="29B068F5" w14:textId="77777777" w:rsidR="00492849" w:rsidRPr="007352E9" w:rsidRDefault="00492849" w:rsidP="00492849">
      <w:pPr>
        <w:pStyle w:val="Prrafodelista"/>
        <w:jc w:val="both"/>
      </w:pPr>
      <w:bookmarkStart w:id="63" w:name="_Ref472494444"/>
      <w:r w:rsidRPr="007352E9">
        <w:t>Recomendación UIT-R M.1452-2</w:t>
      </w:r>
      <w:bookmarkEnd w:id="63"/>
    </w:p>
    <w:p w14:paraId="635D3BBD" w14:textId="066E6F08" w:rsidR="00492849" w:rsidRPr="007352E9" w:rsidRDefault="00492849" w:rsidP="00492849">
      <w:pPr>
        <w:pStyle w:val="Prrafodelista"/>
        <w:jc w:val="both"/>
      </w:pPr>
      <w:r w:rsidRPr="007352E9">
        <w:t>Unión Internacional de Telecomunicaciones</w:t>
      </w:r>
    </w:p>
    <w:p w14:paraId="62352DD2" w14:textId="7639FB82" w:rsidR="00925F6F" w:rsidRDefault="001D2B6C" w:rsidP="008655F7">
      <w:pPr>
        <w:pStyle w:val="Prrafodelista"/>
        <w:jc w:val="both"/>
      </w:pPr>
      <w:r w:rsidRPr="007352E9">
        <w:t>Mayo, 2012</w:t>
      </w:r>
      <w:bookmarkEnd w:id="62"/>
    </w:p>
    <w:sectPr w:rsidR="00925F6F" w:rsidSect="00D365D7">
      <w:footerReference w:type="even" r:id="rId37"/>
      <w:footerReference w:type="default" r:id="rId38"/>
      <w:headerReference w:type="first" r:id="rId39"/>
      <w:footerReference w:type="first" r:id="rId40"/>
      <w:type w:val="continuous"/>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A1512" w14:textId="77777777" w:rsidR="00934D23" w:rsidRDefault="00934D23">
      <w:pPr>
        <w:spacing w:after="0" w:line="240" w:lineRule="auto"/>
      </w:pPr>
      <w:r>
        <w:separator/>
      </w:r>
    </w:p>
  </w:endnote>
  <w:endnote w:type="continuationSeparator" w:id="0">
    <w:p w14:paraId="3C40F63D" w14:textId="77777777" w:rsidR="00934D23" w:rsidRDefault="0093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41" w:csb1="00000000"/>
  </w:font>
  <w:font w:name="5.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10D8" w14:textId="77777777" w:rsidR="00B43B80" w:rsidRDefault="00B43B80" w:rsidP="00E667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8A1798" w14:textId="77777777" w:rsidR="00B43B80" w:rsidRDefault="00B43B80" w:rsidP="00E6678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A777" w14:textId="77777777" w:rsidR="00B43B80" w:rsidRDefault="00B43B80" w:rsidP="00E66783">
    <w:pPr>
      <w:pStyle w:val="Piedepgina"/>
      <w:framePr w:w="2178" w:wrap="around" w:vAnchor="text" w:hAnchor="page" w:x="13419" w:y="26"/>
      <w:ind w:right="12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34792">
      <w:rPr>
        <w:rStyle w:val="Nmerodepgina"/>
        <w:noProof/>
      </w:rPr>
      <w:t>19</w:t>
    </w:r>
    <w:r>
      <w:rPr>
        <w:rStyle w:val="Nmerodepgina"/>
      </w:rPr>
      <w:fldChar w:fldCharType="end"/>
    </w:r>
  </w:p>
  <w:p w14:paraId="31907067" w14:textId="77777777" w:rsidR="00B43B80" w:rsidRDefault="00B43B80" w:rsidP="00E6678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A415" w14:textId="1AE0069D" w:rsidR="00B43B80" w:rsidRDefault="00B43B80">
    <w:pPr>
      <w:pStyle w:val="Piedepgina"/>
    </w:pPr>
    <w:r>
      <w:rPr>
        <w:rFonts w:cstheme="minorHAnsi"/>
        <w:noProof/>
        <w:sz w:val="16"/>
        <w:szCs w:val="16"/>
        <w:lang w:eastAsia="es-MX"/>
      </w:rPr>
      <w:drawing>
        <wp:anchor distT="0" distB="0" distL="114300" distR="114300" simplePos="0" relativeHeight="251659264" behindDoc="1" locked="0" layoutInCell="1" allowOverlap="1" wp14:anchorId="5EF72C67" wp14:editId="6C4C1175">
          <wp:simplePos x="0" y="0"/>
          <wp:positionH relativeFrom="page">
            <wp:align>left</wp:align>
          </wp:positionH>
          <wp:positionV relativeFrom="paragraph">
            <wp:posOffset>-2410460</wp:posOffset>
          </wp:positionV>
          <wp:extent cx="2485390" cy="3188970"/>
          <wp:effectExtent l="0" t="0" r="0" b="0"/>
          <wp:wrapNone/>
          <wp:docPr id="17" name="Picture 15" descr="Membrete del logotipo del Instituto Federal de Telecomunicaciones" title="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luisbourbaki:Desktop:atr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390" cy="3188970"/>
                  </a:xfrm>
                  <a:prstGeom prst="rect">
                    <a:avLst/>
                  </a:prstGeom>
                  <a:noFill/>
                  <a:ln>
                    <a:noFill/>
                  </a:ln>
                </pic:spPr>
              </pic:pic>
            </a:graphicData>
          </a:graphic>
        </wp:anchor>
      </w:drawing>
    </w:r>
  </w:p>
  <w:p w14:paraId="01C389EB" w14:textId="77777777" w:rsidR="00B43B80" w:rsidRDefault="00B43B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C38A3" w14:textId="77777777" w:rsidR="00934D23" w:rsidRDefault="00934D23">
      <w:pPr>
        <w:spacing w:after="0" w:line="240" w:lineRule="auto"/>
      </w:pPr>
      <w:r>
        <w:separator/>
      </w:r>
    </w:p>
  </w:footnote>
  <w:footnote w:type="continuationSeparator" w:id="0">
    <w:p w14:paraId="16529E73" w14:textId="77777777" w:rsidR="00934D23" w:rsidRDefault="00934D23">
      <w:pPr>
        <w:spacing w:after="0" w:line="240" w:lineRule="auto"/>
      </w:pPr>
      <w:r>
        <w:continuationSeparator/>
      </w:r>
    </w:p>
  </w:footnote>
  <w:footnote w:id="1">
    <w:p w14:paraId="117670E0" w14:textId="2529221E" w:rsidR="00B43B80" w:rsidRPr="00494590" w:rsidRDefault="00B43B80">
      <w:pPr>
        <w:pStyle w:val="Textonotapie"/>
        <w:rPr>
          <w:lang w:val="es-MX"/>
        </w:rPr>
      </w:pPr>
      <w:r>
        <w:rPr>
          <w:rStyle w:val="Refdenotaalpie"/>
        </w:rPr>
        <w:footnoteRef/>
      </w:r>
      <w:r>
        <w:t xml:space="preserve"> </w:t>
      </w:r>
      <w:r w:rsidRPr="00494590">
        <w:rPr>
          <w:rFonts w:asciiTheme="minorHAnsi" w:hAnsiTheme="minorHAnsi"/>
          <w:sz w:val="20"/>
        </w:rPr>
        <w:t>Referencia:</w:t>
      </w:r>
      <w:r>
        <w:t xml:space="preserve"> </w:t>
      </w:r>
      <w:hyperlink r:id="rId1" w:history="1">
        <w:r w:rsidRPr="00F609EB">
          <w:rPr>
            <w:rStyle w:val="Hipervnculo"/>
            <w:rFonts w:asciiTheme="minorHAnsi" w:hAnsiTheme="minorHAnsi"/>
            <w:sz w:val="20"/>
          </w:rPr>
          <w:t>http://www.ictregulationtoolkit.org/toolkit/5</w:t>
        </w:r>
      </w:hyperlink>
    </w:p>
  </w:footnote>
  <w:footnote w:id="2">
    <w:p w14:paraId="52C9CA90" w14:textId="1588994E" w:rsidR="00B43B80" w:rsidRPr="00221DC5" w:rsidRDefault="00B43B80" w:rsidP="008655F7">
      <w:pPr>
        <w:pStyle w:val="Textonotapie"/>
        <w:spacing w:before="0"/>
        <w:rPr>
          <w:rFonts w:asciiTheme="minorHAnsi" w:hAnsiTheme="minorHAnsi"/>
          <w:sz w:val="18"/>
          <w:szCs w:val="18"/>
          <w:lang w:val="es-MX"/>
        </w:rPr>
      </w:pPr>
      <w:r w:rsidRPr="00221DC5">
        <w:rPr>
          <w:rStyle w:val="Refdenotaalpie"/>
          <w:rFonts w:asciiTheme="minorHAnsi" w:hAnsiTheme="minorHAnsi"/>
          <w:szCs w:val="18"/>
        </w:rPr>
        <w:footnoteRef/>
      </w:r>
      <w:r w:rsidRPr="00221DC5">
        <w:rPr>
          <w:rFonts w:asciiTheme="minorHAnsi" w:hAnsiTheme="minorHAnsi"/>
          <w:sz w:val="18"/>
          <w:szCs w:val="18"/>
          <w:lang w:val="es-MX"/>
        </w:rPr>
        <w:t xml:space="preserve"> La Recomendación mencionada es obsoleta, actualmente se encuentra vigente su actualización UIT-R SM.2153-5 publicada en el año 2015 y consultable en el enlace: </w:t>
      </w:r>
      <w:hyperlink r:id="rId2" w:history="1">
        <w:r w:rsidRPr="00221DC5">
          <w:rPr>
            <w:rStyle w:val="Hipervnculo"/>
            <w:rFonts w:asciiTheme="minorHAnsi" w:hAnsiTheme="minorHAnsi"/>
            <w:sz w:val="18"/>
            <w:szCs w:val="18"/>
            <w:lang w:val="es-MX"/>
          </w:rPr>
          <w:t>http://www.itu.int/pub/R-REP-SM.2153/es</w:t>
        </w:r>
      </w:hyperlink>
    </w:p>
  </w:footnote>
  <w:footnote w:id="3">
    <w:p w14:paraId="1403AEFE" w14:textId="1E5CB6A7" w:rsidR="00B43B80" w:rsidRPr="00221DC5" w:rsidRDefault="00B43B80" w:rsidP="008655F7">
      <w:pPr>
        <w:pStyle w:val="Textonotapie"/>
        <w:spacing w:before="0"/>
        <w:rPr>
          <w:rFonts w:asciiTheme="minorHAnsi" w:hAnsiTheme="minorHAnsi"/>
          <w:sz w:val="18"/>
          <w:szCs w:val="18"/>
          <w:lang w:val="es-MX"/>
        </w:rPr>
      </w:pPr>
      <w:r w:rsidRPr="00221DC5">
        <w:rPr>
          <w:rStyle w:val="Refdenotaalpie"/>
          <w:rFonts w:asciiTheme="minorHAnsi" w:hAnsiTheme="minorHAnsi"/>
          <w:szCs w:val="18"/>
        </w:rPr>
        <w:footnoteRef/>
      </w:r>
      <w:r w:rsidRPr="00221DC5">
        <w:rPr>
          <w:rFonts w:asciiTheme="minorHAnsi" w:hAnsiTheme="minorHAnsi"/>
          <w:sz w:val="18"/>
          <w:szCs w:val="18"/>
          <w:lang w:val="es-MX"/>
        </w:rPr>
        <w:t xml:space="preserve"> </w:t>
      </w:r>
      <w:r>
        <w:rPr>
          <w:rFonts w:asciiTheme="minorHAnsi" w:hAnsiTheme="minorHAnsi"/>
          <w:sz w:val="18"/>
          <w:szCs w:val="18"/>
          <w:lang w:val="es-MX"/>
        </w:rPr>
        <w:t xml:space="preserve">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CB812" w14:textId="1C30E200" w:rsidR="00B43B80" w:rsidRPr="00262668" w:rsidRDefault="00B43B80" w:rsidP="00D365D7">
    <w:pPr>
      <w:pStyle w:val="Encabezado"/>
      <w:jc w:val="right"/>
      <w:rPr>
        <w:sz w:val="2"/>
      </w:rPr>
    </w:pPr>
    <w:r w:rsidRPr="0017008C">
      <w:rPr>
        <w:rFonts w:cstheme="minorHAnsi"/>
        <w:b/>
        <w:noProof/>
        <w:lang w:eastAsia="es-MX"/>
      </w:rPr>
      <w:drawing>
        <wp:inline distT="0" distB="0" distL="0" distR="0" wp14:anchorId="1A5ADC51" wp14:editId="63E41202">
          <wp:extent cx="1428351" cy="1066800"/>
          <wp:effectExtent l="0" t="0" r="635" b="0"/>
          <wp:docPr id="16" name="Picture 6" descr="Logotipo del Instituto Federal de Telecomunicaciones"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uisbourbaki:Desktop:MANUAL-IF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946" t="6669" r="4865" b="11293"/>
                  <a:stretch/>
                </pic:blipFill>
                <pic:spPr bwMode="auto">
                  <a:xfrm>
                    <a:off x="0" y="0"/>
                    <a:ext cx="1438230" cy="1074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814"/>
    <w:multiLevelType w:val="hybridMultilevel"/>
    <w:tmpl w:val="D74C392C"/>
    <w:lvl w:ilvl="0" w:tplc="FB5C9C62">
      <w:start w:val="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B972A6"/>
    <w:multiLevelType w:val="hybridMultilevel"/>
    <w:tmpl w:val="E1260434"/>
    <w:lvl w:ilvl="0" w:tplc="0BC872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27409"/>
    <w:multiLevelType w:val="hybridMultilevel"/>
    <w:tmpl w:val="7CF07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274C9"/>
    <w:multiLevelType w:val="hybridMultilevel"/>
    <w:tmpl w:val="791CB65C"/>
    <w:lvl w:ilvl="0" w:tplc="2CD66C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0A07DF"/>
    <w:multiLevelType w:val="hybridMultilevel"/>
    <w:tmpl w:val="4B101D8E"/>
    <w:lvl w:ilvl="0" w:tplc="080A0011">
      <w:start w:val="1"/>
      <w:numFmt w:val="decimal"/>
      <w:lvlText w:val="%1)"/>
      <w:lvlJc w:val="left"/>
      <w:pPr>
        <w:ind w:left="5634" w:hanging="360"/>
      </w:pPr>
      <w:rPr>
        <w:rFonts w:hint="default"/>
      </w:rPr>
    </w:lvl>
    <w:lvl w:ilvl="1" w:tplc="080A0019" w:tentative="1">
      <w:start w:val="1"/>
      <w:numFmt w:val="lowerLetter"/>
      <w:lvlText w:val="%2."/>
      <w:lvlJc w:val="left"/>
      <w:pPr>
        <w:ind w:left="6354" w:hanging="360"/>
      </w:pPr>
    </w:lvl>
    <w:lvl w:ilvl="2" w:tplc="080A001B" w:tentative="1">
      <w:start w:val="1"/>
      <w:numFmt w:val="lowerRoman"/>
      <w:lvlText w:val="%3."/>
      <w:lvlJc w:val="right"/>
      <w:pPr>
        <w:ind w:left="7074" w:hanging="180"/>
      </w:pPr>
    </w:lvl>
    <w:lvl w:ilvl="3" w:tplc="080A000F" w:tentative="1">
      <w:start w:val="1"/>
      <w:numFmt w:val="decimal"/>
      <w:lvlText w:val="%4."/>
      <w:lvlJc w:val="left"/>
      <w:pPr>
        <w:ind w:left="7794" w:hanging="360"/>
      </w:pPr>
    </w:lvl>
    <w:lvl w:ilvl="4" w:tplc="080A0019" w:tentative="1">
      <w:start w:val="1"/>
      <w:numFmt w:val="lowerLetter"/>
      <w:lvlText w:val="%5."/>
      <w:lvlJc w:val="left"/>
      <w:pPr>
        <w:ind w:left="8514" w:hanging="360"/>
      </w:pPr>
    </w:lvl>
    <w:lvl w:ilvl="5" w:tplc="080A001B" w:tentative="1">
      <w:start w:val="1"/>
      <w:numFmt w:val="lowerRoman"/>
      <w:lvlText w:val="%6."/>
      <w:lvlJc w:val="right"/>
      <w:pPr>
        <w:ind w:left="9234" w:hanging="180"/>
      </w:pPr>
    </w:lvl>
    <w:lvl w:ilvl="6" w:tplc="080A000F" w:tentative="1">
      <w:start w:val="1"/>
      <w:numFmt w:val="decimal"/>
      <w:lvlText w:val="%7."/>
      <w:lvlJc w:val="left"/>
      <w:pPr>
        <w:ind w:left="9954" w:hanging="360"/>
      </w:pPr>
    </w:lvl>
    <w:lvl w:ilvl="7" w:tplc="080A0019" w:tentative="1">
      <w:start w:val="1"/>
      <w:numFmt w:val="lowerLetter"/>
      <w:lvlText w:val="%8."/>
      <w:lvlJc w:val="left"/>
      <w:pPr>
        <w:ind w:left="10674" w:hanging="360"/>
      </w:pPr>
    </w:lvl>
    <w:lvl w:ilvl="8" w:tplc="080A001B" w:tentative="1">
      <w:start w:val="1"/>
      <w:numFmt w:val="lowerRoman"/>
      <w:lvlText w:val="%9."/>
      <w:lvlJc w:val="right"/>
      <w:pPr>
        <w:ind w:left="11394" w:hanging="180"/>
      </w:pPr>
    </w:lvl>
  </w:abstractNum>
  <w:abstractNum w:abstractNumId="5"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434F81"/>
    <w:multiLevelType w:val="hybridMultilevel"/>
    <w:tmpl w:val="CB006572"/>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1E22CF"/>
    <w:multiLevelType w:val="hybridMultilevel"/>
    <w:tmpl w:val="5A140B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DF00336"/>
    <w:multiLevelType w:val="multilevel"/>
    <w:tmpl w:val="A0068A76"/>
    <w:lvl w:ilvl="0">
      <w:start w:val="12"/>
      <w:numFmt w:val="decimal"/>
      <w:lvlText w:val="%1"/>
      <w:lvlJc w:val="left"/>
      <w:pPr>
        <w:ind w:left="480" w:hanging="480"/>
      </w:pPr>
      <w:rPr>
        <w:rFonts w:ascii="ArialMT" w:hAnsi="ArialMT" w:cs="ArialMT" w:hint="default"/>
        <w:sz w:val="19"/>
      </w:rPr>
    </w:lvl>
    <w:lvl w:ilvl="1">
      <w:start w:val="20"/>
      <w:numFmt w:val="decimal"/>
      <w:lvlText w:val="%1.%2"/>
      <w:lvlJc w:val="left"/>
      <w:pPr>
        <w:ind w:left="906" w:hanging="480"/>
      </w:pPr>
      <w:rPr>
        <w:rFonts w:ascii="ArialMT" w:hAnsi="ArialMT" w:cs="ArialMT" w:hint="default"/>
        <w:sz w:val="19"/>
      </w:rPr>
    </w:lvl>
    <w:lvl w:ilvl="2">
      <w:start w:val="1"/>
      <w:numFmt w:val="decimal"/>
      <w:lvlText w:val="%1.%2.%3"/>
      <w:lvlJc w:val="left"/>
      <w:pPr>
        <w:ind w:left="1572" w:hanging="720"/>
      </w:pPr>
      <w:rPr>
        <w:rFonts w:ascii="ArialMT" w:hAnsi="ArialMT" w:cs="ArialMT" w:hint="default"/>
        <w:sz w:val="19"/>
      </w:rPr>
    </w:lvl>
    <w:lvl w:ilvl="3">
      <w:start w:val="1"/>
      <w:numFmt w:val="decimal"/>
      <w:lvlText w:val="%1.%2.%3.%4"/>
      <w:lvlJc w:val="left"/>
      <w:pPr>
        <w:ind w:left="1998" w:hanging="720"/>
      </w:pPr>
      <w:rPr>
        <w:rFonts w:ascii="ArialMT" w:hAnsi="ArialMT" w:cs="ArialMT" w:hint="default"/>
        <w:sz w:val="19"/>
      </w:rPr>
    </w:lvl>
    <w:lvl w:ilvl="4">
      <w:start w:val="1"/>
      <w:numFmt w:val="decimal"/>
      <w:lvlText w:val="%1.%2.%3.%4.%5"/>
      <w:lvlJc w:val="left"/>
      <w:pPr>
        <w:ind w:left="2784" w:hanging="1080"/>
      </w:pPr>
      <w:rPr>
        <w:rFonts w:ascii="ArialMT" w:hAnsi="ArialMT" w:cs="ArialMT" w:hint="default"/>
        <w:sz w:val="19"/>
      </w:rPr>
    </w:lvl>
    <w:lvl w:ilvl="5">
      <w:start w:val="1"/>
      <w:numFmt w:val="decimal"/>
      <w:lvlText w:val="%1.%2.%3.%4.%5.%6"/>
      <w:lvlJc w:val="left"/>
      <w:pPr>
        <w:ind w:left="3210" w:hanging="1080"/>
      </w:pPr>
      <w:rPr>
        <w:rFonts w:ascii="ArialMT" w:hAnsi="ArialMT" w:cs="ArialMT" w:hint="default"/>
        <w:sz w:val="19"/>
      </w:rPr>
    </w:lvl>
    <w:lvl w:ilvl="6">
      <w:start w:val="1"/>
      <w:numFmt w:val="decimal"/>
      <w:lvlText w:val="%1.%2.%3.%4.%5.%6.%7"/>
      <w:lvlJc w:val="left"/>
      <w:pPr>
        <w:ind w:left="3996" w:hanging="1440"/>
      </w:pPr>
      <w:rPr>
        <w:rFonts w:ascii="ArialMT" w:hAnsi="ArialMT" w:cs="ArialMT" w:hint="default"/>
        <w:sz w:val="19"/>
      </w:rPr>
    </w:lvl>
    <w:lvl w:ilvl="7">
      <w:start w:val="1"/>
      <w:numFmt w:val="decimal"/>
      <w:lvlText w:val="%1.%2.%3.%4.%5.%6.%7.%8"/>
      <w:lvlJc w:val="left"/>
      <w:pPr>
        <w:ind w:left="4422" w:hanging="1440"/>
      </w:pPr>
      <w:rPr>
        <w:rFonts w:ascii="ArialMT" w:hAnsi="ArialMT" w:cs="ArialMT" w:hint="default"/>
        <w:sz w:val="19"/>
      </w:rPr>
    </w:lvl>
    <w:lvl w:ilvl="8">
      <w:start w:val="1"/>
      <w:numFmt w:val="decimal"/>
      <w:lvlText w:val="%1.%2.%3.%4.%5.%6.%7.%8.%9"/>
      <w:lvlJc w:val="left"/>
      <w:pPr>
        <w:ind w:left="4848" w:hanging="1440"/>
      </w:pPr>
      <w:rPr>
        <w:rFonts w:ascii="ArialMT" w:hAnsi="ArialMT" w:cs="ArialMT" w:hint="default"/>
        <w:sz w:val="19"/>
      </w:rPr>
    </w:lvl>
  </w:abstractNum>
  <w:abstractNum w:abstractNumId="9" w15:restartNumberingAfterBreak="0">
    <w:nsid w:val="2E8D1EE2"/>
    <w:multiLevelType w:val="hybridMultilevel"/>
    <w:tmpl w:val="7B8AE37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9559A"/>
    <w:multiLevelType w:val="multilevel"/>
    <w:tmpl w:val="11E84FAE"/>
    <w:lvl w:ilvl="0">
      <w:start w:val="3"/>
      <w:numFmt w:val="decimal"/>
      <w:lvlText w:val="%1."/>
      <w:lvlJc w:val="left"/>
      <w:pPr>
        <w:ind w:left="720" w:hanging="360"/>
      </w:pPr>
      <w:rPr>
        <w:rFonts w:hint="default"/>
        <w:b/>
      </w:rPr>
    </w:lvl>
    <w:lvl w:ilvl="1">
      <w:numFmt w:val="none"/>
      <w:lvlText w:val="5.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1%5."/>
      <w:lvlJc w:val="left"/>
      <w:pPr>
        <w:ind w:left="3600" w:hanging="360"/>
      </w:pPr>
      <w:rPr>
        <w:rFonts w:ascii="5.1" w:hAnsi="5.1"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1BB0310"/>
    <w:multiLevelType w:val="hybridMultilevel"/>
    <w:tmpl w:val="53D43BBA"/>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455565F"/>
    <w:multiLevelType w:val="hybridMultilevel"/>
    <w:tmpl w:val="63B695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1C2BB7"/>
    <w:multiLevelType w:val="multilevel"/>
    <w:tmpl w:val="788E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13485"/>
    <w:multiLevelType w:val="hybridMultilevel"/>
    <w:tmpl w:val="53D43B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281382"/>
    <w:multiLevelType w:val="hybridMultilevel"/>
    <w:tmpl w:val="CB006572"/>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DC7628"/>
    <w:multiLevelType w:val="hybridMultilevel"/>
    <w:tmpl w:val="7DC8C90C"/>
    <w:lvl w:ilvl="0" w:tplc="7772E96A">
      <w:start w:val="1"/>
      <w:numFmt w:val="bullet"/>
      <w:lvlText w:val="•"/>
      <w:lvlJc w:val="left"/>
      <w:pPr>
        <w:tabs>
          <w:tab w:val="num" w:pos="720"/>
        </w:tabs>
        <w:ind w:left="720" w:hanging="360"/>
      </w:pPr>
      <w:rPr>
        <w:rFonts w:ascii="Arial" w:hAnsi="Arial" w:hint="default"/>
      </w:rPr>
    </w:lvl>
    <w:lvl w:ilvl="1" w:tplc="11B48A3E">
      <w:numFmt w:val="bullet"/>
      <w:lvlText w:val="–"/>
      <w:lvlJc w:val="left"/>
      <w:pPr>
        <w:tabs>
          <w:tab w:val="num" w:pos="1440"/>
        </w:tabs>
        <w:ind w:left="1440" w:hanging="360"/>
      </w:pPr>
      <w:rPr>
        <w:rFonts w:ascii="Arial" w:hAnsi="Arial" w:hint="default"/>
      </w:rPr>
    </w:lvl>
    <w:lvl w:ilvl="2" w:tplc="E37246EE" w:tentative="1">
      <w:start w:val="1"/>
      <w:numFmt w:val="bullet"/>
      <w:lvlText w:val="•"/>
      <w:lvlJc w:val="left"/>
      <w:pPr>
        <w:tabs>
          <w:tab w:val="num" w:pos="2160"/>
        </w:tabs>
        <w:ind w:left="2160" w:hanging="360"/>
      </w:pPr>
      <w:rPr>
        <w:rFonts w:ascii="Arial" w:hAnsi="Arial" w:hint="default"/>
      </w:rPr>
    </w:lvl>
    <w:lvl w:ilvl="3" w:tplc="826AB67E" w:tentative="1">
      <w:start w:val="1"/>
      <w:numFmt w:val="bullet"/>
      <w:lvlText w:val="•"/>
      <w:lvlJc w:val="left"/>
      <w:pPr>
        <w:tabs>
          <w:tab w:val="num" w:pos="2880"/>
        </w:tabs>
        <w:ind w:left="2880" w:hanging="360"/>
      </w:pPr>
      <w:rPr>
        <w:rFonts w:ascii="Arial" w:hAnsi="Arial" w:hint="default"/>
      </w:rPr>
    </w:lvl>
    <w:lvl w:ilvl="4" w:tplc="90C8AC3A" w:tentative="1">
      <w:start w:val="1"/>
      <w:numFmt w:val="bullet"/>
      <w:lvlText w:val="•"/>
      <w:lvlJc w:val="left"/>
      <w:pPr>
        <w:tabs>
          <w:tab w:val="num" w:pos="3600"/>
        </w:tabs>
        <w:ind w:left="3600" w:hanging="360"/>
      </w:pPr>
      <w:rPr>
        <w:rFonts w:ascii="Arial" w:hAnsi="Arial" w:hint="default"/>
      </w:rPr>
    </w:lvl>
    <w:lvl w:ilvl="5" w:tplc="A8DC9FB0" w:tentative="1">
      <w:start w:val="1"/>
      <w:numFmt w:val="bullet"/>
      <w:lvlText w:val="•"/>
      <w:lvlJc w:val="left"/>
      <w:pPr>
        <w:tabs>
          <w:tab w:val="num" w:pos="4320"/>
        </w:tabs>
        <w:ind w:left="4320" w:hanging="360"/>
      </w:pPr>
      <w:rPr>
        <w:rFonts w:ascii="Arial" w:hAnsi="Arial" w:hint="default"/>
      </w:rPr>
    </w:lvl>
    <w:lvl w:ilvl="6" w:tplc="AE0204C2" w:tentative="1">
      <w:start w:val="1"/>
      <w:numFmt w:val="bullet"/>
      <w:lvlText w:val="•"/>
      <w:lvlJc w:val="left"/>
      <w:pPr>
        <w:tabs>
          <w:tab w:val="num" w:pos="5040"/>
        </w:tabs>
        <w:ind w:left="5040" w:hanging="360"/>
      </w:pPr>
      <w:rPr>
        <w:rFonts w:ascii="Arial" w:hAnsi="Arial" w:hint="default"/>
      </w:rPr>
    </w:lvl>
    <w:lvl w:ilvl="7" w:tplc="E1609FBE" w:tentative="1">
      <w:start w:val="1"/>
      <w:numFmt w:val="bullet"/>
      <w:lvlText w:val="•"/>
      <w:lvlJc w:val="left"/>
      <w:pPr>
        <w:tabs>
          <w:tab w:val="num" w:pos="5760"/>
        </w:tabs>
        <w:ind w:left="5760" w:hanging="360"/>
      </w:pPr>
      <w:rPr>
        <w:rFonts w:ascii="Arial" w:hAnsi="Arial" w:hint="default"/>
      </w:rPr>
    </w:lvl>
    <w:lvl w:ilvl="8" w:tplc="ACD87C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002C73"/>
    <w:multiLevelType w:val="hybridMultilevel"/>
    <w:tmpl w:val="4B101D8E"/>
    <w:lvl w:ilvl="0" w:tplc="080A0011">
      <w:start w:val="1"/>
      <w:numFmt w:val="decimal"/>
      <w:lvlText w:val="%1)"/>
      <w:lvlJc w:val="left"/>
      <w:pPr>
        <w:ind w:left="5634" w:hanging="360"/>
      </w:pPr>
      <w:rPr>
        <w:rFonts w:hint="default"/>
      </w:rPr>
    </w:lvl>
    <w:lvl w:ilvl="1" w:tplc="080A0019" w:tentative="1">
      <w:start w:val="1"/>
      <w:numFmt w:val="lowerLetter"/>
      <w:lvlText w:val="%2."/>
      <w:lvlJc w:val="left"/>
      <w:pPr>
        <w:ind w:left="6354" w:hanging="360"/>
      </w:pPr>
    </w:lvl>
    <w:lvl w:ilvl="2" w:tplc="080A001B" w:tentative="1">
      <w:start w:val="1"/>
      <w:numFmt w:val="lowerRoman"/>
      <w:lvlText w:val="%3."/>
      <w:lvlJc w:val="right"/>
      <w:pPr>
        <w:ind w:left="7074" w:hanging="180"/>
      </w:pPr>
    </w:lvl>
    <w:lvl w:ilvl="3" w:tplc="080A000F" w:tentative="1">
      <w:start w:val="1"/>
      <w:numFmt w:val="decimal"/>
      <w:lvlText w:val="%4."/>
      <w:lvlJc w:val="left"/>
      <w:pPr>
        <w:ind w:left="7794" w:hanging="360"/>
      </w:pPr>
    </w:lvl>
    <w:lvl w:ilvl="4" w:tplc="080A0019" w:tentative="1">
      <w:start w:val="1"/>
      <w:numFmt w:val="lowerLetter"/>
      <w:lvlText w:val="%5."/>
      <w:lvlJc w:val="left"/>
      <w:pPr>
        <w:ind w:left="8514" w:hanging="360"/>
      </w:pPr>
    </w:lvl>
    <w:lvl w:ilvl="5" w:tplc="080A001B" w:tentative="1">
      <w:start w:val="1"/>
      <w:numFmt w:val="lowerRoman"/>
      <w:lvlText w:val="%6."/>
      <w:lvlJc w:val="right"/>
      <w:pPr>
        <w:ind w:left="9234" w:hanging="180"/>
      </w:pPr>
    </w:lvl>
    <w:lvl w:ilvl="6" w:tplc="080A000F" w:tentative="1">
      <w:start w:val="1"/>
      <w:numFmt w:val="decimal"/>
      <w:lvlText w:val="%7."/>
      <w:lvlJc w:val="left"/>
      <w:pPr>
        <w:ind w:left="9954" w:hanging="360"/>
      </w:pPr>
    </w:lvl>
    <w:lvl w:ilvl="7" w:tplc="080A0019" w:tentative="1">
      <w:start w:val="1"/>
      <w:numFmt w:val="lowerLetter"/>
      <w:lvlText w:val="%8."/>
      <w:lvlJc w:val="left"/>
      <w:pPr>
        <w:ind w:left="10674" w:hanging="360"/>
      </w:pPr>
    </w:lvl>
    <w:lvl w:ilvl="8" w:tplc="080A001B" w:tentative="1">
      <w:start w:val="1"/>
      <w:numFmt w:val="lowerRoman"/>
      <w:lvlText w:val="%9."/>
      <w:lvlJc w:val="right"/>
      <w:pPr>
        <w:ind w:left="11394" w:hanging="180"/>
      </w:pPr>
    </w:lvl>
  </w:abstractNum>
  <w:abstractNum w:abstractNumId="18" w15:restartNumberingAfterBreak="0">
    <w:nsid w:val="4E277F7F"/>
    <w:multiLevelType w:val="hybridMultilevel"/>
    <w:tmpl w:val="C2A0FF0A"/>
    <w:lvl w:ilvl="0" w:tplc="080A0017">
      <w:start w:val="1"/>
      <w:numFmt w:val="lowerLetter"/>
      <w:lvlText w:val="%1)"/>
      <w:lvlJc w:val="lef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252F61"/>
    <w:multiLevelType w:val="hybridMultilevel"/>
    <w:tmpl w:val="12BC1D6A"/>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5D0E47"/>
    <w:multiLevelType w:val="hybridMultilevel"/>
    <w:tmpl w:val="A66AB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0F69BD"/>
    <w:multiLevelType w:val="hybridMultilevel"/>
    <w:tmpl w:val="8D8EF938"/>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DD2C05"/>
    <w:multiLevelType w:val="hybridMultilevel"/>
    <w:tmpl w:val="C99602A0"/>
    <w:lvl w:ilvl="0" w:tplc="729E7C30">
      <w:start w:val="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957855"/>
    <w:multiLevelType w:val="hybridMultilevel"/>
    <w:tmpl w:val="4B101D8E"/>
    <w:lvl w:ilvl="0" w:tplc="080A0011">
      <w:start w:val="1"/>
      <w:numFmt w:val="decimal"/>
      <w:lvlText w:val="%1)"/>
      <w:lvlJc w:val="left"/>
      <w:pPr>
        <w:ind w:left="5634" w:hanging="360"/>
      </w:pPr>
      <w:rPr>
        <w:rFonts w:hint="default"/>
      </w:rPr>
    </w:lvl>
    <w:lvl w:ilvl="1" w:tplc="080A0019" w:tentative="1">
      <w:start w:val="1"/>
      <w:numFmt w:val="lowerLetter"/>
      <w:lvlText w:val="%2."/>
      <w:lvlJc w:val="left"/>
      <w:pPr>
        <w:ind w:left="6354" w:hanging="360"/>
      </w:pPr>
    </w:lvl>
    <w:lvl w:ilvl="2" w:tplc="080A001B" w:tentative="1">
      <w:start w:val="1"/>
      <w:numFmt w:val="lowerRoman"/>
      <w:lvlText w:val="%3."/>
      <w:lvlJc w:val="right"/>
      <w:pPr>
        <w:ind w:left="7074" w:hanging="180"/>
      </w:pPr>
    </w:lvl>
    <w:lvl w:ilvl="3" w:tplc="080A000F" w:tentative="1">
      <w:start w:val="1"/>
      <w:numFmt w:val="decimal"/>
      <w:lvlText w:val="%4."/>
      <w:lvlJc w:val="left"/>
      <w:pPr>
        <w:ind w:left="7794" w:hanging="360"/>
      </w:pPr>
    </w:lvl>
    <w:lvl w:ilvl="4" w:tplc="080A0019" w:tentative="1">
      <w:start w:val="1"/>
      <w:numFmt w:val="lowerLetter"/>
      <w:lvlText w:val="%5."/>
      <w:lvlJc w:val="left"/>
      <w:pPr>
        <w:ind w:left="8514" w:hanging="360"/>
      </w:pPr>
    </w:lvl>
    <w:lvl w:ilvl="5" w:tplc="080A001B" w:tentative="1">
      <w:start w:val="1"/>
      <w:numFmt w:val="lowerRoman"/>
      <w:lvlText w:val="%6."/>
      <w:lvlJc w:val="right"/>
      <w:pPr>
        <w:ind w:left="9234" w:hanging="180"/>
      </w:pPr>
    </w:lvl>
    <w:lvl w:ilvl="6" w:tplc="080A000F" w:tentative="1">
      <w:start w:val="1"/>
      <w:numFmt w:val="decimal"/>
      <w:lvlText w:val="%7."/>
      <w:lvlJc w:val="left"/>
      <w:pPr>
        <w:ind w:left="9954" w:hanging="360"/>
      </w:pPr>
    </w:lvl>
    <w:lvl w:ilvl="7" w:tplc="080A0019" w:tentative="1">
      <w:start w:val="1"/>
      <w:numFmt w:val="lowerLetter"/>
      <w:lvlText w:val="%8."/>
      <w:lvlJc w:val="left"/>
      <w:pPr>
        <w:ind w:left="10674" w:hanging="360"/>
      </w:pPr>
    </w:lvl>
    <w:lvl w:ilvl="8" w:tplc="080A001B" w:tentative="1">
      <w:start w:val="1"/>
      <w:numFmt w:val="lowerRoman"/>
      <w:lvlText w:val="%9."/>
      <w:lvlJc w:val="right"/>
      <w:pPr>
        <w:ind w:left="11394" w:hanging="180"/>
      </w:pPr>
    </w:lvl>
  </w:abstractNum>
  <w:abstractNum w:abstractNumId="24" w15:restartNumberingAfterBreak="0">
    <w:nsid w:val="64F00794"/>
    <w:multiLevelType w:val="hybridMultilevel"/>
    <w:tmpl w:val="D598EA06"/>
    <w:lvl w:ilvl="0" w:tplc="A538091C">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4D1B25"/>
    <w:multiLevelType w:val="hybridMultilevel"/>
    <w:tmpl w:val="B6880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E007E0"/>
    <w:multiLevelType w:val="hybridMultilevel"/>
    <w:tmpl w:val="4B101D8E"/>
    <w:lvl w:ilvl="0" w:tplc="080A0011">
      <w:start w:val="1"/>
      <w:numFmt w:val="decimal"/>
      <w:lvlText w:val="%1)"/>
      <w:lvlJc w:val="left"/>
      <w:pPr>
        <w:ind w:left="5634" w:hanging="360"/>
      </w:pPr>
      <w:rPr>
        <w:rFonts w:hint="default"/>
      </w:rPr>
    </w:lvl>
    <w:lvl w:ilvl="1" w:tplc="080A0019" w:tentative="1">
      <w:start w:val="1"/>
      <w:numFmt w:val="lowerLetter"/>
      <w:lvlText w:val="%2."/>
      <w:lvlJc w:val="left"/>
      <w:pPr>
        <w:ind w:left="6354" w:hanging="360"/>
      </w:pPr>
    </w:lvl>
    <w:lvl w:ilvl="2" w:tplc="080A001B" w:tentative="1">
      <w:start w:val="1"/>
      <w:numFmt w:val="lowerRoman"/>
      <w:lvlText w:val="%3."/>
      <w:lvlJc w:val="right"/>
      <w:pPr>
        <w:ind w:left="7074" w:hanging="180"/>
      </w:pPr>
    </w:lvl>
    <w:lvl w:ilvl="3" w:tplc="080A000F" w:tentative="1">
      <w:start w:val="1"/>
      <w:numFmt w:val="decimal"/>
      <w:lvlText w:val="%4."/>
      <w:lvlJc w:val="left"/>
      <w:pPr>
        <w:ind w:left="7794" w:hanging="360"/>
      </w:pPr>
    </w:lvl>
    <w:lvl w:ilvl="4" w:tplc="080A0019" w:tentative="1">
      <w:start w:val="1"/>
      <w:numFmt w:val="lowerLetter"/>
      <w:lvlText w:val="%5."/>
      <w:lvlJc w:val="left"/>
      <w:pPr>
        <w:ind w:left="8514" w:hanging="360"/>
      </w:pPr>
    </w:lvl>
    <w:lvl w:ilvl="5" w:tplc="080A001B" w:tentative="1">
      <w:start w:val="1"/>
      <w:numFmt w:val="lowerRoman"/>
      <w:lvlText w:val="%6."/>
      <w:lvlJc w:val="right"/>
      <w:pPr>
        <w:ind w:left="9234" w:hanging="180"/>
      </w:pPr>
    </w:lvl>
    <w:lvl w:ilvl="6" w:tplc="080A000F" w:tentative="1">
      <w:start w:val="1"/>
      <w:numFmt w:val="decimal"/>
      <w:lvlText w:val="%7."/>
      <w:lvlJc w:val="left"/>
      <w:pPr>
        <w:ind w:left="9954" w:hanging="360"/>
      </w:pPr>
    </w:lvl>
    <w:lvl w:ilvl="7" w:tplc="080A0019" w:tentative="1">
      <w:start w:val="1"/>
      <w:numFmt w:val="lowerLetter"/>
      <w:lvlText w:val="%8."/>
      <w:lvlJc w:val="left"/>
      <w:pPr>
        <w:ind w:left="10674" w:hanging="360"/>
      </w:pPr>
    </w:lvl>
    <w:lvl w:ilvl="8" w:tplc="080A001B" w:tentative="1">
      <w:start w:val="1"/>
      <w:numFmt w:val="lowerRoman"/>
      <w:lvlText w:val="%9."/>
      <w:lvlJc w:val="right"/>
      <w:pPr>
        <w:ind w:left="11394" w:hanging="180"/>
      </w:pPr>
    </w:lvl>
  </w:abstractNum>
  <w:abstractNum w:abstractNumId="27" w15:restartNumberingAfterBreak="0">
    <w:nsid w:val="70D150BC"/>
    <w:multiLevelType w:val="multilevel"/>
    <w:tmpl w:val="996896D2"/>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51A32C0"/>
    <w:multiLevelType w:val="hybridMultilevel"/>
    <w:tmpl w:val="0CDA62D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A83023"/>
    <w:multiLevelType w:val="hybridMultilevel"/>
    <w:tmpl w:val="BDD4DEE8"/>
    <w:lvl w:ilvl="0" w:tplc="1244FA36">
      <w:start w:val="1"/>
      <w:numFmt w:val="bullet"/>
      <w:lvlText w:val="●"/>
      <w:lvlJc w:val="left"/>
      <w:pPr>
        <w:ind w:left="720" w:hanging="360"/>
      </w:pPr>
      <w:rPr>
        <w:rFonts w:ascii="Calibri" w:hAnsi="Calibri" w:hint="default"/>
        <w:u w:color="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7"/>
  </w:num>
  <w:num w:numId="4">
    <w:abstractNumId w:val="22"/>
  </w:num>
  <w:num w:numId="5">
    <w:abstractNumId w:val="0"/>
  </w:num>
  <w:num w:numId="6">
    <w:abstractNumId w:val="1"/>
  </w:num>
  <w:num w:numId="7">
    <w:abstractNumId w:val="20"/>
  </w:num>
  <w:num w:numId="8">
    <w:abstractNumId w:val="25"/>
  </w:num>
  <w:num w:numId="9">
    <w:abstractNumId w:val="8"/>
  </w:num>
  <w:num w:numId="10">
    <w:abstractNumId w:val="2"/>
  </w:num>
  <w:num w:numId="11">
    <w:abstractNumId w:val="13"/>
  </w:num>
  <w:num w:numId="12">
    <w:abstractNumId w:val="21"/>
  </w:num>
  <w:num w:numId="13">
    <w:abstractNumId w:val="3"/>
  </w:num>
  <w:num w:numId="14">
    <w:abstractNumId w:val="15"/>
  </w:num>
  <w:num w:numId="15">
    <w:abstractNumId w:val="24"/>
  </w:num>
  <w:num w:numId="16">
    <w:abstractNumId w:val="6"/>
  </w:num>
  <w:num w:numId="17">
    <w:abstractNumId w:val="19"/>
  </w:num>
  <w:num w:numId="18">
    <w:abstractNumId w:val="14"/>
  </w:num>
  <w:num w:numId="19">
    <w:abstractNumId w:val="12"/>
  </w:num>
  <w:num w:numId="20">
    <w:abstractNumId w:val="16"/>
  </w:num>
  <w:num w:numId="21">
    <w:abstractNumId w:val="29"/>
  </w:num>
  <w:num w:numId="22">
    <w:abstractNumId w:val="11"/>
  </w:num>
  <w:num w:numId="23">
    <w:abstractNumId w:val="28"/>
  </w:num>
  <w:num w:numId="24">
    <w:abstractNumId w:val="4"/>
  </w:num>
  <w:num w:numId="25">
    <w:abstractNumId w:val="17"/>
  </w:num>
  <w:num w:numId="26">
    <w:abstractNumId w:val="26"/>
  </w:num>
  <w:num w:numId="27">
    <w:abstractNumId w:val="23"/>
  </w:num>
  <w:num w:numId="28">
    <w:abstractNumId w:val="5"/>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14"/>
    <w:rsid w:val="00001E92"/>
    <w:rsid w:val="00004FFC"/>
    <w:rsid w:val="00007375"/>
    <w:rsid w:val="00010D35"/>
    <w:rsid w:val="000123BF"/>
    <w:rsid w:val="000143F3"/>
    <w:rsid w:val="00015DCF"/>
    <w:rsid w:val="00016343"/>
    <w:rsid w:val="00022787"/>
    <w:rsid w:val="00023D97"/>
    <w:rsid w:val="000273D0"/>
    <w:rsid w:val="00031F41"/>
    <w:rsid w:val="00033356"/>
    <w:rsid w:val="0003451C"/>
    <w:rsid w:val="00037070"/>
    <w:rsid w:val="0004476D"/>
    <w:rsid w:val="00051569"/>
    <w:rsid w:val="00061280"/>
    <w:rsid w:val="00061C2D"/>
    <w:rsid w:val="000651E0"/>
    <w:rsid w:val="00077DD8"/>
    <w:rsid w:val="000811E1"/>
    <w:rsid w:val="000811F5"/>
    <w:rsid w:val="00081B56"/>
    <w:rsid w:val="00082975"/>
    <w:rsid w:val="00093671"/>
    <w:rsid w:val="000953FA"/>
    <w:rsid w:val="0009673C"/>
    <w:rsid w:val="000A115B"/>
    <w:rsid w:val="000D18FD"/>
    <w:rsid w:val="000D4D2F"/>
    <w:rsid w:val="000D5DD4"/>
    <w:rsid w:val="000D647A"/>
    <w:rsid w:val="000F1437"/>
    <w:rsid w:val="001003C6"/>
    <w:rsid w:val="0010402D"/>
    <w:rsid w:val="001064C1"/>
    <w:rsid w:val="001147A5"/>
    <w:rsid w:val="001235A1"/>
    <w:rsid w:val="00130253"/>
    <w:rsid w:val="00132851"/>
    <w:rsid w:val="00135956"/>
    <w:rsid w:val="00136050"/>
    <w:rsid w:val="001365CE"/>
    <w:rsid w:val="00141F74"/>
    <w:rsid w:val="001427C4"/>
    <w:rsid w:val="00157BDE"/>
    <w:rsid w:val="00160D33"/>
    <w:rsid w:val="00163B89"/>
    <w:rsid w:val="00164034"/>
    <w:rsid w:val="001673BF"/>
    <w:rsid w:val="0017158B"/>
    <w:rsid w:val="00171E29"/>
    <w:rsid w:val="00174603"/>
    <w:rsid w:val="00174607"/>
    <w:rsid w:val="00176D05"/>
    <w:rsid w:val="00180D05"/>
    <w:rsid w:val="00181D54"/>
    <w:rsid w:val="00181DCD"/>
    <w:rsid w:val="0019350B"/>
    <w:rsid w:val="00193EAD"/>
    <w:rsid w:val="00196513"/>
    <w:rsid w:val="001A0A71"/>
    <w:rsid w:val="001A2144"/>
    <w:rsid w:val="001A2420"/>
    <w:rsid w:val="001A60A2"/>
    <w:rsid w:val="001B0262"/>
    <w:rsid w:val="001B417D"/>
    <w:rsid w:val="001B6446"/>
    <w:rsid w:val="001C0B1E"/>
    <w:rsid w:val="001C25A6"/>
    <w:rsid w:val="001D1328"/>
    <w:rsid w:val="001D2B6C"/>
    <w:rsid w:val="001D476E"/>
    <w:rsid w:val="001E558C"/>
    <w:rsid w:val="001F20A9"/>
    <w:rsid w:val="001F3456"/>
    <w:rsid w:val="001F366A"/>
    <w:rsid w:val="001F5E62"/>
    <w:rsid w:val="00202887"/>
    <w:rsid w:val="00205CC6"/>
    <w:rsid w:val="00212EE7"/>
    <w:rsid w:val="002145F0"/>
    <w:rsid w:val="00216BDC"/>
    <w:rsid w:val="00221935"/>
    <w:rsid w:val="00221DC5"/>
    <w:rsid w:val="0022364B"/>
    <w:rsid w:val="00227374"/>
    <w:rsid w:val="00227E3B"/>
    <w:rsid w:val="00246E10"/>
    <w:rsid w:val="00250D32"/>
    <w:rsid w:val="0025238A"/>
    <w:rsid w:val="002534A0"/>
    <w:rsid w:val="00254AC2"/>
    <w:rsid w:val="002659E8"/>
    <w:rsid w:val="00267C64"/>
    <w:rsid w:val="00276743"/>
    <w:rsid w:val="00280C62"/>
    <w:rsid w:val="0028185E"/>
    <w:rsid w:val="00282A08"/>
    <w:rsid w:val="00283258"/>
    <w:rsid w:val="00290977"/>
    <w:rsid w:val="002933F2"/>
    <w:rsid w:val="00296BE9"/>
    <w:rsid w:val="002A066C"/>
    <w:rsid w:val="002A1D58"/>
    <w:rsid w:val="002A2102"/>
    <w:rsid w:val="002A3D3C"/>
    <w:rsid w:val="002A6574"/>
    <w:rsid w:val="002A7D49"/>
    <w:rsid w:val="002B7844"/>
    <w:rsid w:val="002C10FD"/>
    <w:rsid w:val="002C143F"/>
    <w:rsid w:val="002C6363"/>
    <w:rsid w:val="002C6664"/>
    <w:rsid w:val="002C7497"/>
    <w:rsid w:val="002D28BD"/>
    <w:rsid w:val="002D354C"/>
    <w:rsid w:val="002D5C9C"/>
    <w:rsid w:val="002D711E"/>
    <w:rsid w:val="002E19AF"/>
    <w:rsid w:val="002E427B"/>
    <w:rsid w:val="002E7668"/>
    <w:rsid w:val="002F0FE4"/>
    <w:rsid w:val="0030384A"/>
    <w:rsid w:val="00303EF4"/>
    <w:rsid w:val="003051EA"/>
    <w:rsid w:val="00305999"/>
    <w:rsid w:val="00307FC3"/>
    <w:rsid w:val="003116B0"/>
    <w:rsid w:val="00315832"/>
    <w:rsid w:val="00315C42"/>
    <w:rsid w:val="003206DF"/>
    <w:rsid w:val="0033028C"/>
    <w:rsid w:val="0033074D"/>
    <w:rsid w:val="003324CD"/>
    <w:rsid w:val="00332CCA"/>
    <w:rsid w:val="003346A6"/>
    <w:rsid w:val="00336BD9"/>
    <w:rsid w:val="00341FB8"/>
    <w:rsid w:val="0034211B"/>
    <w:rsid w:val="003428C1"/>
    <w:rsid w:val="003448AF"/>
    <w:rsid w:val="00347BB7"/>
    <w:rsid w:val="0035563B"/>
    <w:rsid w:val="0035578C"/>
    <w:rsid w:val="003560EB"/>
    <w:rsid w:val="00357E3F"/>
    <w:rsid w:val="00357EBF"/>
    <w:rsid w:val="003624CD"/>
    <w:rsid w:val="003633BB"/>
    <w:rsid w:val="00366824"/>
    <w:rsid w:val="003673C3"/>
    <w:rsid w:val="00367DC6"/>
    <w:rsid w:val="0037479D"/>
    <w:rsid w:val="003752F2"/>
    <w:rsid w:val="00384875"/>
    <w:rsid w:val="003A1245"/>
    <w:rsid w:val="003A2CB5"/>
    <w:rsid w:val="003A2D0C"/>
    <w:rsid w:val="003B5D3D"/>
    <w:rsid w:val="003B6691"/>
    <w:rsid w:val="003C4188"/>
    <w:rsid w:val="003C7F05"/>
    <w:rsid w:val="003D226E"/>
    <w:rsid w:val="003D751C"/>
    <w:rsid w:val="003E4A01"/>
    <w:rsid w:val="003E69C8"/>
    <w:rsid w:val="003E7B3D"/>
    <w:rsid w:val="003F1C94"/>
    <w:rsid w:val="003F1EE9"/>
    <w:rsid w:val="003F20B8"/>
    <w:rsid w:val="003F5A02"/>
    <w:rsid w:val="003F71C5"/>
    <w:rsid w:val="004030D2"/>
    <w:rsid w:val="00405B50"/>
    <w:rsid w:val="004070AC"/>
    <w:rsid w:val="00412ABB"/>
    <w:rsid w:val="0041699B"/>
    <w:rsid w:val="00433F65"/>
    <w:rsid w:val="00434E58"/>
    <w:rsid w:val="00444687"/>
    <w:rsid w:val="00445918"/>
    <w:rsid w:val="00447A91"/>
    <w:rsid w:val="00462884"/>
    <w:rsid w:val="00462E82"/>
    <w:rsid w:val="00480AC3"/>
    <w:rsid w:val="0048457C"/>
    <w:rsid w:val="00484E3D"/>
    <w:rsid w:val="004875E6"/>
    <w:rsid w:val="00492849"/>
    <w:rsid w:val="00494590"/>
    <w:rsid w:val="00494F7E"/>
    <w:rsid w:val="004A292F"/>
    <w:rsid w:val="004A3311"/>
    <w:rsid w:val="004A7270"/>
    <w:rsid w:val="004A76BB"/>
    <w:rsid w:val="004B20D0"/>
    <w:rsid w:val="004B3DD7"/>
    <w:rsid w:val="004B63D0"/>
    <w:rsid w:val="004B792A"/>
    <w:rsid w:val="004B7EEA"/>
    <w:rsid w:val="004C5D69"/>
    <w:rsid w:val="004D001E"/>
    <w:rsid w:val="004D4546"/>
    <w:rsid w:val="004D4ED6"/>
    <w:rsid w:val="004E2BD5"/>
    <w:rsid w:val="004F082E"/>
    <w:rsid w:val="004F2856"/>
    <w:rsid w:val="004F64BA"/>
    <w:rsid w:val="004F75C7"/>
    <w:rsid w:val="005006DD"/>
    <w:rsid w:val="005054FA"/>
    <w:rsid w:val="00505B23"/>
    <w:rsid w:val="00506BDF"/>
    <w:rsid w:val="00510BE3"/>
    <w:rsid w:val="005139FB"/>
    <w:rsid w:val="005201F0"/>
    <w:rsid w:val="00530A8A"/>
    <w:rsid w:val="00533134"/>
    <w:rsid w:val="00534FA8"/>
    <w:rsid w:val="00540E03"/>
    <w:rsid w:val="00542FAB"/>
    <w:rsid w:val="005435ED"/>
    <w:rsid w:val="00545FE7"/>
    <w:rsid w:val="00551CA6"/>
    <w:rsid w:val="00554920"/>
    <w:rsid w:val="00560F15"/>
    <w:rsid w:val="00561C42"/>
    <w:rsid w:val="00562001"/>
    <w:rsid w:val="005676E2"/>
    <w:rsid w:val="0057471B"/>
    <w:rsid w:val="00576A26"/>
    <w:rsid w:val="00577D21"/>
    <w:rsid w:val="005829E0"/>
    <w:rsid w:val="005848EB"/>
    <w:rsid w:val="005907A1"/>
    <w:rsid w:val="0059123B"/>
    <w:rsid w:val="00592BB8"/>
    <w:rsid w:val="00594520"/>
    <w:rsid w:val="005950EB"/>
    <w:rsid w:val="00595207"/>
    <w:rsid w:val="005A0D01"/>
    <w:rsid w:val="005A3C5C"/>
    <w:rsid w:val="005A7B9C"/>
    <w:rsid w:val="005B366D"/>
    <w:rsid w:val="005B6871"/>
    <w:rsid w:val="005B7444"/>
    <w:rsid w:val="005C0E5D"/>
    <w:rsid w:val="005C16BE"/>
    <w:rsid w:val="005C3764"/>
    <w:rsid w:val="005C5406"/>
    <w:rsid w:val="005C7817"/>
    <w:rsid w:val="005C7D11"/>
    <w:rsid w:val="005D323F"/>
    <w:rsid w:val="005E286D"/>
    <w:rsid w:val="005F3559"/>
    <w:rsid w:val="00600953"/>
    <w:rsid w:val="00603609"/>
    <w:rsid w:val="00604E46"/>
    <w:rsid w:val="00605F6A"/>
    <w:rsid w:val="0060621D"/>
    <w:rsid w:val="00611D76"/>
    <w:rsid w:val="00613E1D"/>
    <w:rsid w:val="00614745"/>
    <w:rsid w:val="00624E11"/>
    <w:rsid w:val="00626944"/>
    <w:rsid w:val="00642E6E"/>
    <w:rsid w:val="00652072"/>
    <w:rsid w:val="00660306"/>
    <w:rsid w:val="00663A28"/>
    <w:rsid w:val="00664FFB"/>
    <w:rsid w:val="00667638"/>
    <w:rsid w:val="00667B7E"/>
    <w:rsid w:val="006715C6"/>
    <w:rsid w:val="00681B15"/>
    <w:rsid w:val="00686F74"/>
    <w:rsid w:val="00690AFD"/>
    <w:rsid w:val="006918D5"/>
    <w:rsid w:val="00691F26"/>
    <w:rsid w:val="0069564A"/>
    <w:rsid w:val="00695DCC"/>
    <w:rsid w:val="006963E0"/>
    <w:rsid w:val="006A08DB"/>
    <w:rsid w:val="006A36C1"/>
    <w:rsid w:val="006A6742"/>
    <w:rsid w:val="006A7F90"/>
    <w:rsid w:val="006B2265"/>
    <w:rsid w:val="006B7BFB"/>
    <w:rsid w:val="006C581E"/>
    <w:rsid w:val="006C6D79"/>
    <w:rsid w:val="006D1693"/>
    <w:rsid w:val="006D5461"/>
    <w:rsid w:val="006D7B0D"/>
    <w:rsid w:val="006E01FC"/>
    <w:rsid w:val="006E20C8"/>
    <w:rsid w:val="006E787C"/>
    <w:rsid w:val="006E7B41"/>
    <w:rsid w:val="006F495E"/>
    <w:rsid w:val="006F6CBB"/>
    <w:rsid w:val="0070221D"/>
    <w:rsid w:val="00702555"/>
    <w:rsid w:val="007045CA"/>
    <w:rsid w:val="007124F9"/>
    <w:rsid w:val="007130AD"/>
    <w:rsid w:val="0071730B"/>
    <w:rsid w:val="0072661E"/>
    <w:rsid w:val="0072711C"/>
    <w:rsid w:val="007352E9"/>
    <w:rsid w:val="0074728A"/>
    <w:rsid w:val="00751745"/>
    <w:rsid w:val="00752DDB"/>
    <w:rsid w:val="00753C32"/>
    <w:rsid w:val="0075513D"/>
    <w:rsid w:val="00763D4E"/>
    <w:rsid w:val="007748AA"/>
    <w:rsid w:val="00774E37"/>
    <w:rsid w:val="00775C0F"/>
    <w:rsid w:val="00780312"/>
    <w:rsid w:val="007833E9"/>
    <w:rsid w:val="0078391E"/>
    <w:rsid w:val="0078767A"/>
    <w:rsid w:val="0079604B"/>
    <w:rsid w:val="007A0917"/>
    <w:rsid w:val="007A3C9F"/>
    <w:rsid w:val="007B5DFB"/>
    <w:rsid w:val="007B71C2"/>
    <w:rsid w:val="007C7005"/>
    <w:rsid w:val="007D3990"/>
    <w:rsid w:val="007D5192"/>
    <w:rsid w:val="007E09BF"/>
    <w:rsid w:val="007E0D67"/>
    <w:rsid w:val="007E234B"/>
    <w:rsid w:val="007F6087"/>
    <w:rsid w:val="007F713E"/>
    <w:rsid w:val="00805DAB"/>
    <w:rsid w:val="00810190"/>
    <w:rsid w:val="008124EB"/>
    <w:rsid w:val="00812A5F"/>
    <w:rsid w:val="00813D3C"/>
    <w:rsid w:val="00815D71"/>
    <w:rsid w:val="00816F48"/>
    <w:rsid w:val="008173D4"/>
    <w:rsid w:val="008224DC"/>
    <w:rsid w:val="00824008"/>
    <w:rsid w:val="00825DB7"/>
    <w:rsid w:val="00826C24"/>
    <w:rsid w:val="00830385"/>
    <w:rsid w:val="0083172D"/>
    <w:rsid w:val="00840987"/>
    <w:rsid w:val="00841CA4"/>
    <w:rsid w:val="008462AB"/>
    <w:rsid w:val="00847D55"/>
    <w:rsid w:val="00847FEB"/>
    <w:rsid w:val="00856E15"/>
    <w:rsid w:val="008655F7"/>
    <w:rsid w:val="00873652"/>
    <w:rsid w:val="008761AE"/>
    <w:rsid w:val="008764C3"/>
    <w:rsid w:val="00881257"/>
    <w:rsid w:val="0088177D"/>
    <w:rsid w:val="008826D1"/>
    <w:rsid w:val="008845AE"/>
    <w:rsid w:val="00891102"/>
    <w:rsid w:val="0089124D"/>
    <w:rsid w:val="008970CA"/>
    <w:rsid w:val="008A0770"/>
    <w:rsid w:val="008A19F7"/>
    <w:rsid w:val="008B5A7F"/>
    <w:rsid w:val="008B6B54"/>
    <w:rsid w:val="008C0518"/>
    <w:rsid w:val="008C480B"/>
    <w:rsid w:val="008D1447"/>
    <w:rsid w:val="008D6316"/>
    <w:rsid w:val="008D640D"/>
    <w:rsid w:val="008E2F1E"/>
    <w:rsid w:val="008E6B31"/>
    <w:rsid w:val="0090101C"/>
    <w:rsid w:val="00910282"/>
    <w:rsid w:val="009117B9"/>
    <w:rsid w:val="00914BE5"/>
    <w:rsid w:val="00915492"/>
    <w:rsid w:val="00925F6F"/>
    <w:rsid w:val="0093209B"/>
    <w:rsid w:val="00934D23"/>
    <w:rsid w:val="00935EC4"/>
    <w:rsid w:val="00950867"/>
    <w:rsid w:val="009529A0"/>
    <w:rsid w:val="00956F7D"/>
    <w:rsid w:val="009614EE"/>
    <w:rsid w:val="00962122"/>
    <w:rsid w:val="0096381E"/>
    <w:rsid w:val="00964CAE"/>
    <w:rsid w:val="0097185B"/>
    <w:rsid w:val="00971AB8"/>
    <w:rsid w:val="009761CC"/>
    <w:rsid w:val="00977CF0"/>
    <w:rsid w:val="009850B9"/>
    <w:rsid w:val="009916D5"/>
    <w:rsid w:val="00991DC0"/>
    <w:rsid w:val="0099548F"/>
    <w:rsid w:val="009A3220"/>
    <w:rsid w:val="009A3E3B"/>
    <w:rsid w:val="009A624C"/>
    <w:rsid w:val="009B3D1C"/>
    <w:rsid w:val="009B3FD5"/>
    <w:rsid w:val="009B79C5"/>
    <w:rsid w:val="009C2C24"/>
    <w:rsid w:val="009C32F6"/>
    <w:rsid w:val="009C75F6"/>
    <w:rsid w:val="009C7CE1"/>
    <w:rsid w:val="009E01E4"/>
    <w:rsid w:val="009E3DCF"/>
    <w:rsid w:val="009E6A49"/>
    <w:rsid w:val="009F189F"/>
    <w:rsid w:val="009F19FB"/>
    <w:rsid w:val="009F4381"/>
    <w:rsid w:val="00A01AED"/>
    <w:rsid w:val="00A04D70"/>
    <w:rsid w:val="00A0751F"/>
    <w:rsid w:val="00A10094"/>
    <w:rsid w:val="00A13FD7"/>
    <w:rsid w:val="00A300D9"/>
    <w:rsid w:val="00A33B1F"/>
    <w:rsid w:val="00A34792"/>
    <w:rsid w:val="00A43454"/>
    <w:rsid w:val="00A43D14"/>
    <w:rsid w:val="00A52E93"/>
    <w:rsid w:val="00A547BC"/>
    <w:rsid w:val="00A55B33"/>
    <w:rsid w:val="00A607B7"/>
    <w:rsid w:val="00A636D3"/>
    <w:rsid w:val="00A645C8"/>
    <w:rsid w:val="00A67806"/>
    <w:rsid w:val="00A77102"/>
    <w:rsid w:val="00A80EC1"/>
    <w:rsid w:val="00A843C2"/>
    <w:rsid w:val="00A84CC9"/>
    <w:rsid w:val="00A86521"/>
    <w:rsid w:val="00A931EE"/>
    <w:rsid w:val="00A9511C"/>
    <w:rsid w:val="00AA0BC3"/>
    <w:rsid w:val="00AA0D7C"/>
    <w:rsid w:val="00AA32A6"/>
    <w:rsid w:val="00AA504F"/>
    <w:rsid w:val="00AB1308"/>
    <w:rsid w:val="00AB3780"/>
    <w:rsid w:val="00AB4B1F"/>
    <w:rsid w:val="00AB7BEB"/>
    <w:rsid w:val="00AC5450"/>
    <w:rsid w:val="00AD6064"/>
    <w:rsid w:val="00AD7201"/>
    <w:rsid w:val="00AE17BB"/>
    <w:rsid w:val="00AE3D9F"/>
    <w:rsid w:val="00AE4D85"/>
    <w:rsid w:val="00AF0BAF"/>
    <w:rsid w:val="00AF1EC9"/>
    <w:rsid w:val="00AF24B4"/>
    <w:rsid w:val="00AF4875"/>
    <w:rsid w:val="00B0598D"/>
    <w:rsid w:val="00B07C27"/>
    <w:rsid w:val="00B130E1"/>
    <w:rsid w:val="00B144AD"/>
    <w:rsid w:val="00B16CE8"/>
    <w:rsid w:val="00B2330D"/>
    <w:rsid w:val="00B26BCC"/>
    <w:rsid w:val="00B31F96"/>
    <w:rsid w:val="00B337D7"/>
    <w:rsid w:val="00B3730B"/>
    <w:rsid w:val="00B37C7A"/>
    <w:rsid w:val="00B41849"/>
    <w:rsid w:val="00B41BCD"/>
    <w:rsid w:val="00B43B80"/>
    <w:rsid w:val="00B44A4F"/>
    <w:rsid w:val="00B4703D"/>
    <w:rsid w:val="00B51134"/>
    <w:rsid w:val="00B60AD3"/>
    <w:rsid w:val="00B66288"/>
    <w:rsid w:val="00B674B3"/>
    <w:rsid w:val="00B71B5E"/>
    <w:rsid w:val="00B71D01"/>
    <w:rsid w:val="00B755FA"/>
    <w:rsid w:val="00B76278"/>
    <w:rsid w:val="00B77B86"/>
    <w:rsid w:val="00B8053C"/>
    <w:rsid w:val="00B81308"/>
    <w:rsid w:val="00B8449C"/>
    <w:rsid w:val="00B851DB"/>
    <w:rsid w:val="00B8583D"/>
    <w:rsid w:val="00B87BAC"/>
    <w:rsid w:val="00B909C0"/>
    <w:rsid w:val="00B90E10"/>
    <w:rsid w:val="00B928D8"/>
    <w:rsid w:val="00B9325F"/>
    <w:rsid w:val="00B93873"/>
    <w:rsid w:val="00B955C9"/>
    <w:rsid w:val="00B9583F"/>
    <w:rsid w:val="00BA04A3"/>
    <w:rsid w:val="00BA065A"/>
    <w:rsid w:val="00BA5608"/>
    <w:rsid w:val="00BA59F0"/>
    <w:rsid w:val="00BA655F"/>
    <w:rsid w:val="00BA6F57"/>
    <w:rsid w:val="00BA74AE"/>
    <w:rsid w:val="00BB3241"/>
    <w:rsid w:val="00BC181E"/>
    <w:rsid w:val="00BC7291"/>
    <w:rsid w:val="00BD4630"/>
    <w:rsid w:val="00BD58D4"/>
    <w:rsid w:val="00BD5BE8"/>
    <w:rsid w:val="00BD7C67"/>
    <w:rsid w:val="00BE172E"/>
    <w:rsid w:val="00BE2016"/>
    <w:rsid w:val="00BE3C01"/>
    <w:rsid w:val="00BE4F37"/>
    <w:rsid w:val="00BE61E5"/>
    <w:rsid w:val="00BE7832"/>
    <w:rsid w:val="00BF0C4C"/>
    <w:rsid w:val="00BF0E79"/>
    <w:rsid w:val="00BF12BD"/>
    <w:rsid w:val="00C0324D"/>
    <w:rsid w:val="00C13569"/>
    <w:rsid w:val="00C151B5"/>
    <w:rsid w:val="00C16DCE"/>
    <w:rsid w:val="00C32308"/>
    <w:rsid w:val="00C32C13"/>
    <w:rsid w:val="00C36C5F"/>
    <w:rsid w:val="00C45D20"/>
    <w:rsid w:val="00C477DC"/>
    <w:rsid w:val="00C47F6B"/>
    <w:rsid w:val="00C5208E"/>
    <w:rsid w:val="00C53791"/>
    <w:rsid w:val="00C54C75"/>
    <w:rsid w:val="00C67D32"/>
    <w:rsid w:val="00C726B4"/>
    <w:rsid w:val="00C733E8"/>
    <w:rsid w:val="00C73411"/>
    <w:rsid w:val="00C74C12"/>
    <w:rsid w:val="00C75F29"/>
    <w:rsid w:val="00C838F0"/>
    <w:rsid w:val="00C86BDA"/>
    <w:rsid w:val="00C87233"/>
    <w:rsid w:val="00C94827"/>
    <w:rsid w:val="00C94E02"/>
    <w:rsid w:val="00C97441"/>
    <w:rsid w:val="00CA131E"/>
    <w:rsid w:val="00CA23D0"/>
    <w:rsid w:val="00CA482B"/>
    <w:rsid w:val="00CB07EB"/>
    <w:rsid w:val="00CB3818"/>
    <w:rsid w:val="00CB4B32"/>
    <w:rsid w:val="00CB7932"/>
    <w:rsid w:val="00CC1E28"/>
    <w:rsid w:val="00CC368B"/>
    <w:rsid w:val="00CD5566"/>
    <w:rsid w:val="00CE1EF0"/>
    <w:rsid w:val="00CE23FD"/>
    <w:rsid w:val="00CE2B2F"/>
    <w:rsid w:val="00CE3883"/>
    <w:rsid w:val="00CE4433"/>
    <w:rsid w:val="00CE7938"/>
    <w:rsid w:val="00CF3227"/>
    <w:rsid w:val="00D00074"/>
    <w:rsid w:val="00D005C5"/>
    <w:rsid w:val="00D029D1"/>
    <w:rsid w:val="00D04534"/>
    <w:rsid w:val="00D127E6"/>
    <w:rsid w:val="00D13208"/>
    <w:rsid w:val="00D224F0"/>
    <w:rsid w:val="00D23B79"/>
    <w:rsid w:val="00D2428B"/>
    <w:rsid w:val="00D26605"/>
    <w:rsid w:val="00D310B1"/>
    <w:rsid w:val="00D365D7"/>
    <w:rsid w:val="00D4041C"/>
    <w:rsid w:val="00D42791"/>
    <w:rsid w:val="00D44AF3"/>
    <w:rsid w:val="00D51662"/>
    <w:rsid w:val="00D554B2"/>
    <w:rsid w:val="00D55729"/>
    <w:rsid w:val="00D57205"/>
    <w:rsid w:val="00D62553"/>
    <w:rsid w:val="00D62929"/>
    <w:rsid w:val="00D62B4A"/>
    <w:rsid w:val="00D71F86"/>
    <w:rsid w:val="00D819F5"/>
    <w:rsid w:val="00D82539"/>
    <w:rsid w:val="00D837D6"/>
    <w:rsid w:val="00D84951"/>
    <w:rsid w:val="00D86B41"/>
    <w:rsid w:val="00D90512"/>
    <w:rsid w:val="00DA4C10"/>
    <w:rsid w:val="00DA547D"/>
    <w:rsid w:val="00DB14E9"/>
    <w:rsid w:val="00DB2075"/>
    <w:rsid w:val="00DB6196"/>
    <w:rsid w:val="00DC07CA"/>
    <w:rsid w:val="00DC1D82"/>
    <w:rsid w:val="00DC2B88"/>
    <w:rsid w:val="00DC405F"/>
    <w:rsid w:val="00DC4253"/>
    <w:rsid w:val="00DC724F"/>
    <w:rsid w:val="00DD0BDA"/>
    <w:rsid w:val="00DD3023"/>
    <w:rsid w:val="00DD4FC7"/>
    <w:rsid w:val="00DD59BC"/>
    <w:rsid w:val="00DD6173"/>
    <w:rsid w:val="00DE0FF9"/>
    <w:rsid w:val="00DE21AF"/>
    <w:rsid w:val="00DE6B3A"/>
    <w:rsid w:val="00E135D7"/>
    <w:rsid w:val="00E1731C"/>
    <w:rsid w:val="00E20489"/>
    <w:rsid w:val="00E23D29"/>
    <w:rsid w:val="00E32BBC"/>
    <w:rsid w:val="00E366B4"/>
    <w:rsid w:val="00E443E4"/>
    <w:rsid w:val="00E4558A"/>
    <w:rsid w:val="00E5190A"/>
    <w:rsid w:val="00E54858"/>
    <w:rsid w:val="00E61488"/>
    <w:rsid w:val="00E61721"/>
    <w:rsid w:val="00E62692"/>
    <w:rsid w:val="00E647FD"/>
    <w:rsid w:val="00E65B98"/>
    <w:rsid w:val="00E66783"/>
    <w:rsid w:val="00E675D6"/>
    <w:rsid w:val="00E81CEA"/>
    <w:rsid w:val="00E82214"/>
    <w:rsid w:val="00E8519B"/>
    <w:rsid w:val="00E922D9"/>
    <w:rsid w:val="00E950F3"/>
    <w:rsid w:val="00EA2AB7"/>
    <w:rsid w:val="00EA5028"/>
    <w:rsid w:val="00EB0665"/>
    <w:rsid w:val="00EB347E"/>
    <w:rsid w:val="00EB487A"/>
    <w:rsid w:val="00EC031A"/>
    <w:rsid w:val="00EC5EFB"/>
    <w:rsid w:val="00EC7ED9"/>
    <w:rsid w:val="00ED1181"/>
    <w:rsid w:val="00ED3379"/>
    <w:rsid w:val="00ED40EB"/>
    <w:rsid w:val="00ED5897"/>
    <w:rsid w:val="00ED7495"/>
    <w:rsid w:val="00EE07EC"/>
    <w:rsid w:val="00EE3304"/>
    <w:rsid w:val="00EF1BBC"/>
    <w:rsid w:val="00EF22D6"/>
    <w:rsid w:val="00EF2880"/>
    <w:rsid w:val="00EF794E"/>
    <w:rsid w:val="00F01338"/>
    <w:rsid w:val="00F03CF1"/>
    <w:rsid w:val="00F05C46"/>
    <w:rsid w:val="00F11260"/>
    <w:rsid w:val="00F17F8F"/>
    <w:rsid w:val="00F21789"/>
    <w:rsid w:val="00F21FF4"/>
    <w:rsid w:val="00F23FA9"/>
    <w:rsid w:val="00F24FEF"/>
    <w:rsid w:val="00F2553C"/>
    <w:rsid w:val="00F33BC7"/>
    <w:rsid w:val="00F533B1"/>
    <w:rsid w:val="00F56F54"/>
    <w:rsid w:val="00F609EB"/>
    <w:rsid w:val="00F6124E"/>
    <w:rsid w:val="00F66BBC"/>
    <w:rsid w:val="00F70F5A"/>
    <w:rsid w:val="00F730F7"/>
    <w:rsid w:val="00F74D42"/>
    <w:rsid w:val="00F80777"/>
    <w:rsid w:val="00F87B14"/>
    <w:rsid w:val="00F90A2E"/>
    <w:rsid w:val="00F914DD"/>
    <w:rsid w:val="00F92D1B"/>
    <w:rsid w:val="00F95A9E"/>
    <w:rsid w:val="00F97E1F"/>
    <w:rsid w:val="00FA4E33"/>
    <w:rsid w:val="00FA7152"/>
    <w:rsid w:val="00FB60EC"/>
    <w:rsid w:val="00FC363A"/>
    <w:rsid w:val="00FD29E0"/>
    <w:rsid w:val="00FD3440"/>
    <w:rsid w:val="00FD4779"/>
    <w:rsid w:val="00FD663F"/>
    <w:rsid w:val="00FE3750"/>
    <w:rsid w:val="00FE4D60"/>
    <w:rsid w:val="00FE79A9"/>
    <w:rsid w:val="00FF19CD"/>
    <w:rsid w:val="00FF405D"/>
    <w:rsid w:val="00FF6511"/>
    <w:rsid w:val="00FF71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FDFA"/>
  <w15:chartTrackingRefBased/>
  <w15:docId w15:val="{F8F8F802-98D0-491A-9D1C-C705267B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14"/>
  </w:style>
  <w:style w:type="paragraph" w:styleId="Ttulo1">
    <w:name w:val="heading 1"/>
    <w:basedOn w:val="Ttulo2"/>
    <w:next w:val="Normal"/>
    <w:link w:val="Ttulo1Car"/>
    <w:uiPriority w:val="9"/>
    <w:qFormat/>
    <w:rsid w:val="0093209B"/>
    <w:pPr>
      <w:keepNext w:val="0"/>
      <w:keepLines w:val="0"/>
      <w:spacing w:after="60" w:line="259" w:lineRule="auto"/>
      <w:contextualSpacing w:val="0"/>
      <w:outlineLvl w:val="0"/>
    </w:pPr>
    <w:rPr>
      <w:rFonts w:asciiTheme="minorHAnsi" w:eastAsiaTheme="minorHAnsi" w:hAnsiTheme="minorHAnsi" w:cstheme="minorBidi"/>
      <w:b/>
      <w:sz w:val="28"/>
    </w:rPr>
  </w:style>
  <w:style w:type="paragraph" w:styleId="Ttulo2">
    <w:name w:val="heading 2"/>
    <w:aliases w:val="l2,h2,título 2"/>
    <w:basedOn w:val="Normal"/>
    <w:next w:val="Normal"/>
    <w:link w:val="Ttulo2Car"/>
    <w:uiPriority w:val="9"/>
    <w:unhideWhenUsed/>
    <w:qFormat/>
    <w:rsid w:val="00AA0D7C"/>
    <w:pPr>
      <w:keepNext/>
      <w:keepLines/>
      <w:spacing w:after="120" w:line="240" w:lineRule="auto"/>
      <w:contextualSpacing/>
      <w:outlineLvl w:val="1"/>
    </w:pPr>
    <w:rPr>
      <w:rFonts w:asciiTheme="majorHAnsi" w:eastAsiaTheme="majorEastAsia" w:hAnsiTheme="majorHAnsi" w:cs="Arial"/>
      <w:color w:val="70AD47" w:themeColor="accent6"/>
      <w:sz w:val="24"/>
    </w:rPr>
  </w:style>
  <w:style w:type="paragraph" w:styleId="Ttulo3">
    <w:name w:val="heading 3"/>
    <w:basedOn w:val="Normal"/>
    <w:next w:val="Normal"/>
    <w:link w:val="Ttulo3Car"/>
    <w:uiPriority w:val="9"/>
    <w:unhideWhenUsed/>
    <w:qFormat/>
    <w:rsid w:val="0093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unhideWhenUsed/>
    <w:rsid w:val="00E82214"/>
    <w:pPr>
      <w:spacing w:after="100"/>
      <w:ind w:left="220"/>
    </w:pPr>
  </w:style>
  <w:style w:type="character" w:styleId="Hipervnculo">
    <w:name w:val="Hyperlink"/>
    <w:basedOn w:val="Fuentedeprrafopredeter"/>
    <w:uiPriority w:val="99"/>
    <w:unhideWhenUsed/>
    <w:rsid w:val="00E82214"/>
    <w:rPr>
      <w:color w:val="0563C1" w:themeColor="hyperlink"/>
      <w:u w:val="single"/>
    </w:rPr>
  </w:style>
  <w:style w:type="paragraph" w:styleId="Sinespaciado">
    <w:name w:val="No Spacing"/>
    <w:link w:val="SinespaciadoCar"/>
    <w:uiPriority w:val="1"/>
    <w:qFormat/>
    <w:rsid w:val="00E82214"/>
    <w:pPr>
      <w:spacing w:after="0" w:line="240" w:lineRule="auto"/>
    </w:pPr>
  </w:style>
  <w:style w:type="character" w:customStyle="1" w:styleId="Ttulo2Car">
    <w:name w:val="Título 2 Car"/>
    <w:aliases w:val="l2 Car,h2 Car,título 2 Car"/>
    <w:basedOn w:val="Fuentedeprrafopredeter"/>
    <w:link w:val="Ttulo2"/>
    <w:uiPriority w:val="9"/>
    <w:rsid w:val="00AA0D7C"/>
    <w:rPr>
      <w:rFonts w:asciiTheme="majorHAnsi" w:eastAsiaTheme="majorEastAsia" w:hAnsiTheme="majorHAnsi" w:cs="Arial"/>
      <w:color w:val="70AD47" w:themeColor="accent6"/>
      <w:sz w:val="24"/>
    </w:rPr>
  </w:style>
  <w:style w:type="character" w:customStyle="1" w:styleId="Ttulo3Car">
    <w:name w:val="Título 3 Car"/>
    <w:basedOn w:val="Fuentedeprrafopredeter"/>
    <w:link w:val="Ttulo3"/>
    <w:uiPriority w:val="9"/>
    <w:rsid w:val="0093209B"/>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34"/>
    <w:qFormat/>
    <w:rsid w:val="0093209B"/>
    <w:pPr>
      <w:ind w:left="720"/>
      <w:contextualSpacing/>
    </w:pPr>
  </w:style>
  <w:style w:type="character" w:customStyle="1" w:styleId="Ttulo1Car">
    <w:name w:val="Título 1 Car"/>
    <w:basedOn w:val="Fuentedeprrafopredeter"/>
    <w:link w:val="Ttulo1"/>
    <w:uiPriority w:val="9"/>
    <w:rsid w:val="0093209B"/>
    <w:rPr>
      <w:b/>
      <w:color w:val="70AD47" w:themeColor="accent6"/>
      <w:sz w:val="28"/>
    </w:rPr>
  </w:style>
  <w:style w:type="paragraph" w:styleId="TDC1">
    <w:name w:val="toc 1"/>
    <w:basedOn w:val="Normal"/>
    <w:next w:val="Normal"/>
    <w:autoRedefine/>
    <w:uiPriority w:val="39"/>
    <w:unhideWhenUsed/>
    <w:rsid w:val="0093209B"/>
    <w:pPr>
      <w:spacing w:after="100"/>
    </w:pPr>
  </w:style>
  <w:style w:type="paragraph" w:styleId="TDC3">
    <w:name w:val="toc 3"/>
    <w:basedOn w:val="Normal"/>
    <w:next w:val="Normal"/>
    <w:autoRedefine/>
    <w:uiPriority w:val="39"/>
    <w:unhideWhenUsed/>
    <w:rsid w:val="0093209B"/>
    <w:pPr>
      <w:spacing w:after="100"/>
      <w:ind w:left="440"/>
    </w:pPr>
  </w:style>
  <w:style w:type="character" w:styleId="nfasis">
    <w:name w:val="Emphasis"/>
    <w:basedOn w:val="Fuentedeprrafopredeter"/>
    <w:uiPriority w:val="20"/>
    <w:qFormat/>
    <w:rsid w:val="0034211B"/>
    <w:rPr>
      <w:i/>
      <w:iCs/>
    </w:rPr>
  </w:style>
  <w:style w:type="character" w:customStyle="1" w:styleId="PrrafodelistaCar">
    <w:name w:val="Párrafo de lista Car"/>
    <w:link w:val="Prrafodelista"/>
    <w:uiPriority w:val="34"/>
    <w:locked/>
    <w:rsid w:val="0034211B"/>
  </w:style>
  <w:style w:type="table" w:styleId="Tablaconcuadrcula">
    <w:name w:val="Table Grid"/>
    <w:basedOn w:val="Tablanormal"/>
    <w:uiPriority w:val="39"/>
    <w:rsid w:val="0034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34211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4211B"/>
    <w:rPr>
      <w:rFonts w:ascii="Arial" w:eastAsia="Times New Roman" w:hAnsi="Arial" w:cs="Arial"/>
      <w:sz w:val="18"/>
      <w:szCs w:val="20"/>
      <w:lang w:val="es-ES" w:eastAsia="es-ES"/>
    </w:rPr>
  </w:style>
  <w:style w:type="paragraph" w:styleId="Descripcin">
    <w:name w:val="caption"/>
    <w:basedOn w:val="Normal"/>
    <w:next w:val="Normal"/>
    <w:uiPriority w:val="35"/>
    <w:unhideWhenUsed/>
    <w:qFormat/>
    <w:rsid w:val="0034211B"/>
    <w:pPr>
      <w:spacing w:after="200" w:line="240" w:lineRule="auto"/>
      <w:jc w:val="both"/>
    </w:pPr>
    <w:rPr>
      <w:rFonts w:ascii="Arial" w:eastAsia="Times New Roman" w:hAnsi="Arial" w:cs="Times New Roman"/>
      <w:b/>
      <w:bCs/>
      <w:color w:val="5B9BD5" w:themeColor="accent1"/>
      <w:sz w:val="18"/>
      <w:szCs w:val="18"/>
      <w:lang w:eastAsia="es-ES"/>
    </w:rPr>
  </w:style>
  <w:style w:type="paragraph" w:customStyle="1" w:styleId="Default">
    <w:name w:val="Default"/>
    <w:rsid w:val="004D001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BA6F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F57"/>
  </w:style>
  <w:style w:type="paragraph" w:styleId="Piedepgina">
    <w:name w:val="footer"/>
    <w:basedOn w:val="Normal"/>
    <w:link w:val="PiedepginaCar"/>
    <w:uiPriority w:val="99"/>
    <w:unhideWhenUsed/>
    <w:rsid w:val="00BA6F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F57"/>
  </w:style>
  <w:style w:type="character" w:styleId="Nmerodepgina">
    <w:name w:val="page number"/>
    <w:basedOn w:val="Fuentedeprrafopredeter"/>
    <w:uiPriority w:val="99"/>
    <w:semiHidden/>
    <w:unhideWhenUsed/>
    <w:rsid w:val="00BA6F57"/>
  </w:style>
  <w:style w:type="character" w:styleId="Hipervnculovisitado">
    <w:name w:val="FollowedHyperlink"/>
    <w:basedOn w:val="Fuentedeprrafopredeter"/>
    <w:uiPriority w:val="99"/>
    <w:semiHidden/>
    <w:unhideWhenUsed/>
    <w:rsid w:val="0010402D"/>
    <w:rPr>
      <w:color w:val="800080"/>
      <w:u w:val="single"/>
    </w:rPr>
  </w:style>
  <w:style w:type="paragraph" w:customStyle="1" w:styleId="xl63">
    <w:name w:val="xl63"/>
    <w:basedOn w:val="Normal"/>
    <w:rsid w:val="0010402D"/>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4">
    <w:name w:val="xl64"/>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5">
    <w:name w:val="xl65"/>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66">
    <w:name w:val="xl66"/>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7">
    <w:name w:val="xl67"/>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68">
    <w:name w:val="xl68"/>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9">
    <w:name w:val="xl69"/>
    <w:basedOn w:val="Normal"/>
    <w:rsid w:val="0010402D"/>
    <w:pPr>
      <w:pBdr>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0">
    <w:name w:val="xl70"/>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1">
    <w:name w:val="xl71"/>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2">
    <w:name w:val="xl72"/>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3">
    <w:name w:val="xl73"/>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4">
    <w:name w:val="xl74"/>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6">
    <w:name w:val="xl76"/>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0">
    <w:name w:val="xl80"/>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4">
    <w:name w:val="xl84"/>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9">
    <w:name w:val="xl89"/>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2">
    <w:name w:val="xl92"/>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3">
    <w:name w:val="xl93"/>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4">
    <w:name w:val="xl94"/>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5">
    <w:name w:val="xl95"/>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6">
    <w:name w:val="xl96"/>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7">
    <w:name w:val="xl97"/>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8">
    <w:name w:val="xl98"/>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9">
    <w:name w:val="xl99"/>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0">
    <w:name w:val="xl100"/>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1">
    <w:name w:val="xl101"/>
    <w:basedOn w:val="Normal"/>
    <w:rsid w:val="0010402D"/>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2">
    <w:name w:val="xl102"/>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3">
    <w:name w:val="xl103"/>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104">
    <w:name w:val="xl104"/>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5">
    <w:name w:val="xl105"/>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6">
    <w:name w:val="xl106"/>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07">
    <w:name w:val="xl107"/>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8">
    <w:name w:val="xl108"/>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9">
    <w:name w:val="xl109"/>
    <w:basedOn w:val="Normal"/>
    <w:rsid w:val="0010402D"/>
    <w:pPr>
      <w:pBdr>
        <w:left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0">
    <w:name w:val="xl110"/>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11">
    <w:name w:val="xl111"/>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2">
    <w:name w:val="xl112"/>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3">
    <w:name w:val="xl113"/>
    <w:basedOn w:val="Normal"/>
    <w:rsid w:val="0010402D"/>
    <w:pPr>
      <w:pBdr>
        <w:left w:val="single" w:sz="8"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4">
    <w:name w:val="xl114"/>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5">
    <w:name w:val="xl115"/>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styleId="Textodeglobo">
    <w:name w:val="Balloon Text"/>
    <w:basedOn w:val="Normal"/>
    <w:link w:val="TextodegloboCar"/>
    <w:uiPriority w:val="99"/>
    <w:semiHidden/>
    <w:unhideWhenUsed/>
    <w:rsid w:val="00FF19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9CD"/>
    <w:rPr>
      <w:rFonts w:ascii="Segoe UI" w:hAnsi="Segoe UI" w:cs="Segoe UI"/>
      <w:sz w:val="18"/>
      <w:szCs w:val="18"/>
    </w:rPr>
  </w:style>
  <w:style w:type="character" w:styleId="Refdecomentario">
    <w:name w:val="annotation reference"/>
    <w:basedOn w:val="Fuentedeprrafopredeter"/>
    <w:uiPriority w:val="99"/>
    <w:semiHidden/>
    <w:unhideWhenUsed/>
    <w:rsid w:val="007045CA"/>
    <w:rPr>
      <w:sz w:val="16"/>
      <w:szCs w:val="16"/>
    </w:rPr>
  </w:style>
  <w:style w:type="paragraph" w:styleId="Textocomentario">
    <w:name w:val="annotation text"/>
    <w:basedOn w:val="Normal"/>
    <w:link w:val="TextocomentarioCar"/>
    <w:uiPriority w:val="99"/>
    <w:unhideWhenUsed/>
    <w:rsid w:val="007045CA"/>
    <w:pPr>
      <w:spacing w:line="240" w:lineRule="auto"/>
    </w:pPr>
    <w:rPr>
      <w:sz w:val="20"/>
      <w:szCs w:val="20"/>
    </w:rPr>
  </w:style>
  <w:style w:type="character" w:customStyle="1" w:styleId="TextocomentarioCar">
    <w:name w:val="Texto comentario Car"/>
    <w:basedOn w:val="Fuentedeprrafopredeter"/>
    <w:link w:val="Textocomentario"/>
    <w:uiPriority w:val="99"/>
    <w:rsid w:val="007045CA"/>
    <w:rPr>
      <w:sz w:val="20"/>
      <w:szCs w:val="20"/>
    </w:rPr>
  </w:style>
  <w:style w:type="paragraph" w:styleId="Asuntodelcomentario">
    <w:name w:val="annotation subject"/>
    <w:basedOn w:val="Textocomentario"/>
    <w:next w:val="Textocomentario"/>
    <w:link w:val="AsuntodelcomentarioCar"/>
    <w:uiPriority w:val="99"/>
    <w:semiHidden/>
    <w:unhideWhenUsed/>
    <w:rsid w:val="007045CA"/>
    <w:rPr>
      <w:b/>
      <w:bCs/>
    </w:rPr>
  </w:style>
  <w:style w:type="character" w:customStyle="1" w:styleId="AsuntodelcomentarioCar">
    <w:name w:val="Asunto del comentario Car"/>
    <w:basedOn w:val="TextocomentarioCar"/>
    <w:link w:val="Asuntodelcomentario"/>
    <w:uiPriority w:val="99"/>
    <w:semiHidden/>
    <w:rsid w:val="007045CA"/>
    <w:rPr>
      <w:b/>
      <w:bCs/>
      <w:sz w:val="20"/>
      <w:szCs w:val="20"/>
    </w:rPr>
  </w:style>
  <w:style w:type="paragraph" w:styleId="Textonotapie">
    <w:name w:val="footnote text"/>
    <w:basedOn w:val="Normal"/>
    <w:link w:val="TextonotapieCar"/>
    <w:uiPriority w:val="99"/>
    <w:rsid w:val="003F5A02"/>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jc w:val="both"/>
      <w:textAlignment w:val="baseline"/>
    </w:pPr>
    <w:rPr>
      <w:rFonts w:ascii="Times New Roman" w:eastAsia="Times New Roman" w:hAnsi="Times New Roman" w:cs="Times New Roman"/>
      <w:szCs w:val="20"/>
      <w:lang w:val="fr-FR"/>
    </w:rPr>
  </w:style>
  <w:style w:type="character" w:customStyle="1" w:styleId="TextonotapieCar">
    <w:name w:val="Texto nota pie Car"/>
    <w:basedOn w:val="Fuentedeprrafopredeter"/>
    <w:link w:val="Textonotapie"/>
    <w:uiPriority w:val="99"/>
    <w:rsid w:val="003F5A02"/>
    <w:rPr>
      <w:rFonts w:ascii="Times New Roman" w:eastAsia="Times New Roman" w:hAnsi="Times New Roman" w:cs="Times New Roman"/>
      <w:szCs w:val="20"/>
      <w:lang w:val="fr-FR"/>
    </w:rPr>
  </w:style>
  <w:style w:type="character" w:styleId="Refdenotaalpie">
    <w:name w:val="footnote reference"/>
    <w:basedOn w:val="Fuentedeprrafopredeter"/>
    <w:uiPriority w:val="99"/>
    <w:rsid w:val="003F5A02"/>
    <w:rPr>
      <w:position w:val="6"/>
      <w:sz w:val="18"/>
    </w:rPr>
  </w:style>
  <w:style w:type="paragraph" w:customStyle="1" w:styleId="FigureNo">
    <w:name w:val="Figure_No"/>
    <w:basedOn w:val="Normal"/>
    <w:next w:val="Figuretitle"/>
    <w:link w:val="FigureNoChar"/>
    <w:uiPriority w:val="99"/>
    <w:rsid w:val="00221935"/>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18"/>
      <w:szCs w:val="20"/>
      <w:lang w:val="fr-FR"/>
    </w:rPr>
  </w:style>
  <w:style w:type="paragraph" w:customStyle="1" w:styleId="Figuretitle">
    <w:name w:val="Figure_title"/>
    <w:basedOn w:val="Normal"/>
    <w:next w:val="Figure"/>
    <w:link w:val="FiguretitleChar"/>
    <w:uiPriority w:val="99"/>
    <w:rsid w:val="00221935"/>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18"/>
      <w:szCs w:val="20"/>
      <w:lang w:val="fr-FR"/>
    </w:rPr>
  </w:style>
  <w:style w:type="paragraph" w:customStyle="1" w:styleId="Figure">
    <w:name w:val="Figure"/>
    <w:basedOn w:val="FigureNo"/>
    <w:next w:val="Normal"/>
    <w:uiPriority w:val="99"/>
    <w:rsid w:val="00221935"/>
    <w:pPr>
      <w:keepNext w:val="0"/>
      <w:spacing w:before="0" w:after="240"/>
    </w:pPr>
  </w:style>
  <w:style w:type="character" w:customStyle="1" w:styleId="FiguretitleChar">
    <w:name w:val="Figure_title Char"/>
    <w:link w:val="Figuretitle"/>
    <w:uiPriority w:val="99"/>
    <w:locked/>
    <w:rsid w:val="00221935"/>
    <w:rPr>
      <w:rFonts w:ascii="Times New Roman Bold" w:eastAsia="Times New Roman" w:hAnsi="Times New Roman Bold" w:cs="Times New Roman"/>
      <w:b/>
      <w:sz w:val="18"/>
      <w:szCs w:val="20"/>
      <w:lang w:val="fr-FR"/>
    </w:rPr>
  </w:style>
  <w:style w:type="character" w:customStyle="1" w:styleId="FigureNoChar">
    <w:name w:val="Figure_No Char"/>
    <w:link w:val="FigureNo"/>
    <w:uiPriority w:val="99"/>
    <w:locked/>
    <w:rsid w:val="00221935"/>
    <w:rPr>
      <w:rFonts w:ascii="Times New Roman" w:eastAsia="Times New Roman" w:hAnsi="Times New Roman" w:cs="Times New Roman"/>
      <w:caps/>
      <w:sz w:val="18"/>
      <w:szCs w:val="20"/>
      <w:lang w:val="fr-FR"/>
    </w:rPr>
  </w:style>
  <w:style w:type="paragraph" w:customStyle="1" w:styleId="enumlev1">
    <w:name w:val="enumlev1"/>
    <w:basedOn w:val="Normal"/>
    <w:link w:val="enumlev1Char"/>
    <w:rsid w:val="00221935"/>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cs="Times New Roman"/>
      <w:sz w:val="24"/>
      <w:szCs w:val="20"/>
      <w:lang w:val="fr-FR"/>
    </w:rPr>
  </w:style>
  <w:style w:type="character" w:customStyle="1" w:styleId="enumlev1Char">
    <w:name w:val="enumlev1 Char"/>
    <w:link w:val="enumlev1"/>
    <w:locked/>
    <w:rsid w:val="00221935"/>
    <w:rPr>
      <w:rFonts w:ascii="Times New Roman" w:eastAsia="Times New Roman" w:hAnsi="Times New Roman" w:cs="Times New Roman"/>
      <w:sz w:val="24"/>
      <w:szCs w:val="20"/>
      <w:lang w:val="fr-FR"/>
    </w:rPr>
  </w:style>
  <w:style w:type="character" w:customStyle="1" w:styleId="SinespaciadoCar">
    <w:name w:val="Sin espaciado Car"/>
    <w:basedOn w:val="Fuentedeprrafopredeter"/>
    <w:link w:val="Sinespaciado"/>
    <w:uiPriority w:val="1"/>
    <w:rsid w:val="004030D2"/>
  </w:style>
  <w:style w:type="paragraph" w:styleId="Revisin">
    <w:name w:val="Revision"/>
    <w:hidden/>
    <w:uiPriority w:val="99"/>
    <w:semiHidden/>
    <w:rsid w:val="00540E03"/>
    <w:pPr>
      <w:spacing w:after="0" w:line="240" w:lineRule="auto"/>
    </w:pPr>
  </w:style>
  <w:style w:type="table" w:styleId="Tabladecuadrcula4-nfasis6">
    <w:name w:val="Grid Table 4 Accent 6"/>
    <w:basedOn w:val="Tablanormal"/>
    <w:uiPriority w:val="49"/>
    <w:rsid w:val="000123B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0123B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8708">
      <w:bodyDiv w:val="1"/>
      <w:marLeft w:val="0"/>
      <w:marRight w:val="0"/>
      <w:marTop w:val="0"/>
      <w:marBottom w:val="0"/>
      <w:divBdr>
        <w:top w:val="none" w:sz="0" w:space="0" w:color="auto"/>
        <w:left w:val="none" w:sz="0" w:space="0" w:color="auto"/>
        <w:bottom w:val="none" w:sz="0" w:space="0" w:color="auto"/>
        <w:right w:val="none" w:sz="0" w:space="0" w:color="auto"/>
      </w:divBdr>
    </w:div>
    <w:div w:id="230190952">
      <w:bodyDiv w:val="1"/>
      <w:marLeft w:val="0"/>
      <w:marRight w:val="0"/>
      <w:marTop w:val="0"/>
      <w:marBottom w:val="0"/>
      <w:divBdr>
        <w:top w:val="none" w:sz="0" w:space="0" w:color="auto"/>
        <w:left w:val="none" w:sz="0" w:space="0" w:color="auto"/>
        <w:bottom w:val="none" w:sz="0" w:space="0" w:color="auto"/>
        <w:right w:val="none" w:sz="0" w:space="0" w:color="auto"/>
      </w:divBdr>
    </w:div>
    <w:div w:id="261186331">
      <w:bodyDiv w:val="1"/>
      <w:marLeft w:val="0"/>
      <w:marRight w:val="0"/>
      <w:marTop w:val="0"/>
      <w:marBottom w:val="0"/>
      <w:divBdr>
        <w:top w:val="none" w:sz="0" w:space="0" w:color="auto"/>
        <w:left w:val="none" w:sz="0" w:space="0" w:color="auto"/>
        <w:bottom w:val="none" w:sz="0" w:space="0" w:color="auto"/>
        <w:right w:val="none" w:sz="0" w:space="0" w:color="auto"/>
      </w:divBdr>
    </w:div>
    <w:div w:id="282466061">
      <w:bodyDiv w:val="1"/>
      <w:marLeft w:val="0"/>
      <w:marRight w:val="0"/>
      <w:marTop w:val="0"/>
      <w:marBottom w:val="0"/>
      <w:divBdr>
        <w:top w:val="none" w:sz="0" w:space="0" w:color="auto"/>
        <w:left w:val="none" w:sz="0" w:space="0" w:color="auto"/>
        <w:bottom w:val="none" w:sz="0" w:space="0" w:color="auto"/>
        <w:right w:val="none" w:sz="0" w:space="0" w:color="auto"/>
      </w:divBdr>
    </w:div>
    <w:div w:id="576595375">
      <w:bodyDiv w:val="1"/>
      <w:marLeft w:val="0"/>
      <w:marRight w:val="0"/>
      <w:marTop w:val="0"/>
      <w:marBottom w:val="0"/>
      <w:divBdr>
        <w:top w:val="none" w:sz="0" w:space="0" w:color="auto"/>
        <w:left w:val="none" w:sz="0" w:space="0" w:color="auto"/>
        <w:bottom w:val="none" w:sz="0" w:space="0" w:color="auto"/>
        <w:right w:val="none" w:sz="0" w:space="0" w:color="auto"/>
      </w:divBdr>
      <w:divsChild>
        <w:div w:id="176314642">
          <w:marLeft w:val="547"/>
          <w:marRight w:val="0"/>
          <w:marTop w:val="0"/>
          <w:marBottom w:val="0"/>
          <w:divBdr>
            <w:top w:val="none" w:sz="0" w:space="0" w:color="auto"/>
            <w:left w:val="none" w:sz="0" w:space="0" w:color="auto"/>
            <w:bottom w:val="none" w:sz="0" w:space="0" w:color="auto"/>
            <w:right w:val="none" w:sz="0" w:space="0" w:color="auto"/>
          </w:divBdr>
        </w:div>
        <w:div w:id="264004635">
          <w:marLeft w:val="1166"/>
          <w:marRight w:val="0"/>
          <w:marTop w:val="0"/>
          <w:marBottom w:val="0"/>
          <w:divBdr>
            <w:top w:val="none" w:sz="0" w:space="0" w:color="auto"/>
            <w:left w:val="none" w:sz="0" w:space="0" w:color="auto"/>
            <w:bottom w:val="none" w:sz="0" w:space="0" w:color="auto"/>
            <w:right w:val="none" w:sz="0" w:space="0" w:color="auto"/>
          </w:divBdr>
        </w:div>
        <w:div w:id="2117165201">
          <w:marLeft w:val="1166"/>
          <w:marRight w:val="0"/>
          <w:marTop w:val="0"/>
          <w:marBottom w:val="0"/>
          <w:divBdr>
            <w:top w:val="none" w:sz="0" w:space="0" w:color="auto"/>
            <w:left w:val="none" w:sz="0" w:space="0" w:color="auto"/>
            <w:bottom w:val="none" w:sz="0" w:space="0" w:color="auto"/>
            <w:right w:val="none" w:sz="0" w:space="0" w:color="auto"/>
          </w:divBdr>
        </w:div>
        <w:div w:id="1494830353">
          <w:marLeft w:val="1166"/>
          <w:marRight w:val="0"/>
          <w:marTop w:val="0"/>
          <w:marBottom w:val="0"/>
          <w:divBdr>
            <w:top w:val="none" w:sz="0" w:space="0" w:color="auto"/>
            <w:left w:val="none" w:sz="0" w:space="0" w:color="auto"/>
            <w:bottom w:val="none" w:sz="0" w:space="0" w:color="auto"/>
            <w:right w:val="none" w:sz="0" w:space="0" w:color="auto"/>
          </w:divBdr>
        </w:div>
        <w:div w:id="1710687045">
          <w:marLeft w:val="1166"/>
          <w:marRight w:val="0"/>
          <w:marTop w:val="0"/>
          <w:marBottom w:val="0"/>
          <w:divBdr>
            <w:top w:val="none" w:sz="0" w:space="0" w:color="auto"/>
            <w:left w:val="none" w:sz="0" w:space="0" w:color="auto"/>
            <w:bottom w:val="none" w:sz="0" w:space="0" w:color="auto"/>
            <w:right w:val="none" w:sz="0" w:space="0" w:color="auto"/>
          </w:divBdr>
        </w:div>
        <w:div w:id="831146159">
          <w:marLeft w:val="547"/>
          <w:marRight w:val="0"/>
          <w:marTop w:val="0"/>
          <w:marBottom w:val="0"/>
          <w:divBdr>
            <w:top w:val="none" w:sz="0" w:space="0" w:color="auto"/>
            <w:left w:val="none" w:sz="0" w:space="0" w:color="auto"/>
            <w:bottom w:val="none" w:sz="0" w:space="0" w:color="auto"/>
            <w:right w:val="none" w:sz="0" w:space="0" w:color="auto"/>
          </w:divBdr>
        </w:div>
        <w:div w:id="852232258">
          <w:marLeft w:val="1166"/>
          <w:marRight w:val="0"/>
          <w:marTop w:val="0"/>
          <w:marBottom w:val="0"/>
          <w:divBdr>
            <w:top w:val="none" w:sz="0" w:space="0" w:color="auto"/>
            <w:left w:val="none" w:sz="0" w:space="0" w:color="auto"/>
            <w:bottom w:val="none" w:sz="0" w:space="0" w:color="auto"/>
            <w:right w:val="none" w:sz="0" w:space="0" w:color="auto"/>
          </w:divBdr>
        </w:div>
        <w:div w:id="886648631">
          <w:marLeft w:val="1166"/>
          <w:marRight w:val="0"/>
          <w:marTop w:val="0"/>
          <w:marBottom w:val="0"/>
          <w:divBdr>
            <w:top w:val="none" w:sz="0" w:space="0" w:color="auto"/>
            <w:left w:val="none" w:sz="0" w:space="0" w:color="auto"/>
            <w:bottom w:val="none" w:sz="0" w:space="0" w:color="auto"/>
            <w:right w:val="none" w:sz="0" w:space="0" w:color="auto"/>
          </w:divBdr>
        </w:div>
        <w:div w:id="55401161">
          <w:marLeft w:val="1166"/>
          <w:marRight w:val="0"/>
          <w:marTop w:val="0"/>
          <w:marBottom w:val="0"/>
          <w:divBdr>
            <w:top w:val="none" w:sz="0" w:space="0" w:color="auto"/>
            <w:left w:val="none" w:sz="0" w:space="0" w:color="auto"/>
            <w:bottom w:val="none" w:sz="0" w:space="0" w:color="auto"/>
            <w:right w:val="none" w:sz="0" w:space="0" w:color="auto"/>
          </w:divBdr>
        </w:div>
        <w:div w:id="377049604">
          <w:marLeft w:val="1166"/>
          <w:marRight w:val="0"/>
          <w:marTop w:val="0"/>
          <w:marBottom w:val="0"/>
          <w:divBdr>
            <w:top w:val="none" w:sz="0" w:space="0" w:color="auto"/>
            <w:left w:val="none" w:sz="0" w:space="0" w:color="auto"/>
            <w:bottom w:val="none" w:sz="0" w:space="0" w:color="auto"/>
            <w:right w:val="none" w:sz="0" w:space="0" w:color="auto"/>
          </w:divBdr>
        </w:div>
        <w:div w:id="1668823407">
          <w:marLeft w:val="1166"/>
          <w:marRight w:val="0"/>
          <w:marTop w:val="0"/>
          <w:marBottom w:val="0"/>
          <w:divBdr>
            <w:top w:val="none" w:sz="0" w:space="0" w:color="auto"/>
            <w:left w:val="none" w:sz="0" w:space="0" w:color="auto"/>
            <w:bottom w:val="none" w:sz="0" w:space="0" w:color="auto"/>
            <w:right w:val="none" w:sz="0" w:space="0" w:color="auto"/>
          </w:divBdr>
        </w:div>
        <w:div w:id="2112238887">
          <w:marLeft w:val="547"/>
          <w:marRight w:val="0"/>
          <w:marTop w:val="0"/>
          <w:marBottom w:val="0"/>
          <w:divBdr>
            <w:top w:val="none" w:sz="0" w:space="0" w:color="auto"/>
            <w:left w:val="none" w:sz="0" w:space="0" w:color="auto"/>
            <w:bottom w:val="none" w:sz="0" w:space="0" w:color="auto"/>
            <w:right w:val="none" w:sz="0" w:space="0" w:color="auto"/>
          </w:divBdr>
        </w:div>
        <w:div w:id="1495947910">
          <w:marLeft w:val="1166"/>
          <w:marRight w:val="0"/>
          <w:marTop w:val="0"/>
          <w:marBottom w:val="0"/>
          <w:divBdr>
            <w:top w:val="none" w:sz="0" w:space="0" w:color="auto"/>
            <w:left w:val="none" w:sz="0" w:space="0" w:color="auto"/>
            <w:bottom w:val="none" w:sz="0" w:space="0" w:color="auto"/>
            <w:right w:val="none" w:sz="0" w:space="0" w:color="auto"/>
          </w:divBdr>
        </w:div>
        <w:div w:id="1729526109">
          <w:marLeft w:val="1166"/>
          <w:marRight w:val="0"/>
          <w:marTop w:val="0"/>
          <w:marBottom w:val="0"/>
          <w:divBdr>
            <w:top w:val="none" w:sz="0" w:space="0" w:color="auto"/>
            <w:left w:val="none" w:sz="0" w:space="0" w:color="auto"/>
            <w:bottom w:val="none" w:sz="0" w:space="0" w:color="auto"/>
            <w:right w:val="none" w:sz="0" w:space="0" w:color="auto"/>
          </w:divBdr>
        </w:div>
      </w:divsChild>
    </w:div>
    <w:div w:id="611785905">
      <w:bodyDiv w:val="1"/>
      <w:marLeft w:val="0"/>
      <w:marRight w:val="0"/>
      <w:marTop w:val="0"/>
      <w:marBottom w:val="0"/>
      <w:divBdr>
        <w:top w:val="none" w:sz="0" w:space="0" w:color="auto"/>
        <w:left w:val="none" w:sz="0" w:space="0" w:color="auto"/>
        <w:bottom w:val="none" w:sz="0" w:space="0" w:color="auto"/>
        <w:right w:val="none" w:sz="0" w:space="0" w:color="auto"/>
      </w:divBdr>
    </w:div>
    <w:div w:id="622466546">
      <w:bodyDiv w:val="1"/>
      <w:marLeft w:val="0"/>
      <w:marRight w:val="0"/>
      <w:marTop w:val="0"/>
      <w:marBottom w:val="0"/>
      <w:divBdr>
        <w:top w:val="none" w:sz="0" w:space="0" w:color="auto"/>
        <w:left w:val="none" w:sz="0" w:space="0" w:color="auto"/>
        <w:bottom w:val="none" w:sz="0" w:space="0" w:color="auto"/>
        <w:right w:val="none" w:sz="0" w:space="0" w:color="auto"/>
      </w:divBdr>
    </w:div>
    <w:div w:id="694694115">
      <w:bodyDiv w:val="1"/>
      <w:marLeft w:val="0"/>
      <w:marRight w:val="0"/>
      <w:marTop w:val="0"/>
      <w:marBottom w:val="0"/>
      <w:divBdr>
        <w:top w:val="none" w:sz="0" w:space="0" w:color="auto"/>
        <w:left w:val="none" w:sz="0" w:space="0" w:color="auto"/>
        <w:bottom w:val="none" w:sz="0" w:space="0" w:color="auto"/>
        <w:right w:val="none" w:sz="0" w:space="0" w:color="auto"/>
      </w:divBdr>
    </w:div>
    <w:div w:id="733166511">
      <w:bodyDiv w:val="1"/>
      <w:marLeft w:val="0"/>
      <w:marRight w:val="0"/>
      <w:marTop w:val="0"/>
      <w:marBottom w:val="0"/>
      <w:divBdr>
        <w:top w:val="none" w:sz="0" w:space="0" w:color="auto"/>
        <w:left w:val="none" w:sz="0" w:space="0" w:color="auto"/>
        <w:bottom w:val="none" w:sz="0" w:space="0" w:color="auto"/>
        <w:right w:val="none" w:sz="0" w:space="0" w:color="auto"/>
      </w:divBdr>
    </w:div>
    <w:div w:id="875580613">
      <w:bodyDiv w:val="1"/>
      <w:marLeft w:val="0"/>
      <w:marRight w:val="0"/>
      <w:marTop w:val="0"/>
      <w:marBottom w:val="0"/>
      <w:divBdr>
        <w:top w:val="none" w:sz="0" w:space="0" w:color="auto"/>
        <w:left w:val="none" w:sz="0" w:space="0" w:color="auto"/>
        <w:bottom w:val="none" w:sz="0" w:space="0" w:color="auto"/>
        <w:right w:val="none" w:sz="0" w:space="0" w:color="auto"/>
      </w:divBdr>
    </w:div>
    <w:div w:id="1009723492">
      <w:bodyDiv w:val="1"/>
      <w:marLeft w:val="0"/>
      <w:marRight w:val="0"/>
      <w:marTop w:val="0"/>
      <w:marBottom w:val="0"/>
      <w:divBdr>
        <w:top w:val="none" w:sz="0" w:space="0" w:color="auto"/>
        <w:left w:val="none" w:sz="0" w:space="0" w:color="auto"/>
        <w:bottom w:val="none" w:sz="0" w:space="0" w:color="auto"/>
        <w:right w:val="none" w:sz="0" w:space="0" w:color="auto"/>
      </w:divBdr>
    </w:div>
    <w:div w:id="1198471442">
      <w:bodyDiv w:val="1"/>
      <w:marLeft w:val="0"/>
      <w:marRight w:val="0"/>
      <w:marTop w:val="0"/>
      <w:marBottom w:val="0"/>
      <w:divBdr>
        <w:top w:val="none" w:sz="0" w:space="0" w:color="auto"/>
        <w:left w:val="none" w:sz="0" w:space="0" w:color="auto"/>
        <w:bottom w:val="none" w:sz="0" w:space="0" w:color="auto"/>
        <w:right w:val="none" w:sz="0" w:space="0" w:color="auto"/>
      </w:divBdr>
    </w:div>
    <w:div w:id="1328749560">
      <w:bodyDiv w:val="1"/>
      <w:marLeft w:val="0"/>
      <w:marRight w:val="0"/>
      <w:marTop w:val="0"/>
      <w:marBottom w:val="0"/>
      <w:divBdr>
        <w:top w:val="none" w:sz="0" w:space="0" w:color="auto"/>
        <w:left w:val="none" w:sz="0" w:space="0" w:color="auto"/>
        <w:bottom w:val="none" w:sz="0" w:space="0" w:color="auto"/>
        <w:right w:val="none" w:sz="0" w:space="0" w:color="auto"/>
      </w:divBdr>
    </w:div>
    <w:div w:id="1376344244">
      <w:bodyDiv w:val="1"/>
      <w:marLeft w:val="0"/>
      <w:marRight w:val="0"/>
      <w:marTop w:val="0"/>
      <w:marBottom w:val="0"/>
      <w:divBdr>
        <w:top w:val="none" w:sz="0" w:space="0" w:color="auto"/>
        <w:left w:val="none" w:sz="0" w:space="0" w:color="auto"/>
        <w:bottom w:val="none" w:sz="0" w:space="0" w:color="auto"/>
        <w:right w:val="none" w:sz="0" w:space="0" w:color="auto"/>
      </w:divBdr>
    </w:div>
    <w:div w:id="1697930012">
      <w:bodyDiv w:val="1"/>
      <w:marLeft w:val="0"/>
      <w:marRight w:val="0"/>
      <w:marTop w:val="0"/>
      <w:marBottom w:val="0"/>
      <w:divBdr>
        <w:top w:val="none" w:sz="0" w:space="0" w:color="auto"/>
        <w:left w:val="none" w:sz="0" w:space="0" w:color="auto"/>
        <w:bottom w:val="none" w:sz="0" w:space="0" w:color="auto"/>
        <w:right w:val="none" w:sz="0" w:space="0" w:color="auto"/>
      </w:divBdr>
    </w:div>
    <w:div w:id="1846556303">
      <w:bodyDiv w:val="1"/>
      <w:marLeft w:val="0"/>
      <w:marRight w:val="0"/>
      <w:marTop w:val="0"/>
      <w:marBottom w:val="0"/>
      <w:divBdr>
        <w:top w:val="none" w:sz="0" w:space="0" w:color="auto"/>
        <w:left w:val="none" w:sz="0" w:space="0" w:color="auto"/>
        <w:bottom w:val="none" w:sz="0" w:space="0" w:color="auto"/>
        <w:right w:val="none" w:sz="0" w:space="0" w:color="auto"/>
      </w:divBdr>
    </w:div>
    <w:div w:id="1848472777">
      <w:bodyDiv w:val="1"/>
      <w:marLeft w:val="0"/>
      <w:marRight w:val="0"/>
      <w:marTop w:val="0"/>
      <w:marBottom w:val="0"/>
      <w:divBdr>
        <w:top w:val="none" w:sz="0" w:space="0" w:color="auto"/>
        <w:left w:val="none" w:sz="0" w:space="0" w:color="auto"/>
        <w:bottom w:val="none" w:sz="0" w:space="0" w:color="auto"/>
        <w:right w:val="none" w:sz="0" w:space="0" w:color="auto"/>
      </w:divBdr>
    </w:div>
    <w:div w:id="1955020519">
      <w:bodyDiv w:val="1"/>
      <w:marLeft w:val="0"/>
      <w:marRight w:val="0"/>
      <w:marTop w:val="0"/>
      <w:marBottom w:val="0"/>
      <w:divBdr>
        <w:top w:val="none" w:sz="0" w:space="0" w:color="auto"/>
        <w:left w:val="none" w:sz="0" w:space="0" w:color="auto"/>
        <w:bottom w:val="none" w:sz="0" w:space="0" w:color="auto"/>
        <w:right w:val="none" w:sz="0" w:space="0" w:color="auto"/>
      </w:divBdr>
    </w:div>
    <w:div w:id="2012294668">
      <w:bodyDiv w:val="1"/>
      <w:marLeft w:val="0"/>
      <w:marRight w:val="0"/>
      <w:marTop w:val="0"/>
      <w:marBottom w:val="0"/>
      <w:divBdr>
        <w:top w:val="none" w:sz="0" w:space="0" w:color="auto"/>
        <w:left w:val="none" w:sz="0" w:space="0" w:color="auto"/>
        <w:bottom w:val="none" w:sz="0" w:space="0" w:color="auto"/>
        <w:right w:val="none" w:sz="0" w:space="0" w:color="auto"/>
      </w:divBdr>
    </w:div>
    <w:div w:id="20760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findstds/standard/802.15.3-2016.html" TargetMode="External"/><Relationship Id="rId18" Type="http://schemas.openxmlformats.org/officeDocument/2006/relationships/hyperlink" Target="https://www.itu.int/rec/R-REC-RS.515-5-201208-I/es" TargetMode="External"/><Relationship Id="rId26" Type="http://schemas.openxmlformats.org/officeDocument/2006/relationships/hyperlink" Target="http://www.itu.int/dms_pub/itu-r/opb/rep/R-REP-M.2227-1-2014-PDF-E.pdf" TargetMode="External"/><Relationship Id="rId39" Type="http://schemas.openxmlformats.org/officeDocument/2006/relationships/header" Target="header1.xml"/><Relationship Id="rId21" Type="http://schemas.openxmlformats.org/officeDocument/2006/relationships/hyperlink" Target="https://www.itu.int/rec/R-REC-SM.1056-1-200704-I/es" TargetMode="External"/><Relationship Id="rId34" Type="http://schemas.openxmlformats.org/officeDocument/2006/relationships/chart" Target="charts/chart4.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tsi.org/deliver/etsi_en/302500_302599/302567/01.02.01_60/en_302567v010201p.pdf" TargetMode="External"/><Relationship Id="rId20" Type="http://schemas.openxmlformats.org/officeDocument/2006/relationships/hyperlink" Target="https://www.itu.int/dms_pubrec/itu-r/rec/sm/R-REC-SM.329-12-201209-I!!PDF-E.pdf" TargetMode="External"/><Relationship Id="rId29" Type="http://schemas.openxmlformats.org/officeDocument/2006/relationships/hyperlink" Target="http://www.itu.int/pub/R-REP-SM.2153-5-2015/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rec/R-REC-SM.1896-0-201111-I/es" TargetMode="External"/><Relationship Id="rId32" Type="http://schemas.openxmlformats.org/officeDocument/2006/relationships/chart" Target="charts/chart2.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etsi.org/deliver/etsi_en/302200_302299/30221703/02.02.01_60/en_30221703v020201p.pdf" TargetMode="External"/><Relationship Id="rId23" Type="http://schemas.openxmlformats.org/officeDocument/2006/relationships/hyperlink" Target="https://www.itu.int/dms_pubrec/itu-r/rec/f/R-REC-F.1488-0-200005-I!!PDF-E.pdf" TargetMode="External"/><Relationship Id="rId28" Type="http://schemas.openxmlformats.org/officeDocument/2006/relationships/hyperlink" Target="http://www.itu.int/dms_pub/itu-r/opb/rep/R-REP-M.2376-2015-PDF-E.pdf" TargetMode="External"/><Relationship Id="rId36" Type="http://schemas.openxmlformats.org/officeDocument/2006/relationships/chart" Target="charts/chart6.xml"/><Relationship Id="rId10" Type="http://schemas.openxmlformats.org/officeDocument/2006/relationships/footnotes" Target="footnotes.xml"/><Relationship Id="rId19" Type="http://schemas.openxmlformats.org/officeDocument/2006/relationships/hyperlink" Target="https://www.itu.int/rec/R-REC-RS.1259/es" TargetMode="Externa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eeexplore.ieee.org/document/6392842/?denied" TargetMode="External"/><Relationship Id="rId22" Type="http://schemas.openxmlformats.org/officeDocument/2006/relationships/hyperlink" Target="https://www.itu.int/dms_pubrec/itu-r/rec/sm/R-REC-SM.1265-1-200107-I!!PDF-S.pdf" TargetMode="External"/><Relationship Id="rId27" Type="http://schemas.openxmlformats.org/officeDocument/2006/relationships/hyperlink" Target="http://www.itu.int/dms_pub/itu-r/opb/rep/R-REP-M.2228-1-2015-PDF-E.pdf" TargetMode="External"/><Relationship Id="rId30" Type="http://schemas.openxmlformats.org/officeDocument/2006/relationships/hyperlink" Target="http://www.erodocdb.dk/docs/doc98/official/pdf/Rec0901.pdf" TargetMode="External"/><Relationship Id="rId35" Type="http://schemas.openxmlformats.org/officeDocument/2006/relationships/chart" Target="charts/chart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ecma-international.org/publications/files/ECMA-ST/ECMA-387.pdf" TargetMode="External"/><Relationship Id="rId17" Type="http://schemas.openxmlformats.org/officeDocument/2006/relationships/hyperlink" Target="https://www.itu.int/rec/R-REC-P.1411-8-201507-I/es" TargetMode="External"/><Relationship Id="rId25" Type="http://schemas.openxmlformats.org/officeDocument/2006/relationships/hyperlink" Target="https://www.itu.int/dms_pub/itu-r/opb/rep/R-REP-F.2107-2-2011-PDF-E.pdf" TargetMode="External"/><Relationship Id="rId33" Type="http://schemas.openxmlformats.org/officeDocument/2006/relationships/chart" Target="charts/chart3.xm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itu.int/pub/R-REP-SM.2153/es" TargetMode="External"/><Relationship Id="rId1" Type="http://schemas.openxmlformats.org/officeDocument/2006/relationships/hyperlink" Target="http://www.ictregulationtoolkit.org/toolkit/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34.144.5\upr_sharefc$\03%20Pol&#237;ticas%20y%20Programas\002%20PAT\PAT%202016\Espectro%20Libre\An&#225;lisis%20de%20disponibilidad%20tecnol&#243;gica-DGIEET\ANEXO-Oficio%20DGIEET-133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34.144.5\upr_sharefc$\03%20Pol&#237;ticas%20y%20Programas\002%20PAT\PAT%202016\Espectro%20Libre\An&#225;lisis%20de%20disponibilidad%20tecnol&#243;gica-DGIEET\ANEXO-Oficio%20DGIEET-133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MX"/>
              <a:t>Equipos de radio</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MX"/>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Hoja1!$B$2</c:f>
              <c:strCache>
                <c:ptCount val="1"/>
                <c:pt idx="0">
                  <c:v>54 - 63 GHz</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val>
            <c:numRef>
              <c:f>Hoja1!$C$2</c:f>
              <c:numCache>
                <c:formatCode>General</c:formatCode>
                <c:ptCount val="1"/>
                <c:pt idx="0">
                  <c:v>1</c:v>
                </c:pt>
              </c:numCache>
            </c:numRef>
          </c:val>
        </c:ser>
        <c:ser>
          <c:idx val="1"/>
          <c:order val="1"/>
          <c:tx>
            <c:strRef>
              <c:f>Hoja1!$B$3</c:f>
              <c:strCache>
                <c:ptCount val="1"/>
                <c:pt idx="0">
                  <c:v>57 - 64 GHz</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val>
            <c:numRef>
              <c:f>Hoja1!$C$3</c:f>
              <c:numCache>
                <c:formatCode>General</c:formatCode>
                <c:ptCount val="1"/>
                <c:pt idx="0">
                  <c:v>9</c:v>
                </c:pt>
              </c:numCache>
            </c:numRef>
          </c:val>
        </c:ser>
        <c:ser>
          <c:idx val="2"/>
          <c:order val="2"/>
          <c:tx>
            <c:strRef>
              <c:f>Hoja1!$B$4</c:f>
              <c:strCache>
                <c:ptCount val="1"/>
                <c:pt idx="0">
                  <c:v>57 - 66 GHz</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val>
            <c:numRef>
              <c:f>Hoja1!$C$4</c:f>
              <c:numCache>
                <c:formatCode>General</c:formatCode>
                <c:ptCount val="1"/>
                <c:pt idx="0">
                  <c:v>2</c:v>
                </c:pt>
              </c:numCache>
            </c:numRef>
          </c:val>
        </c:ser>
        <c:ser>
          <c:idx val="3"/>
          <c:order val="3"/>
          <c:tx>
            <c:strRef>
              <c:f>Hoja1!$B$5</c:f>
              <c:strCache>
                <c:ptCount val="1"/>
                <c:pt idx="0">
                  <c:v>58.25 - 63.25 GHz
</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val>
            <c:numRef>
              <c:f>Hoja1!$C$5</c:f>
              <c:numCache>
                <c:formatCode>General</c:formatCode>
                <c:ptCount val="1"/>
                <c:pt idx="0">
                  <c:v>1</c:v>
                </c:pt>
              </c:numCache>
            </c:numRef>
          </c:val>
        </c:ser>
        <c:ser>
          <c:idx val="4"/>
          <c:order val="4"/>
          <c:tx>
            <c:strRef>
              <c:f>Hoja1!$B$6</c:f>
              <c:strCache>
                <c:ptCount val="1"/>
                <c:pt idx="0">
                  <c:v>59 - 63  GHz</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val>
            <c:numRef>
              <c:f>Hoja1!$C$6</c:f>
              <c:numCache>
                <c:formatCode>General</c:formatCode>
                <c:ptCount val="1"/>
                <c:pt idx="0">
                  <c:v>1</c:v>
                </c:pt>
              </c:numCache>
            </c:numRef>
          </c:val>
        </c:ser>
        <c:ser>
          <c:idx val="5"/>
          <c:order val="5"/>
          <c:tx>
            <c:strRef>
              <c:f>Hoja1!$B$7</c:f>
              <c:strCache>
                <c:ptCount val="1"/>
                <c:pt idx="0">
                  <c:v>59 - 64 GHz</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val>
            <c:numRef>
              <c:f>Hoja1!$C$7</c:f>
              <c:numCache>
                <c:formatCode>General</c:formatCode>
                <c:ptCount val="1"/>
                <c:pt idx="0">
                  <c:v>1</c:v>
                </c:pt>
              </c:numCache>
            </c:numRef>
          </c:val>
        </c:ser>
        <c:ser>
          <c:idx val="6"/>
          <c:order val="6"/>
          <c:tx>
            <c:strRef>
              <c:f>Hoja1!$B$8</c:f>
              <c:strCache>
                <c:ptCount val="1"/>
                <c:pt idx="0">
                  <c:v>60 GHz</c:v>
                </c:pt>
              </c:strCache>
            </c:strRef>
          </c:tx>
          <c:spPr>
            <a:pattFill prst="ltDnDiag">
              <a:fgClr>
                <a:schemeClr val="accent1">
                  <a:lumMod val="60000"/>
                </a:schemeClr>
              </a:fgClr>
              <a:bgClr>
                <a:schemeClr val="accent1">
                  <a:lumMod val="60000"/>
                  <a:lumMod val="20000"/>
                  <a:lumOff val="80000"/>
                </a:schemeClr>
              </a:bgClr>
            </a:pattFill>
            <a:ln>
              <a:solidFill>
                <a:schemeClr val="accent1">
                  <a:lumMod val="60000"/>
                </a:schemeClr>
              </a:solidFill>
            </a:ln>
            <a:effectLst/>
            <a:sp3d>
              <a:contourClr>
                <a:schemeClr val="accent1">
                  <a:lumMod val="60000"/>
                </a:schemeClr>
              </a:contourClr>
            </a:sp3d>
          </c:spPr>
          <c:invertIfNegative val="0"/>
          <c:val>
            <c:numRef>
              <c:f>Hoja1!$C$8</c:f>
              <c:numCache>
                <c:formatCode>General</c:formatCode>
                <c:ptCount val="1"/>
                <c:pt idx="0">
                  <c:v>6</c:v>
                </c:pt>
              </c:numCache>
            </c:numRef>
          </c:val>
        </c:ser>
        <c:ser>
          <c:idx val="7"/>
          <c:order val="7"/>
          <c:tx>
            <c:strRef>
              <c:f>Hoja1!$B$9</c:f>
              <c:strCache>
                <c:ptCount val="1"/>
                <c:pt idx="0">
                  <c:v>64 - 66  GHz</c:v>
                </c:pt>
              </c:strCache>
            </c:strRef>
          </c:tx>
          <c:spPr>
            <a:pattFill prst="ltDnDiag">
              <a:fgClr>
                <a:schemeClr val="accent2">
                  <a:lumMod val="60000"/>
                </a:schemeClr>
              </a:fgClr>
              <a:bgClr>
                <a:schemeClr val="accent2">
                  <a:lumMod val="60000"/>
                  <a:lumMod val="20000"/>
                  <a:lumOff val="80000"/>
                </a:schemeClr>
              </a:bgClr>
            </a:pattFill>
            <a:ln>
              <a:solidFill>
                <a:schemeClr val="accent2">
                  <a:lumMod val="60000"/>
                </a:schemeClr>
              </a:solidFill>
            </a:ln>
            <a:effectLst/>
            <a:sp3d>
              <a:contourClr>
                <a:schemeClr val="accent2">
                  <a:lumMod val="60000"/>
                </a:schemeClr>
              </a:contourClr>
            </a:sp3d>
          </c:spPr>
          <c:invertIfNegative val="0"/>
          <c:val>
            <c:numRef>
              <c:f>Hoja1!$C$9</c:f>
              <c:numCache>
                <c:formatCode>General</c:formatCode>
                <c:ptCount val="1"/>
                <c:pt idx="0">
                  <c:v>1</c:v>
                </c:pt>
              </c:numCache>
            </c:numRef>
          </c:val>
        </c:ser>
        <c:dLbls>
          <c:showLegendKey val="0"/>
          <c:showVal val="0"/>
          <c:showCatName val="0"/>
          <c:showSerName val="0"/>
          <c:showPercent val="0"/>
          <c:showBubbleSize val="0"/>
        </c:dLbls>
        <c:gapWidth val="160"/>
        <c:gapDepth val="0"/>
        <c:shape val="box"/>
        <c:axId val="-1748706240"/>
        <c:axId val="-1748709504"/>
        <c:axId val="0"/>
      </c:bar3DChart>
      <c:catAx>
        <c:axId val="-1748706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09504"/>
        <c:crosses val="autoZero"/>
        <c:auto val="1"/>
        <c:lblAlgn val="ctr"/>
        <c:lblOffset val="100"/>
        <c:noMultiLvlLbl val="0"/>
      </c:catAx>
      <c:valAx>
        <c:axId val="-174870950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062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[ANEXO-Oficio DGIEET-1338.xlsx]Hoja2!Tabla dinámica3</c:name>
    <c:fmtId val="-1"/>
  </c:pivotSource>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a:t>Dispositivos de Corto Alcance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MX"/>
        </a:p>
      </c:txPr>
    </c:title>
    <c:autoTitleDeleted val="0"/>
    <c:pivotFmts>
      <c:pivotFmt>
        <c:idx val="0"/>
        <c:spPr>
          <a:solidFill>
            <a:schemeClr val="accent6"/>
          </a:solidFill>
          <a:ln>
            <a:noFill/>
          </a:ln>
          <a:effectLst/>
        </c:spPr>
        <c:marker>
          <c:symbol val="none"/>
        </c:marker>
      </c:pivotFmt>
      <c:pivotFmt>
        <c:idx val="1"/>
        <c:spPr>
          <a:solidFill>
            <a:schemeClr val="accent6"/>
          </a:solidFill>
          <a:ln>
            <a:noFill/>
          </a:ln>
          <a:effectLst/>
        </c:spPr>
        <c:marker>
          <c:symbol val="none"/>
        </c:marker>
      </c:pivotFmt>
      <c:pivotFmt>
        <c:idx val="2"/>
        <c:spPr>
          <a:solidFill>
            <a:schemeClr val="accent6"/>
          </a:solidFill>
          <a:ln>
            <a:noFill/>
          </a:ln>
          <a:effectLst/>
        </c:spPr>
        <c:marker>
          <c:symbol val="none"/>
        </c:marker>
      </c:pivotFmt>
      <c:pivotFmt>
        <c:idx val="3"/>
        <c:spPr>
          <a:solidFill>
            <a:schemeClr val="accent6"/>
          </a:solidFill>
          <a:ln>
            <a:noFill/>
          </a:ln>
          <a:effectLst/>
        </c:spPr>
        <c:marker>
          <c:symbol val="none"/>
        </c:marker>
      </c:pivotFmt>
      <c:pivotFmt>
        <c:idx val="4"/>
        <c:spPr>
          <a:solidFill>
            <a:schemeClr val="accent6"/>
          </a:solidFill>
          <a:ln>
            <a:noFill/>
          </a:ln>
          <a:effectLst/>
        </c:spPr>
        <c:marker>
          <c:symbol val="none"/>
        </c:marker>
      </c:pivotFmt>
      <c:pivotFmt>
        <c:idx val="5"/>
        <c:spPr>
          <a:solidFill>
            <a:schemeClr val="accent6"/>
          </a:solidFill>
          <a:ln>
            <a:noFill/>
          </a:ln>
          <a:effectLst/>
        </c:spPr>
        <c:marker>
          <c:symbol val="none"/>
        </c:marker>
      </c:pivotFmt>
      <c:pivotFmt>
        <c:idx val="6"/>
        <c:spPr>
          <a:solidFill>
            <a:schemeClr val="accent6"/>
          </a:solidFill>
          <a:ln>
            <a:noFill/>
          </a:ln>
          <a:effectLst/>
        </c:spPr>
        <c:marker>
          <c:symbol val="none"/>
        </c:marker>
      </c:pivotFmt>
      <c:pivotFmt>
        <c:idx val="7"/>
        <c:spPr>
          <a:solidFill>
            <a:schemeClr val="accent6"/>
          </a:solidFill>
          <a:ln>
            <a:noFill/>
          </a:ln>
          <a:effectLst/>
        </c:spPr>
        <c:marker>
          <c:symbol val="none"/>
        </c:marker>
      </c:pivotFmt>
      <c:pivotFmt>
        <c:idx val="8"/>
        <c:spPr>
          <a:solidFill>
            <a:schemeClr val="accent6"/>
          </a:solidFill>
          <a:ln>
            <a:noFill/>
          </a:ln>
          <a:effectLst/>
        </c:spPr>
        <c:marker>
          <c:symbol val="none"/>
        </c:marker>
      </c:pivotFmt>
      <c:pivotFmt>
        <c:idx val="9"/>
        <c:spPr>
          <a:solidFill>
            <a:schemeClr val="accent6"/>
          </a:solidFill>
          <a:ln>
            <a:noFill/>
          </a:ln>
          <a:effectLst/>
        </c:spPr>
        <c:marker>
          <c:symbol val="none"/>
        </c:marker>
      </c:pivotFmt>
      <c:pivotFmt>
        <c:idx val="10"/>
        <c:spPr>
          <a:solidFill>
            <a:schemeClr val="accent6"/>
          </a:solidFill>
          <a:ln>
            <a:noFill/>
          </a:ln>
          <a:effectLst/>
        </c:spPr>
        <c:marker>
          <c:symbol val="none"/>
        </c:marker>
      </c:pivotFmt>
      <c:pivotFmt>
        <c:idx val="11"/>
        <c:spPr>
          <a:solidFill>
            <a:schemeClr val="accent6"/>
          </a:solidFill>
          <a:ln>
            <a:noFill/>
          </a:ln>
          <a:effectLst/>
        </c:spPr>
        <c:marker>
          <c:symbol val="none"/>
        </c:marker>
      </c:pivotFmt>
      <c:pivotFmt>
        <c:idx val="12"/>
        <c:spPr>
          <a:solidFill>
            <a:schemeClr val="accent6"/>
          </a:solidFill>
          <a:ln>
            <a:noFill/>
          </a:ln>
          <a:effectLst/>
        </c:spPr>
        <c:marker>
          <c:symbol val="none"/>
        </c:marker>
      </c:pivotFmt>
      <c:pivotFmt>
        <c:idx val="13"/>
        <c:spPr>
          <a:solidFill>
            <a:schemeClr val="accent6"/>
          </a:solidFill>
          <a:ln>
            <a:noFill/>
          </a:ln>
          <a:effectLst/>
        </c:spPr>
        <c:marker>
          <c:symbol val="none"/>
        </c:marker>
      </c:pivotFmt>
      <c:pivotFmt>
        <c:idx val="14"/>
        <c:spPr>
          <a:solidFill>
            <a:schemeClr val="accent6"/>
          </a:solidFill>
          <a:ln>
            <a:noFill/>
          </a:ln>
          <a:effectLst/>
        </c:spPr>
        <c:marker>
          <c:symbol val="none"/>
        </c:marker>
      </c:pivotFmt>
    </c:pivotFmts>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Hoja2!$C$23</c:f>
              <c:strCache>
                <c:ptCount val="1"/>
                <c:pt idx="0">
                  <c:v>Total</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cat>
            <c:strRef>
              <c:f>Hoja2!$B$24:$B$27</c:f>
              <c:strCache>
                <c:ptCount val="3"/>
                <c:pt idx="0">
                  <c:v>57-66GHz</c:v>
                </c:pt>
                <c:pt idx="1">
                  <c:v>59.40 - 63.72 GHz</c:v>
                </c:pt>
                <c:pt idx="2">
                  <c:v>60 GHz</c:v>
                </c:pt>
              </c:strCache>
            </c:strRef>
          </c:cat>
          <c:val>
            <c:numRef>
              <c:f>Hoja2!$C$24:$C$27</c:f>
              <c:numCache>
                <c:formatCode>General</c:formatCode>
                <c:ptCount val="3"/>
                <c:pt idx="0">
                  <c:v>1</c:v>
                </c:pt>
                <c:pt idx="1">
                  <c:v>1</c:v>
                </c:pt>
                <c:pt idx="2">
                  <c:v>4</c:v>
                </c:pt>
              </c:numCache>
            </c:numRef>
          </c:val>
        </c:ser>
        <c:dLbls>
          <c:showLegendKey val="0"/>
          <c:showVal val="0"/>
          <c:showCatName val="0"/>
          <c:showSerName val="0"/>
          <c:showPercent val="0"/>
          <c:showBubbleSize val="0"/>
        </c:dLbls>
        <c:gapWidth val="160"/>
        <c:gapDepth val="0"/>
        <c:shape val="box"/>
        <c:axId val="-1748710592"/>
        <c:axId val="-1748711680"/>
        <c:axId val="0"/>
      </c:bar3DChart>
      <c:catAx>
        <c:axId val="-1748710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11680"/>
        <c:crosses val="autoZero"/>
        <c:auto val="1"/>
        <c:lblAlgn val="ctr"/>
        <c:lblOffset val="100"/>
        <c:noMultiLvlLbl val="0"/>
      </c:catAx>
      <c:valAx>
        <c:axId val="-1748711680"/>
        <c:scaling>
          <c:orientation val="minMax"/>
        </c:scaling>
        <c:delete val="1"/>
        <c:axPos val="l"/>
        <c:majorGridlines>
          <c:spPr>
            <a:ln>
              <a:solidFill>
                <a:schemeClr val="tx1">
                  <a:lumMod val="15000"/>
                  <a:lumOff val="85000"/>
                </a:schemeClr>
              </a:solidFill>
            </a:ln>
            <a:effectLst/>
          </c:spPr>
        </c:majorGridlines>
        <c:numFmt formatCode="General" sourceLinked="1"/>
        <c:majorTickMark val="none"/>
        <c:minorTickMark val="none"/>
        <c:tickLblPos val="nextTo"/>
        <c:crossAx val="-1748710592"/>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[ANEXO-Oficio DGIEET-1338.xlsx]Routers!Tabla dinámica4</c:name>
    <c:fmtId val="-1"/>
  </c:pivotSource>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Ruteadores</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MX"/>
        </a:p>
      </c:txPr>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Routers!$B$9</c:f>
              <c:strCache>
                <c:ptCount val="1"/>
                <c:pt idx="0">
                  <c:v>Total</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cat>
            <c:strRef>
              <c:f>Routers!$A$10:$A$13</c:f>
              <c:strCache>
                <c:ptCount val="3"/>
                <c:pt idx="0">
                  <c:v> 5 GHz</c:v>
                </c:pt>
                <c:pt idx="1">
                  <c:v>2.4 GHz</c:v>
                </c:pt>
                <c:pt idx="2">
                  <c:v>60 GHz</c:v>
                </c:pt>
              </c:strCache>
            </c:strRef>
          </c:cat>
          <c:val>
            <c:numRef>
              <c:f>Routers!$B$10:$B$13</c:f>
              <c:numCache>
                <c:formatCode>General</c:formatCode>
                <c:ptCount val="3"/>
                <c:pt idx="0">
                  <c:v>1</c:v>
                </c:pt>
                <c:pt idx="1">
                  <c:v>1</c:v>
                </c:pt>
                <c:pt idx="2">
                  <c:v>1</c:v>
                </c:pt>
              </c:numCache>
            </c:numRef>
          </c:val>
        </c:ser>
        <c:dLbls>
          <c:showLegendKey val="0"/>
          <c:showVal val="0"/>
          <c:showCatName val="0"/>
          <c:showSerName val="0"/>
          <c:showPercent val="0"/>
          <c:showBubbleSize val="0"/>
        </c:dLbls>
        <c:gapWidth val="160"/>
        <c:gapDepth val="0"/>
        <c:shape val="box"/>
        <c:axId val="-1748705696"/>
        <c:axId val="-1748706784"/>
        <c:axId val="-1863960272"/>
      </c:bar3DChart>
      <c:catAx>
        <c:axId val="-1748705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06784"/>
        <c:crosses val="autoZero"/>
        <c:auto val="1"/>
        <c:lblAlgn val="ctr"/>
        <c:lblOffset val="100"/>
        <c:noMultiLvlLbl val="0"/>
      </c:catAx>
      <c:valAx>
        <c:axId val="-1748706784"/>
        <c:scaling>
          <c:orientation val="minMax"/>
        </c:scaling>
        <c:delete val="1"/>
        <c:axPos val="l"/>
        <c:majorGridlines>
          <c:spPr>
            <a:ln>
              <a:solidFill>
                <a:schemeClr val="tx1">
                  <a:lumMod val="15000"/>
                  <a:lumOff val="85000"/>
                </a:schemeClr>
              </a:solidFill>
            </a:ln>
            <a:effectLst/>
          </c:spPr>
        </c:majorGridlines>
        <c:numFmt formatCode="General" sourceLinked="1"/>
        <c:majorTickMark val="none"/>
        <c:minorTickMark val="none"/>
        <c:tickLblPos val="nextTo"/>
        <c:crossAx val="-1748705696"/>
        <c:crosses val="autoZero"/>
        <c:crossBetween val="between"/>
        <c:majorUnit val="1"/>
        <c:minorUnit val="1"/>
      </c:valAx>
      <c:serAx>
        <c:axId val="-1863960272"/>
        <c:scaling>
          <c:orientation val="minMax"/>
        </c:scaling>
        <c:delete val="1"/>
        <c:axPos val="b"/>
        <c:majorTickMark val="none"/>
        <c:minorTickMark val="none"/>
        <c:tickLblPos val="nextTo"/>
        <c:crossAx val="-1748706784"/>
        <c:crosses val="autoZero"/>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[Libro1]Hoja7!Tabla dinámica2</c:name>
    <c:fmtId val="-1"/>
  </c:pivotSource>
  <c:chart>
    <c:autoTitleDeleted val="1"/>
    <c:pivotFmts>
      <c:pivotFmt>
        <c:idx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1"/>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2"/>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3"/>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4"/>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pivotFmt>
      <c:pivotFm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pivotFmt>
      <c:pivotFmt>
        <c:idx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7"/>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8"/>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9"/>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1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
        <c:idx val="11"/>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marker>
          <c:symbol val="none"/>
        </c:marker>
      </c:pivotFmt>
    </c:pivotFmts>
    <c:view3D>
      <c:rotX val="10"/>
      <c:rotY val="1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738323699197865E-2"/>
          <c:y val="5.1970824088977838E-2"/>
          <c:w val="0.76899832129551016"/>
          <c:h val="0.73892895984687001"/>
        </c:manualLayout>
      </c:layout>
      <c:bar3DChart>
        <c:barDir val="col"/>
        <c:grouping val="standard"/>
        <c:varyColors val="0"/>
        <c:ser>
          <c:idx val="0"/>
          <c:order val="0"/>
          <c:tx>
            <c:strRef>
              <c:f>Hoja7!$B$1:$B$2</c:f>
              <c:strCache>
                <c:ptCount val="1"/>
                <c:pt idx="0">
                  <c:v>Licenciado</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cat>
            <c:strRef>
              <c:f>Hoja7!$A$3:$A$15</c:f>
              <c:strCache>
                <c:ptCount val="12"/>
                <c:pt idx="0">
                  <c:v>55.78-57</c:v>
                </c:pt>
                <c:pt idx="1">
                  <c:v>57.1-63.9</c:v>
                </c:pt>
                <c:pt idx="2">
                  <c:v>57.25-58.05</c:v>
                </c:pt>
                <c:pt idx="3">
                  <c:v>57-59</c:v>
                </c:pt>
                <c:pt idx="4">
                  <c:v>57-63</c:v>
                </c:pt>
                <c:pt idx="5">
                  <c:v>57-64</c:v>
                </c:pt>
                <c:pt idx="6">
                  <c:v>57-66</c:v>
                </c:pt>
                <c:pt idx="7">
                  <c:v>58-63</c:v>
                </c:pt>
                <c:pt idx="8">
                  <c:v>59-63</c:v>
                </c:pt>
                <c:pt idx="9">
                  <c:v>59-64</c:v>
                </c:pt>
                <c:pt idx="10">
                  <c:v>63-64</c:v>
                </c:pt>
                <c:pt idx="11">
                  <c:v>64-66</c:v>
                </c:pt>
              </c:strCache>
            </c:strRef>
          </c:cat>
          <c:val>
            <c:numRef>
              <c:f>Hoja7!$B$3:$B$15</c:f>
              <c:numCache>
                <c:formatCode>General</c:formatCode>
                <c:ptCount val="12"/>
                <c:pt idx="0">
                  <c:v>1</c:v>
                </c:pt>
                <c:pt idx="2">
                  <c:v>1</c:v>
                </c:pt>
                <c:pt idx="3">
                  <c:v>4</c:v>
                </c:pt>
                <c:pt idx="4">
                  <c:v>1</c:v>
                </c:pt>
                <c:pt idx="5">
                  <c:v>1</c:v>
                </c:pt>
                <c:pt idx="6">
                  <c:v>1</c:v>
                </c:pt>
                <c:pt idx="11">
                  <c:v>1</c:v>
                </c:pt>
              </c:numCache>
            </c:numRef>
          </c:val>
        </c:ser>
        <c:ser>
          <c:idx val="1"/>
          <c:order val="1"/>
          <c:tx>
            <c:strRef>
              <c:f>Hoja7!$C$1:$C$2</c:f>
              <c:strCache>
                <c:ptCount val="1"/>
                <c:pt idx="0">
                  <c:v>No licenciado</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cat>
            <c:strRef>
              <c:f>Hoja7!$A$3:$A$15</c:f>
              <c:strCache>
                <c:ptCount val="12"/>
                <c:pt idx="0">
                  <c:v>55.78-57</c:v>
                </c:pt>
                <c:pt idx="1">
                  <c:v>57.1-63.9</c:v>
                </c:pt>
                <c:pt idx="2">
                  <c:v>57.25-58.05</c:v>
                </c:pt>
                <c:pt idx="3">
                  <c:v>57-59</c:v>
                </c:pt>
                <c:pt idx="4">
                  <c:v>57-63</c:v>
                </c:pt>
                <c:pt idx="5">
                  <c:v>57-64</c:v>
                </c:pt>
                <c:pt idx="6">
                  <c:v>57-66</c:v>
                </c:pt>
                <c:pt idx="7">
                  <c:v>58-63</c:v>
                </c:pt>
                <c:pt idx="8">
                  <c:v>59-63</c:v>
                </c:pt>
                <c:pt idx="9">
                  <c:v>59-64</c:v>
                </c:pt>
                <c:pt idx="10">
                  <c:v>63-64</c:v>
                </c:pt>
                <c:pt idx="11">
                  <c:v>64-66</c:v>
                </c:pt>
              </c:strCache>
            </c:strRef>
          </c:cat>
          <c:val>
            <c:numRef>
              <c:f>Hoja7!$C$3:$C$15</c:f>
              <c:numCache>
                <c:formatCode>General</c:formatCode>
                <c:ptCount val="12"/>
                <c:pt idx="1">
                  <c:v>1</c:v>
                </c:pt>
                <c:pt idx="3">
                  <c:v>2</c:v>
                </c:pt>
                <c:pt idx="4">
                  <c:v>2</c:v>
                </c:pt>
                <c:pt idx="5">
                  <c:v>3</c:v>
                </c:pt>
                <c:pt idx="6">
                  <c:v>4</c:v>
                </c:pt>
                <c:pt idx="7">
                  <c:v>2</c:v>
                </c:pt>
                <c:pt idx="8">
                  <c:v>1</c:v>
                </c:pt>
                <c:pt idx="9">
                  <c:v>2</c:v>
                </c:pt>
                <c:pt idx="10">
                  <c:v>1</c:v>
                </c:pt>
                <c:pt idx="11">
                  <c:v>3</c:v>
                </c:pt>
              </c:numCache>
            </c:numRef>
          </c:val>
        </c:ser>
        <c:ser>
          <c:idx val="2"/>
          <c:order val="2"/>
          <c:tx>
            <c:strRef>
              <c:f>Hoja7!$D$1:$D$2</c:f>
              <c:strCache>
                <c:ptCount val="1"/>
                <c:pt idx="0">
                  <c:v>Con registro</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cat>
            <c:strRef>
              <c:f>Hoja7!$A$3:$A$15</c:f>
              <c:strCache>
                <c:ptCount val="12"/>
                <c:pt idx="0">
                  <c:v>55.78-57</c:v>
                </c:pt>
                <c:pt idx="1">
                  <c:v>57.1-63.9</c:v>
                </c:pt>
                <c:pt idx="2">
                  <c:v>57.25-58.05</c:v>
                </c:pt>
                <c:pt idx="3">
                  <c:v>57-59</c:v>
                </c:pt>
                <c:pt idx="4">
                  <c:v>57-63</c:v>
                </c:pt>
                <c:pt idx="5">
                  <c:v>57-64</c:v>
                </c:pt>
                <c:pt idx="6">
                  <c:v>57-66</c:v>
                </c:pt>
                <c:pt idx="7">
                  <c:v>58-63</c:v>
                </c:pt>
                <c:pt idx="8">
                  <c:v>59-63</c:v>
                </c:pt>
                <c:pt idx="9">
                  <c:v>59-64</c:v>
                </c:pt>
                <c:pt idx="10">
                  <c:v>63-64</c:v>
                </c:pt>
                <c:pt idx="11">
                  <c:v>64-66</c:v>
                </c:pt>
              </c:strCache>
            </c:strRef>
          </c:cat>
          <c:val>
            <c:numRef>
              <c:f>Hoja7!$D$3:$D$15</c:f>
              <c:numCache>
                <c:formatCode>General</c:formatCode>
                <c:ptCount val="12"/>
                <c:pt idx="3">
                  <c:v>1</c:v>
                </c:pt>
                <c:pt idx="6">
                  <c:v>1</c:v>
                </c:pt>
                <c:pt idx="11">
                  <c:v>2</c:v>
                </c:pt>
              </c:numCache>
            </c:numRef>
          </c:val>
        </c:ser>
        <c:dLbls>
          <c:showLegendKey val="0"/>
          <c:showVal val="0"/>
          <c:showCatName val="0"/>
          <c:showSerName val="0"/>
          <c:showPercent val="0"/>
          <c:showBubbleSize val="0"/>
        </c:dLbls>
        <c:gapWidth val="160"/>
        <c:gapDepth val="0"/>
        <c:shape val="box"/>
        <c:axId val="-1748715488"/>
        <c:axId val="-1748700800"/>
        <c:axId val="-1863959648"/>
      </c:bar3DChart>
      <c:catAx>
        <c:axId val="-17487154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GHz</a:t>
                </a:r>
              </a:p>
            </c:rich>
          </c:tx>
          <c:layout>
            <c:manualLayout>
              <c:xMode val="edge"/>
              <c:yMode val="edge"/>
              <c:x val="0.80234570356298152"/>
              <c:y val="0.6657632063982076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00800"/>
        <c:crosses val="autoZero"/>
        <c:auto val="1"/>
        <c:lblAlgn val="ctr"/>
        <c:lblOffset val="100"/>
        <c:noMultiLvlLbl val="0"/>
      </c:catAx>
      <c:valAx>
        <c:axId val="-1748700800"/>
        <c:scaling>
          <c:orientation val="minMax"/>
          <c:max val="4"/>
        </c:scaling>
        <c:delete val="0"/>
        <c:axPos val="l"/>
        <c:majorGridlines>
          <c:spPr>
            <a:ln>
              <a:solidFill>
                <a:schemeClr val="tx1">
                  <a:lumMod val="15000"/>
                  <a:lumOff val="85000"/>
                </a:schemeClr>
              </a:solidFill>
            </a:ln>
            <a:effectLst/>
          </c:spPr>
        </c:majorGridlines>
        <c:title>
          <c:tx>
            <c:rich>
              <a:bodyPr rot="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Cantidad</a:t>
                </a:r>
                <a:r>
                  <a:rPr lang="es-MX" baseline="0"/>
                  <a:t> de países</a:t>
                </a:r>
                <a:endParaRPr lang="es-MX"/>
              </a:p>
            </c:rich>
          </c:tx>
          <c:layout>
            <c:manualLayout>
              <c:xMode val="edge"/>
              <c:yMode val="edge"/>
              <c:x val="1.2905262178068687E-2"/>
              <c:y val="0.10558579681261927"/>
            </c:manualLayout>
          </c:layout>
          <c:overlay val="0"/>
          <c:spPr>
            <a:noFill/>
            <a:ln>
              <a:noFill/>
            </a:ln>
            <a:effectLst/>
          </c:spPr>
          <c:txPr>
            <a:bodyPr rot="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15488"/>
        <c:crosses val="autoZero"/>
        <c:crossBetween val="between"/>
        <c:majorUnit val="1"/>
      </c:valAx>
      <c:serAx>
        <c:axId val="-1863959648"/>
        <c:scaling>
          <c:orientation val="minMax"/>
        </c:scaling>
        <c:delete val="1"/>
        <c:axPos val="b"/>
        <c:majorTickMark val="none"/>
        <c:minorTickMark val="none"/>
        <c:tickLblPos val="nextTo"/>
        <c:crossAx val="-1748700800"/>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[Libro1]Hoja8!Tabla dinámica3</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s>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Hoja8!$B$1:$B$2</c:f>
              <c:strCache>
                <c:ptCount val="1"/>
                <c:pt idx="0">
                  <c:v>No licenciado</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multiLvlStrRef>
              <c:f>Hoja8!$A$3:$A$9</c:f>
              <c:multiLvlStrCache>
                <c:ptCount val="5"/>
                <c:lvl>
                  <c:pt idx="0">
                    <c:v>Brasil</c:v>
                  </c:pt>
                  <c:pt idx="1">
                    <c:v>Canadá</c:v>
                  </c:pt>
                  <c:pt idx="2">
                    <c:v>Chile</c:v>
                  </c:pt>
                  <c:pt idx="3">
                    <c:v>Ecuador</c:v>
                  </c:pt>
                  <c:pt idx="4">
                    <c:v>Estados Unidos</c:v>
                  </c:pt>
                </c:lvl>
                <c:lvl>
                  <c:pt idx="0">
                    <c:v>57-64</c:v>
                  </c:pt>
                </c:lvl>
              </c:multiLvlStrCache>
            </c:multiLvlStrRef>
          </c:cat>
          <c:val>
            <c:numRef>
              <c:f>Hoja8!$B$3:$B$9</c:f>
              <c:numCache>
                <c:formatCode>General</c:formatCode>
                <c:ptCount val="5"/>
                <c:pt idx="0">
                  <c:v>1</c:v>
                </c:pt>
                <c:pt idx="1">
                  <c:v>1</c:v>
                </c:pt>
                <c:pt idx="2">
                  <c:v>1</c:v>
                </c:pt>
                <c:pt idx="3">
                  <c:v>1</c:v>
                </c:pt>
                <c:pt idx="4">
                  <c:v>1</c:v>
                </c:pt>
              </c:numCache>
            </c:numRef>
          </c:val>
        </c:ser>
        <c:dLbls>
          <c:showLegendKey val="0"/>
          <c:showVal val="0"/>
          <c:showCatName val="0"/>
          <c:showSerName val="0"/>
          <c:showPercent val="0"/>
          <c:showBubbleSize val="0"/>
        </c:dLbls>
        <c:gapWidth val="160"/>
        <c:gapDepth val="0"/>
        <c:shape val="box"/>
        <c:axId val="-1748702432"/>
        <c:axId val="-1748707328"/>
        <c:axId val="-1863957776"/>
      </c:bar3DChart>
      <c:catAx>
        <c:axId val="-174870243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GHz</a:t>
                </a:r>
              </a:p>
            </c:rich>
          </c:tx>
          <c:layout>
            <c:manualLayout>
              <c:xMode val="edge"/>
              <c:yMode val="edge"/>
              <c:x val="0.76227390651313098"/>
              <c:y val="0.6847124109486314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07328"/>
        <c:crosses val="autoZero"/>
        <c:auto val="1"/>
        <c:lblAlgn val="ctr"/>
        <c:lblOffset val="100"/>
        <c:noMultiLvlLbl val="0"/>
      </c:catAx>
      <c:valAx>
        <c:axId val="-1748707328"/>
        <c:scaling>
          <c:orientation val="minMax"/>
          <c:max val="1"/>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02432"/>
        <c:crosses val="autoZero"/>
        <c:crossBetween val="between"/>
        <c:majorUnit val="1"/>
      </c:valAx>
      <c:serAx>
        <c:axId val="-1863957776"/>
        <c:scaling>
          <c:orientation val="minMax"/>
        </c:scaling>
        <c:delete val="1"/>
        <c:axPos val="b"/>
        <c:majorTickMark val="none"/>
        <c:minorTickMark val="none"/>
        <c:tickLblPos val="nextTo"/>
        <c:crossAx val="-1748707328"/>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[Libro1]Hoja9!Tabla dinámica4</c:name>
    <c:fmtId val="-1"/>
  </c:pivotSource>
  <c:chart>
    <c:autoTitleDeleted val="0"/>
    <c:pivotFmts>
      <c:pivotFmt>
        <c:idx val="0"/>
        <c:spPr>
          <a:pattFill prst="narHorz">
            <a:fgClr>
              <a:schemeClr val="accent6"/>
            </a:fgClr>
            <a:bgClr>
              <a:schemeClr val="accent6">
                <a:lumMod val="20000"/>
                <a:lumOff val="80000"/>
              </a:schemeClr>
            </a:bgClr>
          </a:pattFill>
          <a:ln>
            <a:noFill/>
          </a:ln>
          <a:effectLst/>
        </c:spPr>
        <c:marker>
          <c:symbol val="none"/>
        </c:marker>
      </c:pivotFmt>
      <c:pivotFmt>
        <c:idx val="1"/>
        <c:spPr>
          <a:pattFill prst="narHorz">
            <a:fgClr>
              <a:schemeClr val="accent6"/>
            </a:fgClr>
            <a:bgClr>
              <a:schemeClr val="accent6">
                <a:lumMod val="20000"/>
                <a:lumOff val="80000"/>
              </a:schemeClr>
            </a:bgClr>
          </a:pattFill>
          <a:ln>
            <a:noFill/>
          </a:ln>
          <a:effectLst/>
        </c:spPr>
        <c:marker>
          <c:symbol val="none"/>
        </c:marker>
      </c:pivotFmt>
      <c:pivotFmt>
        <c:idx val="2"/>
        <c:spPr>
          <a:pattFill prst="narHorz">
            <a:fgClr>
              <a:schemeClr val="accent6"/>
            </a:fgClr>
            <a:bgClr>
              <a:schemeClr val="accent6">
                <a:lumMod val="20000"/>
                <a:lumOff val="80000"/>
              </a:schemeClr>
            </a:bgClr>
          </a:pattFill>
          <a:ln>
            <a:noFill/>
          </a:ln>
          <a:effectLst/>
        </c:spPr>
        <c:marker>
          <c:symbol val="none"/>
        </c:marker>
      </c:pivotFmt>
      <c:pivotFmt>
        <c:idx val="3"/>
        <c:spPr>
          <a:pattFill prst="narHorz">
            <a:fgClr>
              <a:schemeClr val="accent6"/>
            </a:fgClr>
            <a:bgClr>
              <a:schemeClr val="accent6">
                <a:lumMod val="20000"/>
                <a:lumOff val="80000"/>
              </a:schemeClr>
            </a:bgClr>
          </a:pattFill>
          <a:ln>
            <a:noFill/>
          </a:ln>
          <a:effectLst/>
        </c:spPr>
        <c:marker>
          <c:symbol val="none"/>
        </c:marker>
      </c:pivotFmt>
      <c:pivotFmt>
        <c:idx val="4"/>
        <c:spPr>
          <a:pattFill prst="narHorz">
            <a:fgClr>
              <a:schemeClr val="accent6"/>
            </a:fgClr>
            <a:bgClr>
              <a:schemeClr val="accent6">
                <a:lumMod val="20000"/>
                <a:lumOff val="80000"/>
              </a:schemeClr>
            </a:bgClr>
          </a:pattFill>
          <a:ln>
            <a:noFill/>
          </a:ln>
          <a:effectLst/>
        </c:spPr>
        <c:marker>
          <c:symbol val="none"/>
        </c:marker>
      </c:pivotFmt>
      <c:pivotFmt>
        <c:idx val="5"/>
        <c:spPr>
          <a:pattFill prst="narHorz">
            <a:fgClr>
              <a:schemeClr val="accent6"/>
            </a:fgClr>
            <a:bgClr>
              <a:schemeClr val="accent6">
                <a:lumMod val="20000"/>
                <a:lumOff val="80000"/>
              </a:schemeClr>
            </a:bgClr>
          </a:pattFill>
          <a:ln>
            <a:noFill/>
          </a:ln>
          <a:effectLst/>
        </c:spPr>
        <c:marker>
          <c:symbol val="none"/>
        </c:marker>
      </c:pivotFmt>
      <c:pivotFmt>
        <c:idx val="6"/>
        <c:spPr>
          <a:pattFill prst="narHorz">
            <a:fgClr>
              <a:schemeClr val="accent6"/>
            </a:fgClr>
            <a:bgClr>
              <a:schemeClr val="accent6">
                <a:lumMod val="20000"/>
                <a:lumOff val="80000"/>
              </a:schemeClr>
            </a:bgClr>
          </a:pattFill>
          <a:ln>
            <a:noFill/>
          </a:ln>
          <a:effectLst/>
        </c:spPr>
        <c:marker>
          <c:symbol val="none"/>
        </c:marker>
      </c:pivotFmt>
      <c:pivotFmt>
        <c:idx val="7"/>
        <c:spPr>
          <a:pattFill prst="narHorz">
            <a:fgClr>
              <a:schemeClr val="accent6"/>
            </a:fgClr>
            <a:bgClr>
              <a:schemeClr val="accent6">
                <a:lumMod val="20000"/>
                <a:lumOff val="80000"/>
              </a:schemeClr>
            </a:bgClr>
          </a:pattFill>
          <a:ln>
            <a:noFill/>
          </a:ln>
          <a:effectLst/>
        </c:spPr>
        <c:marker>
          <c:symbol val="none"/>
        </c:marker>
      </c:pivotFmt>
      <c:pivotFmt>
        <c:idx val="8"/>
        <c:spPr>
          <a:pattFill prst="narHorz">
            <a:fgClr>
              <a:schemeClr val="accent6"/>
            </a:fgClr>
            <a:bgClr>
              <a:schemeClr val="accent6">
                <a:lumMod val="20000"/>
                <a:lumOff val="80000"/>
              </a:schemeClr>
            </a:bgClr>
          </a:pattFill>
          <a:ln>
            <a:noFill/>
          </a:ln>
          <a:effectLst/>
        </c:spPr>
        <c:marker>
          <c:symbol val="none"/>
        </c:marker>
      </c:pivotFmt>
      <c:pivotFmt>
        <c:idx val="9"/>
        <c:spPr>
          <a:pattFill prst="narHorz">
            <a:fgClr>
              <a:schemeClr val="accent6"/>
            </a:fgClr>
            <a:bgClr>
              <a:schemeClr val="accent6">
                <a:lumMod val="20000"/>
                <a:lumOff val="80000"/>
              </a:schemeClr>
            </a:bgClr>
          </a:pattFill>
          <a:ln>
            <a:noFill/>
          </a:ln>
          <a:effectLst/>
        </c:spPr>
        <c:marker>
          <c:symbol val="none"/>
        </c:marker>
      </c:pivotFmt>
      <c:pivotFmt>
        <c:idx val="10"/>
        <c:spPr>
          <a:pattFill prst="narHorz">
            <a:fgClr>
              <a:schemeClr val="accent6"/>
            </a:fgClr>
            <a:bgClr>
              <a:schemeClr val="accent6">
                <a:lumMod val="20000"/>
                <a:lumOff val="80000"/>
              </a:schemeClr>
            </a:bgClr>
          </a:pattFill>
          <a:ln>
            <a:noFill/>
          </a:ln>
          <a:effectLst/>
        </c:spPr>
        <c:marker>
          <c:symbol val="none"/>
        </c:marker>
      </c:pivotFmt>
      <c:pivotFmt>
        <c:idx val="11"/>
        <c:spPr>
          <a:pattFill prst="narHorz">
            <a:fgClr>
              <a:schemeClr val="accent6"/>
            </a:fgClr>
            <a:bgClr>
              <a:schemeClr val="accent6">
                <a:lumMod val="20000"/>
                <a:lumOff val="80000"/>
              </a:schemeClr>
            </a:bgClr>
          </a:pattFill>
          <a:ln>
            <a:noFill/>
          </a:ln>
          <a:effectLst/>
        </c:spPr>
        <c:marker>
          <c:symbol val="none"/>
        </c:marker>
      </c:pivotFmt>
    </c:pivotFmts>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Hoja9!$B$1:$B$2</c:f>
              <c:strCache>
                <c:ptCount val="1"/>
                <c:pt idx="0">
                  <c:v>Licenciado</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cat>
            <c:multiLvlStrRef>
              <c:f>Hoja9!$A$3:$A$13</c:f>
              <c:multiLvlStrCache>
                <c:ptCount val="5"/>
                <c:lvl>
                  <c:pt idx="0">
                    <c:v>Japón</c:v>
                  </c:pt>
                  <c:pt idx="1">
                    <c:v>Nueva Zelanda</c:v>
                  </c:pt>
                  <c:pt idx="2">
                    <c:v>Australia</c:v>
                  </c:pt>
                  <c:pt idx="3">
                    <c:v>China</c:v>
                  </c:pt>
                  <c:pt idx="4">
                    <c:v>Japón</c:v>
                  </c:pt>
                </c:lvl>
                <c:lvl>
                  <c:pt idx="0">
                    <c:v>54.25-59</c:v>
                  </c:pt>
                  <c:pt idx="1">
                    <c:v>57-64</c:v>
                  </c:pt>
                  <c:pt idx="2">
                    <c:v>57-66</c:v>
                  </c:pt>
                  <c:pt idx="3">
                    <c:v>59-64</c:v>
                  </c:pt>
                  <c:pt idx="4">
                    <c:v>59-66</c:v>
                  </c:pt>
                </c:lvl>
              </c:multiLvlStrCache>
            </c:multiLvlStrRef>
          </c:cat>
          <c:val>
            <c:numRef>
              <c:f>Hoja9!$B$3:$B$13</c:f>
              <c:numCache>
                <c:formatCode>General</c:formatCode>
                <c:ptCount val="5"/>
                <c:pt idx="0">
                  <c:v>1</c:v>
                </c:pt>
                <c:pt idx="1">
                  <c:v>1</c:v>
                </c:pt>
              </c:numCache>
            </c:numRef>
          </c:val>
        </c:ser>
        <c:ser>
          <c:idx val="1"/>
          <c:order val="1"/>
          <c:tx>
            <c:strRef>
              <c:f>Hoja9!$C$1:$C$2</c:f>
              <c:strCache>
                <c:ptCount val="1"/>
                <c:pt idx="0">
                  <c:v>No licenciado</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cat>
            <c:multiLvlStrRef>
              <c:f>Hoja9!$A$3:$A$13</c:f>
              <c:multiLvlStrCache>
                <c:ptCount val="5"/>
                <c:lvl>
                  <c:pt idx="0">
                    <c:v>Japón</c:v>
                  </c:pt>
                  <c:pt idx="1">
                    <c:v>Nueva Zelanda</c:v>
                  </c:pt>
                  <c:pt idx="2">
                    <c:v>Australia</c:v>
                  </c:pt>
                  <c:pt idx="3">
                    <c:v>China</c:v>
                  </c:pt>
                  <c:pt idx="4">
                    <c:v>Japón</c:v>
                  </c:pt>
                </c:lvl>
                <c:lvl>
                  <c:pt idx="0">
                    <c:v>54.25-59</c:v>
                  </c:pt>
                  <c:pt idx="1">
                    <c:v>57-64</c:v>
                  </c:pt>
                  <c:pt idx="2">
                    <c:v>57-66</c:v>
                  </c:pt>
                  <c:pt idx="3">
                    <c:v>59-64</c:v>
                  </c:pt>
                  <c:pt idx="4">
                    <c:v>59-66</c:v>
                  </c:pt>
                </c:lvl>
              </c:multiLvlStrCache>
            </c:multiLvlStrRef>
          </c:cat>
          <c:val>
            <c:numRef>
              <c:f>Hoja9!$C$3:$C$13</c:f>
              <c:numCache>
                <c:formatCode>General</c:formatCode>
                <c:ptCount val="5"/>
                <c:pt idx="2">
                  <c:v>1</c:v>
                </c:pt>
                <c:pt idx="3">
                  <c:v>1</c:v>
                </c:pt>
                <c:pt idx="4">
                  <c:v>1</c:v>
                </c:pt>
              </c:numCache>
            </c:numRef>
          </c:val>
        </c:ser>
        <c:dLbls>
          <c:showLegendKey val="0"/>
          <c:showVal val="0"/>
          <c:showCatName val="0"/>
          <c:showSerName val="0"/>
          <c:showPercent val="0"/>
          <c:showBubbleSize val="0"/>
        </c:dLbls>
        <c:gapWidth val="160"/>
        <c:gapDepth val="0"/>
        <c:shape val="box"/>
        <c:axId val="-1748705152"/>
        <c:axId val="-1748704064"/>
        <c:axId val="0"/>
      </c:bar3DChart>
      <c:catAx>
        <c:axId val="-174870515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GHz</a:t>
                </a:r>
              </a:p>
            </c:rich>
          </c:tx>
          <c:layout>
            <c:manualLayout>
              <c:xMode val="edge"/>
              <c:yMode val="edge"/>
              <c:x val="0.7313120222521986"/>
              <c:y val="0.7800135466937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04064"/>
        <c:crosses val="autoZero"/>
        <c:auto val="1"/>
        <c:lblAlgn val="ctr"/>
        <c:lblOffset val="100"/>
        <c:noMultiLvlLbl val="0"/>
      </c:catAx>
      <c:valAx>
        <c:axId val="-174870406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48705152"/>
        <c:crosses val="autoZero"/>
        <c:crossBetween val="between"/>
        <c:majorUnit val="1"/>
        <c:min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guadalupe.perez@ift.org.mx</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A24D5F-02F3-41E3-84A7-4ED880835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1EB44-851B-4489-8DDE-681BF6316904}">
  <ds:schemaRefs>
    <ds:schemaRef ds:uri="http://schemas.microsoft.com/sharepoint/v3/contenttype/forms"/>
  </ds:schemaRefs>
</ds:datastoreItem>
</file>

<file path=customXml/itemProps4.xml><?xml version="1.0" encoding="utf-8"?>
<ds:datastoreItem xmlns:ds="http://schemas.openxmlformats.org/officeDocument/2006/customXml" ds:itemID="{EDBB08F1-E126-4A56-BC22-B711EB735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3988C09-1CAE-42AD-A559-9C2AE99C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5699</Words>
  <Characters>31918</Characters>
  <Application>Microsoft Office Word</Application>
  <DocSecurity>0</DocSecurity>
  <Lines>725</Lines>
  <Paragraphs>417</Paragraphs>
  <ScaleCrop>false</ScaleCrop>
  <HeadingPairs>
    <vt:vector size="2" baseType="variant">
      <vt:variant>
        <vt:lpstr>Título</vt:lpstr>
      </vt:variant>
      <vt:variant>
        <vt:i4>1</vt:i4>
      </vt:variant>
    </vt:vector>
  </HeadingPairs>
  <TitlesOfParts>
    <vt:vector size="1" baseType="lpstr">
      <vt:lpstr>Análisis de la banda de 60 GHz para su posible clasificación como espectro libre</vt:lpstr>
    </vt:vector>
  </TitlesOfParts>
  <Company/>
  <LinksUpToDate>false</LinksUpToDate>
  <CharactersWithSpaces>37200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la banda de 60 GHz para su posible clasificación como espectro libre</dc:title>
  <dc:subject/>
  <dc:creator>Elaborado por María Guadalupe Pere Burkle</dc:creator>
  <cp:keywords/>
  <dc:description/>
  <cp:lastModifiedBy>Jessica Eugenia Sierra Navarrete</cp:lastModifiedBy>
  <cp:revision>2</cp:revision>
  <cp:lastPrinted>2017-02-08T20:02:00Z</cp:lastPrinted>
  <dcterms:created xsi:type="dcterms:W3CDTF">2017-02-09T00:28:00Z</dcterms:created>
  <dcterms:modified xsi:type="dcterms:W3CDTF">2017-02-09T00:28:00Z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