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71616722"/>
        <w:docPartObj>
          <w:docPartGallery w:val="Cover Pages"/>
          <w:docPartUnique/>
        </w:docPartObj>
      </w:sdtPr>
      <w:sdtEndPr/>
      <w:sdtContent>
        <w:p w14:paraId="7712D8D4" w14:textId="356D78FE" w:rsidR="00DC405F" w:rsidRPr="00233A82" w:rsidRDefault="00DC405F" w:rsidP="00154A3C"/>
        <w:p w14:paraId="2B7A1315" w14:textId="79C00888" w:rsidR="00DC405F" w:rsidRPr="00233A82" w:rsidRDefault="003752F2" w:rsidP="00154A3C">
          <w:r w:rsidRPr="00233A82">
            <w:rPr>
              <w:noProof/>
              <w:lang w:eastAsia="es-MX"/>
            </w:rPr>
            <mc:AlternateContent>
              <mc:Choice Requires="wps">
                <w:drawing>
                  <wp:anchor distT="0" distB="0" distL="114300" distR="114300" simplePos="0" relativeHeight="251657216" behindDoc="0" locked="0" layoutInCell="1" allowOverlap="1" wp14:anchorId="748B92F5" wp14:editId="70844FD1">
                    <wp:simplePos x="0" y="0"/>
                    <wp:positionH relativeFrom="page">
                      <wp:align>right</wp:align>
                    </wp:positionH>
                    <wp:positionV relativeFrom="page">
                      <wp:posOffset>2265528</wp:posOffset>
                    </wp:positionV>
                    <wp:extent cx="7560737"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560737"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BDCA0" w14:textId="641E7516" w:rsidR="0078549C" w:rsidRPr="00691F26" w:rsidRDefault="00E76C43" w:rsidP="003752F2">
                                <w:pPr>
                                  <w:rPr>
                                    <w:b/>
                                    <w:color w:val="70AD47" w:themeColor="accent6"/>
                                    <w:sz w:val="64"/>
                                    <w:szCs w:val="64"/>
                                  </w:rPr>
                                </w:pPr>
                                <w:sdt>
                                  <w:sdtPr>
                                    <w:rPr>
                                      <w:rFonts w:cs="Arial"/>
                                      <w:b/>
                                      <w:color w:val="70AD47" w:themeColor="accent6"/>
                                      <w:sz w:val="64"/>
                                      <w:szCs w:val="64"/>
                                    </w:rPr>
                                    <w:alias w:val="Título"/>
                                    <w:tag w:val=""/>
                                    <w:id w:val="-145353105"/>
                                    <w:dataBinding w:prefixMappings="xmlns:ns0='http://purl.org/dc/elements/1.1/' xmlns:ns1='http://schemas.openxmlformats.org/package/2006/metadata/core-properties' " w:xpath="/ns1:coreProperties[1]/ns0:title[1]" w:storeItemID="{6C3C8BC8-F283-45AE-878A-BAB7291924A1}"/>
                                    <w:text w:multiLine="1"/>
                                  </w:sdtPr>
                                  <w:sdtEndPr/>
                                  <w:sdtContent>
                                    <w:r w:rsidR="0078549C" w:rsidRPr="00691F26">
                                      <w:rPr>
                                        <w:rFonts w:cs="Arial"/>
                                        <w:b/>
                                        <w:color w:val="70AD47" w:themeColor="accent6"/>
                                        <w:sz w:val="64"/>
                                        <w:szCs w:val="64"/>
                                      </w:rPr>
                                      <w:t>An</w:t>
                                    </w:r>
                                    <w:r w:rsidR="0078549C">
                                      <w:rPr>
                                        <w:rFonts w:cs="Arial"/>
                                        <w:b/>
                                        <w:color w:val="70AD47" w:themeColor="accent6"/>
                                        <w:sz w:val="64"/>
                                        <w:szCs w:val="64"/>
                                      </w:rPr>
                                      <w:t>teproyecto de clasificación</w:t>
                                    </w:r>
                                    <w:r w:rsidR="0078549C" w:rsidRPr="00691F26">
                                      <w:rPr>
                                        <w:rFonts w:cs="Arial"/>
                                        <w:b/>
                                        <w:color w:val="70AD47" w:themeColor="accent6"/>
                                        <w:sz w:val="64"/>
                                        <w:szCs w:val="64"/>
                                      </w:rPr>
                                      <w:t xml:space="preserve"> de la banda de </w:t>
                                    </w:r>
                                    <w:r w:rsidR="0078549C">
                                      <w:rPr>
                                        <w:rFonts w:cs="Arial"/>
                                        <w:b/>
                                        <w:color w:val="70AD47" w:themeColor="accent6"/>
                                        <w:sz w:val="64"/>
                                        <w:szCs w:val="64"/>
                                      </w:rPr>
                                      <w:t>57-64</w:t>
                                    </w:r>
                                    <w:r w:rsidR="0078549C" w:rsidRPr="00691F26">
                                      <w:rPr>
                                        <w:rFonts w:cs="Arial"/>
                                        <w:b/>
                                        <w:color w:val="70AD47" w:themeColor="accent6"/>
                                        <w:sz w:val="64"/>
                                        <w:szCs w:val="64"/>
                                      </w:rPr>
                                      <w:t xml:space="preserve"> GHz como espectro libre</w:t>
                                    </w:r>
                                  </w:sdtContent>
                                </w:sdt>
                              </w:p>
                              <w:p w14:paraId="745BBA91" w14:textId="52881360" w:rsidR="0078549C" w:rsidRDefault="0078549C">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748B92F5" id="_x0000_t202" coordsize="21600,21600" o:spt="202" path="m,l,21600r21600,l21600,xe">
                    <v:stroke joinstyle="miter"/>
                    <v:path gradientshapeok="t" o:connecttype="rect"/>
                  </v:shapetype>
                  <v:shape id="Cuadro de texto 154" o:spid="_x0000_s1026" type="#_x0000_t202" style="position:absolute;margin-left:544.15pt;margin-top:178.4pt;width:595.35pt;height:286.5pt;z-index:251657216;visibility:visible;mso-wrap-style:square;mso-width-percent:0;mso-height-percent:363;mso-wrap-distance-left:9pt;mso-wrap-distance-top:0;mso-wrap-distance-right:9pt;mso-wrap-distance-bottom:0;mso-position-horizontal:right;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" filled="f" stroked="f" strokeweight=".5pt">
                    <v:textbox inset="126pt,0,54pt,0">
                      <w:txbxContent>
                        <w:p w14:paraId="374BDCA0" w14:textId="641E7516" w:rsidR="0078549C" w:rsidRPr="00691F26" w:rsidRDefault="00973F84" w:rsidP="003752F2">
                          <w:pPr>
                            <w:rPr>
                              <w:b/>
                              <w:color w:val="70AD47" w:themeColor="accent6"/>
                              <w:sz w:val="64"/>
                              <w:szCs w:val="64"/>
                            </w:rPr>
                          </w:pPr>
                          <w:sdt>
                            <w:sdtPr>
                              <w:rPr>
                                <w:rFonts w:cs="Arial"/>
                                <w:b/>
                                <w:color w:val="70AD47" w:themeColor="accent6"/>
                                <w:sz w:val="64"/>
                                <w:szCs w:val="64"/>
                              </w:rPr>
                              <w:alias w:val="Título"/>
                              <w:tag w:val=""/>
                              <w:id w:val="-145353105"/>
                              <w:dataBinding w:prefixMappings="xmlns:ns0='http://purl.org/dc/elements/1.1/' xmlns:ns1='http://schemas.openxmlformats.org/package/2006/metadata/core-properties' " w:xpath="/ns1:coreProperties[1]/ns0:title[1]" w:storeItemID="{6C3C8BC8-F283-45AE-878A-BAB7291924A1}"/>
                              <w:text w:multiLine="1"/>
                            </w:sdtPr>
                            <w:sdtEndPr/>
                            <w:sdtContent>
                              <w:r w:rsidR="0078549C" w:rsidRPr="00691F26">
                                <w:rPr>
                                  <w:rFonts w:cs="Arial"/>
                                  <w:b/>
                                  <w:color w:val="70AD47" w:themeColor="accent6"/>
                                  <w:sz w:val="64"/>
                                  <w:szCs w:val="64"/>
                                </w:rPr>
                                <w:t>An</w:t>
                              </w:r>
                              <w:r w:rsidR="0078549C">
                                <w:rPr>
                                  <w:rFonts w:cs="Arial"/>
                                  <w:b/>
                                  <w:color w:val="70AD47" w:themeColor="accent6"/>
                                  <w:sz w:val="64"/>
                                  <w:szCs w:val="64"/>
                                </w:rPr>
                                <w:t>teproyecto de clasificación</w:t>
                              </w:r>
                              <w:r w:rsidR="0078549C" w:rsidRPr="00691F26">
                                <w:rPr>
                                  <w:rFonts w:cs="Arial"/>
                                  <w:b/>
                                  <w:color w:val="70AD47" w:themeColor="accent6"/>
                                  <w:sz w:val="64"/>
                                  <w:szCs w:val="64"/>
                                </w:rPr>
                                <w:t xml:space="preserve"> de la banda de </w:t>
                              </w:r>
                              <w:r w:rsidR="0078549C">
                                <w:rPr>
                                  <w:rFonts w:cs="Arial"/>
                                  <w:b/>
                                  <w:color w:val="70AD47" w:themeColor="accent6"/>
                                  <w:sz w:val="64"/>
                                  <w:szCs w:val="64"/>
                                </w:rPr>
                                <w:t>57-64</w:t>
                              </w:r>
                              <w:r w:rsidR="0078549C" w:rsidRPr="00691F26">
                                <w:rPr>
                                  <w:rFonts w:cs="Arial"/>
                                  <w:b/>
                                  <w:color w:val="70AD47" w:themeColor="accent6"/>
                                  <w:sz w:val="64"/>
                                  <w:szCs w:val="64"/>
                                </w:rPr>
                                <w:t xml:space="preserve"> GHz como espectro libre</w:t>
                              </w:r>
                            </w:sdtContent>
                          </w:sdt>
                        </w:p>
                        <w:p w14:paraId="745BBA91" w14:textId="52881360" w:rsidR="0078549C" w:rsidRDefault="0078549C">
                          <w:pPr>
                            <w:jc w:val="right"/>
                            <w:rPr>
                              <w:smallCaps/>
                              <w:color w:val="404040" w:themeColor="text1" w:themeTint="BF"/>
                              <w:sz w:val="36"/>
                              <w:szCs w:val="36"/>
                            </w:rPr>
                          </w:pPr>
                        </w:p>
                      </w:txbxContent>
                    </v:textbox>
                    <w10:wrap type="square" anchorx="page" anchory="page"/>
                  </v:shape>
                </w:pict>
              </mc:Fallback>
            </mc:AlternateContent>
          </w:r>
          <w:r w:rsidR="00DC405F" w:rsidRPr="00233A82">
            <w:br w:type="page"/>
          </w:r>
        </w:p>
        <w:bookmarkStart w:id="0" w:name="_GoBack" w:displacedByCustomXml="next"/>
        <w:bookmarkEnd w:id="0" w:displacedByCustomXml="next"/>
      </w:sdtContent>
    </w:sdt>
    <w:p w14:paraId="2D82EB90" w14:textId="3EC97247" w:rsidR="00E82214" w:rsidRPr="00233A82" w:rsidRDefault="002B7B0A" w:rsidP="00B66288">
      <w:pPr>
        <w:spacing w:after="0" w:line="240" w:lineRule="auto"/>
        <w:ind w:left="1416" w:hanging="1416"/>
        <w:contextualSpacing/>
        <w:jc w:val="center"/>
        <w:rPr>
          <w:rFonts w:cs="Arial"/>
          <w:color w:val="70AD47" w:themeColor="accent6"/>
        </w:rPr>
      </w:pPr>
      <w:r w:rsidRPr="00233A82">
        <w:rPr>
          <w:rFonts w:cs="Arial"/>
          <w:color w:val="70AD47" w:themeColor="accent6"/>
        </w:rPr>
        <w:lastRenderedPageBreak/>
        <w:t xml:space="preserve">Anteproyecto de clasificación </w:t>
      </w:r>
      <w:r w:rsidR="00B66288" w:rsidRPr="00233A82">
        <w:rPr>
          <w:rFonts w:cs="Arial"/>
          <w:color w:val="70AD47" w:themeColor="accent6"/>
        </w:rPr>
        <w:t xml:space="preserve">de la banda de </w:t>
      </w:r>
      <w:r w:rsidRPr="00233A82">
        <w:rPr>
          <w:rFonts w:cs="Arial"/>
          <w:color w:val="70AD47" w:themeColor="accent6"/>
        </w:rPr>
        <w:t>57-64</w:t>
      </w:r>
      <w:r w:rsidR="00B66288" w:rsidRPr="00233A82">
        <w:rPr>
          <w:rFonts w:cs="Arial"/>
          <w:color w:val="70AD47" w:themeColor="accent6"/>
        </w:rPr>
        <w:t xml:space="preserve"> GHz como espectro libre</w:t>
      </w:r>
    </w:p>
    <w:p w14:paraId="1293CD01" w14:textId="77777777" w:rsidR="00E82214" w:rsidRPr="00233A82" w:rsidRDefault="00E82214" w:rsidP="00E82214">
      <w:pPr>
        <w:spacing w:after="0" w:line="240" w:lineRule="auto"/>
        <w:contextualSpacing/>
        <w:rPr>
          <w:rFonts w:cs="Arial"/>
        </w:rPr>
      </w:pPr>
    </w:p>
    <w:sdt>
      <w:sdtPr>
        <w:rPr>
          <w:rFonts w:cs="Arial"/>
          <w:lang w:val="es-ES"/>
        </w:rPr>
        <w:id w:val="-1741173396"/>
        <w:docPartObj>
          <w:docPartGallery w:val="Table of Contents"/>
          <w:docPartUnique/>
        </w:docPartObj>
      </w:sdtPr>
      <w:sdtEndPr>
        <w:rPr>
          <w:b/>
          <w:bCs/>
        </w:rPr>
      </w:sdtEndPr>
      <w:sdtContent>
        <w:p w14:paraId="4B2C6319" w14:textId="77777777" w:rsidR="00E82214" w:rsidRPr="00233A82" w:rsidRDefault="00E82214" w:rsidP="00E82214">
          <w:pPr>
            <w:pStyle w:val="Sinespaciado"/>
            <w:contextualSpacing/>
            <w:rPr>
              <w:rFonts w:eastAsiaTheme="majorEastAsia" w:cs="Arial"/>
              <w:color w:val="70AD47" w:themeColor="accent6"/>
            </w:rPr>
          </w:pPr>
          <w:r w:rsidRPr="00233A82">
            <w:rPr>
              <w:rFonts w:eastAsiaTheme="majorEastAsia" w:cs="Arial"/>
              <w:color w:val="70AD47" w:themeColor="accent6"/>
            </w:rPr>
            <w:t>Índice</w:t>
          </w:r>
        </w:p>
        <w:p w14:paraId="00E297B8" w14:textId="77777777" w:rsidR="00E82214" w:rsidRPr="00233A82" w:rsidRDefault="00E82214" w:rsidP="00E82214">
          <w:pPr>
            <w:pStyle w:val="Sinespaciado"/>
            <w:contextualSpacing/>
            <w:rPr>
              <w:rFonts w:eastAsiaTheme="majorEastAsia" w:cs="Arial"/>
              <w:color w:val="70AD47" w:themeColor="accent6"/>
            </w:rPr>
          </w:pPr>
        </w:p>
        <w:p w14:paraId="218625DC" w14:textId="77777777" w:rsidR="00154A3C" w:rsidRDefault="00E82214">
          <w:pPr>
            <w:pStyle w:val="TDC1"/>
            <w:tabs>
              <w:tab w:val="left" w:pos="440"/>
              <w:tab w:val="right" w:leader="dot" w:pos="8828"/>
            </w:tabs>
            <w:rPr>
              <w:rFonts w:eastAsiaTheme="minorEastAsia"/>
              <w:noProof/>
              <w:lang w:eastAsia="es-MX"/>
            </w:rPr>
          </w:pPr>
          <w:r w:rsidRPr="00233A82">
            <w:rPr>
              <w:rFonts w:eastAsiaTheme="majorEastAsia" w:cs="Arial"/>
              <w:color w:val="2E74B5" w:themeColor="accent1" w:themeShade="BF"/>
            </w:rPr>
            <w:fldChar w:fldCharType="begin"/>
          </w:r>
          <w:r w:rsidRPr="00233A82">
            <w:rPr>
              <w:rFonts w:cs="Arial"/>
            </w:rPr>
            <w:instrText xml:space="preserve"> TOC \o "1-3" \h \z \u </w:instrText>
          </w:r>
          <w:r w:rsidRPr="00233A82">
            <w:rPr>
              <w:rFonts w:eastAsiaTheme="majorEastAsia" w:cs="Arial"/>
              <w:color w:val="2E74B5" w:themeColor="accent1" w:themeShade="BF"/>
            </w:rPr>
            <w:fldChar w:fldCharType="separate"/>
          </w:r>
          <w:hyperlink w:anchor="_Toc474327031" w:history="1">
            <w:r w:rsidR="00154A3C" w:rsidRPr="00612FF6">
              <w:rPr>
                <w:rStyle w:val="Hipervnculo"/>
                <w:noProof/>
              </w:rPr>
              <w:t>1.</w:t>
            </w:r>
            <w:r w:rsidR="00154A3C">
              <w:rPr>
                <w:rFonts w:eastAsiaTheme="minorEastAsia"/>
                <w:noProof/>
                <w:lang w:eastAsia="es-MX"/>
              </w:rPr>
              <w:tab/>
            </w:r>
            <w:r w:rsidR="00154A3C" w:rsidRPr="00612FF6">
              <w:rPr>
                <w:rStyle w:val="Hipervnculo"/>
                <w:noProof/>
              </w:rPr>
              <w:t>Introducción</w:t>
            </w:r>
            <w:r w:rsidR="00154A3C">
              <w:rPr>
                <w:noProof/>
                <w:webHidden/>
              </w:rPr>
              <w:tab/>
            </w:r>
            <w:r w:rsidR="00154A3C">
              <w:rPr>
                <w:noProof/>
                <w:webHidden/>
              </w:rPr>
              <w:fldChar w:fldCharType="begin"/>
            </w:r>
            <w:r w:rsidR="00154A3C">
              <w:rPr>
                <w:noProof/>
                <w:webHidden/>
              </w:rPr>
              <w:instrText xml:space="preserve"> PAGEREF _Toc474327031 \h </w:instrText>
            </w:r>
            <w:r w:rsidR="00154A3C">
              <w:rPr>
                <w:noProof/>
                <w:webHidden/>
              </w:rPr>
            </w:r>
            <w:r w:rsidR="00154A3C">
              <w:rPr>
                <w:noProof/>
                <w:webHidden/>
              </w:rPr>
              <w:fldChar w:fldCharType="separate"/>
            </w:r>
            <w:r w:rsidR="00154A3C">
              <w:rPr>
                <w:noProof/>
                <w:webHidden/>
              </w:rPr>
              <w:t>2</w:t>
            </w:r>
            <w:r w:rsidR="00154A3C">
              <w:rPr>
                <w:noProof/>
                <w:webHidden/>
              </w:rPr>
              <w:fldChar w:fldCharType="end"/>
            </w:r>
          </w:hyperlink>
        </w:p>
        <w:p w14:paraId="32672205" w14:textId="77777777" w:rsidR="00154A3C" w:rsidRDefault="00E76C43">
          <w:pPr>
            <w:pStyle w:val="TDC1"/>
            <w:tabs>
              <w:tab w:val="left" w:pos="440"/>
              <w:tab w:val="right" w:leader="dot" w:pos="8828"/>
            </w:tabs>
            <w:rPr>
              <w:rFonts w:eastAsiaTheme="minorEastAsia"/>
              <w:noProof/>
              <w:lang w:eastAsia="es-MX"/>
            </w:rPr>
          </w:pPr>
          <w:hyperlink w:anchor="_Toc474327032" w:history="1">
            <w:r w:rsidR="00154A3C" w:rsidRPr="00612FF6">
              <w:rPr>
                <w:rStyle w:val="Hipervnculo"/>
                <w:noProof/>
              </w:rPr>
              <w:t>2.</w:t>
            </w:r>
            <w:r w:rsidR="00154A3C">
              <w:rPr>
                <w:rFonts w:eastAsiaTheme="minorEastAsia"/>
                <w:noProof/>
                <w:lang w:eastAsia="es-MX"/>
              </w:rPr>
              <w:tab/>
            </w:r>
            <w:r w:rsidR="00154A3C" w:rsidRPr="00612FF6">
              <w:rPr>
                <w:rStyle w:val="Hipervnculo"/>
                <w:noProof/>
              </w:rPr>
              <w:t>Estado actual de la banda de 57-64 GHz</w:t>
            </w:r>
            <w:r w:rsidR="00154A3C">
              <w:rPr>
                <w:noProof/>
                <w:webHidden/>
              </w:rPr>
              <w:tab/>
            </w:r>
            <w:r w:rsidR="00154A3C">
              <w:rPr>
                <w:noProof/>
                <w:webHidden/>
              </w:rPr>
              <w:fldChar w:fldCharType="begin"/>
            </w:r>
            <w:r w:rsidR="00154A3C">
              <w:rPr>
                <w:noProof/>
                <w:webHidden/>
              </w:rPr>
              <w:instrText xml:space="preserve"> PAGEREF _Toc474327032 \h </w:instrText>
            </w:r>
            <w:r w:rsidR="00154A3C">
              <w:rPr>
                <w:noProof/>
                <w:webHidden/>
              </w:rPr>
            </w:r>
            <w:r w:rsidR="00154A3C">
              <w:rPr>
                <w:noProof/>
                <w:webHidden/>
              </w:rPr>
              <w:fldChar w:fldCharType="separate"/>
            </w:r>
            <w:r w:rsidR="00154A3C">
              <w:rPr>
                <w:noProof/>
                <w:webHidden/>
              </w:rPr>
              <w:t>2</w:t>
            </w:r>
            <w:r w:rsidR="00154A3C">
              <w:rPr>
                <w:noProof/>
                <w:webHidden/>
              </w:rPr>
              <w:fldChar w:fldCharType="end"/>
            </w:r>
          </w:hyperlink>
        </w:p>
        <w:p w14:paraId="3990DD07" w14:textId="77777777" w:rsidR="00154A3C" w:rsidRDefault="00E76C43">
          <w:pPr>
            <w:pStyle w:val="TDC1"/>
            <w:tabs>
              <w:tab w:val="left" w:pos="440"/>
              <w:tab w:val="right" w:leader="dot" w:pos="8828"/>
            </w:tabs>
            <w:rPr>
              <w:rFonts w:eastAsiaTheme="minorEastAsia"/>
              <w:noProof/>
              <w:lang w:eastAsia="es-MX"/>
            </w:rPr>
          </w:pPr>
          <w:hyperlink w:anchor="_Toc474327033" w:history="1">
            <w:r w:rsidR="00154A3C" w:rsidRPr="00612FF6">
              <w:rPr>
                <w:rStyle w:val="Hipervnculo"/>
                <w:noProof/>
              </w:rPr>
              <w:t>3.</w:t>
            </w:r>
            <w:r w:rsidR="00154A3C">
              <w:rPr>
                <w:rFonts w:eastAsiaTheme="minorEastAsia"/>
                <w:noProof/>
                <w:lang w:eastAsia="es-MX"/>
              </w:rPr>
              <w:tab/>
            </w:r>
            <w:r w:rsidR="00154A3C" w:rsidRPr="00612FF6">
              <w:rPr>
                <w:rStyle w:val="Hipervnculo"/>
                <w:noProof/>
              </w:rPr>
              <w:t>Objetivos de la clasificación de la banda de 57-64 GHz como espectro libre</w:t>
            </w:r>
            <w:r w:rsidR="00154A3C">
              <w:rPr>
                <w:noProof/>
                <w:webHidden/>
              </w:rPr>
              <w:tab/>
            </w:r>
            <w:r w:rsidR="00154A3C">
              <w:rPr>
                <w:noProof/>
                <w:webHidden/>
              </w:rPr>
              <w:fldChar w:fldCharType="begin"/>
            </w:r>
            <w:r w:rsidR="00154A3C">
              <w:rPr>
                <w:noProof/>
                <w:webHidden/>
              </w:rPr>
              <w:instrText xml:space="preserve"> PAGEREF _Toc474327033 \h </w:instrText>
            </w:r>
            <w:r w:rsidR="00154A3C">
              <w:rPr>
                <w:noProof/>
                <w:webHidden/>
              </w:rPr>
            </w:r>
            <w:r w:rsidR="00154A3C">
              <w:rPr>
                <w:noProof/>
                <w:webHidden/>
              </w:rPr>
              <w:fldChar w:fldCharType="separate"/>
            </w:r>
            <w:r w:rsidR="00154A3C">
              <w:rPr>
                <w:noProof/>
                <w:webHidden/>
              </w:rPr>
              <w:t>2</w:t>
            </w:r>
            <w:r w:rsidR="00154A3C">
              <w:rPr>
                <w:noProof/>
                <w:webHidden/>
              </w:rPr>
              <w:fldChar w:fldCharType="end"/>
            </w:r>
          </w:hyperlink>
        </w:p>
        <w:p w14:paraId="057C2CC3" w14:textId="77777777" w:rsidR="00154A3C" w:rsidRDefault="00E76C43">
          <w:pPr>
            <w:pStyle w:val="TDC1"/>
            <w:tabs>
              <w:tab w:val="left" w:pos="440"/>
              <w:tab w:val="right" w:leader="dot" w:pos="8828"/>
            </w:tabs>
            <w:rPr>
              <w:rFonts w:eastAsiaTheme="minorEastAsia"/>
              <w:noProof/>
              <w:lang w:eastAsia="es-MX"/>
            </w:rPr>
          </w:pPr>
          <w:hyperlink w:anchor="_Toc474327034" w:history="1">
            <w:r w:rsidR="00154A3C" w:rsidRPr="00612FF6">
              <w:rPr>
                <w:rStyle w:val="Hipervnculo"/>
                <w:noProof/>
              </w:rPr>
              <w:t>4.</w:t>
            </w:r>
            <w:r w:rsidR="00154A3C">
              <w:rPr>
                <w:rFonts w:eastAsiaTheme="minorEastAsia"/>
                <w:noProof/>
                <w:lang w:eastAsia="es-MX"/>
              </w:rPr>
              <w:tab/>
            </w:r>
            <w:r w:rsidR="00154A3C" w:rsidRPr="00612FF6">
              <w:rPr>
                <w:rStyle w:val="Hipervnculo"/>
                <w:noProof/>
              </w:rPr>
              <w:t>Clasificación de la banda como Espectro Libre</w:t>
            </w:r>
            <w:r w:rsidR="00154A3C">
              <w:rPr>
                <w:noProof/>
                <w:webHidden/>
              </w:rPr>
              <w:tab/>
            </w:r>
            <w:r w:rsidR="00154A3C">
              <w:rPr>
                <w:noProof/>
                <w:webHidden/>
              </w:rPr>
              <w:fldChar w:fldCharType="begin"/>
            </w:r>
            <w:r w:rsidR="00154A3C">
              <w:rPr>
                <w:noProof/>
                <w:webHidden/>
              </w:rPr>
              <w:instrText xml:space="preserve"> PAGEREF _Toc474327034 \h </w:instrText>
            </w:r>
            <w:r w:rsidR="00154A3C">
              <w:rPr>
                <w:noProof/>
                <w:webHidden/>
              </w:rPr>
            </w:r>
            <w:r w:rsidR="00154A3C">
              <w:rPr>
                <w:noProof/>
                <w:webHidden/>
              </w:rPr>
              <w:fldChar w:fldCharType="separate"/>
            </w:r>
            <w:r w:rsidR="00154A3C">
              <w:rPr>
                <w:noProof/>
                <w:webHidden/>
              </w:rPr>
              <w:t>2</w:t>
            </w:r>
            <w:r w:rsidR="00154A3C">
              <w:rPr>
                <w:noProof/>
                <w:webHidden/>
              </w:rPr>
              <w:fldChar w:fldCharType="end"/>
            </w:r>
          </w:hyperlink>
        </w:p>
        <w:p w14:paraId="07CDF8CE" w14:textId="77777777" w:rsidR="00154A3C" w:rsidRDefault="00E76C43">
          <w:pPr>
            <w:pStyle w:val="TDC1"/>
            <w:tabs>
              <w:tab w:val="left" w:pos="440"/>
              <w:tab w:val="right" w:leader="dot" w:pos="8828"/>
            </w:tabs>
            <w:rPr>
              <w:rFonts w:eastAsiaTheme="minorEastAsia"/>
              <w:noProof/>
              <w:lang w:eastAsia="es-MX"/>
            </w:rPr>
          </w:pPr>
          <w:hyperlink w:anchor="_Toc474327035" w:history="1">
            <w:r w:rsidR="00154A3C" w:rsidRPr="00612FF6">
              <w:rPr>
                <w:rStyle w:val="Hipervnculo"/>
                <w:noProof/>
              </w:rPr>
              <w:t>5.</w:t>
            </w:r>
            <w:r w:rsidR="00154A3C">
              <w:rPr>
                <w:rFonts w:eastAsiaTheme="minorEastAsia"/>
                <w:noProof/>
                <w:lang w:eastAsia="es-MX"/>
              </w:rPr>
              <w:tab/>
            </w:r>
            <w:r w:rsidR="00154A3C" w:rsidRPr="00612FF6">
              <w:rPr>
                <w:rStyle w:val="Hipervnculo"/>
                <w:noProof/>
              </w:rPr>
              <w:t>Condiciones de operación permitidas en la banda de frecuencias 57-64 GHz</w:t>
            </w:r>
            <w:r w:rsidR="00154A3C">
              <w:rPr>
                <w:noProof/>
                <w:webHidden/>
              </w:rPr>
              <w:tab/>
            </w:r>
            <w:r w:rsidR="00154A3C">
              <w:rPr>
                <w:noProof/>
                <w:webHidden/>
              </w:rPr>
              <w:fldChar w:fldCharType="begin"/>
            </w:r>
            <w:r w:rsidR="00154A3C">
              <w:rPr>
                <w:noProof/>
                <w:webHidden/>
              </w:rPr>
              <w:instrText xml:space="preserve"> PAGEREF _Toc474327035 \h </w:instrText>
            </w:r>
            <w:r w:rsidR="00154A3C">
              <w:rPr>
                <w:noProof/>
                <w:webHidden/>
              </w:rPr>
            </w:r>
            <w:r w:rsidR="00154A3C">
              <w:rPr>
                <w:noProof/>
                <w:webHidden/>
              </w:rPr>
              <w:fldChar w:fldCharType="separate"/>
            </w:r>
            <w:r w:rsidR="00154A3C">
              <w:rPr>
                <w:noProof/>
                <w:webHidden/>
              </w:rPr>
              <w:t>3</w:t>
            </w:r>
            <w:r w:rsidR="00154A3C">
              <w:rPr>
                <w:noProof/>
                <w:webHidden/>
              </w:rPr>
              <w:fldChar w:fldCharType="end"/>
            </w:r>
          </w:hyperlink>
        </w:p>
        <w:p w14:paraId="03CEA0A6" w14:textId="77777777" w:rsidR="00154A3C" w:rsidRDefault="00E76C43">
          <w:pPr>
            <w:pStyle w:val="TDC1"/>
            <w:tabs>
              <w:tab w:val="left" w:pos="440"/>
              <w:tab w:val="right" w:leader="dot" w:pos="8828"/>
            </w:tabs>
            <w:rPr>
              <w:rFonts w:eastAsiaTheme="minorEastAsia"/>
              <w:noProof/>
              <w:lang w:eastAsia="es-MX"/>
            </w:rPr>
          </w:pPr>
          <w:hyperlink w:anchor="_Toc474327036" w:history="1">
            <w:r w:rsidR="00154A3C" w:rsidRPr="00612FF6">
              <w:rPr>
                <w:rStyle w:val="Hipervnculo"/>
                <w:noProof/>
              </w:rPr>
              <w:t>6.</w:t>
            </w:r>
            <w:r w:rsidR="00154A3C">
              <w:rPr>
                <w:rFonts w:eastAsiaTheme="minorEastAsia"/>
                <w:noProof/>
                <w:lang w:eastAsia="es-MX"/>
              </w:rPr>
              <w:tab/>
            </w:r>
            <w:r w:rsidR="00154A3C" w:rsidRPr="00612FF6">
              <w:rPr>
                <w:rStyle w:val="Hipervnculo"/>
                <w:noProof/>
              </w:rPr>
              <w:t>Restricciones generales</w:t>
            </w:r>
            <w:r w:rsidR="00154A3C">
              <w:rPr>
                <w:noProof/>
                <w:webHidden/>
              </w:rPr>
              <w:tab/>
            </w:r>
            <w:r w:rsidR="00154A3C">
              <w:rPr>
                <w:noProof/>
                <w:webHidden/>
              </w:rPr>
              <w:fldChar w:fldCharType="begin"/>
            </w:r>
            <w:r w:rsidR="00154A3C">
              <w:rPr>
                <w:noProof/>
                <w:webHidden/>
              </w:rPr>
              <w:instrText xml:space="preserve"> PAGEREF _Toc474327036 \h </w:instrText>
            </w:r>
            <w:r w:rsidR="00154A3C">
              <w:rPr>
                <w:noProof/>
                <w:webHidden/>
              </w:rPr>
            </w:r>
            <w:r w:rsidR="00154A3C">
              <w:rPr>
                <w:noProof/>
                <w:webHidden/>
              </w:rPr>
              <w:fldChar w:fldCharType="separate"/>
            </w:r>
            <w:r w:rsidR="00154A3C">
              <w:rPr>
                <w:noProof/>
                <w:webHidden/>
              </w:rPr>
              <w:t>4</w:t>
            </w:r>
            <w:r w:rsidR="00154A3C">
              <w:rPr>
                <w:noProof/>
                <w:webHidden/>
              </w:rPr>
              <w:fldChar w:fldCharType="end"/>
            </w:r>
          </w:hyperlink>
        </w:p>
        <w:p w14:paraId="28F5C16B" w14:textId="77777777" w:rsidR="00154A3C" w:rsidRDefault="00E76C43">
          <w:pPr>
            <w:pStyle w:val="TDC1"/>
            <w:tabs>
              <w:tab w:val="left" w:pos="440"/>
              <w:tab w:val="right" w:leader="dot" w:pos="8828"/>
            </w:tabs>
            <w:rPr>
              <w:rFonts w:eastAsiaTheme="minorEastAsia"/>
              <w:noProof/>
              <w:lang w:eastAsia="es-MX"/>
            </w:rPr>
          </w:pPr>
          <w:hyperlink w:anchor="_Toc474327037" w:history="1">
            <w:r w:rsidR="00154A3C" w:rsidRPr="00612FF6">
              <w:rPr>
                <w:rStyle w:val="Hipervnculo"/>
                <w:noProof/>
              </w:rPr>
              <w:t>7.</w:t>
            </w:r>
            <w:r w:rsidR="00154A3C">
              <w:rPr>
                <w:rFonts w:eastAsiaTheme="minorEastAsia"/>
                <w:noProof/>
                <w:lang w:eastAsia="es-MX"/>
              </w:rPr>
              <w:tab/>
            </w:r>
            <w:r w:rsidR="00154A3C" w:rsidRPr="00612FF6">
              <w:rPr>
                <w:rStyle w:val="Hipervnculo"/>
                <w:noProof/>
              </w:rPr>
              <w:t>Condiciones de coexistencia</w:t>
            </w:r>
            <w:r w:rsidR="00154A3C">
              <w:rPr>
                <w:noProof/>
                <w:webHidden/>
              </w:rPr>
              <w:tab/>
            </w:r>
            <w:r w:rsidR="00154A3C">
              <w:rPr>
                <w:noProof/>
                <w:webHidden/>
              </w:rPr>
              <w:fldChar w:fldCharType="begin"/>
            </w:r>
            <w:r w:rsidR="00154A3C">
              <w:rPr>
                <w:noProof/>
                <w:webHidden/>
              </w:rPr>
              <w:instrText xml:space="preserve"> PAGEREF _Toc474327037 \h </w:instrText>
            </w:r>
            <w:r w:rsidR="00154A3C">
              <w:rPr>
                <w:noProof/>
                <w:webHidden/>
              </w:rPr>
            </w:r>
            <w:r w:rsidR="00154A3C">
              <w:rPr>
                <w:noProof/>
                <w:webHidden/>
              </w:rPr>
              <w:fldChar w:fldCharType="separate"/>
            </w:r>
            <w:r w:rsidR="00154A3C">
              <w:rPr>
                <w:noProof/>
                <w:webHidden/>
              </w:rPr>
              <w:t>4</w:t>
            </w:r>
            <w:r w:rsidR="00154A3C">
              <w:rPr>
                <w:noProof/>
                <w:webHidden/>
              </w:rPr>
              <w:fldChar w:fldCharType="end"/>
            </w:r>
          </w:hyperlink>
        </w:p>
        <w:p w14:paraId="7709F9CA" w14:textId="77777777" w:rsidR="00154A3C" w:rsidRDefault="00E76C43">
          <w:pPr>
            <w:pStyle w:val="TDC1"/>
            <w:tabs>
              <w:tab w:val="left" w:pos="440"/>
              <w:tab w:val="right" w:leader="dot" w:pos="8828"/>
            </w:tabs>
            <w:rPr>
              <w:rFonts w:eastAsiaTheme="minorEastAsia"/>
              <w:noProof/>
              <w:lang w:eastAsia="es-MX"/>
            </w:rPr>
          </w:pPr>
          <w:hyperlink w:anchor="_Toc474327038" w:history="1">
            <w:r w:rsidR="00154A3C" w:rsidRPr="00612FF6">
              <w:rPr>
                <w:rStyle w:val="Hipervnculo"/>
                <w:noProof/>
              </w:rPr>
              <w:t>8.</w:t>
            </w:r>
            <w:r w:rsidR="00154A3C">
              <w:rPr>
                <w:rFonts w:eastAsiaTheme="minorEastAsia"/>
                <w:noProof/>
                <w:lang w:eastAsia="es-MX"/>
              </w:rPr>
              <w:tab/>
            </w:r>
            <w:r w:rsidR="00154A3C" w:rsidRPr="00612FF6">
              <w:rPr>
                <w:rStyle w:val="Hipervnculo"/>
                <w:noProof/>
              </w:rPr>
              <w:t>Recomendaciones y Normas Internacionales aplicables a la banda 57-64 GHz</w:t>
            </w:r>
            <w:r w:rsidR="00154A3C">
              <w:rPr>
                <w:noProof/>
                <w:webHidden/>
              </w:rPr>
              <w:tab/>
            </w:r>
            <w:r w:rsidR="00154A3C">
              <w:rPr>
                <w:noProof/>
                <w:webHidden/>
              </w:rPr>
              <w:fldChar w:fldCharType="begin"/>
            </w:r>
            <w:r w:rsidR="00154A3C">
              <w:rPr>
                <w:noProof/>
                <w:webHidden/>
              </w:rPr>
              <w:instrText xml:space="preserve"> PAGEREF _Toc474327038 \h </w:instrText>
            </w:r>
            <w:r w:rsidR="00154A3C">
              <w:rPr>
                <w:noProof/>
                <w:webHidden/>
              </w:rPr>
            </w:r>
            <w:r w:rsidR="00154A3C">
              <w:rPr>
                <w:noProof/>
                <w:webHidden/>
              </w:rPr>
              <w:fldChar w:fldCharType="separate"/>
            </w:r>
            <w:r w:rsidR="00154A3C">
              <w:rPr>
                <w:noProof/>
                <w:webHidden/>
              </w:rPr>
              <w:t>5</w:t>
            </w:r>
            <w:r w:rsidR="00154A3C">
              <w:rPr>
                <w:noProof/>
                <w:webHidden/>
              </w:rPr>
              <w:fldChar w:fldCharType="end"/>
            </w:r>
          </w:hyperlink>
        </w:p>
        <w:p w14:paraId="54C0A501" w14:textId="77777777" w:rsidR="00154A3C" w:rsidRDefault="00E76C43">
          <w:pPr>
            <w:pStyle w:val="TDC1"/>
            <w:tabs>
              <w:tab w:val="left" w:pos="440"/>
              <w:tab w:val="right" w:leader="dot" w:pos="8828"/>
            </w:tabs>
            <w:rPr>
              <w:rFonts w:eastAsiaTheme="minorEastAsia"/>
              <w:noProof/>
              <w:lang w:eastAsia="es-MX"/>
            </w:rPr>
          </w:pPr>
          <w:hyperlink w:anchor="_Toc474327039" w:history="1">
            <w:r w:rsidR="00154A3C" w:rsidRPr="00612FF6">
              <w:rPr>
                <w:rStyle w:val="Hipervnculo"/>
                <w:noProof/>
              </w:rPr>
              <w:t>9.</w:t>
            </w:r>
            <w:r w:rsidR="00154A3C">
              <w:rPr>
                <w:rFonts w:eastAsiaTheme="minorEastAsia"/>
                <w:noProof/>
                <w:lang w:eastAsia="es-MX"/>
              </w:rPr>
              <w:tab/>
            </w:r>
            <w:r w:rsidR="00154A3C" w:rsidRPr="00612FF6">
              <w:rPr>
                <w:rStyle w:val="Hipervnculo"/>
                <w:noProof/>
              </w:rPr>
              <w:t>Glosario</w:t>
            </w:r>
            <w:r w:rsidR="00154A3C">
              <w:rPr>
                <w:noProof/>
                <w:webHidden/>
              </w:rPr>
              <w:tab/>
            </w:r>
            <w:r w:rsidR="00154A3C">
              <w:rPr>
                <w:noProof/>
                <w:webHidden/>
              </w:rPr>
              <w:fldChar w:fldCharType="begin"/>
            </w:r>
            <w:r w:rsidR="00154A3C">
              <w:rPr>
                <w:noProof/>
                <w:webHidden/>
              </w:rPr>
              <w:instrText xml:space="preserve"> PAGEREF _Toc474327039 \h </w:instrText>
            </w:r>
            <w:r w:rsidR="00154A3C">
              <w:rPr>
                <w:noProof/>
                <w:webHidden/>
              </w:rPr>
            </w:r>
            <w:r w:rsidR="00154A3C">
              <w:rPr>
                <w:noProof/>
                <w:webHidden/>
              </w:rPr>
              <w:fldChar w:fldCharType="separate"/>
            </w:r>
            <w:r w:rsidR="00154A3C">
              <w:rPr>
                <w:noProof/>
                <w:webHidden/>
              </w:rPr>
              <w:t>6</w:t>
            </w:r>
            <w:r w:rsidR="00154A3C">
              <w:rPr>
                <w:noProof/>
                <w:webHidden/>
              </w:rPr>
              <w:fldChar w:fldCharType="end"/>
            </w:r>
          </w:hyperlink>
        </w:p>
        <w:p w14:paraId="06C959A8" w14:textId="03A9B6DA" w:rsidR="00F730F7" w:rsidRPr="00233A82" w:rsidRDefault="00E82214" w:rsidP="002B34CA">
          <w:pPr>
            <w:pStyle w:val="TDC1"/>
            <w:tabs>
              <w:tab w:val="left" w:pos="440"/>
              <w:tab w:val="right" w:leader="dot" w:pos="8828"/>
            </w:tabs>
            <w:rPr>
              <w:lang w:val="es-ES"/>
            </w:rPr>
          </w:pPr>
          <w:r w:rsidRPr="00233A82">
            <w:rPr>
              <w:rFonts w:cs="Arial"/>
              <w:b/>
              <w:bCs/>
              <w:lang w:val="es-ES"/>
            </w:rPr>
            <w:fldChar w:fldCharType="end"/>
          </w:r>
        </w:p>
      </w:sdtContent>
    </w:sdt>
    <w:p w14:paraId="3F838987" w14:textId="77777777" w:rsidR="009A586B" w:rsidRPr="00233A82" w:rsidRDefault="009A586B">
      <w:pPr>
        <w:rPr>
          <w:b/>
          <w:color w:val="70AD47" w:themeColor="accent6"/>
        </w:rPr>
      </w:pPr>
      <w:r w:rsidRPr="00233A82">
        <w:br w:type="page"/>
      </w:r>
    </w:p>
    <w:p w14:paraId="758124DF" w14:textId="188EF617" w:rsidR="00AA0D7C" w:rsidRPr="00233A82" w:rsidRDefault="003D751C" w:rsidP="0093209B">
      <w:pPr>
        <w:pStyle w:val="Ttulo1"/>
        <w:numPr>
          <w:ilvl w:val="0"/>
          <w:numId w:val="1"/>
        </w:numPr>
        <w:ind w:left="284"/>
        <w:rPr>
          <w:sz w:val="22"/>
        </w:rPr>
      </w:pPr>
      <w:bookmarkStart w:id="1" w:name="_Toc474327031"/>
      <w:r w:rsidRPr="00233A82">
        <w:rPr>
          <w:sz w:val="22"/>
        </w:rPr>
        <w:lastRenderedPageBreak/>
        <w:t>Introducción</w:t>
      </w:r>
      <w:bookmarkEnd w:id="1"/>
    </w:p>
    <w:p w14:paraId="489FA659" w14:textId="5DA90B23" w:rsidR="001B0262" w:rsidRPr="00233A82" w:rsidRDefault="009A586B" w:rsidP="00FD29E0">
      <w:pPr>
        <w:autoSpaceDE w:val="0"/>
        <w:autoSpaceDN w:val="0"/>
        <w:adjustRightInd w:val="0"/>
        <w:spacing w:after="0" w:line="240" w:lineRule="auto"/>
        <w:jc w:val="both"/>
      </w:pPr>
      <w:r w:rsidRPr="00233A82">
        <w:t>De conformidad con el Artículo 55, fracción II de la</w:t>
      </w:r>
      <w:r w:rsidR="001B0262" w:rsidRPr="00233A82">
        <w:t xml:space="preserve"> Ley Federal de Telecomunicaciones y Radiodifusión</w:t>
      </w:r>
      <w:r w:rsidR="00C75F29" w:rsidRPr="00233A82">
        <w:t xml:space="preserve"> (LFTyR)</w:t>
      </w:r>
      <w:r w:rsidR="001B0262" w:rsidRPr="00233A82">
        <w:t xml:space="preserve">, </w:t>
      </w:r>
      <w:r w:rsidRPr="00233A82">
        <w:t>el</w:t>
      </w:r>
      <w:r w:rsidR="001B0262" w:rsidRPr="00233A82">
        <w:t xml:space="preserve"> espectro libre</w:t>
      </w:r>
      <w:r w:rsidRPr="00233A82">
        <w:t xml:space="preserve"> se clasifica </w:t>
      </w:r>
      <w:r w:rsidR="001B0262" w:rsidRPr="00233A82">
        <w:t>como:</w:t>
      </w:r>
    </w:p>
    <w:p w14:paraId="6CA6408E" w14:textId="77777777" w:rsidR="001B0262" w:rsidRPr="00233A82" w:rsidRDefault="001B0262" w:rsidP="001B0262">
      <w:pPr>
        <w:autoSpaceDE w:val="0"/>
        <w:autoSpaceDN w:val="0"/>
        <w:adjustRightInd w:val="0"/>
        <w:spacing w:after="0" w:line="240" w:lineRule="auto"/>
      </w:pPr>
    </w:p>
    <w:p w14:paraId="46EA2D8B" w14:textId="7846DD45" w:rsidR="002B7B0A" w:rsidRPr="00233A82" w:rsidRDefault="001B0262" w:rsidP="00B4703D">
      <w:pPr>
        <w:ind w:left="705" w:right="1040"/>
        <w:jc w:val="both"/>
        <w:rPr>
          <w:i/>
        </w:rPr>
      </w:pPr>
      <w:r w:rsidRPr="00233A82">
        <w:rPr>
          <w:i/>
        </w:rPr>
        <w:t>“</w:t>
      </w:r>
      <w:r w:rsidR="002B7B0A" w:rsidRPr="00233A82">
        <w:rPr>
          <w:i/>
        </w:rPr>
        <w:t>Artículo 55. Las bandas de frecuencia del espectro radioeléctrico se clasificarán de acuerdo con lo siguiente:</w:t>
      </w:r>
    </w:p>
    <w:p w14:paraId="4E1C9439" w14:textId="20E1F641" w:rsidR="002B7B0A" w:rsidRPr="00233A82" w:rsidRDefault="002B7B0A" w:rsidP="00B4703D">
      <w:pPr>
        <w:ind w:left="705" w:right="1040"/>
        <w:jc w:val="both"/>
        <w:rPr>
          <w:i/>
        </w:rPr>
      </w:pPr>
      <w:r w:rsidRPr="00233A82">
        <w:rPr>
          <w:i/>
        </w:rPr>
        <w:t>(…)</w:t>
      </w:r>
    </w:p>
    <w:p w14:paraId="17B0DD67" w14:textId="77777777" w:rsidR="002B7B0A" w:rsidRPr="00233A82" w:rsidRDefault="005F2AB3" w:rsidP="00B4703D">
      <w:pPr>
        <w:ind w:left="705" w:right="1040"/>
        <w:jc w:val="both"/>
        <w:rPr>
          <w:i/>
        </w:rPr>
      </w:pPr>
      <w:r w:rsidRPr="00233A82">
        <w:rPr>
          <w:b/>
          <w:i/>
        </w:rPr>
        <w:t xml:space="preserve">II. </w:t>
      </w:r>
      <w:r w:rsidR="001B0262" w:rsidRPr="00233A82">
        <w:rPr>
          <w:b/>
          <w:i/>
        </w:rPr>
        <w:t>Espectro libre</w:t>
      </w:r>
      <w:r w:rsidR="001B0262" w:rsidRPr="00233A82">
        <w:rPr>
          <w:i/>
        </w:rPr>
        <w:t>: Son aquellas bandas de frecuencias de acceso libre, que pueden ser utilizadas por el público en general, bajo los lineamientos o especificaciones que establezca el Instituto, sin necesidad de concesión o autorización</w:t>
      </w:r>
      <w:r w:rsidR="002B7B0A" w:rsidRPr="00233A82">
        <w:rPr>
          <w:i/>
        </w:rPr>
        <w:t>;</w:t>
      </w:r>
    </w:p>
    <w:p w14:paraId="70A6B0CB" w14:textId="168B479C" w:rsidR="00B4703D" w:rsidRDefault="002B7B0A" w:rsidP="00B4703D">
      <w:pPr>
        <w:ind w:left="705" w:right="1040"/>
        <w:jc w:val="both"/>
        <w:rPr>
          <w:i/>
        </w:rPr>
      </w:pPr>
      <w:r w:rsidRPr="00233A82">
        <w:rPr>
          <w:b/>
          <w:i/>
        </w:rPr>
        <w:t>(</w:t>
      </w:r>
      <w:r w:rsidRPr="00233A82">
        <w:rPr>
          <w:i/>
        </w:rPr>
        <w:t>…)</w:t>
      </w:r>
      <w:r w:rsidR="001B0262" w:rsidRPr="00233A82">
        <w:rPr>
          <w:i/>
        </w:rPr>
        <w:t>”</w:t>
      </w:r>
    </w:p>
    <w:p w14:paraId="0163E3E5" w14:textId="77777777" w:rsidR="00233A82" w:rsidRPr="00233A82" w:rsidRDefault="00233A82" w:rsidP="00233A82">
      <w:pPr>
        <w:ind w:right="1040"/>
        <w:jc w:val="both"/>
        <w:rPr>
          <w:i/>
        </w:rPr>
      </w:pPr>
    </w:p>
    <w:p w14:paraId="4598A392" w14:textId="25472B40" w:rsidR="002B5200" w:rsidRPr="00233A82" w:rsidRDefault="002B5200" w:rsidP="002B5200">
      <w:pPr>
        <w:pStyle w:val="Ttulo1"/>
        <w:numPr>
          <w:ilvl w:val="0"/>
          <w:numId w:val="1"/>
        </w:numPr>
        <w:ind w:left="284"/>
        <w:rPr>
          <w:sz w:val="22"/>
        </w:rPr>
      </w:pPr>
      <w:bookmarkStart w:id="2" w:name="_Toc474327032"/>
      <w:r w:rsidRPr="00233A82">
        <w:rPr>
          <w:sz w:val="22"/>
        </w:rPr>
        <w:t>Estado actual de la banda de 57-64 GHz</w:t>
      </w:r>
      <w:bookmarkEnd w:id="2"/>
    </w:p>
    <w:p w14:paraId="1FF9B462" w14:textId="0C6DDBC1" w:rsidR="00C11FCB" w:rsidRDefault="002B5200" w:rsidP="00C11FCB">
      <w:pPr>
        <w:ind w:right="1040"/>
        <w:jc w:val="both"/>
      </w:pPr>
      <w:r w:rsidRPr="00233A82">
        <w:t>Actualmente, de acuerdo con el Registro Público de Concesiones (RPC) y el Sistema Integral de Administración del Espectro Radioeléctrico (SIAER), en nuestro país no se cuenta con registros de usuarios que hagan uso del espectro radioeléctrico en el segmento 57-64 GHz.</w:t>
      </w:r>
    </w:p>
    <w:p w14:paraId="09A105B0" w14:textId="77777777" w:rsidR="00233A82" w:rsidRPr="00233A82" w:rsidRDefault="00233A82" w:rsidP="00C11FCB">
      <w:pPr>
        <w:ind w:right="1040"/>
        <w:jc w:val="both"/>
        <w:rPr>
          <w:i/>
        </w:rPr>
      </w:pPr>
    </w:p>
    <w:p w14:paraId="439C7CC7" w14:textId="7F2887EA" w:rsidR="001A2B91" w:rsidRPr="00233A82" w:rsidRDefault="001A2B91" w:rsidP="001A2B91">
      <w:pPr>
        <w:pStyle w:val="Ttulo1"/>
        <w:numPr>
          <w:ilvl w:val="0"/>
          <w:numId w:val="1"/>
        </w:numPr>
        <w:ind w:left="284"/>
        <w:rPr>
          <w:sz w:val="22"/>
        </w:rPr>
      </w:pPr>
      <w:bookmarkStart w:id="3" w:name="_Toc474327033"/>
      <w:r w:rsidRPr="00233A82">
        <w:rPr>
          <w:sz w:val="22"/>
        </w:rPr>
        <w:t>Objetivos</w:t>
      </w:r>
      <w:r w:rsidR="00294CFF" w:rsidRPr="00233A82">
        <w:rPr>
          <w:sz w:val="22"/>
        </w:rPr>
        <w:t xml:space="preserve"> de</w:t>
      </w:r>
      <w:r w:rsidR="00F21E7E" w:rsidRPr="00233A82">
        <w:rPr>
          <w:sz w:val="22"/>
        </w:rPr>
        <w:t xml:space="preserve"> la clasificación de la banda de 57-64 GHz como espectro libre</w:t>
      </w:r>
      <w:bookmarkEnd w:id="3"/>
    </w:p>
    <w:p w14:paraId="40A9C75B" w14:textId="77777777" w:rsidR="009C570E" w:rsidRPr="00233A82" w:rsidRDefault="009C570E" w:rsidP="009C570E">
      <w:pPr>
        <w:pStyle w:val="Prrafodelista"/>
        <w:numPr>
          <w:ilvl w:val="0"/>
          <w:numId w:val="36"/>
        </w:numPr>
        <w:spacing w:after="120"/>
        <w:ind w:right="1040"/>
        <w:contextualSpacing w:val="0"/>
        <w:jc w:val="both"/>
      </w:pPr>
      <w:r w:rsidRPr="00233A82">
        <w:t>Establecer las condiciones de operación para el uso de la banda de frecuencias de 57-64 GHz como espectro libre.</w:t>
      </w:r>
    </w:p>
    <w:p w14:paraId="4554DB75" w14:textId="6095D98D" w:rsidR="00DC2EB8" w:rsidRPr="00233A82" w:rsidRDefault="00DC2EB8" w:rsidP="00354288">
      <w:pPr>
        <w:pStyle w:val="Prrafodelista"/>
        <w:numPr>
          <w:ilvl w:val="0"/>
          <w:numId w:val="36"/>
        </w:numPr>
        <w:spacing w:after="120"/>
        <w:ind w:right="1040"/>
        <w:contextualSpacing w:val="0"/>
        <w:jc w:val="both"/>
      </w:pPr>
      <w:r w:rsidRPr="00233A82">
        <w:t xml:space="preserve">Acercar al público en general a las tecnologías y servicios de telecomunicaciones mediante las bandas de frecuencias </w:t>
      </w:r>
      <w:r w:rsidR="00FF5308" w:rsidRPr="00233A82">
        <w:t>clasificadas como</w:t>
      </w:r>
      <w:r w:rsidRPr="00233A82">
        <w:t xml:space="preserve"> espectro libre.</w:t>
      </w:r>
    </w:p>
    <w:p w14:paraId="4686029E" w14:textId="1A861E56" w:rsidR="00DC2EB8" w:rsidRPr="00233A82" w:rsidRDefault="00DC2EB8" w:rsidP="00354288">
      <w:pPr>
        <w:pStyle w:val="Prrafodelista"/>
        <w:numPr>
          <w:ilvl w:val="0"/>
          <w:numId w:val="36"/>
        </w:numPr>
        <w:spacing w:after="120"/>
        <w:ind w:right="1040"/>
        <w:contextualSpacing w:val="0"/>
        <w:jc w:val="both"/>
      </w:pPr>
      <w:r w:rsidRPr="00233A82">
        <w:t>Administrar y fomentar el uso eficiente del espectro radioeléctrico para el sector de las telecomunicaciones.</w:t>
      </w:r>
    </w:p>
    <w:p w14:paraId="25260637" w14:textId="1149B9C0" w:rsidR="00646A53" w:rsidRPr="00233A82" w:rsidRDefault="00646A53" w:rsidP="00354288">
      <w:pPr>
        <w:pStyle w:val="Prrafodelista"/>
        <w:numPr>
          <w:ilvl w:val="0"/>
          <w:numId w:val="36"/>
        </w:numPr>
        <w:spacing w:after="120"/>
        <w:ind w:right="1040"/>
        <w:contextualSpacing w:val="0"/>
        <w:jc w:val="both"/>
      </w:pPr>
      <w:r w:rsidRPr="00233A82">
        <w:t xml:space="preserve">Promover </w:t>
      </w:r>
      <w:r w:rsidR="00EE661F" w:rsidRPr="00233A82">
        <w:t xml:space="preserve">e impulsar condiciones para </w:t>
      </w:r>
      <w:r w:rsidRPr="00233A82">
        <w:t xml:space="preserve">el acceso a las tecnologías y </w:t>
      </w:r>
      <w:r w:rsidR="00901CBD" w:rsidRPr="00233A82">
        <w:t>servicios de telecomunicaciones</w:t>
      </w:r>
      <w:r w:rsidR="00CF5993" w:rsidRPr="00233A82">
        <w:t xml:space="preserve"> </w:t>
      </w:r>
      <w:r w:rsidR="00EE661F" w:rsidRPr="00233A82">
        <w:t>con la finalidad de maximizar el bienestar social.</w:t>
      </w:r>
    </w:p>
    <w:p w14:paraId="3EC92992" w14:textId="77777777" w:rsidR="00646A53" w:rsidRPr="00233A82" w:rsidRDefault="00646A53" w:rsidP="00354288">
      <w:pPr>
        <w:pStyle w:val="Prrafodelista"/>
        <w:numPr>
          <w:ilvl w:val="0"/>
          <w:numId w:val="36"/>
        </w:numPr>
        <w:spacing w:after="120"/>
        <w:ind w:right="1040"/>
        <w:contextualSpacing w:val="0"/>
        <w:jc w:val="both"/>
      </w:pPr>
      <w:r w:rsidRPr="00233A82">
        <w:t>Fomentar condiciones de competencia en el mercado de telecomunicaciones para obtener un mayor desarrollo en el sector.</w:t>
      </w:r>
    </w:p>
    <w:p w14:paraId="464CABB7" w14:textId="3F252F45" w:rsidR="00646A53" w:rsidRPr="00233A82" w:rsidRDefault="003C5301" w:rsidP="00354288">
      <w:pPr>
        <w:pStyle w:val="Prrafodelista"/>
        <w:numPr>
          <w:ilvl w:val="0"/>
          <w:numId w:val="36"/>
        </w:numPr>
        <w:spacing w:after="120"/>
        <w:ind w:right="1040"/>
        <w:contextualSpacing w:val="0"/>
        <w:jc w:val="both"/>
      </w:pPr>
      <w:r w:rsidRPr="00233A82">
        <w:t>Coadyuvar en la armonización del uso del espectro considerando las mejores prácticas internacionales y los avances tecnológicos que</w:t>
      </w:r>
      <w:r w:rsidR="00FF5308" w:rsidRPr="00233A82">
        <w:t xml:space="preserve"> existen</w:t>
      </w:r>
      <w:r w:rsidRPr="00233A82">
        <w:t xml:space="preserve"> en el sector. </w:t>
      </w:r>
    </w:p>
    <w:p w14:paraId="16DE026A" w14:textId="77777777" w:rsidR="00CF5993" w:rsidRPr="00233A82" w:rsidRDefault="00CF5993" w:rsidP="00CF5993">
      <w:pPr>
        <w:pStyle w:val="Prrafodelista"/>
      </w:pPr>
    </w:p>
    <w:p w14:paraId="056C5CCD" w14:textId="4F4869BB" w:rsidR="00AA0D7C" w:rsidRPr="00233A82" w:rsidRDefault="00922CD5" w:rsidP="00DB5D3F">
      <w:pPr>
        <w:pStyle w:val="Ttulo1"/>
        <w:numPr>
          <w:ilvl w:val="0"/>
          <w:numId w:val="1"/>
        </w:numPr>
        <w:ind w:left="284"/>
        <w:rPr>
          <w:sz w:val="22"/>
        </w:rPr>
      </w:pPr>
      <w:bookmarkStart w:id="4" w:name="_Toc474327034"/>
      <w:r w:rsidRPr="00233A82">
        <w:rPr>
          <w:sz w:val="22"/>
        </w:rPr>
        <w:t>Clasificación de</w:t>
      </w:r>
      <w:r w:rsidR="001A2B91" w:rsidRPr="00233A82">
        <w:rPr>
          <w:sz w:val="22"/>
        </w:rPr>
        <w:t xml:space="preserve"> la banda como</w:t>
      </w:r>
      <w:r w:rsidRPr="00233A82">
        <w:rPr>
          <w:sz w:val="22"/>
        </w:rPr>
        <w:t xml:space="preserve"> Espectro Libre</w:t>
      </w:r>
      <w:bookmarkEnd w:id="4"/>
    </w:p>
    <w:p w14:paraId="2A1827F8" w14:textId="1E5CA235" w:rsidR="00922CD5" w:rsidRPr="00233A82" w:rsidRDefault="00922CD5" w:rsidP="00922CD5">
      <w:pPr>
        <w:jc w:val="both"/>
      </w:pPr>
      <w:r w:rsidRPr="00233A82">
        <w:t>Se</w:t>
      </w:r>
      <w:r w:rsidR="00780312" w:rsidRPr="00233A82">
        <w:t xml:space="preserve"> </w:t>
      </w:r>
      <w:r w:rsidR="009A586B" w:rsidRPr="00233A82">
        <w:t xml:space="preserve">propone </w:t>
      </w:r>
      <w:r w:rsidRPr="00233A82">
        <w:t>clasifica</w:t>
      </w:r>
      <w:r w:rsidR="009A586B" w:rsidRPr="00233A82">
        <w:t>r</w:t>
      </w:r>
      <w:r w:rsidR="00276743" w:rsidRPr="00233A82">
        <w:t xml:space="preserve"> </w:t>
      </w:r>
      <w:r w:rsidR="009A586B" w:rsidRPr="00233A82">
        <w:t xml:space="preserve">la banda de frecuencias de 57-64 GHz </w:t>
      </w:r>
      <w:r w:rsidR="00276743" w:rsidRPr="00233A82">
        <w:t>como espectro libre</w:t>
      </w:r>
      <w:r w:rsidRPr="00233A82">
        <w:t xml:space="preserve">, </w:t>
      </w:r>
      <w:r w:rsidR="00703391" w:rsidRPr="00233A82">
        <w:t>bajo los lineamientos y</w:t>
      </w:r>
      <w:r w:rsidR="009A586B" w:rsidRPr="00233A82">
        <w:t xml:space="preserve"> especificaciones que se establecen </w:t>
      </w:r>
      <w:r w:rsidR="00C93AB4" w:rsidRPr="00233A82">
        <w:t>en el presente documento</w:t>
      </w:r>
      <w:r w:rsidR="00354288" w:rsidRPr="00233A82">
        <w:t>.</w:t>
      </w:r>
    </w:p>
    <w:p w14:paraId="18E5266D" w14:textId="77777777" w:rsidR="00956F7D" w:rsidRPr="00233A82" w:rsidRDefault="00956F7D" w:rsidP="00BD58D4">
      <w:pPr>
        <w:spacing w:after="0" w:line="240" w:lineRule="auto"/>
        <w:contextualSpacing/>
      </w:pPr>
    </w:p>
    <w:p w14:paraId="4B7DBAA9" w14:textId="0CCC1A4F" w:rsidR="00F17F11" w:rsidRPr="00233A82" w:rsidRDefault="00F17F11" w:rsidP="00C93AB4">
      <w:pPr>
        <w:pStyle w:val="Ttulo1"/>
        <w:numPr>
          <w:ilvl w:val="0"/>
          <w:numId w:val="1"/>
        </w:numPr>
        <w:ind w:left="284"/>
        <w:rPr>
          <w:sz w:val="22"/>
        </w:rPr>
      </w:pPr>
      <w:bookmarkStart w:id="5" w:name="_Toc472432934"/>
      <w:bookmarkStart w:id="6" w:name="_Toc474327035"/>
      <w:r w:rsidRPr="00233A82">
        <w:rPr>
          <w:sz w:val="22"/>
        </w:rPr>
        <w:lastRenderedPageBreak/>
        <w:t xml:space="preserve">Condiciones </w:t>
      </w:r>
      <w:r w:rsidR="005938DD" w:rsidRPr="00233A82">
        <w:rPr>
          <w:sz w:val="22"/>
        </w:rPr>
        <w:t>de operación</w:t>
      </w:r>
      <w:r w:rsidR="00DB5D3F" w:rsidRPr="00233A82">
        <w:rPr>
          <w:sz w:val="22"/>
        </w:rPr>
        <w:t xml:space="preserve"> </w:t>
      </w:r>
      <w:r w:rsidRPr="00233A82">
        <w:rPr>
          <w:sz w:val="22"/>
        </w:rPr>
        <w:t>permitid</w:t>
      </w:r>
      <w:r w:rsidR="00DB5D3F" w:rsidRPr="00233A82">
        <w:rPr>
          <w:sz w:val="22"/>
        </w:rPr>
        <w:t>a</w:t>
      </w:r>
      <w:r w:rsidRPr="00233A82">
        <w:rPr>
          <w:sz w:val="22"/>
        </w:rPr>
        <w:t>s en la banda de frecuencias 57-64 GHz</w:t>
      </w:r>
      <w:bookmarkEnd w:id="5"/>
      <w:bookmarkEnd w:id="6"/>
    </w:p>
    <w:p w14:paraId="08E50C48" w14:textId="6907068B" w:rsidR="009F523F" w:rsidRPr="00233A82" w:rsidRDefault="009972DC" w:rsidP="00B017FD">
      <w:pPr>
        <w:pStyle w:val="Prrafodelista"/>
        <w:numPr>
          <w:ilvl w:val="0"/>
          <w:numId w:val="32"/>
        </w:numPr>
        <w:spacing w:after="120"/>
        <w:contextualSpacing w:val="0"/>
        <w:jc w:val="both"/>
      </w:pPr>
      <w:r w:rsidRPr="00233A82">
        <w:t xml:space="preserve">Los dispositivos, equipos o productos que operen en esta banda de frecuencias deberán ser homologados </w:t>
      </w:r>
      <w:r w:rsidR="00437CA6" w:rsidRPr="00233A82">
        <w:t xml:space="preserve">de conformidad con los artículos establecidos en el Título Décimo Tercero </w:t>
      </w:r>
      <w:r w:rsidRPr="00233A82">
        <w:t>de la Ley Federal de Telecomunicacio</w:t>
      </w:r>
      <w:r w:rsidR="00C621AA" w:rsidRPr="00233A82">
        <w:t>nes y Radiodifusión, así como con</w:t>
      </w:r>
      <w:r w:rsidRPr="00233A82">
        <w:t xml:space="preserve"> las demás disposiciones reglamentarias y administrativas aplicables.</w:t>
      </w:r>
    </w:p>
    <w:p w14:paraId="7CEEFC9B" w14:textId="1204B50A" w:rsidR="00B017FD" w:rsidRPr="00233A82" w:rsidRDefault="00B017FD" w:rsidP="00B017FD">
      <w:pPr>
        <w:pStyle w:val="Prrafodelista"/>
        <w:numPr>
          <w:ilvl w:val="0"/>
          <w:numId w:val="32"/>
        </w:numPr>
        <w:spacing w:after="120"/>
        <w:contextualSpacing w:val="0"/>
        <w:jc w:val="both"/>
      </w:pPr>
      <w:r w:rsidRPr="00233A82">
        <w:t>Los niveles de emisión de Potencia Isótropa Radiada Equivalente (PIRE)</w:t>
      </w:r>
      <w:r w:rsidR="00D74C28" w:rsidRPr="00233A82">
        <w:t xml:space="preserve">, medidos durante el intervalo de la transmisión, </w:t>
      </w:r>
      <w:r w:rsidRPr="00233A82">
        <w:t xml:space="preserve"> </w:t>
      </w:r>
      <w:r w:rsidR="00D74C28" w:rsidRPr="00233A82">
        <w:t xml:space="preserve">no deberán exceder los valores </w:t>
      </w:r>
      <w:r w:rsidR="007F63FF" w:rsidRPr="00233A82">
        <w:t>descritos</w:t>
      </w:r>
      <w:r w:rsidRPr="00233A82">
        <w:t xml:space="preserve"> </w:t>
      </w:r>
      <w:r w:rsidR="00D74C28" w:rsidRPr="00233A82">
        <w:t>en el</w:t>
      </w:r>
      <w:r w:rsidRPr="00233A82">
        <w:t xml:space="preserve"> presente documento</w:t>
      </w:r>
      <w:r w:rsidR="00D74C28" w:rsidRPr="00233A82">
        <w:t>.</w:t>
      </w:r>
    </w:p>
    <w:p w14:paraId="081A0A76" w14:textId="72BE6C75" w:rsidR="00421274" w:rsidRPr="00233A82" w:rsidRDefault="00CC70A2" w:rsidP="00421274">
      <w:pPr>
        <w:pStyle w:val="Prrafodelista"/>
        <w:numPr>
          <w:ilvl w:val="0"/>
          <w:numId w:val="32"/>
        </w:numPr>
        <w:spacing w:after="120"/>
        <w:contextualSpacing w:val="0"/>
        <w:jc w:val="both"/>
      </w:pPr>
      <w:r w:rsidRPr="00233A82">
        <w:t xml:space="preserve">Los transmisores de </w:t>
      </w:r>
      <w:r w:rsidR="008260E5" w:rsidRPr="00233A82">
        <w:t xml:space="preserve">radioenlaces fijos </w:t>
      </w:r>
      <w:r w:rsidRPr="00233A82">
        <w:t>punto a punto localizados en exteriores,</w:t>
      </w:r>
      <w:r w:rsidR="00421274" w:rsidRPr="00233A82">
        <w:t xml:space="preserve"> deberán operar con una PIRE promedio</w:t>
      </w:r>
      <w:r w:rsidR="00E03FDE" w:rsidRPr="00233A82">
        <w:t xml:space="preserve"> que no exceda</w:t>
      </w:r>
      <w:r w:rsidR="00421274" w:rsidRPr="00233A82">
        <w:t xml:space="preserve"> 82 dBm y </w:t>
      </w:r>
      <w:r w:rsidR="00B54B3F" w:rsidRPr="00233A82">
        <w:t xml:space="preserve">una </w:t>
      </w:r>
      <w:r w:rsidR="00421274" w:rsidRPr="00233A82">
        <w:t xml:space="preserve">PIRE máxima </w:t>
      </w:r>
      <w:r w:rsidR="00E03FDE" w:rsidRPr="00233A82">
        <w:t xml:space="preserve">que no exceda </w:t>
      </w:r>
      <w:r w:rsidR="00421274" w:rsidRPr="00233A82">
        <w:t>de 85 dBm. En los casos que la ganancia de la antena sea menor a 51 dBi, se deberán restar 2 dB a</w:t>
      </w:r>
      <w:r w:rsidR="00B54B3F" w:rsidRPr="00233A82">
        <w:t xml:space="preserve"> </w:t>
      </w:r>
      <w:r w:rsidR="00421274" w:rsidRPr="00233A82">
        <w:t>l</w:t>
      </w:r>
      <w:r w:rsidR="00B54B3F" w:rsidRPr="00233A82">
        <w:t>a</w:t>
      </w:r>
      <w:r w:rsidR="00421274" w:rsidRPr="00233A82">
        <w:t xml:space="preserve"> PIRE </w:t>
      </w:r>
      <w:r w:rsidR="00B54B3F" w:rsidRPr="00233A82">
        <w:t>promedio y a la</w:t>
      </w:r>
      <w:r w:rsidR="00421274" w:rsidRPr="00233A82">
        <w:t xml:space="preserve"> PIRE </w:t>
      </w:r>
      <w:r w:rsidR="00B54B3F" w:rsidRPr="00233A82">
        <w:t>máxima</w:t>
      </w:r>
      <w:r w:rsidR="00421274" w:rsidRPr="00233A82">
        <w:t xml:space="preserve">, por cada dB </w:t>
      </w:r>
      <w:r w:rsidR="00BC03DE" w:rsidRPr="00233A82">
        <w:t>que la ganancia sea menor a 51 dBi</w:t>
      </w:r>
      <w:r w:rsidR="00421274" w:rsidRPr="00233A82">
        <w:t>.</w:t>
      </w:r>
    </w:p>
    <w:p w14:paraId="73D5DB8E" w14:textId="5F64CDF1" w:rsidR="00295826" w:rsidRPr="00233A82" w:rsidRDefault="00B54B3F" w:rsidP="00421274">
      <w:pPr>
        <w:pStyle w:val="Prrafodelista"/>
        <w:numPr>
          <w:ilvl w:val="0"/>
          <w:numId w:val="32"/>
        </w:numPr>
        <w:spacing w:after="120"/>
        <w:contextualSpacing w:val="0"/>
        <w:jc w:val="both"/>
      </w:pPr>
      <w:r w:rsidRPr="00233A82">
        <w:t>L</w:t>
      </w:r>
      <w:r w:rsidR="00295826" w:rsidRPr="00233A82">
        <w:t>os sens</w:t>
      </w:r>
      <w:r w:rsidR="00CB3F2F" w:rsidRPr="00233A82">
        <w:t>ores de perturbación de campo fijo con ancho de banda</w:t>
      </w:r>
      <w:r w:rsidRPr="00233A82">
        <w:t xml:space="preserve"> igual o menor a</w:t>
      </w:r>
      <w:r w:rsidR="00CB3F2F" w:rsidRPr="00233A82">
        <w:t xml:space="preserve"> 500 MHz que operen dentro del segmento 61-61.5 GHz, </w:t>
      </w:r>
      <w:r w:rsidR="00E03FDE" w:rsidRPr="00233A82">
        <w:t xml:space="preserve">deberán operar con una PIRE promedio que no exceda </w:t>
      </w:r>
      <w:r w:rsidR="00182725" w:rsidRPr="00233A82">
        <w:t>40 dBm</w:t>
      </w:r>
      <w:r w:rsidRPr="00233A82">
        <w:t xml:space="preserve"> </w:t>
      </w:r>
      <w:r w:rsidR="00182725" w:rsidRPr="00233A82">
        <w:t xml:space="preserve">y </w:t>
      </w:r>
      <w:r w:rsidR="00E03FDE" w:rsidRPr="00233A82">
        <w:t xml:space="preserve">una </w:t>
      </w:r>
      <w:r w:rsidR="005F7A43" w:rsidRPr="00233A82">
        <w:t>PIRE</w:t>
      </w:r>
      <w:r w:rsidR="00495297" w:rsidRPr="00233A82">
        <w:t xml:space="preserve"> máxima </w:t>
      </w:r>
      <w:r w:rsidR="00E03FDE" w:rsidRPr="00233A82">
        <w:t>que no exceda</w:t>
      </w:r>
      <w:r w:rsidR="00CB3F2F" w:rsidRPr="00233A82">
        <w:t xml:space="preserve"> 43 dBm.</w:t>
      </w:r>
    </w:p>
    <w:p w14:paraId="75783E03" w14:textId="1E4BA783" w:rsidR="005F7A43" w:rsidRPr="00233A82" w:rsidRDefault="005200F9" w:rsidP="00C93AB4">
      <w:pPr>
        <w:pStyle w:val="Prrafodelista"/>
        <w:numPr>
          <w:ilvl w:val="0"/>
          <w:numId w:val="32"/>
        </w:numPr>
        <w:spacing w:after="120"/>
        <w:contextualSpacing w:val="0"/>
        <w:jc w:val="both"/>
      </w:pPr>
      <w:r w:rsidRPr="00233A82">
        <w:t>L</w:t>
      </w:r>
      <w:r w:rsidR="00CB3F2F" w:rsidRPr="00233A82">
        <w:t xml:space="preserve">os sensores de perturbación de campo fijo con ancho de banda </w:t>
      </w:r>
      <w:r w:rsidRPr="00233A82">
        <w:t xml:space="preserve">igual o menor a 500 MHz que operen dentro de la banda 57-64 GHz, con excepción del segmento 61-61.5 GHz, deberán operar con una PIRE promedio que no exceda 10 dBm y una PIRE máxima que no exceda </w:t>
      </w:r>
      <w:r w:rsidR="005F7A43" w:rsidRPr="00233A82">
        <w:t>13 dBm.</w:t>
      </w:r>
    </w:p>
    <w:p w14:paraId="02FF00C5" w14:textId="0E53BA12" w:rsidR="005E51EE" w:rsidRPr="00233A82" w:rsidRDefault="005E51EE" w:rsidP="000E1E03">
      <w:pPr>
        <w:pStyle w:val="Prrafodelista"/>
        <w:numPr>
          <w:ilvl w:val="0"/>
          <w:numId w:val="32"/>
        </w:numPr>
        <w:spacing w:after="120"/>
        <w:contextualSpacing w:val="0"/>
        <w:jc w:val="both"/>
      </w:pPr>
      <w:r w:rsidRPr="00233A82">
        <w:t xml:space="preserve">Los sensores de perturbación de campo fijo diferentes a los mencionados en </w:t>
      </w:r>
      <w:r w:rsidR="0024565C" w:rsidRPr="00233A82">
        <w:t xml:space="preserve">los incisos </w:t>
      </w:r>
      <w:r w:rsidR="00174756" w:rsidRPr="00233A82">
        <w:t>IV</w:t>
      </w:r>
      <w:r w:rsidR="0024565C" w:rsidRPr="00233A82">
        <w:t xml:space="preserve"> y </w:t>
      </w:r>
      <w:r w:rsidR="00174756" w:rsidRPr="00233A82">
        <w:t>V, así como los sensores de movimiento interactivo,</w:t>
      </w:r>
      <w:r w:rsidRPr="00233A82">
        <w:t xml:space="preserve"> </w:t>
      </w:r>
      <w:r w:rsidR="00A071F0" w:rsidRPr="00233A82">
        <w:t xml:space="preserve">no </w:t>
      </w:r>
      <w:r w:rsidRPr="00233A82">
        <w:t xml:space="preserve">deberán </w:t>
      </w:r>
      <w:r w:rsidR="00A071F0" w:rsidRPr="00233A82">
        <w:t xml:space="preserve">exceder </w:t>
      </w:r>
      <w:r w:rsidRPr="00233A82">
        <w:t xml:space="preserve">una potencia </w:t>
      </w:r>
      <w:r w:rsidR="00C21981" w:rsidRPr="00233A82">
        <w:t xml:space="preserve">pico </w:t>
      </w:r>
      <w:r w:rsidRPr="00233A82">
        <w:t xml:space="preserve">de </w:t>
      </w:r>
      <w:r w:rsidR="00880B8E" w:rsidRPr="00233A82">
        <w:t>salida del transmisor</w:t>
      </w:r>
      <w:r w:rsidR="00174756" w:rsidRPr="00233A82">
        <w:t xml:space="preserve"> de</w:t>
      </w:r>
      <w:r w:rsidRPr="00233A82">
        <w:t xml:space="preserve">  -10 dBm y </w:t>
      </w:r>
      <w:r w:rsidR="00A071F0" w:rsidRPr="00233A82">
        <w:t xml:space="preserve">una </w:t>
      </w:r>
      <w:r w:rsidRPr="00233A82">
        <w:t xml:space="preserve">PIRE </w:t>
      </w:r>
      <w:r w:rsidR="00174756" w:rsidRPr="00233A82">
        <w:t xml:space="preserve">máxima </w:t>
      </w:r>
      <w:r w:rsidRPr="00233A82">
        <w:t>de 10 dBm.</w:t>
      </w:r>
    </w:p>
    <w:p w14:paraId="71AA7747" w14:textId="14CE69F3" w:rsidR="002F01E9" w:rsidRPr="00233A82" w:rsidRDefault="002F01E9" w:rsidP="00C93AB4">
      <w:pPr>
        <w:pStyle w:val="Prrafodelista"/>
        <w:numPr>
          <w:ilvl w:val="0"/>
          <w:numId w:val="32"/>
        </w:numPr>
        <w:spacing w:after="120"/>
        <w:contextualSpacing w:val="0"/>
        <w:jc w:val="both"/>
      </w:pPr>
      <w:r w:rsidRPr="00233A82">
        <w:t>Los sistemas d</w:t>
      </w:r>
      <w:r w:rsidR="007C3D91" w:rsidRPr="00233A82">
        <w:t>e transporte inteligente</w:t>
      </w:r>
      <w:r w:rsidR="00213B80" w:rsidRPr="00233A82">
        <w:t xml:space="preserve"> que</w:t>
      </w:r>
      <w:r w:rsidR="007C3D91" w:rsidRPr="00233A82">
        <w:t xml:space="preserve"> opere</w:t>
      </w:r>
      <w:r w:rsidRPr="00233A82">
        <w:t xml:space="preserve">n dentro del segmento </w:t>
      </w:r>
      <w:r w:rsidR="007C3D91" w:rsidRPr="00233A82">
        <w:t xml:space="preserve">63-64 GHz, </w:t>
      </w:r>
      <w:r w:rsidRPr="00233A82">
        <w:t xml:space="preserve"> </w:t>
      </w:r>
      <w:r w:rsidR="007C3D91" w:rsidRPr="00233A82">
        <w:t>deberán operar con una PIRE máxima</w:t>
      </w:r>
      <w:r w:rsidRPr="00233A82">
        <w:t xml:space="preserve"> de 40 dBm y ganancia de </w:t>
      </w:r>
      <w:r w:rsidR="007C3D91" w:rsidRPr="00233A82">
        <w:t xml:space="preserve">antena menor o igual a </w:t>
      </w:r>
      <w:r w:rsidRPr="00233A82">
        <w:t>23 dBi.</w:t>
      </w:r>
    </w:p>
    <w:p w14:paraId="6898B208" w14:textId="45097197" w:rsidR="00D74C28" w:rsidRPr="00233A82" w:rsidRDefault="00D74C28" w:rsidP="00D74C28">
      <w:pPr>
        <w:pStyle w:val="Prrafodelista"/>
        <w:numPr>
          <w:ilvl w:val="0"/>
          <w:numId w:val="32"/>
        </w:numPr>
        <w:spacing w:after="120"/>
        <w:contextualSpacing w:val="0"/>
        <w:jc w:val="both"/>
      </w:pPr>
      <w:r w:rsidRPr="00233A82">
        <w:t xml:space="preserve">Cualquier </w:t>
      </w:r>
      <w:r w:rsidR="007C3D91" w:rsidRPr="00233A82">
        <w:t xml:space="preserve">sistema, dispositivo, equipo o estación </w:t>
      </w:r>
      <w:r w:rsidRPr="00233A82">
        <w:t>no considerad</w:t>
      </w:r>
      <w:r w:rsidR="007C3D91" w:rsidRPr="00233A82">
        <w:t>o</w:t>
      </w:r>
      <w:r w:rsidRPr="00233A82">
        <w:t xml:space="preserve"> en </w:t>
      </w:r>
      <w:r w:rsidR="00213B80" w:rsidRPr="00233A82">
        <w:t>los numerales</w:t>
      </w:r>
      <w:r w:rsidRPr="00233A82">
        <w:t xml:space="preserve"> </w:t>
      </w:r>
      <w:r w:rsidR="00C21981" w:rsidRPr="00233A82">
        <w:t>III</w:t>
      </w:r>
      <w:r w:rsidRPr="00233A82">
        <w:t xml:space="preserve">, </w:t>
      </w:r>
      <w:r w:rsidR="00C21981" w:rsidRPr="00233A82">
        <w:t>IV</w:t>
      </w:r>
      <w:r w:rsidRPr="00233A82">
        <w:t xml:space="preserve">, </w:t>
      </w:r>
      <w:r w:rsidR="00C21981" w:rsidRPr="00233A82">
        <w:t>V</w:t>
      </w:r>
      <w:r w:rsidRPr="00233A82">
        <w:t xml:space="preserve">, </w:t>
      </w:r>
      <w:r w:rsidR="00C21981" w:rsidRPr="00233A82">
        <w:t>VI</w:t>
      </w:r>
      <w:r w:rsidRPr="00233A82">
        <w:t xml:space="preserve"> y </w:t>
      </w:r>
      <w:r w:rsidR="00C21981" w:rsidRPr="00233A82">
        <w:t>VII</w:t>
      </w:r>
      <w:r w:rsidRPr="00233A82">
        <w:t>, deber</w:t>
      </w:r>
      <w:r w:rsidR="007C3D91" w:rsidRPr="00233A82">
        <w:t>á operar</w:t>
      </w:r>
      <w:r w:rsidRPr="00233A82">
        <w:t xml:space="preserve"> </w:t>
      </w:r>
      <w:r w:rsidR="007C3D91" w:rsidRPr="00233A82">
        <w:t xml:space="preserve">con una </w:t>
      </w:r>
      <w:r w:rsidRPr="00233A82">
        <w:t xml:space="preserve">PIRE promedio </w:t>
      </w:r>
      <w:r w:rsidR="007C3D91" w:rsidRPr="00233A82">
        <w:t xml:space="preserve">que no exceda </w:t>
      </w:r>
      <w:r w:rsidRPr="00233A82">
        <w:t>40 dBm y</w:t>
      </w:r>
      <w:r w:rsidR="00B54B3F" w:rsidRPr="00233A82">
        <w:t xml:space="preserve"> una</w:t>
      </w:r>
      <w:r w:rsidRPr="00233A82">
        <w:t xml:space="preserve"> PIRE máxima </w:t>
      </w:r>
      <w:r w:rsidR="007C3D91" w:rsidRPr="00233A82">
        <w:t>que no exceda</w:t>
      </w:r>
      <w:r w:rsidRPr="00233A82">
        <w:t xml:space="preserve"> 43 dBm.</w:t>
      </w:r>
    </w:p>
    <w:p w14:paraId="15211D4D" w14:textId="3D15F7DE" w:rsidR="002F01E9" w:rsidRPr="00233A82" w:rsidRDefault="002F01E9" w:rsidP="00C93AB4">
      <w:pPr>
        <w:pStyle w:val="Prrafodelista"/>
        <w:numPr>
          <w:ilvl w:val="0"/>
          <w:numId w:val="32"/>
        </w:numPr>
        <w:spacing w:after="120"/>
        <w:contextualSpacing w:val="0"/>
        <w:jc w:val="both"/>
      </w:pPr>
      <w:r w:rsidRPr="00233A82">
        <w:t xml:space="preserve">Potencia </w:t>
      </w:r>
      <w:r w:rsidR="007B731A" w:rsidRPr="00233A82">
        <w:t xml:space="preserve">pico </w:t>
      </w:r>
      <w:r w:rsidRPr="00233A82">
        <w:t xml:space="preserve">de salida del transmisor: </w:t>
      </w:r>
    </w:p>
    <w:p w14:paraId="57617FAB" w14:textId="7392ADDC" w:rsidR="00880B8E" w:rsidRPr="00233A82" w:rsidRDefault="00880B8E" w:rsidP="00354288">
      <w:pPr>
        <w:pStyle w:val="Prrafodelista"/>
        <w:numPr>
          <w:ilvl w:val="1"/>
          <w:numId w:val="37"/>
        </w:numPr>
        <w:spacing w:after="120"/>
        <w:contextualSpacing w:val="0"/>
        <w:jc w:val="both"/>
      </w:pPr>
      <w:r w:rsidRPr="00233A82">
        <w:t>Los dispositivos que utilicen un ancho de banda de emisión mayor a 100 MHz, no deberá</w:t>
      </w:r>
      <w:r w:rsidR="00213B80" w:rsidRPr="00233A82">
        <w:t>n</w:t>
      </w:r>
      <w:r w:rsidRPr="00233A82">
        <w:t xml:space="preserve"> exceder 500 mW.</w:t>
      </w:r>
      <w:r w:rsidR="00B829EE" w:rsidRPr="00233A82">
        <w:t xml:space="preserve"> Dependiendo de la ganancia de la antena, puede ser necesario disminuir la potencia </w:t>
      </w:r>
      <w:r w:rsidR="007452C8" w:rsidRPr="00233A82">
        <w:t xml:space="preserve">pico de salida </w:t>
      </w:r>
      <w:r w:rsidR="00B829EE" w:rsidRPr="00233A82">
        <w:t xml:space="preserve">del transmisor con el fin de no exceder los límites </w:t>
      </w:r>
      <w:r w:rsidR="007452C8" w:rsidRPr="00233A82">
        <w:t xml:space="preserve">de </w:t>
      </w:r>
      <w:r w:rsidR="00B829EE" w:rsidRPr="00233A82">
        <w:t xml:space="preserve">PIRE establecidos </w:t>
      </w:r>
      <w:r w:rsidR="007B731A" w:rsidRPr="00233A82">
        <w:t>en todos los numerales anteriores.</w:t>
      </w:r>
    </w:p>
    <w:p w14:paraId="7AD16FAF" w14:textId="469E683C" w:rsidR="00E13FA0" w:rsidRPr="00233A82" w:rsidRDefault="001418D1" w:rsidP="00E13FA0">
      <w:pPr>
        <w:pStyle w:val="Prrafodelista"/>
        <w:numPr>
          <w:ilvl w:val="1"/>
          <w:numId w:val="37"/>
        </w:numPr>
        <w:spacing w:after="120"/>
        <w:contextualSpacing w:val="0"/>
        <w:jc w:val="both"/>
      </w:pPr>
      <w:r w:rsidRPr="00233A82">
        <w:t>Los dispositivos que utilicen un ancho de banda de emisión menor a 100 MHz</w:t>
      </w:r>
      <w:r w:rsidR="00880B8E" w:rsidRPr="00233A82">
        <w:t xml:space="preserve"> deben</w:t>
      </w:r>
      <w:r w:rsidRPr="00233A82">
        <w:t xml:space="preserve"> limitar </w:t>
      </w:r>
      <w:r w:rsidR="00880B8E" w:rsidRPr="00233A82">
        <w:t xml:space="preserve">la potencia </w:t>
      </w:r>
      <w:r w:rsidR="005E5880" w:rsidRPr="00233A82">
        <w:t xml:space="preserve">pico </w:t>
      </w:r>
      <w:r w:rsidR="00880B8E" w:rsidRPr="00233A82">
        <w:t>de salida  del transmisor del dispositivo, equipo o estación a</w:t>
      </w:r>
      <w:r w:rsidR="00C32ACC" w:rsidRPr="00233A82">
        <w:t xml:space="preserve"> lo resultante de </w:t>
      </w:r>
      <w:r w:rsidR="005E5880" w:rsidRPr="00233A82">
        <w:t xml:space="preserve">multiplicar </w:t>
      </w:r>
      <w:r w:rsidRPr="00233A82">
        <w:t xml:space="preserve">500 mW por su ancho de banda de emisión </w:t>
      </w:r>
      <w:r w:rsidR="00C32ACC" w:rsidRPr="00233A82">
        <w:t xml:space="preserve">en MHz, </w:t>
      </w:r>
      <w:r w:rsidRPr="00233A82">
        <w:t xml:space="preserve">dividido </w:t>
      </w:r>
      <w:r w:rsidR="00C32ACC" w:rsidRPr="00233A82">
        <w:t>entre</w:t>
      </w:r>
      <w:r w:rsidRPr="00233A82">
        <w:t xml:space="preserve"> 100 MHz.</w:t>
      </w:r>
    </w:p>
    <w:p w14:paraId="2731F314" w14:textId="77777777" w:rsidR="002B5200" w:rsidRPr="00233A82" w:rsidRDefault="002B5200" w:rsidP="002B5200">
      <w:pPr>
        <w:pStyle w:val="Prrafodelista"/>
        <w:numPr>
          <w:ilvl w:val="0"/>
          <w:numId w:val="32"/>
        </w:numPr>
        <w:spacing w:after="120"/>
        <w:contextualSpacing w:val="0"/>
        <w:jc w:val="both"/>
      </w:pPr>
      <w:r w:rsidRPr="00233A82">
        <w:t xml:space="preserve">El uso de la banda de frecuencias 57-64 GHz deberá atender a las disposiciones que expida el Instituto en materia de protección a seres humanos de radiaciones no ionizantes. </w:t>
      </w:r>
    </w:p>
    <w:p w14:paraId="1E2E8639" w14:textId="77777777" w:rsidR="00E13FA0" w:rsidRPr="00233A82" w:rsidRDefault="00E13FA0" w:rsidP="00E13FA0">
      <w:pPr>
        <w:spacing w:after="120"/>
        <w:jc w:val="both"/>
      </w:pPr>
    </w:p>
    <w:p w14:paraId="2A3B0328" w14:textId="70E9D930" w:rsidR="00076B69" w:rsidRPr="00233A82" w:rsidRDefault="00CA1428" w:rsidP="00C93AB4">
      <w:pPr>
        <w:pStyle w:val="Ttulo1"/>
        <w:numPr>
          <w:ilvl w:val="0"/>
          <w:numId w:val="1"/>
        </w:numPr>
        <w:ind w:left="284"/>
        <w:rPr>
          <w:sz w:val="22"/>
        </w:rPr>
      </w:pPr>
      <w:bookmarkStart w:id="7" w:name="_Toc474327036"/>
      <w:r w:rsidRPr="00233A82">
        <w:rPr>
          <w:sz w:val="22"/>
        </w:rPr>
        <w:t>Restricciones generales</w:t>
      </w:r>
      <w:bookmarkEnd w:id="7"/>
    </w:p>
    <w:p w14:paraId="34F4DD04" w14:textId="4DA2A6E0" w:rsidR="00076B69" w:rsidRPr="00233A82" w:rsidRDefault="00F645A1" w:rsidP="00C93AB4">
      <w:pPr>
        <w:pStyle w:val="Prrafodelista"/>
        <w:numPr>
          <w:ilvl w:val="0"/>
          <w:numId w:val="33"/>
        </w:numPr>
        <w:spacing w:after="120"/>
        <w:contextualSpacing w:val="0"/>
        <w:jc w:val="both"/>
      </w:pPr>
      <w:r w:rsidRPr="00233A82">
        <w:t>No se permite l</w:t>
      </w:r>
      <w:r w:rsidR="00076B69" w:rsidRPr="00233A82">
        <w:t xml:space="preserve">a operación </w:t>
      </w:r>
      <w:r w:rsidR="00CA1428" w:rsidRPr="00233A82">
        <w:t>en la banda de frecuencias 57-64 GHz</w:t>
      </w:r>
      <w:r w:rsidRPr="00233A82">
        <w:t xml:space="preserve"> de los siguientes sistemas, dispositivos, equipos o estaciones:</w:t>
      </w:r>
      <w:r w:rsidR="00CA1428" w:rsidRPr="00233A82">
        <w:t xml:space="preserve"> </w:t>
      </w:r>
    </w:p>
    <w:p w14:paraId="30CFA0DF" w14:textId="28EA5493" w:rsidR="00076B69" w:rsidRPr="00233A82" w:rsidRDefault="00076B69" w:rsidP="00354288">
      <w:pPr>
        <w:pStyle w:val="Prrafodelista"/>
        <w:numPr>
          <w:ilvl w:val="0"/>
          <w:numId w:val="38"/>
        </w:numPr>
        <w:spacing w:after="120"/>
        <w:contextualSpacing w:val="0"/>
        <w:jc w:val="both"/>
      </w:pPr>
      <w:r w:rsidRPr="00233A82">
        <w:t xml:space="preserve">Equipo </w:t>
      </w:r>
      <w:r w:rsidR="00F645A1" w:rsidRPr="00233A82">
        <w:t xml:space="preserve">o dispositivos </w:t>
      </w:r>
      <w:r w:rsidRPr="00233A82">
        <w:t>utilizado</w:t>
      </w:r>
      <w:r w:rsidR="00F645A1" w:rsidRPr="00233A82">
        <w:t>s</w:t>
      </w:r>
      <w:r w:rsidRPr="00233A82">
        <w:t xml:space="preserve"> en aeronaves o satélites</w:t>
      </w:r>
    </w:p>
    <w:p w14:paraId="285B4A41" w14:textId="77D1418F" w:rsidR="00076B69" w:rsidRPr="00233A82" w:rsidRDefault="00076B69" w:rsidP="00354288">
      <w:pPr>
        <w:pStyle w:val="Prrafodelista"/>
        <w:numPr>
          <w:ilvl w:val="0"/>
          <w:numId w:val="38"/>
        </w:numPr>
        <w:spacing w:after="120"/>
        <w:contextualSpacing w:val="0"/>
        <w:jc w:val="both"/>
      </w:pPr>
      <w:r w:rsidRPr="00233A82">
        <w:t>Sensores de perturb</w:t>
      </w:r>
      <w:r w:rsidR="007A3F59" w:rsidRPr="00233A82">
        <w:t>ación de campo, los cuales incluyen sistemas de radar</w:t>
      </w:r>
      <w:r w:rsidRPr="00233A82">
        <w:t xml:space="preserve"> vehiculares, </w:t>
      </w:r>
      <w:r w:rsidR="00D82D30" w:rsidRPr="00233A82">
        <w:t xml:space="preserve">excepto </w:t>
      </w:r>
      <w:r w:rsidR="00D17ACB" w:rsidRPr="00233A82">
        <w:t xml:space="preserve">que </w:t>
      </w:r>
      <w:r w:rsidR="00D82D30" w:rsidRPr="00233A82">
        <w:t>dichos</w:t>
      </w:r>
      <w:r w:rsidR="00D17ACB" w:rsidRPr="00233A82">
        <w:t xml:space="preserve"> sensores </w:t>
      </w:r>
      <w:r w:rsidRPr="00233A82">
        <w:t xml:space="preserve">sean </w:t>
      </w:r>
      <w:r w:rsidR="00D17ACB" w:rsidRPr="00233A82">
        <w:t>empleados</w:t>
      </w:r>
      <w:r w:rsidR="00354288" w:rsidRPr="00233A82">
        <w:t xml:space="preserve"> para: i) operaciones fijas, incluyendo los sensores de perturbación de campo instalados en equipo fijo, aun cuando el senso</w:t>
      </w:r>
      <w:r w:rsidR="00D82D30" w:rsidRPr="00233A82">
        <w:t xml:space="preserve">r se mueva dentro del equipo; </w:t>
      </w:r>
      <w:r w:rsidR="00354288" w:rsidRPr="00233A82">
        <w:t>ii)</w:t>
      </w:r>
      <w:r w:rsidR="00D82D30" w:rsidRPr="00233A82">
        <w:t xml:space="preserve"> o como</w:t>
      </w:r>
      <w:r w:rsidR="00354288" w:rsidRPr="00233A82">
        <w:t xml:space="preserve"> </w:t>
      </w:r>
      <w:r w:rsidRPr="00233A82">
        <w:t xml:space="preserve">dispositivos de corto alcance </w:t>
      </w:r>
      <w:r w:rsidR="00354288" w:rsidRPr="00233A82">
        <w:t>para</w:t>
      </w:r>
      <w:r w:rsidRPr="00233A82">
        <w:t xml:space="preserve"> </w:t>
      </w:r>
      <w:r w:rsidR="00354288" w:rsidRPr="00233A82">
        <w:t xml:space="preserve">detección </w:t>
      </w:r>
      <w:r w:rsidRPr="00233A82">
        <w:t>d</w:t>
      </w:r>
      <w:r w:rsidR="005A5DE5" w:rsidRPr="00233A82">
        <w:t>e movimiento interactivo</w:t>
      </w:r>
      <w:r w:rsidRPr="00233A82">
        <w:t>.</w:t>
      </w:r>
    </w:p>
    <w:p w14:paraId="24092C49" w14:textId="77777777" w:rsidR="00E13FA0" w:rsidRPr="00233A82" w:rsidRDefault="00E13FA0" w:rsidP="00E13FA0">
      <w:pPr>
        <w:spacing w:after="120"/>
        <w:jc w:val="both"/>
      </w:pPr>
    </w:p>
    <w:p w14:paraId="61AF6C39" w14:textId="58DFBB8A" w:rsidR="009972DC" w:rsidRPr="00233A82" w:rsidRDefault="00076B69" w:rsidP="00C93AB4">
      <w:pPr>
        <w:pStyle w:val="Ttulo1"/>
        <w:numPr>
          <w:ilvl w:val="0"/>
          <w:numId w:val="1"/>
        </w:numPr>
        <w:ind w:left="284"/>
        <w:rPr>
          <w:sz w:val="22"/>
        </w:rPr>
      </w:pPr>
      <w:bookmarkStart w:id="8" w:name="_Toc474327037"/>
      <w:r w:rsidRPr="00233A82">
        <w:rPr>
          <w:sz w:val="22"/>
        </w:rPr>
        <w:t xml:space="preserve">Condiciones de </w:t>
      </w:r>
      <w:r w:rsidR="00961F88" w:rsidRPr="00233A82">
        <w:rPr>
          <w:sz w:val="22"/>
        </w:rPr>
        <w:t>c</w:t>
      </w:r>
      <w:r w:rsidR="009972DC" w:rsidRPr="00233A82">
        <w:rPr>
          <w:sz w:val="22"/>
        </w:rPr>
        <w:t>oexistencia</w:t>
      </w:r>
      <w:bookmarkEnd w:id="8"/>
      <w:r w:rsidR="009972DC" w:rsidRPr="00233A82">
        <w:rPr>
          <w:sz w:val="22"/>
        </w:rPr>
        <w:t xml:space="preserve"> </w:t>
      </w:r>
    </w:p>
    <w:p w14:paraId="21D7B022" w14:textId="77777777" w:rsidR="009972DC" w:rsidRPr="00233A82" w:rsidRDefault="009972DC" w:rsidP="00C93AB4">
      <w:pPr>
        <w:pStyle w:val="Prrafodelista"/>
        <w:numPr>
          <w:ilvl w:val="0"/>
          <w:numId w:val="34"/>
        </w:numPr>
        <w:spacing w:after="120"/>
        <w:contextualSpacing w:val="0"/>
        <w:jc w:val="both"/>
      </w:pPr>
      <w:r w:rsidRPr="00233A82">
        <w:t>Los sistemas, dispositivos, equipos o estaciones que operen en esta banda de frecuencias no provocarán interferencia perjudicial a sistemas, dispositivos, equipos o estaciones de usuarios que cuenten con un título habilitante para hacer uso del espectro radioeléctrico.</w:t>
      </w:r>
    </w:p>
    <w:p w14:paraId="6A8CD1A1" w14:textId="77777777" w:rsidR="009972DC" w:rsidRPr="00233A82" w:rsidRDefault="009972DC" w:rsidP="00C93AB4">
      <w:pPr>
        <w:pStyle w:val="Prrafodelista"/>
        <w:numPr>
          <w:ilvl w:val="0"/>
          <w:numId w:val="34"/>
        </w:numPr>
        <w:spacing w:after="120"/>
        <w:contextualSpacing w:val="0"/>
        <w:jc w:val="both"/>
      </w:pPr>
      <w:r w:rsidRPr="00233A82">
        <w:t>Los sistemas, dispositivos, equipos o estaciones que operen en esta banda de frecuencias no podrán reclamar protección contra interferencias perjudiciales causadas por sistemas, dispositivos, equipos o estaciones de usuarios que cuenten con un título habilitante para hacer uso del espectro radioeléctrico.</w:t>
      </w:r>
    </w:p>
    <w:p w14:paraId="3753000E" w14:textId="77777777" w:rsidR="009972DC" w:rsidRPr="00233A82" w:rsidRDefault="009972DC" w:rsidP="00C93AB4">
      <w:pPr>
        <w:pStyle w:val="Prrafodelista"/>
        <w:numPr>
          <w:ilvl w:val="0"/>
          <w:numId w:val="34"/>
        </w:numPr>
        <w:spacing w:after="120"/>
        <w:contextualSpacing w:val="0"/>
        <w:jc w:val="both"/>
      </w:pPr>
      <w:r w:rsidRPr="00233A82">
        <w:t>Los sistemas, dispositivos, equipos o estaciones operando en esta banda de frecuencias que causen interferencias perjudiciales a usuarios que cuenten con un título habilitante para hacer uso del espectro radioeléctrico, deberán cesar operaciones hasta que se elimine la interferencia perjudicial, aun cuando el dispositivo, equipo o producto se encuentre debidamente homologado.</w:t>
      </w:r>
    </w:p>
    <w:p w14:paraId="0635E884" w14:textId="77777777" w:rsidR="009972DC" w:rsidRPr="00233A82" w:rsidRDefault="009972DC" w:rsidP="00C93AB4">
      <w:pPr>
        <w:pStyle w:val="Prrafodelista"/>
        <w:numPr>
          <w:ilvl w:val="0"/>
          <w:numId w:val="34"/>
        </w:numPr>
        <w:spacing w:after="120"/>
        <w:contextualSpacing w:val="0"/>
        <w:jc w:val="both"/>
      </w:pPr>
      <w:r w:rsidRPr="00233A82">
        <w:t>Los sistemas, dispositivos, equipos o estaciones que operen en esta banda de frecuencias no podrán reclamar protección contra interferencias perjudiciales provenientes de otros sistemas, dispositivos, equipos o estaciones que operen bajo lo establecido en el presente documento.</w:t>
      </w:r>
    </w:p>
    <w:p w14:paraId="6B0609B6" w14:textId="2811DD7F" w:rsidR="00A36081" w:rsidRDefault="00A36081">
      <w:pPr>
        <w:rPr>
          <w:b/>
          <w:color w:val="70AD47" w:themeColor="accent6"/>
        </w:rPr>
      </w:pPr>
      <w:r>
        <w:br w:type="page"/>
      </w:r>
    </w:p>
    <w:p w14:paraId="506B1505" w14:textId="77777777" w:rsidR="009972DC" w:rsidRPr="00233A82" w:rsidRDefault="009972DC" w:rsidP="009972DC">
      <w:pPr>
        <w:pStyle w:val="Ttulo1"/>
        <w:ind w:left="709"/>
        <w:rPr>
          <w:sz w:val="22"/>
        </w:rPr>
      </w:pPr>
    </w:p>
    <w:p w14:paraId="0F6C3CB9" w14:textId="2B4BB73A" w:rsidR="009A586B" w:rsidRPr="00233A82" w:rsidRDefault="009A586B" w:rsidP="00C93AB4">
      <w:pPr>
        <w:pStyle w:val="Ttulo1"/>
        <w:numPr>
          <w:ilvl w:val="0"/>
          <w:numId w:val="1"/>
        </w:numPr>
        <w:ind w:left="284"/>
        <w:rPr>
          <w:sz w:val="22"/>
        </w:rPr>
      </w:pPr>
      <w:bookmarkStart w:id="9" w:name="_Toc474327038"/>
      <w:r w:rsidRPr="00233A82">
        <w:rPr>
          <w:sz w:val="22"/>
        </w:rPr>
        <w:t xml:space="preserve">Recomendaciones </w:t>
      </w:r>
      <w:r w:rsidR="00E65E78" w:rsidRPr="00233A82">
        <w:rPr>
          <w:sz w:val="22"/>
        </w:rPr>
        <w:t>y Normas I</w:t>
      </w:r>
      <w:r w:rsidRPr="00233A82">
        <w:rPr>
          <w:sz w:val="22"/>
        </w:rPr>
        <w:t>nternacionales</w:t>
      </w:r>
      <w:r w:rsidR="00E65E78" w:rsidRPr="00233A82">
        <w:rPr>
          <w:sz w:val="22"/>
        </w:rPr>
        <w:t xml:space="preserve"> aplicables a la banda 57-64 GHz</w:t>
      </w:r>
      <w:bookmarkEnd w:id="9"/>
    </w:p>
    <w:p w14:paraId="466237A2" w14:textId="76E308BF" w:rsidR="009A586B" w:rsidRPr="00233A82" w:rsidRDefault="007238B8" w:rsidP="009A586B">
      <w:pPr>
        <w:spacing w:after="120"/>
        <w:jc w:val="both"/>
      </w:pPr>
      <w:r w:rsidRPr="00233A82">
        <w:t>Para elaborar el presente documento, s</w:t>
      </w:r>
      <w:r w:rsidR="009A586B" w:rsidRPr="00233A82">
        <w:t xml:space="preserve">e </w:t>
      </w:r>
      <w:r w:rsidRPr="00233A82">
        <w:t>han considerado diversas</w:t>
      </w:r>
      <w:r w:rsidR="009A586B" w:rsidRPr="00233A82">
        <w:t xml:space="preserve"> Recomendaciones </w:t>
      </w:r>
      <w:r w:rsidRPr="00233A82">
        <w:t>y R</w:t>
      </w:r>
      <w:r w:rsidR="009A586B" w:rsidRPr="00233A82">
        <w:t xml:space="preserve">eportes publicados por la UIT, así como </w:t>
      </w:r>
      <w:r w:rsidRPr="00233A82">
        <w:t xml:space="preserve">instrumentos </w:t>
      </w:r>
      <w:r w:rsidR="009A586B" w:rsidRPr="00233A82">
        <w:t xml:space="preserve">de otros organismos internacionales que existen para la banda de frecuencias de </w:t>
      </w:r>
      <w:r w:rsidRPr="00233A82">
        <w:t>57-64 GHz, los cuales se enlistan a continuación</w:t>
      </w:r>
      <w:r w:rsidR="009A586B" w:rsidRPr="00233A82">
        <w:t>.</w:t>
      </w:r>
    </w:p>
    <w:tbl>
      <w:tblPr>
        <w:tblW w:w="4673"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43" w:type="dxa"/>
          <w:right w:w="43" w:type="dxa"/>
        </w:tblCellMar>
        <w:tblLook w:val="0000" w:firstRow="0" w:lastRow="0" w:firstColumn="0" w:lastColumn="0" w:noHBand="0" w:noVBand="0"/>
      </w:tblPr>
      <w:tblGrid>
        <w:gridCol w:w="1413"/>
        <w:gridCol w:w="3260"/>
      </w:tblGrid>
      <w:tr w:rsidR="009A586B" w:rsidRPr="00233A82" w14:paraId="3071AC2E" w14:textId="77777777" w:rsidTr="00B017FD">
        <w:trPr>
          <w:tblHeader/>
          <w:jc w:val="center"/>
        </w:trPr>
        <w:tc>
          <w:tcPr>
            <w:tcW w:w="1413" w:type="dxa"/>
            <w:shd w:val="clear" w:color="auto" w:fill="70AD47" w:themeFill="accent6"/>
            <w:vAlign w:val="center"/>
          </w:tcPr>
          <w:p w14:paraId="40FD250F" w14:textId="77777777" w:rsidR="009A586B" w:rsidRPr="00233A82" w:rsidRDefault="009A586B" w:rsidP="00B017FD">
            <w:pPr>
              <w:spacing w:after="0" w:line="240" w:lineRule="auto"/>
              <w:jc w:val="center"/>
              <w:rPr>
                <w:rFonts w:ascii="Calibri" w:eastAsia="Times New Roman" w:hAnsi="Calibri" w:cs="Times New Roman"/>
                <w:b/>
                <w:bCs/>
                <w:color w:val="FFFFFF" w:themeColor="background1"/>
                <w:lang w:eastAsia="es-MX"/>
              </w:rPr>
            </w:pPr>
            <w:r w:rsidRPr="00233A82">
              <w:rPr>
                <w:rFonts w:ascii="Calibri" w:eastAsia="Times New Roman" w:hAnsi="Calibri" w:cs="Times New Roman"/>
                <w:b/>
                <w:bCs/>
                <w:color w:val="FFFFFF" w:themeColor="background1"/>
                <w:lang w:eastAsia="es-MX"/>
              </w:rPr>
              <w:t>Organismo</w:t>
            </w:r>
          </w:p>
        </w:tc>
        <w:tc>
          <w:tcPr>
            <w:tcW w:w="3260" w:type="dxa"/>
            <w:shd w:val="clear" w:color="auto" w:fill="70AD47" w:themeFill="accent6"/>
            <w:vAlign w:val="center"/>
          </w:tcPr>
          <w:p w14:paraId="4A8376CE" w14:textId="77777777" w:rsidR="009A586B" w:rsidRPr="00233A82" w:rsidRDefault="009A586B" w:rsidP="00B017FD">
            <w:pPr>
              <w:spacing w:after="0" w:line="240" w:lineRule="auto"/>
              <w:jc w:val="center"/>
              <w:rPr>
                <w:b/>
                <w:color w:val="FFFFFF" w:themeColor="background1"/>
              </w:rPr>
            </w:pPr>
            <w:r w:rsidRPr="00233A82">
              <w:rPr>
                <w:b/>
                <w:color w:val="FFFFFF" w:themeColor="background1"/>
              </w:rPr>
              <w:t>Recomendación</w:t>
            </w:r>
          </w:p>
        </w:tc>
      </w:tr>
      <w:tr w:rsidR="009A586B" w:rsidRPr="00233A82" w14:paraId="1D8E7735" w14:textId="77777777" w:rsidTr="00B017FD">
        <w:trPr>
          <w:trHeight w:val="498"/>
          <w:jc w:val="center"/>
        </w:trPr>
        <w:tc>
          <w:tcPr>
            <w:tcW w:w="1413" w:type="dxa"/>
            <w:shd w:val="clear" w:color="auto" w:fill="auto"/>
            <w:vAlign w:val="center"/>
          </w:tcPr>
          <w:p w14:paraId="13E73768" w14:textId="77777777" w:rsidR="009A586B" w:rsidRPr="00233A82" w:rsidRDefault="009A586B" w:rsidP="00B017FD">
            <w:pPr>
              <w:spacing w:after="0" w:line="240" w:lineRule="auto"/>
              <w:jc w:val="center"/>
              <w:rPr>
                <w:rFonts w:ascii="Calibri" w:eastAsia="Times New Roman" w:hAnsi="Calibri" w:cs="Times New Roman"/>
                <w:color w:val="000000"/>
                <w:lang w:eastAsia="es-MX"/>
              </w:rPr>
            </w:pPr>
            <w:r w:rsidRPr="00233A82">
              <w:rPr>
                <w:rFonts w:ascii="Calibri" w:eastAsia="Times New Roman" w:hAnsi="Calibri" w:cs="Times New Roman"/>
                <w:color w:val="000000"/>
                <w:lang w:eastAsia="es-MX"/>
              </w:rPr>
              <w:t>UIT-R</w:t>
            </w:r>
          </w:p>
        </w:tc>
        <w:tc>
          <w:tcPr>
            <w:tcW w:w="3260" w:type="dxa"/>
            <w:vAlign w:val="center"/>
          </w:tcPr>
          <w:p w14:paraId="28454A54" w14:textId="77777777" w:rsidR="009A586B" w:rsidRPr="00233A82" w:rsidRDefault="00E76C43" w:rsidP="00B017FD">
            <w:pPr>
              <w:spacing w:after="0" w:line="240" w:lineRule="auto"/>
              <w:jc w:val="center"/>
              <w:rPr>
                <w:rFonts w:ascii="Calibri" w:eastAsia="Times New Roman" w:hAnsi="Calibri" w:cs="Times New Roman"/>
                <w:color w:val="000000"/>
                <w:lang w:val="en-GB" w:eastAsia="es-MX"/>
              </w:rPr>
            </w:pPr>
            <w:hyperlink r:id="rId13" w:history="1">
              <w:r w:rsidR="009A586B" w:rsidRPr="00233A82">
                <w:rPr>
                  <w:rStyle w:val="Hipervnculo"/>
                  <w:rFonts w:ascii="Calibri" w:eastAsia="Times New Roman" w:hAnsi="Calibri" w:cs="Times New Roman"/>
                  <w:lang w:val="en-GB" w:eastAsia="es-MX"/>
                </w:rPr>
                <w:t>P.1411-8</w:t>
              </w:r>
            </w:hyperlink>
          </w:p>
          <w:p w14:paraId="05413F2D" w14:textId="77777777" w:rsidR="009A586B" w:rsidRPr="00233A82" w:rsidRDefault="00E76C43" w:rsidP="00B017FD">
            <w:pPr>
              <w:spacing w:after="0" w:line="240" w:lineRule="auto"/>
              <w:jc w:val="center"/>
              <w:rPr>
                <w:rFonts w:ascii="Calibri" w:eastAsia="Times New Roman" w:hAnsi="Calibri" w:cs="Times New Roman"/>
                <w:color w:val="000000"/>
                <w:lang w:val="en-GB" w:eastAsia="es-MX"/>
              </w:rPr>
            </w:pPr>
            <w:hyperlink r:id="rId14" w:history="1">
              <w:r w:rsidR="009A586B" w:rsidRPr="00233A82">
                <w:rPr>
                  <w:rStyle w:val="Hipervnculo"/>
                  <w:rFonts w:ascii="Calibri" w:eastAsia="Times New Roman" w:hAnsi="Calibri" w:cs="Times New Roman"/>
                  <w:lang w:val="en-GB" w:eastAsia="es-MX"/>
                </w:rPr>
                <w:t>RS.515-5</w:t>
              </w:r>
            </w:hyperlink>
          </w:p>
          <w:p w14:paraId="33215FD7" w14:textId="113F66C4" w:rsidR="009A586B" w:rsidRPr="00233A82" w:rsidRDefault="00A176BE" w:rsidP="00B017FD">
            <w:pPr>
              <w:spacing w:after="0" w:line="240" w:lineRule="auto"/>
              <w:jc w:val="center"/>
              <w:rPr>
                <w:rStyle w:val="Hipervnculo"/>
                <w:rFonts w:ascii="Calibri" w:eastAsia="Times New Roman" w:hAnsi="Calibri" w:cs="Times New Roman"/>
                <w:lang w:val="en-GB" w:eastAsia="es-MX"/>
              </w:rPr>
            </w:pPr>
            <w:r w:rsidRPr="00233A82">
              <w:rPr>
                <w:rFonts w:ascii="Calibri" w:eastAsia="Times New Roman" w:hAnsi="Calibri" w:cs="Times New Roman"/>
                <w:lang w:val="en-GB" w:eastAsia="es-MX"/>
              </w:rPr>
              <w:fldChar w:fldCharType="begin"/>
            </w:r>
            <w:r w:rsidRPr="00233A82">
              <w:rPr>
                <w:rFonts w:ascii="Calibri" w:eastAsia="Times New Roman" w:hAnsi="Calibri" w:cs="Times New Roman"/>
                <w:lang w:val="en-GB" w:eastAsia="es-MX"/>
              </w:rPr>
              <w:instrText xml:space="preserve"> HYPERLINK "https://www.itu.int/rec/R-REC-RS.1259-0-199706-I/es" </w:instrText>
            </w:r>
            <w:r w:rsidRPr="00233A82">
              <w:rPr>
                <w:rFonts w:ascii="Calibri" w:eastAsia="Times New Roman" w:hAnsi="Calibri" w:cs="Times New Roman"/>
                <w:lang w:val="en-GB" w:eastAsia="es-MX"/>
              </w:rPr>
              <w:fldChar w:fldCharType="separate"/>
            </w:r>
            <w:r w:rsidR="009A586B" w:rsidRPr="00233A82">
              <w:rPr>
                <w:rStyle w:val="Hipervnculo"/>
                <w:rFonts w:ascii="Calibri" w:eastAsia="Times New Roman" w:hAnsi="Calibri" w:cs="Times New Roman"/>
                <w:lang w:val="en-GB" w:eastAsia="es-MX"/>
              </w:rPr>
              <w:t>RS.1259</w:t>
            </w:r>
          </w:p>
          <w:p w14:paraId="22668151" w14:textId="3711B040" w:rsidR="009A586B" w:rsidRPr="00233A82" w:rsidRDefault="00A176BE" w:rsidP="00B017FD">
            <w:pPr>
              <w:spacing w:after="0" w:line="240" w:lineRule="auto"/>
              <w:jc w:val="center"/>
              <w:rPr>
                <w:rFonts w:ascii="Calibri" w:eastAsia="Times New Roman" w:hAnsi="Calibri" w:cs="Times New Roman"/>
                <w:color w:val="000000"/>
                <w:lang w:val="en-GB" w:eastAsia="es-MX"/>
              </w:rPr>
            </w:pPr>
            <w:r w:rsidRPr="00233A82">
              <w:rPr>
                <w:rFonts w:ascii="Calibri" w:eastAsia="Times New Roman" w:hAnsi="Calibri" w:cs="Times New Roman"/>
                <w:lang w:val="en-GB" w:eastAsia="es-MX"/>
              </w:rPr>
              <w:fldChar w:fldCharType="end"/>
            </w:r>
            <w:hyperlink r:id="rId15" w:history="1">
              <w:r w:rsidR="009A586B" w:rsidRPr="00233A82">
                <w:rPr>
                  <w:rStyle w:val="Hipervnculo"/>
                  <w:rFonts w:ascii="Calibri" w:eastAsia="Times New Roman" w:hAnsi="Calibri" w:cs="Times New Roman"/>
                  <w:lang w:val="en-GB" w:eastAsia="es-MX"/>
                </w:rPr>
                <w:t>SM.329-12</w:t>
              </w:r>
            </w:hyperlink>
          </w:p>
          <w:p w14:paraId="517BBB78" w14:textId="77777777" w:rsidR="009A586B" w:rsidRPr="00233A82" w:rsidRDefault="00E76C43" w:rsidP="00B017FD">
            <w:pPr>
              <w:spacing w:after="0" w:line="240" w:lineRule="auto"/>
              <w:jc w:val="center"/>
              <w:rPr>
                <w:rFonts w:ascii="Calibri" w:eastAsia="Times New Roman" w:hAnsi="Calibri" w:cs="Times New Roman"/>
                <w:color w:val="000000"/>
                <w:lang w:val="en-GB" w:eastAsia="es-MX"/>
              </w:rPr>
            </w:pPr>
            <w:hyperlink r:id="rId16" w:history="1">
              <w:r w:rsidR="009A586B" w:rsidRPr="00233A82">
                <w:rPr>
                  <w:rStyle w:val="Hipervnculo"/>
                  <w:rFonts w:ascii="Calibri" w:eastAsia="Times New Roman" w:hAnsi="Calibri" w:cs="Times New Roman"/>
                  <w:lang w:val="en-GB" w:eastAsia="es-MX"/>
                </w:rPr>
                <w:t>SM.1056-1</w:t>
              </w:r>
            </w:hyperlink>
          </w:p>
          <w:p w14:paraId="12D3C988" w14:textId="77777777" w:rsidR="009A586B" w:rsidRPr="00233A82" w:rsidRDefault="00E76C43" w:rsidP="00B017FD">
            <w:pPr>
              <w:spacing w:after="0" w:line="240" w:lineRule="auto"/>
              <w:jc w:val="center"/>
              <w:rPr>
                <w:rFonts w:ascii="Calibri" w:eastAsia="Times New Roman" w:hAnsi="Calibri" w:cs="Times New Roman"/>
                <w:color w:val="000000"/>
                <w:lang w:val="en-GB" w:eastAsia="es-MX"/>
              </w:rPr>
            </w:pPr>
            <w:hyperlink r:id="rId17" w:history="1">
              <w:r w:rsidR="009A586B" w:rsidRPr="00233A82">
                <w:rPr>
                  <w:rStyle w:val="Hipervnculo"/>
                  <w:rFonts w:ascii="Calibri" w:eastAsia="Times New Roman" w:hAnsi="Calibri" w:cs="Times New Roman"/>
                  <w:lang w:val="en-GB" w:eastAsia="es-MX"/>
                </w:rPr>
                <w:t>SM.1265-1</w:t>
              </w:r>
            </w:hyperlink>
          </w:p>
          <w:p w14:paraId="61E71F33" w14:textId="77777777" w:rsidR="009A586B" w:rsidRPr="00233A82" w:rsidRDefault="00E76C43" w:rsidP="00B017FD">
            <w:pPr>
              <w:spacing w:after="0" w:line="240" w:lineRule="auto"/>
              <w:jc w:val="center"/>
              <w:rPr>
                <w:rFonts w:ascii="Calibri" w:eastAsia="Times New Roman" w:hAnsi="Calibri" w:cs="Times New Roman"/>
                <w:color w:val="000000"/>
                <w:lang w:val="en-GB" w:eastAsia="es-MX"/>
              </w:rPr>
            </w:pPr>
            <w:hyperlink r:id="rId18" w:history="1">
              <w:r w:rsidR="009A586B" w:rsidRPr="00233A82">
                <w:rPr>
                  <w:rStyle w:val="Hipervnculo"/>
                  <w:rFonts w:ascii="Calibri" w:eastAsia="Times New Roman" w:hAnsi="Calibri" w:cs="Times New Roman"/>
                  <w:lang w:val="en-GB" w:eastAsia="es-MX"/>
                </w:rPr>
                <w:t>SM.1488</w:t>
              </w:r>
            </w:hyperlink>
          </w:p>
          <w:p w14:paraId="7AA4DB97" w14:textId="77777777" w:rsidR="009A586B" w:rsidRPr="00233A82" w:rsidRDefault="00E76C43" w:rsidP="00B017FD">
            <w:pPr>
              <w:spacing w:after="0" w:line="240" w:lineRule="auto"/>
              <w:jc w:val="center"/>
              <w:rPr>
                <w:rFonts w:ascii="Calibri" w:eastAsia="Times New Roman" w:hAnsi="Calibri" w:cs="Times New Roman"/>
                <w:color w:val="000000"/>
                <w:lang w:val="en-GB" w:eastAsia="es-MX"/>
              </w:rPr>
            </w:pPr>
            <w:hyperlink r:id="rId19" w:history="1">
              <w:r w:rsidR="009A586B" w:rsidRPr="00233A82">
                <w:rPr>
                  <w:rStyle w:val="Hipervnculo"/>
                  <w:rFonts w:ascii="Calibri" w:eastAsia="Times New Roman" w:hAnsi="Calibri" w:cs="Times New Roman"/>
                  <w:lang w:val="en-GB" w:eastAsia="es-MX"/>
                </w:rPr>
                <w:t>SM.1896</w:t>
              </w:r>
            </w:hyperlink>
          </w:p>
          <w:p w14:paraId="2189178F" w14:textId="77777777" w:rsidR="009A586B" w:rsidRPr="00233A82" w:rsidRDefault="00E76C43" w:rsidP="00B017FD">
            <w:pPr>
              <w:spacing w:after="0" w:line="240" w:lineRule="auto"/>
              <w:jc w:val="center"/>
              <w:rPr>
                <w:rFonts w:ascii="Calibri" w:eastAsia="Times New Roman" w:hAnsi="Calibri" w:cs="Times New Roman"/>
                <w:color w:val="000000"/>
                <w:lang w:val="en-GB" w:eastAsia="es-MX"/>
              </w:rPr>
            </w:pPr>
            <w:hyperlink r:id="rId20" w:history="1">
              <w:r w:rsidR="009A586B" w:rsidRPr="00233A82">
                <w:rPr>
                  <w:rStyle w:val="Hipervnculo"/>
                  <w:rFonts w:ascii="Calibri" w:eastAsia="Times New Roman" w:hAnsi="Calibri" w:cs="Times New Roman"/>
                  <w:lang w:val="en-GB" w:eastAsia="es-MX"/>
                </w:rPr>
                <w:t>F.2107-2</w:t>
              </w:r>
            </w:hyperlink>
          </w:p>
          <w:p w14:paraId="23598B6A" w14:textId="4A4E6251" w:rsidR="009A586B" w:rsidRPr="00233A82" w:rsidRDefault="00A176BE" w:rsidP="00B017FD">
            <w:pPr>
              <w:spacing w:after="0" w:line="240" w:lineRule="auto"/>
              <w:jc w:val="center"/>
              <w:rPr>
                <w:rStyle w:val="Hipervnculo"/>
                <w:rFonts w:ascii="Calibri" w:eastAsia="Times New Roman" w:hAnsi="Calibri" w:cs="Times New Roman"/>
                <w:lang w:val="en-GB" w:eastAsia="es-MX"/>
              </w:rPr>
            </w:pPr>
            <w:r w:rsidRPr="00233A82">
              <w:rPr>
                <w:rFonts w:ascii="Calibri" w:eastAsia="Times New Roman" w:hAnsi="Calibri" w:cs="Times New Roman"/>
                <w:lang w:val="en-GB" w:eastAsia="es-MX"/>
              </w:rPr>
              <w:fldChar w:fldCharType="begin"/>
            </w:r>
            <w:r w:rsidRPr="00233A82">
              <w:rPr>
                <w:rFonts w:ascii="Calibri" w:eastAsia="Times New Roman" w:hAnsi="Calibri" w:cs="Times New Roman"/>
                <w:lang w:val="en-GB" w:eastAsia="es-MX"/>
              </w:rPr>
              <w:instrText xml:space="preserve"> HYPERLINK "https://www.itu.int/dms_pub/itu-r/opb/rep/R-REP-F.2323-2014-PDF-E.pdf" </w:instrText>
            </w:r>
            <w:r w:rsidRPr="00233A82">
              <w:rPr>
                <w:rFonts w:ascii="Calibri" w:eastAsia="Times New Roman" w:hAnsi="Calibri" w:cs="Times New Roman"/>
                <w:lang w:val="en-GB" w:eastAsia="es-MX"/>
              </w:rPr>
              <w:fldChar w:fldCharType="separate"/>
            </w:r>
            <w:r w:rsidR="009A586B" w:rsidRPr="00233A82">
              <w:rPr>
                <w:rStyle w:val="Hipervnculo"/>
                <w:rFonts w:ascii="Calibri" w:eastAsia="Times New Roman" w:hAnsi="Calibri" w:cs="Times New Roman"/>
                <w:lang w:val="en-GB" w:eastAsia="es-MX"/>
              </w:rPr>
              <w:t>F.2323-0</w:t>
            </w:r>
          </w:p>
          <w:p w14:paraId="3D461968" w14:textId="6AFDF7A1" w:rsidR="009A586B" w:rsidRPr="00233A82" w:rsidRDefault="00A176BE" w:rsidP="00B017FD">
            <w:pPr>
              <w:spacing w:after="0" w:line="240" w:lineRule="auto"/>
              <w:jc w:val="center"/>
              <w:rPr>
                <w:rFonts w:ascii="Calibri" w:eastAsia="Times New Roman" w:hAnsi="Calibri" w:cs="Times New Roman"/>
                <w:color w:val="000000"/>
                <w:lang w:val="en-GB" w:eastAsia="es-MX"/>
              </w:rPr>
            </w:pPr>
            <w:r w:rsidRPr="00233A82">
              <w:rPr>
                <w:rFonts w:ascii="Calibri" w:eastAsia="Times New Roman" w:hAnsi="Calibri" w:cs="Times New Roman"/>
                <w:lang w:val="en-GB" w:eastAsia="es-MX"/>
              </w:rPr>
              <w:fldChar w:fldCharType="end"/>
            </w:r>
            <w:hyperlink r:id="rId21" w:history="1">
              <w:r w:rsidR="009A586B" w:rsidRPr="00233A82">
                <w:rPr>
                  <w:rStyle w:val="Hipervnculo"/>
                  <w:rFonts w:ascii="Calibri" w:eastAsia="Times New Roman" w:hAnsi="Calibri" w:cs="Times New Roman"/>
                  <w:lang w:val="en-GB" w:eastAsia="es-MX"/>
                </w:rPr>
                <w:t>M.2227-1</w:t>
              </w:r>
            </w:hyperlink>
          </w:p>
          <w:p w14:paraId="45497197" w14:textId="77777777" w:rsidR="009A586B" w:rsidRPr="00233A82" w:rsidRDefault="00E76C43" w:rsidP="00B017FD">
            <w:pPr>
              <w:spacing w:after="0" w:line="240" w:lineRule="auto"/>
              <w:jc w:val="center"/>
              <w:rPr>
                <w:rFonts w:ascii="Calibri" w:eastAsia="Times New Roman" w:hAnsi="Calibri" w:cs="Times New Roman"/>
                <w:color w:val="000000"/>
                <w:lang w:val="en-GB" w:eastAsia="es-MX"/>
              </w:rPr>
            </w:pPr>
            <w:hyperlink r:id="rId22" w:history="1">
              <w:r w:rsidR="009A586B" w:rsidRPr="00233A82">
                <w:rPr>
                  <w:rStyle w:val="Hipervnculo"/>
                  <w:rFonts w:ascii="Calibri" w:eastAsia="Times New Roman" w:hAnsi="Calibri" w:cs="Times New Roman"/>
                  <w:lang w:val="en-GB" w:eastAsia="es-MX"/>
                </w:rPr>
                <w:t>M.2228-1</w:t>
              </w:r>
            </w:hyperlink>
          </w:p>
          <w:p w14:paraId="2D977A49" w14:textId="77777777" w:rsidR="009A586B" w:rsidRPr="00233A82" w:rsidRDefault="00E76C43" w:rsidP="00B017FD">
            <w:pPr>
              <w:spacing w:after="0" w:line="240" w:lineRule="auto"/>
              <w:jc w:val="center"/>
              <w:rPr>
                <w:rFonts w:ascii="Calibri" w:eastAsia="Times New Roman" w:hAnsi="Calibri" w:cs="Times New Roman"/>
                <w:color w:val="000000"/>
                <w:lang w:val="en-GB" w:eastAsia="es-MX"/>
              </w:rPr>
            </w:pPr>
            <w:hyperlink r:id="rId23" w:history="1">
              <w:r w:rsidR="009A586B" w:rsidRPr="00233A82">
                <w:rPr>
                  <w:rStyle w:val="Hipervnculo"/>
                  <w:rFonts w:ascii="Calibri" w:eastAsia="Times New Roman" w:hAnsi="Calibri" w:cs="Times New Roman"/>
                  <w:lang w:val="en-GB" w:eastAsia="es-MX"/>
                </w:rPr>
                <w:t>M.2376-0</w:t>
              </w:r>
            </w:hyperlink>
          </w:p>
          <w:p w14:paraId="273B007D" w14:textId="77777777" w:rsidR="009A586B" w:rsidRPr="00233A82" w:rsidRDefault="00E76C43" w:rsidP="00B017FD">
            <w:pPr>
              <w:spacing w:after="0" w:line="240" w:lineRule="auto"/>
              <w:jc w:val="center"/>
              <w:rPr>
                <w:rFonts w:ascii="Calibri" w:eastAsia="Times New Roman" w:hAnsi="Calibri" w:cs="Times New Roman"/>
                <w:color w:val="000000"/>
                <w:lang w:val="en-GB" w:eastAsia="es-MX"/>
              </w:rPr>
            </w:pPr>
            <w:hyperlink r:id="rId24" w:history="1">
              <w:r w:rsidR="009A586B" w:rsidRPr="00233A82">
                <w:rPr>
                  <w:rStyle w:val="Hipervnculo"/>
                  <w:rFonts w:ascii="Calibri" w:eastAsia="Times New Roman" w:hAnsi="Calibri" w:cs="Times New Roman"/>
                  <w:lang w:val="en-GB" w:eastAsia="es-MX"/>
                </w:rPr>
                <w:t>SM.2153-5</w:t>
              </w:r>
            </w:hyperlink>
          </w:p>
        </w:tc>
      </w:tr>
      <w:tr w:rsidR="009A586B" w:rsidRPr="00233A82" w14:paraId="27C6848B" w14:textId="77777777" w:rsidTr="00C11FCB">
        <w:trPr>
          <w:trHeight w:val="268"/>
          <w:jc w:val="center"/>
        </w:trPr>
        <w:tc>
          <w:tcPr>
            <w:tcW w:w="1413" w:type="dxa"/>
            <w:shd w:val="clear" w:color="auto" w:fill="auto"/>
            <w:vAlign w:val="center"/>
          </w:tcPr>
          <w:p w14:paraId="7D7FDDC7" w14:textId="77777777" w:rsidR="009A586B" w:rsidRPr="00233A82" w:rsidRDefault="009A586B" w:rsidP="00B017FD">
            <w:pPr>
              <w:spacing w:after="0" w:line="240" w:lineRule="auto"/>
              <w:jc w:val="center"/>
            </w:pPr>
            <w:r w:rsidRPr="00233A82">
              <w:rPr>
                <w:rFonts w:ascii="Calibri" w:eastAsia="Times New Roman" w:hAnsi="Calibri" w:cs="Times New Roman"/>
                <w:color w:val="000000"/>
                <w:lang w:eastAsia="es-MX"/>
              </w:rPr>
              <w:t>ECMA</w:t>
            </w:r>
          </w:p>
        </w:tc>
        <w:tc>
          <w:tcPr>
            <w:tcW w:w="3260" w:type="dxa"/>
            <w:vAlign w:val="center"/>
          </w:tcPr>
          <w:p w14:paraId="2D6C1DF8" w14:textId="77777777" w:rsidR="009A586B" w:rsidRPr="00233A82" w:rsidRDefault="00E76C43" w:rsidP="00B017FD">
            <w:pPr>
              <w:spacing w:after="0" w:line="240" w:lineRule="auto"/>
              <w:jc w:val="center"/>
              <w:rPr>
                <w:rFonts w:ascii="Calibri" w:eastAsia="Times New Roman" w:hAnsi="Calibri" w:cs="Times New Roman"/>
                <w:color w:val="000000"/>
                <w:lang w:eastAsia="es-MX"/>
              </w:rPr>
            </w:pPr>
            <w:hyperlink r:id="rId25" w:history="1">
              <w:r w:rsidR="009A586B" w:rsidRPr="00233A82">
                <w:rPr>
                  <w:rStyle w:val="Hipervnculo"/>
                  <w:rFonts w:ascii="Calibri" w:eastAsia="Times New Roman" w:hAnsi="Calibri" w:cs="Times New Roman"/>
                  <w:lang w:eastAsia="es-MX"/>
                </w:rPr>
                <w:t>ECMA-387</w:t>
              </w:r>
            </w:hyperlink>
          </w:p>
        </w:tc>
      </w:tr>
      <w:tr w:rsidR="009A586B" w:rsidRPr="00233A82" w14:paraId="26C29D8F" w14:textId="77777777" w:rsidTr="00C11FCB">
        <w:trPr>
          <w:trHeight w:val="272"/>
          <w:jc w:val="center"/>
        </w:trPr>
        <w:tc>
          <w:tcPr>
            <w:tcW w:w="1413" w:type="dxa"/>
            <w:shd w:val="clear" w:color="auto" w:fill="auto"/>
            <w:vAlign w:val="center"/>
          </w:tcPr>
          <w:p w14:paraId="05D78CFC" w14:textId="77777777" w:rsidR="009A586B" w:rsidRPr="00233A82" w:rsidRDefault="009A586B" w:rsidP="00B017FD">
            <w:pPr>
              <w:spacing w:after="0" w:line="240" w:lineRule="auto"/>
              <w:jc w:val="center"/>
              <w:rPr>
                <w:b/>
                <w:lang w:val="es-ES_tradnl"/>
              </w:rPr>
            </w:pPr>
            <w:r w:rsidRPr="00233A82">
              <w:rPr>
                <w:rFonts w:ascii="Calibri" w:eastAsia="Times New Roman" w:hAnsi="Calibri" w:cs="Times New Roman"/>
                <w:color w:val="000000"/>
                <w:lang w:eastAsia="es-MX"/>
              </w:rPr>
              <w:t>CEPT</w:t>
            </w:r>
          </w:p>
        </w:tc>
        <w:tc>
          <w:tcPr>
            <w:tcW w:w="3260" w:type="dxa"/>
            <w:vAlign w:val="center"/>
          </w:tcPr>
          <w:p w14:paraId="394853C6" w14:textId="77777777" w:rsidR="009A586B" w:rsidRPr="00233A82" w:rsidRDefault="00E76C43" w:rsidP="00B017FD">
            <w:pPr>
              <w:spacing w:after="0" w:line="240" w:lineRule="auto"/>
              <w:jc w:val="center"/>
              <w:rPr>
                <w:rFonts w:ascii="Calibri" w:eastAsia="Times New Roman" w:hAnsi="Calibri" w:cs="Times New Roman"/>
                <w:color w:val="000000"/>
                <w:lang w:eastAsia="es-MX"/>
              </w:rPr>
            </w:pPr>
            <w:hyperlink r:id="rId26" w:history="1">
              <w:r w:rsidR="009A586B" w:rsidRPr="00233A82">
                <w:rPr>
                  <w:rStyle w:val="Hipervnculo"/>
                  <w:rFonts w:ascii="Calibri" w:eastAsia="Times New Roman" w:hAnsi="Calibri" w:cs="Times New Roman"/>
                  <w:lang w:eastAsia="es-MX"/>
                </w:rPr>
                <w:t>ERC/REC 09(01)</w:t>
              </w:r>
            </w:hyperlink>
          </w:p>
        </w:tc>
      </w:tr>
      <w:tr w:rsidR="009A586B" w:rsidRPr="00233A82" w14:paraId="4A5BD6A0" w14:textId="77777777" w:rsidTr="00B017FD">
        <w:trPr>
          <w:trHeight w:val="498"/>
          <w:jc w:val="center"/>
        </w:trPr>
        <w:tc>
          <w:tcPr>
            <w:tcW w:w="1413" w:type="dxa"/>
            <w:shd w:val="clear" w:color="auto" w:fill="auto"/>
            <w:vAlign w:val="center"/>
          </w:tcPr>
          <w:p w14:paraId="13234D7F" w14:textId="77777777" w:rsidR="009A586B" w:rsidRPr="00233A82" w:rsidRDefault="009A586B" w:rsidP="00B017FD">
            <w:pPr>
              <w:spacing w:after="0" w:line="240" w:lineRule="auto"/>
              <w:jc w:val="center"/>
              <w:rPr>
                <w:lang w:val="es-ES_tradnl"/>
              </w:rPr>
            </w:pPr>
            <w:r w:rsidRPr="00233A82">
              <w:rPr>
                <w:rFonts w:ascii="Calibri" w:eastAsia="Times New Roman" w:hAnsi="Calibri" w:cs="Times New Roman"/>
                <w:color w:val="000000"/>
                <w:lang w:eastAsia="es-MX"/>
              </w:rPr>
              <w:t>IEEE</w:t>
            </w:r>
          </w:p>
        </w:tc>
        <w:tc>
          <w:tcPr>
            <w:tcW w:w="3260" w:type="dxa"/>
            <w:vAlign w:val="center"/>
          </w:tcPr>
          <w:p w14:paraId="4C60ACBF" w14:textId="77777777" w:rsidR="009A586B" w:rsidRPr="00233A82" w:rsidRDefault="00E76C43" w:rsidP="00B017FD">
            <w:pPr>
              <w:spacing w:after="0" w:line="240" w:lineRule="auto"/>
              <w:jc w:val="center"/>
              <w:rPr>
                <w:rFonts w:ascii="Calibri" w:eastAsia="Times New Roman" w:hAnsi="Calibri" w:cs="Times New Roman"/>
                <w:color w:val="000000"/>
                <w:lang w:eastAsia="es-MX"/>
              </w:rPr>
            </w:pPr>
            <w:hyperlink r:id="rId27" w:history="1">
              <w:r w:rsidR="009A586B" w:rsidRPr="00233A82">
                <w:rPr>
                  <w:rStyle w:val="Hipervnculo"/>
                  <w:rFonts w:ascii="Calibri" w:eastAsia="Times New Roman" w:hAnsi="Calibri" w:cs="Times New Roman"/>
                  <w:lang w:eastAsia="es-MX"/>
                </w:rPr>
                <w:t>802.15.3</w:t>
              </w:r>
            </w:hyperlink>
          </w:p>
          <w:p w14:paraId="33CFEA4A" w14:textId="77777777" w:rsidR="009A586B" w:rsidRPr="00233A82" w:rsidRDefault="00E76C43" w:rsidP="00B017FD">
            <w:pPr>
              <w:spacing w:after="0" w:line="240" w:lineRule="auto"/>
              <w:jc w:val="center"/>
              <w:rPr>
                <w:rFonts w:ascii="Calibri" w:eastAsia="Times New Roman" w:hAnsi="Calibri" w:cs="Times New Roman"/>
                <w:color w:val="000000"/>
                <w:lang w:eastAsia="es-MX"/>
              </w:rPr>
            </w:pPr>
            <w:hyperlink r:id="rId28" w:history="1">
              <w:r w:rsidR="009A586B" w:rsidRPr="00233A82">
                <w:rPr>
                  <w:rStyle w:val="Hipervnculo"/>
                  <w:rFonts w:ascii="Calibri" w:eastAsia="Times New Roman" w:hAnsi="Calibri" w:cs="Times New Roman"/>
                  <w:lang w:eastAsia="es-MX"/>
                </w:rPr>
                <w:t>802.11ad</w:t>
              </w:r>
            </w:hyperlink>
          </w:p>
        </w:tc>
      </w:tr>
      <w:tr w:rsidR="009A586B" w:rsidRPr="00233A82" w14:paraId="2A126B5C" w14:textId="77777777" w:rsidTr="00B017FD">
        <w:trPr>
          <w:trHeight w:val="498"/>
          <w:jc w:val="center"/>
        </w:trPr>
        <w:tc>
          <w:tcPr>
            <w:tcW w:w="1413" w:type="dxa"/>
            <w:shd w:val="clear" w:color="auto" w:fill="auto"/>
            <w:vAlign w:val="center"/>
          </w:tcPr>
          <w:p w14:paraId="40458560" w14:textId="77777777" w:rsidR="009A586B" w:rsidRPr="00233A82" w:rsidRDefault="009A586B" w:rsidP="00B017FD">
            <w:pPr>
              <w:spacing w:after="0" w:line="240" w:lineRule="auto"/>
              <w:jc w:val="center"/>
              <w:rPr>
                <w:lang w:val="es-ES_tradnl"/>
              </w:rPr>
            </w:pPr>
            <w:r w:rsidRPr="00233A82">
              <w:rPr>
                <w:rFonts w:ascii="Calibri" w:eastAsia="Times New Roman" w:hAnsi="Calibri" w:cs="Times New Roman"/>
                <w:color w:val="000000"/>
                <w:lang w:eastAsia="es-MX"/>
              </w:rPr>
              <w:t>ETSI</w:t>
            </w:r>
          </w:p>
        </w:tc>
        <w:tc>
          <w:tcPr>
            <w:tcW w:w="3260" w:type="dxa"/>
            <w:vAlign w:val="center"/>
          </w:tcPr>
          <w:p w14:paraId="461A9821" w14:textId="77777777" w:rsidR="009A586B" w:rsidRPr="00233A82" w:rsidRDefault="00E76C43" w:rsidP="00B017FD">
            <w:pPr>
              <w:spacing w:after="0" w:line="240" w:lineRule="auto"/>
              <w:jc w:val="center"/>
              <w:rPr>
                <w:rFonts w:ascii="Calibri" w:eastAsia="Times New Roman" w:hAnsi="Calibri" w:cs="Times New Roman"/>
                <w:color w:val="000000"/>
                <w:lang w:eastAsia="es-MX"/>
              </w:rPr>
            </w:pPr>
            <w:hyperlink r:id="rId29" w:history="1">
              <w:r w:rsidR="009A586B" w:rsidRPr="00233A82">
                <w:rPr>
                  <w:rStyle w:val="Hipervnculo"/>
                  <w:rFonts w:ascii="Calibri" w:eastAsia="Times New Roman" w:hAnsi="Calibri" w:cs="Times New Roman"/>
                  <w:lang w:eastAsia="es-MX"/>
                </w:rPr>
                <w:t>TR 102 555 V1.1.1</w:t>
              </w:r>
            </w:hyperlink>
          </w:p>
          <w:p w14:paraId="054B052E" w14:textId="77777777" w:rsidR="009A586B" w:rsidRPr="00233A82" w:rsidRDefault="00E76C43" w:rsidP="00B017FD">
            <w:pPr>
              <w:spacing w:after="0" w:line="240" w:lineRule="auto"/>
              <w:jc w:val="center"/>
              <w:rPr>
                <w:rFonts w:ascii="Calibri" w:eastAsia="Times New Roman" w:hAnsi="Calibri" w:cs="Times New Roman"/>
                <w:color w:val="000000"/>
                <w:lang w:eastAsia="es-MX"/>
              </w:rPr>
            </w:pPr>
            <w:hyperlink r:id="rId30" w:history="1">
              <w:r w:rsidR="009A586B" w:rsidRPr="00233A82">
                <w:rPr>
                  <w:rStyle w:val="Hipervnculo"/>
                  <w:rFonts w:ascii="Calibri" w:eastAsia="Times New Roman" w:hAnsi="Calibri" w:cs="Times New Roman"/>
                  <w:lang w:eastAsia="es-MX"/>
                </w:rPr>
                <w:t>TR 102 243-1 V1.2.1</w:t>
              </w:r>
            </w:hyperlink>
          </w:p>
        </w:tc>
      </w:tr>
    </w:tbl>
    <w:p w14:paraId="3CC736E8" w14:textId="2126CB48" w:rsidR="00A36081" w:rsidRDefault="00A36081" w:rsidP="00F17F11">
      <w:pPr>
        <w:pStyle w:val="Prrafodelista"/>
        <w:spacing w:after="200" w:line="276" w:lineRule="auto"/>
      </w:pPr>
    </w:p>
    <w:p w14:paraId="685142ED" w14:textId="77777777" w:rsidR="00A36081" w:rsidRDefault="00A36081">
      <w:r>
        <w:br w:type="page"/>
      </w:r>
    </w:p>
    <w:p w14:paraId="4250645B" w14:textId="77777777" w:rsidR="00F17F11" w:rsidRPr="00233A82" w:rsidRDefault="00F17F11" w:rsidP="00F17F11">
      <w:pPr>
        <w:pStyle w:val="Prrafodelista"/>
        <w:spacing w:after="200" w:line="276" w:lineRule="auto"/>
      </w:pPr>
    </w:p>
    <w:p w14:paraId="78FDF406" w14:textId="6B164476" w:rsidR="00950BB6" w:rsidRPr="00233A82" w:rsidRDefault="00950BB6" w:rsidP="00C93AB4">
      <w:pPr>
        <w:pStyle w:val="Ttulo1"/>
        <w:numPr>
          <w:ilvl w:val="0"/>
          <w:numId w:val="1"/>
        </w:numPr>
        <w:ind w:left="284"/>
        <w:rPr>
          <w:sz w:val="22"/>
        </w:rPr>
      </w:pPr>
      <w:bookmarkStart w:id="10" w:name="_Toc474327039"/>
      <w:r w:rsidRPr="00233A82">
        <w:rPr>
          <w:sz w:val="22"/>
        </w:rPr>
        <w:t>Glosario</w:t>
      </w:r>
      <w:bookmarkEnd w:id="10"/>
    </w:p>
    <w:p w14:paraId="5398F66D" w14:textId="77777777" w:rsidR="00F92F25" w:rsidRPr="00233A82" w:rsidRDefault="00F92F25" w:rsidP="00F92F25">
      <w:pPr>
        <w:spacing w:after="120"/>
        <w:ind w:left="284"/>
        <w:jc w:val="both"/>
      </w:pPr>
      <w:r w:rsidRPr="00233A82">
        <w:rPr>
          <w:b/>
        </w:rPr>
        <w:t>Ancho de banda de emisión</w:t>
      </w:r>
      <w:r w:rsidRPr="00233A82">
        <w:t xml:space="preserve">: rango de frecuencias instantáneo ocupado por una señal radiada estacionaria con modulación, fuera del cual la densidad espectral de potencia radiada nunca excede 6 dB por debajo de la densidad espectral de potencia máxima radiada en la banda, medida con un analizador de espectro con ancho de banda de resolución de 100 kHz. La frecuencia central debe ser estacionaria durante el intervalo de medición, aun cuando no sea estacionaria durante las operaciones normales. </w:t>
      </w:r>
    </w:p>
    <w:p w14:paraId="55E59B88" w14:textId="7B14290C" w:rsidR="005938DD" w:rsidRPr="00233A82" w:rsidRDefault="005938DD" w:rsidP="005938DD">
      <w:pPr>
        <w:spacing w:after="120"/>
        <w:ind w:left="284"/>
        <w:jc w:val="both"/>
      </w:pPr>
      <w:r w:rsidRPr="00233A82">
        <w:rPr>
          <w:b/>
        </w:rPr>
        <w:t xml:space="preserve">Banda de frecuencias: </w:t>
      </w:r>
      <w:r w:rsidR="00DF3221" w:rsidRPr="00233A82">
        <w:t>p</w:t>
      </w:r>
      <w:r w:rsidRPr="00233A82">
        <w:t xml:space="preserve">orción del espectro radioeléctrico comprendido entre dos frecuencias </w:t>
      </w:r>
      <w:r w:rsidR="005A5A08" w:rsidRPr="00233A82">
        <w:t>d</w:t>
      </w:r>
      <w:r w:rsidRPr="00233A82">
        <w:t>eterminadas.</w:t>
      </w:r>
    </w:p>
    <w:p w14:paraId="01842C28" w14:textId="77777777" w:rsidR="005938DD" w:rsidRPr="00233A82" w:rsidRDefault="005938DD" w:rsidP="005938DD">
      <w:pPr>
        <w:spacing w:after="120"/>
        <w:ind w:left="284"/>
        <w:jc w:val="both"/>
      </w:pPr>
      <w:r w:rsidRPr="00233A82">
        <w:rPr>
          <w:b/>
        </w:rPr>
        <w:t>Dispositivos de Corto Alcance</w:t>
      </w:r>
      <w:r w:rsidRPr="00233A82">
        <w:t>: dispositivos de radio que tienen poco riesgo de interferencia respecto a otros dispositivos, generalmente porque su potencia de transmisión es muy baja y operan a distancias muy cortas.</w:t>
      </w:r>
    </w:p>
    <w:p w14:paraId="1F4FC889" w14:textId="07957D55" w:rsidR="005938DD" w:rsidRPr="00233A82" w:rsidRDefault="005938DD" w:rsidP="005938DD">
      <w:pPr>
        <w:spacing w:after="120"/>
        <w:ind w:left="284"/>
        <w:jc w:val="both"/>
      </w:pPr>
      <w:r w:rsidRPr="00233A82">
        <w:rPr>
          <w:b/>
        </w:rPr>
        <w:t>Homologación</w:t>
      </w:r>
      <w:r w:rsidR="00DF3221" w:rsidRPr="00233A82">
        <w:t>: a</w:t>
      </w:r>
      <w:r w:rsidRPr="00233A82">
        <w:t>cto por el cual el Instituto reconoce oficialmente que las especificaciones de un producto, equipo, dispositivo o aparato destinado a telecomunicaciones o radiodifusión, satisface las normas o disposiciones técnicas aplicables.</w:t>
      </w:r>
    </w:p>
    <w:p w14:paraId="3872CD77" w14:textId="7A70814C" w:rsidR="00EA781E" w:rsidRPr="00233A82" w:rsidRDefault="00EA781E" w:rsidP="00EA781E">
      <w:pPr>
        <w:spacing w:after="120"/>
        <w:ind w:left="284"/>
        <w:jc w:val="both"/>
      </w:pPr>
      <w:r w:rsidRPr="00233A82">
        <w:rPr>
          <w:b/>
        </w:rPr>
        <w:t xml:space="preserve">Interferencia perjudicial: </w:t>
      </w:r>
      <w:r w:rsidR="00DF3221" w:rsidRPr="00233A82">
        <w:t>e</w:t>
      </w:r>
      <w:r w:rsidRPr="00233A82">
        <w:t>fecto de una energía no deseada debida a una o varias emisiones, radiaciones, inducciones o sus combinaciones sobre la recepción en un sistema de telecomunicaciones o radiodifusión, que puede manifestarse como degradación de la calidad, falseamiento o pérdida de información, que compromete, interrumpe repetidamente o impide el funcionamiento de cualquier servicio de radiocomunicación.</w:t>
      </w:r>
    </w:p>
    <w:p w14:paraId="31D815E0" w14:textId="78571D17" w:rsidR="00F92F25" w:rsidRPr="00233A82" w:rsidRDefault="00F92F25" w:rsidP="00F92F25">
      <w:pPr>
        <w:spacing w:after="120"/>
        <w:ind w:left="284"/>
        <w:jc w:val="both"/>
        <w:rPr>
          <w:b/>
        </w:rPr>
      </w:pPr>
      <w:r w:rsidRPr="00233A82">
        <w:rPr>
          <w:b/>
        </w:rPr>
        <w:t xml:space="preserve">Potencia Isótropa Radiada Equivalente (PIRE): </w:t>
      </w:r>
      <w:r w:rsidR="002966A7" w:rsidRPr="00233A82">
        <w:t xml:space="preserve">producto </w:t>
      </w:r>
      <w:r w:rsidRPr="00233A82">
        <w:t xml:space="preserve">de </w:t>
      </w:r>
      <w:r w:rsidR="002966A7" w:rsidRPr="00233A82">
        <w:t>la</w:t>
      </w:r>
      <w:r w:rsidRPr="00233A82">
        <w:t xml:space="preserve"> potencia </w:t>
      </w:r>
      <w:r w:rsidR="002966A7" w:rsidRPr="00233A82">
        <w:t>suministrada a la</w:t>
      </w:r>
      <w:r w:rsidRPr="00233A82">
        <w:t xml:space="preserve"> antena </w:t>
      </w:r>
      <w:r w:rsidR="00C046E1" w:rsidRPr="00233A82">
        <w:t xml:space="preserve">por su ganancia con relación a </w:t>
      </w:r>
      <w:r w:rsidRPr="00233A82">
        <w:t>una antena</w:t>
      </w:r>
      <w:r w:rsidR="00C046E1" w:rsidRPr="00233A82">
        <w:t xml:space="preserve"> isótropa en una dirección dada (ganancia isótropa absoluta)</w:t>
      </w:r>
      <w:r w:rsidR="00233A82">
        <w:t>.</w:t>
      </w:r>
    </w:p>
    <w:p w14:paraId="49CC0C70" w14:textId="097616D7" w:rsidR="00F92F25" w:rsidRPr="00233A82" w:rsidRDefault="00F92F25" w:rsidP="00F92F25">
      <w:pPr>
        <w:spacing w:after="120"/>
        <w:ind w:left="284"/>
        <w:jc w:val="both"/>
      </w:pPr>
      <w:r w:rsidRPr="00233A82">
        <w:rPr>
          <w:b/>
        </w:rPr>
        <w:t xml:space="preserve">Potencia pico de salida: </w:t>
      </w:r>
      <w:r w:rsidR="00DF3221" w:rsidRPr="00233A82">
        <w:t>c</w:t>
      </w:r>
      <w:r w:rsidRPr="00233A82">
        <w:t>antidad de energía máxima a la salida del transmisor</w:t>
      </w:r>
      <w:r w:rsidRPr="00233A82">
        <w:rPr>
          <w:b/>
        </w:rPr>
        <w:t>.</w:t>
      </w:r>
    </w:p>
    <w:p w14:paraId="67874A78" w14:textId="77777777" w:rsidR="00BC4062" w:rsidRPr="00233A82" w:rsidRDefault="00BC4062" w:rsidP="00BC4062">
      <w:pPr>
        <w:spacing w:after="120"/>
        <w:ind w:left="284"/>
        <w:jc w:val="both"/>
      </w:pPr>
      <w:r w:rsidRPr="00233A82">
        <w:rPr>
          <w:b/>
        </w:rPr>
        <w:t>Radioenlace fijo punto a punto</w:t>
      </w:r>
      <w:r w:rsidRPr="00233A82">
        <w:t>: sistema de radiocomunicación de una o dos vías del servicio fijo entre dos puntos geográficos determinados, mediante el que se transmite y recibe información de cualquier naturaleza.</w:t>
      </w:r>
    </w:p>
    <w:p w14:paraId="4F138515" w14:textId="274124ED" w:rsidR="005938DD" w:rsidRPr="00233A82" w:rsidRDefault="005938DD" w:rsidP="00EA781E">
      <w:pPr>
        <w:spacing w:after="120"/>
        <w:ind w:left="284"/>
        <w:jc w:val="both"/>
      </w:pPr>
      <w:r w:rsidRPr="00233A82">
        <w:rPr>
          <w:b/>
        </w:rPr>
        <w:t>Sensor de perturbación de campo</w:t>
      </w:r>
      <w:r w:rsidRPr="00233A82">
        <w:t>: dispositivo que establece un campo de radio frecuencia a su alrededor y detecta los cambios provenientes del movimiento, ya sea de personas o de objetos.</w:t>
      </w:r>
    </w:p>
    <w:p w14:paraId="096CD0FD" w14:textId="1739F78A" w:rsidR="00950BB6" w:rsidRPr="00F92F25" w:rsidRDefault="00950BB6" w:rsidP="00950BB6">
      <w:pPr>
        <w:spacing w:after="120"/>
        <w:ind w:left="284"/>
        <w:jc w:val="both"/>
      </w:pPr>
      <w:r w:rsidRPr="00233A82">
        <w:rPr>
          <w:b/>
        </w:rPr>
        <w:t xml:space="preserve">Sistemas de </w:t>
      </w:r>
      <w:r w:rsidR="0058277B" w:rsidRPr="00233A82">
        <w:rPr>
          <w:b/>
        </w:rPr>
        <w:t>t</w:t>
      </w:r>
      <w:r w:rsidRPr="00233A82">
        <w:rPr>
          <w:b/>
        </w:rPr>
        <w:t xml:space="preserve">ransporte </w:t>
      </w:r>
      <w:r w:rsidR="0058277B" w:rsidRPr="00233A82">
        <w:rPr>
          <w:b/>
        </w:rPr>
        <w:t>i</w:t>
      </w:r>
      <w:r w:rsidRPr="00233A82">
        <w:rPr>
          <w:b/>
        </w:rPr>
        <w:t>nteligente</w:t>
      </w:r>
      <w:r w:rsidRPr="00233A82">
        <w:t>: sistemas que utilizan una combinación de tecnologías de comunicaciones, posicionamiento y automatización, para mejorar la seguridad, la gestión y la eficacia del transporte terrenal.</w:t>
      </w:r>
    </w:p>
    <w:sectPr w:rsidR="00950BB6" w:rsidRPr="00F92F25" w:rsidSect="00D365D7">
      <w:footerReference w:type="even" r:id="rId31"/>
      <w:footerReference w:type="default" r:id="rId32"/>
      <w:headerReference w:type="first" r:id="rId33"/>
      <w:footerReference w:type="first" r:id="rId34"/>
      <w:type w:val="continuous"/>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3E12D" w14:textId="77777777" w:rsidR="00E76C43" w:rsidRDefault="00E76C43">
      <w:pPr>
        <w:spacing w:after="0" w:line="240" w:lineRule="auto"/>
      </w:pPr>
      <w:r>
        <w:separator/>
      </w:r>
    </w:p>
  </w:endnote>
  <w:endnote w:type="continuationSeparator" w:id="0">
    <w:p w14:paraId="0E4130C9" w14:textId="77777777" w:rsidR="00E76C43" w:rsidRDefault="00E76C43">
      <w:pPr>
        <w:spacing w:after="0" w:line="240" w:lineRule="auto"/>
      </w:pPr>
      <w:r>
        <w:continuationSeparator/>
      </w:r>
    </w:p>
  </w:endnote>
  <w:endnote w:type="continuationNotice" w:id="1">
    <w:p w14:paraId="796FB1AA" w14:textId="77777777" w:rsidR="00E76C43" w:rsidRDefault="00E76C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41" w:csb1="00000000"/>
  </w:font>
  <w:font w:name="5.1">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10D8" w14:textId="77777777" w:rsidR="0078549C" w:rsidRDefault="0078549C" w:rsidP="00E6678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8A1798" w14:textId="77777777" w:rsidR="0078549C" w:rsidRDefault="0078549C" w:rsidP="00E6678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834367"/>
      <w:docPartObj>
        <w:docPartGallery w:val="Page Numbers (Bottom of Page)"/>
        <w:docPartUnique/>
      </w:docPartObj>
    </w:sdtPr>
    <w:sdtEndPr/>
    <w:sdtContent>
      <w:p w14:paraId="65D002DD" w14:textId="5023677B" w:rsidR="0078549C" w:rsidRDefault="0078549C">
        <w:pPr>
          <w:pStyle w:val="Piedepgina"/>
          <w:jc w:val="right"/>
        </w:pPr>
        <w:r>
          <w:fldChar w:fldCharType="begin"/>
        </w:r>
        <w:r>
          <w:instrText>PAGE   \* MERGEFORMAT</w:instrText>
        </w:r>
        <w:r>
          <w:fldChar w:fldCharType="separate"/>
        </w:r>
        <w:r w:rsidR="00A61D35" w:rsidRPr="00A61D35">
          <w:rPr>
            <w:noProof/>
            <w:lang w:val="es-ES"/>
          </w:rPr>
          <w:t>1</w:t>
        </w:r>
        <w:r>
          <w:fldChar w:fldCharType="end"/>
        </w:r>
      </w:p>
    </w:sdtContent>
  </w:sdt>
  <w:p w14:paraId="31907067" w14:textId="77777777" w:rsidR="0078549C" w:rsidRDefault="0078549C" w:rsidP="00E6678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EA415" w14:textId="1AE0069D" w:rsidR="0078549C" w:rsidRDefault="0078549C">
    <w:pPr>
      <w:pStyle w:val="Piedepgina"/>
    </w:pPr>
    <w:r>
      <w:rPr>
        <w:rFonts w:cstheme="minorHAnsi"/>
        <w:noProof/>
        <w:sz w:val="16"/>
        <w:szCs w:val="16"/>
        <w:lang w:eastAsia="es-MX"/>
      </w:rPr>
      <w:drawing>
        <wp:anchor distT="0" distB="0" distL="114300" distR="114300" simplePos="0" relativeHeight="251658240" behindDoc="1" locked="0" layoutInCell="1" allowOverlap="1" wp14:anchorId="5EF72C67" wp14:editId="45B88951">
          <wp:simplePos x="0" y="0"/>
          <wp:positionH relativeFrom="page">
            <wp:align>left</wp:align>
          </wp:positionH>
          <wp:positionV relativeFrom="paragraph">
            <wp:posOffset>-2410460</wp:posOffset>
          </wp:positionV>
          <wp:extent cx="2485390" cy="3188970"/>
          <wp:effectExtent l="0" t="0" r="0" b="0"/>
          <wp:wrapNone/>
          <wp:docPr id="3" name="Picture 15" descr="marca de agua de ift" title="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luisbourbaki:Desktop:atr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5390" cy="3188970"/>
                  </a:xfrm>
                  <a:prstGeom prst="rect">
                    <a:avLst/>
                  </a:prstGeom>
                  <a:noFill/>
                  <a:ln>
                    <a:noFill/>
                  </a:ln>
                </pic:spPr>
              </pic:pic>
            </a:graphicData>
          </a:graphic>
        </wp:anchor>
      </w:drawing>
    </w:r>
  </w:p>
  <w:p w14:paraId="01C389EB" w14:textId="77777777" w:rsidR="0078549C" w:rsidRDefault="007854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18BA" w14:textId="77777777" w:rsidR="00E76C43" w:rsidRDefault="00E76C43">
      <w:pPr>
        <w:spacing w:after="0" w:line="240" w:lineRule="auto"/>
      </w:pPr>
      <w:r>
        <w:separator/>
      </w:r>
    </w:p>
  </w:footnote>
  <w:footnote w:type="continuationSeparator" w:id="0">
    <w:p w14:paraId="26FDB3A6" w14:textId="77777777" w:rsidR="00E76C43" w:rsidRDefault="00E76C43">
      <w:pPr>
        <w:spacing w:after="0" w:line="240" w:lineRule="auto"/>
      </w:pPr>
      <w:r>
        <w:continuationSeparator/>
      </w:r>
    </w:p>
  </w:footnote>
  <w:footnote w:type="continuationNotice" w:id="1">
    <w:p w14:paraId="068253B9" w14:textId="77777777" w:rsidR="00E76C43" w:rsidRDefault="00E76C4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CB812" w14:textId="1C30E200" w:rsidR="0078549C" w:rsidRPr="00262668" w:rsidRDefault="0078549C" w:rsidP="00D365D7">
    <w:pPr>
      <w:pStyle w:val="Encabezado"/>
      <w:jc w:val="right"/>
      <w:rPr>
        <w:sz w:val="2"/>
      </w:rPr>
    </w:pPr>
    <w:r w:rsidRPr="0017008C">
      <w:rPr>
        <w:rFonts w:cstheme="minorHAnsi"/>
        <w:b/>
        <w:noProof/>
        <w:lang w:eastAsia="es-MX"/>
      </w:rPr>
      <w:drawing>
        <wp:inline distT="0" distB="0" distL="0" distR="0" wp14:anchorId="1A5ADC51" wp14:editId="6B72B8AF">
          <wp:extent cx="1428351" cy="1066800"/>
          <wp:effectExtent l="0" t="0" r="635" b="0"/>
          <wp:docPr id="5" name="Picture 6" descr="logotipo del instituto federal de telecomuniccione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luisbourbaki:Desktop:MANUAL-IFT.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946" t="6669" r="4865" b="11293"/>
                  <a:stretch/>
                </pic:blipFill>
                <pic:spPr bwMode="auto">
                  <a:xfrm>
                    <a:off x="0" y="0"/>
                    <a:ext cx="1438230" cy="107417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4814"/>
    <w:multiLevelType w:val="hybridMultilevel"/>
    <w:tmpl w:val="D74C392C"/>
    <w:lvl w:ilvl="0" w:tplc="FB5C9C62">
      <w:start w:val="5"/>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B972A6"/>
    <w:multiLevelType w:val="hybridMultilevel"/>
    <w:tmpl w:val="E1260434"/>
    <w:lvl w:ilvl="0" w:tplc="0BC8724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B27409"/>
    <w:multiLevelType w:val="hybridMultilevel"/>
    <w:tmpl w:val="7CF07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E137E5"/>
    <w:multiLevelType w:val="hybridMultilevel"/>
    <w:tmpl w:val="037C2C2E"/>
    <w:lvl w:ilvl="0" w:tplc="080A0017">
      <w:start w:val="1"/>
      <w:numFmt w:val="lowerLetter"/>
      <w:lvlText w:val="%1)"/>
      <w:lvlJc w:val="left"/>
      <w:pPr>
        <w:ind w:left="720" w:hanging="360"/>
      </w:pPr>
      <w:rPr>
        <w:rFonts w:hint="default"/>
      </w:rPr>
    </w:lvl>
    <w:lvl w:ilvl="1" w:tplc="080A0017">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93251E"/>
    <w:multiLevelType w:val="multilevel"/>
    <w:tmpl w:val="46A24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65DB4"/>
    <w:multiLevelType w:val="hybridMultilevel"/>
    <w:tmpl w:val="0226BF7A"/>
    <w:lvl w:ilvl="0" w:tplc="0BC87242">
      <w:start w:val="1"/>
      <w:numFmt w:val="lowerRoman"/>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1274C9"/>
    <w:multiLevelType w:val="hybridMultilevel"/>
    <w:tmpl w:val="791CB65C"/>
    <w:lvl w:ilvl="0" w:tplc="2CD66C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686A57"/>
    <w:multiLevelType w:val="hybridMultilevel"/>
    <w:tmpl w:val="7B8AE374"/>
    <w:lvl w:ilvl="0" w:tplc="080A000F">
      <w:start w:val="1"/>
      <w:numFmt w:val="decimal"/>
      <w:lvlText w:val="%1."/>
      <w:lvlJc w:val="left"/>
      <w:pPr>
        <w:ind w:left="1428" w:hanging="360"/>
      </w:pPr>
      <w:rPr>
        <w:rFonts w:hint="default"/>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1B0A07DF"/>
    <w:multiLevelType w:val="hybridMultilevel"/>
    <w:tmpl w:val="041CEDBC"/>
    <w:lvl w:ilvl="0" w:tplc="080A0011">
      <w:start w:val="1"/>
      <w:numFmt w:val="decimal"/>
      <w:lvlText w:val="%1)"/>
      <w:lvlJc w:val="left"/>
      <w:pPr>
        <w:ind w:left="5634" w:hanging="360"/>
      </w:pPr>
      <w:rPr>
        <w:rFonts w:hint="default"/>
      </w:rPr>
    </w:lvl>
    <w:lvl w:ilvl="1" w:tplc="0BC87242">
      <w:start w:val="1"/>
      <w:numFmt w:val="lowerRoman"/>
      <w:lvlText w:val="%2)"/>
      <w:lvlJc w:val="left"/>
      <w:pPr>
        <w:ind w:left="6354" w:hanging="360"/>
      </w:pPr>
      <w:rPr>
        <w:rFonts w:hint="default"/>
      </w:rPr>
    </w:lvl>
    <w:lvl w:ilvl="2" w:tplc="080A001B" w:tentative="1">
      <w:start w:val="1"/>
      <w:numFmt w:val="lowerRoman"/>
      <w:lvlText w:val="%3."/>
      <w:lvlJc w:val="right"/>
      <w:pPr>
        <w:ind w:left="7074" w:hanging="180"/>
      </w:pPr>
    </w:lvl>
    <w:lvl w:ilvl="3" w:tplc="080A000F" w:tentative="1">
      <w:start w:val="1"/>
      <w:numFmt w:val="decimal"/>
      <w:lvlText w:val="%4."/>
      <w:lvlJc w:val="left"/>
      <w:pPr>
        <w:ind w:left="7794" w:hanging="360"/>
      </w:pPr>
    </w:lvl>
    <w:lvl w:ilvl="4" w:tplc="080A0019" w:tentative="1">
      <w:start w:val="1"/>
      <w:numFmt w:val="lowerLetter"/>
      <w:lvlText w:val="%5."/>
      <w:lvlJc w:val="left"/>
      <w:pPr>
        <w:ind w:left="8514" w:hanging="360"/>
      </w:pPr>
    </w:lvl>
    <w:lvl w:ilvl="5" w:tplc="080A001B" w:tentative="1">
      <w:start w:val="1"/>
      <w:numFmt w:val="lowerRoman"/>
      <w:lvlText w:val="%6."/>
      <w:lvlJc w:val="right"/>
      <w:pPr>
        <w:ind w:left="9234" w:hanging="180"/>
      </w:pPr>
    </w:lvl>
    <w:lvl w:ilvl="6" w:tplc="080A000F" w:tentative="1">
      <w:start w:val="1"/>
      <w:numFmt w:val="decimal"/>
      <w:lvlText w:val="%7."/>
      <w:lvlJc w:val="left"/>
      <w:pPr>
        <w:ind w:left="9954" w:hanging="360"/>
      </w:pPr>
    </w:lvl>
    <w:lvl w:ilvl="7" w:tplc="080A0019" w:tentative="1">
      <w:start w:val="1"/>
      <w:numFmt w:val="lowerLetter"/>
      <w:lvlText w:val="%8."/>
      <w:lvlJc w:val="left"/>
      <w:pPr>
        <w:ind w:left="10674" w:hanging="360"/>
      </w:pPr>
    </w:lvl>
    <w:lvl w:ilvl="8" w:tplc="080A001B" w:tentative="1">
      <w:start w:val="1"/>
      <w:numFmt w:val="lowerRoman"/>
      <w:lvlText w:val="%9."/>
      <w:lvlJc w:val="right"/>
      <w:pPr>
        <w:ind w:left="11394" w:hanging="180"/>
      </w:pPr>
    </w:lvl>
  </w:abstractNum>
  <w:abstractNum w:abstractNumId="9" w15:restartNumberingAfterBreak="0">
    <w:nsid w:val="1D5F0139"/>
    <w:multiLevelType w:val="hybridMultilevel"/>
    <w:tmpl w:val="2E747FBA"/>
    <w:lvl w:ilvl="0" w:tplc="080A0013">
      <w:start w:val="1"/>
      <w:numFmt w:val="upperRoman"/>
      <w:lvlText w:val="%1."/>
      <w:lvlJc w:val="right"/>
      <w:pPr>
        <w:ind w:left="720" w:hanging="360"/>
      </w:pPr>
      <w:rPr>
        <w:rFonts w:hint="default"/>
      </w:rPr>
    </w:lvl>
    <w:lvl w:ilvl="1" w:tplc="0BC8724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7828F1"/>
    <w:multiLevelType w:val="hybridMultilevel"/>
    <w:tmpl w:val="2E747FBA"/>
    <w:lvl w:ilvl="0" w:tplc="080A0013">
      <w:start w:val="1"/>
      <w:numFmt w:val="upperRoman"/>
      <w:lvlText w:val="%1."/>
      <w:lvlJc w:val="right"/>
      <w:pPr>
        <w:ind w:left="720" w:hanging="360"/>
      </w:pPr>
      <w:rPr>
        <w:rFonts w:hint="default"/>
      </w:rPr>
    </w:lvl>
    <w:lvl w:ilvl="1" w:tplc="0BC8724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434F81"/>
    <w:multiLevelType w:val="hybridMultilevel"/>
    <w:tmpl w:val="CB006572"/>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1E22CF"/>
    <w:multiLevelType w:val="hybridMultilevel"/>
    <w:tmpl w:val="5A140B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DF00336"/>
    <w:multiLevelType w:val="multilevel"/>
    <w:tmpl w:val="A0068A76"/>
    <w:lvl w:ilvl="0">
      <w:start w:val="12"/>
      <w:numFmt w:val="decimal"/>
      <w:lvlText w:val="%1"/>
      <w:lvlJc w:val="left"/>
      <w:pPr>
        <w:ind w:left="480" w:hanging="480"/>
      </w:pPr>
      <w:rPr>
        <w:rFonts w:ascii="ArialMT" w:hAnsi="ArialMT" w:cs="ArialMT" w:hint="default"/>
        <w:sz w:val="19"/>
      </w:rPr>
    </w:lvl>
    <w:lvl w:ilvl="1">
      <w:start w:val="20"/>
      <w:numFmt w:val="decimal"/>
      <w:lvlText w:val="%1.%2"/>
      <w:lvlJc w:val="left"/>
      <w:pPr>
        <w:ind w:left="906" w:hanging="480"/>
      </w:pPr>
      <w:rPr>
        <w:rFonts w:ascii="ArialMT" w:hAnsi="ArialMT" w:cs="ArialMT" w:hint="default"/>
        <w:sz w:val="19"/>
      </w:rPr>
    </w:lvl>
    <w:lvl w:ilvl="2">
      <w:start w:val="1"/>
      <w:numFmt w:val="decimal"/>
      <w:lvlText w:val="%1.%2.%3"/>
      <w:lvlJc w:val="left"/>
      <w:pPr>
        <w:ind w:left="1572" w:hanging="720"/>
      </w:pPr>
      <w:rPr>
        <w:rFonts w:ascii="ArialMT" w:hAnsi="ArialMT" w:cs="ArialMT" w:hint="default"/>
        <w:sz w:val="19"/>
      </w:rPr>
    </w:lvl>
    <w:lvl w:ilvl="3">
      <w:start w:val="1"/>
      <w:numFmt w:val="decimal"/>
      <w:lvlText w:val="%1.%2.%3.%4"/>
      <w:lvlJc w:val="left"/>
      <w:pPr>
        <w:ind w:left="1998" w:hanging="720"/>
      </w:pPr>
      <w:rPr>
        <w:rFonts w:ascii="ArialMT" w:hAnsi="ArialMT" w:cs="ArialMT" w:hint="default"/>
        <w:sz w:val="19"/>
      </w:rPr>
    </w:lvl>
    <w:lvl w:ilvl="4">
      <w:start w:val="1"/>
      <w:numFmt w:val="decimal"/>
      <w:lvlText w:val="%1.%2.%3.%4.%5"/>
      <w:lvlJc w:val="left"/>
      <w:pPr>
        <w:ind w:left="2784" w:hanging="1080"/>
      </w:pPr>
      <w:rPr>
        <w:rFonts w:ascii="ArialMT" w:hAnsi="ArialMT" w:cs="ArialMT" w:hint="default"/>
        <w:sz w:val="19"/>
      </w:rPr>
    </w:lvl>
    <w:lvl w:ilvl="5">
      <w:start w:val="1"/>
      <w:numFmt w:val="decimal"/>
      <w:lvlText w:val="%1.%2.%3.%4.%5.%6"/>
      <w:lvlJc w:val="left"/>
      <w:pPr>
        <w:ind w:left="3210" w:hanging="1080"/>
      </w:pPr>
      <w:rPr>
        <w:rFonts w:ascii="ArialMT" w:hAnsi="ArialMT" w:cs="ArialMT" w:hint="default"/>
        <w:sz w:val="19"/>
      </w:rPr>
    </w:lvl>
    <w:lvl w:ilvl="6">
      <w:start w:val="1"/>
      <w:numFmt w:val="decimal"/>
      <w:lvlText w:val="%1.%2.%3.%4.%5.%6.%7"/>
      <w:lvlJc w:val="left"/>
      <w:pPr>
        <w:ind w:left="3996" w:hanging="1440"/>
      </w:pPr>
      <w:rPr>
        <w:rFonts w:ascii="ArialMT" w:hAnsi="ArialMT" w:cs="ArialMT" w:hint="default"/>
        <w:sz w:val="19"/>
      </w:rPr>
    </w:lvl>
    <w:lvl w:ilvl="7">
      <w:start w:val="1"/>
      <w:numFmt w:val="decimal"/>
      <w:lvlText w:val="%1.%2.%3.%4.%5.%6.%7.%8"/>
      <w:lvlJc w:val="left"/>
      <w:pPr>
        <w:ind w:left="4422" w:hanging="1440"/>
      </w:pPr>
      <w:rPr>
        <w:rFonts w:ascii="ArialMT" w:hAnsi="ArialMT" w:cs="ArialMT" w:hint="default"/>
        <w:sz w:val="19"/>
      </w:rPr>
    </w:lvl>
    <w:lvl w:ilvl="8">
      <w:start w:val="1"/>
      <w:numFmt w:val="decimal"/>
      <w:lvlText w:val="%1.%2.%3.%4.%5.%6.%7.%8.%9"/>
      <w:lvlJc w:val="left"/>
      <w:pPr>
        <w:ind w:left="4848" w:hanging="1440"/>
      </w:pPr>
      <w:rPr>
        <w:rFonts w:ascii="ArialMT" w:hAnsi="ArialMT" w:cs="ArialMT" w:hint="default"/>
        <w:sz w:val="19"/>
      </w:rPr>
    </w:lvl>
  </w:abstractNum>
  <w:abstractNum w:abstractNumId="14" w15:restartNumberingAfterBreak="0">
    <w:nsid w:val="2E8D1EE2"/>
    <w:multiLevelType w:val="hybridMultilevel"/>
    <w:tmpl w:val="AEB4DC3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89559A"/>
    <w:multiLevelType w:val="multilevel"/>
    <w:tmpl w:val="11E84FAE"/>
    <w:lvl w:ilvl="0">
      <w:start w:val="3"/>
      <w:numFmt w:val="decimal"/>
      <w:lvlText w:val="%1."/>
      <w:lvlJc w:val="left"/>
      <w:pPr>
        <w:ind w:left="720" w:hanging="360"/>
      </w:pPr>
      <w:rPr>
        <w:rFonts w:hint="default"/>
        <w:b/>
      </w:rPr>
    </w:lvl>
    <w:lvl w:ilvl="1">
      <w:numFmt w:val="none"/>
      <w:lvlText w:val="5.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1%5."/>
      <w:lvlJc w:val="left"/>
      <w:pPr>
        <w:ind w:left="3600" w:hanging="360"/>
      </w:pPr>
      <w:rPr>
        <w:rFonts w:ascii="5.1" w:hAnsi="5.1"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1BB0310"/>
    <w:multiLevelType w:val="hybridMultilevel"/>
    <w:tmpl w:val="53D43BBA"/>
    <w:lvl w:ilvl="0" w:tplc="080A0011">
      <w:start w:val="1"/>
      <w:numFmt w:val="decimal"/>
      <w:lvlText w:val="%1)"/>
      <w:lvlJc w:val="left"/>
      <w:pPr>
        <w:ind w:left="5634" w:hanging="360"/>
      </w:pPr>
      <w:rPr>
        <w:rFonts w:hint="default"/>
      </w:rPr>
    </w:lvl>
    <w:lvl w:ilvl="1" w:tplc="080A0019" w:tentative="1">
      <w:start w:val="1"/>
      <w:numFmt w:val="lowerLetter"/>
      <w:lvlText w:val="%2."/>
      <w:lvlJc w:val="left"/>
      <w:pPr>
        <w:ind w:left="6354" w:hanging="360"/>
      </w:pPr>
    </w:lvl>
    <w:lvl w:ilvl="2" w:tplc="080A001B" w:tentative="1">
      <w:start w:val="1"/>
      <w:numFmt w:val="lowerRoman"/>
      <w:lvlText w:val="%3."/>
      <w:lvlJc w:val="right"/>
      <w:pPr>
        <w:ind w:left="7074" w:hanging="180"/>
      </w:pPr>
    </w:lvl>
    <w:lvl w:ilvl="3" w:tplc="080A000F" w:tentative="1">
      <w:start w:val="1"/>
      <w:numFmt w:val="decimal"/>
      <w:lvlText w:val="%4."/>
      <w:lvlJc w:val="left"/>
      <w:pPr>
        <w:ind w:left="7794" w:hanging="360"/>
      </w:pPr>
    </w:lvl>
    <w:lvl w:ilvl="4" w:tplc="080A0019" w:tentative="1">
      <w:start w:val="1"/>
      <w:numFmt w:val="lowerLetter"/>
      <w:lvlText w:val="%5."/>
      <w:lvlJc w:val="left"/>
      <w:pPr>
        <w:ind w:left="8514" w:hanging="360"/>
      </w:pPr>
    </w:lvl>
    <w:lvl w:ilvl="5" w:tplc="080A001B" w:tentative="1">
      <w:start w:val="1"/>
      <w:numFmt w:val="lowerRoman"/>
      <w:lvlText w:val="%6."/>
      <w:lvlJc w:val="right"/>
      <w:pPr>
        <w:ind w:left="9234" w:hanging="180"/>
      </w:pPr>
    </w:lvl>
    <w:lvl w:ilvl="6" w:tplc="080A000F" w:tentative="1">
      <w:start w:val="1"/>
      <w:numFmt w:val="decimal"/>
      <w:lvlText w:val="%7."/>
      <w:lvlJc w:val="left"/>
      <w:pPr>
        <w:ind w:left="9954" w:hanging="360"/>
      </w:pPr>
    </w:lvl>
    <w:lvl w:ilvl="7" w:tplc="080A0019" w:tentative="1">
      <w:start w:val="1"/>
      <w:numFmt w:val="lowerLetter"/>
      <w:lvlText w:val="%8."/>
      <w:lvlJc w:val="left"/>
      <w:pPr>
        <w:ind w:left="10674" w:hanging="360"/>
      </w:pPr>
    </w:lvl>
    <w:lvl w:ilvl="8" w:tplc="080A001B" w:tentative="1">
      <w:start w:val="1"/>
      <w:numFmt w:val="lowerRoman"/>
      <w:lvlText w:val="%9."/>
      <w:lvlJc w:val="right"/>
      <w:pPr>
        <w:ind w:left="11394" w:hanging="180"/>
      </w:pPr>
    </w:lvl>
  </w:abstractNum>
  <w:abstractNum w:abstractNumId="17" w15:restartNumberingAfterBreak="0">
    <w:nsid w:val="3455565F"/>
    <w:multiLevelType w:val="hybridMultilevel"/>
    <w:tmpl w:val="63B695F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1C2BB7"/>
    <w:multiLevelType w:val="multilevel"/>
    <w:tmpl w:val="788E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D13485"/>
    <w:multiLevelType w:val="hybridMultilevel"/>
    <w:tmpl w:val="53D43BBA"/>
    <w:lvl w:ilvl="0" w:tplc="080A0011">
      <w:start w:val="1"/>
      <w:numFmt w:val="decimal"/>
      <w:lvlText w:val="%1)"/>
      <w:lvlJc w:val="left"/>
      <w:pPr>
        <w:ind w:left="5634" w:hanging="360"/>
      </w:pPr>
      <w:rPr>
        <w:rFonts w:hint="default"/>
      </w:rPr>
    </w:lvl>
    <w:lvl w:ilvl="1" w:tplc="080A0019" w:tentative="1">
      <w:start w:val="1"/>
      <w:numFmt w:val="lowerLetter"/>
      <w:lvlText w:val="%2."/>
      <w:lvlJc w:val="left"/>
      <w:pPr>
        <w:ind w:left="6354" w:hanging="360"/>
      </w:pPr>
    </w:lvl>
    <w:lvl w:ilvl="2" w:tplc="080A001B" w:tentative="1">
      <w:start w:val="1"/>
      <w:numFmt w:val="lowerRoman"/>
      <w:lvlText w:val="%3."/>
      <w:lvlJc w:val="right"/>
      <w:pPr>
        <w:ind w:left="7074" w:hanging="180"/>
      </w:pPr>
    </w:lvl>
    <w:lvl w:ilvl="3" w:tplc="080A000F" w:tentative="1">
      <w:start w:val="1"/>
      <w:numFmt w:val="decimal"/>
      <w:lvlText w:val="%4."/>
      <w:lvlJc w:val="left"/>
      <w:pPr>
        <w:ind w:left="7794" w:hanging="360"/>
      </w:pPr>
    </w:lvl>
    <w:lvl w:ilvl="4" w:tplc="080A0019" w:tentative="1">
      <w:start w:val="1"/>
      <w:numFmt w:val="lowerLetter"/>
      <w:lvlText w:val="%5."/>
      <w:lvlJc w:val="left"/>
      <w:pPr>
        <w:ind w:left="8514" w:hanging="360"/>
      </w:pPr>
    </w:lvl>
    <w:lvl w:ilvl="5" w:tplc="080A001B" w:tentative="1">
      <w:start w:val="1"/>
      <w:numFmt w:val="lowerRoman"/>
      <w:lvlText w:val="%6."/>
      <w:lvlJc w:val="right"/>
      <w:pPr>
        <w:ind w:left="9234" w:hanging="180"/>
      </w:pPr>
    </w:lvl>
    <w:lvl w:ilvl="6" w:tplc="080A000F" w:tentative="1">
      <w:start w:val="1"/>
      <w:numFmt w:val="decimal"/>
      <w:lvlText w:val="%7."/>
      <w:lvlJc w:val="left"/>
      <w:pPr>
        <w:ind w:left="9954" w:hanging="360"/>
      </w:pPr>
    </w:lvl>
    <w:lvl w:ilvl="7" w:tplc="080A0019" w:tentative="1">
      <w:start w:val="1"/>
      <w:numFmt w:val="lowerLetter"/>
      <w:lvlText w:val="%8."/>
      <w:lvlJc w:val="left"/>
      <w:pPr>
        <w:ind w:left="10674" w:hanging="360"/>
      </w:pPr>
    </w:lvl>
    <w:lvl w:ilvl="8" w:tplc="080A001B" w:tentative="1">
      <w:start w:val="1"/>
      <w:numFmt w:val="lowerRoman"/>
      <w:lvlText w:val="%9."/>
      <w:lvlJc w:val="right"/>
      <w:pPr>
        <w:ind w:left="11394" w:hanging="180"/>
      </w:pPr>
    </w:lvl>
  </w:abstractNum>
  <w:abstractNum w:abstractNumId="20" w15:restartNumberingAfterBreak="0">
    <w:nsid w:val="36D70EE1"/>
    <w:multiLevelType w:val="hybridMultilevel"/>
    <w:tmpl w:val="2E747FBA"/>
    <w:lvl w:ilvl="0" w:tplc="080A0013">
      <w:start w:val="1"/>
      <w:numFmt w:val="upperRoman"/>
      <w:lvlText w:val="%1."/>
      <w:lvlJc w:val="right"/>
      <w:pPr>
        <w:ind w:left="720" w:hanging="360"/>
      </w:pPr>
      <w:rPr>
        <w:rFonts w:hint="default"/>
      </w:rPr>
    </w:lvl>
    <w:lvl w:ilvl="1" w:tplc="0BC8724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281382"/>
    <w:multiLevelType w:val="hybridMultilevel"/>
    <w:tmpl w:val="CB006572"/>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7151CA"/>
    <w:multiLevelType w:val="hybridMultilevel"/>
    <w:tmpl w:val="A3F6C100"/>
    <w:lvl w:ilvl="0" w:tplc="080A0017">
      <w:start w:val="1"/>
      <w:numFmt w:val="lowerLetter"/>
      <w:lvlText w:val="%1)"/>
      <w:lvlJc w:val="left"/>
      <w:pPr>
        <w:ind w:left="720" w:hanging="360"/>
      </w:pPr>
      <w:rPr>
        <w:rFonts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0E59B0"/>
    <w:multiLevelType w:val="hybridMultilevel"/>
    <w:tmpl w:val="191CA0A4"/>
    <w:lvl w:ilvl="0" w:tplc="080A0011">
      <w:start w:val="1"/>
      <w:numFmt w:val="decimal"/>
      <w:lvlText w:val="%1)"/>
      <w:lvlJc w:val="left"/>
      <w:pPr>
        <w:ind w:left="720" w:hanging="360"/>
      </w:pPr>
      <w:rPr>
        <w:rFonts w:hint="default"/>
      </w:rPr>
    </w:lvl>
    <w:lvl w:ilvl="1" w:tplc="0BC8724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DE29F1"/>
    <w:multiLevelType w:val="hybridMultilevel"/>
    <w:tmpl w:val="8D2EBC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DC7628"/>
    <w:multiLevelType w:val="hybridMultilevel"/>
    <w:tmpl w:val="7DC8C90C"/>
    <w:lvl w:ilvl="0" w:tplc="7772E96A">
      <w:start w:val="1"/>
      <w:numFmt w:val="bullet"/>
      <w:lvlText w:val="•"/>
      <w:lvlJc w:val="left"/>
      <w:pPr>
        <w:tabs>
          <w:tab w:val="num" w:pos="720"/>
        </w:tabs>
        <w:ind w:left="720" w:hanging="360"/>
      </w:pPr>
      <w:rPr>
        <w:rFonts w:ascii="Arial" w:hAnsi="Arial" w:hint="default"/>
      </w:rPr>
    </w:lvl>
    <w:lvl w:ilvl="1" w:tplc="11B48A3E">
      <w:numFmt w:val="bullet"/>
      <w:lvlText w:val="–"/>
      <w:lvlJc w:val="left"/>
      <w:pPr>
        <w:tabs>
          <w:tab w:val="num" w:pos="1440"/>
        </w:tabs>
        <w:ind w:left="1440" w:hanging="360"/>
      </w:pPr>
      <w:rPr>
        <w:rFonts w:ascii="Arial" w:hAnsi="Arial" w:hint="default"/>
      </w:rPr>
    </w:lvl>
    <w:lvl w:ilvl="2" w:tplc="E37246EE" w:tentative="1">
      <w:start w:val="1"/>
      <w:numFmt w:val="bullet"/>
      <w:lvlText w:val="•"/>
      <w:lvlJc w:val="left"/>
      <w:pPr>
        <w:tabs>
          <w:tab w:val="num" w:pos="2160"/>
        </w:tabs>
        <w:ind w:left="2160" w:hanging="360"/>
      </w:pPr>
      <w:rPr>
        <w:rFonts w:ascii="Arial" w:hAnsi="Arial" w:hint="default"/>
      </w:rPr>
    </w:lvl>
    <w:lvl w:ilvl="3" w:tplc="826AB67E" w:tentative="1">
      <w:start w:val="1"/>
      <w:numFmt w:val="bullet"/>
      <w:lvlText w:val="•"/>
      <w:lvlJc w:val="left"/>
      <w:pPr>
        <w:tabs>
          <w:tab w:val="num" w:pos="2880"/>
        </w:tabs>
        <w:ind w:left="2880" w:hanging="360"/>
      </w:pPr>
      <w:rPr>
        <w:rFonts w:ascii="Arial" w:hAnsi="Arial" w:hint="default"/>
      </w:rPr>
    </w:lvl>
    <w:lvl w:ilvl="4" w:tplc="90C8AC3A" w:tentative="1">
      <w:start w:val="1"/>
      <w:numFmt w:val="bullet"/>
      <w:lvlText w:val="•"/>
      <w:lvlJc w:val="left"/>
      <w:pPr>
        <w:tabs>
          <w:tab w:val="num" w:pos="3600"/>
        </w:tabs>
        <w:ind w:left="3600" w:hanging="360"/>
      </w:pPr>
      <w:rPr>
        <w:rFonts w:ascii="Arial" w:hAnsi="Arial" w:hint="default"/>
      </w:rPr>
    </w:lvl>
    <w:lvl w:ilvl="5" w:tplc="A8DC9FB0" w:tentative="1">
      <w:start w:val="1"/>
      <w:numFmt w:val="bullet"/>
      <w:lvlText w:val="•"/>
      <w:lvlJc w:val="left"/>
      <w:pPr>
        <w:tabs>
          <w:tab w:val="num" w:pos="4320"/>
        </w:tabs>
        <w:ind w:left="4320" w:hanging="360"/>
      </w:pPr>
      <w:rPr>
        <w:rFonts w:ascii="Arial" w:hAnsi="Arial" w:hint="default"/>
      </w:rPr>
    </w:lvl>
    <w:lvl w:ilvl="6" w:tplc="AE0204C2" w:tentative="1">
      <w:start w:val="1"/>
      <w:numFmt w:val="bullet"/>
      <w:lvlText w:val="•"/>
      <w:lvlJc w:val="left"/>
      <w:pPr>
        <w:tabs>
          <w:tab w:val="num" w:pos="5040"/>
        </w:tabs>
        <w:ind w:left="5040" w:hanging="360"/>
      </w:pPr>
      <w:rPr>
        <w:rFonts w:ascii="Arial" w:hAnsi="Arial" w:hint="default"/>
      </w:rPr>
    </w:lvl>
    <w:lvl w:ilvl="7" w:tplc="E1609FBE" w:tentative="1">
      <w:start w:val="1"/>
      <w:numFmt w:val="bullet"/>
      <w:lvlText w:val="•"/>
      <w:lvlJc w:val="left"/>
      <w:pPr>
        <w:tabs>
          <w:tab w:val="num" w:pos="5760"/>
        </w:tabs>
        <w:ind w:left="5760" w:hanging="360"/>
      </w:pPr>
      <w:rPr>
        <w:rFonts w:ascii="Arial" w:hAnsi="Arial" w:hint="default"/>
      </w:rPr>
    </w:lvl>
    <w:lvl w:ilvl="8" w:tplc="ACD87CA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277F7F"/>
    <w:multiLevelType w:val="hybridMultilevel"/>
    <w:tmpl w:val="C2A0FF0A"/>
    <w:lvl w:ilvl="0" w:tplc="080A0017">
      <w:start w:val="1"/>
      <w:numFmt w:val="lowerLetter"/>
      <w:lvlText w:val="%1)"/>
      <w:lvlJc w:val="left"/>
      <w:pPr>
        <w:ind w:left="720" w:hanging="360"/>
      </w:pPr>
      <w:rPr>
        <w:rFonts w:hint="default"/>
      </w:rPr>
    </w:lvl>
    <w:lvl w:ilvl="1" w:tplc="0BC8724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252F61"/>
    <w:multiLevelType w:val="hybridMultilevel"/>
    <w:tmpl w:val="12BC1D6A"/>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5D0E47"/>
    <w:multiLevelType w:val="hybridMultilevel"/>
    <w:tmpl w:val="A66AB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0F69BD"/>
    <w:multiLevelType w:val="hybridMultilevel"/>
    <w:tmpl w:val="8D8EF938"/>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DD2C05"/>
    <w:multiLevelType w:val="hybridMultilevel"/>
    <w:tmpl w:val="C99602A0"/>
    <w:lvl w:ilvl="0" w:tplc="729E7C30">
      <w:start w:val="5"/>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957855"/>
    <w:multiLevelType w:val="hybridMultilevel"/>
    <w:tmpl w:val="4B101D8E"/>
    <w:lvl w:ilvl="0" w:tplc="080A0011">
      <w:start w:val="1"/>
      <w:numFmt w:val="decimal"/>
      <w:lvlText w:val="%1)"/>
      <w:lvlJc w:val="left"/>
      <w:pPr>
        <w:ind w:left="5634" w:hanging="360"/>
      </w:pPr>
      <w:rPr>
        <w:rFonts w:hint="default"/>
      </w:rPr>
    </w:lvl>
    <w:lvl w:ilvl="1" w:tplc="080A0019" w:tentative="1">
      <w:start w:val="1"/>
      <w:numFmt w:val="lowerLetter"/>
      <w:lvlText w:val="%2."/>
      <w:lvlJc w:val="left"/>
      <w:pPr>
        <w:ind w:left="6354" w:hanging="360"/>
      </w:pPr>
    </w:lvl>
    <w:lvl w:ilvl="2" w:tplc="080A001B" w:tentative="1">
      <w:start w:val="1"/>
      <w:numFmt w:val="lowerRoman"/>
      <w:lvlText w:val="%3."/>
      <w:lvlJc w:val="right"/>
      <w:pPr>
        <w:ind w:left="7074" w:hanging="180"/>
      </w:pPr>
    </w:lvl>
    <w:lvl w:ilvl="3" w:tplc="080A000F" w:tentative="1">
      <w:start w:val="1"/>
      <w:numFmt w:val="decimal"/>
      <w:lvlText w:val="%4."/>
      <w:lvlJc w:val="left"/>
      <w:pPr>
        <w:ind w:left="7794" w:hanging="360"/>
      </w:pPr>
    </w:lvl>
    <w:lvl w:ilvl="4" w:tplc="080A0019" w:tentative="1">
      <w:start w:val="1"/>
      <w:numFmt w:val="lowerLetter"/>
      <w:lvlText w:val="%5."/>
      <w:lvlJc w:val="left"/>
      <w:pPr>
        <w:ind w:left="8514" w:hanging="360"/>
      </w:pPr>
    </w:lvl>
    <w:lvl w:ilvl="5" w:tplc="080A001B" w:tentative="1">
      <w:start w:val="1"/>
      <w:numFmt w:val="lowerRoman"/>
      <w:lvlText w:val="%6."/>
      <w:lvlJc w:val="right"/>
      <w:pPr>
        <w:ind w:left="9234" w:hanging="180"/>
      </w:pPr>
    </w:lvl>
    <w:lvl w:ilvl="6" w:tplc="080A000F" w:tentative="1">
      <w:start w:val="1"/>
      <w:numFmt w:val="decimal"/>
      <w:lvlText w:val="%7."/>
      <w:lvlJc w:val="left"/>
      <w:pPr>
        <w:ind w:left="9954" w:hanging="360"/>
      </w:pPr>
    </w:lvl>
    <w:lvl w:ilvl="7" w:tplc="080A0019" w:tentative="1">
      <w:start w:val="1"/>
      <w:numFmt w:val="lowerLetter"/>
      <w:lvlText w:val="%8."/>
      <w:lvlJc w:val="left"/>
      <w:pPr>
        <w:ind w:left="10674" w:hanging="360"/>
      </w:pPr>
    </w:lvl>
    <w:lvl w:ilvl="8" w:tplc="080A001B" w:tentative="1">
      <w:start w:val="1"/>
      <w:numFmt w:val="lowerRoman"/>
      <w:lvlText w:val="%9."/>
      <w:lvlJc w:val="right"/>
      <w:pPr>
        <w:ind w:left="11394" w:hanging="180"/>
      </w:pPr>
    </w:lvl>
  </w:abstractNum>
  <w:abstractNum w:abstractNumId="32" w15:restartNumberingAfterBreak="0">
    <w:nsid w:val="64F00794"/>
    <w:multiLevelType w:val="hybridMultilevel"/>
    <w:tmpl w:val="D598EA06"/>
    <w:lvl w:ilvl="0" w:tplc="A538091C">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4D1B25"/>
    <w:multiLevelType w:val="hybridMultilevel"/>
    <w:tmpl w:val="B6880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0D150BC"/>
    <w:multiLevelType w:val="multilevel"/>
    <w:tmpl w:val="996896D2"/>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0ED0D46"/>
    <w:multiLevelType w:val="hybridMultilevel"/>
    <w:tmpl w:val="F3F8155C"/>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1A32C0"/>
    <w:multiLevelType w:val="hybridMultilevel"/>
    <w:tmpl w:val="18A034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D126F0"/>
    <w:multiLevelType w:val="hybridMultilevel"/>
    <w:tmpl w:val="1E54E582"/>
    <w:lvl w:ilvl="0" w:tplc="080A0013">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A83023"/>
    <w:multiLevelType w:val="hybridMultilevel"/>
    <w:tmpl w:val="BDD4DEE8"/>
    <w:lvl w:ilvl="0" w:tplc="1244FA36">
      <w:start w:val="1"/>
      <w:numFmt w:val="bullet"/>
      <w:lvlText w:val="●"/>
      <w:lvlJc w:val="left"/>
      <w:pPr>
        <w:ind w:left="720" w:hanging="360"/>
      </w:pPr>
      <w:rPr>
        <w:rFonts w:ascii="Calibri" w:hAnsi="Calibri" w:hint="default"/>
        <w:u w:color="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34"/>
  </w:num>
  <w:num w:numId="4">
    <w:abstractNumId w:val="30"/>
  </w:num>
  <w:num w:numId="5">
    <w:abstractNumId w:val="0"/>
  </w:num>
  <w:num w:numId="6">
    <w:abstractNumId w:val="1"/>
  </w:num>
  <w:num w:numId="7">
    <w:abstractNumId w:val="28"/>
  </w:num>
  <w:num w:numId="8">
    <w:abstractNumId w:val="33"/>
  </w:num>
  <w:num w:numId="9">
    <w:abstractNumId w:val="13"/>
  </w:num>
  <w:num w:numId="10">
    <w:abstractNumId w:val="2"/>
  </w:num>
  <w:num w:numId="11">
    <w:abstractNumId w:val="18"/>
  </w:num>
  <w:num w:numId="12">
    <w:abstractNumId w:val="29"/>
  </w:num>
  <w:num w:numId="13">
    <w:abstractNumId w:val="6"/>
  </w:num>
  <w:num w:numId="14">
    <w:abstractNumId w:val="21"/>
  </w:num>
  <w:num w:numId="15">
    <w:abstractNumId w:val="32"/>
  </w:num>
  <w:num w:numId="16">
    <w:abstractNumId w:val="11"/>
  </w:num>
  <w:num w:numId="17">
    <w:abstractNumId w:val="27"/>
  </w:num>
  <w:num w:numId="18">
    <w:abstractNumId w:val="19"/>
  </w:num>
  <w:num w:numId="19">
    <w:abstractNumId w:val="17"/>
  </w:num>
  <w:num w:numId="20">
    <w:abstractNumId w:val="25"/>
  </w:num>
  <w:num w:numId="21">
    <w:abstractNumId w:val="38"/>
  </w:num>
  <w:num w:numId="22">
    <w:abstractNumId w:val="7"/>
  </w:num>
  <w:num w:numId="23">
    <w:abstractNumId w:val="24"/>
  </w:num>
  <w:num w:numId="24">
    <w:abstractNumId w:val="16"/>
  </w:num>
  <w:num w:numId="25">
    <w:abstractNumId w:val="8"/>
  </w:num>
  <w:num w:numId="26">
    <w:abstractNumId w:val="31"/>
  </w:num>
  <w:num w:numId="27">
    <w:abstractNumId w:val="36"/>
  </w:num>
  <w:num w:numId="28">
    <w:abstractNumId w:val="4"/>
  </w:num>
  <w:num w:numId="29">
    <w:abstractNumId w:val="22"/>
  </w:num>
  <w:num w:numId="30">
    <w:abstractNumId w:val="26"/>
  </w:num>
  <w:num w:numId="31">
    <w:abstractNumId w:val="23"/>
  </w:num>
  <w:num w:numId="32">
    <w:abstractNumId w:val="9"/>
  </w:num>
  <w:num w:numId="33">
    <w:abstractNumId w:val="10"/>
  </w:num>
  <w:num w:numId="34">
    <w:abstractNumId w:val="20"/>
  </w:num>
  <w:num w:numId="35">
    <w:abstractNumId w:val="5"/>
  </w:num>
  <w:num w:numId="36">
    <w:abstractNumId w:val="37"/>
  </w:num>
  <w:num w:numId="37">
    <w:abstractNumId w:val="3"/>
  </w:num>
  <w:num w:numId="38">
    <w:abstractNumId w:val="35"/>
  </w:num>
  <w:num w:numId="39">
    <w:abstractNumId w:val="12"/>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14"/>
    <w:rsid w:val="00001E92"/>
    <w:rsid w:val="00007375"/>
    <w:rsid w:val="00007982"/>
    <w:rsid w:val="00010D35"/>
    <w:rsid w:val="000123BF"/>
    <w:rsid w:val="000143F3"/>
    <w:rsid w:val="00015DCF"/>
    <w:rsid w:val="00016343"/>
    <w:rsid w:val="00022787"/>
    <w:rsid w:val="00023D97"/>
    <w:rsid w:val="00025295"/>
    <w:rsid w:val="000273D0"/>
    <w:rsid w:val="00030357"/>
    <w:rsid w:val="00031F41"/>
    <w:rsid w:val="00033356"/>
    <w:rsid w:val="0003451C"/>
    <w:rsid w:val="00037070"/>
    <w:rsid w:val="000502EF"/>
    <w:rsid w:val="00051569"/>
    <w:rsid w:val="00061280"/>
    <w:rsid w:val="00061C2D"/>
    <w:rsid w:val="000651E0"/>
    <w:rsid w:val="000664C1"/>
    <w:rsid w:val="00076778"/>
    <w:rsid w:val="00076B69"/>
    <w:rsid w:val="000811E1"/>
    <w:rsid w:val="000811F5"/>
    <w:rsid w:val="00081B56"/>
    <w:rsid w:val="00082975"/>
    <w:rsid w:val="00093671"/>
    <w:rsid w:val="000953FA"/>
    <w:rsid w:val="0009673C"/>
    <w:rsid w:val="00096E94"/>
    <w:rsid w:val="000A115B"/>
    <w:rsid w:val="000A3451"/>
    <w:rsid w:val="000A7DAB"/>
    <w:rsid w:val="000B42CD"/>
    <w:rsid w:val="000D18FD"/>
    <w:rsid w:val="000D365A"/>
    <w:rsid w:val="000D4D2F"/>
    <w:rsid w:val="000D5DD4"/>
    <w:rsid w:val="000D647A"/>
    <w:rsid w:val="000E1E03"/>
    <w:rsid w:val="000E4E8A"/>
    <w:rsid w:val="000F1437"/>
    <w:rsid w:val="001003C6"/>
    <w:rsid w:val="0010402D"/>
    <w:rsid w:val="001064C1"/>
    <w:rsid w:val="00111947"/>
    <w:rsid w:val="001147A5"/>
    <w:rsid w:val="001235A1"/>
    <w:rsid w:val="001242CC"/>
    <w:rsid w:val="001252AE"/>
    <w:rsid w:val="00130253"/>
    <w:rsid w:val="00132851"/>
    <w:rsid w:val="00135956"/>
    <w:rsid w:val="001365CE"/>
    <w:rsid w:val="001418D1"/>
    <w:rsid w:val="00141F74"/>
    <w:rsid w:val="001427C4"/>
    <w:rsid w:val="00154A3C"/>
    <w:rsid w:val="00157BDE"/>
    <w:rsid w:val="00160D33"/>
    <w:rsid w:val="00163B89"/>
    <w:rsid w:val="00164034"/>
    <w:rsid w:val="001673BF"/>
    <w:rsid w:val="0017158B"/>
    <w:rsid w:val="00174603"/>
    <w:rsid w:val="00174756"/>
    <w:rsid w:val="00176945"/>
    <w:rsid w:val="00176D05"/>
    <w:rsid w:val="00180D05"/>
    <w:rsid w:val="00181D54"/>
    <w:rsid w:val="00181DCD"/>
    <w:rsid w:val="00182725"/>
    <w:rsid w:val="00190130"/>
    <w:rsid w:val="0019350B"/>
    <w:rsid w:val="00193EAD"/>
    <w:rsid w:val="00196513"/>
    <w:rsid w:val="001A0A71"/>
    <w:rsid w:val="001A2144"/>
    <w:rsid w:val="001A2420"/>
    <w:rsid w:val="001A2B91"/>
    <w:rsid w:val="001A60A2"/>
    <w:rsid w:val="001B0262"/>
    <w:rsid w:val="001B04B2"/>
    <w:rsid w:val="001B123C"/>
    <w:rsid w:val="001B417D"/>
    <w:rsid w:val="001B6446"/>
    <w:rsid w:val="001B752D"/>
    <w:rsid w:val="001B7630"/>
    <w:rsid w:val="001C0B1E"/>
    <w:rsid w:val="001C25A6"/>
    <w:rsid w:val="001D1328"/>
    <w:rsid w:val="001D476E"/>
    <w:rsid w:val="001E558C"/>
    <w:rsid w:val="001F20A9"/>
    <w:rsid w:val="001F3456"/>
    <w:rsid w:val="001F366A"/>
    <w:rsid w:val="002001B2"/>
    <w:rsid w:val="00202887"/>
    <w:rsid w:val="00205CC6"/>
    <w:rsid w:val="00212EE7"/>
    <w:rsid w:val="00213B80"/>
    <w:rsid w:val="00216BDC"/>
    <w:rsid w:val="002203BF"/>
    <w:rsid w:val="00221935"/>
    <w:rsid w:val="00221DC5"/>
    <w:rsid w:val="0022364B"/>
    <w:rsid w:val="00223EC6"/>
    <w:rsid w:val="00227374"/>
    <w:rsid w:val="00227E3B"/>
    <w:rsid w:val="00233A82"/>
    <w:rsid w:val="00241058"/>
    <w:rsid w:val="00242A71"/>
    <w:rsid w:val="0024565C"/>
    <w:rsid w:val="00246E10"/>
    <w:rsid w:val="00250D32"/>
    <w:rsid w:val="0025238A"/>
    <w:rsid w:val="002534A0"/>
    <w:rsid w:val="00254AC2"/>
    <w:rsid w:val="0025592A"/>
    <w:rsid w:val="002659E8"/>
    <w:rsid w:val="00267C64"/>
    <w:rsid w:val="00276743"/>
    <w:rsid w:val="00280C62"/>
    <w:rsid w:val="0028185E"/>
    <w:rsid w:val="00282A08"/>
    <w:rsid w:val="00283258"/>
    <w:rsid w:val="00290977"/>
    <w:rsid w:val="002933F2"/>
    <w:rsid w:val="00294CFF"/>
    <w:rsid w:val="00295826"/>
    <w:rsid w:val="002966A7"/>
    <w:rsid w:val="00296BE9"/>
    <w:rsid w:val="002A066C"/>
    <w:rsid w:val="002A1D58"/>
    <w:rsid w:val="002A2102"/>
    <w:rsid w:val="002A3D3C"/>
    <w:rsid w:val="002A6574"/>
    <w:rsid w:val="002A7D49"/>
    <w:rsid w:val="002B34CA"/>
    <w:rsid w:val="002B5200"/>
    <w:rsid w:val="002B7844"/>
    <w:rsid w:val="002B7B0A"/>
    <w:rsid w:val="002C10FD"/>
    <w:rsid w:val="002C143F"/>
    <w:rsid w:val="002C6664"/>
    <w:rsid w:val="002D18BB"/>
    <w:rsid w:val="002D28BD"/>
    <w:rsid w:val="002D354C"/>
    <w:rsid w:val="002D5C9C"/>
    <w:rsid w:val="002D711E"/>
    <w:rsid w:val="002E19AF"/>
    <w:rsid w:val="002E427B"/>
    <w:rsid w:val="002E7668"/>
    <w:rsid w:val="002F01E9"/>
    <w:rsid w:val="002F0FE4"/>
    <w:rsid w:val="002F740F"/>
    <w:rsid w:val="0030384A"/>
    <w:rsid w:val="00303EF4"/>
    <w:rsid w:val="003051EA"/>
    <w:rsid w:val="0030698C"/>
    <w:rsid w:val="00307FC3"/>
    <w:rsid w:val="00315C42"/>
    <w:rsid w:val="003206DF"/>
    <w:rsid w:val="003279B9"/>
    <w:rsid w:val="0033028C"/>
    <w:rsid w:val="0033074D"/>
    <w:rsid w:val="003324CD"/>
    <w:rsid w:val="00332CCA"/>
    <w:rsid w:val="00336BD9"/>
    <w:rsid w:val="003404D2"/>
    <w:rsid w:val="00341FB8"/>
    <w:rsid w:val="0034211B"/>
    <w:rsid w:val="003428C1"/>
    <w:rsid w:val="00343412"/>
    <w:rsid w:val="003448AF"/>
    <w:rsid w:val="00347BB7"/>
    <w:rsid w:val="0035285A"/>
    <w:rsid w:val="00354288"/>
    <w:rsid w:val="0035563B"/>
    <w:rsid w:val="0035578C"/>
    <w:rsid w:val="003560EB"/>
    <w:rsid w:val="00357E3F"/>
    <w:rsid w:val="00357EBF"/>
    <w:rsid w:val="003624CD"/>
    <w:rsid w:val="003633BB"/>
    <w:rsid w:val="00366824"/>
    <w:rsid w:val="003673C3"/>
    <w:rsid w:val="00367DC6"/>
    <w:rsid w:val="00367FD6"/>
    <w:rsid w:val="0037479D"/>
    <w:rsid w:val="003752F2"/>
    <w:rsid w:val="00384875"/>
    <w:rsid w:val="00395EE8"/>
    <w:rsid w:val="003A1245"/>
    <w:rsid w:val="003A2CB5"/>
    <w:rsid w:val="003A7C27"/>
    <w:rsid w:val="003B06A3"/>
    <w:rsid w:val="003B5D3D"/>
    <w:rsid w:val="003B6691"/>
    <w:rsid w:val="003C4188"/>
    <w:rsid w:val="003C5301"/>
    <w:rsid w:val="003C7F05"/>
    <w:rsid w:val="003D53EA"/>
    <w:rsid w:val="003D5740"/>
    <w:rsid w:val="003D751C"/>
    <w:rsid w:val="003E4A01"/>
    <w:rsid w:val="003E69C8"/>
    <w:rsid w:val="003E7B3D"/>
    <w:rsid w:val="003F1C94"/>
    <w:rsid w:val="003F1EE9"/>
    <w:rsid w:val="003F20B8"/>
    <w:rsid w:val="003F5A02"/>
    <w:rsid w:val="003F71C5"/>
    <w:rsid w:val="004030D2"/>
    <w:rsid w:val="00405B50"/>
    <w:rsid w:val="004070AC"/>
    <w:rsid w:val="0041134E"/>
    <w:rsid w:val="00412ABB"/>
    <w:rsid w:val="0041699B"/>
    <w:rsid w:val="00421274"/>
    <w:rsid w:val="00421A67"/>
    <w:rsid w:val="00433F65"/>
    <w:rsid w:val="00434E58"/>
    <w:rsid w:val="00437CA6"/>
    <w:rsid w:val="00444687"/>
    <w:rsid w:val="00445918"/>
    <w:rsid w:val="00447A91"/>
    <w:rsid w:val="00454998"/>
    <w:rsid w:val="00462884"/>
    <w:rsid w:val="00462E82"/>
    <w:rsid w:val="00464CAA"/>
    <w:rsid w:val="00480AC3"/>
    <w:rsid w:val="0048457C"/>
    <w:rsid w:val="00484E3D"/>
    <w:rsid w:val="004875E6"/>
    <w:rsid w:val="00495297"/>
    <w:rsid w:val="00496C0F"/>
    <w:rsid w:val="004976A8"/>
    <w:rsid w:val="004A292F"/>
    <w:rsid w:val="004A3311"/>
    <w:rsid w:val="004A3915"/>
    <w:rsid w:val="004A76BB"/>
    <w:rsid w:val="004B20D0"/>
    <w:rsid w:val="004B2D45"/>
    <w:rsid w:val="004B63D0"/>
    <w:rsid w:val="004B792A"/>
    <w:rsid w:val="004B7EEA"/>
    <w:rsid w:val="004C5D39"/>
    <w:rsid w:val="004D001E"/>
    <w:rsid w:val="004D4546"/>
    <w:rsid w:val="004D4C41"/>
    <w:rsid w:val="004D4ED6"/>
    <w:rsid w:val="004E2BD5"/>
    <w:rsid w:val="004F082E"/>
    <w:rsid w:val="004F2856"/>
    <w:rsid w:val="004F2880"/>
    <w:rsid w:val="004F64BA"/>
    <w:rsid w:val="004F75C7"/>
    <w:rsid w:val="005006DD"/>
    <w:rsid w:val="005022D3"/>
    <w:rsid w:val="0050297E"/>
    <w:rsid w:val="00506BDF"/>
    <w:rsid w:val="00510BE3"/>
    <w:rsid w:val="005139FB"/>
    <w:rsid w:val="005166CA"/>
    <w:rsid w:val="005200F9"/>
    <w:rsid w:val="005201F0"/>
    <w:rsid w:val="005271FC"/>
    <w:rsid w:val="00530A8A"/>
    <w:rsid w:val="005328EF"/>
    <w:rsid w:val="00533134"/>
    <w:rsid w:val="00534FA8"/>
    <w:rsid w:val="00540E03"/>
    <w:rsid w:val="00542FAB"/>
    <w:rsid w:val="005435ED"/>
    <w:rsid w:val="00545FE7"/>
    <w:rsid w:val="00551CA6"/>
    <w:rsid w:val="00554920"/>
    <w:rsid w:val="00560F15"/>
    <w:rsid w:val="00561A1B"/>
    <w:rsid w:val="00561C42"/>
    <w:rsid w:val="00562001"/>
    <w:rsid w:val="00564A49"/>
    <w:rsid w:val="005676E2"/>
    <w:rsid w:val="0057471B"/>
    <w:rsid w:val="00576A26"/>
    <w:rsid w:val="00577D21"/>
    <w:rsid w:val="0058277B"/>
    <w:rsid w:val="005829E0"/>
    <w:rsid w:val="00585AE5"/>
    <w:rsid w:val="005907A1"/>
    <w:rsid w:val="0059123B"/>
    <w:rsid w:val="00592BB8"/>
    <w:rsid w:val="005938DD"/>
    <w:rsid w:val="00594520"/>
    <w:rsid w:val="005950EB"/>
    <w:rsid w:val="00595207"/>
    <w:rsid w:val="00597BF5"/>
    <w:rsid w:val="005A0D01"/>
    <w:rsid w:val="005A5A08"/>
    <w:rsid w:val="005A5DE5"/>
    <w:rsid w:val="005A6526"/>
    <w:rsid w:val="005A7B9C"/>
    <w:rsid w:val="005B366D"/>
    <w:rsid w:val="005B6871"/>
    <w:rsid w:val="005B7444"/>
    <w:rsid w:val="005C0E5D"/>
    <w:rsid w:val="005C0F9F"/>
    <w:rsid w:val="005C16BE"/>
    <w:rsid w:val="005C3764"/>
    <w:rsid w:val="005C5406"/>
    <w:rsid w:val="005C7817"/>
    <w:rsid w:val="005D323F"/>
    <w:rsid w:val="005E286D"/>
    <w:rsid w:val="005E51EE"/>
    <w:rsid w:val="005E5880"/>
    <w:rsid w:val="005F1F2B"/>
    <w:rsid w:val="005F2AB3"/>
    <w:rsid w:val="005F3559"/>
    <w:rsid w:val="005F7A43"/>
    <w:rsid w:val="00600953"/>
    <w:rsid w:val="00603609"/>
    <w:rsid w:val="00604E46"/>
    <w:rsid w:val="00605AD5"/>
    <w:rsid w:val="00605F6A"/>
    <w:rsid w:val="0060621D"/>
    <w:rsid w:val="00611D76"/>
    <w:rsid w:val="00614745"/>
    <w:rsid w:val="00624E11"/>
    <w:rsid w:val="00626944"/>
    <w:rsid w:val="006334B0"/>
    <w:rsid w:val="00642E6E"/>
    <w:rsid w:val="00643867"/>
    <w:rsid w:val="00646A53"/>
    <w:rsid w:val="00650AD6"/>
    <w:rsid w:val="00652072"/>
    <w:rsid w:val="00660306"/>
    <w:rsid w:val="00663A28"/>
    <w:rsid w:val="00664FFB"/>
    <w:rsid w:val="00667638"/>
    <w:rsid w:val="00667B7E"/>
    <w:rsid w:val="006715C6"/>
    <w:rsid w:val="00673750"/>
    <w:rsid w:val="00675F13"/>
    <w:rsid w:val="00676258"/>
    <w:rsid w:val="00681B15"/>
    <w:rsid w:val="00686F74"/>
    <w:rsid w:val="00690AFD"/>
    <w:rsid w:val="006918D5"/>
    <w:rsid w:val="00691F26"/>
    <w:rsid w:val="0069564A"/>
    <w:rsid w:val="00695DCC"/>
    <w:rsid w:val="006963E0"/>
    <w:rsid w:val="006A08DB"/>
    <w:rsid w:val="006A36C1"/>
    <w:rsid w:val="006A6742"/>
    <w:rsid w:val="006A6F60"/>
    <w:rsid w:val="006B2265"/>
    <w:rsid w:val="006B7BFB"/>
    <w:rsid w:val="006C581E"/>
    <w:rsid w:val="006C6D79"/>
    <w:rsid w:val="006D1693"/>
    <w:rsid w:val="006D5461"/>
    <w:rsid w:val="006D7B0D"/>
    <w:rsid w:val="006E01FC"/>
    <w:rsid w:val="006E20C8"/>
    <w:rsid w:val="006E787C"/>
    <w:rsid w:val="006E7B41"/>
    <w:rsid w:val="006F6CBB"/>
    <w:rsid w:val="0070221D"/>
    <w:rsid w:val="00702555"/>
    <w:rsid w:val="00703391"/>
    <w:rsid w:val="007045CA"/>
    <w:rsid w:val="00706A29"/>
    <w:rsid w:val="007111E5"/>
    <w:rsid w:val="007124F9"/>
    <w:rsid w:val="007130AD"/>
    <w:rsid w:val="00713B0E"/>
    <w:rsid w:val="0071730B"/>
    <w:rsid w:val="007238B8"/>
    <w:rsid w:val="00723FF7"/>
    <w:rsid w:val="0072661E"/>
    <w:rsid w:val="0072711C"/>
    <w:rsid w:val="007452C8"/>
    <w:rsid w:val="0074728A"/>
    <w:rsid w:val="00747FE1"/>
    <w:rsid w:val="00751745"/>
    <w:rsid w:val="00752DDB"/>
    <w:rsid w:val="00753C32"/>
    <w:rsid w:val="0075513D"/>
    <w:rsid w:val="00763D4E"/>
    <w:rsid w:val="00771FA4"/>
    <w:rsid w:val="007748AA"/>
    <w:rsid w:val="00774E37"/>
    <w:rsid w:val="00775C0F"/>
    <w:rsid w:val="00777FBF"/>
    <w:rsid w:val="00780312"/>
    <w:rsid w:val="007833E9"/>
    <w:rsid w:val="0078391E"/>
    <w:rsid w:val="0078549C"/>
    <w:rsid w:val="0078767A"/>
    <w:rsid w:val="0079121D"/>
    <w:rsid w:val="0079604B"/>
    <w:rsid w:val="007A0917"/>
    <w:rsid w:val="007A3C9F"/>
    <w:rsid w:val="007A3F59"/>
    <w:rsid w:val="007B0DD3"/>
    <w:rsid w:val="007B5DFB"/>
    <w:rsid w:val="007B71C2"/>
    <w:rsid w:val="007B731A"/>
    <w:rsid w:val="007C3D91"/>
    <w:rsid w:val="007C7005"/>
    <w:rsid w:val="007D3990"/>
    <w:rsid w:val="007D5192"/>
    <w:rsid w:val="007D6D08"/>
    <w:rsid w:val="007E09BF"/>
    <w:rsid w:val="007E0D67"/>
    <w:rsid w:val="007E234B"/>
    <w:rsid w:val="007E56D6"/>
    <w:rsid w:val="007F6087"/>
    <w:rsid w:val="007F63FF"/>
    <w:rsid w:val="00805DAB"/>
    <w:rsid w:val="00810190"/>
    <w:rsid w:val="00812A5F"/>
    <w:rsid w:val="00813D3C"/>
    <w:rsid w:val="00816F48"/>
    <w:rsid w:val="008206C0"/>
    <w:rsid w:val="008224DC"/>
    <w:rsid w:val="00824008"/>
    <w:rsid w:val="008260E5"/>
    <w:rsid w:val="00826C24"/>
    <w:rsid w:val="00830385"/>
    <w:rsid w:val="0083172D"/>
    <w:rsid w:val="00840987"/>
    <w:rsid w:val="00841CA4"/>
    <w:rsid w:val="008462AB"/>
    <w:rsid w:val="00847D55"/>
    <w:rsid w:val="00856E15"/>
    <w:rsid w:val="00862FAF"/>
    <w:rsid w:val="00873652"/>
    <w:rsid w:val="008761AE"/>
    <w:rsid w:val="008764C3"/>
    <w:rsid w:val="00880B8E"/>
    <w:rsid w:val="00881257"/>
    <w:rsid w:val="0088177D"/>
    <w:rsid w:val="00881D17"/>
    <w:rsid w:val="008826D1"/>
    <w:rsid w:val="008845AE"/>
    <w:rsid w:val="00891102"/>
    <w:rsid w:val="0089124D"/>
    <w:rsid w:val="008970CA"/>
    <w:rsid w:val="008A0770"/>
    <w:rsid w:val="008A19F7"/>
    <w:rsid w:val="008A3CE2"/>
    <w:rsid w:val="008A521C"/>
    <w:rsid w:val="008B5A7F"/>
    <w:rsid w:val="008B6B54"/>
    <w:rsid w:val="008C0518"/>
    <w:rsid w:val="008C480B"/>
    <w:rsid w:val="008D6316"/>
    <w:rsid w:val="008D640D"/>
    <w:rsid w:val="008D6E06"/>
    <w:rsid w:val="008E2F1E"/>
    <w:rsid w:val="008E3D8E"/>
    <w:rsid w:val="008E4B9E"/>
    <w:rsid w:val="008E6B31"/>
    <w:rsid w:val="0090101C"/>
    <w:rsid w:val="00901CBD"/>
    <w:rsid w:val="00902699"/>
    <w:rsid w:val="00904DFA"/>
    <w:rsid w:val="00910282"/>
    <w:rsid w:val="009117B9"/>
    <w:rsid w:val="00912A6E"/>
    <w:rsid w:val="00914B8E"/>
    <w:rsid w:val="00914BE5"/>
    <w:rsid w:val="00915492"/>
    <w:rsid w:val="00922CD5"/>
    <w:rsid w:val="0093209B"/>
    <w:rsid w:val="0093473E"/>
    <w:rsid w:val="00935EC4"/>
    <w:rsid w:val="009456FA"/>
    <w:rsid w:val="00950867"/>
    <w:rsid w:val="00950BB6"/>
    <w:rsid w:val="009529A0"/>
    <w:rsid w:val="00956F7D"/>
    <w:rsid w:val="009614EE"/>
    <w:rsid w:val="00961F88"/>
    <w:rsid w:val="00962122"/>
    <w:rsid w:val="0096381E"/>
    <w:rsid w:val="00964CAE"/>
    <w:rsid w:val="0097185B"/>
    <w:rsid w:val="00971AB8"/>
    <w:rsid w:val="00973F84"/>
    <w:rsid w:val="009761CC"/>
    <w:rsid w:val="00977CF0"/>
    <w:rsid w:val="00977EFA"/>
    <w:rsid w:val="009850B9"/>
    <w:rsid w:val="009916D5"/>
    <w:rsid w:val="00991DC0"/>
    <w:rsid w:val="0099390B"/>
    <w:rsid w:val="0099548F"/>
    <w:rsid w:val="009972DC"/>
    <w:rsid w:val="00997B55"/>
    <w:rsid w:val="009A3220"/>
    <w:rsid w:val="009A3E3B"/>
    <w:rsid w:val="009A586B"/>
    <w:rsid w:val="009A624C"/>
    <w:rsid w:val="009B3D1C"/>
    <w:rsid w:val="009B3FD5"/>
    <w:rsid w:val="009B79C5"/>
    <w:rsid w:val="009C2088"/>
    <w:rsid w:val="009C2C24"/>
    <w:rsid w:val="009C32F6"/>
    <w:rsid w:val="009C570E"/>
    <w:rsid w:val="009C75F6"/>
    <w:rsid w:val="009C7CE1"/>
    <w:rsid w:val="009E01E4"/>
    <w:rsid w:val="009E3DCF"/>
    <w:rsid w:val="009E6A49"/>
    <w:rsid w:val="009F189F"/>
    <w:rsid w:val="009F19FB"/>
    <w:rsid w:val="009F4381"/>
    <w:rsid w:val="009F523F"/>
    <w:rsid w:val="00A01AED"/>
    <w:rsid w:val="00A04421"/>
    <w:rsid w:val="00A04D70"/>
    <w:rsid w:val="00A071F0"/>
    <w:rsid w:val="00A0751F"/>
    <w:rsid w:val="00A10094"/>
    <w:rsid w:val="00A10286"/>
    <w:rsid w:val="00A13FD7"/>
    <w:rsid w:val="00A176BE"/>
    <w:rsid w:val="00A300D9"/>
    <w:rsid w:val="00A33010"/>
    <w:rsid w:val="00A33B1F"/>
    <w:rsid w:val="00A34484"/>
    <w:rsid w:val="00A36081"/>
    <w:rsid w:val="00A372B6"/>
    <w:rsid w:val="00A43454"/>
    <w:rsid w:val="00A43D14"/>
    <w:rsid w:val="00A52E93"/>
    <w:rsid w:val="00A547BC"/>
    <w:rsid w:val="00A55B33"/>
    <w:rsid w:val="00A607B7"/>
    <w:rsid w:val="00A61D35"/>
    <w:rsid w:val="00A636D3"/>
    <w:rsid w:val="00A645C8"/>
    <w:rsid w:val="00A67806"/>
    <w:rsid w:val="00A72D56"/>
    <w:rsid w:val="00A80EC1"/>
    <w:rsid w:val="00A843C2"/>
    <w:rsid w:val="00A84CC9"/>
    <w:rsid w:val="00A86521"/>
    <w:rsid w:val="00A931EE"/>
    <w:rsid w:val="00A9511C"/>
    <w:rsid w:val="00AA0BC3"/>
    <w:rsid w:val="00AA0D7C"/>
    <w:rsid w:val="00AA32A6"/>
    <w:rsid w:val="00AA39E8"/>
    <w:rsid w:val="00AA504F"/>
    <w:rsid w:val="00AB1308"/>
    <w:rsid w:val="00AB3780"/>
    <w:rsid w:val="00AB4B1F"/>
    <w:rsid w:val="00AB7BEB"/>
    <w:rsid w:val="00AC5450"/>
    <w:rsid w:val="00AD6064"/>
    <w:rsid w:val="00AD7201"/>
    <w:rsid w:val="00AE17BB"/>
    <w:rsid w:val="00AE32C8"/>
    <w:rsid w:val="00AE3D9F"/>
    <w:rsid w:val="00AE4D85"/>
    <w:rsid w:val="00AF0BAF"/>
    <w:rsid w:val="00AF1EC9"/>
    <w:rsid w:val="00AF24B4"/>
    <w:rsid w:val="00AF4875"/>
    <w:rsid w:val="00B017FD"/>
    <w:rsid w:val="00B03D01"/>
    <w:rsid w:val="00B0598D"/>
    <w:rsid w:val="00B07C27"/>
    <w:rsid w:val="00B130E1"/>
    <w:rsid w:val="00B144AD"/>
    <w:rsid w:val="00B16CE8"/>
    <w:rsid w:val="00B2330D"/>
    <w:rsid w:val="00B26BCC"/>
    <w:rsid w:val="00B3012F"/>
    <w:rsid w:val="00B31F96"/>
    <w:rsid w:val="00B337D7"/>
    <w:rsid w:val="00B3730B"/>
    <w:rsid w:val="00B37C7A"/>
    <w:rsid w:val="00B40DFB"/>
    <w:rsid w:val="00B41849"/>
    <w:rsid w:val="00B41BCD"/>
    <w:rsid w:val="00B44A4F"/>
    <w:rsid w:val="00B4703D"/>
    <w:rsid w:val="00B51134"/>
    <w:rsid w:val="00B51F25"/>
    <w:rsid w:val="00B54B3F"/>
    <w:rsid w:val="00B60AD3"/>
    <w:rsid w:val="00B66288"/>
    <w:rsid w:val="00B674B3"/>
    <w:rsid w:val="00B67EE8"/>
    <w:rsid w:val="00B71B5E"/>
    <w:rsid w:val="00B71D01"/>
    <w:rsid w:val="00B72648"/>
    <w:rsid w:val="00B755FA"/>
    <w:rsid w:val="00B76278"/>
    <w:rsid w:val="00B770C7"/>
    <w:rsid w:val="00B77B86"/>
    <w:rsid w:val="00B8053C"/>
    <w:rsid w:val="00B81308"/>
    <w:rsid w:val="00B829EE"/>
    <w:rsid w:val="00B8449C"/>
    <w:rsid w:val="00B851DB"/>
    <w:rsid w:val="00B8583D"/>
    <w:rsid w:val="00B86EAE"/>
    <w:rsid w:val="00B87BAC"/>
    <w:rsid w:val="00B909C0"/>
    <w:rsid w:val="00B92753"/>
    <w:rsid w:val="00B928D8"/>
    <w:rsid w:val="00B9325F"/>
    <w:rsid w:val="00B93873"/>
    <w:rsid w:val="00B955C9"/>
    <w:rsid w:val="00BA04A3"/>
    <w:rsid w:val="00BA065A"/>
    <w:rsid w:val="00BA5608"/>
    <w:rsid w:val="00BA59F0"/>
    <w:rsid w:val="00BA655F"/>
    <w:rsid w:val="00BA6F57"/>
    <w:rsid w:val="00BA74AE"/>
    <w:rsid w:val="00BB3241"/>
    <w:rsid w:val="00BC03DE"/>
    <w:rsid w:val="00BC0D09"/>
    <w:rsid w:val="00BC181E"/>
    <w:rsid w:val="00BC4062"/>
    <w:rsid w:val="00BC4FDA"/>
    <w:rsid w:val="00BC6594"/>
    <w:rsid w:val="00BC6C88"/>
    <w:rsid w:val="00BD4630"/>
    <w:rsid w:val="00BD58D4"/>
    <w:rsid w:val="00BD5BE8"/>
    <w:rsid w:val="00BD7C67"/>
    <w:rsid w:val="00BE172E"/>
    <w:rsid w:val="00BE2016"/>
    <w:rsid w:val="00BE3C01"/>
    <w:rsid w:val="00BE4F37"/>
    <w:rsid w:val="00BE61E5"/>
    <w:rsid w:val="00BE7832"/>
    <w:rsid w:val="00BF0C4C"/>
    <w:rsid w:val="00BF0E79"/>
    <w:rsid w:val="00BF12BD"/>
    <w:rsid w:val="00C0324D"/>
    <w:rsid w:val="00C046E1"/>
    <w:rsid w:val="00C11FCB"/>
    <w:rsid w:val="00C13569"/>
    <w:rsid w:val="00C151B5"/>
    <w:rsid w:val="00C16683"/>
    <w:rsid w:val="00C16DCE"/>
    <w:rsid w:val="00C21981"/>
    <w:rsid w:val="00C27EB7"/>
    <w:rsid w:val="00C32308"/>
    <w:rsid w:val="00C32ACC"/>
    <w:rsid w:val="00C32C13"/>
    <w:rsid w:val="00C36C5F"/>
    <w:rsid w:val="00C370AF"/>
    <w:rsid w:val="00C4286D"/>
    <w:rsid w:val="00C45D20"/>
    <w:rsid w:val="00C477DC"/>
    <w:rsid w:val="00C47F6B"/>
    <w:rsid w:val="00C5004A"/>
    <w:rsid w:val="00C5208E"/>
    <w:rsid w:val="00C53791"/>
    <w:rsid w:val="00C54C75"/>
    <w:rsid w:val="00C55C74"/>
    <w:rsid w:val="00C576D4"/>
    <w:rsid w:val="00C5787C"/>
    <w:rsid w:val="00C621AA"/>
    <w:rsid w:val="00C662F6"/>
    <w:rsid w:val="00C67D32"/>
    <w:rsid w:val="00C726B4"/>
    <w:rsid w:val="00C733E8"/>
    <w:rsid w:val="00C73411"/>
    <w:rsid w:val="00C74C12"/>
    <w:rsid w:val="00C75F29"/>
    <w:rsid w:val="00C81A8B"/>
    <w:rsid w:val="00C838F0"/>
    <w:rsid w:val="00C8415E"/>
    <w:rsid w:val="00C86BDA"/>
    <w:rsid w:val="00C87233"/>
    <w:rsid w:val="00C93AB4"/>
    <w:rsid w:val="00C94827"/>
    <w:rsid w:val="00C94E02"/>
    <w:rsid w:val="00C960DB"/>
    <w:rsid w:val="00C97441"/>
    <w:rsid w:val="00CA131E"/>
    <w:rsid w:val="00CA1428"/>
    <w:rsid w:val="00CA23D0"/>
    <w:rsid w:val="00CA482B"/>
    <w:rsid w:val="00CB07EB"/>
    <w:rsid w:val="00CB3F2F"/>
    <w:rsid w:val="00CB5438"/>
    <w:rsid w:val="00CB7932"/>
    <w:rsid w:val="00CC1E28"/>
    <w:rsid w:val="00CC368B"/>
    <w:rsid w:val="00CC70A2"/>
    <w:rsid w:val="00CD49A3"/>
    <w:rsid w:val="00CD5566"/>
    <w:rsid w:val="00CE1EE7"/>
    <w:rsid w:val="00CE1EF0"/>
    <w:rsid w:val="00CE23FD"/>
    <w:rsid w:val="00CE2B2F"/>
    <w:rsid w:val="00CE3883"/>
    <w:rsid w:val="00CE7938"/>
    <w:rsid w:val="00CF3227"/>
    <w:rsid w:val="00CF5993"/>
    <w:rsid w:val="00D00074"/>
    <w:rsid w:val="00D005C5"/>
    <w:rsid w:val="00D029D1"/>
    <w:rsid w:val="00D04534"/>
    <w:rsid w:val="00D127E6"/>
    <w:rsid w:val="00D15867"/>
    <w:rsid w:val="00D17ACB"/>
    <w:rsid w:val="00D224F0"/>
    <w:rsid w:val="00D232E3"/>
    <w:rsid w:val="00D23B79"/>
    <w:rsid w:val="00D2428B"/>
    <w:rsid w:val="00D26605"/>
    <w:rsid w:val="00D27750"/>
    <w:rsid w:val="00D310B1"/>
    <w:rsid w:val="00D365D7"/>
    <w:rsid w:val="00D366D8"/>
    <w:rsid w:val="00D4041C"/>
    <w:rsid w:val="00D42791"/>
    <w:rsid w:val="00D44AF3"/>
    <w:rsid w:val="00D554B2"/>
    <w:rsid w:val="00D571E1"/>
    <w:rsid w:val="00D57205"/>
    <w:rsid w:val="00D62553"/>
    <w:rsid w:val="00D62929"/>
    <w:rsid w:val="00D71F86"/>
    <w:rsid w:val="00D72426"/>
    <w:rsid w:val="00D74AAC"/>
    <w:rsid w:val="00D74C28"/>
    <w:rsid w:val="00D819F5"/>
    <w:rsid w:val="00D82539"/>
    <w:rsid w:val="00D82D30"/>
    <w:rsid w:val="00D837D6"/>
    <w:rsid w:val="00D84951"/>
    <w:rsid w:val="00D86B41"/>
    <w:rsid w:val="00D90512"/>
    <w:rsid w:val="00D91495"/>
    <w:rsid w:val="00D936F7"/>
    <w:rsid w:val="00DA0D22"/>
    <w:rsid w:val="00DA4C10"/>
    <w:rsid w:val="00DA547D"/>
    <w:rsid w:val="00DB14E9"/>
    <w:rsid w:val="00DB22C0"/>
    <w:rsid w:val="00DB5D3F"/>
    <w:rsid w:val="00DB5F72"/>
    <w:rsid w:val="00DB6196"/>
    <w:rsid w:val="00DC07CA"/>
    <w:rsid w:val="00DC1D82"/>
    <w:rsid w:val="00DC2B88"/>
    <w:rsid w:val="00DC2EB8"/>
    <w:rsid w:val="00DC405F"/>
    <w:rsid w:val="00DC4253"/>
    <w:rsid w:val="00DC724F"/>
    <w:rsid w:val="00DD0BDA"/>
    <w:rsid w:val="00DD4FC7"/>
    <w:rsid w:val="00DD577B"/>
    <w:rsid w:val="00DD59BC"/>
    <w:rsid w:val="00DD6173"/>
    <w:rsid w:val="00DE0FF9"/>
    <w:rsid w:val="00DE21AF"/>
    <w:rsid w:val="00DE6B3A"/>
    <w:rsid w:val="00DF16F2"/>
    <w:rsid w:val="00DF3221"/>
    <w:rsid w:val="00DF51B1"/>
    <w:rsid w:val="00E03FDE"/>
    <w:rsid w:val="00E135D7"/>
    <w:rsid w:val="00E13FA0"/>
    <w:rsid w:val="00E1731C"/>
    <w:rsid w:val="00E20489"/>
    <w:rsid w:val="00E20AE8"/>
    <w:rsid w:val="00E23D29"/>
    <w:rsid w:val="00E32BBC"/>
    <w:rsid w:val="00E35E42"/>
    <w:rsid w:val="00E366B4"/>
    <w:rsid w:val="00E443E4"/>
    <w:rsid w:val="00E4558A"/>
    <w:rsid w:val="00E5190A"/>
    <w:rsid w:val="00E54858"/>
    <w:rsid w:val="00E5604D"/>
    <w:rsid w:val="00E61488"/>
    <w:rsid w:val="00E61721"/>
    <w:rsid w:val="00E62692"/>
    <w:rsid w:val="00E647FD"/>
    <w:rsid w:val="00E65B98"/>
    <w:rsid w:val="00E65E78"/>
    <w:rsid w:val="00E66783"/>
    <w:rsid w:val="00E675D6"/>
    <w:rsid w:val="00E76C43"/>
    <w:rsid w:val="00E81CEA"/>
    <w:rsid w:val="00E82214"/>
    <w:rsid w:val="00E922D9"/>
    <w:rsid w:val="00E93EEC"/>
    <w:rsid w:val="00E950F3"/>
    <w:rsid w:val="00EA2AB7"/>
    <w:rsid w:val="00EA5028"/>
    <w:rsid w:val="00EA781E"/>
    <w:rsid w:val="00EB0665"/>
    <w:rsid w:val="00EB347E"/>
    <w:rsid w:val="00EB487A"/>
    <w:rsid w:val="00EC031A"/>
    <w:rsid w:val="00EC45A0"/>
    <w:rsid w:val="00EC5EFB"/>
    <w:rsid w:val="00EC739B"/>
    <w:rsid w:val="00EC7A6F"/>
    <w:rsid w:val="00EC7ED9"/>
    <w:rsid w:val="00ED3379"/>
    <w:rsid w:val="00ED40EB"/>
    <w:rsid w:val="00ED5897"/>
    <w:rsid w:val="00ED7495"/>
    <w:rsid w:val="00EE07EC"/>
    <w:rsid w:val="00EE3304"/>
    <w:rsid w:val="00EE661F"/>
    <w:rsid w:val="00EF1BBC"/>
    <w:rsid w:val="00EF22D6"/>
    <w:rsid w:val="00EF2880"/>
    <w:rsid w:val="00EF794E"/>
    <w:rsid w:val="00F01338"/>
    <w:rsid w:val="00F0208B"/>
    <w:rsid w:val="00F03CF1"/>
    <w:rsid w:val="00F040B0"/>
    <w:rsid w:val="00F05C46"/>
    <w:rsid w:val="00F11260"/>
    <w:rsid w:val="00F14DB2"/>
    <w:rsid w:val="00F17F11"/>
    <w:rsid w:val="00F17F8F"/>
    <w:rsid w:val="00F21789"/>
    <w:rsid w:val="00F21E7E"/>
    <w:rsid w:val="00F21FF4"/>
    <w:rsid w:val="00F23FA9"/>
    <w:rsid w:val="00F24F70"/>
    <w:rsid w:val="00F24FEF"/>
    <w:rsid w:val="00F2553C"/>
    <w:rsid w:val="00F2619B"/>
    <w:rsid w:val="00F33729"/>
    <w:rsid w:val="00F33BC7"/>
    <w:rsid w:val="00F41470"/>
    <w:rsid w:val="00F533B1"/>
    <w:rsid w:val="00F55208"/>
    <w:rsid w:val="00F56F54"/>
    <w:rsid w:val="00F6124E"/>
    <w:rsid w:val="00F62FFD"/>
    <w:rsid w:val="00F645A1"/>
    <w:rsid w:val="00F70F5A"/>
    <w:rsid w:val="00F730F7"/>
    <w:rsid w:val="00F733A6"/>
    <w:rsid w:val="00F74D42"/>
    <w:rsid w:val="00F80777"/>
    <w:rsid w:val="00F87B14"/>
    <w:rsid w:val="00F87B1E"/>
    <w:rsid w:val="00F90A2E"/>
    <w:rsid w:val="00F914DD"/>
    <w:rsid w:val="00F92D1B"/>
    <w:rsid w:val="00F92F25"/>
    <w:rsid w:val="00F93908"/>
    <w:rsid w:val="00F95A9E"/>
    <w:rsid w:val="00F97E1F"/>
    <w:rsid w:val="00FA4E33"/>
    <w:rsid w:val="00FA7152"/>
    <w:rsid w:val="00FB60EC"/>
    <w:rsid w:val="00FC363A"/>
    <w:rsid w:val="00FD29E0"/>
    <w:rsid w:val="00FD3440"/>
    <w:rsid w:val="00FD4779"/>
    <w:rsid w:val="00FD663F"/>
    <w:rsid w:val="00FE1CE8"/>
    <w:rsid w:val="00FE2F86"/>
    <w:rsid w:val="00FE3750"/>
    <w:rsid w:val="00FE4D60"/>
    <w:rsid w:val="00FE79A9"/>
    <w:rsid w:val="00FF19CD"/>
    <w:rsid w:val="00FF405D"/>
    <w:rsid w:val="00FF5308"/>
    <w:rsid w:val="00FF6511"/>
    <w:rsid w:val="00FF71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CFDFA"/>
  <w15:chartTrackingRefBased/>
  <w15:docId w15:val="{F8F8F802-98D0-491A-9D1C-C705267B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214"/>
  </w:style>
  <w:style w:type="paragraph" w:styleId="Ttulo1">
    <w:name w:val="heading 1"/>
    <w:basedOn w:val="Ttulo2"/>
    <w:next w:val="Normal"/>
    <w:link w:val="Ttulo1Car"/>
    <w:uiPriority w:val="9"/>
    <w:qFormat/>
    <w:rsid w:val="0093209B"/>
    <w:pPr>
      <w:keepNext w:val="0"/>
      <w:keepLines w:val="0"/>
      <w:spacing w:after="60" w:line="259" w:lineRule="auto"/>
      <w:contextualSpacing w:val="0"/>
      <w:outlineLvl w:val="0"/>
    </w:pPr>
    <w:rPr>
      <w:rFonts w:asciiTheme="minorHAnsi" w:eastAsiaTheme="minorHAnsi" w:hAnsiTheme="minorHAnsi" w:cstheme="minorBidi"/>
      <w:b/>
      <w:sz w:val="28"/>
    </w:rPr>
  </w:style>
  <w:style w:type="paragraph" w:styleId="Ttulo2">
    <w:name w:val="heading 2"/>
    <w:aliases w:val="l2,h2,título 2"/>
    <w:basedOn w:val="Normal"/>
    <w:next w:val="Normal"/>
    <w:link w:val="Ttulo2Car"/>
    <w:uiPriority w:val="9"/>
    <w:unhideWhenUsed/>
    <w:qFormat/>
    <w:rsid w:val="00AA0D7C"/>
    <w:pPr>
      <w:keepNext/>
      <w:keepLines/>
      <w:spacing w:after="120" w:line="240" w:lineRule="auto"/>
      <w:contextualSpacing/>
      <w:outlineLvl w:val="1"/>
    </w:pPr>
    <w:rPr>
      <w:rFonts w:asciiTheme="majorHAnsi" w:eastAsiaTheme="majorEastAsia" w:hAnsiTheme="majorHAnsi" w:cs="Arial"/>
      <w:color w:val="70AD47" w:themeColor="accent6"/>
      <w:sz w:val="24"/>
    </w:rPr>
  </w:style>
  <w:style w:type="paragraph" w:styleId="Ttulo3">
    <w:name w:val="heading 3"/>
    <w:basedOn w:val="Normal"/>
    <w:next w:val="Normal"/>
    <w:link w:val="Ttulo3Car"/>
    <w:uiPriority w:val="9"/>
    <w:unhideWhenUsed/>
    <w:qFormat/>
    <w:rsid w:val="009320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2">
    <w:name w:val="toc 2"/>
    <w:basedOn w:val="Normal"/>
    <w:next w:val="Normal"/>
    <w:autoRedefine/>
    <w:uiPriority w:val="39"/>
    <w:unhideWhenUsed/>
    <w:rsid w:val="00E82214"/>
    <w:pPr>
      <w:spacing w:after="100"/>
      <w:ind w:left="220"/>
    </w:pPr>
  </w:style>
  <w:style w:type="character" w:styleId="Hipervnculo">
    <w:name w:val="Hyperlink"/>
    <w:basedOn w:val="Fuentedeprrafopredeter"/>
    <w:uiPriority w:val="99"/>
    <w:unhideWhenUsed/>
    <w:rsid w:val="00E82214"/>
    <w:rPr>
      <w:color w:val="0563C1" w:themeColor="hyperlink"/>
      <w:u w:val="single"/>
    </w:rPr>
  </w:style>
  <w:style w:type="paragraph" w:styleId="Sinespaciado">
    <w:name w:val="No Spacing"/>
    <w:link w:val="SinespaciadoCar"/>
    <w:uiPriority w:val="1"/>
    <w:qFormat/>
    <w:rsid w:val="00E82214"/>
    <w:pPr>
      <w:spacing w:after="0" w:line="240" w:lineRule="auto"/>
    </w:pPr>
  </w:style>
  <w:style w:type="character" w:customStyle="1" w:styleId="Ttulo2Car">
    <w:name w:val="Título 2 Car"/>
    <w:aliases w:val="l2 Car,h2 Car,título 2 Car"/>
    <w:basedOn w:val="Fuentedeprrafopredeter"/>
    <w:link w:val="Ttulo2"/>
    <w:uiPriority w:val="9"/>
    <w:rsid w:val="00AA0D7C"/>
    <w:rPr>
      <w:rFonts w:asciiTheme="majorHAnsi" w:eastAsiaTheme="majorEastAsia" w:hAnsiTheme="majorHAnsi" w:cs="Arial"/>
      <w:color w:val="70AD47" w:themeColor="accent6"/>
      <w:sz w:val="24"/>
    </w:rPr>
  </w:style>
  <w:style w:type="character" w:customStyle="1" w:styleId="Ttulo3Car">
    <w:name w:val="Título 3 Car"/>
    <w:basedOn w:val="Fuentedeprrafopredeter"/>
    <w:link w:val="Ttulo3"/>
    <w:uiPriority w:val="9"/>
    <w:rsid w:val="0093209B"/>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link w:val="PrrafodelistaCar"/>
    <w:uiPriority w:val="34"/>
    <w:qFormat/>
    <w:rsid w:val="0093209B"/>
    <w:pPr>
      <w:ind w:left="720"/>
      <w:contextualSpacing/>
    </w:pPr>
  </w:style>
  <w:style w:type="character" w:customStyle="1" w:styleId="Ttulo1Car">
    <w:name w:val="Título 1 Car"/>
    <w:basedOn w:val="Fuentedeprrafopredeter"/>
    <w:link w:val="Ttulo1"/>
    <w:uiPriority w:val="9"/>
    <w:rsid w:val="0093209B"/>
    <w:rPr>
      <w:b/>
      <w:color w:val="70AD47" w:themeColor="accent6"/>
      <w:sz w:val="28"/>
    </w:rPr>
  </w:style>
  <w:style w:type="paragraph" w:styleId="TDC1">
    <w:name w:val="toc 1"/>
    <w:basedOn w:val="Normal"/>
    <w:next w:val="Normal"/>
    <w:autoRedefine/>
    <w:uiPriority w:val="39"/>
    <w:unhideWhenUsed/>
    <w:rsid w:val="0093209B"/>
    <w:pPr>
      <w:spacing w:after="100"/>
    </w:pPr>
  </w:style>
  <w:style w:type="paragraph" w:styleId="TDC3">
    <w:name w:val="toc 3"/>
    <w:basedOn w:val="Normal"/>
    <w:next w:val="Normal"/>
    <w:autoRedefine/>
    <w:uiPriority w:val="39"/>
    <w:unhideWhenUsed/>
    <w:rsid w:val="0093209B"/>
    <w:pPr>
      <w:spacing w:after="100"/>
      <w:ind w:left="440"/>
    </w:pPr>
  </w:style>
  <w:style w:type="character" w:styleId="nfasis">
    <w:name w:val="Emphasis"/>
    <w:basedOn w:val="Fuentedeprrafopredeter"/>
    <w:uiPriority w:val="20"/>
    <w:qFormat/>
    <w:rsid w:val="0034211B"/>
    <w:rPr>
      <w:i/>
      <w:iCs/>
    </w:rPr>
  </w:style>
  <w:style w:type="character" w:customStyle="1" w:styleId="PrrafodelistaCar">
    <w:name w:val="Párrafo de lista Car"/>
    <w:link w:val="Prrafodelista"/>
    <w:uiPriority w:val="34"/>
    <w:locked/>
    <w:rsid w:val="0034211B"/>
  </w:style>
  <w:style w:type="table" w:styleId="Tablaconcuadrcula">
    <w:name w:val="Table Grid"/>
    <w:basedOn w:val="Tablanormal"/>
    <w:uiPriority w:val="39"/>
    <w:rsid w:val="00342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34211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4211B"/>
    <w:rPr>
      <w:rFonts w:ascii="Arial" w:eastAsia="Times New Roman" w:hAnsi="Arial" w:cs="Arial"/>
      <w:sz w:val="18"/>
      <w:szCs w:val="20"/>
      <w:lang w:val="es-ES" w:eastAsia="es-ES"/>
    </w:rPr>
  </w:style>
  <w:style w:type="paragraph" w:styleId="Descripcin">
    <w:name w:val="caption"/>
    <w:basedOn w:val="Normal"/>
    <w:next w:val="Normal"/>
    <w:uiPriority w:val="35"/>
    <w:unhideWhenUsed/>
    <w:qFormat/>
    <w:rsid w:val="0034211B"/>
    <w:pPr>
      <w:spacing w:after="200" w:line="240" w:lineRule="auto"/>
      <w:jc w:val="both"/>
    </w:pPr>
    <w:rPr>
      <w:rFonts w:ascii="Arial" w:eastAsia="Times New Roman" w:hAnsi="Arial" w:cs="Times New Roman"/>
      <w:b/>
      <w:bCs/>
      <w:color w:val="5B9BD5" w:themeColor="accent1"/>
      <w:sz w:val="18"/>
      <w:szCs w:val="18"/>
      <w:lang w:eastAsia="es-ES"/>
    </w:rPr>
  </w:style>
  <w:style w:type="paragraph" w:customStyle="1" w:styleId="Default">
    <w:name w:val="Default"/>
    <w:rsid w:val="004D001E"/>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BA6F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F57"/>
  </w:style>
  <w:style w:type="paragraph" w:styleId="Piedepgina">
    <w:name w:val="footer"/>
    <w:basedOn w:val="Normal"/>
    <w:link w:val="PiedepginaCar"/>
    <w:uiPriority w:val="99"/>
    <w:unhideWhenUsed/>
    <w:rsid w:val="00BA6F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6F57"/>
  </w:style>
  <w:style w:type="character" w:styleId="Nmerodepgina">
    <w:name w:val="page number"/>
    <w:basedOn w:val="Fuentedeprrafopredeter"/>
    <w:uiPriority w:val="99"/>
    <w:semiHidden/>
    <w:unhideWhenUsed/>
    <w:rsid w:val="00BA6F57"/>
  </w:style>
  <w:style w:type="character" w:styleId="Hipervnculovisitado">
    <w:name w:val="FollowedHyperlink"/>
    <w:basedOn w:val="Fuentedeprrafopredeter"/>
    <w:uiPriority w:val="99"/>
    <w:semiHidden/>
    <w:unhideWhenUsed/>
    <w:rsid w:val="0010402D"/>
    <w:rPr>
      <w:color w:val="800080"/>
      <w:u w:val="single"/>
    </w:rPr>
  </w:style>
  <w:style w:type="paragraph" w:customStyle="1" w:styleId="xl63">
    <w:name w:val="xl63"/>
    <w:basedOn w:val="Normal"/>
    <w:rsid w:val="0010402D"/>
    <w:pP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64">
    <w:name w:val="xl64"/>
    <w:basedOn w:val="Normal"/>
    <w:rsid w:val="0010402D"/>
    <w:pP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65">
    <w:name w:val="xl65"/>
    <w:basedOn w:val="Normal"/>
    <w:rsid w:val="0010402D"/>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66">
    <w:name w:val="xl66"/>
    <w:basedOn w:val="Normal"/>
    <w:rsid w:val="0010402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67">
    <w:name w:val="xl67"/>
    <w:basedOn w:val="Normal"/>
    <w:rsid w:val="0010402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68">
    <w:name w:val="xl68"/>
    <w:basedOn w:val="Normal"/>
    <w:rsid w:val="0010402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69">
    <w:name w:val="xl69"/>
    <w:basedOn w:val="Normal"/>
    <w:rsid w:val="0010402D"/>
    <w:pPr>
      <w:pBdr>
        <w:left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70">
    <w:name w:val="xl70"/>
    <w:basedOn w:val="Normal"/>
    <w:rsid w:val="0010402D"/>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71">
    <w:name w:val="xl71"/>
    <w:basedOn w:val="Normal"/>
    <w:rsid w:val="0010402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72">
    <w:name w:val="xl72"/>
    <w:basedOn w:val="Normal"/>
    <w:rsid w:val="0010402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3">
    <w:name w:val="xl73"/>
    <w:basedOn w:val="Normal"/>
    <w:rsid w:val="0010402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4">
    <w:name w:val="xl74"/>
    <w:basedOn w:val="Normal"/>
    <w:rsid w:val="0010402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75">
    <w:name w:val="xl75"/>
    <w:basedOn w:val="Normal"/>
    <w:rsid w:val="0010402D"/>
    <w:pP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6">
    <w:name w:val="xl76"/>
    <w:basedOn w:val="Normal"/>
    <w:rsid w:val="0010402D"/>
    <w:pPr>
      <w:pBdr>
        <w:left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7">
    <w:name w:val="xl77"/>
    <w:basedOn w:val="Normal"/>
    <w:rsid w:val="0010402D"/>
    <w:pPr>
      <w:pBdr>
        <w:left w:val="single" w:sz="8" w:space="0" w:color="auto"/>
        <w:bottom w:val="single" w:sz="8" w:space="0" w:color="auto"/>
        <w:right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78">
    <w:name w:val="xl78"/>
    <w:basedOn w:val="Normal"/>
    <w:rsid w:val="0010402D"/>
    <w:pPr>
      <w:pBdr>
        <w:left w:val="single" w:sz="8" w:space="0" w:color="auto"/>
        <w:bottom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9">
    <w:name w:val="xl79"/>
    <w:basedOn w:val="Normal"/>
    <w:rsid w:val="0010402D"/>
    <w:pPr>
      <w:pBdr>
        <w:left w:val="single" w:sz="8" w:space="0" w:color="auto"/>
        <w:bottom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80">
    <w:name w:val="xl80"/>
    <w:basedOn w:val="Normal"/>
    <w:rsid w:val="0010402D"/>
    <w:pPr>
      <w:pBdr>
        <w:left w:val="single" w:sz="8"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1">
    <w:name w:val="xl81"/>
    <w:basedOn w:val="Normal"/>
    <w:rsid w:val="0010402D"/>
    <w:pPr>
      <w:pBdr>
        <w:left w:val="single" w:sz="8" w:space="0" w:color="auto"/>
        <w:bottom w:val="single" w:sz="8" w:space="0" w:color="auto"/>
        <w:right w:val="single" w:sz="8" w:space="0" w:color="auto"/>
      </w:pBdr>
      <w:shd w:val="clear" w:color="000000" w:fill="95B3D7"/>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82">
    <w:name w:val="xl82"/>
    <w:basedOn w:val="Normal"/>
    <w:rsid w:val="0010402D"/>
    <w:pPr>
      <w:pBdr>
        <w:left w:val="single" w:sz="8" w:space="0" w:color="auto"/>
        <w:right w:val="single" w:sz="8" w:space="0" w:color="auto"/>
      </w:pBdr>
      <w:shd w:val="clear" w:color="000000" w:fill="95B3D7"/>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83">
    <w:name w:val="xl83"/>
    <w:basedOn w:val="Normal"/>
    <w:rsid w:val="0010402D"/>
    <w:pPr>
      <w:pBdr>
        <w:left w:val="single" w:sz="8"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84">
    <w:name w:val="xl84"/>
    <w:basedOn w:val="Normal"/>
    <w:rsid w:val="0010402D"/>
    <w:pPr>
      <w:pBdr>
        <w:left w:val="single" w:sz="8"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5">
    <w:name w:val="xl85"/>
    <w:basedOn w:val="Normal"/>
    <w:rsid w:val="0010402D"/>
    <w:pPr>
      <w:pBdr>
        <w:left w:val="single" w:sz="8" w:space="0" w:color="auto"/>
        <w:bottom w:val="single" w:sz="8"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6">
    <w:name w:val="xl86"/>
    <w:basedOn w:val="Normal"/>
    <w:rsid w:val="0010402D"/>
    <w:pPr>
      <w:pBdr>
        <w:left w:val="single" w:sz="8"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7">
    <w:name w:val="xl87"/>
    <w:basedOn w:val="Normal"/>
    <w:rsid w:val="0010402D"/>
    <w:pPr>
      <w:pBdr>
        <w:left w:val="single" w:sz="8"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88">
    <w:name w:val="xl88"/>
    <w:basedOn w:val="Normal"/>
    <w:rsid w:val="0010402D"/>
    <w:pPr>
      <w:pBdr>
        <w:left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9">
    <w:name w:val="xl89"/>
    <w:basedOn w:val="Normal"/>
    <w:rsid w:val="0010402D"/>
    <w:pPr>
      <w:pBdr>
        <w:left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90">
    <w:name w:val="xl90"/>
    <w:basedOn w:val="Normal"/>
    <w:rsid w:val="0010402D"/>
    <w:pPr>
      <w:pBdr>
        <w:left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91">
    <w:name w:val="xl91"/>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92">
    <w:name w:val="xl92"/>
    <w:basedOn w:val="Normal"/>
    <w:rsid w:val="0010402D"/>
    <w:pPr>
      <w:pBdr>
        <w:left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93">
    <w:name w:val="xl93"/>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94">
    <w:name w:val="xl94"/>
    <w:basedOn w:val="Normal"/>
    <w:rsid w:val="0010402D"/>
    <w:pPr>
      <w:pBdr>
        <w:left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95">
    <w:name w:val="xl95"/>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96">
    <w:name w:val="xl96"/>
    <w:basedOn w:val="Normal"/>
    <w:rsid w:val="0010402D"/>
    <w:pPr>
      <w:pBdr>
        <w:left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97">
    <w:name w:val="xl97"/>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98">
    <w:name w:val="xl98"/>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99">
    <w:name w:val="xl99"/>
    <w:basedOn w:val="Normal"/>
    <w:rsid w:val="0010402D"/>
    <w:pPr>
      <w:pBdr>
        <w:left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0">
    <w:name w:val="xl100"/>
    <w:basedOn w:val="Normal"/>
    <w:rsid w:val="0010402D"/>
    <w:pPr>
      <w:pBdr>
        <w:left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1">
    <w:name w:val="xl101"/>
    <w:basedOn w:val="Normal"/>
    <w:rsid w:val="0010402D"/>
    <w:pPr>
      <w:pBdr>
        <w:left w:val="single" w:sz="8" w:space="0" w:color="auto"/>
        <w:right w:val="single" w:sz="8"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02">
    <w:name w:val="xl102"/>
    <w:basedOn w:val="Normal"/>
    <w:rsid w:val="0010402D"/>
    <w:pPr>
      <w:pBdr>
        <w:left w:val="single" w:sz="8" w:space="0" w:color="auto"/>
        <w:bottom w:val="single" w:sz="8" w:space="0" w:color="auto"/>
        <w:right w:val="single" w:sz="8"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03">
    <w:name w:val="xl103"/>
    <w:basedOn w:val="Normal"/>
    <w:rsid w:val="0010402D"/>
    <w:pPr>
      <w:pBdr>
        <w:left w:val="single" w:sz="8" w:space="0" w:color="auto"/>
        <w:bottom w:val="single" w:sz="8" w:space="0" w:color="auto"/>
        <w:right w:val="single" w:sz="8" w:space="0" w:color="auto"/>
      </w:pBdr>
      <w:shd w:val="clear" w:color="000000" w:fill="FABF8F"/>
      <w:spacing w:before="100" w:beforeAutospacing="1" w:after="100" w:afterAutospacing="1" w:line="240" w:lineRule="auto"/>
      <w:jc w:val="right"/>
    </w:pPr>
    <w:rPr>
      <w:rFonts w:ascii="Times New Roman" w:eastAsia="Times New Roman" w:hAnsi="Times New Roman" w:cs="Times New Roman"/>
      <w:b/>
      <w:bCs/>
      <w:sz w:val="16"/>
      <w:szCs w:val="16"/>
      <w:lang w:eastAsia="es-MX"/>
    </w:rPr>
  </w:style>
  <w:style w:type="paragraph" w:customStyle="1" w:styleId="xl104">
    <w:name w:val="xl104"/>
    <w:basedOn w:val="Normal"/>
    <w:rsid w:val="0010402D"/>
    <w:pPr>
      <w:pBdr>
        <w:left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5">
    <w:name w:val="xl105"/>
    <w:basedOn w:val="Normal"/>
    <w:rsid w:val="0010402D"/>
    <w:pPr>
      <w:pBdr>
        <w:left w:val="single" w:sz="8" w:space="0" w:color="auto"/>
        <w:bottom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6">
    <w:name w:val="xl106"/>
    <w:basedOn w:val="Normal"/>
    <w:rsid w:val="0010402D"/>
    <w:pPr>
      <w:pBdr>
        <w:left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107">
    <w:name w:val="xl107"/>
    <w:basedOn w:val="Normal"/>
    <w:rsid w:val="0010402D"/>
    <w:pPr>
      <w:pBdr>
        <w:left w:val="single" w:sz="8" w:space="0" w:color="auto"/>
        <w:bottom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8">
    <w:name w:val="xl108"/>
    <w:basedOn w:val="Normal"/>
    <w:rsid w:val="0010402D"/>
    <w:pPr>
      <w:pBdr>
        <w:left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9">
    <w:name w:val="xl109"/>
    <w:basedOn w:val="Normal"/>
    <w:rsid w:val="0010402D"/>
    <w:pPr>
      <w:pBdr>
        <w:left w:val="single" w:sz="8" w:space="0" w:color="auto"/>
        <w:right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10">
    <w:name w:val="xl110"/>
    <w:basedOn w:val="Normal"/>
    <w:rsid w:val="0010402D"/>
    <w:pPr>
      <w:pBdr>
        <w:left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111">
    <w:name w:val="xl111"/>
    <w:basedOn w:val="Normal"/>
    <w:rsid w:val="0010402D"/>
    <w:pPr>
      <w:pBdr>
        <w:left w:val="single" w:sz="8" w:space="0" w:color="auto"/>
        <w:right w:val="single" w:sz="8" w:space="0" w:color="auto"/>
      </w:pBdr>
      <w:shd w:val="clear" w:color="000000" w:fill="DA9694"/>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12">
    <w:name w:val="xl112"/>
    <w:basedOn w:val="Normal"/>
    <w:rsid w:val="0010402D"/>
    <w:pPr>
      <w:pBdr>
        <w:left w:val="single" w:sz="8" w:space="0" w:color="auto"/>
        <w:right w:val="single" w:sz="8" w:space="0" w:color="auto"/>
      </w:pBdr>
      <w:shd w:val="clear" w:color="000000" w:fill="DA9694"/>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13">
    <w:name w:val="xl113"/>
    <w:basedOn w:val="Normal"/>
    <w:rsid w:val="0010402D"/>
    <w:pPr>
      <w:pBdr>
        <w:left w:val="single" w:sz="8" w:space="0" w:color="auto"/>
        <w:bottom w:val="single" w:sz="8" w:space="0" w:color="auto"/>
        <w:right w:val="single" w:sz="8" w:space="0" w:color="auto"/>
      </w:pBdr>
      <w:shd w:val="clear" w:color="000000" w:fill="DA9694"/>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14">
    <w:name w:val="xl114"/>
    <w:basedOn w:val="Normal"/>
    <w:rsid w:val="0010402D"/>
    <w:pPr>
      <w:pBdr>
        <w:left w:val="single" w:sz="8" w:space="0" w:color="auto"/>
        <w:right w:val="single" w:sz="8"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15">
    <w:name w:val="xl115"/>
    <w:basedOn w:val="Normal"/>
    <w:rsid w:val="0010402D"/>
    <w:pPr>
      <w:pBdr>
        <w:left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styleId="Textodeglobo">
    <w:name w:val="Balloon Text"/>
    <w:basedOn w:val="Normal"/>
    <w:link w:val="TextodegloboCar"/>
    <w:uiPriority w:val="99"/>
    <w:semiHidden/>
    <w:unhideWhenUsed/>
    <w:rsid w:val="00FF19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19CD"/>
    <w:rPr>
      <w:rFonts w:ascii="Segoe UI" w:hAnsi="Segoe UI" w:cs="Segoe UI"/>
      <w:sz w:val="18"/>
      <w:szCs w:val="18"/>
    </w:rPr>
  </w:style>
  <w:style w:type="character" w:styleId="Refdecomentario">
    <w:name w:val="annotation reference"/>
    <w:basedOn w:val="Fuentedeprrafopredeter"/>
    <w:uiPriority w:val="99"/>
    <w:semiHidden/>
    <w:unhideWhenUsed/>
    <w:rsid w:val="007045CA"/>
    <w:rPr>
      <w:sz w:val="16"/>
      <w:szCs w:val="16"/>
    </w:rPr>
  </w:style>
  <w:style w:type="paragraph" w:styleId="Textocomentario">
    <w:name w:val="annotation text"/>
    <w:basedOn w:val="Normal"/>
    <w:link w:val="TextocomentarioCar"/>
    <w:uiPriority w:val="99"/>
    <w:unhideWhenUsed/>
    <w:rsid w:val="007045CA"/>
    <w:pPr>
      <w:spacing w:line="240" w:lineRule="auto"/>
    </w:pPr>
    <w:rPr>
      <w:sz w:val="20"/>
      <w:szCs w:val="20"/>
    </w:rPr>
  </w:style>
  <w:style w:type="character" w:customStyle="1" w:styleId="TextocomentarioCar">
    <w:name w:val="Texto comentario Car"/>
    <w:basedOn w:val="Fuentedeprrafopredeter"/>
    <w:link w:val="Textocomentario"/>
    <w:uiPriority w:val="99"/>
    <w:rsid w:val="007045CA"/>
    <w:rPr>
      <w:sz w:val="20"/>
      <w:szCs w:val="20"/>
    </w:rPr>
  </w:style>
  <w:style w:type="paragraph" w:styleId="Asuntodelcomentario">
    <w:name w:val="annotation subject"/>
    <w:basedOn w:val="Textocomentario"/>
    <w:next w:val="Textocomentario"/>
    <w:link w:val="AsuntodelcomentarioCar"/>
    <w:uiPriority w:val="99"/>
    <w:semiHidden/>
    <w:unhideWhenUsed/>
    <w:rsid w:val="007045CA"/>
    <w:rPr>
      <w:b/>
      <w:bCs/>
    </w:rPr>
  </w:style>
  <w:style w:type="character" w:customStyle="1" w:styleId="AsuntodelcomentarioCar">
    <w:name w:val="Asunto del comentario Car"/>
    <w:basedOn w:val="TextocomentarioCar"/>
    <w:link w:val="Asuntodelcomentario"/>
    <w:uiPriority w:val="99"/>
    <w:semiHidden/>
    <w:rsid w:val="007045CA"/>
    <w:rPr>
      <w:b/>
      <w:bCs/>
      <w:sz w:val="20"/>
      <w:szCs w:val="20"/>
    </w:rPr>
  </w:style>
  <w:style w:type="paragraph" w:styleId="Textonotapie">
    <w:name w:val="footnote text"/>
    <w:basedOn w:val="Normal"/>
    <w:link w:val="TextonotapieCar"/>
    <w:uiPriority w:val="99"/>
    <w:rsid w:val="003F5A02"/>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jc w:val="both"/>
      <w:textAlignment w:val="baseline"/>
    </w:pPr>
    <w:rPr>
      <w:rFonts w:ascii="Times New Roman" w:eastAsia="Times New Roman" w:hAnsi="Times New Roman" w:cs="Times New Roman"/>
      <w:szCs w:val="20"/>
      <w:lang w:val="fr-FR"/>
    </w:rPr>
  </w:style>
  <w:style w:type="character" w:customStyle="1" w:styleId="TextonotapieCar">
    <w:name w:val="Texto nota pie Car"/>
    <w:basedOn w:val="Fuentedeprrafopredeter"/>
    <w:link w:val="Textonotapie"/>
    <w:uiPriority w:val="99"/>
    <w:rsid w:val="003F5A02"/>
    <w:rPr>
      <w:rFonts w:ascii="Times New Roman" w:eastAsia="Times New Roman" w:hAnsi="Times New Roman" w:cs="Times New Roman"/>
      <w:szCs w:val="20"/>
      <w:lang w:val="fr-FR"/>
    </w:rPr>
  </w:style>
  <w:style w:type="character" w:styleId="Refdenotaalpie">
    <w:name w:val="footnote reference"/>
    <w:basedOn w:val="Fuentedeprrafopredeter"/>
    <w:uiPriority w:val="99"/>
    <w:rsid w:val="003F5A02"/>
    <w:rPr>
      <w:position w:val="6"/>
      <w:sz w:val="18"/>
    </w:rPr>
  </w:style>
  <w:style w:type="paragraph" w:customStyle="1" w:styleId="FigureNo">
    <w:name w:val="Figure_No"/>
    <w:basedOn w:val="Normal"/>
    <w:next w:val="Figuretitle"/>
    <w:link w:val="FigureNoChar"/>
    <w:uiPriority w:val="99"/>
    <w:rsid w:val="00221935"/>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18"/>
      <w:szCs w:val="20"/>
      <w:lang w:val="fr-FR"/>
    </w:rPr>
  </w:style>
  <w:style w:type="paragraph" w:customStyle="1" w:styleId="Figuretitle">
    <w:name w:val="Figure_title"/>
    <w:basedOn w:val="Normal"/>
    <w:next w:val="Figure"/>
    <w:link w:val="FiguretitleChar"/>
    <w:uiPriority w:val="99"/>
    <w:rsid w:val="00221935"/>
    <w:pPr>
      <w:keepNext/>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18"/>
      <w:szCs w:val="20"/>
      <w:lang w:val="fr-FR"/>
    </w:rPr>
  </w:style>
  <w:style w:type="paragraph" w:customStyle="1" w:styleId="Figure">
    <w:name w:val="Figure"/>
    <w:basedOn w:val="FigureNo"/>
    <w:next w:val="Normal"/>
    <w:uiPriority w:val="99"/>
    <w:rsid w:val="00221935"/>
    <w:pPr>
      <w:keepNext w:val="0"/>
      <w:spacing w:before="0" w:after="240"/>
    </w:pPr>
  </w:style>
  <w:style w:type="character" w:customStyle="1" w:styleId="FiguretitleChar">
    <w:name w:val="Figure_title Char"/>
    <w:link w:val="Figuretitle"/>
    <w:uiPriority w:val="99"/>
    <w:locked/>
    <w:rsid w:val="00221935"/>
    <w:rPr>
      <w:rFonts w:ascii="Times New Roman Bold" w:eastAsia="Times New Roman" w:hAnsi="Times New Roman Bold" w:cs="Times New Roman"/>
      <w:b/>
      <w:sz w:val="18"/>
      <w:szCs w:val="20"/>
      <w:lang w:val="fr-FR"/>
    </w:rPr>
  </w:style>
  <w:style w:type="character" w:customStyle="1" w:styleId="FigureNoChar">
    <w:name w:val="Figure_No Char"/>
    <w:link w:val="FigureNo"/>
    <w:uiPriority w:val="99"/>
    <w:locked/>
    <w:rsid w:val="00221935"/>
    <w:rPr>
      <w:rFonts w:ascii="Times New Roman" w:eastAsia="Times New Roman" w:hAnsi="Times New Roman" w:cs="Times New Roman"/>
      <w:caps/>
      <w:sz w:val="18"/>
      <w:szCs w:val="20"/>
      <w:lang w:val="fr-FR"/>
    </w:rPr>
  </w:style>
  <w:style w:type="paragraph" w:customStyle="1" w:styleId="enumlev1">
    <w:name w:val="enumlev1"/>
    <w:basedOn w:val="Normal"/>
    <w:link w:val="enumlev1Char"/>
    <w:rsid w:val="00221935"/>
    <w:pPr>
      <w:tabs>
        <w:tab w:val="left" w:pos="794"/>
        <w:tab w:val="left" w:pos="1191"/>
        <w:tab w:val="left" w:pos="1588"/>
        <w:tab w:val="left" w:pos="1985"/>
      </w:tabs>
      <w:overflowPunct w:val="0"/>
      <w:autoSpaceDE w:val="0"/>
      <w:autoSpaceDN w:val="0"/>
      <w:adjustRightInd w:val="0"/>
      <w:spacing w:before="80" w:after="0" w:line="240" w:lineRule="auto"/>
      <w:ind w:left="794" w:hanging="794"/>
      <w:jc w:val="both"/>
      <w:textAlignment w:val="baseline"/>
    </w:pPr>
    <w:rPr>
      <w:rFonts w:ascii="Times New Roman" w:eastAsia="Times New Roman" w:hAnsi="Times New Roman" w:cs="Times New Roman"/>
      <w:sz w:val="24"/>
      <w:szCs w:val="20"/>
      <w:lang w:val="fr-FR"/>
    </w:rPr>
  </w:style>
  <w:style w:type="character" w:customStyle="1" w:styleId="enumlev1Char">
    <w:name w:val="enumlev1 Char"/>
    <w:link w:val="enumlev1"/>
    <w:locked/>
    <w:rsid w:val="00221935"/>
    <w:rPr>
      <w:rFonts w:ascii="Times New Roman" w:eastAsia="Times New Roman" w:hAnsi="Times New Roman" w:cs="Times New Roman"/>
      <w:sz w:val="24"/>
      <w:szCs w:val="20"/>
      <w:lang w:val="fr-FR"/>
    </w:rPr>
  </w:style>
  <w:style w:type="character" w:customStyle="1" w:styleId="SinespaciadoCar">
    <w:name w:val="Sin espaciado Car"/>
    <w:basedOn w:val="Fuentedeprrafopredeter"/>
    <w:link w:val="Sinespaciado"/>
    <w:uiPriority w:val="1"/>
    <w:rsid w:val="004030D2"/>
  </w:style>
  <w:style w:type="paragraph" w:styleId="Revisin">
    <w:name w:val="Revision"/>
    <w:hidden/>
    <w:uiPriority w:val="99"/>
    <w:semiHidden/>
    <w:rsid w:val="00540E03"/>
    <w:pPr>
      <w:spacing w:after="0" w:line="240" w:lineRule="auto"/>
    </w:pPr>
  </w:style>
  <w:style w:type="table" w:styleId="Tabladecuadrcula4-nfasis6">
    <w:name w:val="Grid Table 4 Accent 6"/>
    <w:basedOn w:val="Tablanormal"/>
    <w:uiPriority w:val="49"/>
    <w:rsid w:val="000123B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nfasis6">
    <w:name w:val="List Table 5 Dark Accent 6"/>
    <w:basedOn w:val="Tablanormal"/>
    <w:uiPriority w:val="50"/>
    <w:rsid w:val="000123B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pymainlg">
    <w:name w:val="copy_main_lg"/>
    <w:basedOn w:val="Normal"/>
    <w:rsid w:val="00DB5D3F"/>
    <w:pPr>
      <w:spacing w:before="100" w:beforeAutospacing="1" w:after="100" w:afterAutospacing="1" w:line="240" w:lineRule="auto"/>
    </w:pPr>
    <w:rPr>
      <w:rFonts w:ascii="Times New Roman" w:hAnsi="Times New Roman" w:cs="Times New Roman"/>
      <w:sz w:val="24"/>
      <w:szCs w:val="24"/>
      <w:lang w:eastAsia="es-MX"/>
    </w:rPr>
  </w:style>
  <w:style w:type="character" w:customStyle="1" w:styleId="apple-converted-space">
    <w:name w:val="apple-converted-space"/>
    <w:basedOn w:val="Fuentedeprrafopredeter"/>
    <w:rsid w:val="00DB5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8708">
      <w:bodyDiv w:val="1"/>
      <w:marLeft w:val="0"/>
      <w:marRight w:val="0"/>
      <w:marTop w:val="0"/>
      <w:marBottom w:val="0"/>
      <w:divBdr>
        <w:top w:val="none" w:sz="0" w:space="0" w:color="auto"/>
        <w:left w:val="none" w:sz="0" w:space="0" w:color="auto"/>
        <w:bottom w:val="none" w:sz="0" w:space="0" w:color="auto"/>
        <w:right w:val="none" w:sz="0" w:space="0" w:color="auto"/>
      </w:divBdr>
    </w:div>
    <w:div w:id="230190952">
      <w:bodyDiv w:val="1"/>
      <w:marLeft w:val="0"/>
      <w:marRight w:val="0"/>
      <w:marTop w:val="0"/>
      <w:marBottom w:val="0"/>
      <w:divBdr>
        <w:top w:val="none" w:sz="0" w:space="0" w:color="auto"/>
        <w:left w:val="none" w:sz="0" w:space="0" w:color="auto"/>
        <w:bottom w:val="none" w:sz="0" w:space="0" w:color="auto"/>
        <w:right w:val="none" w:sz="0" w:space="0" w:color="auto"/>
      </w:divBdr>
    </w:div>
    <w:div w:id="261186331">
      <w:bodyDiv w:val="1"/>
      <w:marLeft w:val="0"/>
      <w:marRight w:val="0"/>
      <w:marTop w:val="0"/>
      <w:marBottom w:val="0"/>
      <w:divBdr>
        <w:top w:val="none" w:sz="0" w:space="0" w:color="auto"/>
        <w:left w:val="none" w:sz="0" w:space="0" w:color="auto"/>
        <w:bottom w:val="none" w:sz="0" w:space="0" w:color="auto"/>
        <w:right w:val="none" w:sz="0" w:space="0" w:color="auto"/>
      </w:divBdr>
    </w:div>
    <w:div w:id="576595375">
      <w:bodyDiv w:val="1"/>
      <w:marLeft w:val="0"/>
      <w:marRight w:val="0"/>
      <w:marTop w:val="0"/>
      <w:marBottom w:val="0"/>
      <w:divBdr>
        <w:top w:val="none" w:sz="0" w:space="0" w:color="auto"/>
        <w:left w:val="none" w:sz="0" w:space="0" w:color="auto"/>
        <w:bottom w:val="none" w:sz="0" w:space="0" w:color="auto"/>
        <w:right w:val="none" w:sz="0" w:space="0" w:color="auto"/>
      </w:divBdr>
      <w:divsChild>
        <w:div w:id="176314642">
          <w:marLeft w:val="547"/>
          <w:marRight w:val="0"/>
          <w:marTop w:val="0"/>
          <w:marBottom w:val="0"/>
          <w:divBdr>
            <w:top w:val="none" w:sz="0" w:space="0" w:color="auto"/>
            <w:left w:val="none" w:sz="0" w:space="0" w:color="auto"/>
            <w:bottom w:val="none" w:sz="0" w:space="0" w:color="auto"/>
            <w:right w:val="none" w:sz="0" w:space="0" w:color="auto"/>
          </w:divBdr>
        </w:div>
        <w:div w:id="264004635">
          <w:marLeft w:val="1166"/>
          <w:marRight w:val="0"/>
          <w:marTop w:val="0"/>
          <w:marBottom w:val="0"/>
          <w:divBdr>
            <w:top w:val="none" w:sz="0" w:space="0" w:color="auto"/>
            <w:left w:val="none" w:sz="0" w:space="0" w:color="auto"/>
            <w:bottom w:val="none" w:sz="0" w:space="0" w:color="auto"/>
            <w:right w:val="none" w:sz="0" w:space="0" w:color="auto"/>
          </w:divBdr>
        </w:div>
        <w:div w:id="2117165201">
          <w:marLeft w:val="1166"/>
          <w:marRight w:val="0"/>
          <w:marTop w:val="0"/>
          <w:marBottom w:val="0"/>
          <w:divBdr>
            <w:top w:val="none" w:sz="0" w:space="0" w:color="auto"/>
            <w:left w:val="none" w:sz="0" w:space="0" w:color="auto"/>
            <w:bottom w:val="none" w:sz="0" w:space="0" w:color="auto"/>
            <w:right w:val="none" w:sz="0" w:space="0" w:color="auto"/>
          </w:divBdr>
        </w:div>
        <w:div w:id="1494830353">
          <w:marLeft w:val="1166"/>
          <w:marRight w:val="0"/>
          <w:marTop w:val="0"/>
          <w:marBottom w:val="0"/>
          <w:divBdr>
            <w:top w:val="none" w:sz="0" w:space="0" w:color="auto"/>
            <w:left w:val="none" w:sz="0" w:space="0" w:color="auto"/>
            <w:bottom w:val="none" w:sz="0" w:space="0" w:color="auto"/>
            <w:right w:val="none" w:sz="0" w:space="0" w:color="auto"/>
          </w:divBdr>
        </w:div>
        <w:div w:id="1710687045">
          <w:marLeft w:val="1166"/>
          <w:marRight w:val="0"/>
          <w:marTop w:val="0"/>
          <w:marBottom w:val="0"/>
          <w:divBdr>
            <w:top w:val="none" w:sz="0" w:space="0" w:color="auto"/>
            <w:left w:val="none" w:sz="0" w:space="0" w:color="auto"/>
            <w:bottom w:val="none" w:sz="0" w:space="0" w:color="auto"/>
            <w:right w:val="none" w:sz="0" w:space="0" w:color="auto"/>
          </w:divBdr>
        </w:div>
        <w:div w:id="831146159">
          <w:marLeft w:val="547"/>
          <w:marRight w:val="0"/>
          <w:marTop w:val="0"/>
          <w:marBottom w:val="0"/>
          <w:divBdr>
            <w:top w:val="none" w:sz="0" w:space="0" w:color="auto"/>
            <w:left w:val="none" w:sz="0" w:space="0" w:color="auto"/>
            <w:bottom w:val="none" w:sz="0" w:space="0" w:color="auto"/>
            <w:right w:val="none" w:sz="0" w:space="0" w:color="auto"/>
          </w:divBdr>
        </w:div>
        <w:div w:id="852232258">
          <w:marLeft w:val="1166"/>
          <w:marRight w:val="0"/>
          <w:marTop w:val="0"/>
          <w:marBottom w:val="0"/>
          <w:divBdr>
            <w:top w:val="none" w:sz="0" w:space="0" w:color="auto"/>
            <w:left w:val="none" w:sz="0" w:space="0" w:color="auto"/>
            <w:bottom w:val="none" w:sz="0" w:space="0" w:color="auto"/>
            <w:right w:val="none" w:sz="0" w:space="0" w:color="auto"/>
          </w:divBdr>
        </w:div>
        <w:div w:id="886648631">
          <w:marLeft w:val="1166"/>
          <w:marRight w:val="0"/>
          <w:marTop w:val="0"/>
          <w:marBottom w:val="0"/>
          <w:divBdr>
            <w:top w:val="none" w:sz="0" w:space="0" w:color="auto"/>
            <w:left w:val="none" w:sz="0" w:space="0" w:color="auto"/>
            <w:bottom w:val="none" w:sz="0" w:space="0" w:color="auto"/>
            <w:right w:val="none" w:sz="0" w:space="0" w:color="auto"/>
          </w:divBdr>
        </w:div>
        <w:div w:id="55401161">
          <w:marLeft w:val="1166"/>
          <w:marRight w:val="0"/>
          <w:marTop w:val="0"/>
          <w:marBottom w:val="0"/>
          <w:divBdr>
            <w:top w:val="none" w:sz="0" w:space="0" w:color="auto"/>
            <w:left w:val="none" w:sz="0" w:space="0" w:color="auto"/>
            <w:bottom w:val="none" w:sz="0" w:space="0" w:color="auto"/>
            <w:right w:val="none" w:sz="0" w:space="0" w:color="auto"/>
          </w:divBdr>
        </w:div>
        <w:div w:id="377049604">
          <w:marLeft w:val="1166"/>
          <w:marRight w:val="0"/>
          <w:marTop w:val="0"/>
          <w:marBottom w:val="0"/>
          <w:divBdr>
            <w:top w:val="none" w:sz="0" w:space="0" w:color="auto"/>
            <w:left w:val="none" w:sz="0" w:space="0" w:color="auto"/>
            <w:bottom w:val="none" w:sz="0" w:space="0" w:color="auto"/>
            <w:right w:val="none" w:sz="0" w:space="0" w:color="auto"/>
          </w:divBdr>
        </w:div>
        <w:div w:id="1668823407">
          <w:marLeft w:val="1166"/>
          <w:marRight w:val="0"/>
          <w:marTop w:val="0"/>
          <w:marBottom w:val="0"/>
          <w:divBdr>
            <w:top w:val="none" w:sz="0" w:space="0" w:color="auto"/>
            <w:left w:val="none" w:sz="0" w:space="0" w:color="auto"/>
            <w:bottom w:val="none" w:sz="0" w:space="0" w:color="auto"/>
            <w:right w:val="none" w:sz="0" w:space="0" w:color="auto"/>
          </w:divBdr>
        </w:div>
        <w:div w:id="2112238887">
          <w:marLeft w:val="547"/>
          <w:marRight w:val="0"/>
          <w:marTop w:val="0"/>
          <w:marBottom w:val="0"/>
          <w:divBdr>
            <w:top w:val="none" w:sz="0" w:space="0" w:color="auto"/>
            <w:left w:val="none" w:sz="0" w:space="0" w:color="auto"/>
            <w:bottom w:val="none" w:sz="0" w:space="0" w:color="auto"/>
            <w:right w:val="none" w:sz="0" w:space="0" w:color="auto"/>
          </w:divBdr>
        </w:div>
        <w:div w:id="1495947910">
          <w:marLeft w:val="1166"/>
          <w:marRight w:val="0"/>
          <w:marTop w:val="0"/>
          <w:marBottom w:val="0"/>
          <w:divBdr>
            <w:top w:val="none" w:sz="0" w:space="0" w:color="auto"/>
            <w:left w:val="none" w:sz="0" w:space="0" w:color="auto"/>
            <w:bottom w:val="none" w:sz="0" w:space="0" w:color="auto"/>
            <w:right w:val="none" w:sz="0" w:space="0" w:color="auto"/>
          </w:divBdr>
        </w:div>
        <w:div w:id="1729526109">
          <w:marLeft w:val="1166"/>
          <w:marRight w:val="0"/>
          <w:marTop w:val="0"/>
          <w:marBottom w:val="0"/>
          <w:divBdr>
            <w:top w:val="none" w:sz="0" w:space="0" w:color="auto"/>
            <w:left w:val="none" w:sz="0" w:space="0" w:color="auto"/>
            <w:bottom w:val="none" w:sz="0" w:space="0" w:color="auto"/>
            <w:right w:val="none" w:sz="0" w:space="0" w:color="auto"/>
          </w:divBdr>
        </w:div>
      </w:divsChild>
    </w:div>
    <w:div w:id="611785905">
      <w:bodyDiv w:val="1"/>
      <w:marLeft w:val="0"/>
      <w:marRight w:val="0"/>
      <w:marTop w:val="0"/>
      <w:marBottom w:val="0"/>
      <w:divBdr>
        <w:top w:val="none" w:sz="0" w:space="0" w:color="auto"/>
        <w:left w:val="none" w:sz="0" w:space="0" w:color="auto"/>
        <w:bottom w:val="none" w:sz="0" w:space="0" w:color="auto"/>
        <w:right w:val="none" w:sz="0" w:space="0" w:color="auto"/>
      </w:divBdr>
    </w:div>
    <w:div w:id="622466546">
      <w:bodyDiv w:val="1"/>
      <w:marLeft w:val="0"/>
      <w:marRight w:val="0"/>
      <w:marTop w:val="0"/>
      <w:marBottom w:val="0"/>
      <w:divBdr>
        <w:top w:val="none" w:sz="0" w:space="0" w:color="auto"/>
        <w:left w:val="none" w:sz="0" w:space="0" w:color="auto"/>
        <w:bottom w:val="none" w:sz="0" w:space="0" w:color="auto"/>
        <w:right w:val="none" w:sz="0" w:space="0" w:color="auto"/>
      </w:divBdr>
    </w:div>
    <w:div w:id="694694115">
      <w:bodyDiv w:val="1"/>
      <w:marLeft w:val="0"/>
      <w:marRight w:val="0"/>
      <w:marTop w:val="0"/>
      <w:marBottom w:val="0"/>
      <w:divBdr>
        <w:top w:val="none" w:sz="0" w:space="0" w:color="auto"/>
        <w:left w:val="none" w:sz="0" w:space="0" w:color="auto"/>
        <w:bottom w:val="none" w:sz="0" w:space="0" w:color="auto"/>
        <w:right w:val="none" w:sz="0" w:space="0" w:color="auto"/>
      </w:divBdr>
    </w:div>
    <w:div w:id="733166511">
      <w:bodyDiv w:val="1"/>
      <w:marLeft w:val="0"/>
      <w:marRight w:val="0"/>
      <w:marTop w:val="0"/>
      <w:marBottom w:val="0"/>
      <w:divBdr>
        <w:top w:val="none" w:sz="0" w:space="0" w:color="auto"/>
        <w:left w:val="none" w:sz="0" w:space="0" w:color="auto"/>
        <w:bottom w:val="none" w:sz="0" w:space="0" w:color="auto"/>
        <w:right w:val="none" w:sz="0" w:space="0" w:color="auto"/>
      </w:divBdr>
    </w:div>
    <w:div w:id="875580613">
      <w:bodyDiv w:val="1"/>
      <w:marLeft w:val="0"/>
      <w:marRight w:val="0"/>
      <w:marTop w:val="0"/>
      <w:marBottom w:val="0"/>
      <w:divBdr>
        <w:top w:val="none" w:sz="0" w:space="0" w:color="auto"/>
        <w:left w:val="none" w:sz="0" w:space="0" w:color="auto"/>
        <w:bottom w:val="none" w:sz="0" w:space="0" w:color="auto"/>
        <w:right w:val="none" w:sz="0" w:space="0" w:color="auto"/>
      </w:divBdr>
    </w:div>
    <w:div w:id="919367464">
      <w:bodyDiv w:val="1"/>
      <w:marLeft w:val="0"/>
      <w:marRight w:val="0"/>
      <w:marTop w:val="0"/>
      <w:marBottom w:val="0"/>
      <w:divBdr>
        <w:top w:val="none" w:sz="0" w:space="0" w:color="auto"/>
        <w:left w:val="none" w:sz="0" w:space="0" w:color="auto"/>
        <w:bottom w:val="none" w:sz="0" w:space="0" w:color="auto"/>
        <w:right w:val="none" w:sz="0" w:space="0" w:color="auto"/>
      </w:divBdr>
    </w:div>
    <w:div w:id="971445813">
      <w:bodyDiv w:val="1"/>
      <w:marLeft w:val="0"/>
      <w:marRight w:val="0"/>
      <w:marTop w:val="0"/>
      <w:marBottom w:val="0"/>
      <w:divBdr>
        <w:top w:val="none" w:sz="0" w:space="0" w:color="auto"/>
        <w:left w:val="none" w:sz="0" w:space="0" w:color="auto"/>
        <w:bottom w:val="none" w:sz="0" w:space="0" w:color="auto"/>
        <w:right w:val="none" w:sz="0" w:space="0" w:color="auto"/>
      </w:divBdr>
    </w:div>
    <w:div w:id="1009723492">
      <w:bodyDiv w:val="1"/>
      <w:marLeft w:val="0"/>
      <w:marRight w:val="0"/>
      <w:marTop w:val="0"/>
      <w:marBottom w:val="0"/>
      <w:divBdr>
        <w:top w:val="none" w:sz="0" w:space="0" w:color="auto"/>
        <w:left w:val="none" w:sz="0" w:space="0" w:color="auto"/>
        <w:bottom w:val="none" w:sz="0" w:space="0" w:color="auto"/>
        <w:right w:val="none" w:sz="0" w:space="0" w:color="auto"/>
      </w:divBdr>
    </w:div>
    <w:div w:id="1198471442">
      <w:bodyDiv w:val="1"/>
      <w:marLeft w:val="0"/>
      <w:marRight w:val="0"/>
      <w:marTop w:val="0"/>
      <w:marBottom w:val="0"/>
      <w:divBdr>
        <w:top w:val="none" w:sz="0" w:space="0" w:color="auto"/>
        <w:left w:val="none" w:sz="0" w:space="0" w:color="auto"/>
        <w:bottom w:val="none" w:sz="0" w:space="0" w:color="auto"/>
        <w:right w:val="none" w:sz="0" w:space="0" w:color="auto"/>
      </w:divBdr>
    </w:div>
    <w:div w:id="1328749560">
      <w:bodyDiv w:val="1"/>
      <w:marLeft w:val="0"/>
      <w:marRight w:val="0"/>
      <w:marTop w:val="0"/>
      <w:marBottom w:val="0"/>
      <w:divBdr>
        <w:top w:val="none" w:sz="0" w:space="0" w:color="auto"/>
        <w:left w:val="none" w:sz="0" w:space="0" w:color="auto"/>
        <w:bottom w:val="none" w:sz="0" w:space="0" w:color="auto"/>
        <w:right w:val="none" w:sz="0" w:space="0" w:color="auto"/>
      </w:divBdr>
    </w:div>
    <w:div w:id="1376344244">
      <w:bodyDiv w:val="1"/>
      <w:marLeft w:val="0"/>
      <w:marRight w:val="0"/>
      <w:marTop w:val="0"/>
      <w:marBottom w:val="0"/>
      <w:divBdr>
        <w:top w:val="none" w:sz="0" w:space="0" w:color="auto"/>
        <w:left w:val="none" w:sz="0" w:space="0" w:color="auto"/>
        <w:bottom w:val="none" w:sz="0" w:space="0" w:color="auto"/>
        <w:right w:val="none" w:sz="0" w:space="0" w:color="auto"/>
      </w:divBdr>
    </w:div>
    <w:div w:id="1477525826">
      <w:bodyDiv w:val="1"/>
      <w:marLeft w:val="0"/>
      <w:marRight w:val="0"/>
      <w:marTop w:val="0"/>
      <w:marBottom w:val="0"/>
      <w:divBdr>
        <w:top w:val="none" w:sz="0" w:space="0" w:color="auto"/>
        <w:left w:val="none" w:sz="0" w:space="0" w:color="auto"/>
        <w:bottom w:val="none" w:sz="0" w:space="0" w:color="auto"/>
        <w:right w:val="none" w:sz="0" w:space="0" w:color="auto"/>
      </w:divBdr>
    </w:div>
    <w:div w:id="1697930012">
      <w:bodyDiv w:val="1"/>
      <w:marLeft w:val="0"/>
      <w:marRight w:val="0"/>
      <w:marTop w:val="0"/>
      <w:marBottom w:val="0"/>
      <w:divBdr>
        <w:top w:val="none" w:sz="0" w:space="0" w:color="auto"/>
        <w:left w:val="none" w:sz="0" w:space="0" w:color="auto"/>
        <w:bottom w:val="none" w:sz="0" w:space="0" w:color="auto"/>
        <w:right w:val="none" w:sz="0" w:space="0" w:color="auto"/>
      </w:divBdr>
    </w:div>
    <w:div w:id="1846556303">
      <w:bodyDiv w:val="1"/>
      <w:marLeft w:val="0"/>
      <w:marRight w:val="0"/>
      <w:marTop w:val="0"/>
      <w:marBottom w:val="0"/>
      <w:divBdr>
        <w:top w:val="none" w:sz="0" w:space="0" w:color="auto"/>
        <w:left w:val="none" w:sz="0" w:space="0" w:color="auto"/>
        <w:bottom w:val="none" w:sz="0" w:space="0" w:color="auto"/>
        <w:right w:val="none" w:sz="0" w:space="0" w:color="auto"/>
      </w:divBdr>
    </w:div>
    <w:div w:id="1848472777">
      <w:bodyDiv w:val="1"/>
      <w:marLeft w:val="0"/>
      <w:marRight w:val="0"/>
      <w:marTop w:val="0"/>
      <w:marBottom w:val="0"/>
      <w:divBdr>
        <w:top w:val="none" w:sz="0" w:space="0" w:color="auto"/>
        <w:left w:val="none" w:sz="0" w:space="0" w:color="auto"/>
        <w:bottom w:val="none" w:sz="0" w:space="0" w:color="auto"/>
        <w:right w:val="none" w:sz="0" w:space="0" w:color="auto"/>
      </w:divBdr>
    </w:div>
    <w:div w:id="1955020519">
      <w:bodyDiv w:val="1"/>
      <w:marLeft w:val="0"/>
      <w:marRight w:val="0"/>
      <w:marTop w:val="0"/>
      <w:marBottom w:val="0"/>
      <w:divBdr>
        <w:top w:val="none" w:sz="0" w:space="0" w:color="auto"/>
        <w:left w:val="none" w:sz="0" w:space="0" w:color="auto"/>
        <w:bottom w:val="none" w:sz="0" w:space="0" w:color="auto"/>
        <w:right w:val="none" w:sz="0" w:space="0" w:color="auto"/>
      </w:divBdr>
    </w:div>
    <w:div w:id="2012294668">
      <w:bodyDiv w:val="1"/>
      <w:marLeft w:val="0"/>
      <w:marRight w:val="0"/>
      <w:marTop w:val="0"/>
      <w:marBottom w:val="0"/>
      <w:divBdr>
        <w:top w:val="none" w:sz="0" w:space="0" w:color="auto"/>
        <w:left w:val="none" w:sz="0" w:space="0" w:color="auto"/>
        <w:bottom w:val="none" w:sz="0" w:space="0" w:color="auto"/>
        <w:right w:val="none" w:sz="0" w:space="0" w:color="auto"/>
      </w:divBdr>
    </w:div>
    <w:div w:id="2063365182">
      <w:bodyDiv w:val="1"/>
      <w:marLeft w:val="0"/>
      <w:marRight w:val="0"/>
      <w:marTop w:val="0"/>
      <w:marBottom w:val="0"/>
      <w:divBdr>
        <w:top w:val="none" w:sz="0" w:space="0" w:color="auto"/>
        <w:left w:val="none" w:sz="0" w:space="0" w:color="auto"/>
        <w:bottom w:val="none" w:sz="0" w:space="0" w:color="auto"/>
        <w:right w:val="none" w:sz="0" w:space="0" w:color="auto"/>
      </w:divBdr>
    </w:div>
    <w:div w:id="20760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P.1411-8-201507-I/es" TargetMode="External"/><Relationship Id="rId18" Type="http://schemas.openxmlformats.org/officeDocument/2006/relationships/hyperlink" Target="https://www.itu.int/dms_pubrec/itu-r/rec/f/R-REC-F.1488-0-200005-I!!PDF-E.pdf" TargetMode="External"/><Relationship Id="rId26" Type="http://schemas.openxmlformats.org/officeDocument/2006/relationships/hyperlink" Target="http://www.erodocdb.dk/docs/doc98/official/pdf/Rec0901.pdf" TargetMode="External"/><Relationship Id="rId3" Type="http://schemas.openxmlformats.org/officeDocument/2006/relationships/customXml" Target="../customXml/item3.xml"/><Relationship Id="rId21" Type="http://schemas.openxmlformats.org/officeDocument/2006/relationships/hyperlink" Target="http://www.itu.int/dms_pub/itu-r/opb/rep/R-REP-M.2227-1-2014-PDF-E.pdf" TargetMode="Externa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tu.int/dms_pubrec/itu-r/rec/sm/R-REC-SM.1265-1-200107-I!!PDF-S.pdf" TargetMode="External"/><Relationship Id="rId25" Type="http://schemas.openxmlformats.org/officeDocument/2006/relationships/hyperlink" Target="http://www.ecma-international.org/publications/files/ECMA-ST/ECMA-387.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rec/R-REC-SM.1056-1-200704-I/es" TargetMode="External"/><Relationship Id="rId20" Type="http://schemas.openxmlformats.org/officeDocument/2006/relationships/hyperlink" Target="https://www.itu.int/dms_pub/itu-r/opb/rep/R-REP-F.2107-2-2011-PDF-E.pdf" TargetMode="External"/><Relationship Id="rId29" Type="http://schemas.openxmlformats.org/officeDocument/2006/relationships/hyperlink" Target="http://www.etsi.org/deliver/etsi_tr/102500_102599/102555/01.01.01_60/tr_102555v010101p.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itu.int/pub/R-REP-SM.2153-5-2015/es"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tu.int/dms_pubrec/itu-r/rec/sm/R-REC-SM.329-12-201209-I!!PDF-E.pdf" TargetMode="External"/><Relationship Id="rId23" Type="http://schemas.openxmlformats.org/officeDocument/2006/relationships/hyperlink" Target="http://www.itu.int/dms_pub/itu-r/opb/rep/R-REP-M.2376-2015-PDF-E.pdf" TargetMode="External"/><Relationship Id="rId28" Type="http://schemas.openxmlformats.org/officeDocument/2006/relationships/hyperlink" Target="http://ieeexplore.ieee.org/document/6392842/?denied"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itu.int/rec/R-REC-SM.1896-0-201111-I/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tu.int/rec/R-REC-RS.515-5-201208-I/es" TargetMode="External"/><Relationship Id="rId22" Type="http://schemas.openxmlformats.org/officeDocument/2006/relationships/hyperlink" Target="http://www.itu.int/dms_pub/itu-r/opb/rep/R-REP-M.2228-1-2015-PDF-E.pdf" TargetMode="External"/><Relationship Id="rId27" Type="http://schemas.openxmlformats.org/officeDocument/2006/relationships/hyperlink" Target="https://standards.ieee.org/findstds/standard/802.15.3-2016.html" TargetMode="External"/><Relationship Id="rId30" Type="http://schemas.openxmlformats.org/officeDocument/2006/relationships/hyperlink" Target="http://www.etsi.org/deliver/etsi_tr/102200_102299/10224301/01.02.01_60/tr_10224301v010201p.pdf" TargetMode="External"/><Relationship Id="rId35" Type="http://schemas.openxmlformats.org/officeDocument/2006/relationships/fontTable" Target="fontTable.xml"/><Relationship Id="rId8"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guadalupe.perez@ift.org.mx</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27a80a42df35609733474f9064de828">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27a80a42df35609733474f9064de828">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CAE96C-3E74-495F-BF81-A607EEA1B8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56B55F-B927-4A13-A525-410F83325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F5CE3F-71AE-4100-8D3C-72AF8AA86343}">
  <ds:schemaRefs>
    <ds:schemaRef ds:uri="http://schemas.microsoft.com/sharepoint/v3/contenttype/forms"/>
  </ds:schemaRefs>
</ds:datastoreItem>
</file>

<file path=customXml/itemProps5.xml><?xml version="1.0" encoding="utf-8"?>
<ds:datastoreItem xmlns:ds="http://schemas.openxmlformats.org/officeDocument/2006/customXml" ds:itemID="{81C850EF-C746-49FC-B01F-A0405AF79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435112A2-285D-4CD5-A9AC-656F275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1901</Words>
  <Characters>10456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Anteproyecto de clasificación de la banda de 57-64 GHz como espectro libre</vt:lpstr>
    </vt:vector>
  </TitlesOfParts>
  <Company/>
  <LinksUpToDate>false</LinksUpToDate>
  <CharactersWithSpaces>12333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Anteproyecto de clasificación de la banda de 57-64 GHz como espectro libre</dc:title>
  <dc:subject/>
  <dc:creator>Elaborado por María Guadalupe Pere Burkle</dc:creator>
  <cp:keywords/>
  <dc:description/>
  <cp:lastModifiedBy>Jessica Eugenia Sierra Navarrete</cp:lastModifiedBy>
  <cp:revision>2</cp:revision>
  <dcterms:created xsi:type="dcterms:W3CDTF">2017-02-09T18:08:00Z</dcterms:created>
  <dcterms:modified xsi:type="dcterms:W3CDTF">2017-02-09T18:08:00Z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