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FA639" w14:textId="0C2C9A19" w:rsidR="003D6836" w:rsidRPr="00DF45F8" w:rsidRDefault="00943D84" w:rsidP="00676AA7">
      <w:pPr>
        <w:autoSpaceDE w:val="0"/>
        <w:autoSpaceDN w:val="0"/>
        <w:adjustRightInd w:val="0"/>
        <w:spacing w:after="0" w:line="240" w:lineRule="auto"/>
        <w:jc w:val="both"/>
        <w:rPr>
          <w:rFonts w:ascii="ITC Avant Garde" w:hAnsi="ITC Avant Garde"/>
          <w:b/>
          <w:bCs/>
          <w:color w:val="000000"/>
          <w:lang w:eastAsia="es-MX"/>
        </w:rPr>
      </w:pPr>
      <w:r w:rsidRPr="00DF45F8">
        <w:rPr>
          <w:rFonts w:ascii="ITC Avant Garde" w:hAnsi="ITC Avant Garde"/>
          <w:b/>
          <w:bCs/>
          <w:color w:val="000000"/>
          <w:lang w:eastAsia="es-MX"/>
        </w:rPr>
        <w:t xml:space="preserve">ACUERDO MEDIANTE EL CUAL EL PLENO DEL INSTITUTO FEDERAL DE TELECOMUNICACIONES </w:t>
      </w:r>
      <w:r w:rsidR="00370248" w:rsidRPr="00DF45F8">
        <w:rPr>
          <w:rFonts w:ascii="ITC Avant Garde" w:hAnsi="ITC Avant Garde"/>
          <w:b/>
          <w:bCs/>
          <w:color w:val="000000"/>
          <w:lang w:eastAsia="es-MX"/>
        </w:rPr>
        <w:t xml:space="preserve">DETERMINA </w:t>
      </w:r>
      <w:r w:rsidRPr="00DF45F8">
        <w:rPr>
          <w:rFonts w:ascii="ITC Avant Garde" w:hAnsi="ITC Avant Garde"/>
          <w:b/>
          <w:bCs/>
          <w:color w:val="000000"/>
          <w:lang w:eastAsia="es-MX"/>
        </w:rPr>
        <w:t xml:space="preserve">SOMETER A CONSULTA PÚBLICA </w:t>
      </w:r>
      <w:r w:rsidR="00CB4686" w:rsidRPr="00DF45F8">
        <w:rPr>
          <w:rFonts w:ascii="ITC Avant Garde" w:hAnsi="ITC Avant Garde"/>
          <w:b/>
          <w:bCs/>
          <w:color w:val="000000"/>
          <w:lang w:eastAsia="es-MX"/>
        </w:rPr>
        <w:t xml:space="preserve">EL </w:t>
      </w:r>
      <w:r w:rsidR="00CB4686" w:rsidRPr="00DF45F8">
        <w:rPr>
          <w:rFonts w:ascii="ITC Avant Garde" w:hAnsi="ITC Avant Garde"/>
          <w:b/>
          <w:i/>
          <w:color w:val="000000"/>
          <w:lang w:eastAsia="es-MX"/>
        </w:rPr>
        <w:t>ANTEPROYECTO DE CLASIFICACIÓN DE LA BANDA 57-64 GH</w:t>
      </w:r>
      <w:r w:rsidR="004F5ED4" w:rsidRPr="00DF45F8">
        <w:rPr>
          <w:rFonts w:ascii="ITC Avant Garde" w:hAnsi="ITC Avant Garde"/>
          <w:b/>
          <w:bCs/>
          <w:i/>
          <w:color w:val="000000"/>
          <w:lang w:eastAsia="es-MX"/>
        </w:rPr>
        <w:t>z</w:t>
      </w:r>
      <w:r w:rsidR="00CB4686" w:rsidRPr="00DF45F8">
        <w:rPr>
          <w:rFonts w:ascii="ITC Avant Garde" w:hAnsi="ITC Avant Garde"/>
          <w:b/>
          <w:i/>
          <w:color w:val="000000"/>
          <w:lang w:eastAsia="es-MX"/>
        </w:rPr>
        <w:t xml:space="preserve"> COMO ESPECTRO LIBRE</w:t>
      </w:r>
      <w:r w:rsidR="00CB4686" w:rsidRPr="00DF45F8">
        <w:rPr>
          <w:rFonts w:ascii="ITC Avant Garde" w:hAnsi="ITC Avant Garde"/>
          <w:b/>
          <w:bCs/>
          <w:color w:val="000000"/>
          <w:lang w:eastAsia="es-MX"/>
        </w:rPr>
        <w:t>.</w:t>
      </w:r>
    </w:p>
    <w:p w14:paraId="237E1A51" w14:textId="77777777" w:rsidR="00D117E6" w:rsidRPr="00DF45F8" w:rsidRDefault="00D117E6" w:rsidP="00676AA7">
      <w:pPr>
        <w:autoSpaceDE w:val="0"/>
        <w:autoSpaceDN w:val="0"/>
        <w:adjustRightInd w:val="0"/>
        <w:spacing w:after="0" w:line="240" w:lineRule="auto"/>
        <w:jc w:val="both"/>
        <w:rPr>
          <w:rFonts w:ascii="ITC Avant Garde" w:hAnsi="ITC Avant Garde" w:cs="ArialMT"/>
          <w:b/>
          <w:color w:val="2F2F2F"/>
        </w:rPr>
      </w:pPr>
    </w:p>
    <w:p w14:paraId="1211EBBF" w14:textId="77777777" w:rsidR="00514B40" w:rsidRPr="00DF45F8" w:rsidRDefault="00514B40" w:rsidP="00676AA7">
      <w:pPr>
        <w:spacing w:after="0" w:line="240" w:lineRule="auto"/>
        <w:jc w:val="center"/>
        <w:rPr>
          <w:rFonts w:ascii="ITC Avant Garde" w:eastAsia="Times New Roman" w:hAnsi="ITC Avant Garde" w:cs="Times"/>
          <w:b/>
          <w:lang w:eastAsia="es-MX"/>
        </w:rPr>
      </w:pPr>
      <w:r w:rsidRPr="00DF45F8">
        <w:rPr>
          <w:rFonts w:ascii="ITC Avant Garde" w:eastAsia="Times New Roman" w:hAnsi="ITC Avant Garde" w:cs="Times"/>
          <w:b/>
          <w:lang w:eastAsia="es-MX"/>
        </w:rPr>
        <w:t>ANTECEDENTES</w:t>
      </w:r>
    </w:p>
    <w:p w14:paraId="548DC7F7" w14:textId="77777777" w:rsidR="00514B40" w:rsidRDefault="00514B40" w:rsidP="00676AA7">
      <w:pPr>
        <w:spacing w:after="0" w:line="240" w:lineRule="auto"/>
        <w:jc w:val="both"/>
        <w:rPr>
          <w:rFonts w:ascii="ITC Avant Garde" w:eastAsia="Times New Roman" w:hAnsi="ITC Avant Garde" w:cs="Times"/>
          <w:b/>
          <w:color w:val="2F2F2F"/>
          <w:lang w:eastAsia="es-MX"/>
        </w:rPr>
      </w:pPr>
    </w:p>
    <w:p w14:paraId="5E3D36CE" w14:textId="77777777" w:rsidR="00514B40" w:rsidRPr="00DF45F8" w:rsidRDefault="00514B40" w:rsidP="00676AA7">
      <w:pPr>
        <w:numPr>
          <w:ilvl w:val="0"/>
          <w:numId w:val="3"/>
        </w:numPr>
        <w:suppressAutoHyphens/>
        <w:spacing w:after="0" w:line="240" w:lineRule="auto"/>
        <w:ind w:left="567" w:right="49" w:hanging="425"/>
        <w:jc w:val="both"/>
        <w:rPr>
          <w:rFonts w:ascii="ITC Avant Garde" w:hAnsi="ITC Avant Garde"/>
          <w:color w:val="000000" w:themeColor="text1"/>
          <w:kern w:val="1"/>
          <w:lang w:eastAsia="ar-SA"/>
        </w:rPr>
      </w:pPr>
      <w:r w:rsidRPr="00DF45F8">
        <w:rPr>
          <w:rFonts w:ascii="ITC Avant Garde" w:hAnsi="ITC Avant Garde"/>
          <w:color w:val="000000" w:themeColor="text1"/>
          <w:kern w:val="1"/>
          <w:lang w:eastAsia="ar-SA"/>
        </w:rPr>
        <w:t xml:space="preserve">El 11 de junio de 2013 se publicó en el Diario Oficial de la Federación (DOF) el </w:t>
      </w:r>
      <w:r w:rsidRPr="00DF45F8">
        <w:rPr>
          <w:rFonts w:ascii="ITC Avant Garde" w:hAnsi="ITC Avant Garde"/>
          <w:i/>
          <w:color w:val="000000" w:themeColor="text1"/>
          <w:kern w:val="1"/>
          <w:lang w:eastAsia="ar-SA"/>
        </w:rPr>
        <w:t xml:space="preserve">“Decreto por el que se reforman y adicionan diversas disposiciones de los artículos 6o., 7o., 27, 28, 73, 78, 94 y 105 de la Constitución Política de los Estados Unidos Mexicanos, en materia de telecomunicaciones” </w:t>
      </w:r>
      <w:r w:rsidRPr="00DF45F8">
        <w:rPr>
          <w:rFonts w:ascii="ITC Avant Garde" w:hAnsi="ITC Avant Garde"/>
          <w:color w:val="000000" w:themeColor="text1"/>
          <w:kern w:val="1"/>
          <w:lang w:eastAsia="ar-SA"/>
        </w:rPr>
        <w:t>(Decreto de Reforma Constitucional), mediante el cual se creó al Instituto Federal de Telecomunicaciones (Instituto) como un órgano autónomo, con personalidad jurídica y patrimonio propio.</w:t>
      </w:r>
    </w:p>
    <w:p w14:paraId="58F77495" w14:textId="77777777" w:rsidR="003472C1" w:rsidRPr="00DF45F8" w:rsidRDefault="003472C1" w:rsidP="00676AA7">
      <w:pPr>
        <w:suppressAutoHyphens/>
        <w:spacing w:after="0" w:line="240" w:lineRule="auto"/>
        <w:ind w:left="567" w:right="49"/>
        <w:jc w:val="both"/>
        <w:rPr>
          <w:rFonts w:ascii="ITC Avant Garde" w:hAnsi="ITC Avant Garde"/>
          <w:color w:val="000000" w:themeColor="text1"/>
          <w:kern w:val="1"/>
          <w:lang w:eastAsia="ar-SA"/>
        </w:rPr>
      </w:pPr>
    </w:p>
    <w:p w14:paraId="300A9D0E" w14:textId="77777777" w:rsidR="00514B40" w:rsidRPr="00DF45F8" w:rsidRDefault="00514B40" w:rsidP="00676AA7">
      <w:pPr>
        <w:numPr>
          <w:ilvl w:val="0"/>
          <w:numId w:val="3"/>
        </w:numPr>
        <w:suppressAutoHyphens/>
        <w:spacing w:after="0" w:line="240" w:lineRule="auto"/>
        <w:ind w:left="567" w:right="49" w:hanging="425"/>
        <w:jc w:val="both"/>
        <w:rPr>
          <w:rFonts w:ascii="ITC Avant Garde" w:hAnsi="ITC Avant Garde"/>
          <w:color w:val="000000" w:themeColor="text1"/>
          <w:kern w:val="1"/>
          <w:lang w:eastAsia="ar-SA"/>
        </w:rPr>
      </w:pPr>
      <w:r w:rsidRPr="00DF45F8">
        <w:rPr>
          <w:rFonts w:ascii="ITC Avant Garde" w:hAnsi="ITC Avant Garde"/>
          <w:color w:val="000000" w:themeColor="text1"/>
          <w:kern w:val="1"/>
          <w:lang w:eastAsia="ar-SA"/>
        </w:rPr>
        <w:t>El 14 de julio de 2014 se publicó en el DOF el “</w:t>
      </w:r>
      <w:r w:rsidR="0020578C" w:rsidRPr="00DF45F8">
        <w:rPr>
          <w:rFonts w:ascii="ITC Avant Garde" w:hAnsi="ITC Avant Garde"/>
          <w:i/>
          <w:color w:val="000000" w:themeColor="text1"/>
          <w:kern w:val="1"/>
          <w:lang w:eastAsia="ar-SA"/>
        </w:rPr>
        <w:t xml:space="preserve">DECRETO </w:t>
      </w:r>
      <w:r w:rsidRPr="00DF45F8">
        <w:rPr>
          <w:rFonts w:ascii="ITC Avant Garde" w:hAnsi="ITC Avant Garde"/>
          <w:i/>
          <w:color w:val="000000" w:themeColor="text1"/>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DF45F8">
        <w:rPr>
          <w:rFonts w:ascii="ITC Avant Garde" w:hAnsi="ITC Avant Garde"/>
          <w:color w:val="000000" w:themeColor="text1"/>
          <w:kern w:val="1"/>
          <w:lang w:eastAsia="ar-SA"/>
        </w:rPr>
        <w:t>”, mismo que entró en vigor el 13 de agosto de 2014.</w:t>
      </w:r>
    </w:p>
    <w:p w14:paraId="28406E38" w14:textId="77777777" w:rsidR="003472C1" w:rsidRPr="00DF45F8" w:rsidRDefault="003472C1" w:rsidP="00676AA7">
      <w:pPr>
        <w:suppressAutoHyphens/>
        <w:spacing w:after="0" w:line="240" w:lineRule="auto"/>
        <w:ind w:left="567" w:right="49"/>
        <w:jc w:val="both"/>
        <w:rPr>
          <w:rFonts w:ascii="ITC Avant Garde" w:hAnsi="ITC Avant Garde"/>
          <w:color w:val="000000" w:themeColor="text1"/>
          <w:kern w:val="1"/>
          <w:lang w:eastAsia="ar-SA"/>
        </w:rPr>
      </w:pPr>
    </w:p>
    <w:p w14:paraId="7978201B" w14:textId="12880048" w:rsidR="008D5665" w:rsidRPr="00DF45F8" w:rsidRDefault="00514B40" w:rsidP="006E2CA6">
      <w:pPr>
        <w:numPr>
          <w:ilvl w:val="0"/>
          <w:numId w:val="3"/>
        </w:numPr>
        <w:suppressAutoHyphens/>
        <w:spacing w:after="0" w:line="240" w:lineRule="auto"/>
        <w:ind w:left="567" w:right="49" w:hanging="425"/>
        <w:jc w:val="both"/>
        <w:rPr>
          <w:rFonts w:ascii="ITC Avant Garde" w:hAnsi="ITC Avant Garde"/>
          <w:color w:val="000000" w:themeColor="text1"/>
          <w:kern w:val="1"/>
          <w:lang w:eastAsia="ar-SA"/>
        </w:rPr>
      </w:pPr>
      <w:r w:rsidRPr="00DF45F8">
        <w:rPr>
          <w:rFonts w:ascii="ITC Avant Garde" w:hAnsi="ITC Avant Garde"/>
          <w:color w:val="000000" w:themeColor="text1"/>
          <w:kern w:val="1"/>
          <w:lang w:eastAsia="ar-SA"/>
        </w:rPr>
        <w:t xml:space="preserve">El 4 de septiembre de 2014 se publicó en el DOF el Estatuto Orgánico del </w:t>
      </w:r>
      <w:r w:rsidR="008D5665" w:rsidRPr="00DF45F8">
        <w:rPr>
          <w:rFonts w:ascii="ITC Avant Garde" w:hAnsi="ITC Avant Garde"/>
        </w:rPr>
        <w:t>Instituto Federal de Telecomunicaciones (Estatuto Orgánico), el cual entró en vigor el 26 de septiembre de 2014, y fue modificado mediante publicaciones en el medio de difusión citado, el 17 de octubre de 2014 y el 17 de octubre de 2016.</w:t>
      </w:r>
    </w:p>
    <w:p w14:paraId="4AD11802" w14:textId="77777777" w:rsidR="003472C1" w:rsidRPr="00DF45F8" w:rsidRDefault="003472C1" w:rsidP="00676AA7">
      <w:pPr>
        <w:suppressAutoHyphens/>
        <w:spacing w:after="0" w:line="240" w:lineRule="auto"/>
        <w:ind w:left="567" w:right="49"/>
        <w:jc w:val="both"/>
        <w:rPr>
          <w:rFonts w:ascii="ITC Avant Garde" w:hAnsi="ITC Avant Garde"/>
          <w:color w:val="000000" w:themeColor="text1"/>
          <w:kern w:val="1"/>
          <w:lang w:eastAsia="ar-SA"/>
        </w:rPr>
      </w:pPr>
    </w:p>
    <w:p w14:paraId="07339333" w14:textId="162A30D6" w:rsidR="005A53A2" w:rsidRDefault="005A53A2" w:rsidP="00676AA7">
      <w:pPr>
        <w:numPr>
          <w:ilvl w:val="0"/>
          <w:numId w:val="3"/>
        </w:numPr>
        <w:suppressAutoHyphens/>
        <w:spacing w:after="0" w:line="240" w:lineRule="auto"/>
        <w:ind w:left="567" w:right="49" w:hanging="425"/>
        <w:jc w:val="both"/>
        <w:rPr>
          <w:rFonts w:ascii="ITC Avant Garde" w:hAnsi="ITC Avant Garde"/>
          <w:color w:val="000000" w:themeColor="text1"/>
          <w:kern w:val="1"/>
          <w:lang w:eastAsia="ar-SA"/>
        </w:rPr>
      </w:pPr>
      <w:r w:rsidRPr="00DF45F8">
        <w:rPr>
          <w:rFonts w:ascii="ITC Avant Garde" w:hAnsi="ITC Avant Garde"/>
          <w:color w:val="000000" w:themeColor="text1"/>
          <w:kern w:val="1"/>
          <w:lang w:eastAsia="ar-SA"/>
        </w:rPr>
        <w:t>Del 18 de noviembre de 2016 al 09 de d</w:t>
      </w:r>
      <w:r w:rsidR="00AF467E" w:rsidRPr="00DF45F8">
        <w:rPr>
          <w:rFonts w:ascii="ITC Avant Garde" w:hAnsi="ITC Avant Garde"/>
          <w:color w:val="000000" w:themeColor="text1"/>
          <w:kern w:val="1"/>
          <w:lang w:eastAsia="ar-SA"/>
        </w:rPr>
        <w:t>iciembre de 2016 se llevó a cabo el proceso de opinión pública</w:t>
      </w:r>
      <w:r w:rsidRPr="00DF45F8">
        <w:rPr>
          <w:rFonts w:ascii="ITC Avant Garde" w:hAnsi="ITC Avant Garde"/>
          <w:color w:val="000000" w:themeColor="text1"/>
          <w:kern w:val="1"/>
          <w:lang w:eastAsia="ar-SA"/>
        </w:rPr>
        <w:t xml:space="preserve"> </w:t>
      </w:r>
      <w:r w:rsidR="001137D0" w:rsidRPr="00DF45F8">
        <w:rPr>
          <w:rFonts w:ascii="ITC Avant Garde" w:hAnsi="ITC Avant Garde"/>
          <w:color w:val="000000" w:themeColor="text1"/>
          <w:kern w:val="1"/>
          <w:lang w:eastAsia="ar-SA"/>
        </w:rPr>
        <w:t xml:space="preserve">sobre el </w:t>
      </w:r>
      <w:r w:rsidR="001137D0" w:rsidRPr="00DF45F8">
        <w:rPr>
          <w:rFonts w:ascii="ITC Avant Garde" w:hAnsi="ITC Avant Garde"/>
          <w:i/>
          <w:color w:val="000000" w:themeColor="text1"/>
          <w:kern w:val="1"/>
          <w:lang w:eastAsia="ar-SA"/>
        </w:rPr>
        <w:t>“Análisis de la banda 57–64 GHz para su posible clasificación como espectro libre”</w:t>
      </w:r>
      <w:r w:rsidR="00C9456C" w:rsidRPr="00DF45F8">
        <w:rPr>
          <w:rFonts w:ascii="ITC Avant Garde" w:hAnsi="ITC Avant Garde"/>
          <w:color w:val="000000" w:themeColor="text1"/>
          <w:kern w:val="1"/>
          <w:lang w:eastAsia="ar-SA"/>
        </w:rPr>
        <w:t xml:space="preserve"> </w:t>
      </w:r>
      <w:r w:rsidRPr="00DF45F8">
        <w:rPr>
          <w:rFonts w:ascii="ITC Avant Garde" w:hAnsi="ITC Avant Garde"/>
          <w:color w:val="000000" w:themeColor="text1"/>
          <w:kern w:val="1"/>
          <w:lang w:eastAsia="ar-SA"/>
        </w:rPr>
        <w:t>con el objeto</w:t>
      </w:r>
      <w:r w:rsidR="002D1FBB" w:rsidRPr="00DF45F8">
        <w:rPr>
          <w:rFonts w:ascii="ITC Avant Garde" w:hAnsi="ITC Avant Garde"/>
          <w:color w:val="000000" w:themeColor="text1"/>
          <w:kern w:val="1"/>
          <w:lang w:eastAsia="ar-SA"/>
        </w:rPr>
        <w:t xml:space="preserve"> de</w:t>
      </w:r>
      <w:r w:rsidRPr="00DF45F8">
        <w:rPr>
          <w:rFonts w:ascii="ITC Avant Garde" w:hAnsi="ITC Avant Garde"/>
          <w:color w:val="000000" w:themeColor="text1"/>
          <w:kern w:val="1"/>
          <w:lang w:eastAsia="ar-SA"/>
        </w:rPr>
        <w:t xml:space="preserve"> recabar comentarios, opiniones y aportaciones de cualquier interesado</w:t>
      </w:r>
      <w:r w:rsidR="002D1FBB" w:rsidRPr="00DF45F8">
        <w:rPr>
          <w:rFonts w:ascii="ITC Avant Garde" w:hAnsi="ITC Avant Garde"/>
          <w:color w:val="000000" w:themeColor="text1"/>
          <w:kern w:val="1"/>
          <w:lang w:eastAsia="ar-SA"/>
        </w:rPr>
        <w:t xml:space="preserve">, </w:t>
      </w:r>
      <w:r w:rsidR="001137D0" w:rsidRPr="00DF45F8">
        <w:rPr>
          <w:rFonts w:ascii="ITC Avant Garde" w:hAnsi="ITC Avant Garde"/>
          <w:color w:val="000000" w:themeColor="text1"/>
          <w:kern w:val="1"/>
          <w:lang w:eastAsia="ar-SA"/>
        </w:rPr>
        <w:t>que coadyuve</w:t>
      </w:r>
      <w:r w:rsidR="002D1FBB" w:rsidRPr="00DF45F8">
        <w:rPr>
          <w:rFonts w:ascii="ITC Avant Garde" w:hAnsi="ITC Avant Garde"/>
          <w:color w:val="000000" w:themeColor="text1"/>
          <w:kern w:val="1"/>
          <w:lang w:eastAsia="ar-SA"/>
        </w:rPr>
        <w:t>n</w:t>
      </w:r>
      <w:r w:rsidR="001137D0" w:rsidRPr="00DF45F8">
        <w:rPr>
          <w:rFonts w:ascii="ITC Avant Garde" w:hAnsi="ITC Avant Garde"/>
          <w:color w:val="000000" w:themeColor="text1"/>
          <w:kern w:val="1"/>
          <w:lang w:eastAsia="ar-SA"/>
        </w:rPr>
        <w:t xml:space="preserve"> </w:t>
      </w:r>
      <w:r w:rsidR="002D1FBB" w:rsidRPr="00DF45F8">
        <w:rPr>
          <w:rFonts w:ascii="ITC Avant Garde" w:hAnsi="ITC Avant Garde"/>
          <w:color w:val="000000" w:themeColor="text1"/>
          <w:kern w:val="1"/>
          <w:lang w:eastAsia="ar-SA"/>
        </w:rPr>
        <w:t xml:space="preserve">en la obtención de información </w:t>
      </w:r>
      <w:r w:rsidRPr="00DF45F8">
        <w:rPr>
          <w:rFonts w:ascii="ITC Avant Garde" w:hAnsi="ITC Avant Garde"/>
          <w:color w:val="000000" w:themeColor="text1"/>
          <w:kern w:val="1"/>
          <w:lang w:eastAsia="ar-SA"/>
        </w:rPr>
        <w:t xml:space="preserve">para el desarrollo, fortalecimiento y planeación de las medidas </w:t>
      </w:r>
      <w:r w:rsidR="002D1FBB" w:rsidRPr="00DF45F8">
        <w:rPr>
          <w:rFonts w:ascii="ITC Avant Garde" w:hAnsi="ITC Avant Garde"/>
          <w:color w:val="000000" w:themeColor="text1"/>
          <w:kern w:val="1"/>
          <w:lang w:eastAsia="ar-SA"/>
        </w:rPr>
        <w:t xml:space="preserve">consideradas </w:t>
      </w:r>
      <w:r w:rsidR="003454AB" w:rsidRPr="00DF45F8">
        <w:rPr>
          <w:rFonts w:ascii="ITC Avant Garde" w:hAnsi="ITC Avant Garde"/>
          <w:color w:val="000000" w:themeColor="text1"/>
          <w:kern w:val="1"/>
          <w:lang w:eastAsia="ar-SA"/>
        </w:rPr>
        <w:t>en</w:t>
      </w:r>
      <w:r w:rsidRPr="00DF45F8">
        <w:rPr>
          <w:rFonts w:ascii="ITC Avant Garde" w:hAnsi="ITC Avant Garde"/>
          <w:color w:val="000000" w:themeColor="text1"/>
          <w:kern w:val="1"/>
          <w:lang w:eastAsia="ar-SA"/>
        </w:rPr>
        <w:t xml:space="preserve"> la posible clasificación de la banda de frecuencias de 60 GHz como espectro libre.</w:t>
      </w:r>
    </w:p>
    <w:p w14:paraId="030168F6" w14:textId="77777777" w:rsidR="007A669E" w:rsidRDefault="007A669E" w:rsidP="007A669E">
      <w:pPr>
        <w:pStyle w:val="Prrafodelista"/>
        <w:rPr>
          <w:rFonts w:ascii="ITC Avant Garde" w:hAnsi="ITC Avant Garde"/>
          <w:color w:val="000000" w:themeColor="text1"/>
          <w:kern w:val="1"/>
          <w:lang w:eastAsia="ar-SA"/>
        </w:rPr>
      </w:pPr>
    </w:p>
    <w:p w14:paraId="2E26E3E5" w14:textId="3A8C8A47" w:rsidR="00514B40" w:rsidRPr="00DF45F8" w:rsidRDefault="00514B40" w:rsidP="00676AA7">
      <w:pPr>
        <w:autoSpaceDE w:val="0"/>
        <w:autoSpaceDN w:val="0"/>
        <w:adjustRightInd w:val="0"/>
        <w:spacing w:after="0" w:line="240" w:lineRule="auto"/>
        <w:jc w:val="both"/>
        <w:rPr>
          <w:rFonts w:ascii="ITC Avant Garde" w:hAnsi="ITC Avant Garde"/>
          <w:color w:val="000000" w:themeColor="text1"/>
          <w:lang w:eastAsia="es-MX"/>
        </w:rPr>
      </w:pPr>
      <w:r w:rsidRPr="00DF45F8">
        <w:rPr>
          <w:rFonts w:ascii="ITC Avant Garde" w:hAnsi="ITC Avant Garde"/>
          <w:color w:val="000000" w:themeColor="text1"/>
          <w:lang w:eastAsia="es-MX"/>
        </w:rPr>
        <w:t xml:space="preserve">En virtud de los Antecedentes </w:t>
      </w:r>
      <w:r w:rsidR="00C51723" w:rsidRPr="00DF45F8">
        <w:rPr>
          <w:rFonts w:ascii="ITC Avant Garde" w:hAnsi="ITC Avant Garde"/>
          <w:color w:val="000000" w:themeColor="text1"/>
          <w:lang w:eastAsia="es-MX"/>
        </w:rPr>
        <w:t xml:space="preserve">señalados </w:t>
      </w:r>
      <w:r w:rsidRPr="00DF45F8">
        <w:rPr>
          <w:rFonts w:ascii="ITC Avant Garde" w:hAnsi="ITC Avant Garde"/>
          <w:color w:val="000000" w:themeColor="text1"/>
          <w:lang w:eastAsia="es-MX"/>
        </w:rPr>
        <w:t>y</w:t>
      </w:r>
      <w:r w:rsidR="00C51723" w:rsidRPr="00DF45F8">
        <w:rPr>
          <w:rFonts w:ascii="ITC Avant Garde" w:hAnsi="ITC Avant Garde"/>
          <w:color w:val="000000" w:themeColor="text1"/>
          <w:lang w:eastAsia="es-MX"/>
        </w:rPr>
        <w:t>,</w:t>
      </w:r>
    </w:p>
    <w:p w14:paraId="5946ED77" w14:textId="77777777" w:rsidR="00676AA7" w:rsidRDefault="00676AA7" w:rsidP="00676AA7">
      <w:pPr>
        <w:autoSpaceDE w:val="0"/>
        <w:autoSpaceDN w:val="0"/>
        <w:adjustRightInd w:val="0"/>
        <w:spacing w:after="0" w:line="240" w:lineRule="auto"/>
        <w:jc w:val="both"/>
        <w:rPr>
          <w:rFonts w:ascii="ITC Avant Garde" w:hAnsi="ITC Avant Garde"/>
          <w:color w:val="000000" w:themeColor="text1"/>
          <w:lang w:eastAsia="es-MX"/>
        </w:rPr>
      </w:pPr>
    </w:p>
    <w:p w14:paraId="15809F69" w14:textId="77777777" w:rsidR="00514B40" w:rsidRPr="00DF45F8" w:rsidRDefault="00514B40" w:rsidP="00676AA7">
      <w:pPr>
        <w:spacing w:after="0" w:line="240" w:lineRule="auto"/>
        <w:jc w:val="center"/>
        <w:rPr>
          <w:rFonts w:ascii="ITC Avant Garde" w:eastAsia="Calibri" w:hAnsi="ITC Avant Garde" w:cs="Times New Roman"/>
          <w:color w:val="000000" w:themeColor="text1"/>
        </w:rPr>
      </w:pPr>
      <w:bookmarkStart w:id="0" w:name="_Toc413840355"/>
      <w:bookmarkStart w:id="1" w:name="_Toc413918668"/>
      <w:r w:rsidRPr="00DF45F8">
        <w:rPr>
          <w:rFonts w:ascii="ITC Avant Garde" w:eastAsia="Times New Roman" w:hAnsi="ITC Avant Garde" w:cs="Times"/>
          <w:b/>
          <w:lang w:eastAsia="es-MX"/>
        </w:rPr>
        <w:t>CONSIDERANDO</w:t>
      </w:r>
      <w:bookmarkEnd w:id="0"/>
      <w:bookmarkEnd w:id="1"/>
    </w:p>
    <w:p w14:paraId="55F56231" w14:textId="77777777" w:rsidR="007A669E" w:rsidRPr="00DF45F8" w:rsidRDefault="007A669E" w:rsidP="00676AA7">
      <w:pPr>
        <w:spacing w:after="0" w:line="240" w:lineRule="auto"/>
        <w:rPr>
          <w:rFonts w:ascii="ITC Avant Garde" w:hAnsi="ITC Avant Garde"/>
          <w:lang w:eastAsia="es-MX"/>
        </w:rPr>
      </w:pPr>
    </w:p>
    <w:p w14:paraId="47796365" w14:textId="21388E16" w:rsidR="00923D47" w:rsidRPr="00D117E6" w:rsidRDefault="008B2B08" w:rsidP="0095524A">
      <w:pPr>
        <w:numPr>
          <w:ilvl w:val="0"/>
          <w:numId w:val="18"/>
        </w:numPr>
        <w:pBdr>
          <w:top w:val="nil"/>
          <w:left w:val="nil"/>
          <w:bottom w:val="nil"/>
          <w:right w:val="nil"/>
          <w:between w:val="nil"/>
          <w:bar w:val="nil"/>
        </w:pBdr>
        <w:spacing w:after="0" w:line="240" w:lineRule="auto"/>
        <w:ind w:left="0" w:firstLine="0"/>
        <w:jc w:val="both"/>
        <w:outlineLvl w:val="1"/>
        <w:rPr>
          <w:rFonts w:ascii="ITC Avant Garde" w:eastAsia="Times New Roman" w:hAnsi="ITC Avant Garde"/>
          <w:color w:val="000000"/>
          <w:lang w:val="es-ES_tradnl"/>
        </w:rPr>
      </w:pPr>
      <w:r w:rsidRPr="00DF45F8">
        <w:rPr>
          <w:rFonts w:ascii="ITC Avant Garde" w:eastAsia="Arial Unicode MS" w:hAnsi="ITC Avant Garde" w:cs="Arial Unicode MS"/>
          <w:b/>
          <w:color w:val="000000"/>
          <w:u w:color="000000"/>
          <w:bdr w:val="nil"/>
          <w:lang w:val="es-ES_tradnl"/>
        </w:rPr>
        <w:t>Competencia del Instituto</w:t>
      </w:r>
      <w:r w:rsidRPr="00DF45F8">
        <w:rPr>
          <w:rFonts w:ascii="ITC Avant Garde" w:eastAsia="Arial Unicode MS" w:hAnsi="ITC Avant Garde" w:cs="Arial"/>
          <w:b/>
          <w:color w:val="000000"/>
          <w:u w:color="000000"/>
          <w:bdr w:val="nil"/>
          <w:lang w:val="es-ES_tradnl"/>
        </w:rPr>
        <w:t>.</w:t>
      </w:r>
      <w:r w:rsidRPr="00DF45F8">
        <w:rPr>
          <w:rFonts w:ascii="ITC Avant Garde" w:eastAsia="ITC Avant Garde" w:hAnsi="ITC Avant Garde" w:cs="Arial"/>
          <w:b/>
          <w:color w:val="000000"/>
          <w:u w:color="000000"/>
          <w:bdr w:val="nil"/>
          <w:lang w:val="es-ES_tradnl"/>
        </w:rPr>
        <w:t xml:space="preserve"> </w:t>
      </w:r>
      <w:r w:rsidR="00923D47" w:rsidRPr="00DF45F8">
        <w:rPr>
          <w:rFonts w:ascii="ITC Avant Garde" w:eastAsia="Times New Roman" w:hAnsi="ITC Avant Garde"/>
          <w:bCs/>
          <w:color w:val="000000"/>
          <w:lang w:val="es-ES_tradnl"/>
        </w:rPr>
        <w:t xml:space="preserve">De conformidad con lo dispuesto en los artículos 6o., </w:t>
      </w:r>
      <w:r w:rsidR="0051235A" w:rsidRPr="00DF45F8">
        <w:rPr>
          <w:rFonts w:ascii="ITC Avant Garde" w:eastAsia="Times New Roman" w:hAnsi="ITC Avant Garde"/>
          <w:bCs/>
          <w:color w:val="000000"/>
          <w:lang w:val="es-ES_tradnl"/>
        </w:rPr>
        <w:t>Apartado</w:t>
      </w:r>
      <w:r w:rsidR="00923D47" w:rsidRPr="00DF45F8">
        <w:rPr>
          <w:rFonts w:ascii="ITC Avant Garde" w:eastAsia="Times New Roman" w:hAnsi="ITC Avant Garde"/>
          <w:bCs/>
          <w:color w:val="000000"/>
          <w:lang w:val="es-ES_tradnl"/>
        </w:rPr>
        <w:t xml:space="preserve"> B, </w:t>
      </w:r>
      <w:r w:rsidR="0051235A" w:rsidRPr="00DF45F8">
        <w:rPr>
          <w:rFonts w:ascii="ITC Avant Garde" w:eastAsia="Times New Roman" w:hAnsi="ITC Avant Garde"/>
          <w:bCs/>
          <w:color w:val="000000"/>
          <w:lang w:val="es-ES_tradnl"/>
        </w:rPr>
        <w:t>fracció</w:t>
      </w:r>
      <w:r w:rsidR="00923D47" w:rsidRPr="00DF45F8">
        <w:rPr>
          <w:rFonts w:ascii="ITC Avant Garde" w:eastAsia="Times New Roman" w:hAnsi="ITC Avant Garde"/>
          <w:bCs/>
          <w:color w:val="000000"/>
          <w:lang w:val="es-ES_tradnl"/>
        </w:rPr>
        <w:t xml:space="preserve">n II; 7o. 27 y 28,  décimo quinto y décimo sexto de la Constitución Política de los Estados Unidos Mexicanos (Constitución); 1, 2, 7, 15 fracción </w:t>
      </w:r>
      <w:r w:rsidR="00B45387" w:rsidRPr="00DF45F8">
        <w:rPr>
          <w:rFonts w:ascii="ITC Avant Garde" w:eastAsia="Times New Roman" w:hAnsi="ITC Avant Garde"/>
          <w:color w:val="000000"/>
          <w:lang w:val="es-ES_tradnl"/>
        </w:rPr>
        <w:t>I</w:t>
      </w:r>
      <w:r w:rsidR="00923D47" w:rsidRPr="00DF45F8">
        <w:rPr>
          <w:rFonts w:ascii="ITC Avant Garde" w:eastAsia="Times New Roman" w:hAnsi="ITC Avant Garde"/>
          <w:bCs/>
          <w:color w:val="000000"/>
          <w:lang w:val="es-ES_tradnl"/>
        </w:rPr>
        <w:t xml:space="preserve">, 16, 17 fracción I, 54, </w:t>
      </w:r>
      <w:r w:rsidR="00B45387" w:rsidRPr="00DF45F8">
        <w:rPr>
          <w:rFonts w:ascii="ITC Avant Garde" w:eastAsia="Times New Roman" w:hAnsi="ITC Avant Garde"/>
          <w:color w:val="000000"/>
          <w:lang w:val="es-ES_tradnl"/>
        </w:rPr>
        <w:t>55, fracción II</w:t>
      </w:r>
      <w:r w:rsidR="00F91B3A" w:rsidRPr="00DF45F8">
        <w:rPr>
          <w:rFonts w:ascii="ITC Avant Garde" w:eastAsia="Times New Roman" w:hAnsi="ITC Avant Garde"/>
          <w:color w:val="000000"/>
          <w:lang w:val="es-ES_tradnl"/>
        </w:rPr>
        <w:t xml:space="preserve">, </w:t>
      </w:r>
      <w:r w:rsidR="006B376A" w:rsidRPr="00DF45F8">
        <w:rPr>
          <w:rFonts w:ascii="ITC Avant Garde" w:eastAsia="Times New Roman" w:hAnsi="ITC Avant Garde"/>
          <w:color w:val="000000"/>
          <w:lang w:val="es-ES_tradnl"/>
        </w:rPr>
        <w:t>57</w:t>
      </w:r>
      <w:r w:rsidR="00667CA1" w:rsidRPr="00DF45F8">
        <w:rPr>
          <w:rFonts w:ascii="ITC Avant Garde" w:eastAsia="Times New Roman" w:hAnsi="ITC Avant Garde"/>
          <w:color w:val="000000"/>
          <w:lang w:val="es-ES_tradnl"/>
        </w:rPr>
        <w:t xml:space="preserve"> y 64</w:t>
      </w:r>
      <w:r w:rsidR="00923D47" w:rsidRPr="00DF45F8">
        <w:rPr>
          <w:rFonts w:ascii="ITC Avant Garde" w:eastAsia="Times New Roman" w:hAnsi="ITC Avant Garde"/>
          <w:bCs/>
          <w:color w:val="000000"/>
          <w:lang w:val="es-ES_tradnl"/>
        </w:rPr>
        <w:t xml:space="preserve"> de la Ley Federal de Telecomunicaciones y Radiodifusión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32CF1476" w14:textId="77777777" w:rsidR="00923D47" w:rsidRPr="00DF45F8" w:rsidRDefault="00923D47" w:rsidP="00923D47">
      <w:pPr>
        <w:pStyle w:val="Textocomentario"/>
        <w:jc w:val="both"/>
        <w:rPr>
          <w:rFonts w:ascii="ITC Avant Garde" w:eastAsia="Times New Roman" w:hAnsi="ITC Avant Garde"/>
          <w:b/>
          <w:bCs/>
          <w:color w:val="000000"/>
          <w:sz w:val="22"/>
          <w:szCs w:val="22"/>
          <w:lang w:val="es-ES_tradnl"/>
        </w:rPr>
      </w:pPr>
      <w:r w:rsidRPr="00DF45F8">
        <w:rPr>
          <w:rFonts w:ascii="ITC Avant Garde" w:eastAsia="Times New Roman" w:hAnsi="ITC Avant Garde"/>
          <w:bCs/>
          <w:color w:val="000000"/>
          <w:sz w:val="22"/>
          <w:szCs w:val="22"/>
          <w:lang w:val="es-ES_tradnl"/>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Pr="00DF45F8">
        <w:rPr>
          <w:rFonts w:ascii="ITC Avant Garde" w:eastAsia="Times New Roman" w:hAnsi="ITC Avant Garde"/>
          <w:b/>
          <w:bCs/>
          <w:color w:val="000000"/>
          <w:sz w:val="22"/>
          <w:szCs w:val="22"/>
          <w:lang w:val="es-ES_tradnl"/>
        </w:rPr>
        <w:t>.</w:t>
      </w:r>
    </w:p>
    <w:p w14:paraId="7EA09C20" w14:textId="1B9E071B" w:rsidR="00923D47" w:rsidRPr="00DF45F8" w:rsidRDefault="00923D47" w:rsidP="00923D47">
      <w:pPr>
        <w:pStyle w:val="Prrafodelista"/>
        <w:pBdr>
          <w:top w:val="nil"/>
          <w:left w:val="nil"/>
          <w:bottom w:val="nil"/>
          <w:right w:val="nil"/>
          <w:between w:val="nil"/>
          <w:bar w:val="nil"/>
        </w:pBdr>
        <w:spacing w:after="0" w:line="240" w:lineRule="auto"/>
        <w:ind w:left="0"/>
        <w:contextualSpacing w:val="0"/>
        <w:jc w:val="both"/>
        <w:outlineLvl w:val="1"/>
        <w:rPr>
          <w:rFonts w:ascii="ITC Avant Garde" w:eastAsia="Arial Unicode MS" w:hAnsi="ITC Avant Garde" w:cs="Arial Unicode MS"/>
          <w:color w:val="000000"/>
          <w:u w:color="000000"/>
          <w:bdr w:val="nil"/>
          <w:lang w:val="es-ES_tradnl" w:eastAsia="ar-SA"/>
        </w:rPr>
      </w:pPr>
      <w:r w:rsidRPr="00DF45F8">
        <w:rPr>
          <w:rFonts w:ascii="ITC Avant Garde" w:eastAsia="Times New Roman" w:hAnsi="ITC Avant Garde"/>
          <w:bCs/>
          <w:color w:val="000000"/>
          <w:lang w:val="es-ES_tradnl"/>
        </w:rPr>
        <w:t>En este sentido, el Pleno, como órgano máximo de gobierno y decisión del Instituto, resulta competente para emitir el presente Acuerdo</w:t>
      </w:r>
    </w:p>
    <w:p w14:paraId="6B0CE313" w14:textId="77777777" w:rsidR="008B2B08" w:rsidRDefault="008B2B08" w:rsidP="00676AA7">
      <w:pPr>
        <w:suppressAutoHyphens/>
        <w:spacing w:after="0" w:line="240" w:lineRule="auto"/>
        <w:ind w:right="49"/>
        <w:jc w:val="both"/>
        <w:rPr>
          <w:rFonts w:ascii="ITC Avant Garde" w:eastAsia="Times New Roman" w:hAnsi="ITC Avant Garde"/>
          <w:kern w:val="1"/>
          <w:lang w:val="es-ES_tradnl" w:eastAsia="ar-SA"/>
        </w:rPr>
      </w:pPr>
    </w:p>
    <w:p w14:paraId="48ED2467" w14:textId="77777777" w:rsidR="00514B40" w:rsidRPr="00DF45F8" w:rsidRDefault="00514B40" w:rsidP="00676AA7">
      <w:pPr>
        <w:pStyle w:val="Prrafodelista"/>
        <w:numPr>
          <w:ilvl w:val="0"/>
          <w:numId w:val="18"/>
        </w:numPr>
        <w:pBdr>
          <w:top w:val="nil"/>
          <w:left w:val="nil"/>
          <w:bottom w:val="nil"/>
          <w:right w:val="nil"/>
          <w:between w:val="nil"/>
          <w:bar w:val="nil"/>
        </w:pBdr>
        <w:spacing w:after="0" w:line="240" w:lineRule="auto"/>
        <w:ind w:left="0" w:firstLine="0"/>
        <w:contextualSpacing w:val="0"/>
        <w:jc w:val="both"/>
        <w:rPr>
          <w:rFonts w:ascii="ITC Avant Garde" w:hAnsi="ITC Avant Garde" w:cs="Arial"/>
          <w:lang w:eastAsia="ar-SA"/>
        </w:rPr>
      </w:pPr>
      <w:r w:rsidRPr="00DF45F8">
        <w:rPr>
          <w:rFonts w:ascii="ITC Avant Garde" w:hAnsi="ITC Avant Garde" w:cs="Arial"/>
          <w:b/>
          <w:lang w:eastAsia="ar-SA"/>
        </w:rPr>
        <w:t>Identificación de bandas de espectro libre</w:t>
      </w:r>
      <w:r w:rsidRPr="00DF45F8">
        <w:rPr>
          <w:rFonts w:ascii="ITC Avant Garde" w:hAnsi="ITC Avant Garde" w:cs="Arial"/>
          <w:lang w:eastAsia="ar-SA"/>
        </w:rPr>
        <w:t xml:space="preserve">. </w:t>
      </w:r>
      <w:r w:rsidR="001D624F" w:rsidRPr="00DF45F8" w:rsidDel="008F4C58">
        <w:rPr>
          <w:rFonts w:ascii="ITC Avant Garde" w:hAnsi="ITC Avant Garde" w:cs="Arial Unicode MS"/>
          <w:color w:val="000000"/>
          <w:u w:color="000000"/>
          <w:bdr w:val="nil"/>
        </w:rPr>
        <w:t>El</w:t>
      </w:r>
      <w:r w:rsidR="001D624F" w:rsidRPr="00DF45F8">
        <w:rPr>
          <w:rFonts w:ascii="ITC Avant Garde" w:hAnsi="ITC Avant Garde" w:cs="Arial Unicode MS"/>
          <w:color w:val="000000"/>
          <w:u w:color="000000"/>
          <w:bdr w:val="nil"/>
        </w:rPr>
        <w:t xml:space="preserve"> artículo 27 de la Constitución establece, en su parte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 no podrá realizarse sino mediante concesiones otorgadas por el Instituto.</w:t>
      </w:r>
    </w:p>
    <w:p w14:paraId="61875B57" w14:textId="77777777" w:rsidR="004F58EF" w:rsidRPr="00DF45F8" w:rsidRDefault="004F58EF" w:rsidP="004F58EF">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b/>
          <w:lang w:eastAsia="ar-SA"/>
        </w:rPr>
      </w:pPr>
    </w:p>
    <w:p w14:paraId="5A1511D8" w14:textId="02FF306F" w:rsidR="00514B40" w:rsidRPr="00DF45F8" w:rsidRDefault="00514B40" w:rsidP="00676AA7">
      <w:pPr>
        <w:pStyle w:val="Texto"/>
        <w:spacing w:after="0" w:line="240" w:lineRule="auto"/>
        <w:ind w:right="48" w:firstLine="0"/>
        <w:rPr>
          <w:rFonts w:ascii="ITC Avant Garde" w:eastAsiaTheme="minorHAnsi" w:hAnsi="ITC Avant Garde"/>
          <w:sz w:val="22"/>
          <w:szCs w:val="22"/>
          <w:lang w:val="es-MX"/>
        </w:rPr>
      </w:pPr>
      <w:r w:rsidRPr="00DF45F8">
        <w:rPr>
          <w:rFonts w:ascii="ITC Avant Garde" w:eastAsiaTheme="minorHAnsi" w:hAnsi="ITC Avant Garde" w:cs="Arial"/>
          <w:sz w:val="22"/>
          <w:szCs w:val="22"/>
          <w:lang w:val="es-MX" w:eastAsia="es-ES"/>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755A72DE" w14:textId="77777777" w:rsidR="00514B40" w:rsidRPr="00DF45F8" w:rsidRDefault="00514B40" w:rsidP="00676AA7">
      <w:pPr>
        <w:pStyle w:val="Texto"/>
        <w:spacing w:after="0" w:line="240" w:lineRule="auto"/>
        <w:ind w:right="48" w:firstLine="0"/>
        <w:rPr>
          <w:rFonts w:ascii="ITC Avant Garde" w:hAnsi="ITC Avant Garde"/>
          <w:color w:val="000000" w:themeColor="text1"/>
          <w:sz w:val="22"/>
          <w:szCs w:val="22"/>
        </w:rPr>
      </w:pPr>
    </w:p>
    <w:p w14:paraId="29F5A1F7" w14:textId="7E0ED72B" w:rsidR="00514B40" w:rsidRPr="00DF45F8" w:rsidRDefault="003009FB" w:rsidP="00676AA7">
      <w:pPr>
        <w:pStyle w:val="Texto"/>
        <w:spacing w:after="0" w:line="240" w:lineRule="auto"/>
        <w:ind w:right="48" w:firstLine="0"/>
        <w:rPr>
          <w:rFonts w:ascii="ITC Avant Garde" w:hAnsi="ITC Avant Garde"/>
          <w:color w:val="000000" w:themeColor="text1"/>
          <w:sz w:val="22"/>
          <w:szCs w:val="22"/>
        </w:rPr>
      </w:pPr>
      <w:r w:rsidRPr="00DF45F8">
        <w:rPr>
          <w:rFonts w:ascii="ITC Avant Garde" w:hAnsi="ITC Avant Garde"/>
          <w:color w:val="000000" w:themeColor="text1"/>
          <w:sz w:val="22"/>
          <w:szCs w:val="22"/>
        </w:rPr>
        <w:t>E</w:t>
      </w:r>
      <w:r w:rsidR="00676AA7" w:rsidRPr="00DF45F8">
        <w:rPr>
          <w:rFonts w:ascii="ITC Avant Garde" w:hAnsi="ITC Avant Garde"/>
          <w:color w:val="000000" w:themeColor="text1"/>
          <w:sz w:val="22"/>
          <w:szCs w:val="22"/>
        </w:rPr>
        <w:t xml:space="preserve">l artículo 3, fracción XXI </w:t>
      </w:r>
      <w:r w:rsidR="00514B40" w:rsidRPr="00DF45F8">
        <w:rPr>
          <w:rFonts w:ascii="ITC Avant Garde" w:hAnsi="ITC Avant Garde"/>
          <w:color w:val="000000" w:themeColor="text1"/>
          <w:sz w:val="22"/>
          <w:szCs w:val="22"/>
        </w:rPr>
        <w:t>de la Ley, defin</w:t>
      </w:r>
      <w:r w:rsidR="00676AA7" w:rsidRPr="00DF45F8">
        <w:rPr>
          <w:rFonts w:ascii="ITC Avant Garde" w:hAnsi="ITC Avant Garde"/>
          <w:color w:val="000000" w:themeColor="text1"/>
          <w:sz w:val="22"/>
          <w:szCs w:val="22"/>
        </w:rPr>
        <w:t>e espectro radioeléctrico como:</w:t>
      </w:r>
    </w:p>
    <w:p w14:paraId="4F53492F" w14:textId="77777777" w:rsidR="00514B40" w:rsidRDefault="00514B40" w:rsidP="00676AA7">
      <w:pPr>
        <w:pStyle w:val="Texto"/>
        <w:spacing w:after="0" w:line="240" w:lineRule="auto"/>
        <w:ind w:right="1182" w:firstLine="0"/>
        <w:rPr>
          <w:rFonts w:ascii="ITC Avant Garde" w:hAnsi="ITC Avant Garde"/>
          <w:i/>
          <w:color w:val="000000" w:themeColor="text1"/>
          <w:sz w:val="22"/>
          <w:szCs w:val="22"/>
        </w:rPr>
      </w:pPr>
    </w:p>
    <w:p w14:paraId="25427CE0" w14:textId="2DC4A25C" w:rsidR="00236A9E" w:rsidRPr="00DF45F8" w:rsidRDefault="00514B40" w:rsidP="004D66CC">
      <w:pPr>
        <w:pStyle w:val="Texto"/>
        <w:spacing w:after="0" w:line="240" w:lineRule="auto"/>
        <w:ind w:left="1134" w:right="900" w:firstLine="0"/>
        <w:rPr>
          <w:rFonts w:ascii="ITC Avant Garde" w:hAnsi="ITC Avant Garde"/>
          <w:i/>
          <w:color w:val="000000" w:themeColor="text1"/>
          <w:sz w:val="20"/>
          <w:szCs w:val="20"/>
        </w:rPr>
      </w:pPr>
      <w:r w:rsidRPr="00DF45F8">
        <w:rPr>
          <w:rFonts w:ascii="ITC Avant Garde" w:hAnsi="ITC Avant Garde"/>
          <w:i/>
          <w:color w:val="000000" w:themeColor="text1"/>
          <w:sz w:val="20"/>
          <w:szCs w:val="20"/>
        </w:rPr>
        <w:t>“</w:t>
      </w:r>
      <w:r w:rsidRPr="00DF45F8">
        <w:rPr>
          <w:rFonts w:ascii="ITC Avant Garde" w:hAnsi="ITC Avant Garde"/>
          <w:b/>
          <w:i/>
          <w:color w:val="000000" w:themeColor="text1"/>
          <w:sz w:val="20"/>
          <w:szCs w:val="20"/>
        </w:rPr>
        <w:t>Artículo 3</w:t>
      </w:r>
      <w:r w:rsidRPr="00DF45F8">
        <w:rPr>
          <w:rFonts w:ascii="ITC Avant Garde" w:hAnsi="ITC Avant Garde"/>
          <w:i/>
          <w:color w:val="000000" w:themeColor="text1"/>
          <w:sz w:val="20"/>
          <w:szCs w:val="20"/>
        </w:rPr>
        <w:t>. Para los efectos de esta Ley se entenderá por:</w:t>
      </w:r>
    </w:p>
    <w:p w14:paraId="02BD616A" w14:textId="77777777" w:rsidR="00514B40" w:rsidRPr="00DF45F8" w:rsidRDefault="00514B40" w:rsidP="006E2CA6">
      <w:pPr>
        <w:pStyle w:val="Texto"/>
        <w:spacing w:after="0" w:line="240" w:lineRule="auto"/>
        <w:ind w:left="1134" w:right="900" w:firstLine="0"/>
        <w:rPr>
          <w:rFonts w:ascii="ITC Avant Garde" w:hAnsi="ITC Avant Garde"/>
          <w:i/>
          <w:color w:val="000000" w:themeColor="text1"/>
          <w:sz w:val="20"/>
          <w:szCs w:val="20"/>
        </w:rPr>
      </w:pPr>
      <w:r w:rsidRPr="00DF45F8">
        <w:rPr>
          <w:rFonts w:ascii="ITC Avant Garde" w:hAnsi="ITC Avant Garde"/>
          <w:i/>
          <w:color w:val="000000" w:themeColor="text1"/>
          <w:sz w:val="20"/>
          <w:szCs w:val="20"/>
        </w:rPr>
        <w:t>(…)</w:t>
      </w:r>
    </w:p>
    <w:p w14:paraId="60FA2695" w14:textId="77777777" w:rsidR="00BC0DD5" w:rsidRPr="00DF45F8" w:rsidRDefault="00514B40" w:rsidP="006E2CA6">
      <w:pPr>
        <w:pStyle w:val="Texto"/>
        <w:spacing w:after="0" w:line="240" w:lineRule="auto"/>
        <w:ind w:left="1134" w:right="900" w:firstLine="0"/>
        <w:rPr>
          <w:rFonts w:ascii="ITC Avant Garde" w:hAnsi="ITC Avant Garde"/>
          <w:i/>
          <w:color w:val="000000" w:themeColor="text1"/>
          <w:sz w:val="20"/>
          <w:szCs w:val="20"/>
        </w:rPr>
      </w:pPr>
      <w:r w:rsidRPr="00DF45F8">
        <w:rPr>
          <w:rFonts w:ascii="ITC Avant Garde" w:hAnsi="ITC Avant Garde"/>
          <w:b/>
          <w:i/>
          <w:color w:val="000000" w:themeColor="text1"/>
          <w:sz w:val="20"/>
          <w:szCs w:val="20"/>
        </w:rPr>
        <w:t>XXI.</w:t>
      </w:r>
      <w:r w:rsidRPr="00DF45F8">
        <w:rPr>
          <w:rFonts w:ascii="ITC Avant Garde" w:hAnsi="ITC Avant Garde"/>
          <w:i/>
          <w:color w:val="000000" w:themeColor="text1"/>
          <w:sz w:val="20"/>
          <w:szCs w:val="20"/>
        </w:rPr>
        <w:t xml:space="preserve"> </w:t>
      </w:r>
      <w:r w:rsidRPr="00DF45F8">
        <w:rPr>
          <w:rFonts w:ascii="ITC Avant Garde" w:hAnsi="ITC Avant Garde"/>
          <w:b/>
          <w:i/>
          <w:color w:val="000000" w:themeColor="text1"/>
          <w:sz w:val="20"/>
          <w:szCs w:val="20"/>
        </w:rPr>
        <w:t>Espectro radioeléctrico:</w:t>
      </w:r>
      <w:r w:rsidRPr="00DF45F8">
        <w:rPr>
          <w:rFonts w:ascii="ITC Avant Garde" w:hAnsi="ITC Avant Garde"/>
          <w:i/>
          <w:color w:val="000000" w:themeColor="text1"/>
          <w:sz w:val="20"/>
          <w:szCs w:val="20"/>
        </w:rPr>
        <w:t xml:space="preserve"> Espacio que permite la propagación, sin guía artificial, de ondas electromagnéticas cuyas bandas de frecuencias se fijan convencionalmente por debajo de los 3,000 </w:t>
      </w:r>
      <w:proofErr w:type="spellStart"/>
      <w:r w:rsidRPr="00DF45F8">
        <w:rPr>
          <w:rFonts w:ascii="ITC Avant Garde" w:hAnsi="ITC Avant Garde"/>
          <w:i/>
          <w:color w:val="000000" w:themeColor="text1"/>
          <w:sz w:val="20"/>
          <w:szCs w:val="20"/>
        </w:rPr>
        <w:t>gigahertz</w:t>
      </w:r>
      <w:proofErr w:type="spellEnd"/>
      <w:r w:rsidRPr="00DF45F8">
        <w:rPr>
          <w:rFonts w:ascii="ITC Avant Garde" w:hAnsi="ITC Avant Garde"/>
          <w:i/>
          <w:color w:val="000000" w:themeColor="text1"/>
          <w:sz w:val="20"/>
          <w:szCs w:val="20"/>
        </w:rPr>
        <w:t>;</w:t>
      </w:r>
    </w:p>
    <w:p w14:paraId="089963E1" w14:textId="7EEAF141" w:rsidR="00514B40" w:rsidRPr="00DF45F8" w:rsidRDefault="00BC0DD5" w:rsidP="006E2CA6">
      <w:pPr>
        <w:pStyle w:val="Texto"/>
        <w:spacing w:after="0" w:line="240" w:lineRule="auto"/>
        <w:ind w:left="1134" w:right="900" w:firstLine="0"/>
        <w:rPr>
          <w:rFonts w:ascii="ITC Avant Garde" w:hAnsi="ITC Avant Garde"/>
          <w:i/>
          <w:color w:val="000000" w:themeColor="text1"/>
          <w:sz w:val="20"/>
          <w:szCs w:val="20"/>
        </w:rPr>
      </w:pPr>
      <w:r w:rsidRPr="00DF45F8">
        <w:rPr>
          <w:rFonts w:ascii="ITC Avant Garde" w:hAnsi="ITC Avant Garde"/>
          <w:i/>
          <w:color w:val="000000" w:themeColor="text1"/>
          <w:sz w:val="20"/>
          <w:szCs w:val="20"/>
        </w:rPr>
        <w:t>(…)</w:t>
      </w:r>
      <w:r w:rsidR="00514B40" w:rsidRPr="00DF45F8">
        <w:rPr>
          <w:rFonts w:ascii="ITC Avant Garde" w:hAnsi="ITC Avant Garde"/>
          <w:i/>
          <w:color w:val="000000" w:themeColor="text1"/>
          <w:sz w:val="20"/>
          <w:szCs w:val="20"/>
        </w:rPr>
        <w:t>”</w:t>
      </w:r>
    </w:p>
    <w:p w14:paraId="7F9973AB" w14:textId="77777777" w:rsidR="00514B40" w:rsidRPr="00DF45F8" w:rsidRDefault="00514B40" w:rsidP="00676AA7">
      <w:pPr>
        <w:pStyle w:val="Texto"/>
        <w:spacing w:after="0" w:line="240" w:lineRule="auto"/>
        <w:ind w:right="1182" w:firstLine="0"/>
        <w:rPr>
          <w:rFonts w:ascii="ITC Avant Garde" w:hAnsi="ITC Avant Garde"/>
          <w:i/>
          <w:color w:val="000000" w:themeColor="text1"/>
          <w:sz w:val="22"/>
          <w:szCs w:val="22"/>
        </w:rPr>
      </w:pPr>
    </w:p>
    <w:p w14:paraId="30B3FDCA" w14:textId="1CF413DA" w:rsidR="00514B40" w:rsidRDefault="00514B40" w:rsidP="00DC591F">
      <w:pPr>
        <w:pStyle w:val="Texto"/>
        <w:spacing w:after="0" w:line="240" w:lineRule="auto"/>
        <w:ind w:right="48" w:firstLine="0"/>
        <w:rPr>
          <w:rStyle w:val="Ttulo3Car"/>
          <w:rFonts w:ascii="ITC Avant Garde" w:eastAsia="Arial Unicode MS" w:hAnsi="ITC Avant Garde" w:cs="Arial"/>
          <w:color w:val="000000" w:themeColor="text1"/>
          <w:sz w:val="22"/>
          <w:szCs w:val="22"/>
        </w:rPr>
      </w:pPr>
      <w:r w:rsidRPr="00DF45F8">
        <w:rPr>
          <w:rFonts w:ascii="ITC Avant Garde" w:eastAsiaTheme="minorHAnsi" w:hAnsi="ITC Avant Garde"/>
          <w:sz w:val="22"/>
          <w:szCs w:val="22"/>
          <w:lang w:val="es-MX"/>
        </w:rPr>
        <w:t xml:space="preserve">En esta tesitura, además de su conceptualización, debe considerarse que el espectro radioeléctrico es un bien finito, pero reutilizable. </w:t>
      </w:r>
      <w:r w:rsidR="00212842" w:rsidRPr="00DF45F8">
        <w:rPr>
          <w:rFonts w:ascii="ITC Avant Garde" w:hAnsi="ITC Avant Garde"/>
          <w:sz w:val="22"/>
          <w:szCs w:val="22"/>
        </w:rPr>
        <w:t xml:space="preserve">Por lo que, </w:t>
      </w:r>
      <w:r w:rsidRPr="00DF45F8">
        <w:rPr>
          <w:rFonts w:ascii="ITC Avant Garde" w:hAnsi="ITC Avant Garde"/>
          <w:sz w:val="22"/>
          <w:szCs w:val="22"/>
        </w:rPr>
        <w:t xml:space="preserve">desde la iniciativa de la Ley, presentada por el Ejecutivo Federal ante la Cámara de Senadores y, </w:t>
      </w:r>
      <w:r w:rsidRPr="00DF45F8">
        <w:rPr>
          <w:rFonts w:ascii="ITC Avant Garde" w:hAnsi="ITC Avant Garde" w:cs="Arial"/>
          <w:sz w:val="22"/>
          <w:szCs w:val="22"/>
        </w:rPr>
        <w:t>que</w:t>
      </w:r>
      <w:r w:rsidRPr="00DF45F8">
        <w:rPr>
          <w:rFonts w:ascii="ITC Avant Garde" w:hAnsi="ITC Avant Garde"/>
          <w:sz w:val="22"/>
          <w:szCs w:val="22"/>
        </w:rPr>
        <w:t xml:space="preserve"> posteriormente fue aprobada por ambas cámaras</w:t>
      </w:r>
      <w:r w:rsidR="00AE13F4" w:rsidRPr="00DF45F8">
        <w:rPr>
          <w:rFonts w:ascii="ITC Avant Garde" w:hAnsi="ITC Avant Garde"/>
          <w:sz w:val="22"/>
          <w:szCs w:val="22"/>
        </w:rPr>
        <w:t>,</w:t>
      </w:r>
      <w:r w:rsidRPr="00DF45F8">
        <w:rPr>
          <w:rFonts w:ascii="ITC Avant Garde" w:hAnsi="ITC Avant Garde"/>
          <w:sz w:val="22"/>
          <w:szCs w:val="22"/>
        </w:rPr>
        <w:t xml:space="preserve"> se consideró que la planificación del espectro radioeléctrico constituye una de las tareas más relevantes del Estado</w:t>
      </w:r>
      <w:r w:rsidR="005534EE" w:rsidRPr="00DF45F8">
        <w:rPr>
          <w:rFonts w:ascii="ITC Avant Garde" w:hAnsi="ITC Avant Garde"/>
          <w:sz w:val="22"/>
          <w:szCs w:val="22"/>
        </w:rPr>
        <w:t xml:space="preserve"> en materia de telecomunicaciones</w:t>
      </w:r>
      <w:r w:rsidRPr="00DF45F8">
        <w:rPr>
          <w:rFonts w:ascii="ITC Avant Garde" w:hAnsi="ITC Avant Garde"/>
          <w:sz w:val="22"/>
          <w:szCs w:val="22"/>
        </w:rPr>
        <w:t>, toda vez que este recurso es el elemento primario e indispensable de las comunicaciones inalámbricas, por lo que se convierte en un recurso extremadamente escaso y de gran valor</w:t>
      </w:r>
      <w:r w:rsidRPr="00DF45F8">
        <w:rPr>
          <w:rStyle w:val="Refdenotaalpie"/>
          <w:rFonts w:ascii="ITC Avant Garde" w:hAnsi="ITC Avant Garde" w:cs="Arial"/>
          <w:color w:val="000000" w:themeColor="text1"/>
        </w:rPr>
        <w:footnoteReference w:id="2"/>
      </w:r>
      <w:r w:rsidR="00A56C6B" w:rsidRPr="00DF45F8">
        <w:rPr>
          <w:rStyle w:val="Ttulo3Car"/>
          <w:rFonts w:ascii="ITC Avant Garde" w:eastAsia="Arial Unicode MS" w:hAnsi="ITC Avant Garde" w:cs="Arial"/>
          <w:color w:val="000000" w:themeColor="text1"/>
          <w:sz w:val="22"/>
          <w:szCs w:val="22"/>
        </w:rPr>
        <w:t>.</w:t>
      </w:r>
    </w:p>
    <w:p w14:paraId="60F2A2F3" w14:textId="77777777" w:rsidR="003F7721" w:rsidRPr="00DF45F8" w:rsidRDefault="003F7721" w:rsidP="00DC591F">
      <w:pPr>
        <w:pStyle w:val="Texto"/>
        <w:spacing w:after="0" w:line="240" w:lineRule="auto"/>
        <w:ind w:right="48" w:firstLine="0"/>
        <w:rPr>
          <w:rStyle w:val="Ttulo3Car"/>
          <w:rFonts w:ascii="ITC Avant Garde" w:eastAsia="Calibri" w:hAnsi="ITC Avant Garde" w:cs="Arial"/>
          <w:b/>
          <w:color w:val="000000" w:themeColor="text1"/>
          <w:sz w:val="22"/>
          <w:szCs w:val="22"/>
        </w:rPr>
      </w:pPr>
    </w:p>
    <w:p w14:paraId="43433B11" w14:textId="1DF4ACDB" w:rsidR="00514B40" w:rsidRPr="00DF45F8" w:rsidRDefault="00514B40" w:rsidP="00676AA7">
      <w:pPr>
        <w:pStyle w:val="Prrafodelista"/>
        <w:spacing w:after="0" w:line="240" w:lineRule="auto"/>
        <w:ind w:left="0"/>
        <w:contextualSpacing w:val="0"/>
        <w:jc w:val="both"/>
        <w:rPr>
          <w:rFonts w:ascii="ITC Avant Garde" w:hAnsi="ITC Avant Garde"/>
        </w:rPr>
      </w:pPr>
      <w:r w:rsidRPr="00DF45F8">
        <w:rPr>
          <w:rFonts w:ascii="ITC Avant Garde" w:hAnsi="ITC Avant Garde"/>
        </w:rPr>
        <w:t>Además, se previó que el espectro radioeléctrico como un bien de dominio público de la Nación</w:t>
      </w:r>
      <w:r w:rsidR="00150F8D" w:rsidRPr="00DF45F8">
        <w:rPr>
          <w:rFonts w:ascii="ITC Avant Garde" w:hAnsi="ITC Avant Garde"/>
        </w:rPr>
        <w:t xml:space="preserve"> </w:t>
      </w:r>
      <w:r w:rsidR="009B21CA" w:rsidRPr="00DF45F8">
        <w:rPr>
          <w:rFonts w:ascii="ITC Avant Garde" w:hAnsi="ITC Avant Garde"/>
        </w:rPr>
        <w:t xml:space="preserve">y </w:t>
      </w:r>
      <w:r w:rsidRPr="00DF45F8">
        <w:rPr>
          <w:rFonts w:ascii="ITC Avant Garde" w:hAnsi="ITC Avant Garde"/>
        </w:rPr>
        <w:t xml:space="preserve">de naturaleza limitada, se debe aprovechar al máximo a través de una </w:t>
      </w:r>
      <w:r w:rsidRPr="00DF45F8">
        <w:rPr>
          <w:rFonts w:ascii="ITC Avant Garde" w:hAnsi="ITC Avant Garde"/>
        </w:rPr>
        <w:lastRenderedPageBreak/>
        <w:t xml:space="preserve">regulación eficiente e idónea, que permita el uso, aprovechamiento y explotación de dicho bien, en beneficio de la Nación. </w:t>
      </w:r>
    </w:p>
    <w:p w14:paraId="053DDEC2" w14:textId="77777777" w:rsidR="00514B40" w:rsidRPr="00DF45F8" w:rsidRDefault="00514B40" w:rsidP="00676AA7">
      <w:pPr>
        <w:pStyle w:val="Prrafodelista"/>
        <w:spacing w:after="0" w:line="240" w:lineRule="auto"/>
        <w:ind w:left="0"/>
        <w:contextualSpacing w:val="0"/>
        <w:jc w:val="both"/>
        <w:rPr>
          <w:rStyle w:val="Ttulo3Car"/>
          <w:rFonts w:ascii="ITC Avant Garde" w:eastAsia="Arial Unicode MS" w:hAnsi="ITC Avant Garde"/>
          <w:b/>
          <w:color w:val="000000" w:themeColor="text1"/>
          <w:sz w:val="22"/>
          <w:szCs w:val="22"/>
        </w:rPr>
      </w:pPr>
    </w:p>
    <w:p w14:paraId="31977B50" w14:textId="4AC38101" w:rsidR="00514B40" w:rsidRPr="00DF45F8" w:rsidRDefault="00514B40" w:rsidP="00676AA7">
      <w:pPr>
        <w:pStyle w:val="Prrafodelista"/>
        <w:spacing w:after="0" w:line="240" w:lineRule="auto"/>
        <w:ind w:left="0"/>
        <w:contextualSpacing w:val="0"/>
        <w:jc w:val="both"/>
        <w:rPr>
          <w:rFonts w:ascii="ITC Avant Garde" w:hAnsi="ITC Avant Garde"/>
        </w:rPr>
      </w:pPr>
      <w:r w:rsidRPr="00DF45F8">
        <w:rPr>
          <w:rFonts w:ascii="ITC Avant Garde" w:hAnsi="ITC Avant Garde"/>
        </w:rPr>
        <w:t>Por tanto,</w:t>
      </w:r>
      <w:r w:rsidR="00F00533" w:rsidRPr="00DF45F8">
        <w:rPr>
          <w:rFonts w:ascii="ITC Avant Garde" w:hAnsi="ITC Avant Garde"/>
        </w:rPr>
        <w:t xml:space="preserve"> l</w:t>
      </w:r>
      <w:r w:rsidRPr="00DF45F8">
        <w:rPr>
          <w:rFonts w:ascii="ITC Avant Garde" w:hAnsi="ITC Avant Garde"/>
        </w:rPr>
        <w:t>os artículos 54</w:t>
      </w:r>
      <w:r w:rsidR="00120C9E" w:rsidRPr="00DF45F8">
        <w:rPr>
          <w:rFonts w:ascii="ITC Avant Garde" w:hAnsi="ITC Avant Garde"/>
        </w:rPr>
        <w:t xml:space="preserve"> y</w:t>
      </w:r>
      <w:r w:rsidRPr="00DF45F8">
        <w:rPr>
          <w:rFonts w:ascii="ITC Avant Garde" w:hAnsi="ITC Avant Garde"/>
        </w:rPr>
        <w:t xml:space="preserve"> 55</w:t>
      </w:r>
      <w:r w:rsidR="00112048" w:rsidRPr="00DF45F8">
        <w:rPr>
          <w:rFonts w:ascii="ITC Avant Garde" w:hAnsi="ITC Avant Garde"/>
        </w:rPr>
        <w:t>,</w:t>
      </w:r>
      <w:r w:rsidR="00382FAD" w:rsidRPr="00DF45F8">
        <w:rPr>
          <w:rFonts w:ascii="ITC Avant Garde" w:hAnsi="ITC Avant Garde"/>
        </w:rPr>
        <w:t xml:space="preserve"> fracción II</w:t>
      </w:r>
      <w:r w:rsidRPr="00DF45F8">
        <w:rPr>
          <w:rFonts w:ascii="ITC Avant Garde" w:hAnsi="ITC Avant Garde"/>
        </w:rPr>
        <w:t xml:space="preserve"> de la Ley, en la parte que interesa, indican: </w:t>
      </w:r>
    </w:p>
    <w:p w14:paraId="1B6286CE" w14:textId="77777777" w:rsidR="00514B40" w:rsidRPr="00DF45F8" w:rsidRDefault="00514B40" w:rsidP="00676AA7">
      <w:pPr>
        <w:pStyle w:val="Texto"/>
        <w:spacing w:after="0" w:line="240" w:lineRule="auto"/>
        <w:ind w:firstLine="0"/>
        <w:rPr>
          <w:rFonts w:ascii="ITC Avant Garde" w:hAnsi="ITC Avant Garde"/>
          <w:sz w:val="22"/>
          <w:szCs w:val="22"/>
        </w:rPr>
      </w:pPr>
    </w:p>
    <w:p w14:paraId="2DDA3F0A"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w:t>
      </w:r>
      <w:r w:rsidRPr="00DF45F8">
        <w:rPr>
          <w:rStyle w:val="Ttulo3Car"/>
          <w:rFonts w:ascii="ITC Avant Garde" w:eastAsia="Arial Unicode MS" w:hAnsi="ITC Avant Garde"/>
          <w:b/>
          <w:i/>
          <w:color w:val="000000" w:themeColor="text1"/>
          <w:sz w:val="20"/>
          <w:szCs w:val="20"/>
        </w:rPr>
        <w:t>Artículo 54</w:t>
      </w:r>
      <w:r w:rsidRPr="00DF45F8">
        <w:rPr>
          <w:rStyle w:val="Ttulo3Car"/>
          <w:rFonts w:ascii="ITC Avant Garde" w:eastAsia="Arial Unicode MS" w:hAnsi="ITC Avant Garde"/>
          <w:i/>
          <w:color w:val="000000" w:themeColor="text1"/>
          <w:sz w:val="20"/>
          <w:szCs w:val="20"/>
        </w:rPr>
        <w:t>. El espectro radioeléctrico y los recursos orbitales son bienes del dominio público de la Nación, cuya titularidad y administración corresponden al Estado.</w:t>
      </w:r>
    </w:p>
    <w:p w14:paraId="28B130EF" w14:textId="77777777" w:rsidR="00236A9E" w:rsidRPr="00DF45F8" w:rsidRDefault="00236A9E"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p>
    <w:p w14:paraId="30AF138C"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21356DFC" w14:textId="77777777" w:rsidR="00CB4686" w:rsidRPr="00DF45F8" w:rsidRDefault="00CB4686"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p>
    <w:p w14:paraId="478DA9B7"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9C91D83" w14:textId="77777777" w:rsidR="00CB4686" w:rsidRPr="00DF45F8" w:rsidRDefault="00CB4686"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p>
    <w:p w14:paraId="20B4B2BD"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Al administrar el espectro, el Instituto perseguirá los siguientes objetivos generales en beneficio de los usuarios:</w:t>
      </w:r>
    </w:p>
    <w:p w14:paraId="4F39CDA8" w14:textId="77777777" w:rsidR="00236A9E" w:rsidRPr="00DF45F8" w:rsidRDefault="00236A9E"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p>
    <w:p w14:paraId="77938D6E" w14:textId="77777777" w:rsidR="00514B40" w:rsidRPr="00DF45F8" w:rsidRDefault="00514B40" w:rsidP="00676AA7">
      <w:pPr>
        <w:pStyle w:val="Prrafodelista"/>
        <w:numPr>
          <w:ilvl w:val="0"/>
          <w:numId w:val="7"/>
        </w:numPr>
        <w:pBdr>
          <w:top w:val="nil"/>
          <w:left w:val="nil"/>
          <w:bottom w:val="nil"/>
          <w:right w:val="nil"/>
          <w:between w:val="nil"/>
          <w:bar w:val="nil"/>
        </w:pBdr>
        <w:tabs>
          <w:tab w:val="left" w:pos="1134"/>
        </w:tabs>
        <w:spacing w:after="0" w:line="240" w:lineRule="auto"/>
        <w:ind w:left="709" w:right="1324" w:firstLine="0"/>
        <w:contextualSpacing w:val="0"/>
        <w:jc w:val="both"/>
        <w:rPr>
          <w:rStyle w:val="Ttulo3Car"/>
          <w:rFonts w:ascii="ITC Avant Garde" w:eastAsia="Arial Unicode MS" w:hAnsi="ITC Avant Garde"/>
          <w:b/>
          <w:i/>
          <w:color w:val="000000" w:themeColor="text1"/>
          <w:sz w:val="20"/>
          <w:szCs w:val="20"/>
        </w:rPr>
      </w:pPr>
      <w:r w:rsidRPr="00DF45F8">
        <w:rPr>
          <w:rStyle w:val="Ttulo3Car"/>
          <w:rFonts w:ascii="ITC Avant Garde" w:eastAsia="Arial Unicode MS" w:hAnsi="ITC Avant Garde"/>
          <w:i/>
          <w:color w:val="000000" w:themeColor="text1"/>
          <w:sz w:val="20"/>
          <w:szCs w:val="20"/>
        </w:rPr>
        <w:t>La seguridad de la vida;</w:t>
      </w:r>
    </w:p>
    <w:p w14:paraId="5835743F" w14:textId="77777777" w:rsidR="00514B40" w:rsidRPr="00DF45F8" w:rsidRDefault="00514B40" w:rsidP="00676AA7">
      <w:pPr>
        <w:pStyle w:val="Prrafodelista"/>
        <w:numPr>
          <w:ilvl w:val="0"/>
          <w:numId w:val="7"/>
        </w:numPr>
        <w:pBdr>
          <w:top w:val="nil"/>
          <w:left w:val="nil"/>
          <w:bottom w:val="nil"/>
          <w:right w:val="nil"/>
          <w:between w:val="nil"/>
          <w:bar w:val="nil"/>
        </w:pBdr>
        <w:tabs>
          <w:tab w:val="left" w:pos="1134"/>
        </w:tabs>
        <w:spacing w:after="0" w:line="240" w:lineRule="auto"/>
        <w:ind w:left="709" w:right="1324" w:firstLine="0"/>
        <w:contextualSpacing w:val="0"/>
        <w:jc w:val="both"/>
        <w:rPr>
          <w:rStyle w:val="Ttulo3Car"/>
          <w:rFonts w:ascii="ITC Avant Garde" w:eastAsia="Arial Unicode MS" w:hAnsi="ITC Avant Garde"/>
          <w:b/>
          <w:i/>
          <w:color w:val="000000" w:themeColor="text1"/>
          <w:sz w:val="20"/>
          <w:szCs w:val="20"/>
        </w:rPr>
      </w:pPr>
      <w:r w:rsidRPr="00DF45F8">
        <w:rPr>
          <w:rStyle w:val="Ttulo3Car"/>
          <w:rFonts w:ascii="ITC Avant Garde" w:eastAsia="Arial Unicode MS" w:hAnsi="ITC Avant Garde"/>
          <w:i/>
          <w:color w:val="000000" w:themeColor="text1"/>
          <w:sz w:val="20"/>
          <w:szCs w:val="20"/>
        </w:rPr>
        <w:t>La promoción de la cohesión social, regional o territorial;</w:t>
      </w:r>
    </w:p>
    <w:p w14:paraId="0993FC4F" w14:textId="77777777" w:rsidR="00514B40"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La competencia efectiva en los mercados convergentes de los sectores de telecomunicaciones y radiodifusión;</w:t>
      </w:r>
    </w:p>
    <w:p w14:paraId="6393B88D" w14:textId="77777777" w:rsidR="00514B40"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El uso eficaz del espectro y su protección;</w:t>
      </w:r>
    </w:p>
    <w:p w14:paraId="0862D424" w14:textId="77777777" w:rsidR="00514B40"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La garantía del espectro necesario para los fines y funciones del Ejecutivo Federal;</w:t>
      </w:r>
    </w:p>
    <w:p w14:paraId="5AA5EB22" w14:textId="77777777" w:rsidR="00236A9E"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La inversión eficiente en infraestructuras, la innovación y el desarrollo de la industria de productos y servicios convergentes;</w:t>
      </w:r>
    </w:p>
    <w:p w14:paraId="1BF30356" w14:textId="77777777" w:rsidR="00514B40"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El fomento de la neutralidad tecnológica, y</w:t>
      </w:r>
    </w:p>
    <w:p w14:paraId="58407791" w14:textId="77777777" w:rsidR="00514B40" w:rsidRPr="00DF45F8" w:rsidRDefault="00514B40" w:rsidP="00676AA7">
      <w:pPr>
        <w:pStyle w:val="Prrafodelista"/>
        <w:numPr>
          <w:ilvl w:val="0"/>
          <w:numId w:val="7"/>
        </w:numPr>
        <w:tabs>
          <w:tab w:val="left" w:pos="1134"/>
        </w:tabs>
        <w:spacing w:after="0" w:line="240" w:lineRule="auto"/>
        <w:ind w:left="1134" w:right="1324" w:hanging="425"/>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i/>
          <w:color w:val="000000" w:themeColor="text1"/>
          <w:sz w:val="20"/>
          <w:szCs w:val="20"/>
        </w:rPr>
        <w:t>El cumplimiento de lo dispuesto por los artículos 2o., 6o., 7o. y 28 de la Constitución.</w:t>
      </w:r>
    </w:p>
    <w:p w14:paraId="3C37D150"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p>
    <w:p w14:paraId="4465C985"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b/>
          <w:i/>
          <w:color w:val="000000" w:themeColor="text1"/>
          <w:sz w:val="20"/>
          <w:szCs w:val="20"/>
        </w:rPr>
      </w:pPr>
      <w:r w:rsidRPr="00DF45F8">
        <w:rPr>
          <w:rStyle w:val="Ttulo3Car"/>
          <w:rFonts w:ascii="ITC Avant Garde" w:eastAsia="Arial Unicode MS" w:hAnsi="ITC Avant Garde"/>
          <w:i/>
          <w:color w:val="000000" w:themeColor="text1"/>
          <w:sz w:val="20"/>
          <w:szCs w:val="20"/>
        </w:rPr>
        <w:t>Para la atribución de una banda de frecuencias y la concesión del espectro y recursos orbitales, el Instituto se basará en criterios objetivos, transparentes, no discriminatorios y proporcionales.”</w:t>
      </w:r>
    </w:p>
    <w:p w14:paraId="0FF0DCE5" w14:textId="77777777" w:rsidR="00514B40" w:rsidRPr="00DF45F8" w:rsidRDefault="00514B40" w:rsidP="00676AA7">
      <w:pPr>
        <w:pStyle w:val="Prrafodelista"/>
        <w:spacing w:after="0" w:line="240" w:lineRule="auto"/>
        <w:ind w:left="709" w:right="1324"/>
        <w:contextualSpacing w:val="0"/>
        <w:jc w:val="both"/>
        <w:rPr>
          <w:rStyle w:val="Ttulo3Car"/>
          <w:rFonts w:ascii="ITC Avant Garde" w:eastAsia="Arial Unicode MS" w:hAnsi="ITC Avant Garde" w:cs="Arial"/>
          <w:b/>
          <w:color w:val="000000" w:themeColor="text1"/>
          <w:sz w:val="20"/>
          <w:szCs w:val="20"/>
          <w:lang w:val="es-ES_tradnl"/>
        </w:rPr>
      </w:pPr>
    </w:p>
    <w:p w14:paraId="2656EE0C" w14:textId="77777777" w:rsidR="00514B40" w:rsidRPr="00DF45F8" w:rsidRDefault="00514B40" w:rsidP="00676AA7">
      <w:pPr>
        <w:pStyle w:val="Texto"/>
        <w:spacing w:after="0" w:line="240" w:lineRule="auto"/>
        <w:ind w:left="709" w:right="1324" w:firstLine="0"/>
        <w:rPr>
          <w:rStyle w:val="Ttulo3Car"/>
          <w:rFonts w:ascii="ITC Avant Garde" w:eastAsia="Calibri" w:hAnsi="ITC Avant Garde"/>
          <w:i/>
          <w:color w:val="000000" w:themeColor="text1"/>
          <w:sz w:val="20"/>
          <w:szCs w:val="20"/>
        </w:rPr>
      </w:pPr>
      <w:r w:rsidRPr="00DF45F8">
        <w:rPr>
          <w:rStyle w:val="Ttulo3Car"/>
          <w:rFonts w:ascii="ITC Avant Garde" w:eastAsia="Calibri" w:hAnsi="ITC Avant Garde"/>
          <w:i/>
          <w:color w:val="000000" w:themeColor="text1"/>
          <w:sz w:val="20"/>
          <w:szCs w:val="20"/>
        </w:rPr>
        <w:t>“</w:t>
      </w:r>
      <w:r w:rsidRPr="00DF45F8">
        <w:rPr>
          <w:rStyle w:val="Ttulo3Car"/>
          <w:rFonts w:ascii="ITC Avant Garde" w:eastAsia="Calibri" w:hAnsi="ITC Avant Garde"/>
          <w:b/>
          <w:i/>
          <w:color w:val="000000" w:themeColor="text1"/>
          <w:sz w:val="20"/>
          <w:szCs w:val="20"/>
        </w:rPr>
        <w:t>Artículo 55.</w:t>
      </w:r>
      <w:r w:rsidRPr="00DF45F8">
        <w:rPr>
          <w:rStyle w:val="Ttulo3Car"/>
          <w:rFonts w:ascii="ITC Avant Garde" w:eastAsia="Calibri" w:hAnsi="ITC Avant Garde"/>
          <w:i/>
          <w:color w:val="000000" w:themeColor="text1"/>
          <w:sz w:val="20"/>
          <w:szCs w:val="20"/>
        </w:rPr>
        <w:t xml:space="preserve"> Las bandas de frecuencia del espectro radioeléctrico se clasificarán de acuerdo con lo siguiente:</w:t>
      </w:r>
    </w:p>
    <w:p w14:paraId="6FF70651" w14:textId="77777777" w:rsidR="00236A9E" w:rsidRPr="00DF45F8" w:rsidRDefault="00236A9E" w:rsidP="006E2CA6">
      <w:pPr>
        <w:pStyle w:val="Texto"/>
        <w:spacing w:after="0" w:line="240" w:lineRule="auto"/>
        <w:ind w:right="1324"/>
        <w:rPr>
          <w:rStyle w:val="Ttulo3Car"/>
          <w:rFonts w:ascii="ITC Avant Garde" w:eastAsia="Calibri" w:hAnsi="ITC Avant Garde"/>
          <w:b/>
          <w:i/>
          <w:color w:val="000000" w:themeColor="text1"/>
          <w:sz w:val="20"/>
          <w:szCs w:val="20"/>
        </w:rPr>
      </w:pPr>
    </w:p>
    <w:p w14:paraId="72BA47F6" w14:textId="77777777" w:rsidR="00514B40" w:rsidRPr="00DF45F8" w:rsidRDefault="00514B40" w:rsidP="00676AA7">
      <w:pPr>
        <w:pStyle w:val="Texto"/>
        <w:spacing w:after="0" w:line="240" w:lineRule="auto"/>
        <w:ind w:left="709" w:right="1324" w:firstLine="0"/>
        <w:rPr>
          <w:rStyle w:val="Ttulo3Car"/>
          <w:rFonts w:ascii="ITC Avant Garde" w:eastAsia="Calibri" w:hAnsi="ITC Avant Garde"/>
          <w:i/>
          <w:color w:val="000000" w:themeColor="text1"/>
          <w:sz w:val="20"/>
          <w:szCs w:val="20"/>
        </w:rPr>
      </w:pPr>
      <w:r w:rsidRPr="00DF45F8">
        <w:rPr>
          <w:rStyle w:val="Ttulo3Car"/>
          <w:rFonts w:ascii="ITC Avant Garde" w:eastAsia="Calibri" w:hAnsi="ITC Avant Garde"/>
          <w:i/>
          <w:color w:val="000000" w:themeColor="text1"/>
          <w:sz w:val="20"/>
          <w:szCs w:val="20"/>
        </w:rPr>
        <w:t>(…)</w:t>
      </w:r>
    </w:p>
    <w:p w14:paraId="730BE534" w14:textId="77777777" w:rsidR="00514B40" w:rsidRPr="00DF45F8" w:rsidRDefault="00514B40" w:rsidP="00676AA7">
      <w:pPr>
        <w:pStyle w:val="Prrafodelista"/>
        <w:numPr>
          <w:ilvl w:val="0"/>
          <w:numId w:val="9"/>
        </w:numPr>
        <w:pBdr>
          <w:top w:val="nil"/>
          <w:left w:val="nil"/>
          <w:bottom w:val="nil"/>
          <w:right w:val="nil"/>
          <w:between w:val="nil"/>
          <w:bar w:val="nil"/>
        </w:pBdr>
        <w:spacing w:after="0" w:line="240" w:lineRule="auto"/>
        <w:ind w:left="709" w:right="1324" w:firstLine="0"/>
        <w:contextualSpacing w:val="0"/>
        <w:jc w:val="both"/>
        <w:rPr>
          <w:rStyle w:val="Ttulo3Car"/>
          <w:rFonts w:ascii="ITC Avant Garde" w:eastAsia="Arial Unicode MS" w:hAnsi="ITC Avant Garde"/>
          <w:i/>
          <w:color w:val="000000" w:themeColor="text1"/>
          <w:sz w:val="20"/>
          <w:szCs w:val="20"/>
        </w:rPr>
      </w:pPr>
      <w:r w:rsidRPr="00DF45F8">
        <w:rPr>
          <w:rStyle w:val="Ttulo3Car"/>
          <w:rFonts w:ascii="ITC Avant Garde" w:eastAsia="Arial Unicode MS" w:hAnsi="ITC Avant Garde"/>
          <w:b/>
          <w:i/>
          <w:color w:val="000000" w:themeColor="text1"/>
          <w:sz w:val="20"/>
          <w:szCs w:val="20"/>
        </w:rPr>
        <w:t>Espectro libre</w:t>
      </w:r>
      <w:r w:rsidRPr="00DF45F8">
        <w:rPr>
          <w:rStyle w:val="Ttulo3Car"/>
          <w:rFonts w:ascii="ITC Avant Garde" w:eastAsia="Arial Unicode MS" w:hAnsi="ITC Avant Garde"/>
          <w:i/>
          <w:color w:val="000000" w:themeColor="text1"/>
          <w:sz w:val="20"/>
          <w:szCs w:val="20"/>
        </w:rPr>
        <w:t xml:space="preserve">: </w:t>
      </w:r>
      <w:r w:rsidRPr="00DF45F8">
        <w:rPr>
          <w:rStyle w:val="Ttulo3Car"/>
          <w:rFonts w:ascii="ITC Avant Garde" w:eastAsia="Arial Unicode MS" w:hAnsi="ITC Avant Garde"/>
          <w:b/>
          <w:i/>
          <w:color w:val="000000" w:themeColor="text1"/>
          <w:sz w:val="20"/>
          <w:szCs w:val="20"/>
        </w:rPr>
        <w:t xml:space="preserve">Son aquellas bandas de frecuencia de acceso libre, que pueden ser utilizadas por el público en general, bajo los lineamientos o </w:t>
      </w:r>
      <w:r w:rsidRPr="00DF45F8">
        <w:rPr>
          <w:rStyle w:val="Ttulo3Car"/>
          <w:rFonts w:ascii="ITC Avant Garde" w:eastAsia="Arial Unicode MS" w:hAnsi="ITC Avant Garde"/>
          <w:b/>
          <w:i/>
          <w:color w:val="000000" w:themeColor="text1"/>
          <w:sz w:val="20"/>
          <w:szCs w:val="20"/>
        </w:rPr>
        <w:lastRenderedPageBreak/>
        <w:t>especificaciones que establezca el Instituto, sin necesidad de concesión o autorización</w:t>
      </w:r>
      <w:r w:rsidRPr="00DF45F8">
        <w:rPr>
          <w:rStyle w:val="Ttulo3Car"/>
          <w:rFonts w:ascii="ITC Avant Garde" w:eastAsia="Arial Unicode MS" w:hAnsi="ITC Avant Garde"/>
          <w:i/>
          <w:color w:val="000000" w:themeColor="text1"/>
          <w:sz w:val="20"/>
          <w:szCs w:val="20"/>
        </w:rPr>
        <w:t>;</w:t>
      </w:r>
    </w:p>
    <w:p w14:paraId="7BBE1DC7" w14:textId="77777777" w:rsidR="00514B40" w:rsidRPr="00DF45F8" w:rsidRDefault="00514B40" w:rsidP="00676AA7">
      <w:pPr>
        <w:pStyle w:val="Texto"/>
        <w:spacing w:after="0" w:line="240" w:lineRule="auto"/>
        <w:ind w:left="709" w:right="1324" w:firstLine="0"/>
        <w:rPr>
          <w:rStyle w:val="Ttulo3Car"/>
          <w:rFonts w:ascii="ITC Avant Garde" w:hAnsi="ITC Avant Garde"/>
          <w:b/>
          <w:i/>
          <w:color w:val="000000" w:themeColor="text1"/>
          <w:sz w:val="20"/>
          <w:szCs w:val="20"/>
        </w:rPr>
      </w:pPr>
      <w:r w:rsidRPr="00DF45F8">
        <w:rPr>
          <w:rStyle w:val="Ttulo3Car"/>
          <w:rFonts w:ascii="ITC Avant Garde" w:eastAsia="Calibri" w:hAnsi="ITC Avant Garde"/>
          <w:i/>
          <w:color w:val="000000" w:themeColor="text1"/>
          <w:sz w:val="20"/>
          <w:szCs w:val="20"/>
        </w:rPr>
        <w:t>(…)</w:t>
      </w:r>
      <w:r w:rsidRPr="00DF45F8">
        <w:rPr>
          <w:rStyle w:val="Ttulo3Car"/>
          <w:rFonts w:ascii="ITC Avant Garde" w:hAnsi="ITC Avant Garde"/>
          <w:i/>
          <w:color w:val="000000" w:themeColor="text1"/>
          <w:sz w:val="20"/>
          <w:szCs w:val="20"/>
        </w:rPr>
        <w:t>”</w:t>
      </w:r>
    </w:p>
    <w:p w14:paraId="689CDB6D" w14:textId="2B737CC7" w:rsidR="00A0623C" w:rsidRPr="00DF45F8" w:rsidRDefault="00A0623C" w:rsidP="00A0623C">
      <w:pPr>
        <w:pStyle w:val="Texto"/>
        <w:spacing w:after="0" w:line="240" w:lineRule="auto"/>
        <w:ind w:left="709" w:right="1324" w:firstLine="0"/>
        <w:rPr>
          <w:rStyle w:val="Ttulo3Car"/>
          <w:rFonts w:ascii="ITC Avant Garde" w:eastAsia="Calibri" w:hAnsi="ITC Avant Garde"/>
          <w:i/>
          <w:color w:val="000000" w:themeColor="text1"/>
          <w:sz w:val="20"/>
          <w:szCs w:val="20"/>
        </w:rPr>
      </w:pPr>
    </w:p>
    <w:p w14:paraId="1CE8F0B8" w14:textId="6D9C452C" w:rsidR="00514B40" w:rsidRPr="00DF45F8" w:rsidRDefault="00514B40" w:rsidP="00676AA7">
      <w:pPr>
        <w:pStyle w:val="Prrafodelista"/>
        <w:spacing w:after="0" w:line="240" w:lineRule="auto"/>
        <w:ind w:left="0"/>
        <w:contextualSpacing w:val="0"/>
        <w:jc w:val="both"/>
        <w:rPr>
          <w:rFonts w:ascii="ITC Avant Garde" w:hAnsi="ITC Avant Garde"/>
        </w:rPr>
      </w:pPr>
      <w:r w:rsidRPr="00DF45F8">
        <w:rPr>
          <w:rFonts w:ascii="ITC Avant Garde" w:hAnsi="ITC Avant Garde"/>
        </w:rPr>
        <w:t>De lo</w:t>
      </w:r>
      <w:r w:rsidR="001630FE" w:rsidRPr="00DF45F8">
        <w:rPr>
          <w:rFonts w:ascii="ITC Avant Garde" w:hAnsi="ITC Avant Garde"/>
        </w:rPr>
        <w:t xml:space="preserve"> </w:t>
      </w:r>
      <w:r w:rsidRPr="00DF45F8">
        <w:rPr>
          <w:rFonts w:ascii="ITC Avant Garde" w:hAnsi="ITC Avant Garde"/>
        </w:rPr>
        <w:t>anterior, se advierte con claridad</w:t>
      </w:r>
      <w:r w:rsidR="00120C9E" w:rsidRPr="00DF45F8">
        <w:rPr>
          <w:rFonts w:ascii="ITC Avant Garde" w:hAnsi="ITC Avant Garde"/>
        </w:rPr>
        <w:t xml:space="preserve">, </w:t>
      </w:r>
      <w:r w:rsidRPr="00DF45F8">
        <w:rPr>
          <w:rFonts w:ascii="ITC Avant Garde" w:hAnsi="ITC Avant Garde"/>
        </w:rPr>
        <w:t>en cuanto a la administración del espectr</w:t>
      </w:r>
      <w:r w:rsidR="00DF45F8">
        <w:rPr>
          <w:rFonts w:ascii="ITC Avant Garde" w:hAnsi="ITC Avant Garde"/>
        </w:rPr>
        <w:t>o radioeléctrico, lo siguiente:</w:t>
      </w:r>
    </w:p>
    <w:p w14:paraId="2F6772F3" w14:textId="77777777" w:rsidR="00514B40" w:rsidRPr="00DF45F8" w:rsidRDefault="00514B40" w:rsidP="00676AA7">
      <w:pPr>
        <w:pStyle w:val="Prrafodelista"/>
        <w:spacing w:after="0" w:line="240" w:lineRule="auto"/>
        <w:ind w:left="0"/>
        <w:contextualSpacing w:val="0"/>
        <w:jc w:val="both"/>
        <w:rPr>
          <w:rFonts w:ascii="ITC Avant Garde" w:hAnsi="ITC Avant Garde"/>
        </w:rPr>
      </w:pPr>
    </w:p>
    <w:p w14:paraId="2EB19F48" w14:textId="33B5BC9F" w:rsidR="00514B40" w:rsidRPr="00DF45F8" w:rsidRDefault="00514B40" w:rsidP="00676AA7">
      <w:pPr>
        <w:pStyle w:val="Prrafodelista"/>
        <w:numPr>
          <w:ilvl w:val="0"/>
          <w:numId w:val="8"/>
        </w:numPr>
        <w:pBdr>
          <w:top w:val="nil"/>
          <w:left w:val="nil"/>
          <w:bottom w:val="nil"/>
          <w:right w:val="nil"/>
          <w:between w:val="nil"/>
          <w:bar w:val="nil"/>
        </w:pBdr>
        <w:spacing w:after="0" w:line="240" w:lineRule="auto"/>
        <w:contextualSpacing w:val="0"/>
        <w:jc w:val="both"/>
        <w:rPr>
          <w:rFonts w:ascii="ITC Avant Garde" w:hAnsi="ITC Avant Garde"/>
        </w:rPr>
      </w:pPr>
      <w:r w:rsidRPr="00DF45F8">
        <w:rPr>
          <w:rFonts w:ascii="ITC Avant Garde" w:hAnsi="ITC Avant Garde"/>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w:t>
      </w:r>
      <w:r w:rsidR="000330BB" w:rsidRPr="00DF45F8">
        <w:rPr>
          <w:rFonts w:ascii="ITC Avant Garde" w:hAnsi="ITC Avant Garde"/>
        </w:rPr>
        <w:t xml:space="preserve">nión </w:t>
      </w:r>
      <w:r w:rsidRPr="00DF45F8">
        <w:rPr>
          <w:rFonts w:ascii="ITC Avant Garde" w:hAnsi="ITC Avant Garde"/>
        </w:rPr>
        <w:t>I</w:t>
      </w:r>
      <w:r w:rsidR="000330BB" w:rsidRPr="00DF45F8">
        <w:rPr>
          <w:rFonts w:ascii="ITC Avant Garde" w:hAnsi="ITC Avant Garde"/>
        </w:rPr>
        <w:t xml:space="preserve">nternacional de </w:t>
      </w:r>
      <w:r w:rsidRPr="00DF45F8">
        <w:rPr>
          <w:rFonts w:ascii="ITC Avant Garde" w:hAnsi="ITC Avant Garde"/>
        </w:rPr>
        <w:t>T</w:t>
      </w:r>
      <w:r w:rsidR="000330BB" w:rsidRPr="00DF45F8">
        <w:rPr>
          <w:rFonts w:ascii="ITC Avant Garde" w:hAnsi="ITC Avant Garde"/>
        </w:rPr>
        <w:t>elecomunicaciones</w:t>
      </w:r>
      <w:r w:rsidRPr="00DF45F8">
        <w:rPr>
          <w:rFonts w:ascii="ITC Avant Garde" w:hAnsi="ITC Avant Garde"/>
        </w:rPr>
        <w:t xml:space="preserve"> y otros organismos internacionales.</w:t>
      </w:r>
    </w:p>
    <w:p w14:paraId="6F38602D" w14:textId="77777777" w:rsidR="00514B40" w:rsidRPr="00DF45F8" w:rsidRDefault="00514B40" w:rsidP="00676AA7">
      <w:pPr>
        <w:pStyle w:val="Prrafodelista"/>
        <w:spacing w:after="0" w:line="240" w:lineRule="auto"/>
        <w:contextualSpacing w:val="0"/>
        <w:rPr>
          <w:rFonts w:ascii="ITC Avant Garde" w:hAnsi="ITC Avant Garde"/>
        </w:rPr>
      </w:pPr>
    </w:p>
    <w:p w14:paraId="267129FD" w14:textId="77777777" w:rsidR="00684D09" w:rsidRPr="00DF45F8" w:rsidRDefault="00684D09" w:rsidP="00684D09">
      <w:pPr>
        <w:pStyle w:val="Prrafodelista"/>
        <w:numPr>
          <w:ilvl w:val="0"/>
          <w:numId w:val="8"/>
        </w:numPr>
        <w:suppressAutoHyphens/>
        <w:ind w:right="49"/>
        <w:jc w:val="both"/>
        <w:rPr>
          <w:rFonts w:ascii="ITC Avant Garde" w:eastAsia="Times New Roman" w:hAnsi="ITC Avant Garde" w:cs="Arial"/>
          <w:kern w:val="2"/>
          <w:lang w:eastAsia="ar-SA"/>
        </w:rPr>
      </w:pPr>
      <w:r w:rsidRPr="00DF45F8">
        <w:rPr>
          <w:rFonts w:ascii="ITC Avant Garde" w:eastAsia="Times New Roman" w:hAnsi="ITC Avant Garde" w:cs="Arial"/>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B49362D" w14:textId="77777777" w:rsidR="001630FE" w:rsidRPr="00DF45F8" w:rsidRDefault="001630FE" w:rsidP="007C36AB">
      <w:pPr>
        <w:pStyle w:val="Prrafodelista"/>
        <w:suppressAutoHyphens/>
        <w:ind w:right="49"/>
        <w:jc w:val="both"/>
        <w:rPr>
          <w:rFonts w:ascii="ITC Avant Garde" w:eastAsia="Times New Roman" w:hAnsi="ITC Avant Garde" w:cs="Arial"/>
          <w:kern w:val="2"/>
          <w:lang w:eastAsia="ar-SA"/>
        </w:rPr>
      </w:pPr>
    </w:p>
    <w:p w14:paraId="2A62E8C7" w14:textId="50F75027" w:rsidR="001630FE" w:rsidRPr="00DF45F8" w:rsidRDefault="001630FE" w:rsidP="007C36AB">
      <w:pPr>
        <w:pStyle w:val="Prrafodelista"/>
        <w:numPr>
          <w:ilvl w:val="0"/>
          <w:numId w:val="8"/>
        </w:numPr>
        <w:suppressAutoHyphens/>
        <w:ind w:right="49"/>
        <w:jc w:val="both"/>
        <w:rPr>
          <w:rFonts w:ascii="ITC Avant Garde" w:eastAsia="Times New Roman" w:hAnsi="ITC Avant Garde" w:cs="Arial"/>
          <w:kern w:val="2"/>
          <w:lang w:eastAsia="ar-SA"/>
        </w:rPr>
      </w:pPr>
      <w:r w:rsidRPr="00DF45F8">
        <w:rPr>
          <w:rFonts w:ascii="ITC Avant Garde" w:eastAsia="Times New Roman" w:hAnsi="ITC Avant Garde" w:cs="Arial"/>
          <w:kern w:val="2"/>
          <w:lang w:eastAsia="ar-SA"/>
        </w:rPr>
        <w:t>El Instituto debe perseguir diversos objetivos generales en beneficio de los usuarios, para el caso de la clasificación de la banda 57-74 GHz como espectro libre resultan aplicables: el uso eficaz del espectro radioeléctrico</w:t>
      </w:r>
      <w:r w:rsidR="007C36AB" w:rsidRPr="00DF45F8">
        <w:rPr>
          <w:rFonts w:ascii="ITC Avant Garde" w:eastAsia="Times New Roman" w:hAnsi="ITC Avant Garde" w:cs="Arial"/>
          <w:kern w:val="2"/>
          <w:lang w:eastAsia="ar-SA"/>
        </w:rPr>
        <w:t>,</w:t>
      </w:r>
      <w:r w:rsidRPr="00DF45F8">
        <w:rPr>
          <w:rFonts w:ascii="ITC Avant Garde" w:eastAsia="Times New Roman" w:hAnsi="ITC Avant Garde" w:cs="Arial"/>
          <w:kern w:val="2"/>
          <w:lang w:eastAsia="ar-SA"/>
        </w:rPr>
        <w:t xml:space="preserve"> su protección y el cumplimiento de lo dispuesto por los artículos 2o., 6o., 7o</w:t>
      </w:r>
      <w:r w:rsidR="007C36AB" w:rsidRPr="00DF45F8">
        <w:rPr>
          <w:rFonts w:ascii="ITC Avant Garde" w:eastAsia="Times New Roman" w:hAnsi="ITC Avant Garde" w:cs="Arial"/>
          <w:kern w:val="2"/>
          <w:lang w:eastAsia="ar-SA"/>
        </w:rPr>
        <w:t>.</w:t>
      </w:r>
      <w:r w:rsidRPr="00DF45F8">
        <w:rPr>
          <w:rFonts w:ascii="ITC Avant Garde" w:eastAsia="Times New Roman" w:hAnsi="ITC Avant Garde" w:cs="Arial"/>
          <w:kern w:val="2"/>
          <w:lang w:eastAsia="ar-SA"/>
        </w:rPr>
        <w:t>, y 28 de la Constitución.</w:t>
      </w:r>
    </w:p>
    <w:p w14:paraId="6D610A1C" w14:textId="77777777" w:rsidR="00514B40" w:rsidRPr="00DF45F8" w:rsidRDefault="00514B40" w:rsidP="007C36AB">
      <w:pPr>
        <w:pStyle w:val="Prrafodelista"/>
        <w:suppressAutoHyphens/>
        <w:ind w:right="49"/>
        <w:jc w:val="both"/>
        <w:rPr>
          <w:rFonts w:ascii="ITC Avant Garde" w:eastAsia="Times New Roman" w:hAnsi="ITC Avant Garde" w:cs="Arial"/>
          <w:kern w:val="2"/>
          <w:lang w:eastAsia="ar-SA"/>
        </w:rPr>
      </w:pPr>
    </w:p>
    <w:p w14:paraId="7EC2E6F3" w14:textId="2FFF4A05" w:rsidR="00874F12" w:rsidRPr="00DF45F8" w:rsidRDefault="00514B40" w:rsidP="001630FE">
      <w:pPr>
        <w:pStyle w:val="Prrafodelista"/>
        <w:numPr>
          <w:ilvl w:val="0"/>
          <w:numId w:val="8"/>
        </w:numPr>
        <w:pBdr>
          <w:top w:val="nil"/>
          <w:left w:val="nil"/>
          <w:bottom w:val="nil"/>
          <w:right w:val="nil"/>
          <w:between w:val="nil"/>
          <w:bar w:val="nil"/>
        </w:pBdr>
        <w:spacing w:after="0" w:line="240" w:lineRule="auto"/>
        <w:contextualSpacing w:val="0"/>
        <w:jc w:val="both"/>
        <w:rPr>
          <w:rFonts w:ascii="ITC Avant Garde" w:hAnsi="ITC Avant Garde"/>
        </w:rPr>
      </w:pPr>
      <w:r w:rsidRPr="00DF45F8">
        <w:rPr>
          <w:rFonts w:ascii="ITC Avant Garde" w:hAnsi="ITC Avant Garde"/>
        </w:rPr>
        <w:t xml:space="preserve">La atribución y concesión de una banda de frecuencias, deberá </w:t>
      </w:r>
      <w:r w:rsidR="007C36AB" w:rsidRPr="00DF45F8">
        <w:rPr>
          <w:rFonts w:ascii="ITC Avant Garde" w:hAnsi="ITC Avant Garde"/>
        </w:rPr>
        <w:t xml:space="preserve">atender </w:t>
      </w:r>
      <w:r w:rsidRPr="00DF45F8">
        <w:rPr>
          <w:rFonts w:ascii="ITC Avant Garde" w:hAnsi="ITC Avant Garde"/>
        </w:rPr>
        <w:t xml:space="preserve">criterios objetivos, transparentes, no discriminatorios y proporcionales. </w:t>
      </w:r>
    </w:p>
    <w:p w14:paraId="5034DE7E" w14:textId="3CE75299" w:rsidR="00874F12" w:rsidRPr="00DF45F8" w:rsidRDefault="00874F12" w:rsidP="00C85737">
      <w:pPr>
        <w:pStyle w:val="Prrafodelista"/>
        <w:rPr>
          <w:rStyle w:val="Ttulo3Car"/>
          <w:rFonts w:ascii="ITC Avant Garde" w:eastAsiaTheme="minorHAnsi" w:hAnsi="ITC Avant Garde" w:cstheme="minorBidi"/>
          <w:color w:val="auto"/>
          <w:sz w:val="22"/>
          <w:szCs w:val="22"/>
        </w:rPr>
      </w:pPr>
    </w:p>
    <w:p w14:paraId="6B32A2D5" w14:textId="6C91AD36" w:rsidR="00005B33" w:rsidRPr="00DF45F8" w:rsidRDefault="00005B33" w:rsidP="00994B42">
      <w:pPr>
        <w:pStyle w:val="Prrafodelista"/>
        <w:numPr>
          <w:ilvl w:val="0"/>
          <w:numId w:val="8"/>
        </w:numPr>
        <w:pBdr>
          <w:top w:val="nil"/>
          <w:left w:val="nil"/>
          <w:bottom w:val="nil"/>
          <w:right w:val="nil"/>
          <w:between w:val="nil"/>
          <w:bar w:val="nil"/>
        </w:pBdr>
        <w:spacing w:after="0" w:line="240" w:lineRule="auto"/>
        <w:jc w:val="both"/>
        <w:rPr>
          <w:rStyle w:val="Ttulo3Car"/>
          <w:rFonts w:ascii="ITC Avant Garde" w:eastAsia="Arial Unicode MS" w:hAnsi="ITC Avant Garde" w:cs="Arial"/>
          <w:color w:val="000000" w:themeColor="text1"/>
          <w:sz w:val="22"/>
          <w:szCs w:val="22"/>
          <w:lang w:val="es-ES_tradnl"/>
        </w:rPr>
      </w:pPr>
      <w:r w:rsidRPr="00DF45F8">
        <w:rPr>
          <w:rStyle w:val="Ttulo3Car"/>
          <w:rFonts w:ascii="ITC Avant Garde" w:eastAsia="Arial Unicode MS" w:hAnsi="ITC Avant Garde"/>
          <w:color w:val="000000" w:themeColor="text1"/>
          <w:sz w:val="22"/>
          <w:szCs w:val="22"/>
        </w:rPr>
        <w:t>El espectro libre corresponde a aquellas bandas de frecuencia de acceso libre, que pueden ser utilizadas por el público en general, bajo los lineamientos o especificaciones que establezca el Instituto, sin necesi</w:t>
      </w:r>
      <w:r w:rsidR="00DF45F8">
        <w:rPr>
          <w:rStyle w:val="Ttulo3Car"/>
          <w:rFonts w:ascii="ITC Avant Garde" w:eastAsia="Arial Unicode MS" w:hAnsi="ITC Avant Garde"/>
          <w:color w:val="000000" w:themeColor="text1"/>
          <w:sz w:val="22"/>
          <w:szCs w:val="22"/>
        </w:rPr>
        <w:t>dad de concesión o autorización.</w:t>
      </w:r>
    </w:p>
    <w:p w14:paraId="6B8CAE36" w14:textId="77777777" w:rsidR="007A669E" w:rsidRDefault="007A669E" w:rsidP="00676AA7">
      <w:pPr>
        <w:pBdr>
          <w:top w:val="nil"/>
          <w:left w:val="nil"/>
          <w:bottom w:val="nil"/>
          <w:right w:val="nil"/>
          <w:between w:val="nil"/>
          <w:bar w:val="nil"/>
        </w:pBdr>
        <w:spacing w:after="0" w:line="240" w:lineRule="auto"/>
        <w:jc w:val="both"/>
        <w:rPr>
          <w:rStyle w:val="Ttulo3Car"/>
          <w:rFonts w:ascii="ITC Avant Garde" w:eastAsia="Arial Unicode MS" w:hAnsi="ITC Avant Garde" w:cs="Arial"/>
          <w:color w:val="000000" w:themeColor="text1"/>
          <w:sz w:val="22"/>
          <w:szCs w:val="22"/>
          <w:lang w:val="es-ES_tradnl"/>
        </w:rPr>
      </w:pPr>
    </w:p>
    <w:p w14:paraId="794AD957" w14:textId="250727CB" w:rsidR="00236A9E" w:rsidRPr="00DF45F8" w:rsidRDefault="00D42704" w:rsidP="00676AA7">
      <w:pPr>
        <w:pBdr>
          <w:top w:val="nil"/>
          <w:left w:val="nil"/>
          <w:bottom w:val="nil"/>
          <w:right w:val="nil"/>
          <w:between w:val="nil"/>
          <w:bar w:val="nil"/>
        </w:pBdr>
        <w:spacing w:after="0" w:line="240" w:lineRule="auto"/>
        <w:jc w:val="both"/>
        <w:rPr>
          <w:rFonts w:ascii="ITC Avant Garde" w:hAnsi="ITC Avant Garde"/>
        </w:rPr>
      </w:pPr>
      <w:r w:rsidRPr="00DF45F8">
        <w:rPr>
          <w:rFonts w:ascii="ITC Avant Garde" w:hAnsi="ITC Avant Garde"/>
        </w:rPr>
        <w:t xml:space="preserve">En este sentido, tenemos que la administración del espectro radioeléctrico efectuada por el Instituto, comprende </w:t>
      </w:r>
      <w:r w:rsidR="0089716C" w:rsidRPr="00DF45F8">
        <w:rPr>
          <w:rFonts w:ascii="ITC Avant Garde" w:eastAsia="Times New Roman" w:hAnsi="ITC Avant Garde" w:cs="Arial"/>
          <w:kern w:val="2"/>
          <w:lang w:eastAsia="ar-SA"/>
        </w:rPr>
        <w:t xml:space="preserve">el establecimiento de condiciones para la atribución de una banda de frecuencias </w:t>
      </w:r>
      <w:r w:rsidR="0063422C" w:rsidRPr="00DF45F8">
        <w:rPr>
          <w:rFonts w:ascii="ITC Avant Garde" w:hAnsi="ITC Avant Garde"/>
        </w:rPr>
        <w:t xml:space="preserve">del espectro radioeléctrico, como acontece en la </w:t>
      </w:r>
      <w:r w:rsidR="004F5ED4" w:rsidRPr="00DF45F8">
        <w:rPr>
          <w:rFonts w:ascii="ITC Avant Garde" w:hAnsi="ITC Avant Garde"/>
        </w:rPr>
        <w:t>especie a través de</w:t>
      </w:r>
      <w:r w:rsidR="0063422C" w:rsidRPr="00DF45F8">
        <w:rPr>
          <w:rFonts w:ascii="ITC Avant Garde" w:hAnsi="ITC Avant Garde"/>
        </w:rPr>
        <w:t xml:space="preserve"> </w:t>
      </w:r>
      <w:r w:rsidR="004F5ED4" w:rsidRPr="00DF45F8">
        <w:rPr>
          <w:rFonts w:ascii="ITC Avant Garde" w:hAnsi="ITC Avant Garde"/>
        </w:rPr>
        <w:t>la clasificación de la banda 57-64 GHz como espectro libre</w:t>
      </w:r>
      <w:r w:rsidR="000B240C" w:rsidRPr="00DF45F8">
        <w:rPr>
          <w:rFonts w:ascii="ITC Avant Garde" w:hAnsi="ITC Avant Garde"/>
        </w:rPr>
        <w:t>, con la finalidad de que pueda ser utilizada por el público en general, sin que sea necesario contar con concesión o autorización</w:t>
      </w:r>
      <w:r w:rsidR="0063422C" w:rsidRPr="00DF45F8">
        <w:rPr>
          <w:rFonts w:ascii="ITC Avant Garde" w:hAnsi="ITC Avant Garde"/>
        </w:rPr>
        <w:t>.</w:t>
      </w:r>
    </w:p>
    <w:p w14:paraId="78AAC310" w14:textId="77777777" w:rsidR="007A2283" w:rsidRPr="00DF45F8" w:rsidRDefault="007A2283" w:rsidP="00676AA7">
      <w:pPr>
        <w:pBdr>
          <w:top w:val="nil"/>
          <w:left w:val="nil"/>
          <w:bottom w:val="nil"/>
          <w:right w:val="nil"/>
          <w:between w:val="nil"/>
          <w:bar w:val="nil"/>
        </w:pBdr>
        <w:spacing w:after="0" w:line="240" w:lineRule="auto"/>
        <w:jc w:val="both"/>
        <w:rPr>
          <w:rFonts w:ascii="ITC Avant Garde" w:hAnsi="ITC Avant Garde"/>
        </w:rPr>
      </w:pPr>
    </w:p>
    <w:p w14:paraId="7D88DB04" w14:textId="5F7B6B75" w:rsidR="00A0623C" w:rsidRDefault="00A0623C" w:rsidP="00676AA7">
      <w:pPr>
        <w:pBdr>
          <w:top w:val="nil"/>
          <w:left w:val="nil"/>
          <w:bottom w:val="nil"/>
          <w:right w:val="nil"/>
          <w:between w:val="nil"/>
          <w:bar w:val="nil"/>
        </w:pBdr>
        <w:spacing w:after="0" w:line="240" w:lineRule="auto"/>
        <w:jc w:val="both"/>
        <w:rPr>
          <w:rFonts w:ascii="ITC Avant Garde" w:hAnsi="ITC Avant Garde"/>
        </w:rPr>
      </w:pPr>
      <w:r w:rsidRPr="00DF45F8">
        <w:rPr>
          <w:rFonts w:ascii="ITC Avant Garde" w:hAnsi="ITC Avant Garde"/>
        </w:rPr>
        <w:t xml:space="preserve">Lo anterior, </w:t>
      </w:r>
      <w:r w:rsidR="00004145" w:rsidRPr="00DF45F8">
        <w:rPr>
          <w:rFonts w:ascii="ITC Avant Garde" w:hAnsi="ITC Avant Garde"/>
        </w:rPr>
        <w:t xml:space="preserve">siempre y cuando </w:t>
      </w:r>
      <w:r w:rsidR="00B64C99" w:rsidRPr="00DF45F8">
        <w:rPr>
          <w:rFonts w:ascii="ITC Avant Garde" w:hAnsi="ITC Avant Garde"/>
        </w:rPr>
        <w:t>los usuarios de la banda 57-64 GHz</w:t>
      </w:r>
      <w:r w:rsidR="00112D1C" w:rsidRPr="00DF45F8">
        <w:rPr>
          <w:rFonts w:ascii="ITC Avant Garde" w:hAnsi="ITC Avant Garde"/>
        </w:rPr>
        <w:t>, se ab</w:t>
      </w:r>
      <w:r w:rsidR="00B64C99" w:rsidRPr="00DF45F8">
        <w:rPr>
          <w:rFonts w:ascii="ITC Avant Garde" w:hAnsi="ITC Avant Garde"/>
        </w:rPr>
        <w:t xml:space="preserve">oquen a las </w:t>
      </w:r>
      <w:r w:rsidR="00112D1C" w:rsidRPr="00DF45F8">
        <w:rPr>
          <w:rFonts w:ascii="ITC Avant Garde" w:hAnsi="ITC Avant Garde"/>
        </w:rPr>
        <w:t xml:space="preserve">condiciones y especificaciones, determinadas por el Instituto, tal y como lo establece el </w:t>
      </w:r>
      <w:r w:rsidR="00D96C90" w:rsidRPr="00DF45F8">
        <w:rPr>
          <w:rFonts w:ascii="ITC Avant Garde" w:hAnsi="ITC Avant Garde"/>
        </w:rPr>
        <w:t xml:space="preserve">artículo 64 </w:t>
      </w:r>
      <w:r w:rsidR="007B54C6" w:rsidRPr="00DF45F8">
        <w:rPr>
          <w:rFonts w:ascii="ITC Avant Garde" w:hAnsi="ITC Avant Garde"/>
        </w:rPr>
        <w:t>tercer párrafo de la Ley, del tenor:</w:t>
      </w:r>
    </w:p>
    <w:p w14:paraId="7BD76C63" w14:textId="26C883EA" w:rsidR="007B54C6" w:rsidRPr="00DF45F8" w:rsidRDefault="00857620" w:rsidP="007B54C6">
      <w:pPr>
        <w:pStyle w:val="Texto"/>
        <w:spacing w:after="0" w:line="240" w:lineRule="auto"/>
        <w:ind w:left="709" w:right="1324" w:firstLine="0"/>
        <w:rPr>
          <w:rStyle w:val="Ttulo3Car"/>
          <w:rFonts w:ascii="ITC Avant Garde" w:eastAsia="Calibri" w:hAnsi="ITC Avant Garde"/>
          <w:i/>
          <w:color w:val="000000" w:themeColor="text1"/>
          <w:sz w:val="20"/>
          <w:szCs w:val="20"/>
        </w:rPr>
      </w:pPr>
      <w:r w:rsidRPr="00DF45F8">
        <w:rPr>
          <w:rStyle w:val="Ttulo3Car"/>
          <w:rFonts w:ascii="ITC Avant Garde" w:eastAsia="Calibri" w:hAnsi="ITC Avant Garde"/>
          <w:b/>
          <w:i/>
          <w:color w:val="000000" w:themeColor="text1"/>
          <w:sz w:val="20"/>
          <w:szCs w:val="20"/>
        </w:rPr>
        <w:t>“</w:t>
      </w:r>
      <w:r w:rsidR="007B54C6" w:rsidRPr="00DF45F8">
        <w:rPr>
          <w:rStyle w:val="Ttulo3Car"/>
          <w:rFonts w:ascii="ITC Avant Garde" w:eastAsia="Calibri" w:hAnsi="ITC Avant Garde"/>
          <w:b/>
          <w:i/>
          <w:color w:val="000000" w:themeColor="text1"/>
          <w:sz w:val="20"/>
          <w:szCs w:val="20"/>
        </w:rPr>
        <w:t>Artículo 64</w:t>
      </w:r>
      <w:r w:rsidR="007B54C6" w:rsidRPr="00DF45F8">
        <w:rPr>
          <w:rStyle w:val="Ttulo3Car"/>
          <w:rFonts w:ascii="ITC Avant Garde" w:eastAsia="Calibri" w:hAnsi="ITC Avant Garde"/>
          <w:i/>
          <w:color w:val="000000" w:themeColor="text1"/>
          <w:sz w:val="20"/>
          <w:szCs w:val="20"/>
        </w:rPr>
        <w:t>. 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14:paraId="5ACA87CC" w14:textId="77777777" w:rsidR="00857620" w:rsidRPr="00DF45F8" w:rsidRDefault="00857620" w:rsidP="007B54C6">
      <w:pPr>
        <w:pStyle w:val="Texto"/>
        <w:spacing w:after="0" w:line="240" w:lineRule="auto"/>
        <w:ind w:left="709" w:right="1324" w:firstLine="0"/>
        <w:rPr>
          <w:rStyle w:val="Ttulo3Car"/>
          <w:rFonts w:ascii="ITC Avant Garde" w:eastAsia="Calibri" w:hAnsi="ITC Avant Garde"/>
          <w:i/>
          <w:color w:val="000000" w:themeColor="text1"/>
          <w:sz w:val="20"/>
          <w:szCs w:val="20"/>
        </w:rPr>
      </w:pPr>
    </w:p>
    <w:p w14:paraId="126618C4" w14:textId="77777777" w:rsidR="007B54C6" w:rsidRPr="00DF45F8" w:rsidRDefault="007B54C6" w:rsidP="007B54C6">
      <w:pPr>
        <w:pStyle w:val="Texto"/>
        <w:spacing w:after="0" w:line="240" w:lineRule="auto"/>
        <w:ind w:left="709" w:right="1324" w:firstLine="0"/>
        <w:rPr>
          <w:rStyle w:val="Ttulo3Car"/>
          <w:rFonts w:ascii="ITC Avant Garde" w:eastAsia="Calibri" w:hAnsi="ITC Avant Garde"/>
          <w:i/>
          <w:color w:val="000000" w:themeColor="text1"/>
          <w:sz w:val="20"/>
          <w:szCs w:val="20"/>
        </w:rPr>
      </w:pPr>
      <w:r w:rsidRPr="00DF45F8">
        <w:rPr>
          <w:rStyle w:val="Ttulo3Car"/>
          <w:rFonts w:ascii="ITC Avant Garde" w:eastAsia="Calibri" w:hAnsi="ITC Avant Garde"/>
          <w:i/>
          <w:color w:val="000000" w:themeColor="text1"/>
          <w:sz w:val="20"/>
          <w:szCs w:val="20"/>
        </w:rPr>
        <w:t>El Instituto determinará los parámetros de operación en el uso de las bandas de frecuencia para toda clase de servicios de radiocomunicaciones que operen en las zonas fronterizas, cuando dichos parámetros no estuvieren especificados en los tratados o acuerdos internacionales en vigor.</w:t>
      </w:r>
    </w:p>
    <w:p w14:paraId="0C707AAA" w14:textId="77777777" w:rsidR="00857620" w:rsidRPr="00DF45F8" w:rsidRDefault="00857620" w:rsidP="007B54C6">
      <w:pPr>
        <w:pStyle w:val="Texto"/>
        <w:spacing w:after="0" w:line="240" w:lineRule="auto"/>
        <w:ind w:left="709" w:right="1324" w:firstLine="0"/>
        <w:rPr>
          <w:rStyle w:val="Ttulo3Car"/>
          <w:rFonts w:ascii="ITC Avant Garde" w:eastAsia="Calibri" w:hAnsi="ITC Avant Garde"/>
          <w:i/>
          <w:color w:val="000000" w:themeColor="text1"/>
          <w:sz w:val="20"/>
          <w:szCs w:val="20"/>
        </w:rPr>
      </w:pPr>
    </w:p>
    <w:p w14:paraId="45500C89" w14:textId="05CAAB4D" w:rsidR="00A0623C" w:rsidRPr="00DF45F8" w:rsidRDefault="007B54C6" w:rsidP="007B54C6">
      <w:pPr>
        <w:pStyle w:val="Texto"/>
        <w:spacing w:after="0" w:line="240" w:lineRule="auto"/>
        <w:ind w:left="709" w:right="1324" w:firstLine="0"/>
        <w:rPr>
          <w:rFonts w:ascii="ITC Avant Garde" w:eastAsia="Calibri" w:hAnsi="ITC Avant Garde" w:cstheme="majorBidi"/>
          <w:i/>
          <w:color w:val="000000" w:themeColor="text1"/>
          <w:sz w:val="20"/>
          <w:szCs w:val="20"/>
        </w:rPr>
      </w:pPr>
      <w:r w:rsidRPr="00DF45F8">
        <w:rPr>
          <w:rStyle w:val="Ttulo3Car"/>
          <w:rFonts w:ascii="ITC Avant Garde" w:eastAsia="Calibri" w:hAnsi="ITC Avant Garde"/>
          <w:i/>
          <w:color w:val="000000" w:themeColor="text1"/>
          <w:sz w:val="20"/>
          <w:szCs w:val="20"/>
        </w:rPr>
        <w:t>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r w:rsidR="00857620" w:rsidRPr="00DF45F8">
        <w:rPr>
          <w:rStyle w:val="Ttulo3Car"/>
          <w:rFonts w:ascii="ITC Avant Garde" w:eastAsia="Calibri" w:hAnsi="ITC Avant Garde"/>
          <w:i/>
          <w:color w:val="000000" w:themeColor="text1"/>
          <w:sz w:val="20"/>
          <w:szCs w:val="20"/>
        </w:rPr>
        <w:t>”</w:t>
      </w:r>
    </w:p>
    <w:p w14:paraId="6BADFB2C" w14:textId="77777777" w:rsidR="003472C1" w:rsidRPr="00DF45F8" w:rsidRDefault="003472C1" w:rsidP="00676AA7">
      <w:pPr>
        <w:pBdr>
          <w:top w:val="nil"/>
          <w:left w:val="nil"/>
          <w:bottom w:val="nil"/>
          <w:right w:val="nil"/>
          <w:between w:val="nil"/>
          <w:bar w:val="nil"/>
        </w:pBdr>
        <w:spacing w:after="0" w:line="240" w:lineRule="auto"/>
        <w:jc w:val="both"/>
        <w:rPr>
          <w:rFonts w:ascii="ITC Avant Garde" w:hAnsi="ITC Avant Garde"/>
        </w:rPr>
      </w:pPr>
    </w:p>
    <w:p w14:paraId="25031A90" w14:textId="4DDE50B9" w:rsidR="00CB4686" w:rsidRPr="00DF45F8" w:rsidRDefault="00F00533" w:rsidP="00676AA7">
      <w:pPr>
        <w:pStyle w:val="Prrafodelista"/>
        <w:numPr>
          <w:ilvl w:val="0"/>
          <w:numId w:val="18"/>
        </w:numPr>
        <w:pBdr>
          <w:top w:val="nil"/>
          <w:left w:val="nil"/>
          <w:bottom w:val="nil"/>
          <w:right w:val="nil"/>
          <w:between w:val="nil"/>
          <w:bar w:val="nil"/>
        </w:pBdr>
        <w:spacing w:after="0" w:line="240" w:lineRule="auto"/>
        <w:ind w:left="0" w:firstLine="0"/>
        <w:contextualSpacing w:val="0"/>
        <w:jc w:val="both"/>
        <w:rPr>
          <w:rFonts w:ascii="ITC Avant Garde" w:hAnsi="ITC Avant Garde" w:cs="ArialMT"/>
          <w:color w:val="2F2F2F"/>
        </w:rPr>
      </w:pPr>
      <w:r w:rsidRPr="00DF45F8">
        <w:rPr>
          <w:rFonts w:ascii="ITC Avant Garde" w:hAnsi="ITC Avant Garde" w:cs="Arial"/>
          <w:b/>
          <w:lang w:eastAsia="ar-SA"/>
        </w:rPr>
        <w:t>Banda de frecuencias de 57-64 GHz</w:t>
      </w:r>
      <w:r w:rsidR="00514B40" w:rsidRPr="00DF45F8">
        <w:rPr>
          <w:rFonts w:ascii="ITC Avant Garde" w:hAnsi="ITC Avant Garde" w:cs="Arial"/>
          <w:lang w:eastAsia="ar-SA"/>
        </w:rPr>
        <w:t>. La industria de telecomunicaciones se encuentra en constante innovación</w:t>
      </w:r>
      <w:r w:rsidR="00CB4686" w:rsidRPr="00DF45F8">
        <w:rPr>
          <w:rFonts w:ascii="ITC Avant Garde" w:hAnsi="ITC Avant Garde" w:cs="Arial"/>
          <w:lang w:eastAsia="ar-SA"/>
        </w:rPr>
        <w:t>,</w:t>
      </w:r>
      <w:r w:rsidR="00514B40" w:rsidRPr="00DF45F8">
        <w:rPr>
          <w:rFonts w:ascii="ITC Avant Garde" w:hAnsi="ITC Avant Garde" w:cs="Arial"/>
          <w:lang w:eastAsia="ar-SA"/>
        </w:rPr>
        <w:t xml:space="preserve"> </w:t>
      </w:r>
      <w:r w:rsidR="00CB4686" w:rsidRPr="00DF45F8">
        <w:rPr>
          <w:rFonts w:ascii="ITC Avant Garde" w:hAnsi="ITC Avant Garde" w:cs="Arial"/>
          <w:lang w:eastAsia="ar-SA"/>
        </w:rPr>
        <w:t>lo que permite</w:t>
      </w:r>
      <w:r w:rsidR="00514B40" w:rsidRPr="00DF45F8">
        <w:rPr>
          <w:rFonts w:ascii="ITC Avant Garde" w:hAnsi="ITC Avant Garde" w:cs="Arial"/>
          <w:lang w:eastAsia="ar-SA"/>
        </w:rPr>
        <w:t xml:space="preserve"> al usuario acceder a más y mejores servicios; en este sentido, </w:t>
      </w:r>
      <w:r w:rsidR="00CB4686" w:rsidRPr="00DF45F8">
        <w:rPr>
          <w:rFonts w:ascii="ITC Avant Garde" w:hAnsi="ITC Avant Garde" w:cs="Arial"/>
          <w:lang w:eastAsia="ar-SA"/>
        </w:rPr>
        <w:t>el uso del espectro se vuelve determinante en el desarrollo de la tecnología y es necesario llevar a cabo una adecuada administración de este recurso finito.</w:t>
      </w:r>
    </w:p>
    <w:p w14:paraId="4D0C6914" w14:textId="77777777" w:rsidR="00CB4686" w:rsidRPr="00DF45F8" w:rsidRDefault="00CB4686" w:rsidP="00676AA7">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b/>
          <w:lang w:eastAsia="ar-SA"/>
        </w:rPr>
      </w:pPr>
    </w:p>
    <w:p w14:paraId="6E969CD4" w14:textId="0F042D3B" w:rsidR="004F2230" w:rsidRPr="00DF45F8" w:rsidRDefault="00CB4686" w:rsidP="00676AA7">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lang w:eastAsia="ar-SA"/>
        </w:rPr>
      </w:pPr>
      <w:r w:rsidRPr="00DF45F8">
        <w:rPr>
          <w:rFonts w:ascii="ITC Avant Garde" w:hAnsi="ITC Avant Garde" w:cs="Arial"/>
          <w:lang w:eastAsia="ar-SA"/>
        </w:rPr>
        <w:t xml:space="preserve">Particularmente, </w:t>
      </w:r>
      <w:r w:rsidR="00514B40" w:rsidRPr="00DF45F8">
        <w:rPr>
          <w:rFonts w:ascii="ITC Avant Garde" w:hAnsi="ITC Avant Garde" w:cs="Arial"/>
          <w:lang w:eastAsia="ar-SA"/>
        </w:rPr>
        <w:t>la banda de frecuencias de 57-64 GHz se utiliza a nivel mundial para servicios de banda ancha</w:t>
      </w:r>
      <w:r w:rsidR="00475985" w:rsidRPr="00DF45F8">
        <w:rPr>
          <w:rFonts w:ascii="ITC Avant Garde" w:hAnsi="ITC Avant Garde" w:cs="Arial"/>
          <w:lang w:eastAsia="ar-SA"/>
        </w:rPr>
        <w:t xml:space="preserve"> </w:t>
      </w:r>
      <w:r w:rsidR="0045755B" w:rsidRPr="00DF45F8">
        <w:rPr>
          <w:rFonts w:ascii="ITC Avant Garde" w:hAnsi="ITC Avant Garde" w:cs="Arial"/>
          <w:lang w:eastAsia="ar-SA"/>
        </w:rPr>
        <w:t xml:space="preserve">como </w:t>
      </w:r>
      <w:r w:rsidR="009B7C54" w:rsidRPr="00DF45F8">
        <w:rPr>
          <w:rFonts w:ascii="ITC Avant Garde" w:hAnsi="ITC Avant Garde" w:cs="Arial"/>
          <w:lang w:eastAsia="ar-SA"/>
        </w:rPr>
        <w:t>comunicación entre radio bases de redes celulares</w:t>
      </w:r>
      <w:r w:rsidR="0045755B" w:rsidRPr="00DF45F8">
        <w:rPr>
          <w:rFonts w:ascii="ITC Avant Garde" w:hAnsi="ITC Avant Garde" w:cs="Arial"/>
          <w:lang w:eastAsia="ar-SA"/>
        </w:rPr>
        <w:t>,</w:t>
      </w:r>
      <w:r w:rsidR="00475985" w:rsidRPr="00DF45F8">
        <w:rPr>
          <w:rFonts w:ascii="ITC Avant Garde" w:hAnsi="ITC Avant Garde" w:cs="Arial"/>
          <w:lang w:eastAsia="ar-SA"/>
        </w:rPr>
        <w:t xml:space="preserve"> </w:t>
      </w:r>
      <w:r w:rsidR="00DD6B69" w:rsidRPr="00DF45F8">
        <w:rPr>
          <w:rFonts w:ascii="ITC Avant Garde" w:hAnsi="ITC Avant Garde" w:cs="Arial"/>
          <w:lang w:eastAsia="ar-SA"/>
        </w:rPr>
        <w:t xml:space="preserve">implementación de </w:t>
      </w:r>
      <w:r w:rsidR="00475985" w:rsidRPr="00DF45F8">
        <w:rPr>
          <w:rFonts w:ascii="ITC Avant Garde" w:hAnsi="ITC Avant Garde" w:cs="Arial"/>
          <w:lang w:eastAsia="ar-SA"/>
        </w:rPr>
        <w:t>redes urbanas temporales de alta capacidad para cubrir eventos masivos</w:t>
      </w:r>
      <w:r w:rsidR="0045755B" w:rsidRPr="00DF45F8">
        <w:rPr>
          <w:rFonts w:ascii="ITC Avant Garde" w:hAnsi="ITC Avant Garde" w:cs="Arial"/>
          <w:lang w:eastAsia="ar-SA"/>
        </w:rPr>
        <w:t>,</w:t>
      </w:r>
      <w:r w:rsidR="00475985" w:rsidRPr="00DF45F8">
        <w:rPr>
          <w:rFonts w:ascii="ITC Avant Garde" w:hAnsi="ITC Avant Garde" w:cs="Arial"/>
          <w:lang w:eastAsia="ar-SA"/>
        </w:rPr>
        <w:t xml:space="preserve"> entrega de video de alta definición</w:t>
      </w:r>
      <w:r w:rsidR="00494128" w:rsidRPr="00DF45F8">
        <w:rPr>
          <w:rFonts w:ascii="ITC Avant Garde" w:hAnsi="ITC Avant Garde" w:cs="Arial"/>
          <w:lang w:eastAsia="ar-SA"/>
        </w:rPr>
        <w:t xml:space="preserve"> en el hogar</w:t>
      </w:r>
      <w:r w:rsidR="0045755B" w:rsidRPr="00DF45F8">
        <w:rPr>
          <w:rFonts w:ascii="ITC Avant Garde" w:hAnsi="ITC Avant Garde" w:cs="Arial"/>
          <w:lang w:eastAsia="ar-SA"/>
        </w:rPr>
        <w:t xml:space="preserve"> y conexión para</w:t>
      </w:r>
      <w:r w:rsidR="00475985" w:rsidRPr="00DF45F8">
        <w:rPr>
          <w:rFonts w:ascii="ITC Avant Garde" w:hAnsi="ITC Avant Garde" w:cs="Arial"/>
          <w:lang w:eastAsia="ar-SA"/>
        </w:rPr>
        <w:t xml:space="preserve"> hogare</w:t>
      </w:r>
      <w:r w:rsidR="0045755B" w:rsidRPr="00DF45F8">
        <w:rPr>
          <w:rFonts w:ascii="ITC Avant Garde" w:hAnsi="ITC Avant Garde" w:cs="Arial"/>
          <w:lang w:eastAsia="ar-SA"/>
        </w:rPr>
        <w:t>s y ciudades inteligentes (</w:t>
      </w:r>
      <w:proofErr w:type="spellStart"/>
      <w:r w:rsidR="0045755B" w:rsidRPr="00DF45F8">
        <w:rPr>
          <w:rFonts w:ascii="ITC Avant Garde" w:hAnsi="ITC Avant Garde" w:cs="Arial"/>
          <w:lang w:eastAsia="ar-SA"/>
        </w:rPr>
        <w:t>IoT</w:t>
      </w:r>
      <w:proofErr w:type="spellEnd"/>
      <w:r w:rsidR="0045755B" w:rsidRPr="00DF45F8">
        <w:rPr>
          <w:rFonts w:ascii="ITC Avant Garde" w:hAnsi="ITC Avant Garde" w:cs="Arial"/>
          <w:lang w:eastAsia="ar-SA"/>
        </w:rPr>
        <w:t xml:space="preserve"> por sus siglas en inglés).</w:t>
      </w:r>
      <w:r w:rsidR="00475985" w:rsidRPr="00DF45F8">
        <w:rPr>
          <w:rFonts w:ascii="ITC Avant Garde" w:hAnsi="ITC Avant Garde" w:cs="Arial"/>
          <w:lang w:eastAsia="ar-SA"/>
        </w:rPr>
        <w:t xml:space="preserve"> </w:t>
      </w:r>
      <w:r w:rsidR="0045755B" w:rsidRPr="00DF45F8">
        <w:rPr>
          <w:rFonts w:ascii="ITC Avant Garde" w:hAnsi="ITC Avant Garde" w:cs="Arial"/>
          <w:lang w:eastAsia="ar-SA"/>
        </w:rPr>
        <w:t>A</w:t>
      </w:r>
      <w:r w:rsidR="00475985" w:rsidRPr="00DF45F8">
        <w:rPr>
          <w:rFonts w:ascii="ITC Avant Garde" w:hAnsi="ITC Avant Garde" w:cs="Arial"/>
          <w:lang w:eastAsia="ar-SA"/>
        </w:rPr>
        <w:t xml:space="preserve">sí </w:t>
      </w:r>
      <w:r w:rsidR="0045755B" w:rsidRPr="00DF45F8">
        <w:rPr>
          <w:rFonts w:ascii="ITC Avant Garde" w:hAnsi="ITC Avant Garde" w:cs="Arial"/>
          <w:lang w:eastAsia="ar-SA"/>
        </w:rPr>
        <w:t xml:space="preserve">mismo se utiliza </w:t>
      </w:r>
      <w:r w:rsidR="00475985" w:rsidRPr="00DF45F8">
        <w:rPr>
          <w:rFonts w:ascii="ITC Avant Garde" w:hAnsi="ITC Avant Garde" w:cs="Arial"/>
          <w:lang w:eastAsia="ar-SA"/>
        </w:rPr>
        <w:t>para</w:t>
      </w:r>
      <w:r w:rsidR="00514B40" w:rsidRPr="00DF45F8">
        <w:rPr>
          <w:rFonts w:ascii="ITC Avant Garde" w:hAnsi="ITC Avant Garde" w:cs="Arial"/>
          <w:lang w:eastAsia="ar-SA"/>
        </w:rPr>
        <w:t xml:space="preserve"> otras aplicaciones</w:t>
      </w:r>
      <w:r w:rsidR="00E74803" w:rsidRPr="00DF45F8">
        <w:rPr>
          <w:rFonts w:ascii="ITC Avant Garde" w:hAnsi="ITC Avant Garde" w:cs="Arial"/>
          <w:lang w:eastAsia="ar-SA"/>
        </w:rPr>
        <w:t xml:space="preserve">, </w:t>
      </w:r>
      <w:r w:rsidR="005D7B44" w:rsidRPr="00DF45F8">
        <w:rPr>
          <w:rFonts w:ascii="ITC Avant Garde" w:hAnsi="ITC Avant Garde" w:cs="Arial"/>
          <w:lang w:eastAsia="ar-SA"/>
        </w:rPr>
        <w:t xml:space="preserve">tales </w:t>
      </w:r>
      <w:r w:rsidR="00E74803" w:rsidRPr="00DF45F8">
        <w:rPr>
          <w:rFonts w:ascii="ITC Avant Garde" w:hAnsi="ITC Avant Garde" w:cs="Arial"/>
          <w:lang w:eastAsia="ar-SA"/>
        </w:rPr>
        <w:t>como transporte inteligente</w:t>
      </w:r>
      <w:r w:rsidR="00475985" w:rsidRPr="00DF45F8">
        <w:rPr>
          <w:rFonts w:ascii="ITC Avant Garde" w:hAnsi="ITC Avant Garde" w:cs="Arial"/>
          <w:lang w:eastAsia="ar-SA"/>
        </w:rPr>
        <w:t xml:space="preserve"> para la sincronización de sistemas de control de tráfico y semaforización</w:t>
      </w:r>
      <w:r w:rsidR="00514B40" w:rsidRPr="00DF45F8">
        <w:rPr>
          <w:rFonts w:ascii="ITC Avant Garde" w:hAnsi="ITC Avant Garde" w:cs="Arial"/>
          <w:lang w:eastAsia="ar-SA"/>
        </w:rPr>
        <w:t>,</w:t>
      </w:r>
      <w:r w:rsidR="005D7B44" w:rsidRPr="00DF45F8">
        <w:rPr>
          <w:rFonts w:ascii="ITC Avant Garde" w:hAnsi="ITC Avant Garde" w:cs="Arial"/>
          <w:lang w:eastAsia="ar-SA"/>
        </w:rPr>
        <w:t xml:space="preserve"> sensores de perturbación de campo fijo</w:t>
      </w:r>
      <w:r w:rsidR="00B5525C" w:rsidRPr="00DF45F8">
        <w:rPr>
          <w:rFonts w:ascii="ITC Avant Garde" w:hAnsi="ITC Avant Garde" w:cs="Arial"/>
          <w:lang w:eastAsia="ar-SA"/>
        </w:rPr>
        <w:t>,</w:t>
      </w:r>
      <w:r w:rsidR="005D7B44" w:rsidRPr="00DF45F8">
        <w:rPr>
          <w:rFonts w:ascii="ITC Avant Garde" w:hAnsi="ITC Avant Garde" w:cs="Arial"/>
          <w:lang w:eastAsia="ar-SA"/>
        </w:rPr>
        <w:t xml:space="preserve"> dispositivos de corto alcance para detección de movimiento</w:t>
      </w:r>
      <w:r w:rsidR="00494128" w:rsidRPr="00DF45F8">
        <w:rPr>
          <w:rFonts w:ascii="ITC Avant Garde" w:hAnsi="ITC Avant Garde" w:cs="Arial"/>
          <w:lang w:eastAsia="ar-SA"/>
        </w:rPr>
        <w:t xml:space="preserve"> para visores de realidad aumentada</w:t>
      </w:r>
      <w:r w:rsidR="0045755B" w:rsidRPr="00DF45F8">
        <w:rPr>
          <w:rFonts w:ascii="ITC Avant Garde" w:hAnsi="ITC Avant Garde" w:cs="Arial"/>
          <w:lang w:eastAsia="ar-SA"/>
        </w:rPr>
        <w:t xml:space="preserve"> y </w:t>
      </w:r>
      <w:r w:rsidR="00494128" w:rsidRPr="00DF45F8">
        <w:rPr>
          <w:rFonts w:ascii="ITC Avant Garde" w:hAnsi="ITC Avant Garde" w:cs="Arial"/>
          <w:lang w:eastAsia="ar-SA"/>
        </w:rPr>
        <w:t>realidad virtual</w:t>
      </w:r>
      <w:r w:rsidR="00B5525C" w:rsidRPr="00DF45F8">
        <w:rPr>
          <w:rFonts w:ascii="ITC Avant Garde" w:hAnsi="ITC Avant Garde" w:cs="Arial"/>
          <w:lang w:eastAsia="ar-SA"/>
        </w:rPr>
        <w:t xml:space="preserve"> y transmisores de radioenlaces fijos punto a punto</w:t>
      </w:r>
      <w:r w:rsidR="00494128" w:rsidRPr="00DF45F8">
        <w:rPr>
          <w:rFonts w:ascii="ITC Avant Garde" w:hAnsi="ITC Avant Garde" w:cs="Arial"/>
          <w:lang w:eastAsia="ar-SA"/>
        </w:rPr>
        <w:t xml:space="preserve"> que permiten desplegar </w:t>
      </w:r>
      <w:r w:rsidR="00DD6B69" w:rsidRPr="00DF45F8">
        <w:rPr>
          <w:rFonts w:ascii="ITC Avant Garde" w:hAnsi="ITC Avant Garde" w:cs="Arial"/>
          <w:lang w:eastAsia="ar-SA"/>
        </w:rPr>
        <w:t xml:space="preserve">radioenlaces entre edificios cercanos, </w:t>
      </w:r>
      <w:r w:rsidR="00494128" w:rsidRPr="00DF45F8">
        <w:rPr>
          <w:rFonts w:ascii="ITC Avant Garde" w:hAnsi="ITC Avant Garde" w:cs="Arial"/>
          <w:lang w:eastAsia="ar-SA"/>
        </w:rPr>
        <w:t>redes de video para video vigilancia</w:t>
      </w:r>
      <w:r w:rsidR="0045755B" w:rsidRPr="00DF45F8">
        <w:rPr>
          <w:rFonts w:ascii="ITC Avant Garde" w:hAnsi="ITC Avant Garde" w:cs="Arial"/>
          <w:lang w:eastAsia="ar-SA"/>
        </w:rPr>
        <w:t>.</w:t>
      </w:r>
      <w:r w:rsidR="005D7B44" w:rsidRPr="00DF45F8">
        <w:rPr>
          <w:rFonts w:ascii="ITC Avant Garde" w:hAnsi="ITC Avant Garde" w:cs="Arial"/>
          <w:lang w:eastAsia="ar-SA"/>
        </w:rPr>
        <w:t xml:space="preserve"> </w:t>
      </w:r>
      <w:r w:rsidR="0045755B" w:rsidRPr="00DF45F8">
        <w:rPr>
          <w:rFonts w:ascii="ITC Avant Garde" w:hAnsi="ITC Avant Garde" w:cs="Arial"/>
          <w:lang w:eastAsia="ar-SA"/>
        </w:rPr>
        <w:t xml:space="preserve">Es así </w:t>
      </w:r>
      <w:r w:rsidR="00514B40" w:rsidRPr="00DF45F8">
        <w:rPr>
          <w:rFonts w:ascii="ITC Avant Garde" w:hAnsi="ITC Avant Garde" w:cs="Arial"/>
          <w:lang w:eastAsia="ar-SA"/>
        </w:rPr>
        <w:t xml:space="preserve">que la armonización global </w:t>
      </w:r>
      <w:r w:rsidR="0045755B" w:rsidRPr="00DF45F8">
        <w:rPr>
          <w:rFonts w:ascii="ITC Avant Garde" w:hAnsi="ITC Avant Garde" w:cs="Arial"/>
          <w:lang w:eastAsia="ar-SA"/>
        </w:rPr>
        <w:t xml:space="preserve">del espectro </w:t>
      </w:r>
      <w:r w:rsidR="00514B40" w:rsidRPr="00DF45F8">
        <w:rPr>
          <w:rFonts w:ascii="ITC Avant Garde" w:hAnsi="ITC Avant Garde" w:cs="Arial"/>
          <w:lang w:eastAsia="ar-SA"/>
        </w:rPr>
        <w:t>propicia escenarios de economías de escala que fomentan la disminución de costos de los equipos</w:t>
      </w:r>
      <w:r w:rsidR="004F2230" w:rsidRPr="00DF45F8">
        <w:rPr>
          <w:rFonts w:ascii="ITC Avant Garde" w:hAnsi="ITC Avant Garde" w:cs="Arial"/>
          <w:lang w:eastAsia="ar-SA"/>
        </w:rPr>
        <w:t xml:space="preserve"> para el usuario final.</w:t>
      </w:r>
    </w:p>
    <w:p w14:paraId="041B1BAF" w14:textId="77777777" w:rsidR="004F2230" w:rsidRPr="00DF45F8" w:rsidRDefault="004F2230" w:rsidP="00676AA7">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lang w:eastAsia="ar-SA"/>
        </w:rPr>
      </w:pPr>
    </w:p>
    <w:p w14:paraId="354CA465" w14:textId="1EE31639" w:rsidR="00514B40" w:rsidRPr="00DF45F8" w:rsidRDefault="00514B40" w:rsidP="00E74803">
      <w:pPr>
        <w:autoSpaceDE w:val="0"/>
        <w:autoSpaceDN w:val="0"/>
        <w:adjustRightInd w:val="0"/>
        <w:spacing w:after="0" w:line="240" w:lineRule="auto"/>
        <w:jc w:val="both"/>
        <w:rPr>
          <w:rFonts w:ascii="ITC Avant Garde" w:hAnsi="ITC Avant Garde" w:cs="Arial"/>
          <w:lang w:eastAsia="ar-SA"/>
        </w:rPr>
      </w:pPr>
      <w:r w:rsidRPr="00DF45F8">
        <w:rPr>
          <w:rFonts w:ascii="ITC Avant Garde" w:hAnsi="ITC Avant Garde" w:cs="Arial"/>
          <w:lang w:eastAsia="ar-SA"/>
        </w:rPr>
        <w:t>De igual forma, diversos organismos internacionales, han emitido recomendaciones</w:t>
      </w:r>
      <w:r w:rsidR="00E74803" w:rsidRPr="00DF45F8">
        <w:rPr>
          <w:rFonts w:ascii="ITC Avant Garde" w:hAnsi="ITC Avant Garde" w:cs="Arial"/>
          <w:lang w:eastAsia="ar-SA"/>
        </w:rPr>
        <w:t xml:space="preserve"> entre las que se encuentran la Recomendación </w:t>
      </w:r>
      <w:r w:rsidR="005D7B44" w:rsidRPr="00DF45F8">
        <w:rPr>
          <w:rFonts w:ascii="ITC Avant Garde" w:hAnsi="ITC Avant Garde" w:cs="Arial"/>
          <w:lang w:eastAsia="ar-SA"/>
        </w:rPr>
        <w:t xml:space="preserve">de la Unión Internacional de Telecomunicaciones (UIT), </w:t>
      </w:r>
      <w:r w:rsidR="00E74803" w:rsidRPr="00DF45F8">
        <w:rPr>
          <w:rFonts w:ascii="ITC Avant Garde" w:hAnsi="ITC Avant Garde" w:cs="Arial"/>
          <w:lang w:eastAsia="ar-SA"/>
        </w:rPr>
        <w:t>UIT-R M.2003-1 “</w:t>
      </w:r>
      <w:proofErr w:type="spellStart"/>
      <w:r w:rsidR="00E74803" w:rsidRPr="00DF45F8">
        <w:rPr>
          <w:rFonts w:ascii="ITC Avant Garde" w:hAnsi="ITC Avant Garde" w:cs="Arial"/>
          <w:i/>
          <w:lang w:eastAsia="ar-SA"/>
        </w:rPr>
        <w:t>Multiple</w:t>
      </w:r>
      <w:proofErr w:type="spellEnd"/>
      <w:r w:rsidR="00E74803" w:rsidRPr="00DF45F8">
        <w:rPr>
          <w:rFonts w:ascii="ITC Avant Garde" w:hAnsi="ITC Avant Garde" w:cs="Arial"/>
          <w:i/>
          <w:lang w:eastAsia="ar-SA"/>
        </w:rPr>
        <w:t xml:space="preserve"> Gigabit Wireless </w:t>
      </w:r>
      <w:proofErr w:type="spellStart"/>
      <w:r w:rsidR="00E74803" w:rsidRPr="00DF45F8">
        <w:rPr>
          <w:rFonts w:ascii="ITC Avant Garde" w:hAnsi="ITC Avant Garde" w:cs="Arial"/>
          <w:i/>
          <w:lang w:eastAsia="ar-SA"/>
        </w:rPr>
        <w:t>Systems</w:t>
      </w:r>
      <w:proofErr w:type="spellEnd"/>
      <w:r w:rsidR="00E74803" w:rsidRPr="00DF45F8">
        <w:rPr>
          <w:rFonts w:ascii="ITC Avant Garde" w:hAnsi="ITC Avant Garde" w:cs="Arial"/>
          <w:i/>
          <w:lang w:eastAsia="ar-SA"/>
        </w:rPr>
        <w:t xml:space="preserve"> in </w:t>
      </w:r>
      <w:proofErr w:type="spellStart"/>
      <w:r w:rsidR="00E74803" w:rsidRPr="00DF45F8">
        <w:rPr>
          <w:rFonts w:ascii="ITC Avant Garde" w:hAnsi="ITC Avant Garde" w:cs="Arial"/>
          <w:i/>
          <w:lang w:eastAsia="ar-SA"/>
        </w:rPr>
        <w:t>frequencies</w:t>
      </w:r>
      <w:proofErr w:type="spellEnd"/>
      <w:r w:rsidR="00E74803" w:rsidRPr="00DF45F8">
        <w:rPr>
          <w:rFonts w:ascii="ITC Avant Garde" w:hAnsi="ITC Avant Garde" w:cs="Arial"/>
          <w:i/>
          <w:lang w:eastAsia="ar-SA"/>
        </w:rPr>
        <w:t xml:space="preserve"> </w:t>
      </w:r>
      <w:proofErr w:type="spellStart"/>
      <w:r w:rsidR="00E74803" w:rsidRPr="00DF45F8">
        <w:rPr>
          <w:rFonts w:ascii="ITC Avant Garde" w:hAnsi="ITC Avant Garde" w:cs="Arial"/>
          <w:i/>
          <w:lang w:eastAsia="ar-SA"/>
        </w:rPr>
        <w:t>around</w:t>
      </w:r>
      <w:proofErr w:type="spellEnd"/>
      <w:r w:rsidR="00E74803" w:rsidRPr="00DF45F8">
        <w:rPr>
          <w:rFonts w:ascii="ITC Avant Garde" w:hAnsi="ITC Avant Garde" w:cs="Arial"/>
          <w:i/>
          <w:lang w:eastAsia="ar-SA"/>
        </w:rPr>
        <w:t xml:space="preserve"> 60 GHz”</w:t>
      </w:r>
      <w:r w:rsidR="008E2E09" w:rsidRPr="00DF45F8">
        <w:rPr>
          <w:rFonts w:ascii="ITC Avant Garde" w:hAnsi="ITC Avant Garde" w:cs="Arial"/>
          <w:lang w:eastAsia="ar-SA"/>
        </w:rPr>
        <w:t>; y</w:t>
      </w:r>
      <w:r w:rsidR="005D7B44" w:rsidRPr="00DF45F8">
        <w:rPr>
          <w:rFonts w:ascii="ITC Avant Garde" w:hAnsi="ITC Avant Garde" w:cs="Arial"/>
          <w:i/>
          <w:lang w:eastAsia="ar-SA"/>
        </w:rPr>
        <w:t xml:space="preserve"> </w:t>
      </w:r>
      <w:r w:rsidR="00E74803" w:rsidRPr="00DF45F8">
        <w:rPr>
          <w:rFonts w:ascii="ITC Avant Garde" w:hAnsi="ITC Avant Garde" w:cs="Arial"/>
          <w:lang w:eastAsia="ar-SA"/>
        </w:rPr>
        <w:t xml:space="preserve">la </w:t>
      </w:r>
      <w:r w:rsidR="005D7B44" w:rsidRPr="00DF45F8">
        <w:rPr>
          <w:rFonts w:ascii="ITC Avant Garde" w:hAnsi="ITC Avant Garde" w:cs="Arial"/>
          <w:lang w:eastAsia="ar-SA"/>
        </w:rPr>
        <w:t>Recomendación de</w:t>
      </w:r>
      <w:r w:rsidR="00E74803" w:rsidRPr="00DF45F8">
        <w:rPr>
          <w:rFonts w:ascii="ITC Avant Garde" w:hAnsi="ITC Avant Garde" w:cs="Arial"/>
          <w:lang w:eastAsia="ar-SA"/>
        </w:rPr>
        <w:t>l</w:t>
      </w:r>
      <w:r w:rsidR="00D41E54" w:rsidRPr="00DF45F8">
        <w:rPr>
          <w:rFonts w:ascii="ITC Avant Garde" w:hAnsi="ITC Avant Garde" w:cs="Arial"/>
          <w:lang w:eastAsia="ar-SA"/>
        </w:rPr>
        <w:t xml:space="preserve"> Comité de Comunicaciones Electrónicas </w:t>
      </w:r>
      <w:r w:rsidR="005D7B44" w:rsidRPr="00DF45F8">
        <w:rPr>
          <w:rFonts w:ascii="ITC Avant Garde" w:hAnsi="ITC Avant Garde" w:cs="Arial"/>
          <w:lang w:eastAsia="ar-SA"/>
        </w:rPr>
        <w:t>(ECC</w:t>
      </w:r>
      <w:r w:rsidR="008E2E09" w:rsidRPr="00DF45F8">
        <w:rPr>
          <w:rFonts w:ascii="ITC Avant Garde" w:hAnsi="ITC Avant Garde" w:cs="Arial"/>
          <w:lang w:eastAsia="ar-SA"/>
        </w:rPr>
        <w:t>, por sus siglas en inglés</w:t>
      </w:r>
      <w:r w:rsidR="005D7B44" w:rsidRPr="00DF45F8">
        <w:rPr>
          <w:rFonts w:ascii="ITC Avant Garde" w:hAnsi="ITC Avant Garde" w:cs="Arial"/>
          <w:lang w:eastAsia="ar-SA"/>
        </w:rPr>
        <w:t>)</w:t>
      </w:r>
      <w:r w:rsidR="005D7B44" w:rsidRPr="00DF45F8">
        <w:rPr>
          <w:rFonts w:ascii="ITC Avant Garde" w:hAnsi="ITC Avant Garde" w:cs="Times New Roman"/>
          <w:i/>
        </w:rPr>
        <w:t xml:space="preserve"> </w:t>
      </w:r>
      <w:r w:rsidR="008E2E09" w:rsidRPr="00DF45F8">
        <w:rPr>
          <w:rFonts w:ascii="ITC Avant Garde" w:hAnsi="ITC Avant Garde" w:cs="Arial"/>
          <w:lang w:eastAsia="ar-SA"/>
        </w:rPr>
        <w:t>de la Conferencia Europea de Administraciones de Correos y Telecomunicaciones</w:t>
      </w:r>
      <w:r w:rsidR="005D7B44" w:rsidRPr="00DF45F8">
        <w:rPr>
          <w:rFonts w:ascii="ITC Avant Garde" w:hAnsi="ITC Avant Garde" w:cs="Arial"/>
          <w:lang w:eastAsia="ar-SA"/>
        </w:rPr>
        <w:t xml:space="preserve"> (CEPT</w:t>
      </w:r>
      <w:r w:rsidR="008E2E09" w:rsidRPr="00DF45F8">
        <w:rPr>
          <w:rFonts w:ascii="ITC Avant Garde" w:hAnsi="ITC Avant Garde" w:cs="Arial"/>
          <w:lang w:eastAsia="ar-SA"/>
        </w:rPr>
        <w:t>, por sus siglas en inglés</w:t>
      </w:r>
      <w:r w:rsidR="005D7B44" w:rsidRPr="00DF45F8">
        <w:rPr>
          <w:rFonts w:ascii="ITC Avant Garde" w:hAnsi="ITC Avant Garde" w:cs="Arial"/>
          <w:lang w:eastAsia="ar-SA"/>
        </w:rPr>
        <w:t>)</w:t>
      </w:r>
      <w:r w:rsidR="005D7B44" w:rsidRPr="00DF45F8">
        <w:rPr>
          <w:rFonts w:ascii="ITC Avant Garde" w:hAnsi="ITC Avant Garde" w:cs="Times New Roman"/>
          <w:i/>
        </w:rPr>
        <w:t xml:space="preserve"> </w:t>
      </w:r>
      <w:r w:rsidR="005D7B44" w:rsidRPr="00DF45F8">
        <w:rPr>
          <w:rFonts w:ascii="ITC Avant Garde" w:hAnsi="ITC Avant Garde" w:cs="Times New Roman"/>
          <w:bCs/>
          <w:i/>
        </w:rPr>
        <w:t>“</w:t>
      </w:r>
      <w:r w:rsidR="00E74803" w:rsidRPr="00DF45F8">
        <w:rPr>
          <w:rFonts w:ascii="ITC Avant Garde" w:hAnsi="ITC Avant Garde" w:cs="Times New Roman"/>
          <w:bCs/>
          <w:i/>
        </w:rPr>
        <w:t>EC</w:t>
      </w:r>
      <w:r w:rsidR="005D7B44" w:rsidRPr="00DF45F8">
        <w:rPr>
          <w:rFonts w:ascii="ITC Avant Garde" w:hAnsi="ITC Avant Garde" w:cs="Times New Roman"/>
          <w:bCs/>
          <w:i/>
        </w:rPr>
        <w:t xml:space="preserve">C </w:t>
      </w:r>
      <w:proofErr w:type="spellStart"/>
      <w:r w:rsidR="00E74803" w:rsidRPr="00DF45F8">
        <w:rPr>
          <w:rFonts w:ascii="ITC Avant Garde" w:hAnsi="ITC Avant Garde" w:cs="Times New Roman"/>
          <w:bCs/>
          <w:i/>
        </w:rPr>
        <w:t>Recommendation</w:t>
      </w:r>
      <w:proofErr w:type="spellEnd"/>
      <w:r w:rsidR="00E74803" w:rsidRPr="00DF45F8">
        <w:rPr>
          <w:rFonts w:ascii="ITC Avant Garde" w:hAnsi="ITC Avant Garde" w:cs="Times New Roman"/>
          <w:bCs/>
          <w:i/>
        </w:rPr>
        <w:t xml:space="preserve"> (09)</w:t>
      </w:r>
      <w:r w:rsidR="00342D94" w:rsidRPr="00DF45F8">
        <w:rPr>
          <w:rFonts w:ascii="ITC Avant Garde" w:hAnsi="ITC Avant Garde" w:cs="Times New Roman"/>
          <w:bCs/>
          <w:i/>
        </w:rPr>
        <w:t xml:space="preserve"> </w:t>
      </w:r>
      <w:r w:rsidR="00E74803" w:rsidRPr="00DF45F8">
        <w:rPr>
          <w:rFonts w:ascii="ITC Avant Garde" w:hAnsi="ITC Avant Garde" w:cs="Times New Roman"/>
          <w:bCs/>
          <w:i/>
        </w:rPr>
        <w:t xml:space="preserve">01 Use Of </w:t>
      </w:r>
      <w:proofErr w:type="spellStart"/>
      <w:r w:rsidR="00E74803" w:rsidRPr="00DF45F8">
        <w:rPr>
          <w:rFonts w:ascii="ITC Avant Garde" w:hAnsi="ITC Avant Garde" w:cs="Times New Roman"/>
          <w:bCs/>
          <w:i/>
        </w:rPr>
        <w:t>The</w:t>
      </w:r>
      <w:proofErr w:type="spellEnd"/>
      <w:r w:rsidR="00E74803" w:rsidRPr="00DF45F8">
        <w:rPr>
          <w:rFonts w:ascii="ITC Avant Garde" w:hAnsi="ITC Avant Garde" w:cs="Times New Roman"/>
          <w:bCs/>
          <w:i/>
        </w:rPr>
        <w:t xml:space="preserve"> 57 - 64 GHz </w:t>
      </w:r>
      <w:proofErr w:type="spellStart"/>
      <w:r w:rsidR="00E74803" w:rsidRPr="00DF45F8">
        <w:rPr>
          <w:rFonts w:ascii="ITC Avant Garde" w:hAnsi="ITC Avant Garde" w:cs="Times New Roman"/>
          <w:bCs/>
          <w:i/>
        </w:rPr>
        <w:t>Frequency</w:t>
      </w:r>
      <w:proofErr w:type="spellEnd"/>
      <w:r w:rsidR="00E74803" w:rsidRPr="00DF45F8">
        <w:rPr>
          <w:rFonts w:ascii="ITC Avant Garde" w:hAnsi="ITC Avant Garde" w:cs="Times New Roman"/>
          <w:bCs/>
          <w:i/>
        </w:rPr>
        <w:t xml:space="preserve"> Band </w:t>
      </w:r>
      <w:proofErr w:type="spellStart"/>
      <w:r w:rsidR="00E74803" w:rsidRPr="00DF45F8">
        <w:rPr>
          <w:rFonts w:ascii="ITC Avant Garde" w:hAnsi="ITC Avant Garde" w:cs="Times New Roman"/>
          <w:bCs/>
          <w:i/>
        </w:rPr>
        <w:t>For</w:t>
      </w:r>
      <w:proofErr w:type="spellEnd"/>
      <w:r w:rsidR="00E74803" w:rsidRPr="00DF45F8">
        <w:rPr>
          <w:rFonts w:ascii="ITC Avant Garde" w:hAnsi="ITC Avant Garde" w:cs="Times New Roman"/>
          <w:bCs/>
          <w:i/>
        </w:rPr>
        <w:t xml:space="preserve"> Point-To-Point </w:t>
      </w:r>
      <w:proofErr w:type="spellStart"/>
      <w:r w:rsidR="00E74803" w:rsidRPr="00DF45F8">
        <w:rPr>
          <w:rFonts w:ascii="ITC Avant Garde" w:hAnsi="ITC Avant Garde" w:cs="Times New Roman"/>
          <w:bCs/>
          <w:i/>
        </w:rPr>
        <w:t>Fixed</w:t>
      </w:r>
      <w:proofErr w:type="spellEnd"/>
      <w:r w:rsidR="00E74803" w:rsidRPr="00DF45F8">
        <w:rPr>
          <w:rFonts w:ascii="ITC Avant Garde" w:hAnsi="ITC Avant Garde" w:cs="Times New Roman"/>
          <w:bCs/>
          <w:i/>
        </w:rPr>
        <w:t xml:space="preserve"> Wireless </w:t>
      </w:r>
      <w:proofErr w:type="spellStart"/>
      <w:r w:rsidR="00E74803" w:rsidRPr="00DF45F8">
        <w:rPr>
          <w:rFonts w:ascii="ITC Avant Garde" w:hAnsi="ITC Avant Garde" w:cs="Times New Roman"/>
          <w:bCs/>
          <w:i/>
        </w:rPr>
        <w:t>Systems</w:t>
      </w:r>
      <w:proofErr w:type="spellEnd"/>
      <w:r w:rsidR="00E74803" w:rsidRPr="00DF45F8">
        <w:rPr>
          <w:rFonts w:ascii="ITC Avant Garde" w:hAnsi="ITC Avant Garde" w:cs="Times New Roman"/>
          <w:bCs/>
          <w:i/>
        </w:rPr>
        <w:t>”</w:t>
      </w:r>
      <w:r w:rsidR="005D7B44" w:rsidRPr="00DF45F8">
        <w:rPr>
          <w:rFonts w:ascii="Times New Roman" w:hAnsi="Times New Roman" w:cs="Times New Roman"/>
          <w:b/>
          <w:bCs/>
          <w:sz w:val="19"/>
          <w:szCs w:val="19"/>
        </w:rPr>
        <w:t>,</w:t>
      </w:r>
      <w:r w:rsidR="005D7B44" w:rsidRPr="00DF45F8">
        <w:rPr>
          <w:rFonts w:ascii="ITC Avant Garde" w:hAnsi="ITC Avant Garde" w:cs="Arial"/>
          <w:lang w:eastAsia="ar-SA"/>
        </w:rPr>
        <w:t xml:space="preserve"> ambas </w:t>
      </w:r>
      <w:r w:rsidRPr="00DF45F8">
        <w:rPr>
          <w:rFonts w:ascii="ITC Avant Garde" w:hAnsi="ITC Avant Garde" w:cs="Arial"/>
          <w:lang w:eastAsia="ar-SA"/>
        </w:rPr>
        <w:t>sobre requerimientos técnicos y operativos para sistemas inalámbricos de banda ancha que utilizan la mencionada banda de frecuenc</w:t>
      </w:r>
      <w:r w:rsidR="004F2230" w:rsidRPr="00DF45F8">
        <w:rPr>
          <w:rFonts w:ascii="ITC Avant Garde" w:hAnsi="ITC Avant Garde" w:cs="Arial"/>
          <w:lang w:eastAsia="ar-SA"/>
        </w:rPr>
        <w:t>ias del espectro radioeléctrico, lo que impulsa el despliegue de la tecnología.</w:t>
      </w:r>
    </w:p>
    <w:p w14:paraId="0FDDD16D" w14:textId="70A88935" w:rsidR="002A0A64" w:rsidRPr="00DF45F8" w:rsidRDefault="002A0A64" w:rsidP="00E74803">
      <w:pPr>
        <w:autoSpaceDE w:val="0"/>
        <w:autoSpaceDN w:val="0"/>
        <w:adjustRightInd w:val="0"/>
        <w:spacing w:after="0" w:line="240" w:lineRule="auto"/>
        <w:jc w:val="both"/>
        <w:rPr>
          <w:rFonts w:ascii="ITC Avant Garde" w:hAnsi="ITC Avant Garde" w:cs="ArialMT"/>
          <w:color w:val="2F2F2F"/>
        </w:rPr>
      </w:pPr>
    </w:p>
    <w:p w14:paraId="2EA45047" w14:textId="2D66F965" w:rsidR="002A0A64" w:rsidRPr="003472C1" w:rsidRDefault="002A0A64" w:rsidP="00E74803">
      <w:pPr>
        <w:autoSpaceDE w:val="0"/>
        <w:autoSpaceDN w:val="0"/>
        <w:adjustRightInd w:val="0"/>
        <w:spacing w:after="0" w:line="240" w:lineRule="auto"/>
        <w:jc w:val="both"/>
        <w:rPr>
          <w:rFonts w:ascii="ITC Avant Garde" w:hAnsi="ITC Avant Garde" w:cs="ArialMT"/>
        </w:rPr>
      </w:pPr>
      <w:r w:rsidRPr="003472C1">
        <w:rPr>
          <w:rFonts w:ascii="ITC Avant Garde" w:hAnsi="ITC Avant Garde" w:cs="ArialMT"/>
        </w:rPr>
        <w:lastRenderedPageBreak/>
        <w:t>Adicionalmente, en nuestro país no se cuenta con registros de usuarios que hagan uso del espectro radioeléctrico en el segmento 57-64 GHz.</w:t>
      </w:r>
    </w:p>
    <w:p w14:paraId="14DFC954" w14:textId="77777777" w:rsidR="003472C1" w:rsidRPr="00DF45F8" w:rsidRDefault="003472C1" w:rsidP="00676AA7">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MT"/>
          <w:color w:val="2F2F2F"/>
        </w:rPr>
      </w:pPr>
    </w:p>
    <w:p w14:paraId="2B8642FD" w14:textId="62CB82FB" w:rsidR="00A91813" w:rsidRPr="00DF45F8" w:rsidRDefault="003A546C" w:rsidP="002C7C81">
      <w:pPr>
        <w:pStyle w:val="Prrafodelista"/>
        <w:numPr>
          <w:ilvl w:val="0"/>
          <w:numId w:val="1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b/>
          <w:color w:val="000000" w:themeColor="text1"/>
          <w:lang w:eastAsia="es-MX"/>
        </w:rPr>
      </w:pPr>
      <w:r w:rsidRPr="00DF45F8">
        <w:rPr>
          <w:rFonts w:ascii="ITC Avant Garde" w:hAnsi="ITC Avant Garde"/>
          <w:b/>
          <w:color w:val="000000" w:themeColor="text1"/>
          <w:lang w:eastAsia="es-MX"/>
        </w:rPr>
        <w:t>Opinión Pública.</w:t>
      </w:r>
      <w:r w:rsidR="00A91813" w:rsidRPr="00DF45F8">
        <w:rPr>
          <w:rFonts w:ascii="ITC Avant Garde" w:hAnsi="ITC Avant Garde"/>
          <w:b/>
          <w:color w:val="000000" w:themeColor="text1"/>
          <w:lang w:eastAsia="es-MX"/>
        </w:rPr>
        <w:t xml:space="preserve"> </w:t>
      </w:r>
      <w:r w:rsidR="005534EE" w:rsidRPr="00DF45F8">
        <w:rPr>
          <w:rFonts w:ascii="ITC Avant Garde" w:hAnsi="ITC Avant Garde"/>
          <w:color w:val="000000" w:themeColor="text1"/>
          <w:lang w:eastAsia="es-MX"/>
        </w:rPr>
        <w:t>Del 18 de noviembre al 09 de d</w:t>
      </w:r>
      <w:r w:rsidR="00A91813" w:rsidRPr="00DF45F8">
        <w:rPr>
          <w:rFonts w:ascii="ITC Avant Garde" w:hAnsi="ITC Avant Garde"/>
          <w:color w:val="000000" w:themeColor="text1"/>
          <w:lang w:eastAsia="es-MX"/>
        </w:rPr>
        <w:t>iciembre de 2016 se llevó a cabo la Opinión pública sobre el “Análisis de la banda 57 – 64 GHz para su posible clasificación como espectro libre”, con el objeto de recabar los comentarios, opiniones y aportaciones de cualquier interesado respecto a la posible clasificación de la banda de 60 GHz como espectro libre.</w:t>
      </w:r>
    </w:p>
    <w:p w14:paraId="3110C15E" w14:textId="77777777" w:rsidR="00A91813" w:rsidRPr="00DF45F8" w:rsidRDefault="00A91813" w:rsidP="002C7C81">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b/>
          <w:color w:val="000000" w:themeColor="text1"/>
          <w:lang w:eastAsia="es-MX"/>
        </w:rPr>
      </w:pPr>
    </w:p>
    <w:p w14:paraId="613B0D3A" w14:textId="077B37D1" w:rsidR="00A91813" w:rsidRPr="00DF45F8" w:rsidRDefault="00A91813" w:rsidP="002C7C81">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olor w:val="000000" w:themeColor="text1"/>
          <w:lang w:eastAsia="es-MX"/>
        </w:rPr>
      </w:pPr>
      <w:r w:rsidRPr="00DF45F8">
        <w:rPr>
          <w:rFonts w:ascii="ITC Avant Garde" w:hAnsi="ITC Avant Garde"/>
          <w:color w:val="000000" w:themeColor="text1"/>
          <w:lang w:eastAsia="es-MX"/>
        </w:rPr>
        <w:t>Durante el periodo de 15 días hábiles que permaneció abierta la opinión pública en el portal del Instituto, se recibieron un total de 31 comentarios, de los cuales se presentaron diversas manifestaciones sobre el interés que existe para la utilización de la banda de frecuencias de 60 GHz como espectro libre</w:t>
      </w:r>
      <w:r w:rsidR="001C6951" w:rsidRPr="00DF45F8">
        <w:rPr>
          <w:rFonts w:ascii="ITC Avant Garde" w:hAnsi="ITC Avant Garde"/>
          <w:color w:val="000000" w:themeColor="text1"/>
          <w:lang w:eastAsia="es-MX"/>
        </w:rPr>
        <w:t>;</w:t>
      </w:r>
      <w:r w:rsidRPr="00DF45F8">
        <w:rPr>
          <w:rFonts w:ascii="ITC Avant Garde" w:hAnsi="ITC Avant Garde"/>
          <w:color w:val="000000" w:themeColor="text1"/>
          <w:lang w:eastAsia="es-MX"/>
        </w:rPr>
        <w:t xml:space="preserve"> así </w:t>
      </w:r>
      <w:r w:rsidR="003A1628" w:rsidRPr="00DF45F8">
        <w:rPr>
          <w:rFonts w:ascii="ITC Avant Garde" w:hAnsi="ITC Avant Garde"/>
          <w:color w:val="000000" w:themeColor="text1"/>
          <w:lang w:eastAsia="es-MX"/>
        </w:rPr>
        <w:t>mismo</w:t>
      </w:r>
      <w:r w:rsidR="001C6951" w:rsidRPr="00DF45F8">
        <w:rPr>
          <w:rFonts w:ascii="ITC Avant Garde" w:hAnsi="ITC Avant Garde"/>
          <w:color w:val="000000" w:themeColor="text1"/>
          <w:lang w:eastAsia="es-MX"/>
        </w:rPr>
        <w:t>,</w:t>
      </w:r>
      <w:r w:rsidR="003A1628" w:rsidRPr="00DF45F8">
        <w:rPr>
          <w:rFonts w:ascii="ITC Avant Garde" w:hAnsi="ITC Avant Garde"/>
          <w:color w:val="000000" w:themeColor="text1"/>
          <w:lang w:eastAsia="es-MX"/>
        </w:rPr>
        <w:t xml:space="preserve"> se obtuvieron </w:t>
      </w:r>
      <w:r w:rsidRPr="00DF45F8">
        <w:rPr>
          <w:rFonts w:ascii="ITC Avant Garde" w:hAnsi="ITC Avant Garde"/>
          <w:color w:val="000000" w:themeColor="text1"/>
          <w:lang w:eastAsia="es-MX"/>
        </w:rPr>
        <w:t>insumos relativos a estándares utilizados internacionalmente y propuestas de los parámetros técnicos utilizados en otros países</w:t>
      </w:r>
      <w:r w:rsidR="003A1628" w:rsidRPr="00DF45F8">
        <w:rPr>
          <w:rFonts w:ascii="ITC Avant Garde" w:hAnsi="ITC Avant Garde"/>
          <w:color w:val="000000" w:themeColor="text1"/>
          <w:lang w:eastAsia="es-MX"/>
        </w:rPr>
        <w:t>, los cuales</w:t>
      </w:r>
      <w:r w:rsidRPr="00DF45F8">
        <w:rPr>
          <w:rFonts w:ascii="ITC Avant Garde" w:hAnsi="ITC Avant Garde"/>
          <w:color w:val="000000" w:themeColor="text1"/>
          <w:lang w:eastAsia="es-MX"/>
        </w:rPr>
        <w:t xml:space="preserve"> podrían incorporarse en las condiciones de operación de la banda en nuestro país.</w:t>
      </w:r>
    </w:p>
    <w:p w14:paraId="482D0B0A" w14:textId="77777777" w:rsidR="00A91813" w:rsidRPr="00DF45F8" w:rsidRDefault="00A91813" w:rsidP="002C7C81">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olor w:val="000000" w:themeColor="text1"/>
          <w:lang w:eastAsia="es-MX"/>
        </w:rPr>
      </w:pPr>
    </w:p>
    <w:p w14:paraId="047F92F0" w14:textId="47A71E1C" w:rsidR="003A546C" w:rsidRPr="00DF45F8" w:rsidRDefault="00A91813" w:rsidP="002C7C81">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b/>
          <w:color w:val="000000" w:themeColor="text1"/>
          <w:lang w:eastAsia="es-MX"/>
        </w:rPr>
      </w:pPr>
      <w:r w:rsidRPr="00DF45F8">
        <w:rPr>
          <w:rFonts w:ascii="ITC Avant Garde" w:hAnsi="ITC Avant Garde"/>
          <w:color w:val="000000" w:themeColor="text1"/>
          <w:lang w:eastAsia="es-MX"/>
        </w:rPr>
        <w:t xml:space="preserve">En términos generales, los participantes se manifestaron a favor de la iniciativa </w:t>
      </w:r>
      <w:r w:rsidR="009329DB" w:rsidRPr="00DF45F8">
        <w:rPr>
          <w:rFonts w:ascii="ITC Avant Garde" w:hAnsi="ITC Avant Garde"/>
          <w:color w:val="000000" w:themeColor="text1"/>
          <w:lang w:eastAsia="es-MX"/>
        </w:rPr>
        <w:t xml:space="preserve">propuesta por el Instituto, </w:t>
      </w:r>
      <w:r w:rsidRPr="00DF45F8">
        <w:rPr>
          <w:rFonts w:ascii="ITC Avant Garde" w:hAnsi="ITC Avant Garde"/>
          <w:color w:val="000000" w:themeColor="text1"/>
          <w:lang w:eastAsia="es-MX"/>
        </w:rPr>
        <w:t xml:space="preserve">ya que </w:t>
      </w:r>
      <w:r w:rsidR="00D66560" w:rsidRPr="00DF45F8">
        <w:rPr>
          <w:rFonts w:ascii="ITC Avant Garde" w:hAnsi="ITC Avant Garde"/>
          <w:color w:val="000000" w:themeColor="text1"/>
          <w:lang w:eastAsia="es-MX"/>
        </w:rPr>
        <w:t xml:space="preserve">actualmente </w:t>
      </w:r>
      <w:r w:rsidRPr="00DF45F8">
        <w:rPr>
          <w:rFonts w:ascii="ITC Avant Garde" w:hAnsi="ITC Avant Garde"/>
          <w:color w:val="000000" w:themeColor="text1"/>
          <w:lang w:eastAsia="es-MX"/>
        </w:rPr>
        <w:t>existe</w:t>
      </w:r>
      <w:r w:rsidR="00D66560" w:rsidRPr="00DF45F8">
        <w:rPr>
          <w:rFonts w:ascii="ITC Avant Garde" w:hAnsi="ITC Avant Garde"/>
          <w:color w:val="000000" w:themeColor="text1"/>
          <w:lang w:eastAsia="es-MX"/>
        </w:rPr>
        <w:t xml:space="preserve"> equipo disponible en el mercado</w:t>
      </w:r>
      <w:r w:rsidRPr="00DF45F8">
        <w:rPr>
          <w:rFonts w:ascii="ITC Avant Garde" w:hAnsi="ITC Avant Garde"/>
          <w:color w:val="000000" w:themeColor="text1"/>
          <w:lang w:eastAsia="es-MX"/>
        </w:rPr>
        <w:t xml:space="preserve"> que operan en esta banda de frecuencias y</w:t>
      </w:r>
      <w:r w:rsidR="00D66560" w:rsidRPr="00DF45F8">
        <w:rPr>
          <w:rFonts w:ascii="ITC Avant Garde" w:hAnsi="ITC Avant Garde"/>
          <w:color w:val="000000" w:themeColor="text1"/>
          <w:lang w:eastAsia="es-MX"/>
        </w:rPr>
        <w:t xml:space="preserve"> que las propiedades de la banda permiten una óptima utilización de este recurso. Adicionalmente</w:t>
      </w:r>
      <w:r w:rsidRPr="00DF45F8">
        <w:rPr>
          <w:rFonts w:ascii="ITC Avant Garde" w:hAnsi="ITC Avant Garde"/>
          <w:color w:val="000000" w:themeColor="text1"/>
          <w:lang w:eastAsia="es-MX"/>
        </w:rPr>
        <w:t xml:space="preserve">, </w:t>
      </w:r>
      <w:r w:rsidR="00D66560" w:rsidRPr="00DF45F8">
        <w:rPr>
          <w:rFonts w:ascii="ITC Avant Garde" w:hAnsi="ITC Avant Garde"/>
          <w:color w:val="000000" w:themeColor="text1"/>
          <w:lang w:eastAsia="es-MX"/>
        </w:rPr>
        <w:t xml:space="preserve">es de considerarse que </w:t>
      </w:r>
      <w:r w:rsidR="002C7C81" w:rsidRPr="00DF45F8">
        <w:rPr>
          <w:rFonts w:ascii="ITC Avant Garde" w:hAnsi="ITC Avant Garde"/>
          <w:color w:val="000000" w:themeColor="text1"/>
          <w:lang w:eastAsia="es-MX"/>
        </w:rPr>
        <w:t xml:space="preserve">en </w:t>
      </w:r>
      <w:r w:rsidR="00D66560" w:rsidRPr="00DF45F8">
        <w:rPr>
          <w:rFonts w:ascii="ITC Avant Garde" w:hAnsi="ITC Avant Garde"/>
          <w:color w:val="000000" w:themeColor="text1"/>
          <w:lang w:eastAsia="es-MX"/>
        </w:rPr>
        <w:t>diversos</w:t>
      </w:r>
      <w:r w:rsidRPr="00DF45F8">
        <w:rPr>
          <w:rFonts w:ascii="ITC Avant Garde" w:hAnsi="ITC Avant Garde"/>
          <w:color w:val="000000" w:themeColor="text1"/>
          <w:lang w:eastAsia="es-MX"/>
        </w:rPr>
        <w:t xml:space="preserve"> países </w:t>
      </w:r>
      <w:r w:rsidR="00D66560" w:rsidRPr="00DF45F8">
        <w:rPr>
          <w:rFonts w:ascii="ITC Avant Garde" w:hAnsi="ITC Avant Garde"/>
          <w:color w:val="000000" w:themeColor="text1"/>
          <w:lang w:eastAsia="es-MX"/>
        </w:rPr>
        <w:t xml:space="preserve">a nivel mundial, </w:t>
      </w:r>
      <w:r w:rsidR="002C7C81" w:rsidRPr="00DF45F8">
        <w:rPr>
          <w:rFonts w:ascii="ITC Avant Garde" w:hAnsi="ITC Avant Garde"/>
          <w:color w:val="000000" w:themeColor="text1"/>
          <w:lang w:eastAsia="es-MX"/>
        </w:rPr>
        <w:t>se encuentra</w:t>
      </w:r>
      <w:r w:rsidRPr="00DF45F8">
        <w:rPr>
          <w:rFonts w:ascii="ITC Avant Garde" w:hAnsi="ITC Avant Garde"/>
          <w:color w:val="000000" w:themeColor="text1"/>
          <w:lang w:eastAsia="es-MX"/>
        </w:rPr>
        <w:t xml:space="preserve"> identificada </w:t>
      </w:r>
      <w:r w:rsidR="00D66560" w:rsidRPr="00DF45F8">
        <w:rPr>
          <w:rFonts w:ascii="ITC Avant Garde" w:hAnsi="ITC Avant Garde"/>
          <w:color w:val="000000" w:themeColor="text1"/>
          <w:lang w:eastAsia="es-MX"/>
        </w:rPr>
        <w:t xml:space="preserve">dicha banda de frecuencias </w:t>
      </w:r>
      <w:r w:rsidRPr="00DF45F8">
        <w:rPr>
          <w:rFonts w:ascii="ITC Avant Garde" w:hAnsi="ITC Avant Garde"/>
          <w:color w:val="000000" w:themeColor="text1"/>
          <w:lang w:eastAsia="es-MX"/>
        </w:rPr>
        <w:t xml:space="preserve">para su uso sin </w:t>
      </w:r>
      <w:r w:rsidR="00D66560" w:rsidRPr="00DF45F8">
        <w:rPr>
          <w:rFonts w:ascii="ITC Avant Garde" w:hAnsi="ITC Avant Garde"/>
          <w:color w:val="000000" w:themeColor="text1"/>
          <w:lang w:eastAsia="es-MX"/>
        </w:rPr>
        <w:t xml:space="preserve">necesidad de </w:t>
      </w:r>
      <w:r w:rsidRPr="00DF45F8">
        <w:rPr>
          <w:rFonts w:ascii="ITC Avant Garde" w:hAnsi="ITC Avant Garde"/>
          <w:color w:val="000000" w:themeColor="text1"/>
          <w:lang w:eastAsia="es-MX"/>
        </w:rPr>
        <w:t>licencia</w:t>
      </w:r>
      <w:r w:rsidR="00B133C3" w:rsidRPr="00DF45F8">
        <w:rPr>
          <w:rFonts w:ascii="ITC Avant Garde" w:hAnsi="ITC Avant Garde"/>
          <w:color w:val="000000" w:themeColor="text1"/>
          <w:lang w:eastAsia="es-MX"/>
        </w:rPr>
        <w:t xml:space="preserve"> o concesión</w:t>
      </w:r>
      <w:r w:rsidR="00D66560" w:rsidRPr="00DF45F8">
        <w:rPr>
          <w:rFonts w:ascii="ITC Avant Garde" w:hAnsi="ITC Avant Garde"/>
          <w:color w:val="000000" w:themeColor="text1"/>
          <w:lang w:eastAsia="es-MX"/>
        </w:rPr>
        <w:t xml:space="preserve">, por lo que </w:t>
      </w:r>
      <w:r w:rsidR="00D91558" w:rsidRPr="00DF45F8">
        <w:rPr>
          <w:rFonts w:ascii="ITC Avant Garde" w:hAnsi="ITC Avant Garde"/>
          <w:color w:val="000000" w:themeColor="text1"/>
          <w:lang w:eastAsia="es-MX"/>
        </w:rPr>
        <w:t xml:space="preserve">la participación en la opinión pública </w:t>
      </w:r>
      <w:r w:rsidR="00D66560" w:rsidRPr="00DF45F8">
        <w:rPr>
          <w:rFonts w:ascii="ITC Avant Garde" w:hAnsi="ITC Avant Garde"/>
          <w:color w:val="000000" w:themeColor="text1"/>
          <w:lang w:eastAsia="es-MX"/>
        </w:rPr>
        <w:t>sugiere considerar las medidas regulatorias tanto en dichos países, como en las recomendaciones internacionales de organismos especializados en materia de telecomunicaciones.</w:t>
      </w:r>
    </w:p>
    <w:p w14:paraId="683B4D31" w14:textId="77777777" w:rsidR="003472C1" w:rsidRPr="00DF45F8" w:rsidRDefault="003472C1" w:rsidP="003A546C">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rPr>
      </w:pPr>
    </w:p>
    <w:p w14:paraId="7631B750" w14:textId="1BEAF4D3" w:rsidR="006D62F6" w:rsidRPr="00DF45F8" w:rsidRDefault="00735D8D" w:rsidP="00676AA7">
      <w:pPr>
        <w:pStyle w:val="Prrafodelista"/>
        <w:numPr>
          <w:ilvl w:val="0"/>
          <w:numId w:val="1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rPr>
      </w:pPr>
      <w:r w:rsidRPr="00DF45F8">
        <w:rPr>
          <w:rFonts w:ascii="ITC Avant Garde" w:hAnsi="ITC Avant Garde"/>
          <w:b/>
          <w:color w:val="000000" w:themeColor="text1"/>
          <w:lang w:eastAsia="es-MX"/>
        </w:rPr>
        <w:t xml:space="preserve">Consulta Pública. </w:t>
      </w:r>
      <w:r w:rsidR="000A2DD0" w:rsidRPr="00DF45F8">
        <w:rPr>
          <w:rFonts w:ascii="ITC Avant Garde" w:hAnsi="ITC Avant Garde"/>
        </w:rPr>
        <w:t xml:space="preserve">El artículo 51 de la Ley </w:t>
      </w:r>
      <w:r w:rsidR="00B95309" w:rsidRPr="00DF45F8">
        <w:rPr>
          <w:rFonts w:ascii="ITC Avant Garde" w:hAnsi="ITC Avant Garde"/>
        </w:rPr>
        <w:t>establece</w:t>
      </w:r>
      <w:r w:rsidR="000A2DD0" w:rsidRPr="00DF45F8">
        <w:rPr>
          <w:rFonts w:ascii="ITC Avant Garde" w:hAnsi="ITC Avant Garde"/>
        </w:rPr>
        <w:t xml:space="preserve"> que para la emisión y modificación de reglas, lineamientos o disposiciones de carácter general, así como en cualquier caso que determine el Pleno, el Instituto deberá</w:t>
      </w:r>
      <w:r w:rsidR="006D62F6" w:rsidRPr="00DF45F8">
        <w:rPr>
          <w:rFonts w:ascii="ITC Avant Garde" w:hAnsi="ITC Avant Garde"/>
        </w:rPr>
        <w:t>:</w:t>
      </w:r>
    </w:p>
    <w:p w14:paraId="30F3F070" w14:textId="77777777" w:rsidR="006D62F6" w:rsidRPr="00DF45F8" w:rsidRDefault="006D62F6" w:rsidP="006D62F6">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b/>
          <w:color w:val="000000" w:themeColor="text1"/>
          <w:lang w:eastAsia="es-MX"/>
        </w:rPr>
      </w:pPr>
    </w:p>
    <w:p w14:paraId="0F299F03" w14:textId="77777777" w:rsidR="006D62F6" w:rsidRPr="00DF45F8" w:rsidRDefault="006D62F6" w:rsidP="006D62F6">
      <w:pPr>
        <w:pStyle w:val="Default"/>
        <w:numPr>
          <w:ilvl w:val="0"/>
          <w:numId w:val="23"/>
        </w:numPr>
        <w:jc w:val="both"/>
        <w:rPr>
          <w:rFonts w:ascii="ITC Avant Garde" w:hAnsi="ITC Avant Garde" w:cs="TimesNewRomanPS-BoldMT"/>
          <w:bCs/>
          <w:sz w:val="22"/>
          <w:szCs w:val="22"/>
        </w:rPr>
      </w:pPr>
      <w:r w:rsidRPr="00DF45F8">
        <w:rPr>
          <w:rFonts w:ascii="ITC Avant Garde" w:hAnsi="ITC Avant Garde" w:cs="TimesNewRomanPS-BoldMT"/>
          <w:bCs/>
          <w:sz w:val="22"/>
          <w:szCs w:val="22"/>
        </w:rPr>
        <w:t>Realizar consultas públicas bajo los principios de transparencia y participación ciudadana, en los términos que determine el Pleno, salvo que la publicidad pudiera comprometer los efectos que se pretenden resolver o prevenir en una situación de emergencia;</w:t>
      </w:r>
    </w:p>
    <w:p w14:paraId="4AC5EAD7" w14:textId="77777777" w:rsidR="006D62F6" w:rsidRPr="00DF45F8" w:rsidRDefault="006D62F6" w:rsidP="006D62F6">
      <w:pPr>
        <w:pStyle w:val="Default"/>
        <w:ind w:left="720"/>
        <w:jc w:val="both"/>
        <w:rPr>
          <w:rFonts w:ascii="ITC Avant Garde" w:hAnsi="ITC Avant Garde" w:cs="TimesNewRomanPS-BoldMT"/>
          <w:bCs/>
          <w:sz w:val="22"/>
          <w:szCs w:val="22"/>
        </w:rPr>
      </w:pPr>
    </w:p>
    <w:p w14:paraId="25CF1D85" w14:textId="6055C784" w:rsidR="006D62F6" w:rsidRPr="00DF45F8" w:rsidRDefault="006D62F6" w:rsidP="006D62F6">
      <w:pPr>
        <w:pStyle w:val="Default"/>
        <w:numPr>
          <w:ilvl w:val="0"/>
          <w:numId w:val="23"/>
        </w:numPr>
        <w:jc w:val="both"/>
        <w:rPr>
          <w:rFonts w:ascii="ITC Avant Garde" w:hAnsi="ITC Avant Garde" w:cs="TimesNewRomanPS-BoldMT"/>
          <w:bCs/>
          <w:sz w:val="22"/>
          <w:szCs w:val="22"/>
        </w:rPr>
      </w:pPr>
      <w:r w:rsidRPr="00DF45F8">
        <w:rPr>
          <w:rFonts w:ascii="ITC Avant Garde" w:hAnsi="ITC Avant Garde" w:cs="TimesNewRomanPS-BoldMT"/>
          <w:bCs/>
          <w:sz w:val="22"/>
          <w:szCs w:val="22"/>
        </w:rPr>
        <w:t>En su caso, realizar y hacer público un análisis de impacto regulatorio, previo a la emisión de las reglas, lineamientos o disposiciones administrativas de carácter general</w:t>
      </w:r>
      <w:r w:rsidR="00DF45F8">
        <w:rPr>
          <w:rFonts w:ascii="ITC Avant Garde" w:hAnsi="ITC Avant Garde" w:cs="TimesNewRomanPS-BoldMT"/>
          <w:bCs/>
          <w:sz w:val="22"/>
          <w:szCs w:val="22"/>
        </w:rPr>
        <w:t>;</w:t>
      </w:r>
      <w:r w:rsidRPr="00DF45F8">
        <w:rPr>
          <w:rFonts w:ascii="ITC Avant Garde" w:hAnsi="ITC Avant Garde" w:cs="TimesNewRomanPS-BoldMT"/>
          <w:bCs/>
          <w:sz w:val="22"/>
          <w:szCs w:val="22"/>
        </w:rPr>
        <w:t xml:space="preserve"> e</w:t>
      </w:r>
    </w:p>
    <w:p w14:paraId="15AC3416" w14:textId="77777777" w:rsidR="006D62F6" w:rsidRPr="00DF45F8" w:rsidRDefault="006D62F6" w:rsidP="006D62F6">
      <w:pPr>
        <w:pStyle w:val="Default"/>
        <w:jc w:val="both"/>
        <w:rPr>
          <w:rFonts w:ascii="ITC Avant Garde" w:hAnsi="ITC Avant Garde" w:cs="TimesNewRomanPS-BoldMT"/>
          <w:bCs/>
          <w:sz w:val="22"/>
          <w:szCs w:val="22"/>
        </w:rPr>
      </w:pPr>
    </w:p>
    <w:p w14:paraId="10582B12" w14:textId="55D3ED9E" w:rsidR="00735D8D" w:rsidRPr="00DF45F8" w:rsidRDefault="006D62F6" w:rsidP="006E2CA6">
      <w:pPr>
        <w:pStyle w:val="Default"/>
        <w:numPr>
          <w:ilvl w:val="0"/>
          <w:numId w:val="23"/>
        </w:numPr>
        <w:jc w:val="both"/>
        <w:rPr>
          <w:rFonts w:ascii="ITC Avant Garde" w:hAnsi="ITC Avant Garde"/>
        </w:rPr>
      </w:pPr>
      <w:r w:rsidRPr="00DF45F8">
        <w:rPr>
          <w:rFonts w:ascii="ITC Avant Garde" w:hAnsi="ITC Avant Garde" w:cs="TimesNewRomanPS-BoldMT"/>
          <w:bCs/>
          <w:sz w:val="22"/>
          <w:szCs w:val="22"/>
        </w:rPr>
        <w:t>Integrar y hacer público un documento que refleje los resultados de la consulta pública</w:t>
      </w:r>
      <w:r w:rsidR="00DF45F8">
        <w:rPr>
          <w:rFonts w:ascii="ITC Avant Garde" w:hAnsi="ITC Avant Garde" w:cs="TimesNewRomanPS-BoldMT"/>
          <w:bCs/>
          <w:sz w:val="22"/>
          <w:szCs w:val="22"/>
        </w:rPr>
        <w:t>.</w:t>
      </w:r>
    </w:p>
    <w:p w14:paraId="77DC4BEA" w14:textId="77777777" w:rsidR="00D117E6" w:rsidRDefault="00D117E6" w:rsidP="00676AA7">
      <w:pPr>
        <w:pStyle w:val="Textoindependiente"/>
        <w:ind w:left="0" w:right="114"/>
        <w:jc w:val="both"/>
        <w:rPr>
          <w:rFonts w:eastAsiaTheme="minorHAnsi"/>
          <w:lang w:val="es-MX"/>
        </w:rPr>
      </w:pPr>
    </w:p>
    <w:p w14:paraId="6D073597" w14:textId="77777777" w:rsidR="003F7721" w:rsidRDefault="003F7721" w:rsidP="00676AA7">
      <w:pPr>
        <w:pStyle w:val="Textoindependiente"/>
        <w:ind w:left="0" w:right="114"/>
        <w:jc w:val="both"/>
        <w:rPr>
          <w:rFonts w:eastAsiaTheme="minorHAnsi"/>
          <w:lang w:val="es-MX"/>
        </w:rPr>
      </w:pPr>
    </w:p>
    <w:p w14:paraId="489FD28C" w14:textId="77777777" w:rsidR="003F7721" w:rsidRPr="00DF45F8" w:rsidRDefault="003F7721" w:rsidP="00676AA7">
      <w:pPr>
        <w:pStyle w:val="Textoindependiente"/>
        <w:ind w:left="0" w:right="114"/>
        <w:jc w:val="both"/>
        <w:rPr>
          <w:rFonts w:eastAsiaTheme="minorHAnsi"/>
          <w:lang w:val="es-MX"/>
        </w:rPr>
      </w:pPr>
    </w:p>
    <w:p w14:paraId="527CBBFA" w14:textId="283A9F52" w:rsidR="00AF043B" w:rsidRDefault="00160DD8" w:rsidP="00676AA7">
      <w:pPr>
        <w:pStyle w:val="Textoindependiente"/>
        <w:ind w:left="0" w:right="114"/>
        <w:jc w:val="both"/>
        <w:rPr>
          <w:rFonts w:eastAsiaTheme="minorHAnsi"/>
          <w:lang w:val="es-MX"/>
        </w:rPr>
      </w:pPr>
      <w:r w:rsidRPr="00DF45F8">
        <w:rPr>
          <w:rFonts w:eastAsiaTheme="minorHAnsi"/>
          <w:lang w:val="es-MX"/>
        </w:rPr>
        <w:t>L</w:t>
      </w:r>
      <w:r w:rsidR="00AF043B" w:rsidRPr="00DF45F8">
        <w:rPr>
          <w:rFonts w:eastAsiaTheme="minorHAnsi"/>
          <w:lang w:val="es-MX"/>
        </w:rPr>
        <w:t xml:space="preserve">a consulta pública </w:t>
      </w:r>
      <w:r w:rsidRPr="00DF45F8">
        <w:rPr>
          <w:rFonts w:eastAsiaTheme="minorHAnsi"/>
          <w:lang w:val="es-MX"/>
        </w:rPr>
        <w:t>d</w:t>
      </w:r>
      <w:r w:rsidR="001137D0" w:rsidRPr="00DF45F8">
        <w:rPr>
          <w:lang w:val="es-MX"/>
        </w:rPr>
        <w:t xml:space="preserve">el </w:t>
      </w:r>
      <w:r w:rsidRPr="00DF45F8">
        <w:rPr>
          <w:lang w:val="es-MX"/>
        </w:rPr>
        <w:t>“</w:t>
      </w:r>
      <w:r w:rsidR="001137D0" w:rsidRPr="00DF45F8">
        <w:rPr>
          <w:i/>
          <w:lang w:val="es-MX"/>
        </w:rPr>
        <w:t>Anteproyecto</w:t>
      </w:r>
      <w:r w:rsidRPr="00DF45F8">
        <w:rPr>
          <w:i/>
          <w:lang w:val="es-MX"/>
        </w:rPr>
        <w:t xml:space="preserve"> de clasificación de la banda 57-64 GHz como espectro libre”</w:t>
      </w:r>
      <w:r w:rsidR="00AF043B" w:rsidRPr="00DF45F8">
        <w:rPr>
          <w:rFonts w:eastAsiaTheme="minorHAnsi"/>
          <w:lang w:val="es-MX"/>
        </w:rPr>
        <w:t>, busca los objetivos</w:t>
      </w:r>
      <w:r w:rsidR="001223EF" w:rsidRPr="00DF45F8">
        <w:rPr>
          <w:rFonts w:eastAsiaTheme="minorHAnsi"/>
          <w:lang w:val="es-MX"/>
        </w:rPr>
        <w:t xml:space="preserve"> siguientes</w:t>
      </w:r>
      <w:r w:rsidR="00AF043B" w:rsidRPr="00DF45F8">
        <w:rPr>
          <w:rFonts w:eastAsiaTheme="minorHAnsi"/>
          <w:lang w:val="es-MX"/>
        </w:rPr>
        <w:t>:</w:t>
      </w:r>
    </w:p>
    <w:p w14:paraId="365D25E4" w14:textId="77777777" w:rsidR="003F7721" w:rsidRDefault="003F7721" w:rsidP="00676AA7">
      <w:pPr>
        <w:pStyle w:val="Textoindependiente"/>
        <w:ind w:left="0" w:right="114"/>
        <w:jc w:val="both"/>
        <w:rPr>
          <w:rFonts w:eastAsiaTheme="minorHAnsi"/>
          <w:lang w:val="es-MX"/>
        </w:rPr>
      </w:pPr>
    </w:p>
    <w:p w14:paraId="552DF257" w14:textId="6CCAEFAA" w:rsidR="00AF043B" w:rsidRPr="00DF45F8" w:rsidRDefault="00AF043B" w:rsidP="00676AA7">
      <w:pPr>
        <w:pStyle w:val="Textoindependiente"/>
        <w:numPr>
          <w:ilvl w:val="0"/>
          <w:numId w:val="20"/>
        </w:numPr>
        <w:tabs>
          <w:tab w:val="left" w:pos="838"/>
        </w:tabs>
        <w:ind w:left="709" w:right="114"/>
        <w:jc w:val="both"/>
        <w:rPr>
          <w:rFonts w:eastAsiaTheme="minorHAnsi"/>
          <w:lang w:val="es-MX"/>
        </w:rPr>
      </w:pPr>
      <w:r w:rsidRPr="00DF45F8">
        <w:rPr>
          <w:rFonts w:eastAsiaTheme="minorHAnsi"/>
          <w:lang w:val="es-MX"/>
        </w:rPr>
        <w:t>Generar un espacio abierto e incluyente, con la intención de involucrar al público y fomentar en la sociedad el conocimiento de</w:t>
      </w:r>
      <w:r w:rsidR="003A7105" w:rsidRPr="00DF45F8">
        <w:rPr>
          <w:rFonts w:eastAsiaTheme="minorHAnsi"/>
          <w:lang w:val="es-MX"/>
        </w:rPr>
        <w:t xml:space="preserve"> las bandas de espectro libre, con la intención de </w:t>
      </w:r>
      <w:r w:rsidRPr="00DF45F8">
        <w:rPr>
          <w:rFonts w:eastAsiaTheme="minorHAnsi"/>
          <w:lang w:val="es-MX"/>
        </w:rPr>
        <w:t>l</w:t>
      </w:r>
      <w:r w:rsidR="003A7105" w:rsidRPr="00DF45F8">
        <w:rPr>
          <w:rFonts w:eastAsiaTheme="minorHAnsi"/>
          <w:lang w:val="es-MX"/>
        </w:rPr>
        <w:t>ograr el</w:t>
      </w:r>
      <w:r w:rsidRPr="00DF45F8">
        <w:rPr>
          <w:rFonts w:eastAsiaTheme="minorHAnsi"/>
          <w:lang w:val="es-MX"/>
        </w:rPr>
        <w:t xml:space="preserve"> uso del espectro radioeléctrico</w:t>
      </w:r>
      <w:r w:rsidR="00460493" w:rsidRPr="00DF45F8">
        <w:rPr>
          <w:rFonts w:eastAsiaTheme="minorHAnsi"/>
          <w:lang w:val="es-MX"/>
        </w:rPr>
        <w:t>.</w:t>
      </w:r>
    </w:p>
    <w:p w14:paraId="5EB6CB32" w14:textId="77777777" w:rsidR="00AF043B" w:rsidRPr="00DF45F8" w:rsidRDefault="00AF043B" w:rsidP="00676AA7">
      <w:pPr>
        <w:spacing w:after="0" w:line="240" w:lineRule="auto"/>
        <w:ind w:left="709"/>
        <w:rPr>
          <w:rFonts w:ascii="ITC Avant Garde" w:hAnsi="ITC Avant Garde"/>
        </w:rPr>
      </w:pPr>
    </w:p>
    <w:p w14:paraId="74121E65" w14:textId="57D42DD5" w:rsidR="00460493" w:rsidRPr="00DF45F8" w:rsidRDefault="00AF043B" w:rsidP="00460493">
      <w:pPr>
        <w:pStyle w:val="Textoindependiente"/>
        <w:numPr>
          <w:ilvl w:val="0"/>
          <w:numId w:val="20"/>
        </w:numPr>
        <w:tabs>
          <w:tab w:val="left" w:pos="838"/>
        </w:tabs>
        <w:ind w:left="709" w:right="116"/>
        <w:jc w:val="both"/>
        <w:rPr>
          <w:rFonts w:eastAsiaTheme="minorHAnsi"/>
          <w:lang w:val="es-MX"/>
        </w:rPr>
      </w:pPr>
      <w:r w:rsidRPr="00DF45F8">
        <w:rPr>
          <w:rFonts w:eastAsiaTheme="minorHAnsi"/>
          <w:lang w:val="es-MX"/>
        </w:rPr>
        <w:t xml:space="preserve">Obtener la opinión de los interesados en el </w:t>
      </w:r>
      <w:r w:rsidR="007C7920" w:rsidRPr="00DF45F8">
        <w:rPr>
          <w:rFonts w:eastAsiaTheme="minorHAnsi"/>
          <w:lang w:val="es-MX"/>
        </w:rPr>
        <w:t>uso</w:t>
      </w:r>
      <w:r w:rsidRPr="00DF45F8">
        <w:rPr>
          <w:rFonts w:eastAsiaTheme="minorHAnsi"/>
          <w:lang w:val="es-MX"/>
        </w:rPr>
        <w:t xml:space="preserve"> del espectro radioeléctrico en México, como lo son la industria, la academia, las instituciones de investigación, los operadores comerciales, o los fabricantes de tecnología, por mencionar algunos</w:t>
      </w:r>
      <w:r w:rsidR="00580FAA" w:rsidRPr="00DF45F8">
        <w:rPr>
          <w:rFonts w:eastAsiaTheme="minorHAnsi"/>
          <w:lang w:val="es-MX"/>
        </w:rPr>
        <w:t>, respecto de la clasificación de la band</w:t>
      </w:r>
      <w:r w:rsidR="00460493" w:rsidRPr="00DF45F8">
        <w:rPr>
          <w:rFonts w:eastAsiaTheme="minorHAnsi"/>
          <w:lang w:val="es-MX"/>
        </w:rPr>
        <w:t>a 57-64 GHz como e</w:t>
      </w:r>
      <w:r w:rsidR="00DF45F8">
        <w:rPr>
          <w:rFonts w:eastAsiaTheme="minorHAnsi"/>
          <w:lang w:val="es-MX"/>
        </w:rPr>
        <w:t>spectro libre.</w:t>
      </w:r>
    </w:p>
    <w:p w14:paraId="060C885B" w14:textId="77777777" w:rsidR="00460493" w:rsidRPr="00DF45F8" w:rsidRDefault="00460493" w:rsidP="006E2CA6">
      <w:pPr>
        <w:pStyle w:val="Prrafodelista"/>
        <w:spacing w:after="0" w:line="240" w:lineRule="auto"/>
      </w:pPr>
    </w:p>
    <w:p w14:paraId="259E23F8" w14:textId="4EF989E9" w:rsidR="00AF043B" w:rsidRPr="00DF45F8" w:rsidRDefault="00460493" w:rsidP="00676AA7">
      <w:pPr>
        <w:pStyle w:val="Textoindependiente"/>
        <w:numPr>
          <w:ilvl w:val="0"/>
          <w:numId w:val="20"/>
        </w:numPr>
        <w:tabs>
          <w:tab w:val="left" w:pos="838"/>
        </w:tabs>
        <w:ind w:left="709" w:right="116"/>
        <w:jc w:val="both"/>
        <w:rPr>
          <w:rFonts w:eastAsiaTheme="minorHAnsi"/>
          <w:lang w:val="es-MX"/>
        </w:rPr>
      </w:pPr>
      <w:r w:rsidRPr="00DF45F8">
        <w:rPr>
          <w:rFonts w:eastAsiaTheme="minorHAnsi"/>
          <w:lang w:val="es-MX"/>
        </w:rPr>
        <w:t xml:space="preserve">Recabar, analizar y generar el lineamiento </w:t>
      </w:r>
      <w:r w:rsidR="00253023" w:rsidRPr="00DF45F8">
        <w:rPr>
          <w:rFonts w:eastAsiaTheme="minorHAnsi"/>
          <w:lang w:val="es-MX"/>
        </w:rPr>
        <w:t>o especificación para el uso de la banda</w:t>
      </w:r>
      <w:r w:rsidR="00DF45F8">
        <w:rPr>
          <w:rFonts w:eastAsiaTheme="minorHAnsi"/>
          <w:lang w:val="es-MX"/>
        </w:rPr>
        <w:t xml:space="preserve"> 57-64 GHz como espectro libre.</w:t>
      </w:r>
    </w:p>
    <w:p w14:paraId="3ED69CAA" w14:textId="77777777" w:rsidR="00AF043B" w:rsidRPr="00DF45F8" w:rsidRDefault="00AF043B" w:rsidP="00676AA7">
      <w:pPr>
        <w:spacing w:after="0" w:line="240" w:lineRule="auto"/>
        <w:rPr>
          <w:rFonts w:ascii="ITC Avant Garde" w:hAnsi="ITC Avant Garde"/>
        </w:rPr>
      </w:pPr>
    </w:p>
    <w:p w14:paraId="1ECB4782" w14:textId="7A0B7D43" w:rsidR="00160DD8" w:rsidRPr="00DF45F8" w:rsidRDefault="00160DD8" w:rsidP="00160DD8">
      <w:pPr>
        <w:pStyle w:val="Textoindependiente"/>
        <w:ind w:left="0" w:right="114"/>
        <w:jc w:val="both"/>
        <w:rPr>
          <w:rFonts w:eastAsiaTheme="minorHAnsi"/>
          <w:lang w:val="es-MX"/>
        </w:rPr>
      </w:pPr>
      <w:r w:rsidRPr="00DF45F8">
        <w:rPr>
          <w:rFonts w:eastAsiaTheme="minorHAnsi"/>
          <w:lang w:val="es-MX"/>
        </w:rPr>
        <w:t xml:space="preserve">Asimismo, </w:t>
      </w:r>
      <w:r w:rsidR="00580FAA" w:rsidRPr="00DF45F8">
        <w:rPr>
          <w:rFonts w:eastAsiaTheme="minorHAnsi"/>
          <w:lang w:val="es-MX"/>
        </w:rPr>
        <w:t>la publicación</w:t>
      </w:r>
      <w:r w:rsidRPr="00DF45F8">
        <w:rPr>
          <w:rFonts w:eastAsiaTheme="minorHAnsi"/>
          <w:lang w:val="es-MX"/>
        </w:rPr>
        <w:t xml:space="preserve"> del Anteproyecto </w:t>
      </w:r>
      <w:r w:rsidR="00580FAA" w:rsidRPr="00DF45F8">
        <w:rPr>
          <w:rFonts w:eastAsiaTheme="minorHAnsi"/>
          <w:lang w:val="es-MX"/>
        </w:rPr>
        <w:t>en comento</w:t>
      </w:r>
      <w:r w:rsidRPr="00DF45F8">
        <w:rPr>
          <w:rFonts w:eastAsiaTheme="minorHAnsi"/>
          <w:lang w:val="es-MX"/>
        </w:rPr>
        <w:t xml:space="preserve"> no compromete los efectos que se pretenden resolver o prevenir</w:t>
      </w:r>
      <w:r w:rsidR="00580FAA" w:rsidRPr="00DF45F8">
        <w:rPr>
          <w:rFonts w:eastAsiaTheme="minorHAnsi"/>
          <w:lang w:val="es-MX"/>
        </w:rPr>
        <w:t xml:space="preserve"> ante</w:t>
      </w:r>
      <w:r w:rsidRPr="00DF45F8">
        <w:rPr>
          <w:rFonts w:eastAsiaTheme="minorHAnsi"/>
          <w:lang w:val="es-MX"/>
        </w:rPr>
        <w:t xml:space="preserve"> la existencia de una situación de emergencia.</w:t>
      </w:r>
    </w:p>
    <w:p w14:paraId="693EB1B1" w14:textId="77777777" w:rsidR="003472C1" w:rsidRPr="00DF45F8" w:rsidRDefault="003472C1" w:rsidP="00160DD8">
      <w:pPr>
        <w:pStyle w:val="Textoindependiente"/>
        <w:ind w:left="0" w:right="114"/>
        <w:jc w:val="both"/>
        <w:rPr>
          <w:rFonts w:eastAsiaTheme="minorHAnsi"/>
          <w:lang w:val="es-MX"/>
        </w:rPr>
      </w:pPr>
    </w:p>
    <w:p w14:paraId="4A44E8BE" w14:textId="67B35491" w:rsidR="00AF043B" w:rsidRPr="00DF45F8" w:rsidRDefault="00AF043B" w:rsidP="006E2CA6">
      <w:pPr>
        <w:pStyle w:val="Textoindependiente"/>
        <w:ind w:left="0" w:right="49"/>
        <w:jc w:val="both"/>
        <w:rPr>
          <w:rFonts w:eastAsiaTheme="minorHAnsi"/>
          <w:lang w:val="es-MX"/>
        </w:rPr>
      </w:pPr>
      <w:r w:rsidRPr="00DF45F8">
        <w:rPr>
          <w:rFonts w:eastAsiaTheme="minorHAnsi"/>
          <w:lang w:val="es-MX"/>
        </w:rPr>
        <w:t>En</w:t>
      </w:r>
      <w:r w:rsidR="007C7920" w:rsidRPr="00DF45F8">
        <w:rPr>
          <w:rFonts w:eastAsiaTheme="minorHAnsi"/>
          <w:lang w:val="es-MX"/>
        </w:rPr>
        <w:t xml:space="preserve"> t</w:t>
      </w:r>
      <w:r w:rsidRPr="00DF45F8">
        <w:rPr>
          <w:rFonts w:eastAsiaTheme="minorHAnsi"/>
          <w:lang w:val="es-MX"/>
        </w:rPr>
        <w:t>al virtud, el Instituto considera que esta consulta pública es una forma de participación enriquecedora e inclusiva, la cual coadyuvará a la mejora del instrumento regulatorio propuesto y al mismo tiempo promoverá una comunicación activa y transparente.</w:t>
      </w:r>
    </w:p>
    <w:p w14:paraId="50A1A9B3" w14:textId="77777777" w:rsidR="00735D8D" w:rsidRPr="00DF45F8" w:rsidRDefault="00735D8D" w:rsidP="006E2CA6">
      <w:pPr>
        <w:suppressAutoHyphens/>
        <w:spacing w:after="0" w:line="240" w:lineRule="auto"/>
        <w:ind w:right="49"/>
        <w:jc w:val="both"/>
        <w:rPr>
          <w:rFonts w:ascii="ITC Avant Garde" w:hAnsi="ITC Avant Garde"/>
        </w:rPr>
      </w:pPr>
    </w:p>
    <w:p w14:paraId="64F80859" w14:textId="0F12FFF2" w:rsidR="00735D8D" w:rsidRPr="00DF45F8" w:rsidRDefault="00735D8D" w:rsidP="006E2CA6">
      <w:pPr>
        <w:suppressAutoHyphens/>
        <w:spacing w:after="0" w:line="240" w:lineRule="auto"/>
        <w:ind w:right="49"/>
        <w:jc w:val="both"/>
        <w:rPr>
          <w:rFonts w:ascii="ITC Avant Garde" w:hAnsi="ITC Avant Garde" w:cs="TimesNewRomanPS-BoldMT"/>
          <w:bCs/>
        </w:rPr>
      </w:pPr>
      <w:r w:rsidRPr="00DF45F8">
        <w:rPr>
          <w:rFonts w:ascii="ITC Avant Garde" w:hAnsi="ITC Avant Garde" w:cs="TimesNewRomanPS-BoldMT"/>
          <w:bCs/>
        </w:rPr>
        <w:t xml:space="preserve">En ese sentido, el Pleno del Instituto considera procedente someter por un periodo de </w:t>
      </w:r>
      <w:r w:rsidR="00477938" w:rsidRPr="00DF45F8">
        <w:rPr>
          <w:rFonts w:ascii="ITC Avant Garde" w:hAnsi="ITC Avant Garde" w:cs="TimesNewRomanPS-BoldMT"/>
          <w:bCs/>
        </w:rPr>
        <w:t>2</w:t>
      </w:r>
      <w:r w:rsidR="004D31A4" w:rsidRPr="00DF45F8">
        <w:rPr>
          <w:rFonts w:ascii="ITC Avant Garde" w:hAnsi="ITC Avant Garde" w:cs="TimesNewRomanPS-BoldMT"/>
          <w:bCs/>
        </w:rPr>
        <w:t>0</w:t>
      </w:r>
      <w:r w:rsidRPr="00DF45F8">
        <w:rPr>
          <w:rFonts w:ascii="ITC Avant Garde" w:hAnsi="ITC Avant Garde" w:cs="TimesNewRomanPS-BoldMT"/>
          <w:bCs/>
        </w:rPr>
        <w:t xml:space="preserve"> días hábiles a consulta </w:t>
      </w:r>
      <w:r w:rsidR="003454AB" w:rsidRPr="00DF45F8">
        <w:rPr>
          <w:rFonts w:ascii="ITC Avant Garde" w:hAnsi="ITC Avant Garde" w:cs="TimesNewRomanPS-BoldMT"/>
          <w:bCs/>
        </w:rPr>
        <w:t xml:space="preserve">el </w:t>
      </w:r>
      <w:r w:rsidR="002F2028" w:rsidRPr="00DF45F8">
        <w:rPr>
          <w:rFonts w:ascii="ITC Avant Garde" w:hAnsi="ITC Avant Garde" w:cs="TimesNewRomanPS-BoldMT"/>
          <w:bCs/>
          <w:i/>
        </w:rPr>
        <w:t>“</w:t>
      </w:r>
      <w:r w:rsidR="003454AB" w:rsidRPr="00DF45F8">
        <w:rPr>
          <w:rFonts w:ascii="ITC Avant Garde" w:hAnsi="ITC Avant Garde"/>
          <w:i/>
        </w:rPr>
        <w:t>Anteproyecto de clasificación de la banda 57-64 GHz como espectro libre</w:t>
      </w:r>
      <w:r w:rsidR="002F2028" w:rsidRPr="00DF45F8">
        <w:rPr>
          <w:rFonts w:ascii="ITC Avant Garde" w:hAnsi="ITC Avant Garde"/>
          <w:i/>
        </w:rPr>
        <w:t>”</w:t>
      </w:r>
      <w:r w:rsidRPr="00DF45F8">
        <w:rPr>
          <w:rFonts w:ascii="ITC Avant Garde" w:hAnsi="ITC Avant Garde" w:cs="TimesNewRomanPS-BoldMT"/>
          <w:bCs/>
        </w:rPr>
        <w:t>, a fin de transparentar y promover la participación ciudadana en los procesos de emisión de disposiciones de carácter general que emita el Instituto.</w:t>
      </w:r>
    </w:p>
    <w:p w14:paraId="1A6533BF" w14:textId="77777777" w:rsidR="00514B40" w:rsidRPr="00DF45F8" w:rsidRDefault="00514B40" w:rsidP="00676AA7">
      <w:pPr>
        <w:suppressAutoHyphens/>
        <w:spacing w:after="0" w:line="240" w:lineRule="auto"/>
        <w:ind w:right="-62"/>
        <w:jc w:val="both"/>
        <w:rPr>
          <w:rFonts w:ascii="ITC Avant Garde" w:hAnsi="ITC Avant Garde"/>
        </w:rPr>
      </w:pPr>
    </w:p>
    <w:p w14:paraId="377EF211" w14:textId="29F508EC" w:rsidR="00EE037D" w:rsidRDefault="00514B40" w:rsidP="00676AA7">
      <w:pPr>
        <w:pStyle w:val="Prrafodelista"/>
        <w:spacing w:after="0" w:line="240" w:lineRule="auto"/>
        <w:ind w:left="0" w:right="49"/>
        <w:contextualSpacing w:val="0"/>
        <w:jc w:val="both"/>
        <w:rPr>
          <w:rFonts w:ascii="ITC Avant Garde" w:hAnsi="ITC Avant Garde"/>
        </w:rPr>
      </w:pPr>
      <w:r w:rsidRPr="00DF45F8">
        <w:rPr>
          <w:rFonts w:ascii="ITC Avant Garde" w:hAnsi="ITC Avant Garde"/>
        </w:rPr>
        <w:t>Por lo expuesto, el Pleno del Instituto Federal de Telecomunicaciones, con fundamento en los artículos 6o., 7o., 27, 28, párrafo décimo quinto de la Constitución Política de los Estados Unidos Mexicanos; 1, 2, 7, 15 fracción I, 17 fracción I, 51, 54, 55</w:t>
      </w:r>
      <w:r w:rsidR="002F2028" w:rsidRPr="00DF45F8">
        <w:rPr>
          <w:rFonts w:ascii="ITC Avant Garde" w:hAnsi="ITC Avant Garde"/>
        </w:rPr>
        <w:t xml:space="preserve"> fracción II</w:t>
      </w:r>
      <w:r w:rsidRPr="00DF45F8">
        <w:rPr>
          <w:rFonts w:ascii="ITC Avant Garde" w:hAnsi="ITC Avant Garde"/>
        </w:rPr>
        <w:t>, y 57</w:t>
      </w:r>
      <w:r w:rsidR="00125BC3" w:rsidRPr="00DF45F8">
        <w:rPr>
          <w:rFonts w:ascii="ITC Avant Garde" w:hAnsi="ITC Avant Garde"/>
        </w:rPr>
        <w:t>, 64</w:t>
      </w:r>
      <w:r w:rsidRPr="00DF45F8">
        <w:rPr>
          <w:rFonts w:ascii="ITC Avant Garde" w:hAnsi="ITC Avant Garde"/>
        </w:rPr>
        <w:t xml:space="preserve"> de la Ley Federal de Telecomunicaciones y Radiodifusión; 1, 4 fracción I, 6 fracci</w:t>
      </w:r>
      <w:r w:rsidR="007341B0" w:rsidRPr="00DF45F8">
        <w:rPr>
          <w:rFonts w:ascii="ITC Avant Garde" w:hAnsi="ITC Avant Garde"/>
        </w:rPr>
        <w:t>ón</w:t>
      </w:r>
      <w:r w:rsidRPr="00DF45F8">
        <w:rPr>
          <w:rFonts w:ascii="ITC Avant Garde" w:hAnsi="ITC Avant Garde"/>
        </w:rPr>
        <w:t xml:space="preserve"> I, </w:t>
      </w:r>
      <w:r w:rsidR="00172924" w:rsidRPr="00DF45F8">
        <w:rPr>
          <w:rFonts w:ascii="ITC Avant Garde" w:hAnsi="ITC Avant Garde"/>
        </w:rPr>
        <w:t xml:space="preserve">27, 30 fracción IV </w:t>
      </w:r>
      <w:r w:rsidRPr="00DF45F8">
        <w:rPr>
          <w:rFonts w:ascii="ITC Avant Garde" w:hAnsi="ITC Avant Garde"/>
        </w:rPr>
        <w:t xml:space="preserve">del Estatuto Orgánico del Instituto Federal de Telecomunicaciones, se emite el </w:t>
      </w:r>
      <w:r w:rsidR="00EE037D" w:rsidRPr="00DF45F8">
        <w:rPr>
          <w:rFonts w:ascii="ITC Avant Garde" w:hAnsi="ITC Avant Garde"/>
        </w:rPr>
        <w:t>siguiente:</w:t>
      </w:r>
    </w:p>
    <w:p w14:paraId="2533CD36" w14:textId="77777777" w:rsidR="003472C1" w:rsidRDefault="003472C1" w:rsidP="00676AA7">
      <w:pPr>
        <w:pStyle w:val="Prrafodelista"/>
        <w:spacing w:after="0" w:line="240" w:lineRule="auto"/>
        <w:ind w:left="0" w:right="49"/>
        <w:contextualSpacing w:val="0"/>
        <w:jc w:val="both"/>
        <w:rPr>
          <w:rFonts w:ascii="ITC Avant Garde" w:hAnsi="ITC Avant Garde"/>
        </w:rPr>
      </w:pPr>
    </w:p>
    <w:p w14:paraId="1C4C566A" w14:textId="77777777" w:rsidR="00EE037D" w:rsidRPr="00DF45F8" w:rsidRDefault="00EE037D" w:rsidP="00676AA7">
      <w:pPr>
        <w:spacing w:after="0" w:line="240" w:lineRule="auto"/>
        <w:ind w:right="49"/>
        <w:jc w:val="center"/>
        <w:rPr>
          <w:rFonts w:ascii="ITC Avant Garde" w:hAnsi="ITC Avant Garde"/>
          <w:b/>
          <w:bCs/>
          <w:color w:val="000000"/>
          <w:lang w:eastAsia="es-MX"/>
        </w:rPr>
      </w:pPr>
      <w:r w:rsidRPr="00DF45F8">
        <w:rPr>
          <w:rFonts w:ascii="ITC Avant Garde" w:hAnsi="ITC Avant Garde"/>
          <w:b/>
          <w:bCs/>
          <w:color w:val="000000"/>
          <w:lang w:eastAsia="es-MX"/>
        </w:rPr>
        <w:t>ACUERDO</w:t>
      </w:r>
    </w:p>
    <w:p w14:paraId="379BD34F" w14:textId="77777777" w:rsidR="00514B40" w:rsidRDefault="00514B40" w:rsidP="00676AA7">
      <w:pPr>
        <w:autoSpaceDE w:val="0"/>
        <w:autoSpaceDN w:val="0"/>
        <w:adjustRightInd w:val="0"/>
        <w:spacing w:after="0" w:line="240" w:lineRule="auto"/>
        <w:jc w:val="both"/>
        <w:rPr>
          <w:rFonts w:ascii="ITC Avant Garde" w:hAnsi="ITC Avant Garde" w:cs="Arial-BoldMT"/>
          <w:b/>
          <w:bCs/>
          <w:color w:val="2F2F2F"/>
        </w:rPr>
      </w:pPr>
    </w:p>
    <w:p w14:paraId="70065D61" w14:textId="60F2DB03" w:rsidR="007A37F0" w:rsidRPr="00DF45F8" w:rsidRDefault="007A37F0" w:rsidP="00676AA7">
      <w:pPr>
        <w:numPr>
          <w:ilvl w:val="0"/>
          <w:numId w:val="19"/>
        </w:numPr>
        <w:suppressAutoHyphens/>
        <w:spacing w:after="0" w:line="240" w:lineRule="auto"/>
        <w:ind w:left="0" w:right="-62" w:firstLine="0"/>
        <w:jc w:val="both"/>
        <w:rPr>
          <w:rFonts w:ascii="ITC Avant Garde" w:hAnsi="ITC Avant Garde"/>
        </w:rPr>
      </w:pPr>
      <w:r w:rsidRPr="00DF45F8">
        <w:rPr>
          <w:rFonts w:ascii="ITC Avant Garde" w:hAnsi="ITC Avant Garde"/>
        </w:rPr>
        <w:t xml:space="preserve">Se </w:t>
      </w:r>
      <w:r w:rsidR="001914C7" w:rsidRPr="00DF45F8">
        <w:rPr>
          <w:rFonts w:ascii="ITC Avant Garde" w:hAnsi="ITC Avant Garde"/>
        </w:rPr>
        <w:t>determina</w:t>
      </w:r>
      <w:r w:rsidRPr="00DF45F8">
        <w:rPr>
          <w:rFonts w:ascii="ITC Avant Garde" w:hAnsi="ITC Avant Garde"/>
        </w:rPr>
        <w:t xml:space="preserve"> someter a consulta pública</w:t>
      </w:r>
      <w:r w:rsidR="008C1551" w:rsidRPr="00DF45F8">
        <w:rPr>
          <w:rFonts w:ascii="ITC Avant Garde" w:hAnsi="ITC Avant Garde"/>
        </w:rPr>
        <w:t xml:space="preserve"> el</w:t>
      </w:r>
      <w:r w:rsidR="008C1551" w:rsidRPr="00DF45F8">
        <w:rPr>
          <w:rFonts w:ascii="ITC Avant Garde" w:hAnsi="ITC Avant Garde"/>
          <w:b/>
          <w:i/>
        </w:rPr>
        <w:t xml:space="preserve"> Anteproyecto de Clasificación de la banda 57-64 GHz como espectro libre</w:t>
      </w:r>
      <w:r w:rsidRPr="00DF45F8">
        <w:rPr>
          <w:rFonts w:ascii="ITC Avant Garde" w:hAnsi="ITC Avant Garde"/>
        </w:rPr>
        <w:t xml:space="preserve">, </w:t>
      </w:r>
      <w:r w:rsidR="008C1551" w:rsidRPr="00DF45F8">
        <w:rPr>
          <w:rFonts w:ascii="ITC Avant Garde" w:hAnsi="ITC Avant Garde"/>
        </w:rPr>
        <w:t xml:space="preserve">el cual se adjunta al presente como Anexo Único. Dicha Consulta pública se realizará durante </w:t>
      </w:r>
      <w:r w:rsidR="00477938" w:rsidRPr="00DF45F8">
        <w:rPr>
          <w:rFonts w:ascii="ITC Avant Garde" w:hAnsi="ITC Avant Garde"/>
        </w:rPr>
        <w:t xml:space="preserve">veinte </w:t>
      </w:r>
      <w:r w:rsidR="008C1551" w:rsidRPr="00DF45F8">
        <w:rPr>
          <w:rFonts w:ascii="ITC Avant Garde" w:hAnsi="ITC Avant Garde"/>
        </w:rPr>
        <w:t xml:space="preserve">días hábiles </w:t>
      </w:r>
      <w:r w:rsidRPr="00DF45F8">
        <w:rPr>
          <w:rFonts w:ascii="ITC Avant Garde" w:hAnsi="ITC Avant Garde"/>
        </w:rPr>
        <w:t>contados a partir del día hábil siguiente al de su publicación en el portal de Internet del Instituto Federal de Telecomunicaciones.</w:t>
      </w:r>
    </w:p>
    <w:p w14:paraId="25ABBEF0" w14:textId="77777777" w:rsidR="00D117E6" w:rsidRDefault="00D117E6" w:rsidP="00676AA7">
      <w:pPr>
        <w:suppressAutoHyphens/>
        <w:spacing w:after="0" w:line="240" w:lineRule="auto"/>
        <w:ind w:right="-62"/>
        <w:jc w:val="both"/>
        <w:rPr>
          <w:rFonts w:ascii="ITC Avant Garde" w:hAnsi="ITC Avant Garde"/>
        </w:rPr>
      </w:pPr>
    </w:p>
    <w:p w14:paraId="1AAF311D" w14:textId="77777777" w:rsidR="007A37F0" w:rsidRDefault="007A37F0" w:rsidP="00676AA7">
      <w:pPr>
        <w:numPr>
          <w:ilvl w:val="0"/>
          <w:numId w:val="19"/>
        </w:numPr>
        <w:suppressAutoHyphens/>
        <w:spacing w:after="0" w:line="240" w:lineRule="auto"/>
        <w:ind w:left="0" w:right="-62" w:firstLine="0"/>
        <w:jc w:val="both"/>
        <w:rPr>
          <w:rFonts w:ascii="ITC Avant Garde" w:hAnsi="ITC Avant Garde"/>
        </w:rPr>
      </w:pPr>
      <w:r w:rsidRPr="00DF45F8">
        <w:rPr>
          <w:rFonts w:ascii="ITC Avant Garde" w:hAnsi="ITC Avant Garde"/>
        </w:rPr>
        <w:t xml:space="preserve">Se </w:t>
      </w:r>
      <w:r w:rsidR="00171F02" w:rsidRPr="00DF45F8">
        <w:rPr>
          <w:rFonts w:ascii="ITC Avant Garde" w:hAnsi="ITC Avant Garde"/>
        </w:rPr>
        <w:t>instruye a la Unidad de Espectro Radioeléctrico, por conducto de la Dirección General de Planeación del Espectro, en su calidad de área proponente, a recibir y dar la atención que corresponda a las opiniones vertidas en virtud de la consulta pública materia del presente Acuerdo.</w:t>
      </w:r>
    </w:p>
    <w:p w14:paraId="59593D41" w14:textId="77777777" w:rsidR="00D117E6" w:rsidRPr="00DF45F8" w:rsidRDefault="00D117E6" w:rsidP="00D117E6">
      <w:pPr>
        <w:suppressAutoHyphens/>
        <w:spacing w:after="0" w:line="240" w:lineRule="auto"/>
        <w:ind w:right="-62"/>
        <w:jc w:val="both"/>
        <w:rPr>
          <w:rFonts w:ascii="ITC Avant Garde" w:hAnsi="ITC Avant Garde"/>
        </w:rPr>
      </w:pPr>
    </w:p>
    <w:p w14:paraId="36975024" w14:textId="77777777" w:rsidR="00171F02" w:rsidRPr="00DF45F8" w:rsidRDefault="00236A9E" w:rsidP="00676AA7">
      <w:pPr>
        <w:numPr>
          <w:ilvl w:val="0"/>
          <w:numId w:val="19"/>
        </w:numPr>
        <w:suppressAutoHyphens/>
        <w:spacing w:after="0" w:line="240" w:lineRule="auto"/>
        <w:ind w:left="0" w:right="-62" w:firstLine="0"/>
        <w:jc w:val="both"/>
        <w:rPr>
          <w:rFonts w:ascii="ITC Avant Garde" w:hAnsi="ITC Avant Garde"/>
        </w:rPr>
      </w:pPr>
      <w:r w:rsidRPr="00DF45F8">
        <w:rPr>
          <w:rFonts w:ascii="ITC Avant Garde" w:hAnsi="ITC Avant Garde"/>
        </w:rPr>
        <w:t>Publíquese en el portal de Internet del Instituto Federal de Telecomunicaciones.</w:t>
      </w:r>
    </w:p>
    <w:p w14:paraId="753F498D" w14:textId="77777777" w:rsidR="00F900CB" w:rsidRDefault="00F900CB" w:rsidP="00676AA7">
      <w:pPr>
        <w:autoSpaceDE w:val="0"/>
        <w:autoSpaceDN w:val="0"/>
        <w:adjustRightInd w:val="0"/>
        <w:spacing w:after="0" w:line="240" w:lineRule="auto"/>
        <w:jc w:val="both"/>
        <w:rPr>
          <w:rFonts w:ascii="ITC Avant Garde" w:eastAsia="TimesNewRomanPSMT" w:hAnsi="ITC Avant Garde" w:cs="Arial-BoldMT"/>
          <w:bCs/>
          <w:color w:val="2F2F2F"/>
        </w:rPr>
      </w:pPr>
    </w:p>
    <w:p w14:paraId="499B9EC8" w14:textId="77777777" w:rsidR="003472C1" w:rsidRDefault="003472C1" w:rsidP="00676AA7">
      <w:pPr>
        <w:autoSpaceDE w:val="0"/>
        <w:autoSpaceDN w:val="0"/>
        <w:adjustRightInd w:val="0"/>
        <w:spacing w:after="0" w:line="240" w:lineRule="auto"/>
        <w:jc w:val="both"/>
        <w:rPr>
          <w:rFonts w:ascii="ITC Avant Garde" w:eastAsia="TimesNewRomanPSMT" w:hAnsi="ITC Avant Garde" w:cs="Arial-BoldMT"/>
          <w:bCs/>
          <w:color w:val="2F2F2F"/>
        </w:rPr>
      </w:pPr>
    </w:p>
    <w:p w14:paraId="72273220" w14:textId="77777777" w:rsidR="003472C1" w:rsidRDefault="003472C1" w:rsidP="00676AA7">
      <w:pPr>
        <w:autoSpaceDE w:val="0"/>
        <w:autoSpaceDN w:val="0"/>
        <w:adjustRightInd w:val="0"/>
        <w:spacing w:after="0" w:line="240" w:lineRule="auto"/>
        <w:jc w:val="both"/>
        <w:rPr>
          <w:rFonts w:ascii="ITC Avant Garde" w:eastAsia="TimesNewRomanPSMT" w:hAnsi="ITC Avant Garde" w:cs="Arial-BoldMT"/>
          <w:bCs/>
          <w:color w:val="2F2F2F"/>
        </w:rPr>
      </w:pPr>
    </w:p>
    <w:p w14:paraId="64BADCCD" w14:textId="77777777" w:rsidR="003472C1" w:rsidRPr="00DF45F8" w:rsidRDefault="003472C1" w:rsidP="00676AA7">
      <w:pPr>
        <w:autoSpaceDE w:val="0"/>
        <w:autoSpaceDN w:val="0"/>
        <w:adjustRightInd w:val="0"/>
        <w:spacing w:after="0" w:line="240" w:lineRule="auto"/>
        <w:jc w:val="both"/>
        <w:rPr>
          <w:rFonts w:ascii="ITC Avant Garde" w:eastAsia="TimesNewRomanPSMT" w:hAnsi="ITC Avant Garde" w:cs="Arial-BoldMT"/>
          <w:bCs/>
          <w:color w:val="2F2F2F"/>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FE2A3F" w:rsidRPr="00DF45F8" w14:paraId="4B0BA603" w14:textId="77777777" w:rsidTr="007A669E">
        <w:trPr>
          <w:trHeight w:val="1672"/>
          <w:jc w:val="center"/>
        </w:trPr>
        <w:tc>
          <w:tcPr>
            <w:tcW w:w="9353" w:type="dxa"/>
            <w:gridSpan w:val="2"/>
          </w:tcPr>
          <w:p w14:paraId="0F4A7038" w14:textId="77777777" w:rsidR="00FE2A3F" w:rsidRPr="00DF45F8" w:rsidRDefault="00FE2A3F" w:rsidP="007A669E">
            <w:pPr>
              <w:jc w:val="center"/>
              <w:rPr>
                <w:rFonts w:ascii="ITC Avant Garde" w:hAnsi="ITC Avant Garde"/>
                <w:b/>
              </w:rPr>
            </w:pPr>
          </w:p>
          <w:p w14:paraId="1905991A" w14:textId="77777777" w:rsidR="00FE2A3F" w:rsidRDefault="00FE2A3F" w:rsidP="007A669E">
            <w:pPr>
              <w:jc w:val="center"/>
              <w:rPr>
                <w:rFonts w:ascii="ITC Avant Garde" w:hAnsi="ITC Avant Garde"/>
                <w:b/>
              </w:rPr>
            </w:pPr>
          </w:p>
          <w:p w14:paraId="2E837E49" w14:textId="77777777" w:rsidR="003F7721" w:rsidRPr="00DF45F8" w:rsidRDefault="003F7721" w:rsidP="007A669E">
            <w:pPr>
              <w:jc w:val="center"/>
              <w:rPr>
                <w:rFonts w:ascii="ITC Avant Garde" w:hAnsi="ITC Avant Garde"/>
                <w:b/>
              </w:rPr>
            </w:pPr>
          </w:p>
          <w:p w14:paraId="16D62F82" w14:textId="77777777" w:rsidR="00FE2A3F" w:rsidRPr="00DF45F8" w:rsidRDefault="00FE2A3F" w:rsidP="007A669E">
            <w:pPr>
              <w:jc w:val="center"/>
              <w:rPr>
                <w:rFonts w:ascii="ITC Avant Garde" w:hAnsi="ITC Avant Garde"/>
                <w:b/>
              </w:rPr>
            </w:pPr>
          </w:p>
          <w:p w14:paraId="06CF3E42" w14:textId="77777777" w:rsidR="00FE2A3F" w:rsidRPr="00DF45F8" w:rsidRDefault="00FE2A3F" w:rsidP="007A669E">
            <w:pPr>
              <w:jc w:val="center"/>
              <w:rPr>
                <w:rFonts w:ascii="ITC Avant Garde" w:hAnsi="ITC Avant Garde"/>
                <w:b/>
              </w:rPr>
            </w:pPr>
          </w:p>
          <w:p w14:paraId="4F014A15" w14:textId="05221F98" w:rsidR="00FE2A3F" w:rsidRPr="00DF45F8" w:rsidRDefault="00FE2A3F" w:rsidP="007A669E">
            <w:pPr>
              <w:jc w:val="center"/>
              <w:rPr>
                <w:rFonts w:ascii="ITC Avant Garde" w:hAnsi="ITC Avant Garde"/>
                <w:b/>
                <w:w w:val="99"/>
              </w:rPr>
            </w:pPr>
            <w:r w:rsidRPr="00DF45F8">
              <w:rPr>
                <w:rFonts w:ascii="ITC Avant Garde" w:hAnsi="ITC Avant Garde"/>
                <w:b/>
              </w:rPr>
              <w:t>Ga</w:t>
            </w:r>
            <w:r w:rsidRPr="00DF45F8">
              <w:rPr>
                <w:rFonts w:ascii="ITC Avant Garde" w:hAnsi="ITC Avant Garde"/>
                <w:b/>
                <w:spacing w:val="1"/>
              </w:rPr>
              <w:t>b</w:t>
            </w:r>
            <w:r w:rsidRPr="00DF45F8">
              <w:rPr>
                <w:rFonts w:ascii="ITC Avant Garde" w:hAnsi="ITC Avant Garde"/>
                <w:b/>
              </w:rPr>
              <w:t>riel</w:t>
            </w:r>
            <w:r w:rsidRPr="00DF45F8">
              <w:rPr>
                <w:rFonts w:ascii="ITC Avant Garde" w:hAnsi="ITC Avant Garde"/>
                <w:b/>
                <w:spacing w:val="-13"/>
              </w:rPr>
              <w:t xml:space="preserve"> </w:t>
            </w:r>
            <w:r w:rsidRPr="00DF45F8">
              <w:rPr>
                <w:rFonts w:ascii="ITC Avant Garde" w:hAnsi="ITC Avant Garde"/>
                <w:b/>
              </w:rPr>
              <w:t>Os</w:t>
            </w:r>
            <w:r w:rsidRPr="00DF45F8">
              <w:rPr>
                <w:rFonts w:ascii="ITC Avant Garde" w:hAnsi="ITC Avant Garde"/>
                <w:b/>
                <w:spacing w:val="1"/>
              </w:rPr>
              <w:t>w</w:t>
            </w:r>
            <w:r w:rsidRPr="00DF45F8">
              <w:rPr>
                <w:rFonts w:ascii="ITC Avant Garde" w:hAnsi="ITC Avant Garde"/>
                <w:b/>
              </w:rPr>
              <w:t>aldo</w:t>
            </w:r>
            <w:r w:rsidRPr="00DF45F8">
              <w:rPr>
                <w:rFonts w:ascii="ITC Avant Garde" w:hAnsi="ITC Avant Garde"/>
                <w:b/>
                <w:spacing w:val="-12"/>
              </w:rPr>
              <w:t xml:space="preserve"> </w:t>
            </w:r>
            <w:r w:rsidRPr="00DF45F8">
              <w:rPr>
                <w:rFonts w:ascii="ITC Avant Garde" w:hAnsi="ITC Avant Garde"/>
                <w:b/>
              </w:rPr>
              <w:t>Cont</w:t>
            </w:r>
            <w:r w:rsidRPr="00DF45F8">
              <w:rPr>
                <w:rFonts w:ascii="ITC Avant Garde" w:hAnsi="ITC Avant Garde"/>
                <w:b/>
                <w:spacing w:val="1"/>
              </w:rPr>
              <w:t>r</w:t>
            </w:r>
            <w:r w:rsidRPr="00DF45F8">
              <w:rPr>
                <w:rFonts w:ascii="ITC Avant Garde" w:hAnsi="ITC Avant Garde"/>
                <w:b/>
              </w:rPr>
              <w:t>eras</w:t>
            </w:r>
            <w:r w:rsidRPr="00DF45F8">
              <w:rPr>
                <w:rFonts w:ascii="ITC Avant Garde" w:hAnsi="ITC Avant Garde"/>
                <w:b/>
                <w:spacing w:val="-12"/>
              </w:rPr>
              <w:t xml:space="preserve"> </w:t>
            </w:r>
            <w:r w:rsidRPr="00DF45F8">
              <w:rPr>
                <w:rFonts w:ascii="ITC Avant Garde" w:hAnsi="ITC Avant Garde"/>
                <w:b/>
              </w:rPr>
              <w:t>Sa</w:t>
            </w:r>
            <w:r w:rsidRPr="00DF45F8">
              <w:rPr>
                <w:rFonts w:ascii="ITC Avant Garde" w:hAnsi="ITC Avant Garde"/>
                <w:b/>
                <w:spacing w:val="1"/>
              </w:rPr>
              <w:t>l</w:t>
            </w:r>
            <w:r w:rsidRPr="00DF45F8">
              <w:rPr>
                <w:rFonts w:ascii="ITC Avant Garde" w:hAnsi="ITC Avant Garde"/>
                <w:b/>
              </w:rPr>
              <w:t>d</w:t>
            </w:r>
            <w:r w:rsidRPr="00DF45F8">
              <w:rPr>
                <w:rFonts w:ascii="ITC Avant Garde" w:hAnsi="ITC Avant Garde"/>
                <w:b/>
                <w:spacing w:val="-2"/>
              </w:rPr>
              <w:t>í</w:t>
            </w:r>
            <w:r w:rsidRPr="00DF45F8">
              <w:rPr>
                <w:rFonts w:ascii="ITC Avant Garde" w:hAnsi="ITC Avant Garde"/>
                <w:b/>
              </w:rPr>
              <w:t>var</w:t>
            </w:r>
          </w:p>
          <w:p w14:paraId="0277DAA5" w14:textId="7F83FA31" w:rsidR="00FE2A3F" w:rsidRPr="00DF45F8" w:rsidRDefault="00FE2A3F" w:rsidP="007A669E">
            <w:pPr>
              <w:jc w:val="center"/>
              <w:rPr>
                <w:rFonts w:ascii="ITC Avant Garde" w:hAnsi="ITC Avant Garde"/>
                <w:b/>
              </w:rPr>
            </w:pPr>
            <w:r w:rsidRPr="00DF45F8">
              <w:rPr>
                <w:rFonts w:ascii="ITC Avant Garde" w:hAnsi="ITC Avant Garde"/>
                <w:b/>
              </w:rPr>
              <w:t>Comisiona</w:t>
            </w:r>
            <w:r w:rsidRPr="00DF45F8">
              <w:rPr>
                <w:rFonts w:ascii="ITC Avant Garde" w:hAnsi="ITC Avant Garde"/>
                <w:b/>
                <w:spacing w:val="1"/>
              </w:rPr>
              <w:t>d</w:t>
            </w:r>
            <w:r w:rsidRPr="00DF45F8">
              <w:rPr>
                <w:rFonts w:ascii="ITC Avant Garde" w:hAnsi="ITC Avant Garde"/>
                <w:b/>
              </w:rPr>
              <w:t>o</w:t>
            </w:r>
            <w:r w:rsidRPr="00DF45F8">
              <w:rPr>
                <w:rFonts w:ascii="ITC Avant Garde" w:hAnsi="ITC Avant Garde"/>
                <w:b/>
                <w:spacing w:val="-27"/>
              </w:rPr>
              <w:t xml:space="preserve"> </w:t>
            </w:r>
            <w:r w:rsidRPr="00DF45F8">
              <w:rPr>
                <w:rFonts w:ascii="ITC Avant Garde" w:hAnsi="ITC Avant Garde"/>
                <w:b/>
              </w:rPr>
              <w:t>P</w:t>
            </w:r>
            <w:r w:rsidRPr="00DF45F8">
              <w:rPr>
                <w:rFonts w:ascii="ITC Avant Garde" w:hAnsi="ITC Avant Garde"/>
                <w:b/>
                <w:spacing w:val="1"/>
              </w:rPr>
              <w:t>r</w:t>
            </w:r>
            <w:r w:rsidRPr="00DF45F8">
              <w:rPr>
                <w:rFonts w:ascii="ITC Avant Garde" w:hAnsi="ITC Avant Garde"/>
                <w:b/>
              </w:rPr>
              <w:t>esi</w:t>
            </w:r>
            <w:r w:rsidRPr="00DF45F8">
              <w:rPr>
                <w:rFonts w:ascii="ITC Avant Garde" w:hAnsi="ITC Avant Garde"/>
                <w:b/>
                <w:spacing w:val="1"/>
              </w:rPr>
              <w:t>d</w:t>
            </w:r>
            <w:r w:rsidRPr="00DF45F8">
              <w:rPr>
                <w:rFonts w:ascii="ITC Avant Garde" w:hAnsi="ITC Avant Garde"/>
                <w:b/>
              </w:rPr>
              <w:t>ente</w:t>
            </w:r>
          </w:p>
        </w:tc>
      </w:tr>
      <w:tr w:rsidR="00FE2A3F" w:rsidRPr="00DF45F8" w14:paraId="70D1FAD4" w14:textId="77777777" w:rsidTr="0063559D">
        <w:trPr>
          <w:trHeight w:val="1672"/>
          <w:jc w:val="center"/>
        </w:trPr>
        <w:tc>
          <w:tcPr>
            <w:tcW w:w="4676" w:type="dxa"/>
          </w:tcPr>
          <w:p w14:paraId="57942C36" w14:textId="77777777" w:rsidR="00FE2A3F" w:rsidRPr="00DF45F8" w:rsidRDefault="00FE2A3F" w:rsidP="007A669E">
            <w:pPr>
              <w:jc w:val="center"/>
              <w:rPr>
                <w:rFonts w:ascii="ITC Avant Garde" w:eastAsia="ITC Avant Garde" w:hAnsi="ITC Avant Garde" w:cs="ITC Avant Garde"/>
                <w:b/>
              </w:rPr>
            </w:pPr>
          </w:p>
          <w:p w14:paraId="6A710355" w14:textId="77777777" w:rsidR="00FE2A3F" w:rsidRPr="00DF45F8" w:rsidRDefault="00FE2A3F" w:rsidP="007A669E">
            <w:pPr>
              <w:jc w:val="center"/>
              <w:rPr>
                <w:rFonts w:ascii="ITC Avant Garde" w:eastAsia="ITC Avant Garde" w:hAnsi="ITC Avant Garde" w:cs="ITC Avant Garde"/>
                <w:b/>
              </w:rPr>
            </w:pPr>
          </w:p>
          <w:p w14:paraId="036A26D1" w14:textId="77777777" w:rsidR="00FE2A3F" w:rsidRPr="00DF45F8" w:rsidRDefault="00FE2A3F" w:rsidP="007A669E">
            <w:pPr>
              <w:jc w:val="center"/>
              <w:rPr>
                <w:rFonts w:ascii="ITC Avant Garde" w:eastAsia="ITC Avant Garde" w:hAnsi="ITC Avant Garde" w:cs="ITC Avant Garde"/>
                <w:b/>
              </w:rPr>
            </w:pPr>
          </w:p>
          <w:p w14:paraId="041425B7" w14:textId="77777777"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Ernesto</w:t>
            </w:r>
            <w:r w:rsidRPr="00DF45F8">
              <w:rPr>
                <w:rFonts w:ascii="ITC Avant Garde" w:eastAsia="ITC Avant Garde" w:hAnsi="ITC Avant Garde" w:cs="ITC Avant Garde"/>
                <w:b/>
                <w:spacing w:val="-12"/>
              </w:rPr>
              <w:t xml:space="preserve"> </w:t>
            </w:r>
            <w:r w:rsidRPr="00DF45F8">
              <w:rPr>
                <w:rFonts w:ascii="ITC Avant Garde" w:eastAsia="ITC Avant Garde" w:hAnsi="ITC Avant Garde" w:cs="ITC Avant Garde"/>
                <w:b/>
              </w:rPr>
              <w:t>Estrada</w:t>
            </w:r>
            <w:r w:rsidRPr="00DF45F8">
              <w:rPr>
                <w:rFonts w:ascii="ITC Avant Garde" w:eastAsia="ITC Avant Garde" w:hAnsi="ITC Avant Garde" w:cs="ITC Avant Garde"/>
                <w:b/>
                <w:spacing w:val="-13"/>
              </w:rPr>
              <w:t xml:space="preserve"> </w:t>
            </w:r>
            <w:r w:rsidRPr="00DF45F8">
              <w:rPr>
                <w:rFonts w:ascii="ITC Avant Garde" w:eastAsia="ITC Avant Garde" w:hAnsi="ITC Avant Garde" w:cs="ITC Avant Garde"/>
                <w:b/>
              </w:rPr>
              <w:t>González</w:t>
            </w:r>
          </w:p>
          <w:p w14:paraId="18EC922B" w14:textId="13F798D4" w:rsidR="00FE2A3F" w:rsidRPr="00DF45F8"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o</w:t>
            </w:r>
          </w:p>
        </w:tc>
        <w:tc>
          <w:tcPr>
            <w:tcW w:w="4677" w:type="dxa"/>
          </w:tcPr>
          <w:p w14:paraId="1A5FC219" w14:textId="77777777" w:rsidR="00FE2A3F" w:rsidRPr="00DF45F8" w:rsidRDefault="00FE2A3F" w:rsidP="007A669E">
            <w:pPr>
              <w:jc w:val="center"/>
              <w:rPr>
                <w:rFonts w:ascii="ITC Avant Garde" w:eastAsia="ITC Avant Garde" w:hAnsi="ITC Avant Garde" w:cs="ITC Avant Garde"/>
                <w:b/>
              </w:rPr>
            </w:pPr>
          </w:p>
          <w:p w14:paraId="048FAC6B" w14:textId="77777777" w:rsidR="00FE2A3F" w:rsidRPr="00DF45F8" w:rsidRDefault="00FE2A3F" w:rsidP="007A669E">
            <w:pPr>
              <w:jc w:val="center"/>
              <w:rPr>
                <w:rFonts w:ascii="ITC Avant Garde" w:eastAsia="ITC Avant Garde" w:hAnsi="ITC Avant Garde" w:cs="ITC Avant Garde"/>
                <w:b/>
              </w:rPr>
            </w:pPr>
          </w:p>
          <w:p w14:paraId="4F3D75C6" w14:textId="77777777" w:rsidR="00FE2A3F" w:rsidRPr="00DF45F8" w:rsidRDefault="00FE2A3F" w:rsidP="007A669E">
            <w:pPr>
              <w:jc w:val="center"/>
              <w:rPr>
                <w:rFonts w:ascii="ITC Avant Garde" w:eastAsia="ITC Avant Garde" w:hAnsi="ITC Avant Garde" w:cs="ITC Avant Garde"/>
                <w:b/>
              </w:rPr>
            </w:pPr>
          </w:p>
          <w:p w14:paraId="4C608C0F" w14:textId="77777777"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Adriana</w:t>
            </w:r>
            <w:r w:rsidRPr="00DF45F8">
              <w:rPr>
                <w:rFonts w:ascii="ITC Avant Garde" w:eastAsia="ITC Avant Garde" w:hAnsi="ITC Avant Garde" w:cs="ITC Avant Garde"/>
                <w:b/>
                <w:spacing w:val="-12"/>
              </w:rPr>
              <w:t xml:space="preserve"> </w:t>
            </w:r>
            <w:r w:rsidRPr="00DF45F8">
              <w:rPr>
                <w:rFonts w:ascii="ITC Avant Garde" w:eastAsia="ITC Avant Garde" w:hAnsi="ITC Avant Garde" w:cs="ITC Avant Garde"/>
                <w:b/>
              </w:rPr>
              <w:t>Sof</w:t>
            </w:r>
            <w:r w:rsidRPr="00DF45F8">
              <w:rPr>
                <w:rFonts w:ascii="ITC Avant Garde" w:eastAsia="ITC Avant Garde" w:hAnsi="ITC Avant Garde" w:cs="ITC Avant Garde"/>
                <w:b/>
                <w:spacing w:val="1"/>
              </w:rPr>
              <w:t>í</w:t>
            </w:r>
            <w:r w:rsidRPr="00DF45F8">
              <w:rPr>
                <w:rFonts w:ascii="ITC Avant Garde" w:eastAsia="ITC Avant Garde" w:hAnsi="ITC Avant Garde" w:cs="ITC Avant Garde"/>
                <w:b/>
              </w:rPr>
              <w:t>a</w:t>
            </w:r>
            <w:r w:rsidRPr="00DF45F8">
              <w:rPr>
                <w:rFonts w:ascii="ITC Avant Garde" w:eastAsia="ITC Avant Garde" w:hAnsi="ITC Avant Garde" w:cs="ITC Avant Garde"/>
                <w:b/>
                <w:spacing w:val="-11"/>
              </w:rPr>
              <w:t xml:space="preserve"> </w:t>
            </w:r>
            <w:r w:rsidRPr="00DF45F8">
              <w:rPr>
                <w:rFonts w:ascii="ITC Avant Garde" w:eastAsia="ITC Avant Garde" w:hAnsi="ITC Avant Garde" w:cs="ITC Avant Garde"/>
                <w:b/>
              </w:rPr>
              <w:t>Laba</w:t>
            </w:r>
            <w:r w:rsidRPr="00DF45F8">
              <w:rPr>
                <w:rFonts w:ascii="ITC Avant Garde" w:eastAsia="ITC Avant Garde" w:hAnsi="ITC Avant Garde" w:cs="ITC Avant Garde"/>
                <w:b/>
                <w:spacing w:val="1"/>
              </w:rPr>
              <w:t>r</w:t>
            </w:r>
            <w:r w:rsidRPr="00DF45F8">
              <w:rPr>
                <w:rFonts w:ascii="ITC Avant Garde" w:eastAsia="ITC Avant Garde" w:hAnsi="ITC Avant Garde" w:cs="ITC Avant Garde"/>
                <w:b/>
              </w:rPr>
              <w:t>dini</w:t>
            </w:r>
            <w:r w:rsidRPr="00DF45F8">
              <w:rPr>
                <w:rFonts w:ascii="ITC Avant Garde" w:eastAsia="ITC Avant Garde" w:hAnsi="ITC Avant Garde" w:cs="ITC Avant Garde"/>
                <w:b/>
                <w:spacing w:val="-11"/>
              </w:rPr>
              <w:t xml:space="preserve"> </w:t>
            </w:r>
            <w:r w:rsidRPr="00DF45F8">
              <w:rPr>
                <w:rFonts w:ascii="ITC Avant Garde" w:eastAsia="ITC Avant Garde" w:hAnsi="ITC Avant Garde" w:cs="ITC Avant Garde"/>
                <w:b/>
              </w:rPr>
              <w:t>Inzun</w:t>
            </w:r>
            <w:r w:rsidRPr="00DF45F8">
              <w:rPr>
                <w:rFonts w:ascii="ITC Avant Garde" w:eastAsia="ITC Avant Garde" w:hAnsi="ITC Avant Garde" w:cs="ITC Avant Garde"/>
                <w:b/>
                <w:spacing w:val="1"/>
              </w:rPr>
              <w:t>z</w:t>
            </w:r>
            <w:r w:rsidRPr="00DF45F8">
              <w:rPr>
                <w:rFonts w:ascii="ITC Avant Garde" w:eastAsia="ITC Avant Garde" w:hAnsi="ITC Avant Garde" w:cs="ITC Avant Garde"/>
                <w:b/>
              </w:rPr>
              <w:t>a</w:t>
            </w:r>
          </w:p>
          <w:p w14:paraId="46B03444" w14:textId="2EE9F896" w:rsidR="00FE2A3F" w:rsidRPr="00DF45F8"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a</w:t>
            </w:r>
          </w:p>
        </w:tc>
      </w:tr>
      <w:tr w:rsidR="00FE2A3F" w:rsidRPr="00DF45F8" w14:paraId="4A1D9D4F" w14:textId="77777777" w:rsidTr="0063559D">
        <w:trPr>
          <w:trHeight w:val="1672"/>
          <w:jc w:val="center"/>
        </w:trPr>
        <w:tc>
          <w:tcPr>
            <w:tcW w:w="4676" w:type="dxa"/>
          </w:tcPr>
          <w:p w14:paraId="03DC008E" w14:textId="77777777" w:rsidR="00FE2A3F" w:rsidRPr="00DF45F8" w:rsidRDefault="00FE2A3F" w:rsidP="007A669E">
            <w:pPr>
              <w:jc w:val="center"/>
              <w:rPr>
                <w:rFonts w:ascii="ITC Avant Garde" w:eastAsia="ITC Avant Garde" w:hAnsi="ITC Avant Garde" w:cs="ITC Avant Garde"/>
                <w:b/>
              </w:rPr>
            </w:pPr>
          </w:p>
          <w:p w14:paraId="73BBF99F" w14:textId="77777777" w:rsidR="00FE2A3F" w:rsidRPr="00DF45F8" w:rsidRDefault="00FE2A3F" w:rsidP="007A669E">
            <w:pPr>
              <w:jc w:val="center"/>
              <w:rPr>
                <w:rFonts w:ascii="ITC Avant Garde" w:eastAsia="ITC Avant Garde" w:hAnsi="ITC Avant Garde" w:cs="ITC Avant Garde"/>
                <w:b/>
              </w:rPr>
            </w:pPr>
          </w:p>
          <w:p w14:paraId="0D64449F" w14:textId="77777777" w:rsidR="00FE2A3F" w:rsidRPr="00DF45F8" w:rsidRDefault="00FE2A3F" w:rsidP="007A669E">
            <w:pPr>
              <w:jc w:val="center"/>
              <w:rPr>
                <w:rFonts w:ascii="ITC Avant Garde" w:eastAsia="ITC Avant Garde" w:hAnsi="ITC Avant Garde" w:cs="ITC Avant Garde"/>
                <w:b/>
              </w:rPr>
            </w:pPr>
          </w:p>
          <w:p w14:paraId="43054457" w14:textId="080F8A4B"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María</w:t>
            </w:r>
            <w:r w:rsidRPr="00DF45F8">
              <w:rPr>
                <w:rFonts w:ascii="ITC Avant Garde" w:eastAsia="ITC Avant Garde" w:hAnsi="ITC Avant Garde" w:cs="ITC Avant Garde"/>
                <w:b/>
                <w:spacing w:val="-9"/>
              </w:rPr>
              <w:t xml:space="preserve"> </w:t>
            </w:r>
            <w:r w:rsidRPr="00DF45F8">
              <w:rPr>
                <w:rFonts w:ascii="ITC Avant Garde" w:eastAsia="ITC Avant Garde" w:hAnsi="ITC Avant Garde" w:cs="ITC Avant Garde"/>
                <w:b/>
              </w:rPr>
              <w:t>Elena</w:t>
            </w:r>
            <w:r w:rsidRPr="00DF45F8">
              <w:rPr>
                <w:rFonts w:ascii="ITC Avant Garde" w:eastAsia="ITC Avant Garde" w:hAnsi="ITC Avant Garde" w:cs="ITC Avant Garde"/>
                <w:b/>
                <w:spacing w:val="-8"/>
              </w:rPr>
              <w:t xml:space="preserve"> </w:t>
            </w:r>
            <w:r w:rsidRPr="00DF45F8">
              <w:rPr>
                <w:rFonts w:ascii="ITC Avant Garde" w:eastAsia="ITC Avant Garde" w:hAnsi="ITC Avant Garde" w:cs="ITC Avant Garde"/>
                <w:b/>
              </w:rPr>
              <w:t>Estavillo</w:t>
            </w:r>
            <w:r w:rsidRPr="00DF45F8">
              <w:rPr>
                <w:rFonts w:ascii="ITC Avant Garde" w:eastAsia="ITC Avant Garde" w:hAnsi="ITC Avant Garde" w:cs="ITC Avant Garde"/>
                <w:b/>
                <w:spacing w:val="-10"/>
              </w:rPr>
              <w:t xml:space="preserve"> </w:t>
            </w:r>
            <w:r w:rsidRPr="00DF45F8">
              <w:rPr>
                <w:rFonts w:ascii="ITC Avant Garde" w:eastAsia="ITC Avant Garde" w:hAnsi="ITC Avant Garde" w:cs="ITC Avant Garde"/>
                <w:b/>
              </w:rPr>
              <w:t>Flor</w:t>
            </w:r>
            <w:r w:rsidRPr="00DF45F8">
              <w:rPr>
                <w:rFonts w:ascii="ITC Avant Garde" w:eastAsia="ITC Avant Garde" w:hAnsi="ITC Avant Garde" w:cs="ITC Avant Garde"/>
                <w:b/>
                <w:spacing w:val="1"/>
              </w:rPr>
              <w:t>e</w:t>
            </w:r>
            <w:r w:rsidRPr="00DF45F8">
              <w:rPr>
                <w:rFonts w:ascii="ITC Avant Garde" w:eastAsia="ITC Avant Garde" w:hAnsi="ITC Avant Garde" w:cs="ITC Avant Garde"/>
                <w:b/>
              </w:rPr>
              <w:t>s</w:t>
            </w:r>
          </w:p>
          <w:p w14:paraId="429086F5" w14:textId="3C1B8D7B" w:rsidR="00FE2A3F" w:rsidRPr="00DF45F8"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a</w:t>
            </w:r>
          </w:p>
        </w:tc>
        <w:tc>
          <w:tcPr>
            <w:tcW w:w="4677" w:type="dxa"/>
          </w:tcPr>
          <w:p w14:paraId="6D4EA4C3" w14:textId="77777777" w:rsidR="00FE2A3F" w:rsidRPr="00DF45F8" w:rsidRDefault="00FE2A3F" w:rsidP="007A669E">
            <w:pPr>
              <w:jc w:val="center"/>
              <w:rPr>
                <w:rFonts w:ascii="ITC Avant Garde" w:eastAsia="ITC Avant Garde" w:hAnsi="ITC Avant Garde" w:cs="ITC Avant Garde"/>
                <w:b/>
              </w:rPr>
            </w:pPr>
          </w:p>
          <w:p w14:paraId="2DCAC627" w14:textId="77777777" w:rsidR="00FE2A3F" w:rsidRPr="00DF45F8" w:rsidRDefault="00FE2A3F" w:rsidP="007A669E">
            <w:pPr>
              <w:jc w:val="center"/>
              <w:rPr>
                <w:rFonts w:ascii="ITC Avant Garde" w:eastAsia="ITC Avant Garde" w:hAnsi="ITC Avant Garde" w:cs="ITC Avant Garde"/>
                <w:b/>
              </w:rPr>
            </w:pPr>
          </w:p>
          <w:p w14:paraId="57209478" w14:textId="77777777" w:rsidR="00FE2A3F" w:rsidRPr="00DF45F8" w:rsidRDefault="00FE2A3F" w:rsidP="007A669E">
            <w:pPr>
              <w:jc w:val="center"/>
              <w:rPr>
                <w:rFonts w:ascii="ITC Avant Garde" w:eastAsia="ITC Avant Garde" w:hAnsi="ITC Avant Garde" w:cs="ITC Avant Garde"/>
                <w:b/>
              </w:rPr>
            </w:pPr>
          </w:p>
          <w:p w14:paraId="3B493750" w14:textId="77777777"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Mario</w:t>
            </w:r>
            <w:r w:rsidRPr="00DF45F8">
              <w:rPr>
                <w:rFonts w:ascii="ITC Avant Garde" w:eastAsia="ITC Avant Garde" w:hAnsi="ITC Avant Garde" w:cs="ITC Avant Garde"/>
                <w:b/>
                <w:spacing w:val="-11"/>
              </w:rPr>
              <w:t xml:space="preserve"> </w:t>
            </w:r>
            <w:r w:rsidRPr="00DF45F8">
              <w:rPr>
                <w:rFonts w:ascii="ITC Avant Garde" w:eastAsia="ITC Avant Garde" w:hAnsi="ITC Avant Garde" w:cs="ITC Avant Garde"/>
                <w:b/>
              </w:rPr>
              <w:t>Germán</w:t>
            </w:r>
            <w:r w:rsidRPr="00DF45F8">
              <w:rPr>
                <w:rFonts w:ascii="ITC Avant Garde" w:eastAsia="ITC Avant Garde" w:hAnsi="ITC Avant Garde" w:cs="ITC Avant Garde"/>
                <w:b/>
                <w:spacing w:val="-10"/>
              </w:rPr>
              <w:t xml:space="preserve"> </w:t>
            </w:r>
            <w:r w:rsidRPr="00DF45F8">
              <w:rPr>
                <w:rFonts w:ascii="ITC Avant Garde" w:eastAsia="ITC Avant Garde" w:hAnsi="ITC Avant Garde" w:cs="ITC Avant Garde"/>
                <w:b/>
              </w:rPr>
              <w:t>Fro</w:t>
            </w:r>
            <w:r w:rsidRPr="00DF45F8">
              <w:rPr>
                <w:rFonts w:ascii="ITC Avant Garde" w:eastAsia="ITC Avant Garde" w:hAnsi="ITC Avant Garde" w:cs="ITC Avant Garde"/>
                <w:b/>
                <w:spacing w:val="1"/>
              </w:rPr>
              <w:t>m</w:t>
            </w:r>
            <w:r w:rsidRPr="00DF45F8">
              <w:rPr>
                <w:rFonts w:ascii="ITC Avant Garde" w:eastAsia="ITC Avant Garde" w:hAnsi="ITC Avant Garde" w:cs="ITC Avant Garde"/>
                <w:b/>
              </w:rPr>
              <w:t>ow</w:t>
            </w:r>
            <w:r w:rsidRPr="00DF45F8">
              <w:rPr>
                <w:rFonts w:ascii="ITC Avant Garde" w:eastAsia="ITC Avant Garde" w:hAnsi="ITC Avant Garde" w:cs="ITC Avant Garde"/>
                <w:b/>
                <w:spacing w:val="-10"/>
              </w:rPr>
              <w:t xml:space="preserve"> </w:t>
            </w:r>
            <w:r w:rsidRPr="00DF45F8">
              <w:rPr>
                <w:rFonts w:ascii="ITC Avant Garde" w:eastAsia="ITC Avant Garde" w:hAnsi="ITC Avant Garde" w:cs="ITC Avant Garde"/>
                <w:b/>
              </w:rPr>
              <w:t>Ran</w:t>
            </w:r>
            <w:r w:rsidRPr="00DF45F8">
              <w:rPr>
                <w:rFonts w:ascii="ITC Avant Garde" w:eastAsia="ITC Avant Garde" w:hAnsi="ITC Avant Garde" w:cs="ITC Avant Garde"/>
                <w:b/>
                <w:spacing w:val="1"/>
              </w:rPr>
              <w:t>g</w:t>
            </w:r>
            <w:r w:rsidRPr="00DF45F8">
              <w:rPr>
                <w:rFonts w:ascii="ITC Avant Garde" w:eastAsia="ITC Avant Garde" w:hAnsi="ITC Avant Garde" w:cs="ITC Avant Garde"/>
                <w:b/>
              </w:rPr>
              <w:t>el</w:t>
            </w:r>
          </w:p>
          <w:p w14:paraId="3D964D3B" w14:textId="02DBCED5" w:rsidR="00FE2A3F" w:rsidRPr="00DF45F8"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o</w:t>
            </w:r>
          </w:p>
        </w:tc>
      </w:tr>
      <w:tr w:rsidR="00FE2A3F" w14:paraId="5AE80BE3" w14:textId="77777777" w:rsidTr="0063559D">
        <w:trPr>
          <w:trHeight w:val="1672"/>
          <w:jc w:val="center"/>
        </w:trPr>
        <w:tc>
          <w:tcPr>
            <w:tcW w:w="4676" w:type="dxa"/>
          </w:tcPr>
          <w:p w14:paraId="3C8FE56A" w14:textId="77777777" w:rsidR="00FE2A3F" w:rsidRPr="00DF45F8" w:rsidRDefault="00FE2A3F" w:rsidP="007A669E">
            <w:pPr>
              <w:jc w:val="center"/>
              <w:rPr>
                <w:rFonts w:ascii="ITC Avant Garde" w:eastAsia="ITC Avant Garde" w:hAnsi="ITC Avant Garde" w:cs="ITC Avant Garde"/>
                <w:b/>
              </w:rPr>
            </w:pPr>
          </w:p>
          <w:p w14:paraId="7760D8D0" w14:textId="77777777" w:rsidR="00FE2A3F" w:rsidRPr="00DF45F8" w:rsidRDefault="00FE2A3F" w:rsidP="007A669E">
            <w:pPr>
              <w:jc w:val="center"/>
              <w:rPr>
                <w:rFonts w:ascii="ITC Avant Garde" w:eastAsia="ITC Avant Garde" w:hAnsi="ITC Avant Garde" w:cs="ITC Avant Garde"/>
                <w:b/>
              </w:rPr>
            </w:pPr>
          </w:p>
          <w:p w14:paraId="596AA470" w14:textId="77777777" w:rsidR="00FE2A3F" w:rsidRPr="00DF45F8" w:rsidRDefault="00FE2A3F" w:rsidP="007A669E">
            <w:pPr>
              <w:jc w:val="center"/>
              <w:rPr>
                <w:rFonts w:ascii="ITC Avant Garde" w:eastAsia="ITC Avant Garde" w:hAnsi="ITC Avant Garde" w:cs="ITC Avant Garde"/>
                <w:b/>
              </w:rPr>
            </w:pPr>
          </w:p>
          <w:p w14:paraId="20AEE3C9" w14:textId="77777777"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Adolfo</w:t>
            </w:r>
            <w:r w:rsidRPr="00DF45F8">
              <w:rPr>
                <w:rFonts w:ascii="ITC Avant Garde" w:eastAsia="ITC Avant Garde" w:hAnsi="ITC Avant Garde" w:cs="ITC Avant Garde"/>
                <w:b/>
                <w:spacing w:val="-11"/>
              </w:rPr>
              <w:t xml:space="preserve"> </w:t>
            </w:r>
            <w:r w:rsidRPr="00DF45F8">
              <w:rPr>
                <w:rFonts w:ascii="ITC Avant Garde" w:eastAsia="ITC Avant Garde" w:hAnsi="ITC Avant Garde" w:cs="ITC Avant Garde"/>
                <w:b/>
                <w:spacing w:val="1"/>
              </w:rPr>
              <w:t>C</w:t>
            </w:r>
            <w:r w:rsidRPr="00DF45F8">
              <w:rPr>
                <w:rFonts w:ascii="ITC Avant Garde" w:eastAsia="ITC Avant Garde" w:hAnsi="ITC Avant Garde" w:cs="ITC Avant Garde"/>
                <w:b/>
              </w:rPr>
              <w:t>uevas</w:t>
            </w:r>
            <w:r w:rsidRPr="00DF45F8">
              <w:rPr>
                <w:rFonts w:ascii="ITC Avant Garde" w:eastAsia="ITC Avant Garde" w:hAnsi="ITC Avant Garde" w:cs="ITC Avant Garde"/>
                <w:b/>
                <w:spacing w:val="-11"/>
              </w:rPr>
              <w:t xml:space="preserve"> </w:t>
            </w:r>
            <w:r w:rsidRPr="00DF45F8">
              <w:rPr>
                <w:rFonts w:ascii="ITC Avant Garde" w:eastAsia="ITC Avant Garde" w:hAnsi="ITC Avant Garde" w:cs="ITC Avant Garde"/>
                <w:b/>
              </w:rPr>
              <w:t>Teja</w:t>
            </w:r>
          </w:p>
          <w:p w14:paraId="6D28C779" w14:textId="706555DB" w:rsidR="00FE2A3F" w:rsidRPr="00DF45F8"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o</w:t>
            </w:r>
          </w:p>
        </w:tc>
        <w:tc>
          <w:tcPr>
            <w:tcW w:w="4677" w:type="dxa"/>
          </w:tcPr>
          <w:p w14:paraId="2D6E6068" w14:textId="77777777" w:rsidR="00FE2A3F" w:rsidRPr="00DF45F8" w:rsidRDefault="00FE2A3F" w:rsidP="007A669E">
            <w:pPr>
              <w:jc w:val="center"/>
              <w:rPr>
                <w:rFonts w:ascii="ITC Avant Garde" w:eastAsia="ITC Avant Garde" w:hAnsi="ITC Avant Garde" w:cs="ITC Avant Garde"/>
                <w:b/>
              </w:rPr>
            </w:pPr>
          </w:p>
          <w:p w14:paraId="7E752FC6" w14:textId="77777777" w:rsidR="00FE2A3F" w:rsidRPr="00DF45F8" w:rsidRDefault="00FE2A3F" w:rsidP="007A669E">
            <w:pPr>
              <w:jc w:val="center"/>
              <w:rPr>
                <w:rFonts w:ascii="ITC Avant Garde" w:eastAsia="ITC Avant Garde" w:hAnsi="ITC Avant Garde" w:cs="ITC Avant Garde"/>
                <w:b/>
              </w:rPr>
            </w:pPr>
          </w:p>
          <w:p w14:paraId="70B6AF65" w14:textId="77777777" w:rsidR="00FE2A3F" w:rsidRPr="00DF45F8" w:rsidRDefault="00FE2A3F" w:rsidP="007A669E">
            <w:pPr>
              <w:jc w:val="center"/>
              <w:rPr>
                <w:rFonts w:ascii="ITC Avant Garde" w:eastAsia="ITC Avant Garde" w:hAnsi="ITC Avant Garde" w:cs="ITC Avant Garde"/>
                <w:b/>
              </w:rPr>
            </w:pPr>
          </w:p>
          <w:p w14:paraId="45F79FEE" w14:textId="77777777" w:rsidR="00FE2A3F" w:rsidRPr="00DF45F8" w:rsidRDefault="00FE2A3F" w:rsidP="007A669E">
            <w:pPr>
              <w:jc w:val="center"/>
              <w:rPr>
                <w:rFonts w:ascii="ITC Avant Garde" w:eastAsia="ITC Avant Garde" w:hAnsi="ITC Avant Garde" w:cs="ITC Avant Garde"/>
                <w:b/>
                <w:w w:val="99"/>
              </w:rPr>
            </w:pPr>
            <w:r w:rsidRPr="00DF45F8">
              <w:rPr>
                <w:rFonts w:ascii="ITC Avant Garde" w:eastAsia="ITC Avant Garde" w:hAnsi="ITC Avant Garde" w:cs="ITC Avant Garde"/>
                <w:b/>
              </w:rPr>
              <w:t>Javi</w:t>
            </w:r>
            <w:r w:rsidRPr="00DF45F8">
              <w:rPr>
                <w:rFonts w:ascii="ITC Avant Garde" w:eastAsia="ITC Avant Garde" w:hAnsi="ITC Avant Garde" w:cs="ITC Avant Garde"/>
                <w:b/>
                <w:spacing w:val="1"/>
              </w:rPr>
              <w:t>e</w:t>
            </w:r>
            <w:r w:rsidRPr="00DF45F8">
              <w:rPr>
                <w:rFonts w:ascii="ITC Avant Garde" w:eastAsia="ITC Avant Garde" w:hAnsi="ITC Avant Garde" w:cs="ITC Avant Garde"/>
                <w:b/>
              </w:rPr>
              <w:t>r</w:t>
            </w:r>
            <w:r w:rsidRPr="00DF45F8">
              <w:rPr>
                <w:rFonts w:ascii="ITC Avant Garde" w:eastAsia="ITC Avant Garde" w:hAnsi="ITC Avant Garde" w:cs="ITC Avant Garde"/>
                <w:b/>
                <w:spacing w:val="-12"/>
              </w:rPr>
              <w:t xml:space="preserve"> </w:t>
            </w:r>
            <w:r w:rsidRPr="00DF45F8">
              <w:rPr>
                <w:rFonts w:ascii="ITC Avant Garde" w:eastAsia="ITC Avant Garde" w:hAnsi="ITC Avant Garde" w:cs="ITC Avant Garde"/>
                <w:b/>
                <w:spacing w:val="1"/>
              </w:rPr>
              <w:t>J</w:t>
            </w:r>
            <w:r w:rsidRPr="00DF45F8">
              <w:rPr>
                <w:rFonts w:ascii="ITC Avant Garde" w:eastAsia="ITC Avant Garde" w:hAnsi="ITC Avant Garde" w:cs="ITC Avant Garde"/>
                <w:b/>
              </w:rPr>
              <w:t>uárez</w:t>
            </w:r>
            <w:r w:rsidRPr="00DF45F8">
              <w:rPr>
                <w:rFonts w:ascii="ITC Avant Garde" w:eastAsia="ITC Avant Garde" w:hAnsi="ITC Avant Garde" w:cs="ITC Avant Garde"/>
                <w:b/>
                <w:spacing w:val="-9"/>
              </w:rPr>
              <w:t xml:space="preserve"> </w:t>
            </w:r>
            <w:r w:rsidRPr="00DF45F8">
              <w:rPr>
                <w:rFonts w:ascii="ITC Avant Garde" w:eastAsia="ITC Avant Garde" w:hAnsi="ITC Avant Garde" w:cs="ITC Avant Garde"/>
                <w:b/>
              </w:rPr>
              <w:t>Moj</w:t>
            </w:r>
            <w:r w:rsidRPr="00DF45F8">
              <w:rPr>
                <w:rFonts w:ascii="ITC Avant Garde" w:eastAsia="ITC Avant Garde" w:hAnsi="ITC Avant Garde" w:cs="ITC Avant Garde"/>
                <w:b/>
                <w:spacing w:val="1"/>
              </w:rPr>
              <w:t>i</w:t>
            </w:r>
            <w:r w:rsidRPr="00DF45F8">
              <w:rPr>
                <w:rFonts w:ascii="ITC Avant Garde" w:eastAsia="ITC Avant Garde" w:hAnsi="ITC Avant Garde" w:cs="ITC Avant Garde"/>
                <w:b/>
              </w:rPr>
              <w:t>ca</w:t>
            </w:r>
          </w:p>
          <w:p w14:paraId="50795CC0" w14:textId="47BF41C1" w:rsidR="00FE2A3F" w:rsidRPr="006E2CA6" w:rsidRDefault="00FE2A3F" w:rsidP="007A669E">
            <w:pPr>
              <w:jc w:val="center"/>
              <w:rPr>
                <w:rFonts w:ascii="ITC Avant Garde" w:hAnsi="ITC Avant Garde"/>
                <w:b/>
              </w:rPr>
            </w:pPr>
            <w:r w:rsidRPr="00DF45F8">
              <w:rPr>
                <w:rFonts w:ascii="ITC Avant Garde" w:eastAsia="ITC Avant Garde" w:hAnsi="ITC Avant Garde" w:cs="ITC Avant Garde"/>
                <w:b/>
              </w:rPr>
              <w:t>Comisiona</w:t>
            </w:r>
            <w:r w:rsidRPr="00DF45F8">
              <w:rPr>
                <w:rFonts w:ascii="ITC Avant Garde" w:eastAsia="ITC Avant Garde" w:hAnsi="ITC Avant Garde" w:cs="ITC Avant Garde"/>
                <w:b/>
                <w:spacing w:val="1"/>
              </w:rPr>
              <w:t>d</w:t>
            </w:r>
            <w:r w:rsidRPr="00DF45F8">
              <w:rPr>
                <w:rFonts w:ascii="ITC Avant Garde" w:eastAsia="ITC Avant Garde" w:hAnsi="ITC Avant Garde" w:cs="ITC Avant Garde"/>
                <w:b/>
              </w:rPr>
              <w:t>o</w:t>
            </w:r>
          </w:p>
        </w:tc>
      </w:tr>
    </w:tbl>
    <w:p w14:paraId="4F8FBA28" w14:textId="77777777" w:rsidR="00D117E6" w:rsidRDefault="00D117E6" w:rsidP="0063559D">
      <w:pPr>
        <w:pStyle w:val="Prrafodelista"/>
        <w:spacing w:after="0" w:line="240" w:lineRule="auto"/>
        <w:ind w:left="0"/>
        <w:jc w:val="both"/>
        <w:rPr>
          <w:rFonts w:ascii="ITC Avant Garde" w:hAnsi="ITC Avant Garde"/>
          <w:sz w:val="14"/>
          <w:szCs w:val="14"/>
        </w:rPr>
      </w:pPr>
    </w:p>
    <w:p w14:paraId="57E57EAD" w14:textId="77777777" w:rsidR="00D117E6" w:rsidRDefault="00D117E6" w:rsidP="0063559D">
      <w:pPr>
        <w:pStyle w:val="Prrafodelista"/>
        <w:spacing w:after="0" w:line="240" w:lineRule="auto"/>
        <w:ind w:left="0"/>
        <w:jc w:val="both"/>
        <w:rPr>
          <w:rFonts w:ascii="ITC Avant Garde" w:hAnsi="ITC Avant Garde"/>
          <w:sz w:val="14"/>
          <w:szCs w:val="14"/>
        </w:rPr>
      </w:pPr>
    </w:p>
    <w:p w14:paraId="1A398D24" w14:textId="77777777" w:rsidR="00D117E6" w:rsidRDefault="00D117E6" w:rsidP="0063559D">
      <w:pPr>
        <w:pStyle w:val="Prrafodelista"/>
        <w:spacing w:after="0" w:line="240" w:lineRule="auto"/>
        <w:ind w:left="0"/>
        <w:jc w:val="both"/>
        <w:rPr>
          <w:rFonts w:ascii="ITC Avant Garde" w:hAnsi="ITC Avant Garde"/>
          <w:sz w:val="14"/>
          <w:szCs w:val="14"/>
        </w:rPr>
      </w:pPr>
    </w:p>
    <w:p w14:paraId="2CE84CD6" w14:textId="77777777" w:rsidR="00D117E6" w:rsidRDefault="00D117E6" w:rsidP="0063559D">
      <w:pPr>
        <w:pStyle w:val="Prrafodelista"/>
        <w:spacing w:after="0" w:line="240" w:lineRule="auto"/>
        <w:ind w:left="0"/>
        <w:jc w:val="both"/>
        <w:rPr>
          <w:rFonts w:ascii="ITC Avant Garde" w:hAnsi="ITC Avant Garde"/>
          <w:sz w:val="14"/>
          <w:szCs w:val="14"/>
        </w:rPr>
      </w:pPr>
    </w:p>
    <w:p w14:paraId="0B4C7573" w14:textId="44CA8B56" w:rsidR="003F3C52" w:rsidRPr="003454AB" w:rsidRDefault="0063559D" w:rsidP="0063559D">
      <w:pPr>
        <w:pStyle w:val="Prrafodelista"/>
        <w:spacing w:after="0" w:line="240" w:lineRule="auto"/>
        <w:ind w:left="0"/>
        <w:jc w:val="both"/>
        <w:rPr>
          <w:rFonts w:ascii="ITC Avant Garde" w:hAnsi="ITC Avant Garde"/>
        </w:rPr>
      </w:pPr>
      <w:r w:rsidRPr="0063559D">
        <w:rPr>
          <w:rFonts w:ascii="ITC Avant Garde" w:hAnsi="ITC Avant Garde"/>
          <w:sz w:val="14"/>
          <w:szCs w:val="14"/>
        </w:rPr>
        <w:t>El presente Acuerdo fue aprobado por el Pleno del Instituto Federal de Telecomunicaciones en su IV Sesión Ordinaria celebrada el 8 de febrero de 2017, por unanimidad de votos de los Comisionados Gabriel Oswaldo Contreras Saldívar, Ernesto Estrada González, Adriana Sofía Labardini Inzunza, María Elena Estavil</w:t>
      </w:r>
      <w:bookmarkStart w:id="2" w:name="_GoBack"/>
      <w:r w:rsidRPr="0063559D">
        <w:rPr>
          <w:rFonts w:ascii="ITC Avant Garde" w:hAnsi="ITC Avant Garde"/>
          <w:sz w:val="14"/>
          <w:szCs w:val="14"/>
        </w:rPr>
        <w:t>l</w:t>
      </w:r>
      <w:bookmarkEnd w:id="2"/>
      <w:r w:rsidRPr="0063559D">
        <w:rPr>
          <w:rFonts w:ascii="ITC Avant Garde" w:hAnsi="ITC Avant Garde"/>
          <w:sz w:val="14"/>
          <w:szCs w:val="14"/>
        </w:rPr>
        <w:t>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P/IFT/080217/57.</w:t>
      </w:r>
    </w:p>
    <w:sectPr w:rsidR="003F3C52" w:rsidRPr="003454AB" w:rsidSect="003472C1">
      <w:footerReference w:type="defaul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8A58" w14:textId="77777777" w:rsidR="00324153" w:rsidRDefault="00324153" w:rsidP="00677B39">
      <w:pPr>
        <w:spacing w:after="0" w:line="240" w:lineRule="auto"/>
      </w:pPr>
      <w:r>
        <w:separator/>
      </w:r>
    </w:p>
  </w:endnote>
  <w:endnote w:type="continuationSeparator" w:id="0">
    <w:p w14:paraId="695A54C3" w14:textId="77777777" w:rsidR="00324153" w:rsidRDefault="00324153" w:rsidP="00677B39">
      <w:pPr>
        <w:spacing w:after="0" w:line="240" w:lineRule="auto"/>
      </w:pPr>
      <w:r>
        <w:continuationSeparator/>
      </w:r>
    </w:p>
  </w:endnote>
  <w:endnote w:type="continuationNotice" w:id="1">
    <w:p w14:paraId="4EDA028D" w14:textId="77777777" w:rsidR="00324153" w:rsidRDefault="00324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Arial"/>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4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87726"/>
      <w:docPartObj>
        <w:docPartGallery w:val="Page Numbers (Bottom of Page)"/>
        <w:docPartUnique/>
      </w:docPartObj>
    </w:sdtPr>
    <w:sdtEndPr>
      <w:rPr>
        <w:rFonts w:ascii="ITC Avant Garde" w:hAnsi="ITC Avant Garde"/>
        <w:sz w:val="20"/>
      </w:rPr>
    </w:sdtEndPr>
    <w:sdtContent>
      <w:p w14:paraId="423680C6" w14:textId="00AB3F01" w:rsidR="007A669E" w:rsidRPr="007A669E" w:rsidRDefault="007A669E">
        <w:pPr>
          <w:pStyle w:val="Piedepgina"/>
          <w:jc w:val="right"/>
          <w:rPr>
            <w:rFonts w:ascii="ITC Avant Garde" w:hAnsi="ITC Avant Garde"/>
            <w:sz w:val="20"/>
          </w:rPr>
        </w:pPr>
        <w:r w:rsidRPr="007A669E">
          <w:rPr>
            <w:rFonts w:ascii="ITC Avant Garde" w:hAnsi="ITC Avant Garde"/>
            <w:sz w:val="20"/>
          </w:rPr>
          <w:fldChar w:fldCharType="begin"/>
        </w:r>
        <w:r w:rsidRPr="007A669E">
          <w:rPr>
            <w:rFonts w:ascii="ITC Avant Garde" w:hAnsi="ITC Avant Garde"/>
            <w:sz w:val="20"/>
          </w:rPr>
          <w:instrText>PAGE   \* MERGEFORMAT</w:instrText>
        </w:r>
        <w:r w:rsidRPr="007A669E">
          <w:rPr>
            <w:rFonts w:ascii="ITC Avant Garde" w:hAnsi="ITC Avant Garde"/>
            <w:sz w:val="20"/>
          </w:rPr>
          <w:fldChar w:fldCharType="separate"/>
        </w:r>
        <w:r w:rsidR="003F7721" w:rsidRPr="003F7721">
          <w:rPr>
            <w:rFonts w:ascii="ITC Avant Garde" w:hAnsi="ITC Avant Garde"/>
            <w:noProof/>
            <w:sz w:val="20"/>
            <w:lang w:val="es-ES"/>
          </w:rPr>
          <w:t>6</w:t>
        </w:r>
        <w:r w:rsidRPr="007A669E">
          <w:rPr>
            <w:rFonts w:ascii="ITC Avant Garde" w:hAnsi="ITC Avant Garde"/>
            <w:sz w:val="20"/>
          </w:rPr>
          <w:fldChar w:fldCharType="end"/>
        </w:r>
      </w:p>
    </w:sdtContent>
  </w:sdt>
  <w:p w14:paraId="222F33C1" w14:textId="77777777" w:rsidR="007A669E" w:rsidRDefault="007A66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9826" w14:textId="77777777" w:rsidR="00324153" w:rsidRDefault="00324153" w:rsidP="00677B39">
      <w:pPr>
        <w:spacing w:after="0" w:line="240" w:lineRule="auto"/>
      </w:pPr>
      <w:r>
        <w:separator/>
      </w:r>
    </w:p>
  </w:footnote>
  <w:footnote w:type="continuationSeparator" w:id="0">
    <w:p w14:paraId="7A147C9D" w14:textId="77777777" w:rsidR="00324153" w:rsidRDefault="00324153" w:rsidP="00677B39">
      <w:pPr>
        <w:spacing w:after="0" w:line="240" w:lineRule="auto"/>
      </w:pPr>
      <w:r>
        <w:continuationSeparator/>
      </w:r>
    </w:p>
  </w:footnote>
  <w:footnote w:type="continuationNotice" w:id="1">
    <w:p w14:paraId="629E8A8A" w14:textId="77777777" w:rsidR="00324153" w:rsidRDefault="00324153">
      <w:pPr>
        <w:spacing w:after="0" w:line="240" w:lineRule="auto"/>
      </w:pPr>
    </w:p>
  </w:footnote>
  <w:footnote w:id="2">
    <w:p w14:paraId="50EAF4F7" w14:textId="77777777" w:rsidR="00324153" w:rsidRPr="0089716C" w:rsidRDefault="00324153" w:rsidP="00514B40">
      <w:pPr>
        <w:pStyle w:val="Textonotapie"/>
        <w:rPr>
          <w:rFonts w:ascii="ITC Avant Garde" w:hAnsi="ITC Avant Garde"/>
          <w:sz w:val="16"/>
          <w:szCs w:val="16"/>
        </w:rPr>
      </w:pPr>
      <w:r w:rsidRPr="0089716C">
        <w:rPr>
          <w:rStyle w:val="Refdenotaalpie"/>
          <w:rFonts w:ascii="ITC Avant Garde" w:hAnsi="ITC Avant Garde"/>
          <w:sz w:val="16"/>
          <w:szCs w:val="16"/>
        </w:rPr>
        <w:footnoteRef/>
      </w:r>
      <w:r w:rsidRPr="0089716C">
        <w:rPr>
          <w:rFonts w:ascii="ITC Avant Garde" w:hAnsi="ITC Avant Garde" w:cs="Arial"/>
          <w:color w:val="000000"/>
          <w:sz w:val="16"/>
          <w:szCs w:val="16"/>
        </w:rPr>
        <w:t>“</w:t>
      </w:r>
      <w:r w:rsidRPr="0089716C">
        <w:rPr>
          <w:rFonts w:ascii="ITC Avant Garde" w:hAnsi="ITC Avant Garde"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9716C">
        <w:rPr>
          <w:rFonts w:ascii="ITC Avant Garde" w:hAnsi="ITC Avant Garde" w:cs="Arial"/>
          <w:color w:val="000000"/>
          <w:sz w:val="16"/>
          <w:szCs w:val="16"/>
        </w:rPr>
        <w:t xml:space="preserve">”, 25 de marzo de 2014, Pág. 10. </w:t>
      </w:r>
      <w:r w:rsidRPr="0089716C">
        <w:rPr>
          <w:rFonts w:ascii="ITC Avant Garde" w:hAnsi="ITC Avant Garde"/>
          <w:sz w:val="16"/>
          <w:szCs w:val="16"/>
        </w:rPr>
        <w:t>Consultable en:</w:t>
      </w:r>
    </w:p>
    <w:p w14:paraId="60C47A86" w14:textId="77777777" w:rsidR="00324153" w:rsidRPr="001903B5" w:rsidRDefault="003F7721" w:rsidP="00514B40">
      <w:pPr>
        <w:pStyle w:val="Textonotapie"/>
        <w:rPr>
          <w:rFonts w:ascii="ITC Avant Garde" w:hAnsi="ITC Avant Garde" w:cs="Arial"/>
          <w:color w:val="000000"/>
          <w:sz w:val="16"/>
          <w:szCs w:val="16"/>
        </w:rPr>
      </w:pPr>
      <w:hyperlink r:id="rId1" w:history="1">
        <w:r w:rsidR="00324153" w:rsidRPr="0089716C">
          <w:rPr>
            <w:rStyle w:val="Hipervnculo"/>
            <w:rFonts w:ascii="ITC Avant Garde" w:hAnsi="ITC Avant Garde"/>
            <w:sz w:val="16"/>
            <w:szCs w:val="16"/>
          </w:rPr>
          <w:t>http://legislacion.scjn.gob.mx/Buscador/Paginas/wfProcesoLegislativoCompleto.aspx?IdOrd=101766&amp;IdRef=1&amp;IdProc=1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AB4"/>
    <w:multiLevelType w:val="hybridMultilevel"/>
    <w:tmpl w:val="4248182C"/>
    <w:lvl w:ilvl="0" w:tplc="B5E82AB2">
      <w:start w:val="1"/>
      <w:numFmt w:val="lowerLetter"/>
      <w:lvlText w:val="%1)"/>
      <w:lvlJc w:val="left"/>
      <w:pPr>
        <w:ind w:hanging="361"/>
      </w:pPr>
      <w:rPr>
        <w:rFonts w:ascii="ITC Avant Garde" w:eastAsia="ITC Avant Garde" w:hAnsi="ITC Avant Garde" w:hint="default"/>
        <w:w w:val="99"/>
        <w:sz w:val="22"/>
        <w:szCs w:val="22"/>
      </w:rPr>
    </w:lvl>
    <w:lvl w:ilvl="1" w:tplc="57E44738">
      <w:start w:val="1"/>
      <w:numFmt w:val="bullet"/>
      <w:lvlText w:val="•"/>
      <w:lvlJc w:val="left"/>
      <w:rPr>
        <w:rFonts w:hint="default"/>
      </w:rPr>
    </w:lvl>
    <w:lvl w:ilvl="2" w:tplc="BC302634">
      <w:start w:val="1"/>
      <w:numFmt w:val="bullet"/>
      <w:lvlText w:val="•"/>
      <w:lvlJc w:val="left"/>
      <w:rPr>
        <w:rFonts w:hint="default"/>
      </w:rPr>
    </w:lvl>
    <w:lvl w:ilvl="3" w:tplc="DCFC27FE">
      <w:start w:val="1"/>
      <w:numFmt w:val="bullet"/>
      <w:lvlText w:val="•"/>
      <w:lvlJc w:val="left"/>
      <w:rPr>
        <w:rFonts w:hint="default"/>
      </w:rPr>
    </w:lvl>
    <w:lvl w:ilvl="4" w:tplc="96CA6286">
      <w:start w:val="1"/>
      <w:numFmt w:val="bullet"/>
      <w:lvlText w:val="•"/>
      <w:lvlJc w:val="left"/>
      <w:rPr>
        <w:rFonts w:hint="default"/>
      </w:rPr>
    </w:lvl>
    <w:lvl w:ilvl="5" w:tplc="1B20E48A">
      <w:start w:val="1"/>
      <w:numFmt w:val="bullet"/>
      <w:lvlText w:val="•"/>
      <w:lvlJc w:val="left"/>
      <w:rPr>
        <w:rFonts w:hint="default"/>
      </w:rPr>
    </w:lvl>
    <w:lvl w:ilvl="6" w:tplc="0FFA2AA8">
      <w:start w:val="1"/>
      <w:numFmt w:val="bullet"/>
      <w:lvlText w:val="•"/>
      <w:lvlJc w:val="left"/>
      <w:rPr>
        <w:rFonts w:hint="default"/>
      </w:rPr>
    </w:lvl>
    <w:lvl w:ilvl="7" w:tplc="C90C7D64">
      <w:start w:val="1"/>
      <w:numFmt w:val="bullet"/>
      <w:lvlText w:val="•"/>
      <w:lvlJc w:val="left"/>
      <w:rPr>
        <w:rFonts w:hint="default"/>
      </w:rPr>
    </w:lvl>
    <w:lvl w:ilvl="8" w:tplc="097AD5AC">
      <w:start w:val="1"/>
      <w:numFmt w:val="bullet"/>
      <w:lvlText w:val="•"/>
      <w:lvlJc w:val="left"/>
      <w:rPr>
        <w:rFonts w:hint="default"/>
      </w:rPr>
    </w:lvl>
  </w:abstractNum>
  <w:abstractNum w:abstractNumId="1" w15:restartNumberingAfterBreak="0">
    <w:nsid w:val="1EB41BBC"/>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67800"/>
    <w:multiLevelType w:val="hybridMultilevel"/>
    <w:tmpl w:val="BEEC0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F473E"/>
    <w:multiLevelType w:val="hybridMultilevel"/>
    <w:tmpl w:val="00120284"/>
    <w:lvl w:ilvl="0" w:tplc="DEDC203C">
      <w:start w:val="1"/>
      <w:numFmt w:val="ordinalText"/>
      <w:lvlText w:val="%1."/>
      <w:lvlJc w:val="left"/>
      <w:pPr>
        <w:ind w:left="3479"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5" w15:restartNumberingAfterBreak="0">
    <w:nsid w:val="25F44076"/>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5565F"/>
    <w:multiLevelType w:val="hybridMultilevel"/>
    <w:tmpl w:val="63B695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8" w15:restartNumberingAfterBreak="0">
    <w:nsid w:val="35A65DCA"/>
    <w:multiLevelType w:val="hybridMultilevel"/>
    <w:tmpl w:val="BEE2719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6D13485"/>
    <w:multiLevelType w:val="hybridMultilevel"/>
    <w:tmpl w:val="53D43B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A62468"/>
    <w:multiLevelType w:val="hybridMultilevel"/>
    <w:tmpl w:val="93686026"/>
    <w:lvl w:ilvl="0" w:tplc="97DAFB0C">
      <w:start w:val="1"/>
      <w:numFmt w:val="decimal"/>
      <w:lvlText w:val="%1."/>
      <w:lvlJc w:val="left"/>
      <w:pPr>
        <w:ind w:left="720" w:hanging="36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601F3"/>
    <w:multiLevelType w:val="hybridMultilevel"/>
    <w:tmpl w:val="C34CBFBE"/>
    <w:lvl w:ilvl="0" w:tplc="E1B68A9E">
      <w:start w:val="1"/>
      <w:numFmt w:val="ordinalText"/>
      <w:lvlText w:val="%1."/>
      <w:lvlJc w:val="left"/>
      <w:pPr>
        <w:ind w:left="720"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4E258D"/>
    <w:multiLevelType w:val="hybridMultilevel"/>
    <w:tmpl w:val="6E9EFC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D2F42"/>
    <w:multiLevelType w:val="hybridMultilevel"/>
    <w:tmpl w:val="6B1A4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3115E"/>
    <w:multiLevelType w:val="hybridMultilevel"/>
    <w:tmpl w:val="F28201C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461D25"/>
    <w:multiLevelType w:val="hybridMultilevel"/>
    <w:tmpl w:val="7A601C06"/>
    <w:lvl w:ilvl="0" w:tplc="5750190C">
      <w:start w:val="1"/>
      <w:numFmt w:val="ordinalText"/>
      <w:lvlText w:val="%1."/>
      <w:lvlJc w:val="left"/>
      <w:pPr>
        <w:ind w:left="3479" w:hanging="360"/>
      </w:pPr>
      <w:rPr>
        <w:rFonts w:hint="default"/>
        <w:b/>
        <w:cap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1E02AF"/>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A775BC2"/>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F672CD"/>
    <w:multiLevelType w:val="hybridMultilevel"/>
    <w:tmpl w:val="424E0894"/>
    <w:lvl w:ilvl="0" w:tplc="63D8E484">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C8069A"/>
    <w:multiLevelType w:val="hybridMultilevel"/>
    <w:tmpl w:val="1A8CE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6A3104"/>
    <w:multiLevelType w:val="hybridMultilevel"/>
    <w:tmpl w:val="F434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0"/>
  </w:num>
  <w:num w:numId="2">
    <w:abstractNumId w:val="20"/>
  </w:num>
  <w:num w:numId="3">
    <w:abstractNumId w:val="18"/>
  </w:num>
  <w:num w:numId="4">
    <w:abstractNumId w:val="5"/>
  </w:num>
  <w:num w:numId="5">
    <w:abstractNumId w:val="1"/>
  </w:num>
  <w:num w:numId="6">
    <w:abstractNumId w:val="4"/>
  </w:num>
  <w:num w:numId="7">
    <w:abstractNumId w:val="21"/>
  </w:num>
  <w:num w:numId="8">
    <w:abstractNumId w:val="17"/>
  </w:num>
  <w:num w:numId="9">
    <w:abstractNumId w:val="7"/>
  </w:num>
  <w:num w:numId="10">
    <w:abstractNumId w:val="12"/>
  </w:num>
  <w:num w:numId="11">
    <w:abstractNumId w:val="9"/>
  </w:num>
  <w:num w:numId="12">
    <w:abstractNumId w:val="8"/>
  </w:num>
  <w:num w:numId="13">
    <w:abstractNumId w:val="6"/>
  </w:num>
  <w:num w:numId="14">
    <w:abstractNumId w:val="13"/>
  </w:num>
  <w:num w:numId="15">
    <w:abstractNumId w:val="3"/>
  </w:num>
  <w:num w:numId="16">
    <w:abstractNumId w:val="11"/>
  </w:num>
  <w:num w:numId="17">
    <w:abstractNumId w:val="14"/>
  </w:num>
  <w:num w:numId="18">
    <w:abstractNumId w:val="15"/>
  </w:num>
  <w:num w:numId="19">
    <w:abstractNumId w:val="2"/>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5"/>
    <w:rsid w:val="00003469"/>
    <w:rsid w:val="00003C0A"/>
    <w:rsid w:val="00004145"/>
    <w:rsid w:val="00005B33"/>
    <w:rsid w:val="000330BB"/>
    <w:rsid w:val="00051F11"/>
    <w:rsid w:val="00064209"/>
    <w:rsid w:val="00074649"/>
    <w:rsid w:val="00075A5A"/>
    <w:rsid w:val="00095FE3"/>
    <w:rsid w:val="000A2DD0"/>
    <w:rsid w:val="000B240C"/>
    <w:rsid w:val="000B738B"/>
    <w:rsid w:val="000D1F30"/>
    <w:rsid w:val="000E3D48"/>
    <w:rsid w:val="000F2BDD"/>
    <w:rsid w:val="00112048"/>
    <w:rsid w:val="00112D1C"/>
    <w:rsid w:val="00113736"/>
    <w:rsid w:val="001137D0"/>
    <w:rsid w:val="00120062"/>
    <w:rsid w:val="00120C9E"/>
    <w:rsid w:val="00122372"/>
    <w:rsid w:val="001223EF"/>
    <w:rsid w:val="00125BC3"/>
    <w:rsid w:val="00150F8D"/>
    <w:rsid w:val="00160DD8"/>
    <w:rsid w:val="001630FE"/>
    <w:rsid w:val="00171801"/>
    <w:rsid w:val="00171F02"/>
    <w:rsid w:val="00172924"/>
    <w:rsid w:val="00176564"/>
    <w:rsid w:val="0018133C"/>
    <w:rsid w:val="00185427"/>
    <w:rsid w:val="001914C7"/>
    <w:rsid w:val="001B4085"/>
    <w:rsid w:val="001C5E37"/>
    <w:rsid w:val="001C6951"/>
    <w:rsid w:val="001D624F"/>
    <w:rsid w:val="0020578C"/>
    <w:rsid w:val="00212842"/>
    <w:rsid w:val="002234C5"/>
    <w:rsid w:val="00236A9E"/>
    <w:rsid w:val="00241C2F"/>
    <w:rsid w:val="00243DA9"/>
    <w:rsid w:val="00253023"/>
    <w:rsid w:val="00253241"/>
    <w:rsid w:val="0025488B"/>
    <w:rsid w:val="00256840"/>
    <w:rsid w:val="00261782"/>
    <w:rsid w:val="00262B44"/>
    <w:rsid w:val="00267ABE"/>
    <w:rsid w:val="002A0A64"/>
    <w:rsid w:val="002A7D67"/>
    <w:rsid w:val="002B1C15"/>
    <w:rsid w:val="002C7C81"/>
    <w:rsid w:val="002D1FBB"/>
    <w:rsid w:val="002D56E0"/>
    <w:rsid w:val="002E5EA0"/>
    <w:rsid w:val="002F2028"/>
    <w:rsid w:val="003009FB"/>
    <w:rsid w:val="0031506E"/>
    <w:rsid w:val="00315720"/>
    <w:rsid w:val="00324153"/>
    <w:rsid w:val="00327BB8"/>
    <w:rsid w:val="00336DC4"/>
    <w:rsid w:val="00342D94"/>
    <w:rsid w:val="003454AB"/>
    <w:rsid w:val="003472C1"/>
    <w:rsid w:val="00352FE0"/>
    <w:rsid w:val="003543CB"/>
    <w:rsid w:val="00361120"/>
    <w:rsid w:val="00370248"/>
    <w:rsid w:val="003770FC"/>
    <w:rsid w:val="00382FAD"/>
    <w:rsid w:val="0039155D"/>
    <w:rsid w:val="00397A05"/>
    <w:rsid w:val="003A1628"/>
    <w:rsid w:val="003A3742"/>
    <w:rsid w:val="003A546C"/>
    <w:rsid w:val="003A7105"/>
    <w:rsid w:val="003D6836"/>
    <w:rsid w:val="003F298D"/>
    <w:rsid w:val="003F3C52"/>
    <w:rsid w:val="003F3E68"/>
    <w:rsid w:val="003F76CD"/>
    <w:rsid w:val="003F7721"/>
    <w:rsid w:val="00402B42"/>
    <w:rsid w:val="004146D9"/>
    <w:rsid w:val="004151E3"/>
    <w:rsid w:val="004330CB"/>
    <w:rsid w:val="0043470B"/>
    <w:rsid w:val="004400E5"/>
    <w:rsid w:val="00454F18"/>
    <w:rsid w:val="0045755B"/>
    <w:rsid w:val="00460493"/>
    <w:rsid w:val="004640BA"/>
    <w:rsid w:val="00475985"/>
    <w:rsid w:val="00475D7F"/>
    <w:rsid w:val="00477938"/>
    <w:rsid w:val="00480870"/>
    <w:rsid w:val="00483791"/>
    <w:rsid w:val="00487C34"/>
    <w:rsid w:val="00494128"/>
    <w:rsid w:val="004A1C58"/>
    <w:rsid w:val="004A5C2C"/>
    <w:rsid w:val="004B798D"/>
    <w:rsid w:val="004D31A4"/>
    <w:rsid w:val="004D66CC"/>
    <w:rsid w:val="004F2230"/>
    <w:rsid w:val="004F58EF"/>
    <w:rsid w:val="004F5ED4"/>
    <w:rsid w:val="004F6CC5"/>
    <w:rsid w:val="004F6FBE"/>
    <w:rsid w:val="00500C93"/>
    <w:rsid w:val="00506CD3"/>
    <w:rsid w:val="0051235A"/>
    <w:rsid w:val="00513BE6"/>
    <w:rsid w:val="00514B40"/>
    <w:rsid w:val="00515EC3"/>
    <w:rsid w:val="00523235"/>
    <w:rsid w:val="005235E4"/>
    <w:rsid w:val="00541EE4"/>
    <w:rsid w:val="00550BFA"/>
    <w:rsid w:val="005534EE"/>
    <w:rsid w:val="00566AA7"/>
    <w:rsid w:val="00576BD1"/>
    <w:rsid w:val="00580FAA"/>
    <w:rsid w:val="0058519A"/>
    <w:rsid w:val="005A53A2"/>
    <w:rsid w:val="005D3246"/>
    <w:rsid w:val="005D7B44"/>
    <w:rsid w:val="005E60F2"/>
    <w:rsid w:val="005F26E1"/>
    <w:rsid w:val="0063422C"/>
    <w:rsid w:val="0063559D"/>
    <w:rsid w:val="00657E9C"/>
    <w:rsid w:val="00660A7D"/>
    <w:rsid w:val="00666C75"/>
    <w:rsid w:val="00667CA1"/>
    <w:rsid w:val="00671D1D"/>
    <w:rsid w:val="006754F0"/>
    <w:rsid w:val="00676AA7"/>
    <w:rsid w:val="00677B39"/>
    <w:rsid w:val="006835D9"/>
    <w:rsid w:val="00683FB4"/>
    <w:rsid w:val="00684D09"/>
    <w:rsid w:val="006A057D"/>
    <w:rsid w:val="006A0965"/>
    <w:rsid w:val="006B376A"/>
    <w:rsid w:val="006D62F6"/>
    <w:rsid w:val="006E0779"/>
    <w:rsid w:val="006E1B3C"/>
    <w:rsid w:val="006E2CA6"/>
    <w:rsid w:val="006E6F59"/>
    <w:rsid w:val="006F0C3D"/>
    <w:rsid w:val="00705A66"/>
    <w:rsid w:val="007179E2"/>
    <w:rsid w:val="007341B0"/>
    <w:rsid w:val="00735D8D"/>
    <w:rsid w:val="00745328"/>
    <w:rsid w:val="00745BD6"/>
    <w:rsid w:val="0074794C"/>
    <w:rsid w:val="00755A55"/>
    <w:rsid w:val="00772E72"/>
    <w:rsid w:val="00784407"/>
    <w:rsid w:val="007A2283"/>
    <w:rsid w:val="007A37F0"/>
    <w:rsid w:val="007A669E"/>
    <w:rsid w:val="007B54C6"/>
    <w:rsid w:val="007C36AB"/>
    <w:rsid w:val="007C7920"/>
    <w:rsid w:val="007D178E"/>
    <w:rsid w:val="007D433D"/>
    <w:rsid w:val="007E5ED3"/>
    <w:rsid w:val="007F27A2"/>
    <w:rsid w:val="007F4374"/>
    <w:rsid w:val="00801889"/>
    <w:rsid w:val="00803049"/>
    <w:rsid w:val="008042AE"/>
    <w:rsid w:val="00804F16"/>
    <w:rsid w:val="00827340"/>
    <w:rsid w:val="00837F2A"/>
    <w:rsid w:val="008405F1"/>
    <w:rsid w:val="00855C82"/>
    <w:rsid w:val="00857620"/>
    <w:rsid w:val="00861F0A"/>
    <w:rsid w:val="0087220D"/>
    <w:rsid w:val="00874F12"/>
    <w:rsid w:val="00880FE2"/>
    <w:rsid w:val="008818D4"/>
    <w:rsid w:val="00883298"/>
    <w:rsid w:val="00885FB8"/>
    <w:rsid w:val="0089716C"/>
    <w:rsid w:val="008B2B08"/>
    <w:rsid w:val="008B68DE"/>
    <w:rsid w:val="008C1551"/>
    <w:rsid w:val="008D5665"/>
    <w:rsid w:val="008E2E09"/>
    <w:rsid w:val="008E54CA"/>
    <w:rsid w:val="008F6620"/>
    <w:rsid w:val="00907DC1"/>
    <w:rsid w:val="00923D47"/>
    <w:rsid w:val="009329DB"/>
    <w:rsid w:val="00940557"/>
    <w:rsid w:val="00943D84"/>
    <w:rsid w:val="00953B88"/>
    <w:rsid w:val="0095524A"/>
    <w:rsid w:val="00971254"/>
    <w:rsid w:val="009859F1"/>
    <w:rsid w:val="0098711E"/>
    <w:rsid w:val="0098731A"/>
    <w:rsid w:val="00994B42"/>
    <w:rsid w:val="009B21CA"/>
    <w:rsid w:val="009B656A"/>
    <w:rsid w:val="009B7C54"/>
    <w:rsid w:val="009C5858"/>
    <w:rsid w:val="009C61AB"/>
    <w:rsid w:val="00A004C0"/>
    <w:rsid w:val="00A0465D"/>
    <w:rsid w:val="00A0623C"/>
    <w:rsid w:val="00A06F68"/>
    <w:rsid w:val="00A237CB"/>
    <w:rsid w:val="00A32F1A"/>
    <w:rsid w:val="00A3591B"/>
    <w:rsid w:val="00A35A07"/>
    <w:rsid w:val="00A56C6B"/>
    <w:rsid w:val="00A64E04"/>
    <w:rsid w:val="00A76A52"/>
    <w:rsid w:val="00A812FB"/>
    <w:rsid w:val="00A82CB0"/>
    <w:rsid w:val="00A8654C"/>
    <w:rsid w:val="00A91813"/>
    <w:rsid w:val="00AD6609"/>
    <w:rsid w:val="00AE13F4"/>
    <w:rsid w:val="00AE3088"/>
    <w:rsid w:val="00AE59DD"/>
    <w:rsid w:val="00AF043B"/>
    <w:rsid w:val="00AF1804"/>
    <w:rsid w:val="00AF467E"/>
    <w:rsid w:val="00B1142B"/>
    <w:rsid w:val="00B11921"/>
    <w:rsid w:val="00B133C3"/>
    <w:rsid w:val="00B20EA0"/>
    <w:rsid w:val="00B25464"/>
    <w:rsid w:val="00B32DAE"/>
    <w:rsid w:val="00B35DCD"/>
    <w:rsid w:val="00B40DA4"/>
    <w:rsid w:val="00B43CE9"/>
    <w:rsid w:val="00B45387"/>
    <w:rsid w:val="00B50984"/>
    <w:rsid w:val="00B5525C"/>
    <w:rsid w:val="00B6313C"/>
    <w:rsid w:val="00B64C99"/>
    <w:rsid w:val="00B659CF"/>
    <w:rsid w:val="00B93A76"/>
    <w:rsid w:val="00B95309"/>
    <w:rsid w:val="00B964C3"/>
    <w:rsid w:val="00BA60ED"/>
    <w:rsid w:val="00BB16C4"/>
    <w:rsid w:val="00BB22F8"/>
    <w:rsid w:val="00BC0DD5"/>
    <w:rsid w:val="00BD0DF1"/>
    <w:rsid w:val="00BF10F2"/>
    <w:rsid w:val="00BF297C"/>
    <w:rsid w:val="00C01124"/>
    <w:rsid w:val="00C210A7"/>
    <w:rsid w:val="00C271AD"/>
    <w:rsid w:val="00C30C6A"/>
    <w:rsid w:val="00C33DA1"/>
    <w:rsid w:val="00C46FAC"/>
    <w:rsid w:val="00C51723"/>
    <w:rsid w:val="00C57A5C"/>
    <w:rsid w:val="00C65399"/>
    <w:rsid w:val="00C85737"/>
    <w:rsid w:val="00C9456C"/>
    <w:rsid w:val="00C945EE"/>
    <w:rsid w:val="00CB3A51"/>
    <w:rsid w:val="00CB4686"/>
    <w:rsid w:val="00D1112E"/>
    <w:rsid w:val="00D117E6"/>
    <w:rsid w:val="00D14952"/>
    <w:rsid w:val="00D15998"/>
    <w:rsid w:val="00D22A8A"/>
    <w:rsid w:val="00D31144"/>
    <w:rsid w:val="00D41E54"/>
    <w:rsid w:val="00D42704"/>
    <w:rsid w:val="00D461AB"/>
    <w:rsid w:val="00D513DF"/>
    <w:rsid w:val="00D66560"/>
    <w:rsid w:val="00D718EE"/>
    <w:rsid w:val="00D72F9D"/>
    <w:rsid w:val="00D82168"/>
    <w:rsid w:val="00D8445C"/>
    <w:rsid w:val="00D86765"/>
    <w:rsid w:val="00D9058E"/>
    <w:rsid w:val="00D91558"/>
    <w:rsid w:val="00D96C90"/>
    <w:rsid w:val="00DC591F"/>
    <w:rsid w:val="00DD3071"/>
    <w:rsid w:val="00DD6B69"/>
    <w:rsid w:val="00DE5CA4"/>
    <w:rsid w:val="00DE692D"/>
    <w:rsid w:val="00DE7016"/>
    <w:rsid w:val="00DF45F8"/>
    <w:rsid w:val="00E11CE1"/>
    <w:rsid w:val="00E16154"/>
    <w:rsid w:val="00E200F5"/>
    <w:rsid w:val="00E21C2F"/>
    <w:rsid w:val="00E27A54"/>
    <w:rsid w:val="00E40170"/>
    <w:rsid w:val="00E52B68"/>
    <w:rsid w:val="00E607A2"/>
    <w:rsid w:val="00E73F00"/>
    <w:rsid w:val="00E74803"/>
    <w:rsid w:val="00E81FF5"/>
    <w:rsid w:val="00E93C23"/>
    <w:rsid w:val="00E94740"/>
    <w:rsid w:val="00E9579B"/>
    <w:rsid w:val="00EA65EB"/>
    <w:rsid w:val="00ED1437"/>
    <w:rsid w:val="00EE037D"/>
    <w:rsid w:val="00EE03D9"/>
    <w:rsid w:val="00EE5B9F"/>
    <w:rsid w:val="00EE5EB6"/>
    <w:rsid w:val="00EE697A"/>
    <w:rsid w:val="00EE744D"/>
    <w:rsid w:val="00EF5438"/>
    <w:rsid w:val="00F00533"/>
    <w:rsid w:val="00F2136A"/>
    <w:rsid w:val="00F267CC"/>
    <w:rsid w:val="00F3496D"/>
    <w:rsid w:val="00F34EA2"/>
    <w:rsid w:val="00F41088"/>
    <w:rsid w:val="00F674A9"/>
    <w:rsid w:val="00F70631"/>
    <w:rsid w:val="00F900CB"/>
    <w:rsid w:val="00F91B3A"/>
    <w:rsid w:val="00F92DF8"/>
    <w:rsid w:val="00F95AD7"/>
    <w:rsid w:val="00FA10D5"/>
    <w:rsid w:val="00FB1C36"/>
    <w:rsid w:val="00FC081C"/>
    <w:rsid w:val="00FD7F33"/>
    <w:rsid w:val="00FE12AE"/>
    <w:rsid w:val="00FE2A3F"/>
    <w:rsid w:val="00FE3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6078"/>
  <w15:chartTrackingRefBased/>
  <w15:docId w15:val="{22A18C80-F7DE-41B3-B840-9A0EFC27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77B39"/>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677B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EF5438"/>
    <w:pPr>
      <w:ind w:left="720"/>
      <w:contextualSpacing/>
    </w:pPr>
  </w:style>
  <w:style w:type="character" w:customStyle="1" w:styleId="PrrafodelistaCar">
    <w:name w:val="Párrafo de lista Car"/>
    <w:aliases w:val="4 Viñ 1nivel Car,Numeración 1 Car,Cuadrícula media 1 - Énfasis 21 Car,Listas Car,lp1 Car"/>
    <w:link w:val="Prrafodelista"/>
    <w:uiPriority w:val="34"/>
    <w:locked/>
    <w:rsid w:val="00677B39"/>
  </w:style>
  <w:style w:type="character" w:customStyle="1" w:styleId="Ttulo2Car">
    <w:name w:val="Título 2 Car"/>
    <w:basedOn w:val="Fuentedeprrafopredeter"/>
    <w:link w:val="Ttulo2"/>
    <w:uiPriority w:val="9"/>
    <w:rsid w:val="00677B39"/>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677B39"/>
    <w:rPr>
      <w:rFonts w:asciiTheme="majorHAnsi" w:eastAsiaTheme="majorEastAsia" w:hAnsiTheme="majorHAnsi" w:cstheme="majorBidi"/>
      <w:color w:val="1F4D78" w:themeColor="accent1" w:themeShade="7F"/>
      <w:sz w:val="24"/>
      <w:szCs w:val="24"/>
    </w:rPr>
  </w:style>
  <w:style w:type="character" w:styleId="Hipervnculo">
    <w:name w:val="Hyperlink"/>
    <w:uiPriority w:val="99"/>
    <w:rsid w:val="00677B39"/>
    <w:rPr>
      <w:u w:val="single"/>
    </w:rPr>
  </w:style>
  <w:style w:type="paragraph" w:customStyle="1" w:styleId="Texto">
    <w:name w:val="Texto"/>
    <w:link w:val="TextoCar"/>
    <w:rsid w:val="00677B39"/>
    <w:pPr>
      <w:pBdr>
        <w:top w:val="nil"/>
        <w:left w:val="nil"/>
        <w:bottom w:val="nil"/>
        <w:right w:val="nil"/>
        <w:between w:val="nil"/>
        <w:bar w:val="nil"/>
      </w:pBdr>
      <w:spacing w:after="101" w:line="216" w:lineRule="exact"/>
      <w:ind w:firstLine="288"/>
      <w:jc w:val="both"/>
    </w:pPr>
    <w:rPr>
      <w:rFonts w:ascii="Arial" w:eastAsia="Arial Unicode MS" w:hAnsi="Arial Unicode MS" w:cs="Arial Unicode MS"/>
      <w:color w:val="000000"/>
      <w:sz w:val="18"/>
      <w:szCs w:val="18"/>
      <w:u w:color="000000"/>
      <w:bdr w:val="nil"/>
      <w:lang w:val="es-ES_tradnl"/>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677B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677B39"/>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rsid w:val="00677B39"/>
    <w:rPr>
      <w:vertAlign w:val="superscript"/>
    </w:rPr>
  </w:style>
  <w:style w:type="character" w:customStyle="1" w:styleId="TextoCar">
    <w:name w:val="Texto Car"/>
    <w:link w:val="Texto"/>
    <w:locked/>
    <w:rsid w:val="00677B39"/>
    <w:rPr>
      <w:rFonts w:ascii="Arial" w:eastAsia="Arial Unicode MS" w:hAnsi="Arial Unicode MS" w:cs="Arial Unicode MS"/>
      <w:color w:val="000000"/>
      <w:sz w:val="18"/>
      <w:szCs w:val="18"/>
      <w:u w:color="000000"/>
      <w:bdr w:val="nil"/>
      <w:lang w:val="es-ES_tradnl"/>
    </w:rPr>
  </w:style>
  <w:style w:type="paragraph" w:styleId="NormalWeb">
    <w:name w:val="Normal (Web)"/>
    <w:basedOn w:val="Normal"/>
    <w:uiPriority w:val="99"/>
    <w:semiHidden/>
    <w:unhideWhenUsed/>
    <w:rsid w:val="00AF467E"/>
    <w:pPr>
      <w:spacing w:after="15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53A2"/>
    <w:rPr>
      <w:rFonts w:ascii="Arial" w:hAnsi="Arial" w:cs="Arial" w:hint="default"/>
      <w:b/>
      <w:bCs/>
    </w:rPr>
  </w:style>
  <w:style w:type="paragraph" w:styleId="Textoindependiente">
    <w:name w:val="Body Text"/>
    <w:basedOn w:val="Normal"/>
    <w:link w:val="TextoindependienteCar"/>
    <w:uiPriority w:val="1"/>
    <w:qFormat/>
    <w:rsid w:val="000A2DD0"/>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0A2DD0"/>
    <w:rPr>
      <w:rFonts w:ascii="ITC Avant Garde" w:eastAsia="ITC Avant Garde" w:hAnsi="ITC Avant Garde"/>
      <w:lang w:val="en-US"/>
    </w:rPr>
  </w:style>
  <w:style w:type="table" w:customStyle="1" w:styleId="TableNormal">
    <w:name w:val="Table Normal"/>
    <w:uiPriority w:val="2"/>
    <w:semiHidden/>
    <w:unhideWhenUsed/>
    <w:qFormat/>
    <w:rsid w:val="00171F0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1F02"/>
    <w:pPr>
      <w:widowControl w:val="0"/>
      <w:spacing w:after="0" w:line="240" w:lineRule="auto"/>
    </w:pPr>
    <w:rPr>
      <w:lang w:val="en-US"/>
    </w:rPr>
  </w:style>
  <w:style w:type="paragraph" w:styleId="Textodeglobo">
    <w:name w:val="Balloon Text"/>
    <w:basedOn w:val="Normal"/>
    <w:link w:val="TextodegloboCar"/>
    <w:uiPriority w:val="99"/>
    <w:semiHidden/>
    <w:unhideWhenUsed/>
    <w:rsid w:val="00150F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F8D"/>
    <w:rPr>
      <w:rFonts w:ascii="Segoe UI" w:hAnsi="Segoe UI" w:cs="Segoe UI"/>
      <w:sz w:val="18"/>
      <w:szCs w:val="18"/>
    </w:rPr>
  </w:style>
  <w:style w:type="character" w:styleId="Refdecomentario">
    <w:name w:val="annotation reference"/>
    <w:basedOn w:val="Fuentedeprrafopredeter"/>
    <w:uiPriority w:val="99"/>
    <w:semiHidden/>
    <w:unhideWhenUsed/>
    <w:rsid w:val="00C51723"/>
    <w:rPr>
      <w:sz w:val="16"/>
      <w:szCs w:val="16"/>
    </w:rPr>
  </w:style>
  <w:style w:type="paragraph" w:styleId="Textocomentario">
    <w:name w:val="annotation text"/>
    <w:basedOn w:val="Normal"/>
    <w:link w:val="TextocomentarioCar"/>
    <w:uiPriority w:val="99"/>
    <w:unhideWhenUsed/>
    <w:rsid w:val="00C51723"/>
    <w:pPr>
      <w:spacing w:line="240" w:lineRule="auto"/>
    </w:pPr>
    <w:rPr>
      <w:sz w:val="20"/>
      <w:szCs w:val="20"/>
    </w:rPr>
  </w:style>
  <w:style w:type="character" w:customStyle="1" w:styleId="TextocomentarioCar">
    <w:name w:val="Texto comentario Car"/>
    <w:basedOn w:val="Fuentedeprrafopredeter"/>
    <w:link w:val="Textocomentario"/>
    <w:uiPriority w:val="99"/>
    <w:rsid w:val="00C51723"/>
    <w:rPr>
      <w:sz w:val="20"/>
      <w:szCs w:val="20"/>
    </w:rPr>
  </w:style>
  <w:style w:type="paragraph" w:styleId="Asuntodelcomentario">
    <w:name w:val="annotation subject"/>
    <w:basedOn w:val="Textocomentario"/>
    <w:next w:val="Textocomentario"/>
    <w:link w:val="AsuntodelcomentarioCar"/>
    <w:uiPriority w:val="99"/>
    <w:semiHidden/>
    <w:unhideWhenUsed/>
    <w:rsid w:val="00C51723"/>
    <w:rPr>
      <w:b/>
      <w:bCs/>
    </w:rPr>
  </w:style>
  <w:style w:type="character" w:customStyle="1" w:styleId="AsuntodelcomentarioCar">
    <w:name w:val="Asunto del comentario Car"/>
    <w:basedOn w:val="TextocomentarioCar"/>
    <w:link w:val="Asuntodelcomentario"/>
    <w:uiPriority w:val="99"/>
    <w:semiHidden/>
    <w:rsid w:val="00C51723"/>
    <w:rPr>
      <w:b/>
      <w:bCs/>
      <w:sz w:val="20"/>
      <w:szCs w:val="20"/>
    </w:rPr>
  </w:style>
  <w:style w:type="table" w:styleId="Tablaconcuadrcula">
    <w:name w:val="Table Grid"/>
    <w:basedOn w:val="Tablanormal"/>
    <w:uiPriority w:val="39"/>
    <w:rsid w:val="00FE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1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78E"/>
  </w:style>
  <w:style w:type="paragraph" w:styleId="Piedepgina">
    <w:name w:val="footer"/>
    <w:basedOn w:val="Normal"/>
    <w:link w:val="PiedepginaCar"/>
    <w:uiPriority w:val="99"/>
    <w:unhideWhenUsed/>
    <w:rsid w:val="007D17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78E"/>
  </w:style>
  <w:style w:type="character" w:customStyle="1" w:styleId="apple-converted-space">
    <w:name w:val="apple-converted-space"/>
    <w:basedOn w:val="Fuentedeprrafopredeter"/>
    <w:rsid w:val="00DC591F"/>
  </w:style>
  <w:style w:type="paragraph" w:customStyle="1" w:styleId="Default">
    <w:name w:val="Default"/>
    <w:rsid w:val="00D14952"/>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6764">
      <w:bodyDiv w:val="1"/>
      <w:marLeft w:val="0"/>
      <w:marRight w:val="0"/>
      <w:marTop w:val="0"/>
      <w:marBottom w:val="0"/>
      <w:divBdr>
        <w:top w:val="none" w:sz="0" w:space="0" w:color="auto"/>
        <w:left w:val="none" w:sz="0" w:space="0" w:color="auto"/>
        <w:bottom w:val="none" w:sz="0" w:space="0" w:color="auto"/>
        <w:right w:val="none" w:sz="0" w:space="0" w:color="auto"/>
      </w:divBdr>
      <w:divsChild>
        <w:div w:id="513030549">
          <w:marLeft w:val="0"/>
          <w:marRight w:val="0"/>
          <w:marTop w:val="0"/>
          <w:marBottom w:val="0"/>
          <w:divBdr>
            <w:top w:val="none" w:sz="0" w:space="0" w:color="auto"/>
            <w:left w:val="none" w:sz="0" w:space="0" w:color="auto"/>
            <w:bottom w:val="none" w:sz="0" w:space="0" w:color="auto"/>
            <w:right w:val="none" w:sz="0" w:space="0" w:color="auto"/>
          </w:divBdr>
          <w:divsChild>
            <w:div w:id="1780491881">
              <w:marLeft w:val="-225"/>
              <w:marRight w:val="-225"/>
              <w:marTop w:val="0"/>
              <w:marBottom w:val="0"/>
              <w:divBdr>
                <w:top w:val="none" w:sz="0" w:space="0" w:color="auto"/>
                <w:left w:val="none" w:sz="0" w:space="0" w:color="auto"/>
                <w:bottom w:val="none" w:sz="0" w:space="0" w:color="auto"/>
                <w:right w:val="none" w:sz="0" w:space="0" w:color="auto"/>
              </w:divBdr>
              <w:divsChild>
                <w:div w:id="58945396">
                  <w:marLeft w:val="0"/>
                  <w:marRight w:val="0"/>
                  <w:marTop w:val="0"/>
                  <w:marBottom w:val="0"/>
                  <w:divBdr>
                    <w:top w:val="none" w:sz="0" w:space="0" w:color="auto"/>
                    <w:left w:val="none" w:sz="0" w:space="0" w:color="auto"/>
                    <w:bottom w:val="none" w:sz="0" w:space="0" w:color="auto"/>
                    <w:right w:val="none" w:sz="0" w:space="0" w:color="auto"/>
                  </w:divBdr>
                  <w:divsChild>
                    <w:div w:id="1477379486">
                      <w:marLeft w:val="-225"/>
                      <w:marRight w:val="-225"/>
                      <w:marTop w:val="0"/>
                      <w:marBottom w:val="0"/>
                      <w:divBdr>
                        <w:top w:val="none" w:sz="0" w:space="0" w:color="auto"/>
                        <w:left w:val="none" w:sz="0" w:space="0" w:color="auto"/>
                        <w:bottom w:val="none" w:sz="0" w:space="0" w:color="auto"/>
                        <w:right w:val="none" w:sz="0" w:space="0" w:color="auto"/>
                      </w:divBdr>
                      <w:divsChild>
                        <w:div w:id="1539010450">
                          <w:marLeft w:val="-225"/>
                          <w:marRight w:val="-225"/>
                          <w:marTop w:val="0"/>
                          <w:marBottom w:val="0"/>
                          <w:divBdr>
                            <w:top w:val="none" w:sz="0" w:space="0" w:color="auto"/>
                            <w:left w:val="none" w:sz="0" w:space="0" w:color="auto"/>
                            <w:bottom w:val="none" w:sz="0" w:space="0" w:color="auto"/>
                            <w:right w:val="none" w:sz="0" w:space="0" w:color="auto"/>
                          </w:divBdr>
                          <w:divsChild>
                            <w:div w:id="2031374340">
                              <w:marLeft w:val="0"/>
                              <w:marRight w:val="0"/>
                              <w:marTop w:val="0"/>
                              <w:marBottom w:val="0"/>
                              <w:divBdr>
                                <w:top w:val="none" w:sz="0" w:space="0" w:color="auto"/>
                                <w:left w:val="none" w:sz="0" w:space="0" w:color="auto"/>
                                <w:bottom w:val="none" w:sz="0" w:space="0" w:color="auto"/>
                                <w:right w:val="none" w:sz="0" w:space="0" w:color="auto"/>
                              </w:divBdr>
                              <w:divsChild>
                                <w:div w:id="1521122299">
                                  <w:marLeft w:val="-225"/>
                                  <w:marRight w:val="-225"/>
                                  <w:marTop w:val="0"/>
                                  <w:marBottom w:val="0"/>
                                  <w:divBdr>
                                    <w:top w:val="none" w:sz="0" w:space="0" w:color="auto"/>
                                    <w:left w:val="none" w:sz="0" w:space="0" w:color="auto"/>
                                    <w:bottom w:val="none" w:sz="0" w:space="0" w:color="auto"/>
                                    <w:right w:val="none" w:sz="0" w:space="0" w:color="auto"/>
                                  </w:divBdr>
                                  <w:divsChild>
                                    <w:div w:id="754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823259">
      <w:bodyDiv w:val="1"/>
      <w:marLeft w:val="0"/>
      <w:marRight w:val="0"/>
      <w:marTop w:val="0"/>
      <w:marBottom w:val="0"/>
      <w:divBdr>
        <w:top w:val="none" w:sz="0" w:space="0" w:color="auto"/>
        <w:left w:val="none" w:sz="0" w:space="0" w:color="auto"/>
        <w:bottom w:val="none" w:sz="0" w:space="0" w:color="auto"/>
        <w:right w:val="none" w:sz="0" w:space="0" w:color="auto"/>
      </w:divBdr>
      <w:divsChild>
        <w:div w:id="340013978">
          <w:marLeft w:val="0"/>
          <w:marRight w:val="0"/>
          <w:marTop w:val="0"/>
          <w:marBottom w:val="0"/>
          <w:divBdr>
            <w:top w:val="none" w:sz="0" w:space="0" w:color="auto"/>
            <w:left w:val="none" w:sz="0" w:space="0" w:color="auto"/>
            <w:bottom w:val="none" w:sz="0" w:space="0" w:color="auto"/>
            <w:right w:val="none" w:sz="0" w:space="0" w:color="auto"/>
          </w:divBdr>
          <w:divsChild>
            <w:div w:id="1330601284">
              <w:marLeft w:val="-225"/>
              <w:marRight w:val="-225"/>
              <w:marTop w:val="0"/>
              <w:marBottom w:val="0"/>
              <w:divBdr>
                <w:top w:val="none" w:sz="0" w:space="0" w:color="auto"/>
                <w:left w:val="none" w:sz="0" w:space="0" w:color="auto"/>
                <w:bottom w:val="none" w:sz="0" w:space="0" w:color="auto"/>
                <w:right w:val="none" w:sz="0" w:space="0" w:color="auto"/>
              </w:divBdr>
              <w:divsChild>
                <w:div w:id="710426417">
                  <w:marLeft w:val="0"/>
                  <w:marRight w:val="0"/>
                  <w:marTop w:val="0"/>
                  <w:marBottom w:val="0"/>
                  <w:divBdr>
                    <w:top w:val="none" w:sz="0" w:space="0" w:color="auto"/>
                    <w:left w:val="none" w:sz="0" w:space="0" w:color="auto"/>
                    <w:bottom w:val="none" w:sz="0" w:space="0" w:color="auto"/>
                    <w:right w:val="none" w:sz="0" w:space="0" w:color="auto"/>
                  </w:divBdr>
                  <w:divsChild>
                    <w:div w:id="1944026999">
                      <w:marLeft w:val="-225"/>
                      <w:marRight w:val="-225"/>
                      <w:marTop w:val="0"/>
                      <w:marBottom w:val="0"/>
                      <w:divBdr>
                        <w:top w:val="none" w:sz="0" w:space="0" w:color="auto"/>
                        <w:left w:val="none" w:sz="0" w:space="0" w:color="auto"/>
                        <w:bottom w:val="none" w:sz="0" w:space="0" w:color="auto"/>
                        <w:right w:val="none" w:sz="0" w:space="0" w:color="auto"/>
                      </w:divBdr>
                      <w:divsChild>
                        <w:div w:id="1530029329">
                          <w:marLeft w:val="-225"/>
                          <w:marRight w:val="-225"/>
                          <w:marTop w:val="0"/>
                          <w:marBottom w:val="0"/>
                          <w:divBdr>
                            <w:top w:val="none" w:sz="0" w:space="0" w:color="auto"/>
                            <w:left w:val="none" w:sz="0" w:space="0" w:color="auto"/>
                            <w:bottom w:val="none" w:sz="0" w:space="0" w:color="auto"/>
                            <w:right w:val="none" w:sz="0" w:space="0" w:color="auto"/>
                          </w:divBdr>
                          <w:divsChild>
                            <w:div w:id="119305437">
                              <w:marLeft w:val="0"/>
                              <w:marRight w:val="0"/>
                              <w:marTop w:val="0"/>
                              <w:marBottom w:val="0"/>
                              <w:divBdr>
                                <w:top w:val="none" w:sz="0" w:space="0" w:color="auto"/>
                                <w:left w:val="none" w:sz="0" w:space="0" w:color="auto"/>
                                <w:bottom w:val="none" w:sz="0" w:space="0" w:color="auto"/>
                                <w:right w:val="none" w:sz="0" w:space="0" w:color="auto"/>
                              </w:divBdr>
                              <w:divsChild>
                                <w:div w:id="442773127">
                                  <w:marLeft w:val="-225"/>
                                  <w:marRight w:val="-225"/>
                                  <w:marTop w:val="0"/>
                                  <w:marBottom w:val="0"/>
                                  <w:divBdr>
                                    <w:top w:val="none" w:sz="0" w:space="0" w:color="auto"/>
                                    <w:left w:val="none" w:sz="0" w:space="0" w:color="auto"/>
                                    <w:bottom w:val="none" w:sz="0" w:space="0" w:color="auto"/>
                                    <w:right w:val="none" w:sz="0" w:space="0" w:color="auto"/>
                                  </w:divBdr>
                                  <w:divsChild>
                                    <w:div w:id="13921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65980">
      <w:bodyDiv w:val="1"/>
      <w:marLeft w:val="0"/>
      <w:marRight w:val="0"/>
      <w:marTop w:val="0"/>
      <w:marBottom w:val="0"/>
      <w:divBdr>
        <w:top w:val="none" w:sz="0" w:space="0" w:color="auto"/>
        <w:left w:val="none" w:sz="0" w:space="0" w:color="auto"/>
        <w:bottom w:val="none" w:sz="0" w:space="0" w:color="auto"/>
        <w:right w:val="none" w:sz="0" w:space="0" w:color="auto"/>
      </w:divBdr>
      <w:divsChild>
        <w:div w:id="1065572061">
          <w:marLeft w:val="0"/>
          <w:marRight w:val="0"/>
          <w:marTop w:val="0"/>
          <w:marBottom w:val="66"/>
          <w:divBdr>
            <w:top w:val="none" w:sz="0" w:space="0" w:color="auto"/>
            <w:left w:val="none" w:sz="0" w:space="0" w:color="auto"/>
            <w:bottom w:val="none" w:sz="0" w:space="0" w:color="auto"/>
            <w:right w:val="none" w:sz="0" w:space="0" w:color="auto"/>
          </w:divBdr>
        </w:div>
        <w:div w:id="2039815519">
          <w:marLeft w:val="0"/>
          <w:marRight w:val="0"/>
          <w:marTop w:val="0"/>
          <w:marBottom w:val="66"/>
          <w:divBdr>
            <w:top w:val="none" w:sz="0" w:space="0" w:color="auto"/>
            <w:left w:val="none" w:sz="0" w:space="0" w:color="auto"/>
            <w:bottom w:val="none" w:sz="0" w:space="0" w:color="auto"/>
            <w:right w:val="none" w:sz="0" w:space="0" w:color="auto"/>
          </w:divBdr>
        </w:div>
        <w:div w:id="1679502341">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legislacion.scjn.gob.mx/Buscador/Paginas/wfProcesoLegislativoCompleto.aspx?IdOrd=101766&amp;IdRef=1&amp;IdProc=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356E-0335-408B-B8CB-16E49142DBB4}">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1044F5D-CA55-45AA-B204-D4F9D243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8F298C-6729-487B-B967-8D124AED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12E355-B7A8-4F64-8E26-EDA46049D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2954</Words>
  <Characters>16247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MGPB</dc:creator>
  <cp:keywords/>
  <dc:description/>
  <cp:lastModifiedBy>Karen Beatriz Martinez Munguia</cp:lastModifiedBy>
  <cp:revision>8</cp:revision>
  <cp:lastPrinted>2017-02-15T16:08:00Z</cp:lastPrinted>
  <dcterms:created xsi:type="dcterms:W3CDTF">2017-02-08T19:48:00Z</dcterms:created>
  <dcterms:modified xsi:type="dcterms:W3CDTF">2017-02-15T16:09:00Z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