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01263" w14:textId="3F70053C" w:rsidR="003D6836" w:rsidRPr="000411D5" w:rsidRDefault="00B91BAB" w:rsidP="00D868C2">
      <w:pPr>
        <w:autoSpaceDE w:val="0"/>
        <w:autoSpaceDN w:val="0"/>
        <w:adjustRightInd w:val="0"/>
        <w:spacing w:after="0" w:line="240" w:lineRule="auto"/>
        <w:jc w:val="both"/>
        <w:rPr>
          <w:rFonts w:ascii="ITC Avant Garde" w:hAnsi="ITC Avant Garde" w:cs="Arial"/>
          <w:b/>
        </w:rPr>
      </w:pPr>
      <w:bookmarkStart w:id="0" w:name="_GoBack"/>
      <w:bookmarkEnd w:id="0"/>
      <w:r w:rsidRPr="000411D5">
        <w:rPr>
          <w:rFonts w:ascii="ITC Avant Garde" w:hAnsi="ITC Avant Garde" w:cs="Arial"/>
          <w:b/>
        </w:rPr>
        <w:t xml:space="preserve">ACUERDO </w:t>
      </w:r>
      <w:r w:rsidR="004F6C36">
        <w:rPr>
          <w:rFonts w:ascii="ITC Avant Garde" w:hAnsi="ITC Avant Garde" w:cs="Arial"/>
          <w:b/>
        </w:rPr>
        <w:t>POR MEDIO D</w:t>
      </w:r>
      <w:r w:rsidRPr="000411D5">
        <w:rPr>
          <w:rFonts w:ascii="ITC Avant Garde" w:hAnsi="ITC Avant Garde" w:cs="Arial"/>
          <w:b/>
        </w:rPr>
        <w:t xml:space="preserve">EL CUAL EL </w:t>
      </w:r>
      <w:r w:rsidR="000C3723">
        <w:rPr>
          <w:rFonts w:ascii="ITC Avant Garde" w:hAnsi="ITC Avant Garde" w:cs="Arial"/>
          <w:b/>
        </w:rPr>
        <w:t xml:space="preserve">PLENO DEL </w:t>
      </w:r>
      <w:r w:rsidRPr="000411D5">
        <w:rPr>
          <w:rFonts w:ascii="ITC Avant Garde" w:hAnsi="ITC Avant Garde" w:cs="Arial"/>
          <w:b/>
        </w:rPr>
        <w:t xml:space="preserve">INSTITUTO FEDERAL DE TELECOMUNICACIONES </w:t>
      </w:r>
      <w:r w:rsidR="000C3723">
        <w:rPr>
          <w:rFonts w:ascii="ITC Avant Garde" w:hAnsi="ITC Avant Garde" w:cs="Arial"/>
          <w:b/>
        </w:rPr>
        <w:t xml:space="preserve">CLASIFICA </w:t>
      </w:r>
      <w:r w:rsidRPr="000411D5">
        <w:rPr>
          <w:rFonts w:ascii="ITC Avant Garde" w:hAnsi="ITC Avant Garde" w:cs="Arial"/>
          <w:b/>
        </w:rPr>
        <w:t xml:space="preserve">LA BANDA </w:t>
      </w:r>
      <w:r w:rsidR="000C3723">
        <w:rPr>
          <w:rFonts w:ascii="ITC Avant Garde" w:hAnsi="ITC Avant Garde" w:cs="Arial"/>
          <w:b/>
        </w:rPr>
        <w:t xml:space="preserve">DE FRECUENCIAS DE </w:t>
      </w:r>
      <w:r w:rsidRPr="000411D5">
        <w:rPr>
          <w:rFonts w:ascii="ITC Avant Garde" w:hAnsi="ITC Avant Garde" w:cs="Arial"/>
          <w:b/>
        </w:rPr>
        <w:t>57-64 GH</w:t>
      </w:r>
      <w:r w:rsidR="00AE1FC4">
        <w:rPr>
          <w:rFonts w:ascii="ITC Avant Garde" w:hAnsi="ITC Avant Garde" w:cs="Arial"/>
          <w:b/>
        </w:rPr>
        <w:t>z</w:t>
      </w:r>
      <w:r w:rsidR="000C3723">
        <w:rPr>
          <w:rFonts w:ascii="ITC Avant Garde" w:hAnsi="ITC Avant Garde" w:cs="Arial"/>
          <w:b/>
        </w:rPr>
        <w:t xml:space="preserve"> </w:t>
      </w:r>
      <w:r w:rsidRPr="000411D5">
        <w:rPr>
          <w:rFonts w:ascii="ITC Avant Garde" w:hAnsi="ITC Avant Garde" w:cs="Arial"/>
          <w:b/>
        </w:rPr>
        <w:t>COMO ESPECTRO LIBRE</w:t>
      </w:r>
      <w:r w:rsidR="000C3723">
        <w:rPr>
          <w:rFonts w:ascii="ITC Avant Garde" w:hAnsi="ITC Avant Garde" w:cs="Arial"/>
          <w:b/>
        </w:rPr>
        <w:t xml:space="preserve"> Y </w:t>
      </w:r>
      <w:r w:rsidR="000C3723" w:rsidRPr="000411D5">
        <w:rPr>
          <w:rFonts w:ascii="ITC Avant Garde" w:hAnsi="ITC Avant Garde" w:cs="Arial"/>
          <w:b/>
        </w:rPr>
        <w:t>EXPIDE LAS CONDICIONES TÉCNICAS DE OPERACIÓN</w:t>
      </w:r>
      <w:r w:rsidRPr="000411D5">
        <w:rPr>
          <w:rFonts w:ascii="ITC Avant Garde" w:hAnsi="ITC Avant Garde" w:cs="Arial"/>
          <w:b/>
        </w:rPr>
        <w:t>.</w:t>
      </w:r>
    </w:p>
    <w:p w14:paraId="796E48DC" w14:textId="2D0821F9" w:rsidR="00E200F5" w:rsidRPr="000411D5" w:rsidRDefault="00E200F5" w:rsidP="00D868C2">
      <w:pPr>
        <w:autoSpaceDE w:val="0"/>
        <w:autoSpaceDN w:val="0"/>
        <w:adjustRightInd w:val="0"/>
        <w:spacing w:after="0" w:line="240" w:lineRule="auto"/>
        <w:jc w:val="both"/>
        <w:rPr>
          <w:rFonts w:ascii="ITC Avant Garde" w:hAnsi="ITC Avant Garde" w:cs="Arial"/>
        </w:rPr>
      </w:pPr>
    </w:p>
    <w:p w14:paraId="16EE2B84" w14:textId="77777777" w:rsidR="00514B40" w:rsidRPr="000411D5" w:rsidRDefault="00514B40" w:rsidP="00D868C2">
      <w:pPr>
        <w:spacing w:after="0" w:line="240" w:lineRule="auto"/>
        <w:contextualSpacing/>
        <w:jc w:val="center"/>
        <w:rPr>
          <w:rFonts w:ascii="ITC Avant Garde" w:eastAsia="Times New Roman" w:hAnsi="ITC Avant Garde" w:cs="Arial"/>
          <w:b/>
          <w:lang w:eastAsia="es-MX"/>
        </w:rPr>
      </w:pPr>
      <w:r w:rsidRPr="000411D5">
        <w:rPr>
          <w:rFonts w:ascii="ITC Avant Garde" w:eastAsia="Times New Roman" w:hAnsi="ITC Avant Garde" w:cs="Arial"/>
          <w:b/>
          <w:lang w:eastAsia="es-MX"/>
        </w:rPr>
        <w:t>ANTECEDENTES</w:t>
      </w:r>
    </w:p>
    <w:p w14:paraId="4A0829B7" w14:textId="77777777" w:rsidR="00514B40" w:rsidRPr="000411D5" w:rsidRDefault="00514B40" w:rsidP="00D868C2">
      <w:pPr>
        <w:spacing w:after="0" w:line="240" w:lineRule="auto"/>
        <w:contextualSpacing/>
        <w:jc w:val="both"/>
        <w:rPr>
          <w:rFonts w:ascii="ITC Avant Garde" w:eastAsia="Times New Roman" w:hAnsi="ITC Avant Garde" w:cs="Arial"/>
          <w:b/>
          <w:lang w:eastAsia="es-MX"/>
        </w:rPr>
      </w:pPr>
    </w:p>
    <w:p w14:paraId="36352540" w14:textId="5F300D4B" w:rsidR="00514B40" w:rsidRPr="000411D5" w:rsidRDefault="00514B40" w:rsidP="00D868C2">
      <w:pPr>
        <w:numPr>
          <w:ilvl w:val="0"/>
          <w:numId w:val="3"/>
        </w:numPr>
        <w:suppressAutoHyphens/>
        <w:spacing w:after="0" w:line="240" w:lineRule="auto"/>
        <w:ind w:left="567" w:right="49" w:hanging="425"/>
        <w:contextualSpacing/>
        <w:jc w:val="both"/>
        <w:rPr>
          <w:rFonts w:ascii="ITC Avant Garde" w:hAnsi="ITC Avant Garde" w:cs="Arial"/>
          <w:kern w:val="1"/>
          <w:lang w:eastAsia="ar-SA"/>
        </w:rPr>
      </w:pPr>
      <w:r w:rsidRPr="000411D5">
        <w:rPr>
          <w:rFonts w:ascii="ITC Avant Garde" w:hAnsi="ITC Avant Garde" w:cs="Arial"/>
          <w:kern w:val="1"/>
          <w:lang w:eastAsia="ar-SA"/>
        </w:rPr>
        <w:t xml:space="preserve">El 11 de junio de 2013 se publicó en el Diario Oficial de la Federación (DOF) el </w:t>
      </w:r>
      <w:r w:rsidRPr="000411D5">
        <w:rPr>
          <w:rFonts w:ascii="ITC Avant Garde" w:hAnsi="ITC Avant Garde" w:cs="Arial"/>
          <w:i/>
          <w:kern w:val="1"/>
          <w:lang w:eastAsia="ar-SA"/>
        </w:rPr>
        <w:t>“Decreto por el que se reforman y adicionan diversas disposiciones de los artículos 6o., 7o., 27, 28, 73, 78, 94 y 105 de la Constitución Política de los Estados Unidos Mexicanos, en materia de telecomunicaciones”</w:t>
      </w:r>
      <w:r w:rsidRPr="000411D5">
        <w:rPr>
          <w:rFonts w:ascii="ITC Avant Garde" w:hAnsi="ITC Avant Garde" w:cs="Arial"/>
          <w:kern w:val="1"/>
          <w:lang w:eastAsia="ar-SA"/>
        </w:rPr>
        <w:t>, mediante el cual se creó al Instituto Federal de Telecomunicaciones (Instituto) como un órgano autónomo, con personalidad jurídica y patrimonio propio.</w:t>
      </w:r>
    </w:p>
    <w:p w14:paraId="2FE2E4F0" w14:textId="77777777" w:rsidR="00514B40" w:rsidRPr="000411D5" w:rsidRDefault="00514B40" w:rsidP="00D868C2">
      <w:pPr>
        <w:suppressAutoHyphens/>
        <w:spacing w:after="0" w:line="240" w:lineRule="auto"/>
        <w:ind w:left="567" w:right="49"/>
        <w:contextualSpacing/>
        <w:jc w:val="both"/>
        <w:rPr>
          <w:rFonts w:ascii="ITC Avant Garde" w:hAnsi="ITC Avant Garde" w:cs="Arial"/>
          <w:kern w:val="1"/>
          <w:lang w:eastAsia="ar-SA"/>
        </w:rPr>
      </w:pPr>
    </w:p>
    <w:p w14:paraId="2E75991D" w14:textId="7747F9B3" w:rsidR="00514B40" w:rsidRPr="000411D5" w:rsidRDefault="00514B40" w:rsidP="00D868C2">
      <w:pPr>
        <w:numPr>
          <w:ilvl w:val="0"/>
          <w:numId w:val="3"/>
        </w:numPr>
        <w:suppressAutoHyphens/>
        <w:spacing w:after="0" w:line="240" w:lineRule="auto"/>
        <w:ind w:left="567" w:right="49" w:hanging="425"/>
        <w:contextualSpacing/>
        <w:jc w:val="both"/>
        <w:rPr>
          <w:rFonts w:ascii="ITC Avant Garde" w:hAnsi="ITC Avant Garde" w:cs="Arial"/>
          <w:kern w:val="1"/>
          <w:lang w:eastAsia="ar-SA"/>
        </w:rPr>
      </w:pPr>
      <w:r w:rsidRPr="000411D5">
        <w:rPr>
          <w:rFonts w:ascii="ITC Avant Garde" w:hAnsi="ITC Avant Garde" w:cs="Arial"/>
          <w:kern w:val="1"/>
          <w:lang w:eastAsia="ar-SA"/>
        </w:rPr>
        <w:t xml:space="preserve">El 14 de julio de 2014 se publicó en el DOF el </w:t>
      </w:r>
      <w:r w:rsidRPr="000411D5">
        <w:rPr>
          <w:rFonts w:ascii="ITC Avant Garde" w:hAnsi="ITC Avant Garde" w:cs="Arial"/>
          <w:i/>
          <w:kern w:val="1"/>
          <w:lang w:eastAsia="ar-SA"/>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0411D5">
        <w:rPr>
          <w:rFonts w:ascii="ITC Avant Garde" w:hAnsi="ITC Avant Garde" w:cs="Arial"/>
          <w:kern w:val="1"/>
          <w:lang w:eastAsia="ar-SA"/>
        </w:rPr>
        <w:t>mismo que entró en vigor el 13 de agosto de 2014.</w:t>
      </w:r>
    </w:p>
    <w:p w14:paraId="707FC3C6" w14:textId="77777777" w:rsidR="00514B40" w:rsidRPr="000411D5" w:rsidRDefault="00514B40" w:rsidP="00D868C2">
      <w:pPr>
        <w:suppressAutoHyphens/>
        <w:spacing w:after="0" w:line="240" w:lineRule="auto"/>
        <w:ind w:left="567" w:right="49"/>
        <w:contextualSpacing/>
        <w:jc w:val="both"/>
        <w:rPr>
          <w:rFonts w:ascii="ITC Avant Garde" w:hAnsi="ITC Avant Garde" w:cs="Arial"/>
          <w:kern w:val="1"/>
          <w:lang w:eastAsia="ar-SA"/>
        </w:rPr>
      </w:pPr>
    </w:p>
    <w:p w14:paraId="708685C0" w14:textId="44F0FCF3" w:rsidR="00514B40" w:rsidRPr="00DE7947" w:rsidRDefault="00514B40" w:rsidP="00D868C2">
      <w:pPr>
        <w:numPr>
          <w:ilvl w:val="0"/>
          <w:numId w:val="3"/>
        </w:numPr>
        <w:suppressAutoHyphens/>
        <w:spacing w:after="0" w:line="240" w:lineRule="auto"/>
        <w:ind w:left="567" w:right="49" w:hanging="425"/>
        <w:contextualSpacing/>
        <w:jc w:val="both"/>
        <w:rPr>
          <w:rFonts w:ascii="ITC Avant Garde" w:hAnsi="ITC Avant Garde" w:cs="Arial"/>
          <w:kern w:val="1"/>
          <w:lang w:eastAsia="ar-SA"/>
        </w:rPr>
      </w:pPr>
      <w:r w:rsidRPr="000411D5">
        <w:rPr>
          <w:rFonts w:ascii="ITC Avant Garde" w:hAnsi="ITC Avant Garde" w:cs="Arial"/>
          <w:lang w:eastAsia="es-MX"/>
        </w:rPr>
        <w:t>El 4 de septiembre de 2014 se publicó en el DOF el Estatuto Orgánico del Instituto Federal de Telecomunicaciones (Estatuto Orgánico), el cual entró en vigor el 26 de septiembre de 2014</w:t>
      </w:r>
      <w:r w:rsidR="00681263">
        <w:rPr>
          <w:rFonts w:ascii="ITC Avant Garde" w:hAnsi="ITC Avant Garde" w:cs="Arial"/>
          <w:lang w:eastAsia="es-MX"/>
        </w:rPr>
        <w:t>.</w:t>
      </w:r>
    </w:p>
    <w:p w14:paraId="73C61CA5" w14:textId="1A4A863E" w:rsidR="006E6F59" w:rsidRPr="000411D5" w:rsidRDefault="006E6F59" w:rsidP="00D868C2">
      <w:pPr>
        <w:suppressAutoHyphens/>
        <w:spacing w:after="0" w:line="240" w:lineRule="auto"/>
        <w:ind w:left="567" w:right="49"/>
        <w:contextualSpacing/>
        <w:jc w:val="both"/>
        <w:rPr>
          <w:rFonts w:ascii="ITC Avant Garde" w:hAnsi="ITC Avant Garde" w:cs="Arial"/>
          <w:kern w:val="1"/>
          <w:lang w:eastAsia="ar-SA"/>
        </w:rPr>
      </w:pPr>
    </w:p>
    <w:p w14:paraId="1245D690" w14:textId="1D951B44" w:rsidR="005A53A2" w:rsidRPr="00B646BF" w:rsidRDefault="002C5292" w:rsidP="00D868C2">
      <w:pPr>
        <w:numPr>
          <w:ilvl w:val="0"/>
          <w:numId w:val="3"/>
        </w:numPr>
        <w:suppressAutoHyphens/>
        <w:spacing w:after="0" w:line="240" w:lineRule="auto"/>
        <w:ind w:left="567" w:right="49" w:hanging="425"/>
        <w:contextualSpacing/>
        <w:jc w:val="both"/>
        <w:rPr>
          <w:rFonts w:ascii="ITC Avant Garde" w:hAnsi="ITC Avant Garde" w:cs="Arial"/>
          <w:lang w:eastAsia="es-MX"/>
        </w:rPr>
      </w:pPr>
      <w:r w:rsidRPr="00B646BF">
        <w:rPr>
          <w:rFonts w:ascii="ITC Avant Garde" w:hAnsi="ITC Avant Garde" w:cs="Arial"/>
          <w:lang w:eastAsia="es-MX"/>
        </w:rPr>
        <w:t xml:space="preserve">Del 18 de noviembre al </w:t>
      </w:r>
      <w:r w:rsidR="005A53A2" w:rsidRPr="00B646BF">
        <w:rPr>
          <w:rFonts w:ascii="ITC Avant Garde" w:hAnsi="ITC Avant Garde" w:cs="Arial"/>
          <w:lang w:eastAsia="es-MX"/>
        </w:rPr>
        <w:t>9 de d</w:t>
      </w:r>
      <w:r w:rsidR="00AF467E" w:rsidRPr="00B646BF">
        <w:rPr>
          <w:rFonts w:ascii="ITC Avant Garde" w:hAnsi="ITC Avant Garde" w:cs="Arial"/>
          <w:lang w:eastAsia="es-MX"/>
        </w:rPr>
        <w:t>iciembre de 2016</w:t>
      </w:r>
      <w:r w:rsidR="00E63A82">
        <w:rPr>
          <w:rFonts w:ascii="ITC Avant Garde" w:hAnsi="ITC Avant Garde" w:cs="Arial"/>
          <w:lang w:eastAsia="es-MX"/>
        </w:rPr>
        <w:t>,</w:t>
      </w:r>
      <w:r w:rsidR="00AF467E" w:rsidRPr="00B646BF">
        <w:rPr>
          <w:rFonts w:ascii="ITC Avant Garde" w:hAnsi="ITC Avant Garde" w:cs="Arial"/>
          <w:lang w:eastAsia="es-MX"/>
        </w:rPr>
        <w:t xml:space="preserve"> se llevó a cabo </w:t>
      </w:r>
      <w:r w:rsidR="008E468C">
        <w:rPr>
          <w:rFonts w:ascii="ITC Avant Garde" w:hAnsi="ITC Avant Garde" w:cs="Arial"/>
          <w:lang w:eastAsia="es-MX"/>
        </w:rPr>
        <w:t xml:space="preserve">un procedimiento </w:t>
      </w:r>
      <w:r w:rsidR="00AF467E" w:rsidRPr="00B646BF">
        <w:rPr>
          <w:rFonts w:ascii="ITC Avant Garde" w:hAnsi="ITC Avant Garde" w:cs="Arial"/>
          <w:lang w:eastAsia="es-MX"/>
        </w:rPr>
        <w:t xml:space="preserve">de </w:t>
      </w:r>
      <w:r w:rsidR="000857C9">
        <w:rPr>
          <w:rFonts w:ascii="ITC Avant Garde" w:hAnsi="ITC Avant Garde" w:cs="Arial"/>
          <w:lang w:eastAsia="es-MX"/>
        </w:rPr>
        <w:t>o</w:t>
      </w:r>
      <w:r w:rsidR="00AF467E" w:rsidRPr="00B646BF">
        <w:rPr>
          <w:rFonts w:ascii="ITC Avant Garde" w:hAnsi="ITC Avant Garde" w:cs="Arial"/>
          <w:lang w:eastAsia="es-MX"/>
        </w:rPr>
        <w:t xml:space="preserve">pinión </w:t>
      </w:r>
      <w:r w:rsidR="000857C9">
        <w:rPr>
          <w:rFonts w:ascii="ITC Avant Garde" w:hAnsi="ITC Avant Garde" w:cs="Arial"/>
          <w:lang w:eastAsia="es-MX"/>
        </w:rPr>
        <w:t>p</w:t>
      </w:r>
      <w:r w:rsidR="00AF467E" w:rsidRPr="00B646BF">
        <w:rPr>
          <w:rFonts w:ascii="ITC Avant Garde" w:hAnsi="ITC Avant Garde" w:cs="Arial"/>
          <w:lang w:eastAsia="es-MX"/>
        </w:rPr>
        <w:t>ública</w:t>
      </w:r>
      <w:r w:rsidR="005A53A2" w:rsidRPr="00B646BF">
        <w:rPr>
          <w:rFonts w:ascii="ITC Avant Garde" w:hAnsi="ITC Avant Garde" w:cs="Arial"/>
          <w:lang w:eastAsia="es-MX"/>
        </w:rPr>
        <w:t xml:space="preserve"> </w:t>
      </w:r>
      <w:r w:rsidR="00E63A82">
        <w:rPr>
          <w:rFonts w:ascii="ITC Avant Garde" w:hAnsi="ITC Avant Garde" w:cs="Arial"/>
          <w:lang w:eastAsia="es-MX"/>
        </w:rPr>
        <w:t xml:space="preserve">sobre el </w:t>
      </w:r>
      <w:r w:rsidR="00E63A82" w:rsidRPr="00E63A82">
        <w:rPr>
          <w:rFonts w:ascii="ITC Avant Garde" w:hAnsi="ITC Avant Garde" w:cs="Arial"/>
          <w:i/>
          <w:lang w:eastAsia="es-MX"/>
        </w:rPr>
        <w:t>“Análisis de la banda 57-64 GHz para su posible clasificación como espectro libre”</w:t>
      </w:r>
      <w:r w:rsidR="00E63A82">
        <w:rPr>
          <w:rFonts w:ascii="ITC Avant Garde" w:hAnsi="ITC Avant Garde" w:cs="Arial"/>
          <w:lang w:eastAsia="es-MX"/>
        </w:rPr>
        <w:t xml:space="preserve"> </w:t>
      </w:r>
      <w:r w:rsidR="005A53A2" w:rsidRPr="00B646BF">
        <w:rPr>
          <w:rFonts w:ascii="ITC Avant Garde" w:hAnsi="ITC Avant Garde" w:cs="Arial"/>
          <w:lang w:eastAsia="es-MX"/>
        </w:rPr>
        <w:t xml:space="preserve">con el objeto de recabar </w:t>
      </w:r>
      <w:r w:rsidR="00B40B66" w:rsidRPr="00B646BF">
        <w:rPr>
          <w:rFonts w:ascii="ITC Avant Garde" w:hAnsi="ITC Avant Garde" w:cs="Arial"/>
          <w:lang w:eastAsia="es-MX"/>
        </w:rPr>
        <w:t>los</w:t>
      </w:r>
      <w:r w:rsidR="00B646BF" w:rsidRPr="00B646BF">
        <w:rPr>
          <w:rFonts w:ascii="ITC Avant Garde" w:hAnsi="ITC Avant Garde" w:cs="Arial"/>
          <w:lang w:eastAsia="es-MX"/>
        </w:rPr>
        <w:t xml:space="preserve"> </w:t>
      </w:r>
      <w:r w:rsidR="005A53A2" w:rsidRPr="00B646BF">
        <w:rPr>
          <w:rFonts w:ascii="ITC Avant Garde" w:hAnsi="ITC Avant Garde" w:cs="Arial"/>
          <w:lang w:eastAsia="es-MX"/>
        </w:rPr>
        <w:t>comentarios, opiniones y aportaciones de cualquier interesado</w:t>
      </w:r>
      <w:r w:rsidR="00E63A82">
        <w:rPr>
          <w:rFonts w:ascii="ITC Avant Garde" w:hAnsi="ITC Avant Garde" w:cs="Arial"/>
          <w:lang w:eastAsia="es-MX"/>
        </w:rPr>
        <w:t xml:space="preserve"> que coadyuvaran en la obtención de información para el desarrollo, fortalecimiento y planeación de las medidas consideradas en la posible clasificación de la banda de frecuencias</w:t>
      </w:r>
      <w:r w:rsidR="00681263">
        <w:rPr>
          <w:rFonts w:ascii="ITC Avant Garde" w:hAnsi="ITC Avant Garde" w:cs="Arial"/>
          <w:lang w:eastAsia="es-MX"/>
        </w:rPr>
        <w:t xml:space="preserve"> de 60 GHz como espectro libre.</w:t>
      </w:r>
    </w:p>
    <w:p w14:paraId="55D4F1B7" w14:textId="77777777" w:rsidR="00B91BAB" w:rsidRPr="000411D5" w:rsidRDefault="00B91BAB" w:rsidP="00D868C2">
      <w:pPr>
        <w:suppressAutoHyphens/>
        <w:spacing w:after="0" w:line="240" w:lineRule="auto"/>
        <w:ind w:left="567" w:right="49"/>
        <w:contextualSpacing/>
        <w:jc w:val="both"/>
        <w:rPr>
          <w:rFonts w:ascii="ITC Avant Garde" w:hAnsi="ITC Avant Garde" w:cs="Arial"/>
          <w:kern w:val="1"/>
          <w:lang w:eastAsia="ar-SA"/>
        </w:rPr>
      </w:pPr>
    </w:p>
    <w:p w14:paraId="3E5173D1" w14:textId="12B195DF" w:rsidR="00B91BAB" w:rsidRPr="000411D5" w:rsidRDefault="00B91BAB" w:rsidP="00D868C2">
      <w:pPr>
        <w:numPr>
          <w:ilvl w:val="0"/>
          <w:numId w:val="3"/>
        </w:numPr>
        <w:suppressAutoHyphens/>
        <w:spacing w:after="0" w:line="240" w:lineRule="auto"/>
        <w:ind w:left="567" w:right="49" w:hanging="425"/>
        <w:contextualSpacing/>
        <w:jc w:val="both"/>
        <w:rPr>
          <w:rFonts w:ascii="ITC Avant Garde" w:hAnsi="ITC Avant Garde" w:cs="Arial"/>
          <w:kern w:val="1"/>
          <w:lang w:eastAsia="ar-SA"/>
        </w:rPr>
      </w:pPr>
      <w:r w:rsidRPr="000411D5">
        <w:rPr>
          <w:rFonts w:ascii="ITC Avant Garde" w:hAnsi="ITC Avant Garde" w:cs="Arial"/>
          <w:kern w:val="1"/>
          <w:lang w:eastAsia="ar-SA"/>
        </w:rPr>
        <w:t xml:space="preserve">El 8 de febrero de 2017, </w:t>
      </w:r>
      <w:r w:rsidR="00B900EC">
        <w:rPr>
          <w:rFonts w:ascii="ITC Avant Garde" w:hAnsi="ITC Avant Garde" w:cs="Arial"/>
          <w:kern w:val="1"/>
          <w:lang w:eastAsia="ar-SA"/>
        </w:rPr>
        <w:t xml:space="preserve">mediante Acuerdo </w:t>
      </w:r>
      <w:r w:rsidR="00B900EC" w:rsidRPr="000411D5">
        <w:rPr>
          <w:rFonts w:ascii="ITC Avant Garde" w:hAnsi="ITC Avant Garde" w:cs="Arial"/>
          <w:kern w:val="1"/>
          <w:lang w:eastAsia="ar-SA"/>
        </w:rPr>
        <w:t xml:space="preserve">P/IFT/080217/57 </w:t>
      </w:r>
      <w:r w:rsidRPr="000411D5">
        <w:rPr>
          <w:rFonts w:ascii="ITC Avant Garde" w:hAnsi="ITC Avant Garde" w:cs="Arial"/>
          <w:kern w:val="1"/>
          <w:lang w:eastAsia="ar-SA"/>
        </w:rPr>
        <w:t xml:space="preserve">el Pleno del Instituto </w:t>
      </w:r>
      <w:r w:rsidR="007C0E3C">
        <w:rPr>
          <w:rFonts w:ascii="ITC Avant Garde" w:hAnsi="ITC Avant Garde" w:cs="Arial"/>
          <w:kern w:val="1"/>
          <w:lang w:eastAsia="ar-SA"/>
        </w:rPr>
        <w:t>determinó</w:t>
      </w:r>
      <w:r w:rsidR="00B900EC">
        <w:rPr>
          <w:rFonts w:ascii="ITC Avant Garde" w:hAnsi="ITC Avant Garde" w:cs="Arial"/>
          <w:kern w:val="1"/>
          <w:lang w:eastAsia="ar-SA"/>
        </w:rPr>
        <w:t xml:space="preserve"> someter a consulta pública por un p</w:t>
      </w:r>
      <w:r w:rsidR="00A4798C">
        <w:rPr>
          <w:rFonts w:ascii="ITC Avant Garde" w:hAnsi="ITC Avant Garde" w:cs="Arial"/>
          <w:kern w:val="1"/>
          <w:lang w:eastAsia="ar-SA"/>
        </w:rPr>
        <w:t>eríodo</w:t>
      </w:r>
      <w:r w:rsidR="00B900EC">
        <w:rPr>
          <w:rFonts w:ascii="ITC Avant Garde" w:hAnsi="ITC Avant Garde" w:cs="Arial"/>
          <w:kern w:val="1"/>
          <w:lang w:eastAsia="ar-SA"/>
        </w:rPr>
        <w:t xml:space="preserve"> de </w:t>
      </w:r>
      <w:r w:rsidR="00A4798C">
        <w:rPr>
          <w:rFonts w:ascii="ITC Avant Garde" w:hAnsi="ITC Avant Garde" w:cs="Arial"/>
          <w:kern w:val="1"/>
          <w:lang w:eastAsia="ar-SA"/>
        </w:rPr>
        <w:t>20</w:t>
      </w:r>
      <w:r w:rsidR="00B900EC">
        <w:rPr>
          <w:rFonts w:ascii="ITC Avant Garde" w:hAnsi="ITC Avant Garde" w:cs="Arial"/>
          <w:kern w:val="1"/>
          <w:lang w:eastAsia="ar-SA"/>
        </w:rPr>
        <w:t xml:space="preserve"> días hábiles el </w:t>
      </w:r>
      <w:r w:rsidR="00B900EC">
        <w:rPr>
          <w:rFonts w:ascii="ITC Avant Garde" w:hAnsi="ITC Avant Garde" w:cs="Arial"/>
          <w:i/>
          <w:kern w:val="1"/>
          <w:lang w:eastAsia="ar-SA"/>
        </w:rPr>
        <w:t>“</w:t>
      </w:r>
      <w:r w:rsidRPr="00B646BF">
        <w:rPr>
          <w:rFonts w:ascii="ITC Avant Garde" w:hAnsi="ITC Avant Garde" w:cs="Arial"/>
          <w:i/>
          <w:kern w:val="1"/>
          <w:lang w:eastAsia="ar-SA"/>
        </w:rPr>
        <w:t xml:space="preserve">Anteproyecto de clasificación de la banda 57-64 </w:t>
      </w:r>
      <w:r w:rsidR="00C432AF" w:rsidRPr="00B646BF">
        <w:rPr>
          <w:rFonts w:ascii="ITC Avant Garde" w:hAnsi="ITC Avant Garde" w:cs="Arial"/>
          <w:i/>
          <w:kern w:val="1"/>
          <w:lang w:eastAsia="ar-SA"/>
        </w:rPr>
        <w:t>GHz</w:t>
      </w:r>
      <w:r w:rsidRPr="00B646BF">
        <w:rPr>
          <w:rFonts w:ascii="ITC Avant Garde" w:hAnsi="ITC Avant Garde" w:cs="Arial"/>
          <w:i/>
          <w:kern w:val="1"/>
          <w:lang w:eastAsia="ar-SA"/>
        </w:rPr>
        <w:t xml:space="preserve"> como Espectro Libre</w:t>
      </w:r>
      <w:r w:rsidRPr="000411D5">
        <w:rPr>
          <w:rFonts w:ascii="ITC Avant Garde" w:hAnsi="ITC Avant Garde" w:cs="Arial"/>
          <w:kern w:val="1"/>
          <w:lang w:eastAsia="ar-SA"/>
        </w:rPr>
        <w:t>”.</w:t>
      </w:r>
    </w:p>
    <w:p w14:paraId="1B5A209E" w14:textId="77777777" w:rsidR="00C432AF" w:rsidRPr="000411D5" w:rsidRDefault="00C432AF" w:rsidP="00D868C2">
      <w:pPr>
        <w:suppressAutoHyphens/>
        <w:spacing w:after="0" w:line="240" w:lineRule="auto"/>
        <w:ind w:left="567" w:right="49"/>
        <w:contextualSpacing/>
        <w:jc w:val="both"/>
        <w:rPr>
          <w:rFonts w:ascii="ITC Avant Garde" w:hAnsi="ITC Avant Garde" w:cs="Arial"/>
          <w:kern w:val="1"/>
          <w:lang w:eastAsia="ar-SA"/>
        </w:rPr>
      </w:pPr>
    </w:p>
    <w:p w14:paraId="1C53926D" w14:textId="1BC42FA7" w:rsidR="00E004B0" w:rsidRDefault="0025560E" w:rsidP="00D868C2">
      <w:pPr>
        <w:numPr>
          <w:ilvl w:val="0"/>
          <w:numId w:val="3"/>
        </w:numPr>
        <w:suppressAutoHyphens/>
        <w:spacing w:after="0" w:line="240" w:lineRule="auto"/>
        <w:ind w:left="567" w:right="49" w:hanging="425"/>
        <w:contextualSpacing/>
        <w:jc w:val="both"/>
        <w:rPr>
          <w:rFonts w:ascii="ITC Avant Garde" w:hAnsi="ITC Avant Garde" w:cs="Arial"/>
          <w:kern w:val="1"/>
          <w:lang w:eastAsia="ar-SA"/>
        </w:rPr>
      </w:pPr>
      <w:r>
        <w:rPr>
          <w:rFonts w:ascii="ITC Avant Garde" w:hAnsi="ITC Avant Garde" w:cs="Arial"/>
          <w:kern w:val="1"/>
          <w:lang w:eastAsia="ar-SA"/>
        </w:rPr>
        <w:t>La consulta pública se llevó a cabo d</w:t>
      </w:r>
      <w:r w:rsidR="00C432AF" w:rsidRPr="000411D5">
        <w:rPr>
          <w:rFonts w:ascii="ITC Avant Garde" w:hAnsi="ITC Avant Garde" w:cs="Arial"/>
          <w:kern w:val="1"/>
          <w:lang w:eastAsia="ar-SA"/>
        </w:rPr>
        <w:t xml:space="preserve">el 10 de </w:t>
      </w:r>
      <w:r w:rsidR="000857C9">
        <w:rPr>
          <w:rFonts w:ascii="ITC Avant Garde" w:hAnsi="ITC Avant Garde" w:cs="Arial"/>
          <w:kern w:val="1"/>
          <w:lang w:eastAsia="ar-SA"/>
        </w:rPr>
        <w:t>f</w:t>
      </w:r>
      <w:r w:rsidR="00C432AF" w:rsidRPr="000411D5">
        <w:rPr>
          <w:rFonts w:ascii="ITC Avant Garde" w:hAnsi="ITC Avant Garde" w:cs="Arial"/>
          <w:kern w:val="1"/>
          <w:lang w:eastAsia="ar-SA"/>
        </w:rPr>
        <w:t xml:space="preserve">ebrero al 9 de </w:t>
      </w:r>
      <w:r w:rsidR="000857C9">
        <w:rPr>
          <w:rFonts w:ascii="ITC Avant Garde" w:hAnsi="ITC Avant Garde" w:cs="Arial"/>
          <w:kern w:val="1"/>
          <w:lang w:eastAsia="ar-SA"/>
        </w:rPr>
        <w:t>m</w:t>
      </w:r>
      <w:r w:rsidR="00C432AF" w:rsidRPr="000411D5">
        <w:rPr>
          <w:rFonts w:ascii="ITC Avant Garde" w:hAnsi="ITC Avant Garde" w:cs="Arial"/>
          <w:kern w:val="1"/>
          <w:lang w:eastAsia="ar-SA"/>
        </w:rPr>
        <w:t>arzo de 2017</w:t>
      </w:r>
      <w:r>
        <w:rPr>
          <w:rFonts w:ascii="ITC Avant Garde" w:hAnsi="ITC Avant Garde" w:cs="Arial"/>
          <w:kern w:val="1"/>
          <w:lang w:eastAsia="ar-SA"/>
        </w:rPr>
        <w:t xml:space="preserve">, período en el cual se recibieron diversos comentarios, opiniones y aportaciones al </w:t>
      </w:r>
      <w:r w:rsidR="00C33DF6" w:rsidRPr="00C33DF6">
        <w:rPr>
          <w:rFonts w:ascii="ITC Avant Garde" w:hAnsi="ITC Avant Garde" w:cs="Arial"/>
          <w:i/>
          <w:kern w:val="1"/>
          <w:lang w:eastAsia="ar-SA"/>
        </w:rPr>
        <w:t>“</w:t>
      </w:r>
      <w:r w:rsidRPr="00C33DF6">
        <w:rPr>
          <w:rFonts w:ascii="ITC Avant Garde" w:hAnsi="ITC Avant Garde" w:cs="Arial"/>
          <w:i/>
          <w:kern w:val="1"/>
          <w:lang w:eastAsia="ar-SA"/>
        </w:rPr>
        <w:t xml:space="preserve">Anteproyecto </w:t>
      </w:r>
      <w:r w:rsidR="00C33DF6" w:rsidRPr="00C33DF6">
        <w:rPr>
          <w:rFonts w:ascii="ITC Avant Garde" w:hAnsi="ITC Avant Garde" w:cs="Arial"/>
          <w:i/>
          <w:kern w:val="1"/>
          <w:lang w:eastAsia="ar-SA"/>
        </w:rPr>
        <w:t>de clasificación de la banda 57-64 GHz como Espectro Libre”</w:t>
      </w:r>
      <w:r w:rsidR="00C432AF" w:rsidRPr="000411D5">
        <w:rPr>
          <w:rFonts w:ascii="ITC Avant Garde" w:hAnsi="ITC Avant Garde" w:cs="Arial"/>
          <w:kern w:val="1"/>
          <w:lang w:eastAsia="ar-SA"/>
        </w:rPr>
        <w:t xml:space="preserve">, con el objeto de transparentar y dar a conocer la propuesta regulatoria </w:t>
      </w:r>
      <w:r w:rsidR="0080588B" w:rsidRPr="00B646BF">
        <w:rPr>
          <w:rFonts w:ascii="ITC Avant Garde" w:hAnsi="ITC Avant Garde" w:cs="Arial"/>
          <w:kern w:val="1"/>
          <w:lang w:eastAsia="ar-SA"/>
        </w:rPr>
        <w:t>del</w:t>
      </w:r>
      <w:r w:rsidR="00B646BF" w:rsidRPr="00B646BF">
        <w:rPr>
          <w:rFonts w:ascii="ITC Avant Garde" w:hAnsi="ITC Avant Garde" w:cs="Arial"/>
          <w:kern w:val="1"/>
          <w:lang w:eastAsia="ar-SA"/>
        </w:rPr>
        <w:t xml:space="preserve"> </w:t>
      </w:r>
      <w:r w:rsidR="0080588B" w:rsidRPr="00B646BF">
        <w:rPr>
          <w:rFonts w:ascii="ITC Avant Garde" w:hAnsi="ITC Avant Garde" w:cs="Arial"/>
          <w:kern w:val="1"/>
          <w:lang w:eastAsia="ar-SA"/>
        </w:rPr>
        <w:t>Instituto</w:t>
      </w:r>
      <w:r w:rsidR="000857C9">
        <w:rPr>
          <w:rFonts w:ascii="ITC Avant Garde" w:hAnsi="ITC Avant Garde" w:cs="Arial"/>
          <w:kern w:val="1"/>
          <w:lang w:eastAsia="ar-SA"/>
        </w:rPr>
        <w:t>.</w:t>
      </w:r>
    </w:p>
    <w:p w14:paraId="052F1774" w14:textId="77777777" w:rsidR="00684666" w:rsidRPr="00684666" w:rsidRDefault="00684666" w:rsidP="00D868C2">
      <w:pPr>
        <w:suppressAutoHyphens/>
        <w:spacing w:after="0" w:line="240" w:lineRule="auto"/>
        <w:ind w:left="567" w:right="49"/>
        <w:contextualSpacing/>
        <w:jc w:val="both"/>
        <w:rPr>
          <w:rFonts w:ascii="ITC Avant Garde" w:hAnsi="ITC Avant Garde" w:cs="Arial"/>
          <w:kern w:val="1"/>
          <w:lang w:eastAsia="ar-SA"/>
        </w:rPr>
      </w:pPr>
    </w:p>
    <w:p w14:paraId="4736CC97" w14:textId="33FFBEF7" w:rsidR="00E004B0" w:rsidRDefault="00684666" w:rsidP="00D868C2">
      <w:pPr>
        <w:numPr>
          <w:ilvl w:val="0"/>
          <w:numId w:val="3"/>
        </w:numPr>
        <w:suppressAutoHyphens/>
        <w:spacing w:after="0" w:line="240" w:lineRule="auto"/>
        <w:ind w:left="567" w:right="49" w:hanging="425"/>
        <w:contextualSpacing/>
        <w:jc w:val="both"/>
        <w:rPr>
          <w:rFonts w:ascii="ITC Avant Garde" w:hAnsi="ITC Avant Garde" w:cs="Arial"/>
          <w:kern w:val="1"/>
          <w:lang w:eastAsia="ar-SA"/>
        </w:rPr>
      </w:pPr>
      <w:r>
        <w:rPr>
          <w:rFonts w:ascii="ITC Avant Garde" w:hAnsi="ITC Avant Garde" w:cs="Arial"/>
          <w:kern w:val="1"/>
          <w:lang w:eastAsia="ar-SA"/>
        </w:rPr>
        <w:t xml:space="preserve">Mediante oficio </w:t>
      </w:r>
      <w:r w:rsidR="00681263">
        <w:rPr>
          <w:rFonts w:ascii="ITC Avant Garde" w:hAnsi="ITC Avant Garde" w:cs="Arial"/>
          <w:kern w:val="1"/>
          <w:lang w:eastAsia="ar-SA"/>
        </w:rPr>
        <w:t>IFT/222/UER/DG-PLES/001/2017</w:t>
      </w:r>
      <w:r>
        <w:rPr>
          <w:rFonts w:ascii="ITC Avant Garde" w:hAnsi="ITC Avant Garde" w:cs="Arial"/>
          <w:kern w:val="1"/>
          <w:lang w:eastAsia="ar-SA"/>
        </w:rPr>
        <w:t xml:space="preserve">, de fecha </w:t>
      </w:r>
      <w:r w:rsidR="00681263">
        <w:rPr>
          <w:rFonts w:ascii="ITC Avant Garde" w:hAnsi="ITC Avant Garde" w:cs="Arial"/>
          <w:kern w:val="1"/>
          <w:lang w:eastAsia="ar-SA"/>
        </w:rPr>
        <w:t>28 de marzo de 2017,</w:t>
      </w:r>
      <w:r>
        <w:rPr>
          <w:rFonts w:ascii="ITC Avant Garde" w:hAnsi="ITC Avant Garde" w:cs="Arial"/>
          <w:kern w:val="1"/>
          <w:lang w:eastAsia="ar-SA"/>
        </w:rPr>
        <w:t xml:space="preserve"> la Unidad de Espectro Radioeléctrico</w:t>
      </w:r>
      <w:r w:rsidR="00357F92">
        <w:rPr>
          <w:rFonts w:ascii="ITC Avant Garde" w:hAnsi="ITC Avant Garde" w:cs="Arial"/>
          <w:kern w:val="1"/>
          <w:lang w:eastAsia="ar-SA"/>
        </w:rPr>
        <w:t xml:space="preserve"> (UER)</w:t>
      </w:r>
      <w:r>
        <w:rPr>
          <w:rFonts w:ascii="ITC Avant Garde" w:hAnsi="ITC Avant Garde" w:cs="Arial"/>
          <w:kern w:val="1"/>
          <w:lang w:eastAsia="ar-SA"/>
        </w:rPr>
        <w:t xml:space="preserve"> remitió a la Coordinación General de Mejora Regulatoria (CGMR) de este Instituto, el </w:t>
      </w:r>
      <w:r w:rsidR="004F6C36">
        <w:rPr>
          <w:rFonts w:ascii="ITC Avant Garde" w:hAnsi="ITC Avant Garde" w:cs="Arial"/>
          <w:kern w:val="1"/>
          <w:lang w:eastAsia="ar-SA"/>
        </w:rPr>
        <w:t>Análisis de Impacto Regulatorio</w:t>
      </w:r>
      <w:r w:rsidR="004F6C36" w:rsidRPr="00AB261B">
        <w:rPr>
          <w:rFonts w:ascii="ITC Avant Garde" w:hAnsi="ITC Avant Garde" w:cs="Arial"/>
          <w:i/>
          <w:kern w:val="1"/>
          <w:lang w:eastAsia="ar-SA"/>
        </w:rPr>
        <w:t xml:space="preserve"> </w:t>
      </w:r>
      <w:r w:rsidR="004F6C36">
        <w:rPr>
          <w:rFonts w:ascii="ITC Avant Garde" w:hAnsi="ITC Avant Garde" w:cs="Arial"/>
          <w:i/>
          <w:kern w:val="1"/>
          <w:lang w:eastAsia="ar-SA"/>
        </w:rPr>
        <w:t xml:space="preserve">respecto al </w:t>
      </w:r>
      <w:r w:rsidR="002E39E6" w:rsidRPr="00AB261B">
        <w:rPr>
          <w:rFonts w:ascii="ITC Avant Garde" w:hAnsi="ITC Avant Garde" w:cs="Arial"/>
          <w:i/>
          <w:kern w:val="1"/>
          <w:lang w:eastAsia="ar-SA"/>
        </w:rPr>
        <w:t>“</w:t>
      </w:r>
      <w:r w:rsidR="007C0557" w:rsidRPr="00AB261B">
        <w:rPr>
          <w:rFonts w:ascii="ITC Avant Garde" w:hAnsi="ITC Avant Garde" w:cs="Arial"/>
          <w:i/>
          <w:kern w:val="1"/>
          <w:lang w:eastAsia="ar-SA"/>
        </w:rPr>
        <w:t xml:space="preserve">Proyecto de </w:t>
      </w:r>
      <w:r w:rsidR="00681263" w:rsidRPr="00AB261B">
        <w:rPr>
          <w:rFonts w:ascii="ITC Avant Garde" w:hAnsi="ITC Avant Garde" w:cs="Arial"/>
          <w:i/>
          <w:kern w:val="1"/>
          <w:lang w:eastAsia="ar-SA"/>
        </w:rPr>
        <w:t xml:space="preserve">Acuerdo </w:t>
      </w:r>
      <w:r w:rsidR="004F6C36">
        <w:rPr>
          <w:rFonts w:ascii="ITC Avant Garde" w:hAnsi="ITC Avant Garde" w:cs="Arial"/>
          <w:i/>
          <w:kern w:val="1"/>
          <w:lang w:eastAsia="ar-SA"/>
        </w:rPr>
        <w:t>por medio d</w:t>
      </w:r>
      <w:r w:rsidR="00681263" w:rsidRPr="00AB261B">
        <w:rPr>
          <w:rFonts w:ascii="ITC Avant Garde" w:hAnsi="ITC Avant Garde" w:cs="Arial"/>
          <w:i/>
          <w:kern w:val="1"/>
          <w:lang w:eastAsia="ar-SA"/>
        </w:rPr>
        <w:t xml:space="preserve">el cual </w:t>
      </w:r>
      <w:r w:rsidR="004F6C36">
        <w:rPr>
          <w:rFonts w:ascii="ITC Avant Garde" w:hAnsi="ITC Avant Garde" w:cs="Arial"/>
          <w:i/>
          <w:kern w:val="1"/>
          <w:lang w:eastAsia="ar-SA"/>
        </w:rPr>
        <w:t xml:space="preserve">el Pleno del Instituto Federal de Telecomunicaciones </w:t>
      </w:r>
      <w:r w:rsidR="00681263" w:rsidRPr="00AB261B">
        <w:rPr>
          <w:rFonts w:ascii="ITC Avant Garde" w:hAnsi="ITC Avant Garde" w:cs="Arial"/>
          <w:i/>
          <w:kern w:val="1"/>
          <w:lang w:eastAsia="ar-SA"/>
        </w:rPr>
        <w:t xml:space="preserve">clasifica la banda de </w:t>
      </w:r>
      <w:r w:rsidR="00681263" w:rsidRPr="00AB261B">
        <w:rPr>
          <w:rFonts w:ascii="ITC Avant Garde" w:hAnsi="ITC Avant Garde" w:cs="Arial"/>
          <w:i/>
          <w:kern w:val="1"/>
          <w:lang w:eastAsia="ar-SA"/>
        </w:rPr>
        <w:lastRenderedPageBreak/>
        <w:t>frecuencias de 57-64 GHz como espectro libre y expide las condiciones técnicas de operación</w:t>
      </w:r>
      <w:r w:rsidR="002E39E6" w:rsidRPr="00AB261B">
        <w:rPr>
          <w:rFonts w:ascii="ITC Avant Garde" w:hAnsi="ITC Avant Garde" w:cs="Arial"/>
          <w:i/>
          <w:kern w:val="1"/>
          <w:lang w:eastAsia="ar-SA"/>
        </w:rPr>
        <w:t>”</w:t>
      </w:r>
      <w:r w:rsidRPr="00AB261B">
        <w:rPr>
          <w:rFonts w:ascii="ITC Avant Garde" w:hAnsi="ITC Avant Garde" w:cs="Arial"/>
          <w:i/>
          <w:kern w:val="1"/>
          <w:lang w:eastAsia="ar-SA"/>
        </w:rPr>
        <w:t>,</w:t>
      </w:r>
      <w:r>
        <w:rPr>
          <w:rFonts w:ascii="ITC Avant Garde" w:hAnsi="ITC Avant Garde" w:cs="Arial"/>
          <w:kern w:val="1"/>
          <w:lang w:eastAsia="ar-SA"/>
        </w:rPr>
        <w:t xml:space="preserve"> para que la CGMR emitiera su opinión no vinculante, con</w:t>
      </w:r>
      <w:r w:rsidR="00681263">
        <w:rPr>
          <w:rFonts w:ascii="ITC Avant Garde" w:hAnsi="ITC Avant Garde" w:cs="Arial"/>
          <w:kern w:val="1"/>
          <w:lang w:eastAsia="ar-SA"/>
        </w:rPr>
        <w:t xml:space="preserve"> relación a dicho</w:t>
      </w:r>
      <w:r w:rsidR="004F6C36">
        <w:rPr>
          <w:rFonts w:ascii="ITC Avant Garde" w:hAnsi="ITC Avant Garde" w:cs="Arial"/>
          <w:kern w:val="1"/>
          <w:lang w:eastAsia="ar-SA"/>
        </w:rPr>
        <w:t xml:space="preserve"> documento</w:t>
      </w:r>
      <w:r w:rsidR="00681263">
        <w:rPr>
          <w:rFonts w:ascii="ITC Avant Garde" w:hAnsi="ITC Avant Garde" w:cs="Arial"/>
          <w:kern w:val="1"/>
          <w:lang w:eastAsia="ar-SA"/>
        </w:rPr>
        <w:t>.</w:t>
      </w:r>
    </w:p>
    <w:p w14:paraId="3007960E" w14:textId="77777777" w:rsidR="00684666" w:rsidRDefault="00684666" w:rsidP="00D868C2">
      <w:pPr>
        <w:suppressAutoHyphens/>
        <w:spacing w:after="0" w:line="240" w:lineRule="auto"/>
        <w:ind w:left="567" w:right="49"/>
        <w:contextualSpacing/>
        <w:jc w:val="both"/>
        <w:rPr>
          <w:rFonts w:ascii="ITC Avant Garde" w:hAnsi="ITC Avant Garde" w:cs="Arial"/>
          <w:kern w:val="1"/>
          <w:lang w:eastAsia="ar-SA"/>
        </w:rPr>
      </w:pPr>
    </w:p>
    <w:p w14:paraId="0E267638" w14:textId="24E69C88" w:rsidR="00E004B0" w:rsidRPr="00AB261B" w:rsidRDefault="00684666" w:rsidP="00D868C2">
      <w:pPr>
        <w:numPr>
          <w:ilvl w:val="0"/>
          <w:numId w:val="3"/>
        </w:numPr>
        <w:suppressAutoHyphens/>
        <w:spacing w:after="0" w:line="240" w:lineRule="auto"/>
        <w:ind w:left="567" w:right="49" w:hanging="425"/>
        <w:contextualSpacing/>
        <w:jc w:val="both"/>
        <w:rPr>
          <w:rFonts w:ascii="ITC Avant Garde" w:hAnsi="ITC Avant Garde" w:cs="Arial"/>
          <w:kern w:val="1"/>
          <w:lang w:eastAsia="ar-SA"/>
        </w:rPr>
      </w:pPr>
      <w:r w:rsidRPr="00684666">
        <w:rPr>
          <w:rFonts w:ascii="ITC Avant Garde" w:hAnsi="ITC Avant Garde" w:cs="Arial"/>
          <w:kern w:val="1"/>
          <w:lang w:eastAsia="ar-SA"/>
        </w:rPr>
        <w:t xml:space="preserve">Con oficio </w:t>
      </w:r>
      <w:r w:rsidR="00681263">
        <w:rPr>
          <w:rFonts w:ascii="ITC Avant Garde" w:hAnsi="ITC Avant Garde" w:cs="Arial"/>
          <w:kern w:val="1"/>
          <w:lang w:eastAsia="ar-SA"/>
        </w:rPr>
        <w:t>IFT/</w:t>
      </w:r>
      <w:r w:rsidR="009B2F6F">
        <w:rPr>
          <w:rFonts w:ascii="ITC Avant Garde" w:hAnsi="ITC Avant Garde" w:cs="Arial"/>
          <w:kern w:val="1"/>
          <w:lang w:eastAsia="ar-SA"/>
        </w:rPr>
        <w:t>211/CGMR/036/2017,</w:t>
      </w:r>
      <w:r w:rsidR="0013176F">
        <w:rPr>
          <w:rFonts w:ascii="ITC Avant Garde" w:hAnsi="ITC Avant Garde" w:cs="Arial"/>
          <w:kern w:val="1"/>
          <w:lang w:eastAsia="ar-SA"/>
        </w:rPr>
        <w:t xml:space="preserve"> </w:t>
      </w:r>
      <w:r w:rsidRPr="0013176F">
        <w:rPr>
          <w:rFonts w:ascii="ITC Avant Garde" w:hAnsi="ITC Avant Garde" w:cs="Arial"/>
          <w:kern w:val="1"/>
          <w:lang w:eastAsia="ar-SA"/>
        </w:rPr>
        <w:t>de</w:t>
      </w:r>
      <w:r w:rsidR="00D868C2">
        <w:rPr>
          <w:rFonts w:ascii="ITC Avant Garde" w:hAnsi="ITC Avant Garde" w:cs="Arial"/>
          <w:kern w:val="1"/>
          <w:lang w:eastAsia="ar-SA"/>
        </w:rPr>
        <w:t xml:space="preserve"> </w:t>
      </w:r>
      <w:r w:rsidR="009B2F6F">
        <w:rPr>
          <w:rFonts w:ascii="ITC Avant Garde" w:hAnsi="ITC Avant Garde" w:cs="Arial"/>
          <w:kern w:val="1"/>
          <w:lang w:eastAsia="ar-SA"/>
        </w:rPr>
        <w:t>fecha 29</w:t>
      </w:r>
      <w:r w:rsidR="00E004B0" w:rsidRPr="0013176F">
        <w:rPr>
          <w:rFonts w:ascii="ITC Avant Garde" w:hAnsi="ITC Avant Garde" w:cs="Arial"/>
          <w:kern w:val="1"/>
          <w:lang w:eastAsia="ar-SA"/>
        </w:rPr>
        <w:t xml:space="preserve"> de marzo</w:t>
      </w:r>
      <w:r w:rsidR="00E004B0" w:rsidRPr="00684666">
        <w:rPr>
          <w:rFonts w:ascii="ITC Avant Garde" w:hAnsi="ITC Avant Garde" w:cs="Arial"/>
          <w:kern w:val="1"/>
          <w:lang w:eastAsia="ar-SA"/>
        </w:rPr>
        <w:t xml:space="preserve"> de 2017, la </w:t>
      </w:r>
      <w:r w:rsidRPr="00684666">
        <w:rPr>
          <w:rFonts w:ascii="ITC Avant Garde" w:hAnsi="ITC Avant Garde" w:cs="Arial"/>
          <w:kern w:val="1"/>
          <w:lang w:eastAsia="ar-SA"/>
        </w:rPr>
        <w:t xml:space="preserve">CGMR </w:t>
      </w:r>
      <w:r w:rsidR="00E004B0" w:rsidRPr="00684666">
        <w:rPr>
          <w:rFonts w:ascii="ITC Avant Garde" w:hAnsi="ITC Avant Garde" w:cs="Arial"/>
          <w:kern w:val="1"/>
          <w:lang w:eastAsia="ar-SA"/>
        </w:rPr>
        <w:t xml:space="preserve">emitió opinión </w:t>
      </w:r>
      <w:r w:rsidR="002E39E6">
        <w:rPr>
          <w:rFonts w:ascii="ITC Avant Garde" w:hAnsi="ITC Avant Garde" w:cs="Arial"/>
          <w:kern w:val="1"/>
          <w:lang w:eastAsia="ar-SA"/>
        </w:rPr>
        <w:t>no vinculante, en relación con el Análisis de Impacto Regulatorio del “</w:t>
      </w:r>
      <w:r w:rsidR="004F6C36" w:rsidRPr="00AB261B">
        <w:rPr>
          <w:rFonts w:ascii="ITC Avant Garde" w:hAnsi="ITC Avant Garde" w:cs="Arial"/>
          <w:i/>
          <w:kern w:val="1"/>
          <w:lang w:eastAsia="ar-SA"/>
        </w:rPr>
        <w:t xml:space="preserve">Proyecto de Acuerdo </w:t>
      </w:r>
      <w:r w:rsidR="004F6C36">
        <w:rPr>
          <w:rFonts w:ascii="ITC Avant Garde" w:hAnsi="ITC Avant Garde" w:cs="Arial"/>
          <w:i/>
          <w:kern w:val="1"/>
          <w:lang w:eastAsia="ar-SA"/>
        </w:rPr>
        <w:t>por medio d</w:t>
      </w:r>
      <w:r w:rsidR="004F6C36" w:rsidRPr="00AB261B">
        <w:rPr>
          <w:rFonts w:ascii="ITC Avant Garde" w:hAnsi="ITC Avant Garde" w:cs="Arial"/>
          <w:i/>
          <w:kern w:val="1"/>
          <w:lang w:eastAsia="ar-SA"/>
        </w:rPr>
        <w:t xml:space="preserve">el cual </w:t>
      </w:r>
      <w:r w:rsidR="004F6C36">
        <w:rPr>
          <w:rFonts w:ascii="ITC Avant Garde" w:hAnsi="ITC Avant Garde" w:cs="Arial"/>
          <w:i/>
          <w:kern w:val="1"/>
          <w:lang w:eastAsia="ar-SA"/>
        </w:rPr>
        <w:t xml:space="preserve">el Pleno del Instituto Federal de Telecomunicaciones </w:t>
      </w:r>
      <w:r w:rsidR="004F6C36" w:rsidRPr="00AB261B">
        <w:rPr>
          <w:rFonts w:ascii="ITC Avant Garde" w:hAnsi="ITC Avant Garde" w:cs="Arial"/>
          <w:i/>
          <w:kern w:val="1"/>
          <w:lang w:eastAsia="ar-SA"/>
        </w:rPr>
        <w:t>clasifica la banda de frecuencias de 57-64 GHz como espectro libre y expide las condiciones técnicas de operación</w:t>
      </w:r>
      <w:r w:rsidR="002E39E6" w:rsidRPr="00AB261B">
        <w:rPr>
          <w:rFonts w:ascii="ITC Avant Garde" w:hAnsi="ITC Avant Garde" w:cs="Arial"/>
          <w:i/>
          <w:kern w:val="1"/>
          <w:lang w:eastAsia="ar-SA"/>
        </w:rPr>
        <w:t>”</w:t>
      </w:r>
      <w:r w:rsidR="00AC6E57">
        <w:rPr>
          <w:rFonts w:ascii="ITC Avant Garde" w:hAnsi="ITC Avant Garde" w:cs="Arial"/>
          <w:i/>
          <w:kern w:val="1"/>
          <w:lang w:eastAsia="ar-SA"/>
        </w:rPr>
        <w:t>.</w:t>
      </w:r>
    </w:p>
    <w:p w14:paraId="31AC955C" w14:textId="77777777" w:rsidR="007C0E3C" w:rsidRPr="007C0E3C" w:rsidRDefault="007C0E3C" w:rsidP="00D868C2">
      <w:pPr>
        <w:suppressAutoHyphens/>
        <w:spacing w:after="0" w:line="240" w:lineRule="auto"/>
        <w:ind w:left="567" w:right="49"/>
        <w:contextualSpacing/>
        <w:jc w:val="both"/>
        <w:rPr>
          <w:rFonts w:ascii="ITC Avant Garde" w:hAnsi="ITC Avant Garde" w:cs="Arial"/>
          <w:kern w:val="1"/>
          <w:lang w:eastAsia="ar-SA"/>
        </w:rPr>
      </w:pPr>
    </w:p>
    <w:p w14:paraId="1F07678A" w14:textId="3CFB93E1" w:rsidR="00514B40" w:rsidRPr="000411D5" w:rsidRDefault="00514B40" w:rsidP="00D868C2">
      <w:pPr>
        <w:autoSpaceDE w:val="0"/>
        <w:autoSpaceDN w:val="0"/>
        <w:adjustRightInd w:val="0"/>
        <w:spacing w:after="0" w:line="240" w:lineRule="auto"/>
        <w:jc w:val="both"/>
        <w:rPr>
          <w:rFonts w:ascii="ITC Avant Garde" w:hAnsi="ITC Avant Garde" w:cs="Arial"/>
          <w:lang w:eastAsia="es-MX"/>
        </w:rPr>
      </w:pPr>
      <w:r w:rsidRPr="000411D5">
        <w:rPr>
          <w:rFonts w:ascii="ITC Avant Garde" w:hAnsi="ITC Avant Garde" w:cs="Arial"/>
          <w:lang w:eastAsia="es-MX"/>
        </w:rPr>
        <w:t>En virtud de los Antecedentes expuestos y</w:t>
      </w:r>
    </w:p>
    <w:p w14:paraId="7A1BE209" w14:textId="77777777" w:rsidR="00FD7F33" w:rsidRPr="000411D5" w:rsidRDefault="00FD7F33" w:rsidP="00D868C2">
      <w:pPr>
        <w:autoSpaceDE w:val="0"/>
        <w:autoSpaceDN w:val="0"/>
        <w:adjustRightInd w:val="0"/>
        <w:spacing w:after="0" w:line="240" w:lineRule="auto"/>
        <w:jc w:val="both"/>
        <w:rPr>
          <w:rFonts w:ascii="ITC Avant Garde" w:hAnsi="ITC Avant Garde" w:cs="Arial"/>
          <w:lang w:eastAsia="es-MX"/>
        </w:rPr>
      </w:pPr>
    </w:p>
    <w:p w14:paraId="1ABB695C" w14:textId="77777777" w:rsidR="0099179E" w:rsidRPr="000411D5" w:rsidRDefault="0099179E" w:rsidP="00D868C2">
      <w:pPr>
        <w:spacing w:after="0" w:line="240" w:lineRule="auto"/>
        <w:jc w:val="center"/>
        <w:rPr>
          <w:rFonts w:ascii="ITC Avant Garde" w:eastAsia="Calibri" w:hAnsi="ITC Avant Garde" w:cs="Arial"/>
        </w:rPr>
      </w:pPr>
      <w:bookmarkStart w:id="1" w:name="_Toc413840355"/>
      <w:bookmarkStart w:id="2" w:name="_Toc413918668"/>
      <w:r w:rsidRPr="000411D5">
        <w:rPr>
          <w:rFonts w:ascii="ITC Avant Garde" w:eastAsia="Times New Roman" w:hAnsi="ITC Avant Garde" w:cs="Arial"/>
          <w:b/>
          <w:lang w:eastAsia="es-MX"/>
        </w:rPr>
        <w:t>CONSIDERANDO</w:t>
      </w:r>
      <w:bookmarkEnd w:id="1"/>
      <w:bookmarkEnd w:id="2"/>
    </w:p>
    <w:p w14:paraId="22C5AC17" w14:textId="77777777" w:rsidR="0099179E" w:rsidRPr="000411D5" w:rsidRDefault="0099179E" w:rsidP="00D868C2">
      <w:pPr>
        <w:spacing w:after="0" w:line="240" w:lineRule="auto"/>
        <w:rPr>
          <w:rFonts w:ascii="ITC Avant Garde" w:hAnsi="ITC Avant Garde" w:cs="Arial"/>
          <w:lang w:eastAsia="es-MX"/>
        </w:rPr>
      </w:pPr>
    </w:p>
    <w:p w14:paraId="1467B4A4" w14:textId="3F31BE32" w:rsidR="0099179E" w:rsidRPr="000411D5" w:rsidRDefault="0099179E" w:rsidP="00D868C2">
      <w:pPr>
        <w:numPr>
          <w:ilvl w:val="0"/>
          <w:numId w:val="16"/>
        </w:numPr>
        <w:pBdr>
          <w:top w:val="nil"/>
          <w:left w:val="nil"/>
          <w:bottom w:val="nil"/>
          <w:right w:val="nil"/>
          <w:between w:val="nil"/>
          <w:bar w:val="nil"/>
        </w:pBdr>
        <w:spacing w:after="0" w:line="240" w:lineRule="auto"/>
        <w:ind w:left="0" w:firstLine="0"/>
        <w:jc w:val="both"/>
        <w:outlineLvl w:val="1"/>
        <w:rPr>
          <w:rFonts w:ascii="ITC Avant Garde" w:eastAsia="Times New Roman" w:hAnsi="ITC Avant Garde" w:cs="Arial"/>
          <w:lang w:val="es-ES_tradnl"/>
        </w:rPr>
      </w:pPr>
      <w:r w:rsidRPr="000411D5">
        <w:rPr>
          <w:rFonts w:ascii="ITC Avant Garde" w:eastAsia="Arial Unicode MS" w:hAnsi="ITC Avant Garde" w:cs="Arial"/>
          <w:b/>
          <w:u w:color="000000"/>
          <w:bdr w:val="nil"/>
          <w:lang w:val="es-ES_tradnl"/>
        </w:rPr>
        <w:t>Competencia del Instituto.</w:t>
      </w:r>
      <w:r w:rsidRPr="000411D5">
        <w:rPr>
          <w:rFonts w:ascii="ITC Avant Garde" w:eastAsia="ITC Avant Garde" w:hAnsi="ITC Avant Garde" w:cs="Arial"/>
          <w:b/>
          <w:u w:color="000000"/>
          <w:bdr w:val="nil"/>
          <w:lang w:val="es-ES_tradnl"/>
        </w:rPr>
        <w:t xml:space="preserve"> </w:t>
      </w:r>
      <w:r w:rsidRPr="000411D5">
        <w:rPr>
          <w:rFonts w:ascii="ITC Avant Garde" w:eastAsia="Times New Roman" w:hAnsi="ITC Avant Garde" w:cs="Arial"/>
          <w:bCs/>
          <w:lang w:val="es-ES_tradnl"/>
        </w:rPr>
        <w:t xml:space="preserve">De conformidad con lo dispuesto en </w:t>
      </w:r>
      <w:r w:rsidR="008D0D01">
        <w:rPr>
          <w:rFonts w:ascii="ITC Avant Garde" w:eastAsia="Times New Roman" w:hAnsi="ITC Avant Garde" w:cs="Arial"/>
          <w:bCs/>
          <w:lang w:val="es-ES_tradnl"/>
        </w:rPr>
        <w:t xml:space="preserve">el artículo </w:t>
      </w:r>
      <w:r w:rsidRPr="000411D5">
        <w:rPr>
          <w:rFonts w:ascii="ITC Avant Garde" w:eastAsia="Times New Roman" w:hAnsi="ITC Avant Garde" w:cs="Arial"/>
          <w:bCs/>
          <w:lang w:val="es-ES_tradnl"/>
        </w:rPr>
        <w:t xml:space="preserve">28, </w:t>
      </w:r>
      <w:r w:rsidR="008D0D01">
        <w:rPr>
          <w:rFonts w:ascii="ITC Avant Garde" w:eastAsia="Times New Roman" w:hAnsi="ITC Avant Garde" w:cs="Arial"/>
          <w:bCs/>
          <w:lang w:val="es-ES_tradnl"/>
        </w:rPr>
        <w:t xml:space="preserve">párrafos </w:t>
      </w:r>
      <w:r w:rsidRPr="000411D5">
        <w:rPr>
          <w:rFonts w:ascii="ITC Avant Garde" w:eastAsia="Times New Roman" w:hAnsi="ITC Avant Garde" w:cs="Arial"/>
          <w:bCs/>
          <w:lang w:val="es-ES_tradnl"/>
        </w:rPr>
        <w:t xml:space="preserve">décimo quinto y décimo sexto de la Constitución Política de los Estados Unidos Mexicanos (Constitución); 1, 2, 7, 15 fracción </w:t>
      </w:r>
      <w:r w:rsidRPr="000411D5">
        <w:rPr>
          <w:rFonts w:ascii="ITC Avant Garde" w:eastAsia="Times New Roman" w:hAnsi="ITC Avant Garde" w:cs="Arial"/>
          <w:lang w:val="es-ES_tradnl"/>
        </w:rPr>
        <w:t>I</w:t>
      </w:r>
      <w:r w:rsidRPr="000411D5">
        <w:rPr>
          <w:rFonts w:ascii="ITC Avant Garde" w:eastAsia="Times New Roman" w:hAnsi="ITC Avant Garde" w:cs="Arial"/>
          <w:bCs/>
          <w:lang w:val="es-ES_tradnl"/>
        </w:rPr>
        <w:t xml:space="preserve">, 16, 17 fracción I, 54, </w:t>
      </w:r>
      <w:r w:rsidRPr="000411D5">
        <w:rPr>
          <w:rFonts w:ascii="ITC Avant Garde" w:eastAsia="Times New Roman" w:hAnsi="ITC Avant Garde" w:cs="Arial"/>
          <w:lang w:val="es-ES_tradnl"/>
        </w:rPr>
        <w:t>55, fracción II, 57 y 64</w:t>
      </w:r>
      <w:r w:rsidRPr="000411D5">
        <w:rPr>
          <w:rFonts w:ascii="ITC Avant Garde" w:eastAsia="Times New Roman" w:hAnsi="ITC Avant Garde" w:cs="Arial"/>
          <w:bCs/>
          <w:lang w:val="es-ES_tradnl"/>
        </w:rPr>
        <w:t xml:space="preserve"> de la Ley Federal de Telecomunicaciones y Radiodifusión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6989B996" w14:textId="77777777" w:rsidR="0099179E" w:rsidRPr="000411D5" w:rsidRDefault="0099179E" w:rsidP="00D868C2">
      <w:pPr>
        <w:suppressAutoHyphens/>
        <w:spacing w:after="0" w:line="240" w:lineRule="auto"/>
        <w:ind w:right="49"/>
        <w:jc w:val="both"/>
        <w:rPr>
          <w:rFonts w:ascii="ITC Avant Garde" w:eastAsia="Times New Roman" w:hAnsi="ITC Avant Garde" w:cs="Arial"/>
          <w:kern w:val="1"/>
          <w:lang w:val="es-ES_tradnl" w:eastAsia="ar-SA"/>
        </w:rPr>
      </w:pPr>
    </w:p>
    <w:p w14:paraId="63A1B0AB" w14:textId="6B6542DA" w:rsidR="0099179E" w:rsidRDefault="0099179E" w:rsidP="00D868C2">
      <w:pPr>
        <w:pStyle w:val="Textocomentario"/>
        <w:spacing w:after="0"/>
        <w:jc w:val="both"/>
        <w:rPr>
          <w:rFonts w:ascii="ITC Avant Garde" w:eastAsia="Times New Roman" w:hAnsi="ITC Avant Garde" w:cs="Arial"/>
          <w:b/>
          <w:bCs/>
          <w:sz w:val="22"/>
          <w:szCs w:val="22"/>
          <w:lang w:val="es-ES_tradnl"/>
        </w:rPr>
      </w:pPr>
      <w:r w:rsidRPr="000411D5">
        <w:rPr>
          <w:rFonts w:ascii="ITC Avant Garde" w:eastAsia="Times New Roman" w:hAnsi="ITC Avant Garde" w:cs="Arial"/>
          <w:bCs/>
          <w:sz w:val="22"/>
          <w:szCs w:val="22"/>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r w:rsidRPr="000411D5">
        <w:rPr>
          <w:rFonts w:ascii="ITC Avant Garde" w:eastAsia="Times New Roman" w:hAnsi="ITC Avant Garde" w:cs="Arial"/>
          <w:b/>
          <w:bCs/>
          <w:sz w:val="22"/>
          <w:szCs w:val="22"/>
          <w:lang w:val="es-ES_tradnl"/>
        </w:rPr>
        <w:t>.</w:t>
      </w:r>
    </w:p>
    <w:p w14:paraId="524E31CC" w14:textId="77777777" w:rsidR="004648BE" w:rsidRPr="000411D5" w:rsidRDefault="004648BE" w:rsidP="00D868C2">
      <w:pPr>
        <w:pStyle w:val="Textocomentario"/>
        <w:spacing w:after="0"/>
        <w:jc w:val="both"/>
        <w:rPr>
          <w:rFonts w:ascii="ITC Avant Garde" w:eastAsia="Times New Roman" w:hAnsi="ITC Avant Garde" w:cs="Arial"/>
          <w:b/>
          <w:bCs/>
          <w:sz w:val="22"/>
          <w:szCs w:val="22"/>
          <w:lang w:val="es-ES_tradnl"/>
        </w:rPr>
      </w:pPr>
    </w:p>
    <w:p w14:paraId="4D036FA7" w14:textId="21A4D19B" w:rsidR="0099179E" w:rsidRDefault="0099179E" w:rsidP="00D868C2">
      <w:pPr>
        <w:pStyle w:val="Prrafodelista"/>
        <w:pBdr>
          <w:top w:val="nil"/>
          <w:left w:val="nil"/>
          <w:bottom w:val="nil"/>
          <w:right w:val="nil"/>
          <w:between w:val="nil"/>
          <w:bar w:val="nil"/>
        </w:pBdr>
        <w:spacing w:after="0" w:line="240" w:lineRule="auto"/>
        <w:ind w:left="0"/>
        <w:contextualSpacing w:val="0"/>
        <w:jc w:val="both"/>
        <w:outlineLvl w:val="1"/>
        <w:rPr>
          <w:rFonts w:ascii="ITC Avant Garde" w:eastAsia="Times New Roman" w:hAnsi="ITC Avant Garde" w:cs="Arial"/>
          <w:bCs/>
          <w:lang w:val="es-ES_tradnl"/>
        </w:rPr>
      </w:pPr>
      <w:r w:rsidRPr="000411D5">
        <w:rPr>
          <w:rFonts w:ascii="ITC Avant Garde" w:eastAsia="Times New Roman" w:hAnsi="ITC Avant Garde" w:cs="Arial"/>
          <w:bCs/>
          <w:lang w:val="es-ES_tradnl"/>
        </w:rPr>
        <w:t>En este sentido, el Pleno, como órgano máximo de gobierno y decisión del Instituto, resulta competente para emitir el presente Acuerdo</w:t>
      </w:r>
      <w:r w:rsidR="00601F0D">
        <w:rPr>
          <w:rFonts w:ascii="ITC Avant Garde" w:eastAsia="Times New Roman" w:hAnsi="ITC Avant Garde" w:cs="Arial"/>
          <w:bCs/>
          <w:lang w:val="es-ES_tradnl"/>
        </w:rPr>
        <w:t>.</w:t>
      </w:r>
    </w:p>
    <w:p w14:paraId="3B61B12C" w14:textId="30D8DFF6" w:rsidR="000411D5" w:rsidRPr="000411D5" w:rsidRDefault="000411D5" w:rsidP="00D868C2">
      <w:pPr>
        <w:suppressAutoHyphens/>
        <w:spacing w:after="0" w:line="240" w:lineRule="auto"/>
        <w:ind w:right="49"/>
        <w:jc w:val="both"/>
        <w:rPr>
          <w:rFonts w:ascii="ITC Avant Garde" w:eastAsia="Times New Roman" w:hAnsi="ITC Avant Garde" w:cs="Arial"/>
          <w:kern w:val="1"/>
          <w:lang w:val="es-ES_tradnl" w:eastAsia="ar-SA"/>
        </w:rPr>
      </w:pPr>
    </w:p>
    <w:p w14:paraId="6C2ECCB6" w14:textId="49C37052" w:rsidR="0099179E" w:rsidRPr="000411D5" w:rsidRDefault="0099179E" w:rsidP="00D868C2">
      <w:pPr>
        <w:pStyle w:val="Prrafodelista"/>
        <w:numPr>
          <w:ilvl w:val="0"/>
          <w:numId w:val="16"/>
        </w:numPr>
        <w:pBdr>
          <w:top w:val="nil"/>
          <w:left w:val="nil"/>
          <w:bottom w:val="nil"/>
          <w:right w:val="nil"/>
          <w:between w:val="nil"/>
          <w:bar w:val="nil"/>
        </w:pBdr>
        <w:spacing w:after="0" w:line="240" w:lineRule="auto"/>
        <w:ind w:left="0" w:firstLine="0"/>
        <w:contextualSpacing w:val="0"/>
        <w:jc w:val="both"/>
        <w:rPr>
          <w:rFonts w:ascii="ITC Avant Garde" w:hAnsi="ITC Avant Garde" w:cs="Arial"/>
          <w:lang w:eastAsia="ar-SA"/>
        </w:rPr>
      </w:pPr>
      <w:r w:rsidRPr="000411D5">
        <w:rPr>
          <w:rFonts w:ascii="ITC Avant Garde" w:hAnsi="ITC Avant Garde" w:cs="Arial"/>
          <w:b/>
          <w:lang w:eastAsia="ar-SA"/>
        </w:rPr>
        <w:t>Identificación de bandas de espectro libre</w:t>
      </w:r>
      <w:r w:rsidRPr="000411D5">
        <w:rPr>
          <w:rFonts w:ascii="ITC Avant Garde" w:hAnsi="ITC Avant Garde" w:cs="Arial"/>
          <w:lang w:eastAsia="ar-SA"/>
        </w:rPr>
        <w:t xml:space="preserve">. </w:t>
      </w:r>
      <w:r w:rsidRPr="000411D5" w:rsidDel="008F4C58">
        <w:rPr>
          <w:rFonts w:ascii="ITC Avant Garde" w:hAnsi="ITC Avant Garde" w:cs="Arial"/>
          <w:u w:color="000000"/>
          <w:bdr w:val="nil"/>
        </w:rPr>
        <w:t>El</w:t>
      </w:r>
      <w:r w:rsidRPr="000411D5">
        <w:rPr>
          <w:rFonts w:ascii="ITC Avant Garde" w:hAnsi="ITC Avant Garde" w:cs="Arial"/>
          <w:u w:color="000000"/>
          <w:bdr w:val="nil"/>
        </w:rPr>
        <w:t xml:space="preserve"> artículo 27 de la Constitución establece, en su parte conducente, que corresponde a la Nación el dominio directo del espacio situado sobre el territorio nacional, y dado que las ondas electromagnéticas del espectro radioeléctrico pueden propagarse en dicho espacio, su explotación, el uso o el aprovechamiento, por los particulares o por sociedades constituidas conforme a las leyes mexicanas no podrá realizarse sino mediante concesiones otorgadas por el Instituto.</w:t>
      </w:r>
    </w:p>
    <w:p w14:paraId="5A704CD0" w14:textId="77777777" w:rsidR="0099179E" w:rsidRPr="000411D5" w:rsidRDefault="0099179E" w:rsidP="00D868C2">
      <w:pPr>
        <w:pStyle w:val="Prrafodelista"/>
        <w:pBdr>
          <w:top w:val="nil"/>
          <w:left w:val="nil"/>
          <w:bottom w:val="nil"/>
          <w:right w:val="nil"/>
          <w:between w:val="nil"/>
          <w:bar w:val="nil"/>
        </w:pBdr>
        <w:spacing w:after="0" w:line="240" w:lineRule="auto"/>
        <w:ind w:left="0"/>
        <w:contextualSpacing w:val="0"/>
        <w:jc w:val="both"/>
        <w:rPr>
          <w:rFonts w:ascii="ITC Avant Garde" w:hAnsi="ITC Avant Garde" w:cs="Arial"/>
          <w:b/>
          <w:lang w:eastAsia="ar-SA"/>
        </w:rPr>
      </w:pPr>
    </w:p>
    <w:p w14:paraId="213FBA94" w14:textId="01152185" w:rsidR="0099179E" w:rsidRPr="000411D5" w:rsidRDefault="0099179E" w:rsidP="00D868C2">
      <w:pPr>
        <w:pStyle w:val="Texto"/>
        <w:spacing w:after="0" w:line="240" w:lineRule="auto"/>
        <w:ind w:right="48" w:firstLine="0"/>
        <w:rPr>
          <w:rFonts w:ascii="ITC Avant Garde" w:eastAsiaTheme="minorHAnsi" w:hAnsi="ITC Avant Garde" w:cs="Arial"/>
          <w:color w:val="auto"/>
          <w:sz w:val="22"/>
          <w:szCs w:val="22"/>
          <w:lang w:val="es-MX"/>
        </w:rPr>
      </w:pPr>
      <w:r w:rsidRPr="000411D5">
        <w:rPr>
          <w:rFonts w:ascii="ITC Avant Garde" w:eastAsiaTheme="minorHAnsi" w:hAnsi="ITC Avant Garde" w:cs="Arial"/>
          <w:color w:val="auto"/>
          <w:sz w:val="22"/>
          <w:szCs w:val="22"/>
          <w:lang w:val="es-MX" w:eastAsia="es-ES"/>
        </w:rPr>
        <w:t>Es así que, en cumplimiento a lo que establece la Constitución, la Ley dispone que en todo momento el Estado mantendrá el dominio originario, inalienable e imprescriptible sobre el espectro radioeléctrico, otorgándole</w:t>
      </w:r>
      <w:r w:rsidR="00841761">
        <w:rPr>
          <w:rFonts w:ascii="ITC Avant Garde" w:eastAsiaTheme="minorHAnsi" w:hAnsi="ITC Avant Garde" w:cs="Arial"/>
          <w:color w:val="auto"/>
          <w:sz w:val="22"/>
          <w:szCs w:val="22"/>
          <w:lang w:val="es-MX" w:eastAsia="es-ES"/>
        </w:rPr>
        <w:t xml:space="preserve"> a este bien el carácter de vía general</w:t>
      </w:r>
      <w:r w:rsidRPr="000411D5">
        <w:rPr>
          <w:rFonts w:ascii="ITC Avant Garde" w:eastAsiaTheme="minorHAnsi" w:hAnsi="ITC Avant Garde" w:cs="Arial"/>
          <w:color w:val="auto"/>
          <w:sz w:val="22"/>
          <w:szCs w:val="22"/>
          <w:lang w:val="es-MX" w:eastAsia="es-ES"/>
        </w:rPr>
        <w:t xml:space="preserve"> de comunicación.</w:t>
      </w:r>
    </w:p>
    <w:p w14:paraId="24E592A3" w14:textId="77777777" w:rsidR="0099179E" w:rsidRPr="000411D5" w:rsidRDefault="0099179E" w:rsidP="00D868C2">
      <w:pPr>
        <w:pStyle w:val="Texto"/>
        <w:spacing w:after="0" w:line="240" w:lineRule="auto"/>
        <w:ind w:right="48" w:firstLine="0"/>
        <w:rPr>
          <w:rFonts w:ascii="ITC Avant Garde" w:hAnsi="ITC Avant Garde" w:cs="Arial"/>
          <w:color w:val="auto"/>
          <w:sz w:val="22"/>
          <w:szCs w:val="22"/>
        </w:rPr>
      </w:pPr>
    </w:p>
    <w:p w14:paraId="16374D03" w14:textId="231D76B7" w:rsidR="0099179E" w:rsidRPr="000411D5" w:rsidRDefault="0099179E" w:rsidP="00D868C2">
      <w:pPr>
        <w:pStyle w:val="Texto"/>
        <w:spacing w:after="0" w:line="240" w:lineRule="auto"/>
        <w:ind w:right="48" w:firstLine="0"/>
        <w:rPr>
          <w:rFonts w:ascii="ITC Avant Garde" w:hAnsi="ITC Avant Garde" w:cs="Arial"/>
          <w:color w:val="auto"/>
          <w:sz w:val="22"/>
          <w:szCs w:val="22"/>
        </w:rPr>
      </w:pPr>
      <w:r w:rsidRPr="000411D5">
        <w:rPr>
          <w:rFonts w:ascii="ITC Avant Garde" w:hAnsi="ITC Avant Garde" w:cs="Arial"/>
          <w:color w:val="auto"/>
          <w:sz w:val="22"/>
          <w:szCs w:val="22"/>
        </w:rPr>
        <w:t>El artículo 3, fracción XXI de la Ley, define espectro radioeléctrico como:</w:t>
      </w:r>
    </w:p>
    <w:p w14:paraId="62921EBD" w14:textId="77777777" w:rsidR="0099179E" w:rsidRPr="000411D5" w:rsidRDefault="0099179E" w:rsidP="00D868C2">
      <w:pPr>
        <w:pStyle w:val="Texto"/>
        <w:spacing w:after="0" w:line="240" w:lineRule="auto"/>
        <w:ind w:right="1182" w:firstLine="0"/>
        <w:rPr>
          <w:rFonts w:ascii="ITC Avant Garde" w:hAnsi="ITC Avant Garde" w:cs="Arial"/>
          <w:i/>
          <w:color w:val="auto"/>
          <w:sz w:val="22"/>
          <w:szCs w:val="22"/>
        </w:rPr>
      </w:pPr>
    </w:p>
    <w:p w14:paraId="1AB230C6" w14:textId="4DDF9955" w:rsidR="0099179E" w:rsidRPr="00836588" w:rsidRDefault="0099179E" w:rsidP="00D868C2">
      <w:pPr>
        <w:pStyle w:val="Texto"/>
        <w:spacing w:after="0" w:line="240" w:lineRule="auto"/>
        <w:ind w:left="1134" w:right="1183" w:firstLine="0"/>
        <w:rPr>
          <w:rFonts w:ascii="ITC Avant Garde" w:hAnsi="ITC Avant Garde" w:cs="Arial"/>
          <w:i/>
          <w:color w:val="auto"/>
          <w:sz w:val="22"/>
          <w:szCs w:val="22"/>
        </w:rPr>
      </w:pPr>
      <w:r w:rsidRPr="00836588">
        <w:rPr>
          <w:rFonts w:ascii="ITC Avant Garde" w:hAnsi="ITC Avant Garde" w:cs="Arial"/>
          <w:i/>
          <w:color w:val="auto"/>
          <w:sz w:val="22"/>
          <w:szCs w:val="22"/>
        </w:rPr>
        <w:lastRenderedPageBreak/>
        <w:t>“</w:t>
      </w:r>
      <w:r w:rsidRPr="00836588">
        <w:rPr>
          <w:rFonts w:ascii="ITC Avant Garde" w:hAnsi="ITC Avant Garde" w:cs="Arial"/>
          <w:b/>
          <w:i/>
          <w:color w:val="auto"/>
          <w:sz w:val="22"/>
          <w:szCs w:val="22"/>
        </w:rPr>
        <w:t>Artículo 3</w:t>
      </w:r>
      <w:r w:rsidRPr="00836588">
        <w:rPr>
          <w:rFonts w:ascii="ITC Avant Garde" w:hAnsi="ITC Avant Garde" w:cs="Arial"/>
          <w:i/>
          <w:color w:val="auto"/>
          <w:sz w:val="22"/>
          <w:szCs w:val="22"/>
        </w:rPr>
        <w:t>. Para los efectos de esta Ley se entenderá por:</w:t>
      </w:r>
    </w:p>
    <w:p w14:paraId="4105D5ED" w14:textId="77777777" w:rsidR="0099179E" w:rsidRPr="00836588" w:rsidRDefault="0099179E" w:rsidP="00D868C2">
      <w:pPr>
        <w:pStyle w:val="Texto"/>
        <w:spacing w:after="0" w:line="240" w:lineRule="auto"/>
        <w:ind w:left="1134" w:right="1183" w:firstLine="0"/>
        <w:rPr>
          <w:rFonts w:ascii="ITC Avant Garde" w:hAnsi="ITC Avant Garde" w:cs="Arial"/>
          <w:i/>
          <w:color w:val="auto"/>
          <w:sz w:val="22"/>
          <w:szCs w:val="22"/>
        </w:rPr>
      </w:pPr>
      <w:r w:rsidRPr="00836588">
        <w:rPr>
          <w:rFonts w:ascii="ITC Avant Garde" w:hAnsi="ITC Avant Garde" w:cs="Arial"/>
          <w:i/>
          <w:color w:val="auto"/>
          <w:sz w:val="22"/>
          <w:szCs w:val="22"/>
        </w:rPr>
        <w:t>(…)</w:t>
      </w:r>
    </w:p>
    <w:p w14:paraId="17ECAF34" w14:textId="039CD9EF" w:rsidR="0099179E" w:rsidRPr="00836588" w:rsidRDefault="0099179E" w:rsidP="00D868C2">
      <w:pPr>
        <w:pStyle w:val="Texto"/>
        <w:spacing w:after="0" w:line="240" w:lineRule="auto"/>
        <w:ind w:left="1134" w:right="1183" w:firstLine="0"/>
        <w:rPr>
          <w:rFonts w:ascii="ITC Avant Garde" w:hAnsi="ITC Avant Garde" w:cs="Arial"/>
          <w:i/>
          <w:color w:val="auto"/>
          <w:sz w:val="22"/>
          <w:szCs w:val="22"/>
        </w:rPr>
      </w:pPr>
      <w:r w:rsidRPr="00836588">
        <w:rPr>
          <w:rFonts w:ascii="ITC Avant Garde" w:hAnsi="ITC Avant Garde" w:cs="Arial"/>
          <w:b/>
          <w:i/>
          <w:color w:val="auto"/>
          <w:sz w:val="22"/>
          <w:szCs w:val="22"/>
        </w:rPr>
        <w:t>XXI.</w:t>
      </w:r>
      <w:r w:rsidRPr="00836588">
        <w:rPr>
          <w:rFonts w:ascii="ITC Avant Garde" w:hAnsi="ITC Avant Garde" w:cs="Arial"/>
          <w:i/>
          <w:color w:val="auto"/>
          <w:sz w:val="22"/>
          <w:szCs w:val="22"/>
        </w:rPr>
        <w:t xml:space="preserve"> </w:t>
      </w:r>
      <w:r w:rsidRPr="00836588">
        <w:rPr>
          <w:rFonts w:ascii="ITC Avant Garde" w:hAnsi="ITC Avant Garde" w:cs="Arial"/>
          <w:b/>
          <w:i/>
          <w:color w:val="auto"/>
          <w:sz w:val="22"/>
          <w:szCs w:val="22"/>
        </w:rPr>
        <w:t>Espectro radioeléctrico:</w:t>
      </w:r>
      <w:r w:rsidRPr="00836588">
        <w:rPr>
          <w:rFonts w:ascii="ITC Avant Garde" w:hAnsi="ITC Avant Garde" w:cs="Arial"/>
          <w:i/>
          <w:color w:val="auto"/>
          <w:sz w:val="22"/>
          <w:szCs w:val="22"/>
        </w:rPr>
        <w:t xml:space="preserve"> Espacio que permite la propagación, sin guía artificial, de ondas electromagnéticas cuyas bandas de frecuencias se fijan convencionalmente por debajo de los 3,000 gigahertz;</w:t>
      </w:r>
    </w:p>
    <w:p w14:paraId="6E0A2A04" w14:textId="77777777" w:rsidR="0099179E" w:rsidRPr="00836588" w:rsidRDefault="0099179E" w:rsidP="00D868C2">
      <w:pPr>
        <w:pStyle w:val="Texto"/>
        <w:spacing w:after="0" w:line="240" w:lineRule="auto"/>
        <w:ind w:left="1134" w:right="1183" w:firstLine="0"/>
        <w:rPr>
          <w:rFonts w:ascii="ITC Avant Garde" w:hAnsi="ITC Avant Garde" w:cs="Arial"/>
          <w:i/>
          <w:color w:val="auto"/>
          <w:sz w:val="22"/>
          <w:szCs w:val="22"/>
        </w:rPr>
      </w:pPr>
      <w:r w:rsidRPr="00836588">
        <w:rPr>
          <w:rFonts w:ascii="ITC Avant Garde" w:hAnsi="ITC Avant Garde" w:cs="Arial"/>
          <w:i/>
          <w:color w:val="auto"/>
          <w:sz w:val="22"/>
          <w:szCs w:val="22"/>
        </w:rPr>
        <w:t>(…)”</w:t>
      </w:r>
    </w:p>
    <w:p w14:paraId="16FACA46" w14:textId="77777777" w:rsidR="0099179E" w:rsidRPr="000411D5" w:rsidRDefault="0099179E" w:rsidP="00D868C2">
      <w:pPr>
        <w:pStyle w:val="Texto"/>
        <w:spacing w:after="0" w:line="240" w:lineRule="auto"/>
        <w:ind w:right="1182" w:firstLine="0"/>
        <w:rPr>
          <w:rFonts w:ascii="ITC Avant Garde" w:hAnsi="ITC Avant Garde" w:cs="Arial"/>
          <w:i/>
          <w:color w:val="auto"/>
          <w:sz w:val="22"/>
          <w:szCs w:val="22"/>
        </w:rPr>
      </w:pPr>
    </w:p>
    <w:p w14:paraId="2E2EABC8" w14:textId="33D9E3CB" w:rsidR="0099179E" w:rsidRPr="000411D5" w:rsidRDefault="0099179E" w:rsidP="00D868C2">
      <w:pPr>
        <w:pStyle w:val="Texto"/>
        <w:spacing w:after="0" w:line="240" w:lineRule="auto"/>
        <w:ind w:right="48" w:firstLine="0"/>
        <w:rPr>
          <w:rStyle w:val="Ttulo3Car"/>
          <w:rFonts w:ascii="ITC Avant Garde" w:eastAsia="Calibri" w:hAnsi="ITC Avant Garde" w:cs="Arial"/>
          <w:b/>
          <w:color w:val="auto"/>
          <w:sz w:val="22"/>
          <w:szCs w:val="22"/>
        </w:rPr>
      </w:pPr>
      <w:r w:rsidRPr="000411D5">
        <w:rPr>
          <w:rFonts w:ascii="ITC Avant Garde" w:eastAsiaTheme="minorHAnsi" w:hAnsi="ITC Avant Garde" w:cs="Arial"/>
          <w:color w:val="auto"/>
          <w:sz w:val="22"/>
          <w:szCs w:val="22"/>
          <w:lang w:val="es-MX"/>
        </w:rPr>
        <w:t>En esta tesitura, debe considerarse que el espectro radioeléctrico es un</w:t>
      </w:r>
      <w:r w:rsidR="00841761">
        <w:rPr>
          <w:rFonts w:ascii="ITC Avant Garde" w:eastAsiaTheme="minorHAnsi" w:hAnsi="ITC Avant Garde" w:cs="Arial"/>
          <w:color w:val="auto"/>
          <w:sz w:val="22"/>
          <w:szCs w:val="22"/>
          <w:lang w:val="es-MX"/>
        </w:rPr>
        <w:t xml:space="preserve"> bien finito, pero reutilizable,</w:t>
      </w:r>
      <w:r w:rsidRPr="000411D5">
        <w:rPr>
          <w:rFonts w:ascii="ITC Avant Garde" w:eastAsiaTheme="minorHAnsi" w:hAnsi="ITC Avant Garde" w:cs="Arial"/>
          <w:color w:val="auto"/>
          <w:sz w:val="22"/>
          <w:szCs w:val="22"/>
          <w:lang w:val="es-MX"/>
        </w:rPr>
        <w:t xml:space="preserve"> </w:t>
      </w:r>
      <w:r w:rsidR="00841761">
        <w:rPr>
          <w:rFonts w:ascii="ITC Avant Garde" w:hAnsi="ITC Avant Garde" w:cs="Arial"/>
          <w:color w:val="auto"/>
          <w:sz w:val="22"/>
          <w:szCs w:val="22"/>
        </w:rPr>
        <w:t>p</w:t>
      </w:r>
      <w:r w:rsidRPr="000411D5">
        <w:rPr>
          <w:rFonts w:ascii="ITC Avant Garde" w:hAnsi="ITC Avant Garde" w:cs="Arial"/>
          <w:color w:val="auto"/>
          <w:sz w:val="22"/>
          <w:szCs w:val="22"/>
        </w:rPr>
        <w:t>or lo que, desde la iniciativa de la Ley, presentada por el Ejecutivo Federal ante la Cámara de Senadores y, que posteriormente fue aprobada por ambas cámaras, se consideró que la planificación del espectro radioeléctrico constituye una de las tareas más relevantes del Estado en materia de telecomunicaciones, toda vez que este recurso es el elemento primario e indispensable de las comunicaciones inalámbricas, por lo que se convierte en un recurso extremadamente escaso y de gran valor</w:t>
      </w:r>
      <w:r w:rsidRPr="000411D5">
        <w:rPr>
          <w:rStyle w:val="Refdenotaalpie"/>
          <w:rFonts w:ascii="ITC Avant Garde" w:hAnsi="ITC Avant Garde" w:cs="Arial"/>
          <w:color w:val="auto"/>
          <w:sz w:val="22"/>
          <w:szCs w:val="22"/>
        </w:rPr>
        <w:footnoteReference w:id="2"/>
      </w:r>
      <w:r w:rsidRPr="000411D5">
        <w:rPr>
          <w:rStyle w:val="Ttulo3Car"/>
          <w:rFonts w:ascii="ITC Avant Garde" w:eastAsia="Arial Unicode MS" w:hAnsi="ITC Avant Garde" w:cs="Arial"/>
          <w:color w:val="auto"/>
          <w:sz w:val="22"/>
          <w:szCs w:val="22"/>
        </w:rPr>
        <w:t>.</w:t>
      </w:r>
    </w:p>
    <w:p w14:paraId="4F80F504" w14:textId="77777777" w:rsidR="0099179E" w:rsidRPr="000411D5" w:rsidRDefault="0099179E" w:rsidP="00D868C2">
      <w:pPr>
        <w:pStyle w:val="Prrafodelista"/>
        <w:spacing w:after="0" w:line="240" w:lineRule="auto"/>
        <w:ind w:left="0"/>
        <w:contextualSpacing w:val="0"/>
        <w:jc w:val="both"/>
        <w:rPr>
          <w:rStyle w:val="Ttulo3Car"/>
          <w:rFonts w:ascii="ITC Avant Garde" w:eastAsia="Arial Unicode MS" w:hAnsi="ITC Avant Garde" w:cs="Arial"/>
          <w:color w:val="auto"/>
          <w:sz w:val="22"/>
          <w:szCs w:val="22"/>
        </w:rPr>
      </w:pPr>
    </w:p>
    <w:p w14:paraId="214480BC" w14:textId="7BE13EB6" w:rsidR="0099179E" w:rsidRPr="000411D5" w:rsidRDefault="0099179E" w:rsidP="00D868C2">
      <w:pPr>
        <w:pStyle w:val="Prrafodelista"/>
        <w:spacing w:after="0" w:line="240" w:lineRule="auto"/>
        <w:ind w:left="0"/>
        <w:contextualSpacing w:val="0"/>
        <w:jc w:val="both"/>
        <w:rPr>
          <w:rFonts w:ascii="ITC Avant Garde" w:hAnsi="ITC Avant Garde" w:cs="Arial"/>
        </w:rPr>
      </w:pPr>
      <w:r w:rsidRPr="000411D5">
        <w:rPr>
          <w:rFonts w:ascii="ITC Avant Garde" w:hAnsi="ITC Avant Garde" w:cs="Arial"/>
        </w:rPr>
        <w:t xml:space="preserve">Además, se previó que el espectro radioeléctrico como un bien de dominio público de la Nación y de naturaleza limitada, se debe aprovechar al máximo a través de una regulación eficiente e idónea, que permita el uso, aprovechamiento y explotación de dicho bien, en beneficio de la Nación. </w:t>
      </w:r>
    </w:p>
    <w:p w14:paraId="5C0B5D73" w14:textId="77777777" w:rsidR="0099179E" w:rsidRPr="000411D5" w:rsidRDefault="0099179E" w:rsidP="00D868C2">
      <w:pPr>
        <w:pStyle w:val="Prrafodelista"/>
        <w:spacing w:after="0" w:line="240" w:lineRule="auto"/>
        <w:ind w:left="0"/>
        <w:contextualSpacing w:val="0"/>
        <w:jc w:val="both"/>
        <w:rPr>
          <w:rStyle w:val="Ttulo3Car"/>
          <w:rFonts w:ascii="ITC Avant Garde" w:eastAsia="Arial Unicode MS" w:hAnsi="ITC Avant Garde" w:cs="Arial"/>
          <w:b/>
          <w:color w:val="auto"/>
          <w:sz w:val="22"/>
          <w:szCs w:val="22"/>
        </w:rPr>
      </w:pPr>
    </w:p>
    <w:p w14:paraId="3B0CE49C" w14:textId="7C54CA17" w:rsidR="0099179E" w:rsidRPr="000411D5" w:rsidRDefault="0099179E" w:rsidP="00D868C2">
      <w:pPr>
        <w:pStyle w:val="Prrafodelista"/>
        <w:spacing w:after="0" w:line="240" w:lineRule="auto"/>
        <w:ind w:left="0"/>
        <w:contextualSpacing w:val="0"/>
        <w:jc w:val="both"/>
        <w:rPr>
          <w:rFonts w:ascii="ITC Avant Garde" w:hAnsi="ITC Avant Garde" w:cs="Arial"/>
        </w:rPr>
      </w:pPr>
      <w:r w:rsidRPr="000411D5">
        <w:rPr>
          <w:rFonts w:ascii="ITC Avant Garde" w:hAnsi="ITC Avant Garde" w:cs="Arial"/>
        </w:rPr>
        <w:t xml:space="preserve">Por tanto, los artículos 54 y 55, fracción II de la Ley, en </w:t>
      </w:r>
      <w:r w:rsidR="002E72D1">
        <w:rPr>
          <w:rFonts w:ascii="ITC Avant Garde" w:hAnsi="ITC Avant Garde" w:cs="Arial"/>
        </w:rPr>
        <w:t>la parte que interesa, indican:</w:t>
      </w:r>
    </w:p>
    <w:p w14:paraId="78AB1AB9" w14:textId="77777777" w:rsidR="0099179E" w:rsidRPr="000411D5" w:rsidRDefault="0099179E" w:rsidP="00D868C2">
      <w:pPr>
        <w:pStyle w:val="Texto"/>
        <w:spacing w:after="0" w:line="240" w:lineRule="auto"/>
        <w:ind w:firstLine="0"/>
        <w:rPr>
          <w:rFonts w:ascii="ITC Avant Garde" w:hAnsi="ITC Avant Garde" w:cs="Arial"/>
          <w:color w:val="auto"/>
          <w:sz w:val="22"/>
          <w:szCs w:val="22"/>
        </w:rPr>
      </w:pPr>
    </w:p>
    <w:p w14:paraId="572D142E" w14:textId="42C0A698" w:rsidR="0099179E" w:rsidRPr="00836588" w:rsidRDefault="0099179E" w:rsidP="00D868C2">
      <w:pPr>
        <w:pStyle w:val="Prrafodelista"/>
        <w:spacing w:after="0" w:line="240" w:lineRule="auto"/>
        <w:ind w:left="1134" w:right="1183"/>
        <w:contextualSpacing w:val="0"/>
        <w:jc w:val="both"/>
        <w:rPr>
          <w:rStyle w:val="Ttulo3Car"/>
          <w:rFonts w:ascii="ITC Avant Garde" w:eastAsia="Arial Unicode MS" w:hAnsi="ITC Avant Garde" w:cs="Arial"/>
          <w:i/>
          <w:color w:val="auto"/>
          <w:sz w:val="22"/>
          <w:szCs w:val="22"/>
        </w:rPr>
      </w:pPr>
      <w:r w:rsidRPr="00836588">
        <w:rPr>
          <w:rStyle w:val="Ttulo3Car"/>
          <w:rFonts w:ascii="ITC Avant Garde" w:eastAsia="Arial Unicode MS" w:hAnsi="ITC Avant Garde" w:cs="Arial"/>
          <w:i/>
          <w:color w:val="auto"/>
          <w:sz w:val="22"/>
          <w:szCs w:val="22"/>
        </w:rPr>
        <w:t>“</w:t>
      </w:r>
      <w:r w:rsidRPr="00836588">
        <w:rPr>
          <w:rStyle w:val="Ttulo3Car"/>
          <w:rFonts w:ascii="ITC Avant Garde" w:eastAsia="Arial Unicode MS" w:hAnsi="ITC Avant Garde" w:cs="Arial"/>
          <w:b/>
          <w:i/>
          <w:color w:val="auto"/>
          <w:sz w:val="22"/>
          <w:szCs w:val="22"/>
        </w:rPr>
        <w:t>Artículo 54</w:t>
      </w:r>
      <w:r w:rsidRPr="00836588">
        <w:rPr>
          <w:rStyle w:val="Ttulo3Car"/>
          <w:rFonts w:ascii="ITC Avant Garde" w:eastAsia="Arial Unicode MS" w:hAnsi="ITC Avant Garde" w:cs="Arial"/>
          <w:i/>
          <w:color w:val="auto"/>
          <w:sz w:val="22"/>
          <w:szCs w:val="22"/>
        </w:rPr>
        <w:t>. El espectro radioeléctrico y los recursos orbitales son bienes del dominio público de la Nación, cuya titularidad y administración corresponden al Estado.</w:t>
      </w:r>
    </w:p>
    <w:p w14:paraId="776C14FB" w14:textId="77777777" w:rsidR="0099179E" w:rsidRPr="00836588" w:rsidRDefault="0099179E" w:rsidP="00D868C2">
      <w:pPr>
        <w:pStyle w:val="Prrafodelista"/>
        <w:spacing w:after="0" w:line="240" w:lineRule="auto"/>
        <w:ind w:left="1134" w:right="1183"/>
        <w:contextualSpacing w:val="0"/>
        <w:jc w:val="both"/>
        <w:rPr>
          <w:rStyle w:val="Ttulo3Car"/>
          <w:rFonts w:ascii="ITC Avant Garde" w:eastAsia="Arial Unicode MS" w:hAnsi="ITC Avant Garde" w:cs="Arial"/>
          <w:b/>
          <w:i/>
          <w:color w:val="auto"/>
          <w:sz w:val="22"/>
          <w:szCs w:val="22"/>
        </w:rPr>
      </w:pPr>
    </w:p>
    <w:p w14:paraId="086DCD16" w14:textId="12BB5C5C" w:rsidR="0099179E" w:rsidRPr="00836588" w:rsidRDefault="0099179E" w:rsidP="00D868C2">
      <w:pPr>
        <w:pStyle w:val="Prrafodelista"/>
        <w:spacing w:after="0" w:line="240" w:lineRule="auto"/>
        <w:ind w:left="1134" w:right="1183"/>
        <w:contextualSpacing w:val="0"/>
        <w:jc w:val="both"/>
        <w:rPr>
          <w:rStyle w:val="Ttulo3Car"/>
          <w:rFonts w:ascii="ITC Avant Garde" w:eastAsia="Arial Unicode MS" w:hAnsi="ITC Avant Garde" w:cs="Arial"/>
          <w:i/>
          <w:color w:val="auto"/>
          <w:sz w:val="22"/>
          <w:szCs w:val="22"/>
        </w:rPr>
      </w:pPr>
      <w:r w:rsidRPr="00836588">
        <w:rPr>
          <w:rStyle w:val="Ttulo3Car"/>
          <w:rFonts w:ascii="ITC Avant Garde" w:eastAsia="Arial Unicode MS" w:hAnsi="ITC Avant Garde" w:cs="Arial"/>
          <w:i/>
          <w:color w:val="auto"/>
          <w:sz w:val="22"/>
          <w:szCs w:val="22"/>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776167AE" w14:textId="77777777" w:rsidR="0099179E" w:rsidRPr="00836588" w:rsidRDefault="0099179E" w:rsidP="00D868C2">
      <w:pPr>
        <w:pStyle w:val="Prrafodelista"/>
        <w:spacing w:after="0" w:line="240" w:lineRule="auto"/>
        <w:ind w:left="1134" w:right="1183"/>
        <w:contextualSpacing w:val="0"/>
        <w:jc w:val="both"/>
        <w:rPr>
          <w:rStyle w:val="Ttulo3Car"/>
          <w:rFonts w:ascii="ITC Avant Garde" w:eastAsia="Arial Unicode MS" w:hAnsi="ITC Avant Garde" w:cs="Arial"/>
          <w:b/>
          <w:i/>
          <w:color w:val="auto"/>
          <w:sz w:val="22"/>
          <w:szCs w:val="22"/>
        </w:rPr>
      </w:pPr>
    </w:p>
    <w:p w14:paraId="6ED3823B" w14:textId="30C40291" w:rsidR="0099179E" w:rsidRPr="00836588" w:rsidRDefault="0099179E" w:rsidP="00D868C2">
      <w:pPr>
        <w:pStyle w:val="Prrafodelista"/>
        <w:spacing w:after="0" w:line="240" w:lineRule="auto"/>
        <w:ind w:left="1134" w:right="1183"/>
        <w:contextualSpacing w:val="0"/>
        <w:jc w:val="both"/>
        <w:rPr>
          <w:rStyle w:val="Ttulo3Car"/>
          <w:rFonts w:ascii="ITC Avant Garde" w:eastAsia="Arial Unicode MS" w:hAnsi="ITC Avant Garde" w:cs="Arial"/>
          <w:i/>
          <w:color w:val="auto"/>
          <w:sz w:val="22"/>
          <w:szCs w:val="22"/>
        </w:rPr>
      </w:pPr>
      <w:r w:rsidRPr="00836588">
        <w:rPr>
          <w:rStyle w:val="Ttulo3Car"/>
          <w:rFonts w:ascii="ITC Avant Garde" w:eastAsia="Arial Unicode MS" w:hAnsi="ITC Avant Garde" w:cs="Arial"/>
          <w:i/>
          <w:color w:val="auto"/>
          <w:sz w:val="22"/>
          <w:szCs w:val="22"/>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433813BC" w14:textId="77777777" w:rsidR="0099179E" w:rsidRPr="00836588" w:rsidRDefault="0099179E" w:rsidP="00D868C2">
      <w:pPr>
        <w:pStyle w:val="Prrafodelista"/>
        <w:spacing w:after="0" w:line="240" w:lineRule="auto"/>
        <w:ind w:left="1134" w:right="1183"/>
        <w:contextualSpacing w:val="0"/>
        <w:jc w:val="both"/>
        <w:rPr>
          <w:rStyle w:val="Ttulo3Car"/>
          <w:rFonts w:ascii="ITC Avant Garde" w:eastAsia="Arial Unicode MS" w:hAnsi="ITC Avant Garde" w:cs="Arial"/>
          <w:b/>
          <w:i/>
          <w:color w:val="auto"/>
          <w:sz w:val="22"/>
          <w:szCs w:val="22"/>
        </w:rPr>
      </w:pPr>
    </w:p>
    <w:p w14:paraId="5959E857" w14:textId="2BA0DD01" w:rsidR="0099179E" w:rsidRPr="00836588" w:rsidRDefault="0099179E" w:rsidP="00D868C2">
      <w:pPr>
        <w:pStyle w:val="Prrafodelista"/>
        <w:spacing w:after="0" w:line="240" w:lineRule="auto"/>
        <w:ind w:left="1134" w:right="1183"/>
        <w:contextualSpacing w:val="0"/>
        <w:jc w:val="both"/>
        <w:rPr>
          <w:rStyle w:val="Ttulo3Car"/>
          <w:rFonts w:ascii="ITC Avant Garde" w:eastAsia="Arial Unicode MS" w:hAnsi="ITC Avant Garde" w:cs="Arial"/>
          <w:i/>
          <w:color w:val="auto"/>
          <w:sz w:val="22"/>
          <w:szCs w:val="22"/>
        </w:rPr>
      </w:pPr>
      <w:r w:rsidRPr="00836588">
        <w:rPr>
          <w:rStyle w:val="Ttulo3Car"/>
          <w:rFonts w:ascii="ITC Avant Garde" w:eastAsia="Arial Unicode MS" w:hAnsi="ITC Avant Garde" w:cs="Arial"/>
          <w:i/>
          <w:color w:val="auto"/>
          <w:sz w:val="22"/>
          <w:szCs w:val="22"/>
        </w:rPr>
        <w:t>Al administrar el espectro, el Instituto perseguirá los siguientes objetivos generales en beneficio de los usuarios:</w:t>
      </w:r>
    </w:p>
    <w:p w14:paraId="693331A9" w14:textId="77777777" w:rsidR="0099179E" w:rsidRPr="00836588" w:rsidRDefault="0099179E" w:rsidP="00D868C2">
      <w:pPr>
        <w:pStyle w:val="Prrafodelista"/>
        <w:spacing w:after="0" w:line="240" w:lineRule="auto"/>
        <w:ind w:left="1134" w:right="1183"/>
        <w:contextualSpacing w:val="0"/>
        <w:jc w:val="both"/>
        <w:rPr>
          <w:rStyle w:val="Ttulo3Car"/>
          <w:rFonts w:ascii="ITC Avant Garde" w:eastAsia="Arial Unicode MS" w:hAnsi="ITC Avant Garde" w:cs="Arial"/>
          <w:b/>
          <w:i/>
          <w:color w:val="auto"/>
          <w:sz w:val="22"/>
          <w:szCs w:val="22"/>
        </w:rPr>
      </w:pPr>
    </w:p>
    <w:p w14:paraId="6C051B59" w14:textId="460203E5" w:rsidR="0099179E" w:rsidRPr="00836588" w:rsidRDefault="0099179E" w:rsidP="00D868C2">
      <w:pPr>
        <w:pStyle w:val="Prrafodelista"/>
        <w:numPr>
          <w:ilvl w:val="0"/>
          <w:numId w:val="7"/>
        </w:numPr>
        <w:pBdr>
          <w:top w:val="nil"/>
          <w:left w:val="nil"/>
          <w:bottom w:val="nil"/>
          <w:right w:val="nil"/>
          <w:between w:val="nil"/>
          <w:bar w:val="nil"/>
        </w:pBdr>
        <w:tabs>
          <w:tab w:val="left" w:pos="1134"/>
        </w:tabs>
        <w:spacing w:after="0" w:line="240" w:lineRule="auto"/>
        <w:ind w:left="1134" w:right="1183" w:firstLine="0"/>
        <w:contextualSpacing w:val="0"/>
        <w:jc w:val="both"/>
        <w:rPr>
          <w:rStyle w:val="Ttulo3Car"/>
          <w:rFonts w:ascii="ITC Avant Garde" w:eastAsia="Arial Unicode MS" w:hAnsi="ITC Avant Garde" w:cs="Arial"/>
          <w:b/>
          <w:i/>
          <w:color w:val="auto"/>
          <w:sz w:val="22"/>
          <w:szCs w:val="22"/>
        </w:rPr>
      </w:pPr>
      <w:r w:rsidRPr="00836588">
        <w:rPr>
          <w:rStyle w:val="Ttulo3Car"/>
          <w:rFonts w:ascii="ITC Avant Garde" w:eastAsia="Arial Unicode MS" w:hAnsi="ITC Avant Garde" w:cs="Arial"/>
          <w:i/>
          <w:color w:val="auto"/>
          <w:sz w:val="22"/>
          <w:szCs w:val="22"/>
        </w:rPr>
        <w:t>La seguridad de la vida;</w:t>
      </w:r>
    </w:p>
    <w:p w14:paraId="1AF7284F" w14:textId="30729107" w:rsidR="0099179E" w:rsidRPr="00836588" w:rsidRDefault="0099179E" w:rsidP="00D868C2">
      <w:pPr>
        <w:pStyle w:val="Prrafodelista"/>
        <w:numPr>
          <w:ilvl w:val="0"/>
          <w:numId w:val="7"/>
        </w:numPr>
        <w:pBdr>
          <w:top w:val="nil"/>
          <w:left w:val="nil"/>
          <w:bottom w:val="nil"/>
          <w:right w:val="nil"/>
          <w:between w:val="nil"/>
          <w:bar w:val="nil"/>
        </w:pBdr>
        <w:tabs>
          <w:tab w:val="left" w:pos="1134"/>
        </w:tabs>
        <w:spacing w:after="0" w:line="240" w:lineRule="auto"/>
        <w:ind w:left="1134" w:right="1183" w:firstLine="0"/>
        <w:contextualSpacing w:val="0"/>
        <w:jc w:val="both"/>
        <w:rPr>
          <w:rStyle w:val="Ttulo3Car"/>
          <w:rFonts w:ascii="ITC Avant Garde" w:eastAsia="Arial Unicode MS" w:hAnsi="ITC Avant Garde" w:cs="Arial"/>
          <w:b/>
          <w:i/>
          <w:color w:val="auto"/>
          <w:sz w:val="22"/>
          <w:szCs w:val="22"/>
        </w:rPr>
      </w:pPr>
      <w:r w:rsidRPr="00836588">
        <w:rPr>
          <w:rStyle w:val="Ttulo3Car"/>
          <w:rFonts w:ascii="ITC Avant Garde" w:eastAsia="Arial Unicode MS" w:hAnsi="ITC Avant Garde" w:cs="Arial"/>
          <w:i/>
          <w:color w:val="auto"/>
          <w:sz w:val="22"/>
          <w:szCs w:val="22"/>
        </w:rPr>
        <w:t>La promoción de la cohesión social, regional o territorial;</w:t>
      </w:r>
    </w:p>
    <w:p w14:paraId="16D225A9" w14:textId="6E1A9224" w:rsidR="0099179E" w:rsidRPr="00836588" w:rsidRDefault="0099179E" w:rsidP="00D868C2">
      <w:pPr>
        <w:pStyle w:val="Prrafodelista"/>
        <w:numPr>
          <w:ilvl w:val="0"/>
          <w:numId w:val="7"/>
        </w:numPr>
        <w:tabs>
          <w:tab w:val="left" w:pos="1134"/>
        </w:tabs>
        <w:spacing w:after="0" w:line="240" w:lineRule="auto"/>
        <w:ind w:left="1134" w:right="1183" w:firstLine="0"/>
        <w:contextualSpacing w:val="0"/>
        <w:jc w:val="both"/>
        <w:rPr>
          <w:rStyle w:val="Ttulo3Car"/>
          <w:rFonts w:ascii="ITC Avant Garde" w:eastAsia="Arial Unicode MS" w:hAnsi="ITC Avant Garde" w:cs="Arial"/>
          <w:i/>
          <w:color w:val="auto"/>
          <w:sz w:val="22"/>
          <w:szCs w:val="22"/>
        </w:rPr>
      </w:pPr>
      <w:r w:rsidRPr="00836588">
        <w:rPr>
          <w:rStyle w:val="Ttulo3Car"/>
          <w:rFonts w:ascii="ITC Avant Garde" w:eastAsia="Arial Unicode MS" w:hAnsi="ITC Avant Garde" w:cs="Arial"/>
          <w:i/>
          <w:color w:val="auto"/>
          <w:sz w:val="22"/>
          <w:szCs w:val="22"/>
        </w:rPr>
        <w:t>La competencia efectiva en los mercados convergentes de los sectores de telecomunicaciones y radiodifusión;</w:t>
      </w:r>
    </w:p>
    <w:p w14:paraId="16FB7866" w14:textId="2E43F13C" w:rsidR="0099179E" w:rsidRPr="00836588" w:rsidRDefault="0099179E" w:rsidP="00D868C2">
      <w:pPr>
        <w:pStyle w:val="Prrafodelista"/>
        <w:numPr>
          <w:ilvl w:val="0"/>
          <w:numId w:val="7"/>
        </w:numPr>
        <w:tabs>
          <w:tab w:val="left" w:pos="1134"/>
        </w:tabs>
        <w:spacing w:after="0" w:line="240" w:lineRule="auto"/>
        <w:ind w:left="1134" w:right="1183" w:firstLine="0"/>
        <w:contextualSpacing w:val="0"/>
        <w:jc w:val="both"/>
        <w:rPr>
          <w:rStyle w:val="Ttulo3Car"/>
          <w:rFonts w:ascii="ITC Avant Garde" w:eastAsia="Arial Unicode MS" w:hAnsi="ITC Avant Garde" w:cs="Arial"/>
          <w:i/>
          <w:color w:val="auto"/>
          <w:sz w:val="22"/>
          <w:szCs w:val="22"/>
        </w:rPr>
      </w:pPr>
      <w:r w:rsidRPr="00836588">
        <w:rPr>
          <w:rStyle w:val="Ttulo3Car"/>
          <w:rFonts w:ascii="ITC Avant Garde" w:eastAsia="Arial Unicode MS" w:hAnsi="ITC Avant Garde" w:cs="Arial"/>
          <w:i/>
          <w:color w:val="auto"/>
          <w:sz w:val="22"/>
          <w:szCs w:val="22"/>
        </w:rPr>
        <w:t>El uso eficaz del espectro y su protección;</w:t>
      </w:r>
    </w:p>
    <w:p w14:paraId="484696C7" w14:textId="3F26BC5A" w:rsidR="0099179E" w:rsidRPr="00836588" w:rsidRDefault="0099179E" w:rsidP="00D868C2">
      <w:pPr>
        <w:pStyle w:val="Prrafodelista"/>
        <w:numPr>
          <w:ilvl w:val="0"/>
          <w:numId w:val="7"/>
        </w:numPr>
        <w:tabs>
          <w:tab w:val="left" w:pos="1134"/>
        </w:tabs>
        <w:spacing w:after="0" w:line="240" w:lineRule="auto"/>
        <w:ind w:left="1134" w:right="1183" w:firstLine="0"/>
        <w:contextualSpacing w:val="0"/>
        <w:jc w:val="both"/>
        <w:rPr>
          <w:rStyle w:val="Ttulo3Car"/>
          <w:rFonts w:ascii="ITC Avant Garde" w:eastAsia="Arial Unicode MS" w:hAnsi="ITC Avant Garde" w:cs="Arial"/>
          <w:i/>
          <w:color w:val="auto"/>
          <w:sz w:val="22"/>
          <w:szCs w:val="22"/>
        </w:rPr>
      </w:pPr>
      <w:r w:rsidRPr="00836588">
        <w:rPr>
          <w:rStyle w:val="Ttulo3Car"/>
          <w:rFonts w:ascii="ITC Avant Garde" w:eastAsia="Arial Unicode MS" w:hAnsi="ITC Avant Garde" w:cs="Arial"/>
          <w:i/>
          <w:color w:val="auto"/>
          <w:sz w:val="22"/>
          <w:szCs w:val="22"/>
        </w:rPr>
        <w:t>La garantía del espectro necesario para los fines y funciones del Ejecutivo Federal;</w:t>
      </w:r>
    </w:p>
    <w:p w14:paraId="57133332" w14:textId="0432C6FB" w:rsidR="0099179E" w:rsidRPr="00836588" w:rsidRDefault="0099179E" w:rsidP="00D868C2">
      <w:pPr>
        <w:pStyle w:val="Prrafodelista"/>
        <w:numPr>
          <w:ilvl w:val="0"/>
          <w:numId w:val="7"/>
        </w:numPr>
        <w:tabs>
          <w:tab w:val="left" w:pos="1134"/>
        </w:tabs>
        <w:spacing w:after="0" w:line="240" w:lineRule="auto"/>
        <w:ind w:left="1134" w:right="1183" w:firstLine="0"/>
        <w:contextualSpacing w:val="0"/>
        <w:jc w:val="both"/>
        <w:rPr>
          <w:rStyle w:val="Ttulo3Car"/>
          <w:rFonts w:ascii="ITC Avant Garde" w:eastAsia="Arial Unicode MS" w:hAnsi="ITC Avant Garde" w:cs="Arial"/>
          <w:i/>
          <w:color w:val="auto"/>
          <w:sz w:val="22"/>
          <w:szCs w:val="22"/>
        </w:rPr>
      </w:pPr>
      <w:r w:rsidRPr="00836588">
        <w:rPr>
          <w:rStyle w:val="Ttulo3Car"/>
          <w:rFonts w:ascii="ITC Avant Garde" w:eastAsia="Arial Unicode MS" w:hAnsi="ITC Avant Garde" w:cs="Arial"/>
          <w:i/>
          <w:color w:val="auto"/>
          <w:sz w:val="22"/>
          <w:szCs w:val="22"/>
        </w:rPr>
        <w:t>La inversión eficiente en infraestructuras, la innovación y el desarrollo de la industria de productos y servicios convergentes;</w:t>
      </w:r>
    </w:p>
    <w:p w14:paraId="169FFC61" w14:textId="441FED3C" w:rsidR="0099179E" w:rsidRPr="00836588" w:rsidRDefault="0099179E" w:rsidP="00D868C2">
      <w:pPr>
        <w:pStyle w:val="Prrafodelista"/>
        <w:numPr>
          <w:ilvl w:val="0"/>
          <w:numId w:val="7"/>
        </w:numPr>
        <w:tabs>
          <w:tab w:val="left" w:pos="1560"/>
        </w:tabs>
        <w:spacing w:after="0" w:line="240" w:lineRule="auto"/>
        <w:ind w:left="1134" w:right="1183" w:firstLine="0"/>
        <w:contextualSpacing w:val="0"/>
        <w:jc w:val="both"/>
        <w:rPr>
          <w:rStyle w:val="Ttulo3Car"/>
          <w:rFonts w:ascii="ITC Avant Garde" w:eastAsia="Arial Unicode MS" w:hAnsi="ITC Avant Garde" w:cs="Arial"/>
          <w:i/>
          <w:color w:val="auto"/>
          <w:sz w:val="22"/>
          <w:szCs w:val="22"/>
        </w:rPr>
      </w:pPr>
      <w:r w:rsidRPr="00836588">
        <w:rPr>
          <w:rStyle w:val="Ttulo3Car"/>
          <w:rFonts w:ascii="ITC Avant Garde" w:eastAsia="Arial Unicode MS" w:hAnsi="ITC Avant Garde" w:cs="Arial"/>
          <w:i/>
          <w:color w:val="auto"/>
          <w:sz w:val="22"/>
          <w:szCs w:val="22"/>
        </w:rPr>
        <w:t>El fomento de la neutralidad tecnológica, y</w:t>
      </w:r>
    </w:p>
    <w:p w14:paraId="12A1C858" w14:textId="60E5DE43" w:rsidR="0099179E" w:rsidRPr="00836588" w:rsidRDefault="0099179E" w:rsidP="00D868C2">
      <w:pPr>
        <w:pStyle w:val="Prrafodelista"/>
        <w:numPr>
          <w:ilvl w:val="0"/>
          <w:numId w:val="7"/>
        </w:numPr>
        <w:tabs>
          <w:tab w:val="left" w:pos="1560"/>
        </w:tabs>
        <w:spacing w:after="0" w:line="240" w:lineRule="auto"/>
        <w:ind w:left="1134" w:right="1183" w:firstLine="0"/>
        <w:contextualSpacing w:val="0"/>
        <w:jc w:val="both"/>
        <w:rPr>
          <w:rStyle w:val="Ttulo3Car"/>
          <w:rFonts w:ascii="ITC Avant Garde" w:eastAsia="Arial Unicode MS" w:hAnsi="ITC Avant Garde" w:cs="Arial"/>
          <w:i/>
          <w:color w:val="auto"/>
          <w:sz w:val="22"/>
          <w:szCs w:val="22"/>
        </w:rPr>
      </w:pPr>
      <w:r w:rsidRPr="00836588">
        <w:rPr>
          <w:rStyle w:val="Ttulo3Car"/>
          <w:rFonts w:ascii="ITC Avant Garde" w:eastAsia="Arial Unicode MS" w:hAnsi="ITC Avant Garde" w:cs="Arial"/>
          <w:i/>
          <w:color w:val="auto"/>
          <w:sz w:val="22"/>
          <w:szCs w:val="22"/>
        </w:rPr>
        <w:t>El cumplimiento de lo dispuesto por los artículos 2o., 6o., 7o. y 28 de la Constitución.</w:t>
      </w:r>
    </w:p>
    <w:p w14:paraId="638F86CC" w14:textId="77777777" w:rsidR="0099179E" w:rsidRPr="00836588" w:rsidRDefault="0099179E" w:rsidP="00D868C2">
      <w:pPr>
        <w:pStyle w:val="Prrafodelista"/>
        <w:spacing w:after="0" w:line="240" w:lineRule="auto"/>
        <w:ind w:left="1134" w:right="1183"/>
        <w:contextualSpacing w:val="0"/>
        <w:jc w:val="both"/>
        <w:rPr>
          <w:rStyle w:val="Ttulo3Car"/>
          <w:rFonts w:ascii="ITC Avant Garde" w:eastAsia="Arial Unicode MS" w:hAnsi="ITC Avant Garde" w:cs="Arial"/>
          <w:b/>
          <w:i/>
          <w:color w:val="auto"/>
          <w:sz w:val="22"/>
          <w:szCs w:val="22"/>
        </w:rPr>
      </w:pPr>
    </w:p>
    <w:p w14:paraId="14332E1B" w14:textId="40882067" w:rsidR="0099179E" w:rsidRPr="00836588" w:rsidRDefault="0099179E" w:rsidP="00D868C2">
      <w:pPr>
        <w:pStyle w:val="Prrafodelista"/>
        <w:spacing w:after="0" w:line="240" w:lineRule="auto"/>
        <w:ind w:left="1134" w:right="1183"/>
        <w:contextualSpacing w:val="0"/>
        <w:jc w:val="both"/>
        <w:rPr>
          <w:rStyle w:val="Ttulo3Car"/>
          <w:rFonts w:ascii="ITC Avant Garde" w:eastAsia="Arial Unicode MS" w:hAnsi="ITC Avant Garde" w:cs="Arial"/>
          <w:b/>
          <w:i/>
          <w:color w:val="auto"/>
          <w:sz w:val="22"/>
          <w:szCs w:val="22"/>
        </w:rPr>
      </w:pPr>
      <w:r w:rsidRPr="00836588">
        <w:rPr>
          <w:rStyle w:val="Ttulo3Car"/>
          <w:rFonts w:ascii="ITC Avant Garde" w:eastAsia="Arial Unicode MS" w:hAnsi="ITC Avant Garde" w:cs="Arial"/>
          <w:i/>
          <w:color w:val="auto"/>
          <w:sz w:val="22"/>
          <w:szCs w:val="22"/>
        </w:rPr>
        <w:t>Para la atribución de una banda de frecuencias y la concesión del espectro y recursos orbitales, el Instituto se basará en criterios objetivos, transparentes, no discriminatorios y proporcionales.”</w:t>
      </w:r>
    </w:p>
    <w:p w14:paraId="0A7C8E2A" w14:textId="77777777" w:rsidR="0099179E" w:rsidRPr="00836588" w:rsidRDefault="0099179E" w:rsidP="00D868C2">
      <w:pPr>
        <w:pStyle w:val="Prrafodelista"/>
        <w:spacing w:after="0" w:line="240" w:lineRule="auto"/>
        <w:ind w:left="1134" w:right="1183"/>
        <w:contextualSpacing w:val="0"/>
        <w:jc w:val="both"/>
        <w:rPr>
          <w:rStyle w:val="Ttulo3Car"/>
          <w:rFonts w:ascii="ITC Avant Garde" w:eastAsia="Arial Unicode MS" w:hAnsi="ITC Avant Garde" w:cs="Arial"/>
          <w:b/>
          <w:color w:val="auto"/>
          <w:sz w:val="22"/>
          <w:szCs w:val="22"/>
          <w:lang w:val="es-ES_tradnl"/>
        </w:rPr>
      </w:pPr>
    </w:p>
    <w:p w14:paraId="65EBDBE3" w14:textId="10076D1A" w:rsidR="0099179E" w:rsidRPr="00836588" w:rsidRDefault="0099179E" w:rsidP="00D868C2">
      <w:pPr>
        <w:pStyle w:val="Texto"/>
        <w:spacing w:after="0" w:line="240" w:lineRule="auto"/>
        <w:ind w:left="1134" w:right="1183" w:firstLine="0"/>
        <w:rPr>
          <w:rStyle w:val="Ttulo3Car"/>
          <w:rFonts w:ascii="ITC Avant Garde" w:eastAsia="Calibri" w:hAnsi="ITC Avant Garde" w:cs="Arial"/>
          <w:i/>
          <w:color w:val="auto"/>
          <w:sz w:val="22"/>
          <w:szCs w:val="22"/>
        </w:rPr>
      </w:pPr>
      <w:r w:rsidRPr="00836588">
        <w:rPr>
          <w:rStyle w:val="Ttulo3Car"/>
          <w:rFonts w:ascii="ITC Avant Garde" w:eastAsia="Calibri" w:hAnsi="ITC Avant Garde" w:cs="Arial"/>
          <w:i/>
          <w:color w:val="auto"/>
          <w:sz w:val="22"/>
          <w:szCs w:val="22"/>
        </w:rPr>
        <w:t>“</w:t>
      </w:r>
      <w:r w:rsidRPr="00836588">
        <w:rPr>
          <w:rStyle w:val="Ttulo3Car"/>
          <w:rFonts w:ascii="ITC Avant Garde" w:eastAsia="Calibri" w:hAnsi="ITC Avant Garde" w:cs="Arial"/>
          <w:b/>
          <w:i/>
          <w:color w:val="auto"/>
          <w:sz w:val="22"/>
          <w:szCs w:val="22"/>
        </w:rPr>
        <w:t>Artículo 55.</w:t>
      </w:r>
      <w:r w:rsidRPr="00836588">
        <w:rPr>
          <w:rStyle w:val="Ttulo3Car"/>
          <w:rFonts w:ascii="ITC Avant Garde" w:eastAsia="Calibri" w:hAnsi="ITC Avant Garde" w:cs="Arial"/>
          <w:i/>
          <w:color w:val="auto"/>
          <w:sz w:val="22"/>
          <w:szCs w:val="22"/>
        </w:rPr>
        <w:t xml:space="preserve"> Las bandas de frecuencia del espectro radioeléctrico se clasificarán de acuerdo con lo siguiente:</w:t>
      </w:r>
    </w:p>
    <w:p w14:paraId="245F9159" w14:textId="77777777" w:rsidR="0099179E" w:rsidRPr="00836588" w:rsidRDefault="0099179E" w:rsidP="00D868C2">
      <w:pPr>
        <w:pStyle w:val="Texto"/>
        <w:spacing w:after="0" w:line="240" w:lineRule="auto"/>
        <w:ind w:left="1134" w:right="1183" w:firstLine="0"/>
        <w:rPr>
          <w:rStyle w:val="Ttulo3Car"/>
          <w:rFonts w:ascii="ITC Avant Garde" w:eastAsia="Calibri" w:hAnsi="ITC Avant Garde" w:cs="Arial"/>
          <w:i/>
          <w:color w:val="auto"/>
          <w:sz w:val="22"/>
          <w:szCs w:val="22"/>
        </w:rPr>
      </w:pPr>
      <w:r w:rsidRPr="00836588">
        <w:rPr>
          <w:rStyle w:val="Ttulo3Car"/>
          <w:rFonts w:ascii="ITC Avant Garde" w:eastAsia="Calibri" w:hAnsi="ITC Avant Garde" w:cs="Arial"/>
          <w:i/>
          <w:color w:val="auto"/>
          <w:sz w:val="22"/>
          <w:szCs w:val="22"/>
        </w:rPr>
        <w:t>(…)</w:t>
      </w:r>
    </w:p>
    <w:p w14:paraId="0157BCCE" w14:textId="423D1406" w:rsidR="0099179E" w:rsidRPr="00836588" w:rsidRDefault="0099179E" w:rsidP="00D868C2">
      <w:pPr>
        <w:pStyle w:val="Prrafodelista"/>
        <w:numPr>
          <w:ilvl w:val="0"/>
          <w:numId w:val="9"/>
        </w:numPr>
        <w:pBdr>
          <w:top w:val="nil"/>
          <w:left w:val="nil"/>
          <w:bottom w:val="nil"/>
          <w:right w:val="nil"/>
          <w:between w:val="nil"/>
          <w:bar w:val="nil"/>
        </w:pBdr>
        <w:spacing w:after="0" w:line="240" w:lineRule="auto"/>
        <w:ind w:left="1134" w:right="1183" w:firstLine="0"/>
        <w:contextualSpacing w:val="0"/>
        <w:jc w:val="both"/>
        <w:rPr>
          <w:rStyle w:val="Ttulo3Car"/>
          <w:rFonts w:ascii="ITC Avant Garde" w:eastAsia="Arial Unicode MS" w:hAnsi="ITC Avant Garde" w:cs="Arial"/>
          <w:i/>
          <w:color w:val="auto"/>
          <w:sz w:val="22"/>
          <w:szCs w:val="22"/>
        </w:rPr>
      </w:pPr>
      <w:r w:rsidRPr="00836588">
        <w:rPr>
          <w:rStyle w:val="Ttulo3Car"/>
          <w:rFonts w:ascii="ITC Avant Garde" w:eastAsia="Arial Unicode MS" w:hAnsi="ITC Avant Garde" w:cs="Arial"/>
          <w:b/>
          <w:i/>
          <w:color w:val="auto"/>
          <w:sz w:val="22"/>
          <w:szCs w:val="22"/>
        </w:rPr>
        <w:t>Espectro libre</w:t>
      </w:r>
      <w:r w:rsidRPr="00836588">
        <w:rPr>
          <w:rStyle w:val="Ttulo3Car"/>
          <w:rFonts w:ascii="ITC Avant Garde" w:eastAsia="Arial Unicode MS" w:hAnsi="ITC Avant Garde" w:cs="Arial"/>
          <w:i/>
          <w:color w:val="auto"/>
          <w:sz w:val="22"/>
          <w:szCs w:val="22"/>
        </w:rPr>
        <w:t>: Son aquellas bandas de frecuencia de acceso libre, que pueden ser utilizadas por el público en general, bajo los lineamientos o especificaciones que establezca el Instituto, sin necesidad de concesión o autorización;</w:t>
      </w:r>
    </w:p>
    <w:p w14:paraId="1DF2EA87" w14:textId="77777777" w:rsidR="0099179E" w:rsidRPr="00836588" w:rsidRDefault="0099179E" w:rsidP="00D868C2">
      <w:pPr>
        <w:pStyle w:val="Texto"/>
        <w:spacing w:after="0" w:line="240" w:lineRule="auto"/>
        <w:ind w:left="1134" w:right="1183" w:firstLine="0"/>
        <w:rPr>
          <w:rStyle w:val="Ttulo3Car"/>
          <w:rFonts w:ascii="ITC Avant Garde" w:hAnsi="ITC Avant Garde" w:cs="Arial"/>
          <w:b/>
          <w:i/>
          <w:color w:val="auto"/>
          <w:sz w:val="22"/>
          <w:szCs w:val="22"/>
        </w:rPr>
      </w:pPr>
      <w:r w:rsidRPr="00836588">
        <w:rPr>
          <w:rStyle w:val="Ttulo3Car"/>
          <w:rFonts w:ascii="ITC Avant Garde" w:eastAsia="Calibri" w:hAnsi="ITC Avant Garde" w:cs="Arial"/>
          <w:i/>
          <w:color w:val="auto"/>
          <w:sz w:val="22"/>
          <w:szCs w:val="22"/>
        </w:rPr>
        <w:t>(…)</w:t>
      </w:r>
      <w:r w:rsidRPr="00836588">
        <w:rPr>
          <w:rStyle w:val="Ttulo3Car"/>
          <w:rFonts w:ascii="ITC Avant Garde" w:hAnsi="ITC Avant Garde" w:cs="Arial"/>
          <w:i/>
          <w:color w:val="auto"/>
          <w:sz w:val="22"/>
          <w:szCs w:val="22"/>
        </w:rPr>
        <w:t>”</w:t>
      </w:r>
    </w:p>
    <w:p w14:paraId="0B1BFFA9" w14:textId="77777777" w:rsidR="0099179E" w:rsidRPr="00836588" w:rsidRDefault="0099179E" w:rsidP="003F2E25">
      <w:pPr>
        <w:pStyle w:val="Prrafodelista"/>
        <w:spacing w:after="0" w:line="240" w:lineRule="auto"/>
        <w:ind w:left="0"/>
        <w:contextualSpacing w:val="0"/>
        <w:jc w:val="both"/>
        <w:rPr>
          <w:rFonts w:ascii="ITC Avant Garde" w:hAnsi="ITC Avant Garde"/>
        </w:rPr>
      </w:pPr>
    </w:p>
    <w:p w14:paraId="40DA605D" w14:textId="0C47C151" w:rsidR="0099179E" w:rsidRPr="000411D5" w:rsidRDefault="0099179E" w:rsidP="00D868C2">
      <w:pPr>
        <w:pStyle w:val="Prrafodelista"/>
        <w:spacing w:after="0" w:line="240" w:lineRule="auto"/>
        <w:ind w:left="0"/>
        <w:contextualSpacing w:val="0"/>
        <w:jc w:val="both"/>
        <w:rPr>
          <w:rFonts w:ascii="ITC Avant Garde" w:hAnsi="ITC Avant Garde" w:cs="Arial"/>
        </w:rPr>
      </w:pPr>
      <w:r w:rsidRPr="000411D5">
        <w:rPr>
          <w:rFonts w:ascii="ITC Avant Garde" w:hAnsi="ITC Avant Garde" w:cs="Arial"/>
        </w:rPr>
        <w:t>De lo anterior, se advierte con claridad, en cuanto a la administración del espectro radioeléctrico, lo siguiente:</w:t>
      </w:r>
    </w:p>
    <w:p w14:paraId="14AF9D6A" w14:textId="77777777" w:rsidR="0099179E" w:rsidRPr="000411D5" w:rsidRDefault="0099179E" w:rsidP="00D868C2">
      <w:pPr>
        <w:pStyle w:val="Prrafodelista"/>
        <w:spacing w:after="0" w:line="240" w:lineRule="auto"/>
        <w:ind w:left="0"/>
        <w:contextualSpacing w:val="0"/>
        <w:jc w:val="both"/>
        <w:rPr>
          <w:rFonts w:ascii="ITC Avant Garde" w:hAnsi="ITC Avant Garde" w:cs="Arial"/>
        </w:rPr>
      </w:pPr>
    </w:p>
    <w:p w14:paraId="3036A5E1" w14:textId="4B9A6D2C" w:rsidR="0099179E" w:rsidRPr="000411D5" w:rsidRDefault="0099179E" w:rsidP="00D868C2">
      <w:pPr>
        <w:pStyle w:val="Prrafodelista"/>
        <w:numPr>
          <w:ilvl w:val="0"/>
          <w:numId w:val="8"/>
        </w:numPr>
        <w:pBdr>
          <w:top w:val="nil"/>
          <w:left w:val="nil"/>
          <w:bottom w:val="nil"/>
          <w:right w:val="nil"/>
          <w:between w:val="nil"/>
          <w:bar w:val="nil"/>
        </w:pBdr>
        <w:spacing w:after="0" w:line="240" w:lineRule="auto"/>
        <w:contextualSpacing w:val="0"/>
        <w:jc w:val="both"/>
        <w:rPr>
          <w:rFonts w:ascii="ITC Avant Garde" w:hAnsi="ITC Avant Garde" w:cs="Arial"/>
        </w:rPr>
      </w:pPr>
      <w:r w:rsidRPr="000411D5">
        <w:rPr>
          <w:rFonts w:ascii="ITC Avant Garde" w:hAnsi="ITC Avant Garde" w:cs="Arial"/>
        </w:rPr>
        <w:t>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Unión Internacional de Telecomunicaciones</w:t>
      </w:r>
      <w:r w:rsidR="00180F1E">
        <w:rPr>
          <w:rFonts w:ascii="ITC Avant Garde" w:hAnsi="ITC Avant Garde" w:cs="Arial"/>
        </w:rPr>
        <w:t xml:space="preserve"> (UIT)</w:t>
      </w:r>
      <w:r w:rsidRPr="000411D5">
        <w:rPr>
          <w:rFonts w:ascii="ITC Avant Garde" w:hAnsi="ITC Avant Garde" w:cs="Arial"/>
        </w:rPr>
        <w:t xml:space="preserve"> y otros organismos internacionales.</w:t>
      </w:r>
    </w:p>
    <w:p w14:paraId="2F697AAD" w14:textId="2EB43125" w:rsidR="0099179E" w:rsidRPr="000411D5" w:rsidRDefault="0099179E" w:rsidP="00D868C2">
      <w:pPr>
        <w:pStyle w:val="Prrafodelista"/>
        <w:numPr>
          <w:ilvl w:val="0"/>
          <w:numId w:val="8"/>
        </w:numPr>
        <w:suppressAutoHyphens/>
        <w:spacing w:after="0"/>
        <w:ind w:right="49"/>
        <w:jc w:val="both"/>
        <w:rPr>
          <w:rFonts w:ascii="ITC Avant Garde" w:eastAsia="Times New Roman" w:hAnsi="ITC Avant Garde" w:cs="Arial"/>
          <w:kern w:val="2"/>
          <w:lang w:eastAsia="ar-SA"/>
        </w:rPr>
      </w:pPr>
      <w:r w:rsidRPr="000411D5">
        <w:rPr>
          <w:rFonts w:ascii="ITC Avant Garde" w:eastAsia="Times New Roman" w:hAnsi="ITC Avant Garde" w:cs="Arial"/>
          <w:kern w:val="2"/>
          <w:lang w:eastAsia="ar-SA"/>
        </w:rPr>
        <w:t xml:space="preserve">La administración del espectro radioeléctrico comprende la elaboración y aprobación de planes y programas de su uso, el establecimiento de las condiciones para la atribución de una banda de frecuencias, el otorgamiento de las concesiones, la supervisión de las emisiones </w:t>
      </w:r>
      <w:r w:rsidRPr="000411D5">
        <w:rPr>
          <w:rFonts w:ascii="ITC Avant Garde" w:eastAsia="Times New Roman" w:hAnsi="ITC Avant Garde" w:cs="Arial"/>
          <w:kern w:val="2"/>
          <w:lang w:eastAsia="ar-SA"/>
        </w:rPr>
        <w:lastRenderedPageBreak/>
        <w:t>radioeléctricas y la aplicación del régimen de sanciones, sin menoscabo de las atribuciones que corresponden al Ejecutivo Federal.</w:t>
      </w:r>
    </w:p>
    <w:p w14:paraId="5630E461" w14:textId="55111D79" w:rsidR="0099179E" w:rsidRPr="000411D5" w:rsidRDefault="0099179E" w:rsidP="00D868C2">
      <w:pPr>
        <w:pStyle w:val="Prrafodelista"/>
        <w:numPr>
          <w:ilvl w:val="0"/>
          <w:numId w:val="8"/>
        </w:numPr>
        <w:suppressAutoHyphens/>
        <w:spacing w:after="0"/>
        <w:ind w:right="49"/>
        <w:jc w:val="both"/>
        <w:rPr>
          <w:rFonts w:ascii="ITC Avant Garde" w:eastAsia="Times New Roman" w:hAnsi="ITC Avant Garde" w:cs="Arial"/>
          <w:kern w:val="2"/>
          <w:lang w:eastAsia="ar-SA"/>
        </w:rPr>
      </w:pPr>
      <w:r w:rsidRPr="000411D5">
        <w:rPr>
          <w:rFonts w:ascii="ITC Avant Garde" w:eastAsia="Times New Roman" w:hAnsi="ITC Avant Garde" w:cs="Arial"/>
          <w:kern w:val="2"/>
          <w:lang w:eastAsia="ar-SA"/>
        </w:rPr>
        <w:t>El Instituto debe perseguir diversos objetivos generales en beneficio de los usuarios, para el caso de la clasificación de la banda 57-</w:t>
      </w:r>
      <w:r w:rsidR="009B712D">
        <w:rPr>
          <w:rFonts w:ascii="ITC Avant Garde" w:eastAsia="Times New Roman" w:hAnsi="ITC Avant Garde" w:cs="Arial"/>
          <w:kern w:val="2"/>
          <w:lang w:eastAsia="ar-SA"/>
        </w:rPr>
        <w:t>6</w:t>
      </w:r>
      <w:r w:rsidRPr="000411D5">
        <w:rPr>
          <w:rFonts w:ascii="ITC Avant Garde" w:eastAsia="Times New Roman" w:hAnsi="ITC Avant Garde" w:cs="Arial"/>
          <w:kern w:val="2"/>
          <w:lang w:eastAsia="ar-SA"/>
        </w:rPr>
        <w:t>4 GHz como espectro libre resultan aplicables: el uso eficaz del espectro radioeléctrico, su protección y el cumplimiento de lo dispuesto por los artículos 2o., 6o., 7o., y 28 de la Constitución.</w:t>
      </w:r>
    </w:p>
    <w:p w14:paraId="64D44682" w14:textId="0CA496DB" w:rsidR="0099179E" w:rsidRPr="000411D5" w:rsidRDefault="0099179E" w:rsidP="00D868C2">
      <w:pPr>
        <w:pStyle w:val="Prrafodelista"/>
        <w:numPr>
          <w:ilvl w:val="0"/>
          <w:numId w:val="8"/>
        </w:numPr>
        <w:pBdr>
          <w:top w:val="nil"/>
          <w:left w:val="nil"/>
          <w:bottom w:val="nil"/>
          <w:right w:val="nil"/>
          <w:between w:val="nil"/>
          <w:bar w:val="nil"/>
        </w:pBdr>
        <w:spacing w:after="0" w:line="240" w:lineRule="auto"/>
        <w:jc w:val="both"/>
        <w:rPr>
          <w:rStyle w:val="Ttulo3Car"/>
          <w:rFonts w:ascii="ITC Avant Garde" w:eastAsia="Arial Unicode MS" w:hAnsi="ITC Avant Garde" w:cs="Arial"/>
          <w:color w:val="auto"/>
          <w:sz w:val="22"/>
          <w:szCs w:val="22"/>
          <w:lang w:val="es-ES_tradnl"/>
        </w:rPr>
      </w:pPr>
      <w:r w:rsidRPr="000411D5">
        <w:rPr>
          <w:rStyle w:val="Ttulo3Car"/>
          <w:rFonts w:ascii="ITC Avant Garde" w:eastAsia="Arial Unicode MS" w:hAnsi="ITC Avant Garde" w:cs="Arial"/>
          <w:color w:val="auto"/>
          <w:sz w:val="22"/>
          <w:szCs w:val="22"/>
        </w:rPr>
        <w:t xml:space="preserve">El espectro libre </w:t>
      </w:r>
      <w:r w:rsidR="00324862" w:rsidRPr="00836588">
        <w:rPr>
          <w:rStyle w:val="Ttulo3Car"/>
          <w:rFonts w:ascii="ITC Avant Garde" w:eastAsia="Arial Unicode MS" w:hAnsi="ITC Avant Garde" w:cs="Arial"/>
          <w:color w:val="auto"/>
          <w:sz w:val="22"/>
          <w:szCs w:val="22"/>
        </w:rPr>
        <w:t>son</w:t>
      </w:r>
      <w:r w:rsidRPr="000411D5">
        <w:rPr>
          <w:rStyle w:val="Ttulo3Car"/>
          <w:rFonts w:ascii="ITC Avant Garde" w:eastAsia="Arial Unicode MS" w:hAnsi="ITC Avant Garde" w:cs="Arial"/>
          <w:color w:val="auto"/>
          <w:sz w:val="22"/>
          <w:szCs w:val="22"/>
        </w:rPr>
        <w:t xml:space="preserve"> aquellas bandas de frecuencia de acceso libre, que pueden ser utilizadas por el público en general, bajo los lineamientos o especificaciones que establezca el Instituto, sin necesidad de concesión o autorización.</w:t>
      </w:r>
    </w:p>
    <w:p w14:paraId="646DF3AA" w14:textId="77777777" w:rsidR="0099179E" w:rsidRPr="002E72D1" w:rsidRDefault="0099179E" w:rsidP="00D868C2">
      <w:pPr>
        <w:pBdr>
          <w:top w:val="nil"/>
          <w:left w:val="nil"/>
          <w:bottom w:val="nil"/>
          <w:right w:val="nil"/>
          <w:between w:val="nil"/>
          <w:bar w:val="nil"/>
        </w:pBdr>
        <w:spacing w:after="0" w:line="240" w:lineRule="auto"/>
        <w:jc w:val="both"/>
        <w:rPr>
          <w:rStyle w:val="Ttulo3Car"/>
          <w:rFonts w:ascii="ITC Avant Garde" w:eastAsia="Arial Unicode MS" w:hAnsi="ITC Avant Garde" w:cs="Arial"/>
          <w:color w:val="auto"/>
          <w:sz w:val="22"/>
          <w:szCs w:val="22"/>
          <w:lang w:val="es-ES_tradnl"/>
        </w:rPr>
      </w:pPr>
    </w:p>
    <w:p w14:paraId="6929BB1D" w14:textId="0830C390" w:rsidR="0099179E" w:rsidRPr="000411D5" w:rsidRDefault="0099179E" w:rsidP="00D868C2">
      <w:pPr>
        <w:pBdr>
          <w:top w:val="nil"/>
          <w:left w:val="nil"/>
          <w:bottom w:val="nil"/>
          <w:right w:val="nil"/>
          <w:between w:val="nil"/>
          <w:bar w:val="nil"/>
        </w:pBdr>
        <w:spacing w:after="0" w:line="240" w:lineRule="auto"/>
        <w:jc w:val="both"/>
        <w:rPr>
          <w:rFonts w:ascii="ITC Avant Garde" w:hAnsi="ITC Avant Garde" w:cs="Arial"/>
        </w:rPr>
      </w:pPr>
      <w:r w:rsidRPr="000411D5">
        <w:rPr>
          <w:rFonts w:ascii="ITC Avant Garde" w:hAnsi="ITC Avant Garde" w:cs="Arial"/>
        </w:rPr>
        <w:t xml:space="preserve">En este sentido, tenemos que la administración del espectro radioeléctrico efectuada por el Instituto, comprende </w:t>
      </w:r>
      <w:r w:rsidRPr="000411D5">
        <w:rPr>
          <w:rFonts w:ascii="ITC Avant Garde" w:eastAsia="Times New Roman" w:hAnsi="ITC Avant Garde" w:cs="Arial"/>
          <w:kern w:val="2"/>
          <w:lang w:eastAsia="ar-SA"/>
        </w:rPr>
        <w:t xml:space="preserve">el establecimiento de condiciones para la atribución de una banda de frecuencias </w:t>
      </w:r>
      <w:r w:rsidRPr="000411D5">
        <w:rPr>
          <w:rFonts w:ascii="ITC Avant Garde" w:hAnsi="ITC Avant Garde" w:cs="Arial"/>
        </w:rPr>
        <w:t>del espectro radioeléctrico, como acontece en la especie a través de la clasificación de la banda 57-64 GHz como espectro libre, con la finalidad de que pueda ser utilizada por el público en general, sin que sea necesario contar con concesión o autorización.</w:t>
      </w:r>
    </w:p>
    <w:p w14:paraId="00FC3921" w14:textId="77777777" w:rsidR="0099179E" w:rsidRPr="000411D5" w:rsidRDefault="0099179E" w:rsidP="00513EFF">
      <w:pPr>
        <w:pBdr>
          <w:top w:val="nil"/>
          <w:left w:val="nil"/>
          <w:bottom w:val="nil"/>
          <w:right w:val="nil"/>
          <w:between w:val="nil"/>
          <w:bar w:val="nil"/>
        </w:pBdr>
        <w:spacing w:after="0" w:line="240" w:lineRule="auto"/>
        <w:ind w:left="708" w:hanging="708"/>
        <w:jc w:val="both"/>
        <w:rPr>
          <w:rFonts w:ascii="ITC Avant Garde" w:hAnsi="ITC Avant Garde" w:cs="Arial"/>
        </w:rPr>
      </w:pPr>
    </w:p>
    <w:p w14:paraId="6728688C" w14:textId="3C1EB474" w:rsidR="0099179E" w:rsidRPr="000411D5" w:rsidRDefault="0099179E" w:rsidP="00D868C2">
      <w:pPr>
        <w:pBdr>
          <w:top w:val="nil"/>
          <w:left w:val="nil"/>
          <w:bottom w:val="nil"/>
          <w:right w:val="nil"/>
          <w:between w:val="nil"/>
          <w:bar w:val="nil"/>
        </w:pBdr>
        <w:spacing w:after="0" w:line="240" w:lineRule="auto"/>
        <w:jc w:val="both"/>
        <w:rPr>
          <w:rFonts w:ascii="ITC Avant Garde" w:hAnsi="ITC Avant Garde" w:cs="Arial"/>
        </w:rPr>
      </w:pPr>
      <w:r w:rsidRPr="000411D5">
        <w:rPr>
          <w:rFonts w:ascii="ITC Avant Garde" w:hAnsi="ITC Avant Garde" w:cs="Arial"/>
        </w:rPr>
        <w:t xml:space="preserve">Lo anterior, siempre y cuando los </w:t>
      </w:r>
      <w:r w:rsidR="00016DB3">
        <w:rPr>
          <w:rFonts w:ascii="ITC Avant Garde" w:hAnsi="ITC Avant Garde" w:cs="Arial"/>
        </w:rPr>
        <w:t>equipos que operen</w:t>
      </w:r>
      <w:r w:rsidR="00016DB3" w:rsidRPr="000411D5">
        <w:rPr>
          <w:rFonts w:ascii="ITC Avant Garde" w:hAnsi="ITC Avant Garde" w:cs="Arial"/>
        </w:rPr>
        <w:t xml:space="preserve"> </w:t>
      </w:r>
      <w:r w:rsidR="00016DB3">
        <w:rPr>
          <w:rFonts w:ascii="ITC Avant Garde" w:hAnsi="ITC Avant Garde" w:cs="Arial"/>
        </w:rPr>
        <w:t>en</w:t>
      </w:r>
      <w:r w:rsidRPr="000411D5">
        <w:rPr>
          <w:rFonts w:ascii="ITC Avant Garde" w:hAnsi="ITC Avant Garde" w:cs="Arial"/>
        </w:rPr>
        <w:t xml:space="preserve"> la banda 57-64 GHz, se </w:t>
      </w:r>
      <w:r w:rsidR="006A7A96">
        <w:rPr>
          <w:rFonts w:ascii="ITC Avant Garde" w:hAnsi="ITC Avant Garde" w:cs="Arial"/>
        </w:rPr>
        <w:t>apeguen</w:t>
      </w:r>
      <w:r w:rsidRPr="000411D5">
        <w:rPr>
          <w:rFonts w:ascii="ITC Avant Garde" w:hAnsi="ITC Avant Garde" w:cs="Arial"/>
        </w:rPr>
        <w:t xml:space="preserve"> a las condiciones y especificaciones determinadas por el Instituto, tal y como lo establece el </w:t>
      </w:r>
      <w:r w:rsidR="008B7BE7">
        <w:rPr>
          <w:rFonts w:ascii="ITC Avant Garde" w:hAnsi="ITC Avant Garde" w:cs="Arial"/>
        </w:rPr>
        <w:t xml:space="preserve">tercer párrafo del </w:t>
      </w:r>
      <w:r w:rsidRPr="000411D5">
        <w:rPr>
          <w:rFonts w:ascii="ITC Avant Garde" w:hAnsi="ITC Avant Garde" w:cs="Arial"/>
        </w:rPr>
        <w:t>artículo 64 de la Ley, del tenor:</w:t>
      </w:r>
    </w:p>
    <w:p w14:paraId="143FC098" w14:textId="77777777" w:rsidR="0099179E" w:rsidRPr="000411D5" w:rsidRDefault="0099179E" w:rsidP="00D868C2">
      <w:pPr>
        <w:pBdr>
          <w:top w:val="nil"/>
          <w:left w:val="nil"/>
          <w:bottom w:val="nil"/>
          <w:right w:val="nil"/>
          <w:between w:val="nil"/>
          <w:bar w:val="nil"/>
        </w:pBdr>
        <w:spacing w:after="0" w:line="240" w:lineRule="auto"/>
        <w:jc w:val="both"/>
        <w:rPr>
          <w:rFonts w:ascii="ITC Avant Garde" w:hAnsi="ITC Avant Garde" w:cs="Arial"/>
        </w:rPr>
      </w:pPr>
    </w:p>
    <w:p w14:paraId="6CCC3E37" w14:textId="6362A4AD" w:rsidR="0099179E" w:rsidRPr="00836588" w:rsidRDefault="0099179E" w:rsidP="00D868C2">
      <w:pPr>
        <w:pStyle w:val="Texto"/>
        <w:spacing w:after="0" w:line="240" w:lineRule="auto"/>
        <w:ind w:left="709" w:right="1324" w:firstLine="0"/>
        <w:rPr>
          <w:rStyle w:val="Ttulo3Car"/>
          <w:rFonts w:ascii="ITC Avant Garde" w:eastAsia="Calibri" w:hAnsi="ITC Avant Garde" w:cs="Arial"/>
          <w:i/>
          <w:color w:val="auto"/>
          <w:sz w:val="22"/>
          <w:szCs w:val="22"/>
        </w:rPr>
      </w:pPr>
      <w:r w:rsidRPr="00836588">
        <w:rPr>
          <w:rStyle w:val="Ttulo3Car"/>
          <w:rFonts w:ascii="ITC Avant Garde" w:eastAsia="Calibri" w:hAnsi="ITC Avant Garde" w:cs="Arial"/>
          <w:b/>
          <w:i/>
          <w:color w:val="auto"/>
          <w:sz w:val="22"/>
          <w:szCs w:val="22"/>
        </w:rPr>
        <w:t>“Artículo 64</w:t>
      </w:r>
      <w:r w:rsidR="00B91BAB" w:rsidRPr="00836588">
        <w:rPr>
          <w:rStyle w:val="Ttulo3Car"/>
          <w:rFonts w:ascii="ITC Avant Garde" w:eastAsia="Calibri" w:hAnsi="ITC Avant Garde" w:cs="Arial"/>
          <w:i/>
          <w:color w:val="auto"/>
          <w:sz w:val="22"/>
          <w:szCs w:val="22"/>
        </w:rPr>
        <w:t xml:space="preserve">. </w:t>
      </w:r>
      <w:r w:rsidR="00513EFF" w:rsidRPr="00836588">
        <w:rPr>
          <w:rStyle w:val="Ttulo3Car"/>
          <w:rFonts w:ascii="ITC Avant Garde" w:eastAsia="Calibri" w:hAnsi="ITC Avant Garde" w:cs="Arial"/>
          <w:i/>
          <w:color w:val="auto"/>
          <w:sz w:val="22"/>
          <w:szCs w:val="22"/>
        </w:rPr>
        <w:t>(…)</w:t>
      </w:r>
    </w:p>
    <w:p w14:paraId="727BAA41" w14:textId="77777777" w:rsidR="0099179E" w:rsidRPr="00836588" w:rsidRDefault="0099179E" w:rsidP="00D868C2">
      <w:pPr>
        <w:pStyle w:val="Texto"/>
        <w:spacing w:after="0" w:line="240" w:lineRule="auto"/>
        <w:ind w:left="709" w:right="1324" w:firstLine="0"/>
        <w:rPr>
          <w:rStyle w:val="Ttulo3Car"/>
          <w:rFonts w:ascii="ITC Avant Garde" w:eastAsia="Calibri" w:hAnsi="ITC Avant Garde" w:cs="Arial"/>
          <w:i/>
          <w:color w:val="auto"/>
          <w:sz w:val="22"/>
          <w:szCs w:val="22"/>
        </w:rPr>
      </w:pPr>
    </w:p>
    <w:p w14:paraId="23BEAC20" w14:textId="3FB12F66" w:rsidR="0099179E" w:rsidRPr="00836588" w:rsidRDefault="0099179E" w:rsidP="00D868C2">
      <w:pPr>
        <w:pStyle w:val="Texto"/>
        <w:spacing w:after="0" w:line="240" w:lineRule="auto"/>
        <w:ind w:left="709" w:right="1324" w:firstLine="0"/>
        <w:rPr>
          <w:rFonts w:ascii="ITC Avant Garde" w:eastAsia="Calibri" w:hAnsi="ITC Avant Garde" w:cs="Arial"/>
          <w:i/>
          <w:color w:val="auto"/>
          <w:sz w:val="22"/>
          <w:szCs w:val="22"/>
        </w:rPr>
      </w:pPr>
      <w:r w:rsidRPr="00836588">
        <w:rPr>
          <w:rStyle w:val="Ttulo3Car"/>
          <w:rFonts w:ascii="ITC Avant Garde" w:eastAsia="Calibri" w:hAnsi="ITC Avant Garde" w:cs="Arial"/>
          <w:i/>
          <w:color w:val="auto"/>
          <w:sz w:val="22"/>
          <w:szCs w:val="22"/>
        </w:rPr>
        <w:t>Los equipos o aparatos científicos, médicos o industriales, deberán cumplir las normas o disposiciones</w:t>
      </w:r>
      <w:r w:rsidR="00B646BF" w:rsidRPr="00836588">
        <w:rPr>
          <w:rStyle w:val="Ttulo3Car"/>
          <w:rFonts w:ascii="ITC Avant Garde" w:eastAsia="Calibri" w:hAnsi="ITC Avant Garde" w:cs="Arial"/>
          <w:i/>
          <w:color w:val="auto"/>
          <w:sz w:val="22"/>
          <w:szCs w:val="22"/>
        </w:rPr>
        <w:t xml:space="preserve"> </w:t>
      </w:r>
      <w:r w:rsidRPr="00836588">
        <w:rPr>
          <w:rStyle w:val="Ttulo3Car"/>
          <w:rFonts w:ascii="ITC Avant Garde" w:eastAsia="Calibri" w:hAnsi="ITC Avant Garde" w:cs="Arial"/>
          <w:i/>
          <w:color w:val="auto"/>
          <w:sz w:val="22"/>
          <w:szCs w:val="22"/>
        </w:rPr>
        <w:t>técnicas aplicables de tal forma que se evite causar interferencias perjudiciales a emisiones autorizadas o</w:t>
      </w:r>
      <w:r w:rsidR="00B646BF" w:rsidRPr="00836588">
        <w:rPr>
          <w:rStyle w:val="Ttulo3Car"/>
          <w:rFonts w:ascii="ITC Avant Garde" w:eastAsia="Calibri" w:hAnsi="ITC Avant Garde" w:cs="Arial"/>
          <w:i/>
          <w:color w:val="auto"/>
          <w:sz w:val="22"/>
          <w:szCs w:val="22"/>
        </w:rPr>
        <w:t xml:space="preserve"> </w:t>
      </w:r>
      <w:r w:rsidRPr="00836588">
        <w:rPr>
          <w:rStyle w:val="Ttulo3Car"/>
          <w:rFonts w:ascii="ITC Avant Garde" w:eastAsia="Calibri" w:hAnsi="ITC Avant Garde" w:cs="Arial"/>
          <w:i/>
          <w:color w:val="auto"/>
          <w:sz w:val="22"/>
          <w:szCs w:val="22"/>
        </w:rPr>
        <w:t>protegidas. En caso de que la operación de dichos equipos cause interferencias perjudiciales a emisiones</w:t>
      </w:r>
      <w:r w:rsidR="00B646BF" w:rsidRPr="00836588">
        <w:rPr>
          <w:rStyle w:val="Ttulo3Car"/>
          <w:rFonts w:ascii="ITC Avant Garde" w:eastAsia="Calibri" w:hAnsi="ITC Avant Garde" w:cs="Arial"/>
          <w:i/>
          <w:color w:val="auto"/>
          <w:sz w:val="22"/>
          <w:szCs w:val="22"/>
        </w:rPr>
        <w:t xml:space="preserve"> </w:t>
      </w:r>
      <w:r w:rsidRPr="00836588">
        <w:rPr>
          <w:rStyle w:val="Ttulo3Car"/>
          <w:rFonts w:ascii="ITC Avant Garde" w:eastAsia="Calibri" w:hAnsi="ITC Avant Garde" w:cs="Arial"/>
          <w:i/>
          <w:color w:val="auto"/>
          <w:sz w:val="22"/>
          <w:szCs w:val="22"/>
        </w:rPr>
        <w:t>autorizadas o protegidas, éstos deberán suprimir cualquier interferencia perjudicial en el plazo que al efecto</w:t>
      </w:r>
      <w:r w:rsidR="00B646BF" w:rsidRPr="00836588">
        <w:rPr>
          <w:rStyle w:val="Ttulo3Car"/>
          <w:rFonts w:ascii="ITC Avant Garde" w:eastAsia="Calibri" w:hAnsi="ITC Avant Garde" w:cs="Arial"/>
          <w:i/>
          <w:color w:val="auto"/>
          <w:sz w:val="22"/>
          <w:szCs w:val="22"/>
        </w:rPr>
        <w:t xml:space="preserve"> </w:t>
      </w:r>
      <w:r w:rsidRPr="00836588">
        <w:rPr>
          <w:rStyle w:val="Ttulo3Car"/>
          <w:rFonts w:ascii="ITC Avant Garde" w:eastAsia="Calibri" w:hAnsi="ITC Avant Garde" w:cs="Arial"/>
          <w:i/>
          <w:color w:val="auto"/>
          <w:sz w:val="22"/>
          <w:szCs w:val="22"/>
        </w:rPr>
        <w:t>fije el Instituto.”</w:t>
      </w:r>
    </w:p>
    <w:p w14:paraId="64DE067D" w14:textId="77777777" w:rsidR="0099179E" w:rsidRDefault="0099179E" w:rsidP="00D868C2">
      <w:pPr>
        <w:pBdr>
          <w:top w:val="nil"/>
          <w:left w:val="nil"/>
          <w:bottom w:val="nil"/>
          <w:right w:val="nil"/>
          <w:between w:val="nil"/>
          <w:bar w:val="nil"/>
        </w:pBdr>
        <w:spacing w:after="0" w:line="240" w:lineRule="auto"/>
        <w:jc w:val="both"/>
        <w:rPr>
          <w:rFonts w:ascii="ITC Avant Garde" w:hAnsi="ITC Avant Garde" w:cs="Arial"/>
        </w:rPr>
      </w:pPr>
    </w:p>
    <w:p w14:paraId="62E13E65" w14:textId="3BB2D40F" w:rsidR="00FE078A" w:rsidRPr="00FE078A" w:rsidRDefault="008C6054" w:rsidP="00D868C2">
      <w:pPr>
        <w:pBdr>
          <w:top w:val="nil"/>
          <w:left w:val="nil"/>
          <w:bottom w:val="nil"/>
          <w:right w:val="nil"/>
          <w:between w:val="nil"/>
          <w:bar w:val="nil"/>
        </w:pBdr>
        <w:spacing w:after="0" w:line="240" w:lineRule="auto"/>
        <w:jc w:val="both"/>
        <w:rPr>
          <w:rFonts w:ascii="ITC Avant Garde" w:hAnsi="ITC Avant Garde" w:cs="Arial"/>
        </w:rPr>
      </w:pPr>
      <w:r>
        <w:rPr>
          <w:rFonts w:ascii="ITC Avant Garde" w:hAnsi="ITC Avant Garde" w:cs="Arial"/>
        </w:rPr>
        <w:t>En este orden de ideas</w:t>
      </w:r>
      <w:r w:rsidR="00FE078A" w:rsidRPr="00FE078A">
        <w:rPr>
          <w:rFonts w:ascii="ITC Avant Garde" w:hAnsi="ITC Avant Garde" w:cs="Arial"/>
        </w:rPr>
        <w:t xml:space="preserve">, </w:t>
      </w:r>
      <w:r>
        <w:rPr>
          <w:rFonts w:ascii="ITC Avant Garde" w:hAnsi="ITC Avant Garde" w:cs="Arial"/>
        </w:rPr>
        <w:t xml:space="preserve">a través de la clasificación de la </w:t>
      </w:r>
      <w:r w:rsidRPr="00FE078A">
        <w:rPr>
          <w:rFonts w:ascii="ITC Avant Garde" w:hAnsi="ITC Avant Garde" w:cs="Arial"/>
        </w:rPr>
        <w:t xml:space="preserve">banda de frecuencias de 57-64 GHz como espectro libre </w:t>
      </w:r>
      <w:r w:rsidR="00FE078A" w:rsidRPr="00FE078A">
        <w:rPr>
          <w:rFonts w:ascii="ITC Avant Garde" w:hAnsi="ITC Avant Garde" w:cs="Arial"/>
        </w:rPr>
        <w:t>se pretende obtener un crecimiento en el sector de la</w:t>
      </w:r>
      <w:r>
        <w:rPr>
          <w:rFonts w:ascii="ITC Avant Garde" w:hAnsi="ITC Avant Garde" w:cs="Arial"/>
        </w:rPr>
        <w:t>s</w:t>
      </w:r>
      <w:r w:rsidR="00FE078A" w:rsidRPr="00FE078A">
        <w:rPr>
          <w:rFonts w:ascii="ITC Avant Garde" w:hAnsi="ITC Avant Garde" w:cs="Arial"/>
        </w:rPr>
        <w:t xml:space="preserve"> telecomunicaciones y </w:t>
      </w:r>
      <w:r w:rsidR="008B7BE7">
        <w:rPr>
          <w:rFonts w:ascii="ITC Avant Garde" w:hAnsi="ITC Avant Garde" w:cs="Arial"/>
        </w:rPr>
        <w:t xml:space="preserve">coadyuvar a </w:t>
      </w:r>
      <w:r w:rsidR="00FE078A" w:rsidRPr="00FE078A">
        <w:rPr>
          <w:rFonts w:ascii="ITC Avant Garde" w:hAnsi="ITC Avant Garde" w:cs="Arial"/>
        </w:rPr>
        <w:t xml:space="preserve">reducir la </w:t>
      </w:r>
      <w:r w:rsidR="00FE078A" w:rsidRPr="008B7BE7">
        <w:rPr>
          <w:rFonts w:ascii="ITC Avant Garde" w:hAnsi="ITC Avant Garde" w:cs="Arial"/>
        </w:rPr>
        <w:t>brecha digital</w:t>
      </w:r>
      <w:r w:rsidR="00FE078A" w:rsidRPr="00FE078A">
        <w:rPr>
          <w:rFonts w:ascii="ITC Avant Garde" w:hAnsi="ITC Avant Garde" w:cs="Arial"/>
        </w:rPr>
        <w:t xml:space="preserve"> </w:t>
      </w:r>
      <w:r w:rsidR="008B7BE7">
        <w:rPr>
          <w:rFonts w:ascii="ITC Avant Garde" w:hAnsi="ITC Avant Garde" w:cs="Arial"/>
        </w:rPr>
        <w:t>a través de</w:t>
      </w:r>
      <w:r w:rsidR="00FE078A" w:rsidRPr="00FE078A">
        <w:rPr>
          <w:rFonts w:ascii="ITC Avant Garde" w:hAnsi="ITC Avant Garde" w:cs="Arial"/>
        </w:rPr>
        <w:t xml:space="preserve"> los objetivos</w:t>
      </w:r>
      <w:r w:rsidR="008B7BE7" w:rsidRPr="008B7BE7">
        <w:rPr>
          <w:rFonts w:ascii="ITC Avant Garde" w:hAnsi="ITC Avant Garde" w:cs="Arial"/>
        </w:rPr>
        <w:t xml:space="preserve"> </w:t>
      </w:r>
      <w:r w:rsidR="00FE078A" w:rsidRPr="00FE078A">
        <w:rPr>
          <w:rFonts w:ascii="ITC Avant Garde" w:hAnsi="ITC Avant Garde" w:cs="Arial"/>
        </w:rPr>
        <w:t>siguientes:</w:t>
      </w:r>
    </w:p>
    <w:p w14:paraId="762393C3" w14:textId="77777777" w:rsidR="00FE078A" w:rsidRPr="00FE078A" w:rsidRDefault="00FE078A" w:rsidP="00D868C2">
      <w:pPr>
        <w:pBdr>
          <w:top w:val="nil"/>
          <w:left w:val="nil"/>
          <w:bottom w:val="nil"/>
          <w:right w:val="nil"/>
          <w:between w:val="nil"/>
          <w:bar w:val="nil"/>
        </w:pBdr>
        <w:spacing w:after="0" w:line="240" w:lineRule="auto"/>
        <w:jc w:val="both"/>
        <w:rPr>
          <w:rFonts w:ascii="ITC Avant Garde" w:hAnsi="ITC Avant Garde" w:cs="Arial"/>
        </w:rPr>
      </w:pPr>
    </w:p>
    <w:p w14:paraId="4DE88F55" w14:textId="45B262BC" w:rsidR="00FE078A" w:rsidRPr="00681263" w:rsidRDefault="00FE078A" w:rsidP="00D868C2">
      <w:pPr>
        <w:pStyle w:val="Prrafodelista"/>
        <w:numPr>
          <w:ilvl w:val="2"/>
          <w:numId w:val="39"/>
        </w:numPr>
        <w:pBdr>
          <w:top w:val="nil"/>
          <w:left w:val="nil"/>
          <w:bottom w:val="nil"/>
          <w:right w:val="nil"/>
          <w:between w:val="nil"/>
          <w:bar w:val="nil"/>
        </w:pBdr>
        <w:spacing w:after="0" w:line="240" w:lineRule="auto"/>
        <w:jc w:val="both"/>
        <w:rPr>
          <w:rFonts w:ascii="ITC Avant Garde" w:hAnsi="ITC Avant Garde" w:cs="Arial"/>
        </w:rPr>
      </w:pPr>
      <w:r w:rsidRPr="00681263">
        <w:rPr>
          <w:rFonts w:ascii="ITC Avant Garde" w:hAnsi="ITC Avant Garde" w:cs="Arial"/>
        </w:rPr>
        <w:t>Establecer las condiciones de operación para el uso de la banda de frecuencias de 57-64 GHz como espectro libre;</w:t>
      </w:r>
    </w:p>
    <w:p w14:paraId="6DCF9481" w14:textId="147F8CB2" w:rsidR="00FE078A" w:rsidRPr="00681263" w:rsidRDefault="00FE078A" w:rsidP="00D868C2">
      <w:pPr>
        <w:pStyle w:val="Prrafodelista"/>
        <w:numPr>
          <w:ilvl w:val="2"/>
          <w:numId w:val="39"/>
        </w:numPr>
        <w:pBdr>
          <w:top w:val="nil"/>
          <w:left w:val="nil"/>
          <w:bottom w:val="nil"/>
          <w:right w:val="nil"/>
          <w:between w:val="nil"/>
          <w:bar w:val="nil"/>
        </w:pBdr>
        <w:spacing w:after="0" w:line="240" w:lineRule="auto"/>
        <w:jc w:val="both"/>
        <w:rPr>
          <w:rFonts w:ascii="ITC Avant Garde" w:hAnsi="ITC Avant Garde" w:cs="Arial"/>
        </w:rPr>
      </w:pPr>
      <w:r w:rsidRPr="00681263">
        <w:rPr>
          <w:rFonts w:ascii="ITC Avant Garde" w:hAnsi="ITC Avant Garde" w:cs="Arial"/>
        </w:rPr>
        <w:t>Acercar al público en general a las tecnologías y servicios de telecomunicaciones mediante las bandas de frecuencias clasificadas como espectro libre;</w:t>
      </w:r>
    </w:p>
    <w:p w14:paraId="4F8116E4" w14:textId="56A73D4D" w:rsidR="00FE078A" w:rsidRPr="00681263" w:rsidRDefault="00FE078A" w:rsidP="00D868C2">
      <w:pPr>
        <w:pStyle w:val="Prrafodelista"/>
        <w:numPr>
          <w:ilvl w:val="2"/>
          <w:numId w:val="39"/>
        </w:numPr>
        <w:pBdr>
          <w:top w:val="nil"/>
          <w:left w:val="nil"/>
          <w:bottom w:val="nil"/>
          <w:right w:val="nil"/>
          <w:between w:val="nil"/>
          <w:bar w:val="nil"/>
        </w:pBdr>
        <w:spacing w:after="0" w:line="240" w:lineRule="auto"/>
        <w:jc w:val="both"/>
        <w:rPr>
          <w:rFonts w:ascii="ITC Avant Garde" w:hAnsi="ITC Avant Garde" w:cs="Arial"/>
        </w:rPr>
      </w:pPr>
      <w:r w:rsidRPr="00681263">
        <w:rPr>
          <w:rFonts w:ascii="ITC Avant Garde" w:hAnsi="ITC Avant Garde" w:cs="Arial"/>
        </w:rPr>
        <w:t>Administrar y fomentar el uso eficiente del espectro radioeléctrico para el sector de las telecomunicaciones;</w:t>
      </w:r>
    </w:p>
    <w:p w14:paraId="265816C0" w14:textId="6A06522F" w:rsidR="00FE078A" w:rsidRPr="00681263" w:rsidDel="006A0FB7" w:rsidRDefault="00FE078A" w:rsidP="00D868C2">
      <w:pPr>
        <w:pStyle w:val="Prrafodelista"/>
        <w:numPr>
          <w:ilvl w:val="2"/>
          <w:numId w:val="39"/>
        </w:numPr>
        <w:pBdr>
          <w:top w:val="nil"/>
          <w:left w:val="nil"/>
          <w:bottom w:val="nil"/>
          <w:right w:val="nil"/>
          <w:between w:val="nil"/>
          <w:bar w:val="nil"/>
        </w:pBdr>
        <w:spacing w:after="0" w:line="240" w:lineRule="auto"/>
        <w:jc w:val="both"/>
        <w:rPr>
          <w:rFonts w:ascii="ITC Avant Garde" w:hAnsi="ITC Avant Garde" w:cs="Arial"/>
        </w:rPr>
      </w:pPr>
      <w:r w:rsidRPr="00681263" w:rsidDel="006A0FB7">
        <w:rPr>
          <w:rFonts w:ascii="ITC Avant Garde" w:hAnsi="ITC Avant Garde" w:cs="Arial"/>
        </w:rPr>
        <w:lastRenderedPageBreak/>
        <w:t>Promover e impulsar condiciones para el acceso a las tecnologías y servicios de telecomunicaciones con la finalidad de maximizar el bienestar social;</w:t>
      </w:r>
    </w:p>
    <w:p w14:paraId="1C6D8923" w14:textId="1A1DB252" w:rsidR="00FE078A" w:rsidRPr="00681263" w:rsidDel="00513EFF" w:rsidRDefault="00FE078A" w:rsidP="00D868C2">
      <w:pPr>
        <w:pStyle w:val="Prrafodelista"/>
        <w:numPr>
          <w:ilvl w:val="2"/>
          <w:numId w:val="39"/>
        </w:numPr>
        <w:pBdr>
          <w:top w:val="nil"/>
          <w:left w:val="nil"/>
          <w:bottom w:val="nil"/>
          <w:right w:val="nil"/>
          <w:between w:val="nil"/>
          <w:bar w:val="nil"/>
        </w:pBdr>
        <w:spacing w:after="0" w:line="240" w:lineRule="auto"/>
        <w:jc w:val="both"/>
        <w:rPr>
          <w:rFonts w:ascii="ITC Avant Garde" w:hAnsi="ITC Avant Garde" w:cs="Arial"/>
        </w:rPr>
      </w:pPr>
      <w:r w:rsidRPr="00681263" w:rsidDel="00513EFF">
        <w:rPr>
          <w:rFonts w:ascii="ITC Avant Garde" w:hAnsi="ITC Avant Garde" w:cs="Arial"/>
        </w:rPr>
        <w:t xml:space="preserve">Fomentar condiciones de competencia en </w:t>
      </w:r>
      <w:r w:rsidRPr="00261C66" w:rsidDel="00513EFF">
        <w:rPr>
          <w:rFonts w:ascii="ITC Avant Garde" w:hAnsi="ITC Avant Garde"/>
        </w:rPr>
        <w:t xml:space="preserve">el </w:t>
      </w:r>
      <w:r w:rsidR="000705C8" w:rsidRPr="00615EF4">
        <w:rPr>
          <w:rFonts w:ascii="ITC Avant Garde" w:hAnsi="ITC Avant Garde" w:cs="Arial"/>
        </w:rPr>
        <w:t>sector</w:t>
      </w:r>
      <w:r w:rsidR="000705C8" w:rsidRPr="00615EF4" w:rsidDel="00513EFF">
        <w:rPr>
          <w:rFonts w:ascii="ITC Avant Garde" w:hAnsi="ITC Avant Garde" w:cs="Arial"/>
        </w:rPr>
        <w:t xml:space="preserve"> </w:t>
      </w:r>
      <w:r w:rsidRPr="00261C66" w:rsidDel="00513EFF">
        <w:rPr>
          <w:rFonts w:ascii="ITC Avant Garde" w:hAnsi="ITC Avant Garde"/>
        </w:rPr>
        <w:t>de telecomunicaciones</w:t>
      </w:r>
      <w:r w:rsidRPr="00681263" w:rsidDel="00513EFF">
        <w:rPr>
          <w:rFonts w:ascii="ITC Avant Garde" w:hAnsi="ITC Avant Garde" w:cs="Arial"/>
        </w:rPr>
        <w:t xml:space="preserve"> para obtener un m</w:t>
      </w:r>
      <w:r w:rsidR="00681263" w:rsidDel="00513EFF">
        <w:rPr>
          <w:rFonts w:ascii="ITC Avant Garde" w:hAnsi="ITC Avant Garde" w:cs="Arial"/>
        </w:rPr>
        <w:t xml:space="preserve">ayor desarrollo en </w:t>
      </w:r>
      <w:r w:rsidR="000705C8">
        <w:rPr>
          <w:rFonts w:ascii="ITC Avant Garde" w:hAnsi="ITC Avant Garde" w:cs="Arial"/>
        </w:rPr>
        <w:t>este</w:t>
      </w:r>
      <w:r w:rsidR="00681263" w:rsidDel="00513EFF">
        <w:rPr>
          <w:rFonts w:ascii="ITC Avant Garde" w:hAnsi="ITC Avant Garde" w:cs="Arial"/>
        </w:rPr>
        <w:t>, y</w:t>
      </w:r>
    </w:p>
    <w:p w14:paraId="6B5F1FEC" w14:textId="5FAACBEA" w:rsidR="00FE078A" w:rsidRPr="00681263" w:rsidRDefault="00FE078A" w:rsidP="00D868C2">
      <w:pPr>
        <w:pStyle w:val="Prrafodelista"/>
        <w:numPr>
          <w:ilvl w:val="2"/>
          <w:numId w:val="39"/>
        </w:numPr>
        <w:pBdr>
          <w:top w:val="nil"/>
          <w:left w:val="nil"/>
          <w:bottom w:val="nil"/>
          <w:right w:val="nil"/>
          <w:between w:val="nil"/>
          <w:bar w:val="nil"/>
        </w:pBdr>
        <w:spacing w:after="0" w:line="240" w:lineRule="auto"/>
        <w:jc w:val="both"/>
        <w:rPr>
          <w:rFonts w:ascii="ITC Avant Garde" w:hAnsi="ITC Avant Garde" w:cs="Arial"/>
        </w:rPr>
      </w:pPr>
      <w:r w:rsidRPr="00681263">
        <w:rPr>
          <w:rFonts w:ascii="ITC Avant Garde" w:hAnsi="ITC Avant Garde" w:cs="Arial"/>
        </w:rPr>
        <w:t>Coadyuvar en la armonización del uso del espectro considerando las mejores prácticas internacionales y los avances tecnológicos que existen en el sector.</w:t>
      </w:r>
    </w:p>
    <w:p w14:paraId="4DC6CE40" w14:textId="77777777" w:rsidR="00FE078A" w:rsidRPr="000411D5" w:rsidRDefault="00FE078A" w:rsidP="00D868C2">
      <w:pPr>
        <w:pBdr>
          <w:top w:val="nil"/>
          <w:left w:val="nil"/>
          <w:bottom w:val="nil"/>
          <w:right w:val="nil"/>
          <w:between w:val="nil"/>
          <w:bar w:val="nil"/>
        </w:pBdr>
        <w:spacing w:after="0" w:line="240" w:lineRule="auto"/>
        <w:jc w:val="both"/>
        <w:rPr>
          <w:rFonts w:ascii="ITC Avant Garde" w:hAnsi="ITC Avant Garde" w:cs="Arial"/>
        </w:rPr>
      </w:pPr>
    </w:p>
    <w:p w14:paraId="18F3A3E3" w14:textId="4B967771" w:rsidR="00EB5973" w:rsidRPr="00EB5973" w:rsidRDefault="0099179E" w:rsidP="00D868C2">
      <w:pPr>
        <w:pStyle w:val="Prrafodelista"/>
        <w:numPr>
          <w:ilvl w:val="0"/>
          <w:numId w:val="16"/>
        </w:numPr>
        <w:pBdr>
          <w:top w:val="nil"/>
          <w:left w:val="nil"/>
          <w:bottom w:val="nil"/>
          <w:right w:val="nil"/>
          <w:between w:val="nil"/>
          <w:bar w:val="nil"/>
        </w:pBdr>
        <w:autoSpaceDE w:val="0"/>
        <w:autoSpaceDN w:val="0"/>
        <w:adjustRightInd w:val="0"/>
        <w:spacing w:after="0" w:line="240" w:lineRule="auto"/>
        <w:ind w:left="0" w:firstLine="0"/>
        <w:contextualSpacing w:val="0"/>
        <w:jc w:val="both"/>
        <w:rPr>
          <w:rFonts w:ascii="ITC Avant Garde" w:hAnsi="ITC Avant Garde" w:cs="Arial"/>
          <w:lang w:eastAsia="ar-SA"/>
        </w:rPr>
      </w:pPr>
      <w:r w:rsidRPr="00EB5973">
        <w:rPr>
          <w:rFonts w:ascii="ITC Avant Garde" w:hAnsi="ITC Avant Garde" w:cs="Arial"/>
          <w:b/>
          <w:lang w:eastAsia="ar-SA"/>
        </w:rPr>
        <w:t>Banda de frecuencias de 57-64 GHz</w:t>
      </w:r>
      <w:r w:rsidRPr="00EB5973">
        <w:rPr>
          <w:rFonts w:ascii="ITC Avant Garde" w:hAnsi="ITC Avant Garde" w:cs="Arial"/>
          <w:lang w:eastAsia="ar-SA"/>
        </w:rPr>
        <w:t xml:space="preserve">. La </w:t>
      </w:r>
      <w:r w:rsidR="00357F92" w:rsidRPr="00EB5973">
        <w:rPr>
          <w:rFonts w:ascii="ITC Avant Garde" w:hAnsi="ITC Avant Garde" w:cs="Arial"/>
          <w:lang w:eastAsia="ar-SA"/>
        </w:rPr>
        <w:t>I</w:t>
      </w:r>
      <w:r w:rsidRPr="00EB5973">
        <w:rPr>
          <w:rFonts w:ascii="ITC Avant Garde" w:hAnsi="ITC Avant Garde" w:cs="Arial"/>
          <w:lang w:eastAsia="ar-SA"/>
        </w:rPr>
        <w:t>ndustria de telecomunicaciones se encuentra en constante innovación, lo que permite al usuario acceder a más y mejores servicios;</w:t>
      </w:r>
      <w:r w:rsidR="00EB5973" w:rsidRPr="00EB5973">
        <w:rPr>
          <w:rFonts w:ascii="ITC Avant Garde" w:hAnsi="ITC Avant Garde" w:cs="Arial"/>
          <w:lang w:eastAsia="ar-SA"/>
        </w:rPr>
        <w:t xml:space="preserve"> es así, que el uso del espectro se vuelve determinante en el desarrollo de la tecnología y es necesario llevar a cabo una adecuada administración de este recurso finito.</w:t>
      </w:r>
    </w:p>
    <w:p w14:paraId="7D432D3D" w14:textId="77777777" w:rsidR="00EB5973" w:rsidRDefault="00EB5973" w:rsidP="00D868C2">
      <w:pPr>
        <w:pStyle w:val="Prrafodelista"/>
        <w:pBdr>
          <w:top w:val="nil"/>
          <w:left w:val="nil"/>
          <w:bottom w:val="nil"/>
          <w:right w:val="nil"/>
          <w:between w:val="nil"/>
          <w:bar w:val="nil"/>
        </w:pBdr>
        <w:spacing w:after="0" w:line="240" w:lineRule="auto"/>
        <w:ind w:left="0"/>
        <w:contextualSpacing w:val="0"/>
        <w:jc w:val="both"/>
        <w:rPr>
          <w:rFonts w:ascii="ITC Avant Garde" w:hAnsi="ITC Avant Garde" w:cs="Arial"/>
          <w:lang w:eastAsia="ar-SA"/>
        </w:rPr>
      </w:pPr>
    </w:p>
    <w:p w14:paraId="5E6D11ED" w14:textId="004EA566" w:rsidR="0099179E" w:rsidRPr="000411D5" w:rsidRDefault="0099179E" w:rsidP="00D868C2">
      <w:pPr>
        <w:pStyle w:val="Prrafodelista"/>
        <w:pBdr>
          <w:top w:val="nil"/>
          <w:left w:val="nil"/>
          <w:bottom w:val="nil"/>
          <w:right w:val="nil"/>
          <w:between w:val="nil"/>
          <w:bar w:val="nil"/>
        </w:pBdr>
        <w:spacing w:after="0" w:line="240" w:lineRule="auto"/>
        <w:ind w:left="0"/>
        <w:contextualSpacing w:val="0"/>
        <w:jc w:val="both"/>
        <w:rPr>
          <w:rFonts w:ascii="ITC Avant Garde" w:hAnsi="ITC Avant Garde" w:cs="Arial"/>
          <w:lang w:eastAsia="ar-SA"/>
        </w:rPr>
      </w:pPr>
      <w:r w:rsidRPr="000411D5">
        <w:rPr>
          <w:rFonts w:ascii="ITC Avant Garde" w:hAnsi="ITC Avant Garde" w:cs="Arial"/>
          <w:lang w:eastAsia="ar-SA"/>
        </w:rPr>
        <w:t xml:space="preserve">Particularmente, la banda de frecuencias de </w:t>
      </w:r>
      <w:r w:rsidR="000A0E5E">
        <w:rPr>
          <w:rFonts w:ascii="ITC Avant Garde" w:hAnsi="ITC Avant Garde" w:cs="Arial"/>
          <w:lang w:eastAsia="ar-SA"/>
        </w:rPr>
        <w:t xml:space="preserve">57-64 </w:t>
      </w:r>
      <w:r w:rsidR="00181D19">
        <w:rPr>
          <w:rFonts w:ascii="ITC Avant Garde" w:hAnsi="ITC Avant Garde" w:cs="Arial"/>
          <w:lang w:eastAsia="ar-SA"/>
        </w:rPr>
        <w:t>GHz</w:t>
      </w:r>
      <w:r w:rsidR="00B646BF" w:rsidRPr="00B646BF">
        <w:rPr>
          <w:rFonts w:ascii="ITC Avant Garde" w:hAnsi="ITC Avant Garde" w:cs="Arial"/>
          <w:lang w:eastAsia="ar-SA"/>
        </w:rPr>
        <w:t xml:space="preserve"> </w:t>
      </w:r>
      <w:r w:rsidRPr="000411D5">
        <w:rPr>
          <w:rFonts w:ascii="ITC Avant Garde" w:hAnsi="ITC Avant Garde" w:cs="Arial"/>
          <w:lang w:eastAsia="ar-SA"/>
        </w:rPr>
        <w:t xml:space="preserve">se utiliza a nivel mundial para servicios de banda ancha como comunicación entre radio bases de redes celulares, implementación de redes urbanas temporales de alta capacidad para cubrir eventos masivos, entrega de video de alta definición en el hogar y conexión para hogares y ciudades inteligentes (IoT por sus siglas en inglés). </w:t>
      </w:r>
      <w:r w:rsidR="0003767D">
        <w:rPr>
          <w:rFonts w:ascii="ITC Avant Garde" w:hAnsi="ITC Avant Garde" w:cs="Arial"/>
          <w:lang w:eastAsia="ar-SA"/>
        </w:rPr>
        <w:t>Asi</w:t>
      </w:r>
      <w:r w:rsidRPr="000411D5">
        <w:rPr>
          <w:rFonts w:ascii="ITC Avant Garde" w:hAnsi="ITC Avant Garde" w:cs="Arial"/>
          <w:lang w:eastAsia="ar-SA"/>
        </w:rPr>
        <w:t>mismo se utiliza para otras aplicaciones, tales como transporte inteligente para la sincronización de sistemas de control de tráfico y semaforización, sensores de perturbación de campo fijo, dispositivos de corto alcance para detección de movimiento para visores de realidad aumentada y realidad virtual y transmisores de radioenlaces fijos punto a punto que permiten desplegar radioenlaces entre edificios cercanos</w:t>
      </w:r>
      <w:r w:rsidR="0087638D" w:rsidRPr="0087638D">
        <w:rPr>
          <w:rFonts w:ascii="ITC Avant Garde" w:hAnsi="ITC Avant Garde" w:cs="Arial"/>
          <w:lang w:eastAsia="ar-SA"/>
        </w:rPr>
        <w:t xml:space="preserve"> </w:t>
      </w:r>
      <w:r w:rsidR="0087638D">
        <w:rPr>
          <w:rFonts w:ascii="ITC Avant Garde" w:hAnsi="ITC Avant Garde" w:cs="Arial"/>
          <w:lang w:eastAsia="ar-SA"/>
        </w:rPr>
        <w:t>y en la implementación de</w:t>
      </w:r>
      <w:r w:rsidRPr="000411D5">
        <w:rPr>
          <w:rFonts w:ascii="ITC Avant Garde" w:hAnsi="ITC Avant Garde" w:cs="Arial"/>
          <w:lang w:eastAsia="ar-SA"/>
        </w:rPr>
        <w:t xml:space="preserve"> redes de video para video vigilancia. Es así que la armonización global del espectro propicia escenarios de economías de escala que fomentan la disminución de costos de los equipos para el usuario final.</w:t>
      </w:r>
    </w:p>
    <w:p w14:paraId="1955A504" w14:textId="77777777" w:rsidR="0099179E" w:rsidRPr="000411D5" w:rsidRDefault="0099179E" w:rsidP="00D868C2">
      <w:pPr>
        <w:pStyle w:val="Prrafodelista"/>
        <w:pBdr>
          <w:top w:val="nil"/>
          <w:left w:val="nil"/>
          <w:bottom w:val="nil"/>
          <w:right w:val="nil"/>
          <w:between w:val="nil"/>
          <w:bar w:val="nil"/>
        </w:pBdr>
        <w:spacing w:after="0" w:line="240" w:lineRule="auto"/>
        <w:ind w:left="0"/>
        <w:contextualSpacing w:val="0"/>
        <w:jc w:val="both"/>
        <w:rPr>
          <w:rFonts w:ascii="ITC Avant Garde" w:hAnsi="ITC Avant Garde" w:cs="Arial"/>
          <w:lang w:eastAsia="ar-SA"/>
        </w:rPr>
      </w:pPr>
    </w:p>
    <w:p w14:paraId="3C4DEB3B" w14:textId="642BDC1C" w:rsidR="00323BA9" w:rsidRDefault="0099179E" w:rsidP="00D868C2">
      <w:pPr>
        <w:autoSpaceDE w:val="0"/>
        <w:autoSpaceDN w:val="0"/>
        <w:adjustRightInd w:val="0"/>
        <w:spacing w:after="0" w:line="240" w:lineRule="auto"/>
        <w:jc w:val="both"/>
        <w:rPr>
          <w:rFonts w:ascii="ITC Avant Garde" w:hAnsi="ITC Avant Garde" w:cs="Arial"/>
          <w:lang w:eastAsia="ar-SA"/>
        </w:rPr>
      </w:pPr>
      <w:r w:rsidRPr="000411D5">
        <w:rPr>
          <w:rFonts w:ascii="ITC Avant Garde" w:hAnsi="ITC Avant Garde" w:cs="Arial"/>
          <w:lang w:eastAsia="ar-SA"/>
        </w:rPr>
        <w:t>De igual forma, diversos organismos internacionales, han emitido recomendaciones entre las que se encuentran la Recomendación de la UIT, UIT-R M.2003-1 “</w:t>
      </w:r>
      <w:r w:rsidR="0020071A" w:rsidRPr="0020071A">
        <w:rPr>
          <w:rFonts w:ascii="ITC Avant Garde" w:hAnsi="ITC Avant Garde" w:cs="Arial"/>
          <w:i/>
          <w:lang w:eastAsia="ar-SA"/>
        </w:rPr>
        <w:t>Sistemas inalámbricos de múltiples gigabits</w:t>
      </w:r>
      <w:r w:rsidR="0020071A">
        <w:rPr>
          <w:rFonts w:ascii="ITC Avant Garde" w:hAnsi="ITC Avant Garde" w:cs="Arial"/>
          <w:i/>
          <w:lang w:eastAsia="ar-SA"/>
        </w:rPr>
        <w:t xml:space="preserve"> </w:t>
      </w:r>
      <w:r w:rsidR="0020071A" w:rsidRPr="0020071A">
        <w:rPr>
          <w:rFonts w:ascii="ITC Avant Garde" w:hAnsi="ITC Avant Garde" w:cs="Arial"/>
          <w:i/>
          <w:lang w:eastAsia="ar-SA"/>
        </w:rPr>
        <w:t>e</w:t>
      </w:r>
      <w:r w:rsidR="00E26FAF">
        <w:rPr>
          <w:rFonts w:ascii="ITC Avant Garde" w:hAnsi="ITC Avant Garde" w:cs="Arial"/>
          <w:i/>
          <w:lang w:eastAsia="ar-SA"/>
        </w:rPr>
        <w:t>n frecuencias en torno a 60 GHz</w:t>
      </w:r>
      <w:r w:rsidRPr="000411D5">
        <w:rPr>
          <w:rFonts w:ascii="ITC Avant Garde" w:hAnsi="ITC Avant Garde" w:cs="Arial"/>
          <w:i/>
          <w:lang w:eastAsia="ar-SA"/>
        </w:rPr>
        <w:t>”</w:t>
      </w:r>
      <w:r w:rsidRPr="000411D5">
        <w:rPr>
          <w:rFonts w:ascii="ITC Avant Garde" w:hAnsi="ITC Avant Garde" w:cs="Arial"/>
          <w:lang w:eastAsia="ar-SA"/>
        </w:rPr>
        <w:t>; y</w:t>
      </w:r>
      <w:r w:rsidRPr="000411D5">
        <w:rPr>
          <w:rFonts w:ascii="ITC Avant Garde" w:hAnsi="ITC Avant Garde" w:cs="Arial"/>
          <w:i/>
          <w:lang w:eastAsia="ar-SA"/>
        </w:rPr>
        <w:t xml:space="preserve"> </w:t>
      </w:r>
      <w:r w:rsidRPr="000411D5">
        <w:rPr>
          <w:rFonts w:ascii="ITC Avant Garde" w:hAnsi="ITC Avant Garde" w:cs="Arial"/>
          <w:lang w:eastAsia="ar-SA"/>
        </w:rPr>
        <w:t>la Recomendación del Comité de Comunicaciones Electrónicas (ECC, por sus siglas en inglés)</w:t>
      </w:r>
      <w:r w:rsidRPr="000411D5">
        <w:rPr>
          <w:rFonts w:ascii="ITC Avant Garde" w:hAnsi="ITC Avant Garde" w:cs="Arial"/>
          <w:i/>
        </w:rPr>
        <w:t xml:space="preserve"> </w:t>
      </w:r>
      <w:r w:rsidRPr="000411D5">
        <w:rPr>
          <w:rFonts w:ascii="ITC Avant Garde" w:hAnsi="ITC Avant Garde" w:cs="Arial"/>
          <w:lang w:eastAsia="ar-SA"/>
        </w:rPr>
        <w:t>de la Conferencia Europea de Administraciones de Correos y Telecomunicaciones (CEPT, por sus siglas en inglés)</w:t>
      </w:r>
      <w:r w:rsidRPr="000411D5">
        <w:rPr>
          <w:rFonts w:ascii="ITC Avant Garde" w:hAnsi="ITC Avant Garde" w:cs="Arial"/>
          <w:i/>
        </w:rPr>
        <w:t xml:space="preserve"> </w:t>
      </w:r>
      <w:r w:rsidRPr="000411D5">
        <w:rPr>
          <w:rFonts w:ascii="ITC Avant Garde" w:hAnsi="ITC Avant Garde" w:cs="Arial"/>
          <w:bCs/>
          <w:i/>
        </w:rPr>
        <w:t>“ECC Recommendation (09) 01 Use Of The 57 - 64 GHz Frequency Band For Point-To-Point Fixed Wireless Systems”</w:t>
      </w:r>
      <w:r w:rsidRPr="000411D5">
        <w:rPr>
          <w:rFonts w:ascii="ITC Avant Garde" w:hAnsi="ITC Avant Garde" w:cs="Arial"/>
          <w:b/>
          <w:bCs/>
        </w:rPr>
        <w:t>,</w:t>
      </w:r>
      <w:r w:rsidRPr="000411D5">
        <w:rPr>
          <w:rFonts w:ascii="ITC Avant Garde" w:hAnsi="ITC Avant Garde" w:cs="Arial"/>
          <w:lang w:eastAsia="ar-SA"/>
        </w:rPr>
        <w:t xml:space="preserve"> ambas sobre requerimientos técnicos y operativos para sistemas inalámbricos de banda ancha que utilizan la mencionada banda de frecuencias del espectro radioeléctrico, lo que impulsa el despliegue de la tecnología.</w:t>
      </w:r>
    </w:p>
    <w:p w14:paraId="236A0AC0" w14:textId="14461D63" w:rsidR="00977955" w:rsidRDefault="00977955" w:rsidP="00D868C2">
      <w:pPr>
        <w:autoSpaceDE w:val="0"/>
        <w:autoSpaceDN w:val="0"/>
        <w:adjustRightInd w:val="0"/>
        <w:spacing w:after="0" w:line="240" w:lineRule="auto"/>
        <w:jc w:val="both"/>
        <w:rPr>
          <w:rFonts w:ascii="ITC Avant Garde" w:hAnsi="ITC Avant Garde" w:cs="Arial"/>
          <w:lang w:eastAsia="ar-SA"/>
        </w:rPr>
      </w:pPr>
    </w:p>
    <w:p w14:paraId="05A83DDC" w14:textId="06E10C6F" w:rsidR="0099179E" w:rsidRPr="000411D5" w:rsidRDefault="00977955" w:rsidP="00D868C2">
      <w:pPr>
        <w:autoSpaceDE w:val="0"/>
        <w:autoSpaceDN w:val="0"/>
        <w:adjustRightInd w:val="0"/>
        <w:spacing w:after="0" w:line="240" w:lineRule="auto"/>
        <w:jc w:val="both"/>
        <w:rPr>
          <w:rFonts w:ascii="ITC Avant Garde" w:hAnsi="ITC Avant Garde" w:cs="Arial"/>
          <w:lang w:eastAsia="ar-SA"/>
        </w:rPr>
      </w:pPr>
      <w:r>
        <w:rPr>
          <w:rFonts w:ascii="ITC Avant Garde" w:hAnsi="ITC Avant Garde" w:cs="Arial"/>
          <w:lang w:eastAsia="ar-SA"/>
        </w:rPr>
        <w:t>Así mismo, se consideraron algunos</w:t>
      </w:r>
      <w:r w:rsidRPr="00977955">
        <w:rPr>
          <w:rFonts w:ascii="ITC Avant Garde" w:hAnsi="ITC Avant Garde" w:cs="Arial"/>
          <w:lang w:eastAsia="ar-SA"/>
        </w:rPr>
        <w:t xml:space="preserve"> instrumentos de otros organismos internacionales que existen para la banda de frecuencias de 57-64 GHz</w:t>
      </w:r>
      <w:r>
        <w:rPr>
          <w:rFonts w:ascii="ITC Avant Garde" w:hAnsi="ITC Avant Garde" w:cs="Arial"/>
          <w:lang w:eastAsia="ar-SA"/>
        </w:rPr>
        <w:t xml:space="preserve">, tal es el caso de los Reportes Técnicos </w:t>
      </w:r>
      <w:r w:rsidR="00B049FA">
        <w:rPr>
          <w:rFonts w:ascii="ITC Avant Garde" w:hAnsi="ITC Avant Garde" w:cs="Arial"/>
          <w:lang w:eastAsia="ar-SA"/>
        </w:rPr>
        <w:t>“</w:t>
      </w:r>
      <w:r w:rsidRPr="00977955">
        <w:rPr>
          <w:rFonts w:ascii="ITC Avant Garde" w:hAnsi="ITC Avant Garde" w:cs="Arial"/>
          <w:lang w:eastAsia="ar-SA"/>
        </w:rPr>
        <w:t>ETSI TR 102 555</w:t>
      </w:r>
      <w:r w:rsidR="00B049FA">
        <w:rPr>
          <w:rFonts w:ascii="ITC Avant Garde" w:hAnsi="ITC Avant Garde" w:cs="Arial"/>
          <w:lang w:eastAsia="ar-SA"/>
        </w:rPr>
        <w:t>”</w:t>
      </w:r>
      <w:r>
        <w:rPr>
          <w:rFonts w:ascii="ITC Avant Garde" w:hAnsi="ITC Avant Garde" w:cs="Arial"/>
          <w:lang w:eastAsia="ar-SA"/>
        </w:rPr>
        <w:t xml:space="preserve"> y </w:t>
      </w:r>
      <w:r w:rsidR="00B049FA">
        <w:rPr>
          <w:rFonts w:ascii="ITC Avant Garde" w:hAnsi="ITC Avant Garde" w:cs="Arial"/>
          <w:lang w:eastAsia="ar-SA"/>
        </w:rPr>
        <w:t>“</w:t>
      </w:r>
      <w:r w:rsidRPr="00977955">
        <w:rPr>
          <w:rFonts w:ascii="ITC Avant Garde" w:hAnsi="ITC Avant Garde" w:cs="Arial"/>
          <w:lang w:eastAsia="ar-SA"/>
        </w:rPr>
        <w:t>ETSI TR 102 243-1</w:t>
      </w:r>
      <w:r w:rsidR="00B049FA">
        <w:rPr>
          <w:rFonts w:ascii="ITC Avant Garde" w:hAnsi="ITC Avant Garde" w:cs="Arial"/>
          <w:lang w:eastAsia="ar-SA"/>
        </w:rPr>
        <w:t>”</w:t>
      </w:r>
      <w:r>
        <w:rPr>
          <w:rFonts w:ascii="ITC Avant Garde" w:hAnsi="ITC Avant Garde" w:cs="Arial"/>
          <w:lang w:eastAsia="ar-SA"/>
        </w:rPr>
        <w:t xml:space="preserve"> del Instituto </w:t>
      </w:r>
      <w:r w:rsidR="00B049FA">
        <w:rPr>
          <w:rFonts w:ascii="ITC Avant Garde" w:hAnsi="ITC Avant Garde" w:cs="Arial"/>
          <w:lang w:eastAsia="ar-SA"/>
        </w:rPr>
        <w:t>Europeo de Normas en Telecomunicaciones (ETSI, por sus siglas en inglés)</w:t>
      </w:r>
      <w:r>
        <w:rPr>
          <w:rFonts w:ascii="ITC Avant Garde" w:hAnsi="ITC Avant Garde" w:cs="Arial"/>
          <w:lang w:eastAsia="ar-SA"/>
        </w:rPr>
        <w:t>, los cuales presentan información para sistemas inalámbricos de banda ancha y sistemas punto a punto respectivamente</w:t>
      </w:r>
      <w:r w:rsidR="00B049FA">
        <w:rPr>
          <w:rFonts w:ascii="ITC Avant Garde" w:hAnsi="ITC Avant Garde" w:cs="Arial"/>
          <w:lang w:eastAsia="ar-SA"/>
        </w:rPr>
        <w:t xml:space="preserve">; así como los estándares “802.15.3” y “802.11ad” del </w:t>
      </w:r>
      <w:r w:rsidR="00B049FA" w:rsidRPr="00B049FA">
        <w:rPr>
          <w:rFonts w:ascii="ITC Avant Garde" w:hAnsi="ITC Avant Garde" w:cs="Arial"/>
          <w:lang w:eastAsia="ar-SA"/>
        </w:rPr>
        <w:t>Instituto de Ingeniería Eléctrica y Electrónica</w:t>
      </w:r>
      <w:r w:rsidR="00B049FA">
        <w:rPr>
          <w:rFonts w:ascii="ITC Avant Garde" w:hAnsi="ITC Avant Garde" w:cs="Arial"/>
          <w:lang w:eastAsia="ar-SA"/>
        </w:rPr>
        <w:t xml:space="preserve"> (IEEE, por sus siglas en inglés), los cuales presentan información relativa a redes de área local para banda ancha.</w:t>
      </w:r>
    </w:p>
    <w:p w14:paraId="43010D28" w14:textId="50661D1C" w:rsidR="007C0E3C" w:rsidRDefault="007C0E3C" w:rsidP="00D868C2">
      <w:pPr>
        <w:autoSpaceDE w:val="0"/>
        <w:autoSpaceDN w:val="0"/>
        <w:adjustRightInd w:val="0"/>
        <w:spacing w:after="0" w:line="240" w:lineRule="auto"/>
        <w:jc w:val="both"/>
        <w:rPr>
          <w:rFonts w:ascii="ITC Avant Garde" w:hAnsi="ITC Avant Garde" w:cs="Arial"/>
        </w:rPr>
      </w:pPr>
    </w:p>
    <w:p w14:paraId="24A6C853" w14:textId="516AD126" w:rsidR="000A0E5E" w:rsidRPr="00B662A2" w:rsidRDefault="007C0E3C" w:rsidP="00D868C2">
      <w:pPr>
        <w:autoSpaceDE w:val="0"/>
        <w:autoSpaceDN w:val="0"/>
        <w:adjustRightInd w:val="0"/>
        <w:spacing w:after="0" w:line="240" w:lineRule="auto"/>
        <w:jc w:val="both"/>
        <w:rPr>
          <w:rFonts w:ascii="ITC Avant Garde" w:hAnsi="ITC Avant Garde" w:cs="Arial"/>
          <w:lang w:eastAsia="ar-SA"/>
        </w:rPr>
      </w:pPr>
      <w:r w:rsidRPr="007A493A">
        <w:rPr>
          <w:rFonts w:ascii="ITC Avant Garde" w:hAnsi="ITC Avant Garde" w:cs="Arial"/>
          <w:lang w:eastAsia="ar-SA"/>
        </w:rPr>
        <w:t xml:space="preserve">Por otro lado, </w:t>
      </w:r>
      <w:r w:rsidR="00181D19" w:rsidRPr="007A493A">
        <w:rPr>
          <w:rFonts w:ascii="ITC Avant Garde" w:hAnsi="ITC Avant Garde" w:cs="Arial"/>
          <w:lang w:eastAsia="ar-SA"/>
        </w:rPr>
        <w:t>si bien la banda de</w:t>
      </w:r>
      <w:r w:rsidR="000A0E5E" w:rsidRPr="007A493A">
        <w:rPr>
          <w:rFonts w:ascii="ITC Avant Garde" w:hAnsi="ITC Avant Garde" w:cs="Arial"/>
          <w:lang w:eastAsia="ar-SA"/>
        </w:rPr>
        <w:t xml:space="preserve"> frecuencias</w:t>
      </w:r>
      <w:r w:rsidR="00181D19" w:rsidRPr="007A493A">
        <w:rPr>
          <w:rFonts w:ascii="ITC Avant Garde" w:hAnsi="ITC Avant Garde" w:cs="Arial"/>
          <w:lang w:eastAsia="ar-SA"/>
        </w:rPr>
        <w:t xml:space="preserve"> 57-64 GHz se encuentra atribuida </w:t>
      </w:r>
      <w:r w:rsidR="000A0E5E" w:rsidRPr="007A493A">
        <w:rPr>
          <w:rFonts w:ascii="ITC Avant Garde" w:hAnsi="ITC Avant Garde" w:cs="Arial"/>
          <w:lang w:eastAsia="ar-SA"/>
        </w:rPr>
        <w:t xml:space="preserve">a título primario a </w:t>
      </w:r>
      <w:r w:rsidR="00F07D8F">
        <w:rPr>
          <w:rFonts w:ascii="ITC Avant Garde" w:hAnsi="ITC Avant Garde" w:cs="Arial"/>
          <w:lang w:eastAsia="ar-SA"/>
        </w:rPr>
        <w:t>diversos</w:t>
      </w:r>
      <w:r w:rsidR="00181D19" w:rsidRPr="007A493A">
        <w:rPr>
          <w:rFonts w:ascii="ITC Avant Garde" w:hAnsi="ITC Avant Garde" w:cs="Arial"/>
          <w:lang w:eastAsia="ar-SA"/>
        </w:rPr>
        <w:t xml:space="preserve"> servicios </w:t>
      </w:r>
      <w:r w:rsidR="00F07D8F">
        <w:rPr>
          <w:rFonts w:ascii="ITC Avant Garde" w:hAnsi="ITC Avant Garde" w:cs="Arial"/>
          <w:lang w:eastAsia="ar-SA"/>
        </w:rPr>
        <w:t>como f</w:t>
      </w:r>
      <w:r w:rsidR="00181D19" w:rsidRPr="007A493A">
        <w:rPr>
          <w:rFonts w:ascii="ITC Avant Garde" w:hAnsi="ITC Avant Garde" w:cs="Arial"/>
          <w:lang w:eastAsia="ar-SA"/>
        </w:rPr>
        <w:t xml:space="preserve">ijo y </w:t>
      </w:r>
      <w:r w:rsidR="00F07D8F">
        <w:rPr>
          <w:rFonts w:ascii="ITC Avant Garde" w:hAnsi="ITC Avant Garde" w:cs="Arial"/>
          <w:lang w:eastAsia="ar-SA"/>
        </w:rPr>
        <w:t>m</w:t>
      </w:r>
      <w:r w:rsidR="00181D19" w:rsidRPr="007A493A">
        <w:rPr>
          <w:rFonts w:ascii="ITC Avant Garde" w:hAnsi="ITC Avant Garde" w:cs="Arial"/>
          <w:lang w:eastAsia="ar-SA"/>
        </w:rPr>
        <w:t>óvil</w:t>
      </w:r>
      <w:r w:rsidR="000A0E5E" w:rsidRPr="007A493A">
        <w:rPr>
          <w:rFonts w:ascii="ITC Avant Garde" w:hAnsi="ITC Avant Garde" w:cs="Arial"/>
          <w:lang w:eastAsia="ar-SA"/>
        </w:rPr>
        <w:t xml:space="preserve">, </w:t>
      </w:r>
      <w:r w:rsidR="00181D19" w:rsidRPr="007A493A">
        <w:rPr>
          <w:rFonts w:ascii="ITC Avant Garde" w:hAnsi="ITC Avant Garde" w:cs="Arial"/>
          <w:lang w:eastAsia="ar-SA"/>
        </w:rPr>
        <w:t>es preciso mencionar que los segmentos 55.78-58.2 GHz, 58.2-59 GHz y 59-59.3 GHz también se encuentran atribuidos a título primario a</w:t>
      </w:r>
      <w:r w:rsidRPr="007A493A">
        <w:rPr>
          <w:rFonts w:ascii="ITC Avant Garde" w:hAnsi="ITC Avant Garde" w:cs="Arial"/>
          <w:lang w:eastAsia="ar-SA"/>
        </w:rPr>
        <w:t>l servicio de exploración de la Tierra por satélite</w:t>
      </w:r>
      <w:r w:rsidR="00B662A2" w:rsidRPr="007A493A">
        <w:rPr>
          <w:rFonts w:ascii="ITC Avant Garde" w:hAnsi="ITC Avant Garde" w:cs="Arial"/>
          <w:lang w:eastAsia="ar-SA"/>
        </w:rPr>
        <w:t xml:space="preserve"> (pasivo)</w:t>
      </w:r>
      <w:r w:rsidR="00B16CFD">
        <w:rPr>
          <w:rFonts w:ascii="ITC Avant Garde" w:hAnsi="ITC Avant Garde" w:cs="Arial"/>
          <w:lang w:eastAsia="ar-SA"/>
        </w:rPr>
        <w:t>, e</w:t>
      </w:r>
      <w:r w:rsidR="00B662A2" w:rsidRPr="007A493A">
        <w:rPr>
          <w:rFonts w:ascii="ITC Avant Garde" w:hAnsi="ITC Avant Garde" w:cs="Arial"/>
          <w:lang w:eastAsia="ar-SA"/>
        </w:rPr>
        <w:t>l cual</w:t>
      </w:r>
      <w:r w:rsidR="00181D19" w:rsidRPr="007A493A">
        <w:rPr>
          <w:rFonts w:ascii="ITC Avant Garde" w:hAnsi="ITC Avant Garde" w:cs="Arial"/>
          <w:lang w:eastAsia="ar-SA"/>
        </w:rPr>
        <w:t xml:space="preserve">, </w:t>
      </w:r>
      <w:r w:rsidR="00B662A2" w:rsidRPr="007A493A">
        <w:rPr>
          <w:rFonts w:ascii="ITC Avant Garde" w:hAnsi="ITC Avant Garde" w:cs="Arial"/>
          <w:lang w:eastAsia="ar-SA"/>
        </w:rPr>
        <w:t xml:space="preserve">por medio de sensores pasivos a bordo de satélites de la Tierra, obtiene información sobre las características de la Tierra y sus fenómenos naturales, incluidos datos relativos al estado del medio ambiente. En este sentido, </w:t>
      </w:r>
      <w:r w:rsidR="00035567">
        <w:rPr>
          <w:rFonts w:ascii="ITC Avant Garde" w:hAnsi="ITC Avant Garde" w:cs="Arial"/>
          <w:lang w:eastAsia="ar-SA"/>
        </w:rPr>
        <w:t xml:space="preserve">el servicio de exploración de la Tierra por satélite (pasivo) se considera </w:t>
      </w:r>
      <w:r w:rsidR="00181D19" w:rsidRPr="007A493A">
        <w:rPr>
          <w:rFonts w:ascii="ITC Avant Garde" w:hAnsi="ITC Avant Garde" w:cs="Arial"/>
          <w:lang w:eastAsia="ar-SA"/>
        </w:rPr>
        <w:t>un servicio relacionado con la seguridad de la vida humana</w:t>
      </w:r>
      <w:r w:rsidR="003753F5">
        <w:rPr>
          <w:rFonts w:ascii="ITC Avant Garde" w:hAnsi="ITC Avant Garde" w:cs="Arial"/>
          <w:lang w:eastAsia="ar-SA"/>
        </w:rPr>
        <w:t>, por lo que,</w:t>
      </w:r>
      <w:r w:rsidR="00830A29">
        <w:rPr>
          <w:rFonts w:ascii="ITC Avant Garde" w:hAnsi="ITC Avant Garde" w:cs="Arial"/>
          <w:lang w:eastAsia="ar-SA"/>
        </w:rPr>
        <w:t xml:space="preserve"> </w:t>
      </w:r>
      <w:r w:rsidR="003753F5">
        <w:rPr>
          <w:rFonts w:ascii="ITC Avant Garde" w:hAnsi="ITC Avant Garde" w:cs="Arial"/>
          <w:lang w:eastAsia="ar-SA"/>
        </w:rPr>
        <w:t>resulta</w:t>
      </w:r>
      <w:r w:rsidR="00B810D7" w:rsidRPr="007A493A" w:rsidDel="00035567">
        <w:rPr>
          <w:rFonts w:ascii="ITC Avant Garde" w:hAnsi="ITC Avant Garde" w:cs="Arial"/>
          <w:lang w:eastAsia="ar-SA"/>
        </w:rPr>
        <w:t xml:space="preserve"> necesario </w:t>
      </w:r>
      <w:r w:rsidR="00684FF2" w:rsidDel="00035567">
        <w:rPr>
          <w:rFonts w:ascii="ITC Avant Garde" w:hAnsi="ITC Avant Garde" w:cs="Arial"/>
          <w:lang w:eastAsia="ar-SA"/>
        </w:rPr>
        <w:t>que tod</w:t>
      </w:r>
      <w:r w:rsidR="00615EF4">
        <w:rPr>
          <w:rFonts w:ascii="ITC Avant Garde" w:hAnsi="ITC Avant Garde" w:cs="Arial"/>
          <w:lang w:eastAsia="ar-SA"/>
        </w:rPr>
        <w:t>a</w:t>
      </w:r>
      <w:r w:rsidR="00684FF2" w:rsidDel="00035567">
        <w:rPr>
          <w:rFonts w:ascii="ITC Avant Garde" w:hAnsi="ITC Avant Garde" w:cs="Arial"/>
          <w:lang w:eastAsia="ar-SA"/>
        </w:rPr>
        <w:t>s l</w:t>
      </w:r>
      <w:r w:rsidR="00615EF4">
        <w:rPr>
          <w:rFonts w:ascii="ITC Avant Garde" w:hAnsi="ITC Avant Garde" w:cs="Arial"/>
          <w:lang w:eastAsia="ar-SA"/>
        </w:rPr>
        <w:t>a</w:t>
      </w:r>
      <w:r w:rsidR="00684FF2" w:rsidDel="00035567">
        <w:rPr>
          <w:rFonts w:ascii="ITC Avant Garde" w:hAnsi="ITC Avant Garde" w:cs="Arial"/>
          <w:lang w:eastAsia="ar-SA"/>
        </w:rPr>
        <w:t xml:space="preserve">s </w:t>
      </w:r>
      <w:r w:rsidR="00615EF4">
        <w:rPr>
          <w:rFonts w:ascii="ITC Avant Garde" w:hAnsi="ITC Avant Garde" w:cs="Arial"/>
          <w:lang w:eastAsia="ar-SA"/>
        </w:rPr>
        <w:t>operaciones</w:t>
      </w:r>
      <w:r w:rsidR="003753F5">
        <w:rPr>
          <w:rFonts w:ascii="ITC Avant Garde" w:hAnsi="ITC Avant Garde" w:cs="Arial"/>
          <w:lang w:eastAsia="ar-SA"/>
        </w:rPr>
        <w:t xml:space="preserve"> dentro</w:t>
      </w:r>
      <w:r w:rsidR="00684FF2" w:rsidDel="00035567">
        <w:rPr>
          <w:rFonts w:ascii="ITC Avant Garde" w:hAnsi="ITC Avant Garde" w:cs="Arial"/>
          <w:lang w:eastAsia="ar-SA"/>
        </w:rPr>
        <w:t xml:space="preserve"> </w:t>
      </w:r>
      <w:r w:rsidR="003753F5" w:rsidRPr="007A493A" w:rsidDel="00035567">
        <w:rPr>
          <w:rFonts w:ascii="ITC Avant Garde" w:hAnsi="ITC Avant Garde" w:cs="Arial"/>
          <w:lang w:eastAsia="ar-SA"/>
        </w:rPr>
        <w:t>de la banda de</w:t>
      </w:r>
      <w:r w:rsidR="003753F5" w:rsidDel="00035567">
        <w:rPr>
          <w:rFonts w:ascii="ITC Avant Garde" w:hAnsi="ITC Avant Garde" w:cs="Arial"/>
          <w:lang w:eastAsia="ar-SA"/>
        </w:rPr>
        <w:t xml:space="preserve"> </w:t>
      </w:r>
      <w:r w:rsidR="003753F5" w:rsidRPr="00B810D7" w:rsidDel="00035567">
        <w:rPr>
          <w:rFonts w:ascii="ITC Avant Garde" w:hAnsi="ITC Avant Garde" w:cs="Arial"/>
          <w:lang w:eastAsia="ar-SA"/>
        </w:rPr>
        <w:t>57-64 GHz</w:t>
      </w:r>
      <w:r w:rsidR="003753F5">
        <w:rPr>
          <w:rFonts w:ascii="ITC Avant Garde" w:hAnsi="ITC Avant Garde" w:cs="Arial"/>
          <w:lang w:eastAsia="ar-SA"/>
        </w:rPr>
        <w:t xml:space="preserve"> </w:t>
      </w:r>
      <w:r w:rsidR="00684FF2" w:rsidDel="00035567">
        <w:rPr>
          <w:rFonts w:ascii="ITC Avant Garde" w:hAnsi="ITC Avant Garde" w:cs="Arial"/>
          <w:lang w:eastAsia="ar-SA"/>
        </w:rPr>
        <w:t>se sujeten</w:t>
      </w:r>
      <w:r w:rsidR="00B810D7" w:rsidRPr="007A493A" w:rsidDel="00035567">
        <w:rPr>
          <w:rFonts w:ascii="ITC Avant Garde" w:hAnsi="ITC Avant Garde" w:cs="Arial"/>
          <w:lang w:eastAsia="ar-SA"/>
        </w:rPr>
        <w:t xml:space="preserve"> a las condiciones técnicas de operación</w:t>
      </w:r>
      <w:r w:rsidR="003753F5">
        <w:rPr>
          <w:rFonts w:ascii="ITC Avant Garde" w:hAnsi="ITC Avant Garde" w:cs="Arial"/>
          <w:lang w:eastAsia="ar-SA"/>
        </w:rPr>
        <w:t xml:space="preserve"> establecidas para la misma</w:t>
      </w:r>
      <w:r w:rsidR="00B810D7">
        <w:rPr>
          <w:rFonts w:ascii="ITC Avant Garde" w:hAnsi="ITC Avant Garde" w:cs="Arial"/>
          <w:lang w:eastAsia="ar-SA"/>
        </w:rPr>
        <w:t>.</w:t>
      </w:r>
    </w:p>
    <w:p w14:paraId="5A8B5E96" w14:textId="77777777" w:rsidR="00567F7B" w:rsidRPr="000411D5" w:rsidRDefault="00567F7B" w:rsidP="00D868C2">
      <w:pPr>
        <w:pStyle w:val="Prrafodelista"/>
        <w:pBdr>
          <w:top w:val="nil"/>
          <w:left w:val="nil"/>
          <w:bottom w:val="nil"/>
          <w:right w:val="nil"/>
          <w:between w:val="nil"/>
          <w:bar w:val="nil"/>
        </w:pBdr>
        <w:spacing w:after="0" w:line="240" w:lineRule="auto"/>
        <w:ind w:left="0"/>
        <w:contextualSpacing w:val="0"/>
        <w:jc w:val="both"/>
        <w:rPr>
          <w:rFonts w:ascii="ITC Avant Garde" w:hAnsi="ITC Avant Garde" w:cs="Arial"/>
        </w:rPr>
      </w:pPr>
    </w:p>
    <w:p w14:paraId="282B19D1" w14:textId="00FC1899" w:rsidR="0099179E" w:rsidRPr="000411D5" w:rsidRDefault="0099179E" w:rsidP="00D868C2">
      <w:pPr>
        <w:pStyle w:val="Prrafodelista"/>
        <w:numPr>
          <w:ilvl w:val="0"/>
          <w:numId w:val="16"/>
        </w:numPr>
        <w:pBdr>
          <w:top w:val="nil"/>
          <w:left w:val="nil"/>
          <w:bottom w:val="nil"/>
          <w:right w:val="nil"/>
          <w:between w:val="nil"/>
          <w:bar w:val="nil"/>
        </w:pBdr>
        <w:shd w:val="clear" w:color="auto" w:fill="FFFFFF"/>
        <w:suppressAutoHyphens/>
        <w:spacing w:after="0" w:line="240" w:lineRule="auto"/>
        <w:ind w:left="0" w:right="-62" w:firstLine="0"/>
        <w:contextualSpacing w:val="0"/>
        <w:jc w:val="both"/>
        <w:outlineLvl w:val="1"/>
        <w:rPr>
          <w:rFonts w:ascii="ITC Avant Garde" w:hAnsi="ITC Avant Garde" w:cs="Arial"/>
        </w:rPr>
      </w:pPr>
      <w:r w:rsidRPr="000411D5">
        <w:rPr>
          <w:rFonts w:ascii="ITC Avant Garde" w:hAnsi="ITC Avant Garde" w:cs="Arial"/>
          <w:b/>
          <w:lang w:eastAsia="es-MX"/>
        </w:rPr>
        <w:t xml:space="preserve">Consulta Pública. </w:t>
      </w:r>
      <w:r w:rsidR="00A4798C" w:rsidRPr="00A4798C">
        <w:rPr>
          <w:rFonts w:ascii="ITC Avant Garde" w:hAnsi="ITC Avant Garde" w:cs="Arial"/>
          <w:lang w:eastAsia="es-MX"/>
        </w:rPr>
        <w:t>En cumplimiento</w:t>
      </w:r>
      <w:r w:rsidR="00A4798C">
        <w:rPr>
          <w:rFonts w:ascii="ITC Avant Garde" w:hAnsi="ITC Avant Garde" w:cs="Arial"/>
          <w:lang w:eastAsia="es-MX"/>
        </w:rPr>
        <w:t xml:space="preserve"> a lo dispuesto en el artículo 51 de la Ley y conforme se señala en los Antecedentes V y VI del presente Acuerdo, el Instituto</w:t>
      </w:r>
      <w:r w:rsidR="00A4798C" w:rsidRPr="00A4798C">
        <w:rPr>
          <w:rFonts w:ascii="ITC Avant Garde" w:hAnsi="ITC Avant Garde" w:cs="Arial"/>
          <w:lang w:eastAsia="es-MX"/>
        </w:rPr>
        <w:t xml:space="preserve"> </w:t>
      </w:r>
      <w:r w:rsidRPr="000411D5">
        <w:rPr>
          <w:rFonts w:ascii="ITC Avant Garde" w:hAnsi="ITC Avant Garde" w:cs="Arial"/>
        </w:rPr>
        <w:t>llevó a cabo la Consulta pública</w:t>
      </w:r>
      <w:r w:rsidR="00D83763">
        <w:rPr>
          <w:rFonts w:ascii="ITC Avant Garde" w:hAnsi="ITC Avant Garde" w:cs="Arial"/>
        </w:rPr>
        <w:t>,</w:t>
      </w:r>
      <w:r w:rsidRPr="000411D5">
        <w:rPr>
          <w:rFonts w:ascii="ITC Avant Garde" w:hAnsi="ITC Avant Garde" w:cs="Arial"/>
        </w:rPr>
        <w:t xml:space="preserve"> </w:t>
      </w:r>
      <w:r w:rsidR="00D83763">
        <w:rPr>
          <w:rFonts w:ascii="ITC Avant Garde" w:hAnsi="ITC Avant Garde" w:cs="Arial"/>
          <w:lang w:eastAsia="es-MX"/>
        </w:rPr>
        <w:t>d</w:t>
      </w:r>
      <w:r w:rsidR="00D83763" w:rsidRPr="000411D5">
        <w:rPr>
          <w:rFonts w:ascii="ITC Avant Garde" w:hAnsi="ITC Avant Garde" w:cs="Arial"/>
          <w:lang w:eastAsia="es-MX"/>
        </w:rPr>
        <w:t xml:space="preserve">el </w:t>
      </w:r>
      <w:r w:rsidR="00D83763" w:rsidRPr="000411D5">
        <w:rPr>
          <w:rFonts w:ascii="ITC Avant Garde" w:hAnsi="ITC Avant Garde" w:cs="Arial"/>
        </w:rPr>
        <w:t>10 de febrero al 9 de marzo de 2017</w:t>
      </w:r>
      <w:r w:rsidR="00D83763">
        <w:rPr>
          <w:rFonts w:ascii="ITC Avant Garde" w:hAnsi="ITC Avant Garde" w:cs="Arial"/>
        </w:rPr>
        <w:t>,</w:t>
      </w:r>
      <w:r w:rsidR="00D83763" w:rsidRPr="000411D5">
        <w:rPr>
          <w:rFonts w:ascii="ITC Avant Garde" w:hAnsi="ITC Avant Garde" w:cs="Arial"/>
        </w:rPr>
        <w:t xml:space="preserve"> </w:t>
      </w:r>
      <w:r w:rsidRPr="000411D5">
        <w:rPr>
          <w:rFonts w:ascii="ITC Avant Garde" w:hAnsi="ITC Avant Garde" w:cs="Arial"/>
        </w:rPr>
        <w:t xml:space="preserve">sobre el </w:t>
      </w:r>
      <w:r w:rsidRPr="00A4798C">
        <w:rPr>
          <w:rFonts w:ascii="ITC Avant Garde" w:hAnsi="ITC Avant Garde" w:cs="Arial"/>
          <w:i/>
        </w:rPr>
        <w:t>“Anteproyecto de clasificación de la banda de 57-64 GHz como espectro libre”</w:t>
      </w:r>
      <w:r w:rsidR="00A4798C">
        <w:rPr>
          <w:rFonts w:ascii="ITC Avant Garde" w:hAnsi="ITC Avant Garde" w:cs="Arial"/>
          <w:i/>
        </w:rPr>
        <w:t xml:space="preserve"> (Anteproyecto)</w:t>
      </w:r>
      <w:r w:rsidRPr="000411D5">
        <w:rPr>
          <w:rFonts w:ascii="ITC Avant Garde" w:hAnsi="ITC Avant Garde" w:cs="Arial"/>
        </w:rPr>
        <w:t xml:space="preserve">, </w:t>
      </w:r>
      <w:r w:rsidR="00A4798C">
        <w:rPr>
          <w:rFonts w:ascii="ITC Avant Garde" w:hAnsi="ITC Avant Garde" w:cs="Arial"/>
        </w:rPr>
        <w:t xml:space="preserve">bajo los principios de transparencia y participación ciudadana, </w:t>
      </w:r>
      <w:r w:rsidRPr="000411D5">
        <w:rPr>
          <w:rFonts w:ascii="ITC Avant Garde" w:hAnsi="ITC Avant Garde" w:cs="Arial"/>
        </w:rPr>
        <w:t>con el objeto de obtener</w:t>
      </w:r>
      <w:r w:rsidR="002E72D1">
        <w:rPr>
          <w:rFonts w:ascii="ITC Avant Garde" w:hAnsi="ITC Avant Garde" w:cs="Arial"/>
        </w:rPr>
        <w:t>,</w:t>
      </w:r>
      <w:r w:rsidRPr="000411D5">
        <w:rPr>
          <w:rFonts w:ascii="ITC Avant Garde" w:hAnsi="ITC Avant Garde" w:cs="Arial"/>
        </w:rPr>
        <w:t xml:space="preserve"> recabar y analizar la opinión de los interesados</w:t>
      </w:r>
      <w:r w:rsidR="00200081">
        <w:rPr>
          <w:rFonts w:ascii="ITC Avant Garde" w:hAnsi="ITC Avant Garde" w:cs="Arial"/>
        </w:rPr>
        <w:t xml:space="preserve"> respecto al Anteproyecto</w:t>
      </w:r>
      <w:r w:rsidR="00982BA8">
        <w:rPr>
          <w:rFonts w:ascii="ITC Avant Garde" w:hAnsi="ITC Avant Garde" w:cs="Arial"/>
        </w:rPr>
        <w:t xml:space="preserve"> y así </w:t>
      </w:r>
      <w:r w:rsidR="00181D19">
        <w:rPr>
          <w:rFonts w:ascii="ITC Avant Garde" w:hAnsi="ITC Avant Garde" w:cs="Arial"/>
        </w:rPr>
        <w:t>permitir</w:t>
      </w:r>
      <w:r w:rsidR="00982BA8">
        <w:rPr>
          <w:rFonts w:ascii="ITC Avant Garde" w:hAnsi="ITC Avant Garde" w:cs="Arial"/>
        </w:rPr>
        <w:t xml:space="preserve"> </w:t>
      </w:r>
      <w:r w:rsidRPr="000411D5">
        <w:rPr>
          <w:rFonts w:ascii="ITC Avant Garde" w:hAnsi="ITC Avant Garde" w:cs="Arial"/>
        </w:rPr>
        <w:t xml:space="preserve">el uso de la banda 57-64 GHz </w:t>
      </w:r>
      <w:r w:rsidR="00982BA8">
        <w:rPr>
          <w:rFonts w:ascii="ITC Avant Garde" w:hAnsi="ITC Avant Garde" w:cs="Arial"/>
        </w:rPr>
        <w:t>por el público en general, sin necesidad de contar con una concesión por el uso, aprovechamiento y/o explotación del espectro radioeléctrico</w:t>
      </w:r>
      <w:r w:rsidRPr="000411D5">
        <w:rPr>
          <w:rFonts w:ascii="ITC Avant Garde" w:hAnsi="ITC Avant Garde" w:cs="Arial"/>
        </w:rPr>
        <w:t>.</w:t>
      </w:r>
    </w:p>
    <w:p w14:paraId="188A4257" w14:textId="77777777" w:rsidR="0099179E" w:rsidRDefault="0099179E" w:rsidP="00D868C2">
      <w:pPr>
        <w:pStyle w:val="Prrafodelista"/>
        <w:pBdr>
          <w:top w:val="nil"/>
          <w:left w:val="nil"/>
          <w:bottom w:val="nil"/>
          <w:right w:val="nil"/>
          <w:between w:val="nil"/>
          <w:bar w:val="nil"/>
        </w:pBdr>
        <w:shd w:val="clear" w:color="auto" w:fill="FFFFFF"/>
        <w:suppressAutoHyphens/>
        <w:spacing w:after="0" w:line="240" w:lineRule="auto"/>
        <w:ind w:left="0" w:right="-62"/>
        <w:contextualSpacing w:val="0"/>
        <w:jc w:val="both"/>
        <w:outlineLvl w:val="1"/>
        <w:rPr>
          <w:rFonts w:ascii="ITC Avant Garde" w:hAnsi="ITC Avant Garde" w:cs="Arial"/>
        </w:rPr>
      </w:pPr>
    </w:p>
    <w:p w14:paraId="2885E061" w14:textId="68642602" w:rsidR="00E26972" w:rsidRDefault="00E26972" w:rsidP="00D868C2">
      <w:pPr>
        <w:pStyle w:val="Prrafodelista"/>
        <w:pBdr>
          <w:top w:val="nil"/>
          <w:left w:val="nil"/>
          <w:bottom w:val="nil"/>
          <w:right w:val="nil"/>
          <w:between w:val="nil"/>
          <w:bar w:val="nil"/>
        </w:pBdr>
        <w:shd w:val="clear" w:color="auto" w:fill="FFFFFF"/>
        <w:suppressAutoHyphens/>
        <w:spacing w:after="0" w:line="240" w:lineRule="auto"/>
        <w:ind w:left="0" w:right="-62"/>
        <w:contextualSpacing w:val="0"/>
        <w:jc w:val="both"/>
        <w:outlineLvl w:val="1"/>
        <w:rPr>
          <w:rFonts w:ascii="ITC Avant Garde" w:hAnsi="ITC Avant Garde" w:cs="Arial"/>
        </w:rPr>
      </w:pPr>
      <w:r>
        <w:rPr>
          <w:rFonts w:ascii="ITC Avant Garde" w:hAnsi="ITC Avant Garde" w:cs="Arial"/>
        </w:rPr>
        <w:t>La consulta pública del Anteproyecto de mérito, tal y como quedó refer</w:t>
      </w:r>
      <w:r w:rsidR="00441AB5">
        <w:rPr>
          <w:rFonts w:ascii="ITC Avant Garde" w:hAnsi="ITC Avant Garde" w:cs="Arial"/>
        </w:rPr>
        <w:t>ido</w:t>
      </w:r>
      <w:r>
        <w:rPr>
          <w:rFonts w:ascii="ITC Avant Garde" w:hAnsi="ITC Avant Garde" w:cs="Arial"/>
        </w:rPr>
        <w:t xml:space="preserve"> en los Antecedentes del presente, se efectuó por un período de 20 días hábiles, en los cuales el Instituto puso a disposición, a través de su portal de </w:t>
      </w:r>
      <w:r w:rsidR="00DE70FA">
        <w:rPr>
          <w:rFonts w:ascii="ITC Avant Garde" w:hAnsi="ITC Avant Garde" w:cs="Arial"/>
        </w:rPr>
        <w:t>i</w:t>
      </w:r>
      <w:r>
        <w:rPr>
          <w:rFonts w:ascii="ITC Avant Garde" w:hAnsi="ITC Avant Garde" w:cs="Arial"/>
        </w:rPr>
        <w:t>nternet, un formulario electrónico para recibir comentarios, opiniones y propuestas concretas en relación c</w:t>
      </w:r>
      <w:r w:rsidR="00AC6E57">
        <w:rPr>
          <w:rFonts w:ascii="ITC Avant Garde" w:hAnsi="ITC Avant Garde" w:cs="Arial"/>
        </w:rPr>
        <w:t>on el multicitado Anteproyecto.</w:t>
      </w:r>
    </w:p>
    <w:p w14:paraId="435DE1D2" w14:textId="77777777" w:rsidR="00E26972" w:rsidRDefault="00E26972" w:rsidP="00D868C2">
      <w:pPr>
        <w:pStyle w:val="Prrafodelista"/>
        <w:pBdr>
          <w:top w:val="nil"/>
          <w:left w:val="nil"/>
          <w:bottom w:val="nil"/>
          <w:right w:val="nil"/>
          <w:between w:val="nil"/>
          <w:bar w:val="nil"/>
        </w:pBdr>
        <w:shd w:val="clear" w:color="auto" w:fill="FFFFFF"/>
        <w:suppressAutoHyphens/>
        <w:spacing w:after="0" w:line="240" w:lineRule="auto"/>
        <w:ind w:left="0" w:right="-62"/>
        <w:contextualSpacing w:val="0"/>
        <w:jc w:val="both"/>
        <w:outlineLvl w:val="1"/>
        <w:rPr>
          <w:rFonts w:ascii="ITC Avant Garde" w:hAnsi="ITC Avant Garde" w:cs="Arial"/>
        </w:rPr>
      </w:pPr>
    </w:p>
    <w:p w14:paraId="421BB061" w14:textId="408E8FD2" w:rsidR="00E26972" w:rsidRDefault="00E26972" w:rsidP="00D868C2">
      <w:pPr>
        <w:pStyle w:val="Prrafodelista"/>
        <w:pBdr>
          <w:top w:val="nil"/>
          <w:left w:val="nil"/>
          <w:bottom w:val="nil"/>
          <w:right w:val="nil"/>
          <w:between w:val="nil"/>
          <w:bar w:val="nil"/>
        </w:pBdr>
        <w:shd w:val="clear" w:color="auto" w:fill="FFFFFF"/>
        <w:suppressAutoHyphens/>
        <w:spacing w:after="0" w:line="240" w:lineRule="auto"/>
        <w:ind w:left="0" w:right="-62"/>
        <w:contextualSpacing w:val="0"/>
        <w:jc w:val="both"/>
        <w:outlineLvl w:val="1"/>
        <w:rPr>
          <w:rFonts w:ascii="ITC Avant Garde" w:hAnsi="ITC Avant Garde" w:cs="Arial"/>
        </w:rPr>
      </w:pPr>
      <w:r w:rsidRPr="00E26972">
        <w:rPr>
          <w:rFonts w:ascii="ITC Avant Garde" w:hAnsi="ITC Avant Garde" w:cs="Arial"/>
        </w:rPr>
        <w:t>En este contexto, al someter a consulta pública el</w:t>
      </w:r>
      <w:r w:rsidR="00A937F6" w:rsidRPr="00A937F6">
        <w:rPr>
          <w:rFonts w:ascii="ITC Avant Garde" w:hAnsi="ITC Avant Garde" w:cs="Arial"/>
          <w:i/>
        </w:rPr>
        <w:t xml:space="preserve"> </w:t>
      </w:r>
      <w:r w:rsidR="00A937F6">
        <w:rPr>
          <w:rFonts w:ascii="ITC Avant Garde" w:hAnsi="ITC Avant Garde" w:cs="Arial"/>
          <w:i/>
        </w:rPr>
        <w:t>“</w:t>
      </w:r>
      <w:r w:rsidR="00A937F6" w:rsidRPr="00A4798C">
        <w:rPr>
          <w:rFonts w:ascii="ITC Avant Garde" w:hAnsi="ITC Avant Garde" w:cs="Arial"/>
          <w:i/>
        </w:rPr>
        <w:t>Anteproyecto de clasificación de la banda de 57-64 GHz como espectro libre</w:t>
      </w:r>
      <w:r w:rsidR="00A937F6">
        <w:rPr>
          <w:rFonts w:ascii="ITC Avant Garde" w:hAnsi="ITC Avant Garde" w:cs="Arial"/>
          <w:i/>
        </w:rPr>
        <w:t>”</w:t>
      </w:r>
      <w:r w:rsidRPr="00E26972">
        <w:rPr>
          <w:rFonts w:ascii="ITC Avant Garde" w:hAnsi="ITC Avant Garde" w:cs="Arial"/>
        </w:rPr>
        <w:t>, se buscó alc</w:t>
      </w:r>
      <w:r w:rsidR="00681263">
        <w:rPr>
          <w:rFonts w:ascii="ITC Avant Garde" w:hAnsi="ITC Avant Garde" w:cs="Arial"/>
        </w:rPr>
        <w:t>anzar los siguientes objetivos:</w:t>
      </w:r>
    </w:p>
    <w:p w14:paraId="239E8DFE" w14:textId="77777777" w:rsidR="00A937F6" w:rsidRPr="00E26972" w:rsidRDefault="00A937F6" w:rsidP="00D868C2">
      <w:pPr>
        <w:pStyle w:val="Prrafodelista"/>
        <w:pBdr>
          <w:top w:val="nil"/>
          <w:left w:val="nil"/>
          <w:bottom w:val="nil"/>
          <w:right w:val="nil"/>
          <w:between w:val="nil"/>
          <w:bar w:val="nil"/>
        </w:pBdr>
        <w:shd w:val="clear" w:color="auto" w:fill="FFFFFF"/>
        <w:suppressAutoHyphens/>
        <w:spacing w:after="0" w:line="240" w:lineRule="auto"/>
        <w:ind w:left="0" w:right="-62"/>
        <w:contextualSpacing w:val="0"/>
        <w:jc w:val="both"/>
        <w:outlineLvl w:val="1"/>
        <w:rPr>
          <w:rFonts w:ascii="ITC Avant Garde" w:hAnsi="ITC Avant Garde" w:cs="Arial"/>
        </w:rPr>
      </w:pPr>
    </w:p>
    <w:p w14:paraId="3B4A4CB6" w14:textId="760B131F" w:rsidR="00E26972" w:rsidRDefault="00E26972" w:rsidP="00D868C2">
      <w:pPr>
        <w:pStyle w:val="Prrafodelista"/>
        <w:numPr>
          <w:ilvl w:val="0"/>
          <w:numId w:val="35"/>
        </w:numPr>
        <w:pBdr>
          <w:top w:val="nil"/>
          <w:left w:val="nil"/>
          <w:bottom w:val="nil"/>
          <w:right w:val="nil"/>
          <w:between w:val="nil"/>
          <w:bar w:val="nil"/>
        </w:pBdr>
        <w:shd w:val="clear" w:color="auto" w:fill="FFFFFF"/>
        <w:suppressAutoHyphens/>
        <w:spacing w:after="0" w:line="240" w:lineRule="auto"/>
        <w:ind w:right="-62"/>
        <w:contextualSpacing w:val="0"/>
        <w:jc w:val="both"/>
        <w:outlineLvl w:val="1"/>
        <w:rPr>
          <w:rFonts w:ascii="ITC Avant Garde" w:hAnsi="ITC Avant Garde" w:cs="Arial"/>
        </w:rPr>
      </w:pPr>
      <w:r w:rsidRPr="00E26972">
        <w:rPr>
          <w:rFonts w:ascii="ITC Avant Garde" w:hAnsi="ITC Avant Garde" w:cs="Arial"/>
        </w:rPr>
        <w:t xml:space="preserve">Generar un espacio abierto e incluyente, con la intención de involucrar al público y fomentar en la sociedad el conocimiento del uso del espectro radioeléctrico y sus atribuciones, fortaleciendo así, la relación entre ésta y el Instituto, y </w:t>
      </w:r>
    </w:p>
    <w:p w14:paraId="2C6DA2EF" w14:textId="3BF3BE4F" w:rsidR="00E26972" w:rsidRDefault="00E26972" w:rsidP="00D868C2">
      <w:pPr>
        <w:pStyle w:val="Prrafodelista"/>
        <w:numPr>
          <w:ilvl w:val="0"/>
          <w:numId w:val="35"/>
        </w:numPr>
        <w:pBdr>
          <w:top w:val="nil"/>
          <w:left w:val="nil"/>
          <w:bottom w:val="nil"/>
          <w:right w:val="nil"/>
          <w:between w:val="nil"/>
          <w:bar w:val="nil"/>
        </w:pBdr>
        <w:shd w:val="clear" w:color="auto" w:fill="FFFFFF"/>
        <w:suppressAutoHyphens/>
        <w:spacing w:after="0" w:line="240" w:lineRule="auto"/>
        <w:ind w:right="-62"/>
        <w:contextualSpacing w:val="0"/>
        <w:jc w:val="both"/>
        <w:outlineLvl w:val="1"/>
        <w:rPr>
          <w:rFonts w:ascii="ITC Avant Garde" w:hAnsi="ITC Avant Garde" w:cs="Arial"/>
        </w:rPr>
      </w:pPr>
      <w:r w:rsidRPr="00D67D73">
        <w:rPr>
          <w:rFonts w:ascii="ITC Avant Garde" w:hAnsi="ITC Avant Garde" w:cs="Arial"/>
        </w:rPr>
        <w:t>Obtener la opinión de los interesados en el uso del espectro radioeléctrico en México, como lo son la industria, la academia, las instituciones de investigación, los operadores comerciales, o los fabricantes de tec</w:t>
      </w:r>
      <w:r w:rsidR="002F7359">
        <w:rPr>
          <w:rFonts w:ascii="ITC Avant Garde" w:hAnsi="ITC Avant Garde" w:cs="Arial"/>
        </w:rPr>
        <w:t>nología, por mencionar algunos.</w:t>
      </w:r>
    </w:p>
    <w:p w14:paraId="31B714E0" w14:textId="77777777" w:rsidR="00D67D73" w:rsidRPr="00D67D73" w:rsidRDefault="00D67D73" w:rsidP="00D868C2">
      <w:pPr>
        <w:pStyle w:val="Prrafodelista"/>
        <w:pBdr>
          <w:top w:val="nil"/>
          <w:left w:val="nil"/>
          <w:bottom w:val="nil"/>
          <w:right w:val="nil"/>
          <w:between w:val="nil"/>
          <w:bar w:val="nil"/>
        </w:pBdr>
        <w:shd w:val="clear" w:color="auto" w:fill="FFFFFF"/>
        <w:suppressAutoHyphens/>
        <w:spacing w:after="0" w:line="240" w:lineRule="auto"/>
        <w:ind w:right="-62"/>
        <w:contextualSpacing w:val="0"/>
        <w:jc w:val="both"/>
        <w:outlineLvl w:val="1"/>
        <w:rPr>
          <w:rFonts w:ascii="ITC Avant Garde" w:hAnsi="ITC Avant Garde" w:cs="Arial"/>
        </w:rPr>
      </w:pPr>
    </w:p>
    <w:p w14:paraId="5B16BA4A" w14:textId="2C835765" w:rsidR="00982BA8" w:rsidRDefault="00E26972" w:rsidP="00D868C2">
      <w:pPr>
        <w:pBdr>
          <w:top w:val="nil"/>
          <w:left w:val="nil"/>
          <w:bottom w:val="nil"/>
          <w:right w:val="nil"/>
          <w:between w:val="nil"/>
          <w:bar w:val="nil"/>
        </w:pBdr>
        <w:shd w:val="clear" w:color="auto" w:fill="FFFFFF"/>
        <w:suppressAutoHyphens/>
        <w:spacing w:after="0" w:line="240" w:lineRule="auto"/>
        <w:ind w:right="-62"/>
        <w:jc w:val="both"/>
        <w:outlineLvl w:val="1"/>
        <w:rPr>
          <w:rFonts w:ascii="ITC Avant Garde" w:hAnsi="ITC Avant Garde" w:cs="Arial"/>
        </w:rPr>
      </w:pPr>
      <w:r w:rsidRPr="00D67D73">
        <w:rPr>
          <w:rFonts w:ascii="ITC Avant Garde" w:hAnsi="ITC Avant Garde" w:cs="Arial"/>
        </w:rPr>
        <w:t xml:space="preserve">Una vez concluido el plazo de consulta respectivo, se publicaron en el portal de </w:t>
      </w:r>
      <w:r w:rsidR="00DE70FA">
        <w:rPr>
          <w:rFonts w:ascii="ITC Avant Garde" w:hAnsi="ITC Avant Garde" w:cs="Arial"/>
        </w:rPr>
        <w:t>i</w:t>
      </w:r>
      <w:r w:rsidRPr="00D67D73">
        <w:rPr>
          <w:rFonts w:ascii="ITC Avant Garde" w:hAnsi="ITC Avant Garde" w:cs="Arial"/>
        </w:rPr>
        <w:t>nternet del Instituto todos y cada uno de los comentarios, opiniones y propuestas concretas recibidas respecto del Anteproyecto materia de dicha consulta. En relación a lo anterior y conforme al numeral SEGUNDO del Acuerdo de Consulta</w:t>
      </w:r>
      <w:r w:rsidR="00D67D73">
        <w:rPr>
          <w:rFonts w:ascii="ITC Avant Garde" w:hAnsi="ITC Avant Garde" w:cs="Arial"/>
        </w:rPr>
        <w:t xml:space="preserve">, la UER recibió y atendió </w:t>
      </w:r>
      <w:r w:rsidR="0099179E" w:rsidRPr="000411D5">
        <w:rPr>
          <w:rFonts w:ascii="ITC Avant Garde" w:hAnsi="ITC Avant Garde" w:cs="Arial"/>
        </w:rPr>
        <w:t xml:space="preserve">un total de 20 </w:t>
      </w:r>
      <w:r w:rsidR="001C38B7">
        <w:rPr>
          <w:rFonts w:ascii="ITC Avant Garde" w:hAnsi="ITC Avant Garde" w:cs="Arial"/>
        </w:rPr>
        <w:t>participaciones</w:t>
      </w:r>
      <w:r w:rsidR="006B7FCE">
        <w:rPr>
          <w:rFonts w:ascii="ITC Avant Garde" w:hAnsi="ITC Avant Garde" w:cs="Arial"/>
        </w:rPr>
        <w:t>.</w:t>
      </w:r>
    </w:p>
    <w:p w14:paraId="12AA84A0" w14:textId="77777777" w:rsidR="00982BA8" w:rsidRDefault="00982BA8" w:rsidP="00D868C2">
      <w:pPr>
        <w:pStyle w:val="Prrafodelista"/>
        <w:pBdr>
          <w:top w:val="nil"/>
          <w:left w:val="nil"/>
          <w:bottom w:val="nil"/>
          <w:right w:val="nil"/>
          <w:between w:val="nil"/>
          <w:bar w:val="nil"/>
        </w:pBdr>
        <w:shd w:val="clear" w:color="auto" w:fill="FFFFFF"/>
        <w:suppressAutoHyphens/>
        <w:spacing w:after="0" w:line="240" w:lineRule="auto"/>
        <w:ind w:left="0" w:right="-62"/>
        <w:contextualSpacing w:val="0"/>
        <w:jc w:val="both"/>
        <w:outlineLvl w:val="1"/>
        <w:rPr>
          <w:rFonts w:ascii="ITC Avant Garde" w:hAnsi="ITC Avant Garde" w:cs="Arial"/>
        </w:rPr>
      </w:pPr>
    </w:p>
    <w:p w14:paraId="7FACDC5D" w14:textId="7E3CFC68" w:rsidR="00982BA8" w:rsidRPr="00982BA8" w:rsidRDefault="006B7FCE" w:rsidP="00D868C2">
      <w:pPr>
        <w:pStyle w:val="Prrafodelista"/>
        <w:pBdr>
          <w:top w:val="nil"/>
          <w:left w:val="nil"/>
          <w:bottom w:val="nil"/>
          <w:right w:val="nil"/>
          <w:between w:val="nil"/>
          <w:bar w:val="nil"/>
        </w:pBdr>
        <w:shd w:val="clear" w:color="auto" w:fill="FFFFFF"/>
        <w:suppressAutoHyphens/>
        <w:spacing w:after="0" w:line="240" w:lineRule="auto"/>
        <w:ind w:left="0" w:right="-62"/>
        <w:contextualSpacing w:val="0"/>
        <w:jc w:val="both"/>
        <w:outlineLvl w:val="1"/>
        <w:rPr>
          <w:rFonts w:ascii="ITC Avant Garde" w:hAnsi="ITC Avant Garde" w:cs="Arial"/>
        </w:rPr>
      </w:pPr>
      <w:r>
        <w:rPr>
          <w:rFonts w:ascii="ITC Avant Garde" w:hAnsi="ITC Avant Garde" w:cs="Arial"/>
        </w:rPr>
        <w:t xml:space="preserve">En </w:t>
      </w:r>
      <w:r w:rsidR="00277EDB">
        <w:rPr>
          <w:rFonts w:ascii="ITC Avant Garde" w:hAnsi="ITC Avant Garde" w:cs="Arial"/>
        </w:rPr>
        <w:t>rela</w:t>
      </w:r>
      <w:r>
        <w:rPr>
          <w:rFonts w:ascii="ITC Avant Garde" w:hAnsi="ITC Avant Garde" w:cs="Arial"/>
        </w:rPr>
        <w:t>ción a lo anterior</w:t>
      </w:r>
      <w:r w:rsidR="000E1A53" w:rsidRPr="00982BA8">
        <w:rPr>
          <w:rFonts w:ascii="ITC Avant Garde" w:hAnsi="ITC Avant Garde" w:cs="Arial"/>
        </w:rPr>
        <w:t xml:space="preserve">, la </w:t>
      </w:r>
      <w:r w:rsidR="005171FC">
        <w:rPr>
          <w:rFonts w:ascii="ITC Avant Garde" w:hAnsi="ITC Avant Garde" w:cs="Arial"/>
        </w:rPr>
        <w:t xml:space="preserve">UER </w:t>
      </w:r>
      <w:r w:rsidR="000E1A53" w:rsidRPr="00982BA8">
        <w:rPr>
          <w:rFonts w:ascii="ITC Avant Garde" w:hAnsi="ITC Avant Garde" w:cs="Arial"/>
        </w:rPr>
        <w:t xml:space="preserve">elaboró un documento que atiende </w:t>
      </w:r>
      <w:r w:rsidR="000E1A53" w:rsidRPr="00836588">
        <w:rPr>
          <w:rFonts w:ascii="ITC Avant Garde" w:hAnsi="ITC Avant Garde" w:cs="Arial"/>
        </w:rPr>
        <w:t>l</w:t>
      </w:r>
      <w:r w:rsidR="00816FAE" w:rsidRPr="00836588">
        <w:rPr>
          <w:rFonts w:ascii="ITC Avant Garde" w:hAnsi="ITC Avant Garde" w:cs="Arial"/>
        </w:rPr>
        <w:t>a</w:t>
      </w:r>
      <w:r w:rsidR="000E1A53" w:rsidRPr="00836588">
        <w:rPr>
          <w:rFonts w:ascii="ITC Avant Garde" w:hAnsi="ITC Avant Garde" w:cs="Arial"/>
        </w:rPr>
        <w:t>s</w:t>
      </w:r>
      <w:r w:rsidR="000E1A53" w:rsidRPr="00982BA8">
        <w:rPr>
          <w:rFonts w:ascii="ITC Avant Garde" w:hAnsi="ITC Avant Garde" w:cs="Arial"/>
        </w:rPr>
        <w:t xml:space="preserve"> </w:t>
      </w:r>
      <w:r w:rsidR="00643C8A">
        <w:rPr>
          <w:rFonts w:ascii="ITC Avant Garde" w:hAnsi="ITC Avant Garde" w:cs="Arial"/>
        </w:rPr>
        <w:t xml:space="preserve">20 </w:t>
      </w:r>
      <w:r w:rsidR="001C38B7">
        <w:rPr>
          <w:rFonts w:ascii="ITC Avant Garde" w:hAnsi="ITC Avant Garde" w:cs="Arial"/>
        </w:rPr>
        <w:t>participaciones</w:t>
      </w:r>
      <w:r w:rsidR="000E1A53" w:rsidRPr="00982BA8">
        <w:rPr>
          <w:rFonts w:ascii="ITC Avant Garde" w:hAnsi="ITC Avant Garde" w:cs="Arial"/>
        </w:rPr>
        <w:t xml:space="preserve"> </w:t>
      </w:r>
      <w:r w:rsidR="000E1A53" w:rsidRPr="00836588">
        <w:rPr>
          <w:rFonts w:ascii="ITC Avant Garde" w:hAnsi="ITC Avant Garde" w:cs="Arial"/>
        </w:rPr>
        <w:t>recibid</w:t>
      </w:r>
      <w:r w:rsidR="001C38B7" w:rsidRPr="00836588">
        <w:rPr>
          <w:rFonts w:ascii="ITC Avant Garde" w:hAnsi="ITC Avant Garde" w:cs="Arial"/>
        </w:rPr>
        <w:t>a</w:t>
      </w:r>
      <w:r w:rsidR="000E1A53" w:rsidRPr="00836588">
        <w:rPr>
          <w:rFonts w:ascii="ITC Avant Garde" w:hAnsi="ITC Avant Garde" w:cs="Arial"/>
        </w:rPr>
        <w:t>s</w:t>
      </w:r>
      <w:r w:rsidR="000E1A53" w:rsidRPr="00982BA8">
        <w:rPr>
          <w:rFonts w:ascii="ITC Avant Garde" w:hAnsi="ITC Avant Garde" w:cs="Arial"/>
        </w:rPr>
        <w:t xml:space="preserve">, el cual se publicará en </w:t>
      </w:r>
      <w:r w:rsidR="00DE70FA">
        <w:rPr>
          <w:rFonts w:ascii="ITC Avant Garde" w:hAnsi="ITC Avant Garde" w:cs="Arial"/>
        </w:rPr>
        <w:t>e</w:t>
      </w:r>
      <w:r w:rsidR="000E1A53" w:rsidRPr="00982BA8">
        <w:rPr>
          <w:rFonts w:ascii="ITC Avant Garde" w:hAnsi="ITC Avant Garde" w:cs="Arial"/>
        </w:rPr>
        <w:t xml:space="preserve">l </w:t>
      </w:r>
      <w:r w:rsidR="00DE70FA">
        <w:rPr>
          <w:rFonts w:ascii="ITC Avant Garde" w:hAnsi="ITC Avant Garde" w:cs="Arial"/>
        </w:rPr>
        <w:t>portal</w:t>
      </w:r>
      <w:r w:rsidR="00DE70FA" w:rsidRPr="00982BA8">
        <w:rPr>
          <w:rFonts w:ascii="ITC Avant Garde" w:hAnsi="ITC Avant Garde" w:cs="Arial"/>
        </w:rPr>
        <w:t xml:space="preserve"> </w:t>
      </w:r>
      <w:r w:rsidR="000E1A53" w:rsidRPr="00982BA8">
        <w:rPr>
          <w:rFonts w:ascii="ITC Avant Garde" w:hAnsi="ITC Avant Garde" w:cs="Arial"/>
        </w:rPr>
        <w:t xml:space="preserve">de </w:t>
      </w:r>
      <w:r w:rsidR="00DE70FA">
        <w:rPr>
          <w:rFonts w:ascii="ITC Avant Garde" w:hAnsi="ITC Avant Garde" w:cs="Arial"/>
        </w:rPr>
        <w:t>i</w:t>
      </w:r>
      <w:r w:rsidR="000E1A53" w:rsidRPr="00982BA8">
        <w:rPr>
          <w:rFonts w:ascii="ITC Avant Garde" w:hAnsi="ITC Avant Garde" w:cs="Arial"/>
        </w:rPr>
        <w:t>nternet del Instituto</w:t>
      </w:r>
      <w:r w:rsidR="00F94854">
        <w:rPr>
          <w:rFonts w:ascii="ITC Avant Garde" w:hAnsi="ITC Avant Garde" w:cs="Arial"/>
        </w:rPr>
        <w:t>, en el apartado correspondiente de la Consulta Pública</w:t>
      </w:r>
      <w:r w:rsidR="000E1A53" w:rsidRPr="00982BA8">
        <w:rPr>
          <w:rFonts w:ascii="ITC Avant Garde" w:hAnsi="ITC Avant Garde" w:cs="Arial"/>
        </w:rPr>
        <w:t>.</w:t>
      </w:r>
      <w:r w:rsidR="00FC3A32">
        <w:rPr>
          <w:rFonts w:ascii="ITC Avant Garde" w:hAnsi="ITC Avant Garde" w:cs="Arial"/>
        </w:rPr>
        <w:t xml:space="preserve"> </w:t>
      </w:r>
      <w:r w:rsidR="00FC3A32">
        <w:rPr>
          <w:rFonts w:ascii="ITC Avant Garde" w:eastAsia="Calibri" w:hAnsi="ITC Avant Garde" w:cs="Arial"/>
        </w:rPr>
        <w:t>Derivado de las participaciones</w:t>
      </w:r>
      <w:r w:rsidR="00FC3A32" w:rsidRPr="00765712">
        <w:rPr>
          <w:rFonts w:ascii="ITC Avant Garde" w:eastAsia="Calibri" w:hAnsi="ITC Avant Garde" w:cs="Arial"/>
        </w:rPr>
        <w:t xml:space="preserve"> recibid</w:t>
      </w:r>
      <w:r w:rsidR="00FC3A32">
        <w:rPr>
          <w:rFonts w:ascii="ITC Avant Garde" w:eastAsia="Calibri" w:hAnsi="ITC Avant Garde" w:cs="Arial"/>
        </w:rPr>
        <w:t>a</w:t>
      </w:r>
      <w:r w:rsidR="00FC3A32" w:rsidRPr="00765712">
        <w:rPr>
          <w:rFonts w:ascii="ITC Avant Garde" w:eastAsia="Calibri" w:hAnsi="ITC Avant Garde" w:cs="Arial"/>
        </w:rPr>
        <w:t xml:space="preserve">s, </w:t>
      </w:r>
      <w:r w:rsidR="00FC3A32">
        <w:rPr>
          <w:rFonts w:ascii="ITC Avant Garde" w:hAnsi="ITC Avant Garde" w:cs="Arial"/>
        </w:rPr>
        <w:t xml:space="preserve">se </w:t>
      </w:r>
      <w:r w:rsidR="007F2A05">
        <w:rPr>
          <w:rFonts w:ascii="ITC Avant Garde" w:hAnsi="ITC Avant Garde" w:cs="Arial"/>
        </w:rPr>
        <w:t xml:space="preserve">consideraron 2 propuestas efectivas para realizar </w:t>
      </w:r>
      <w:r w:rsidR="00F94854">
        <w:rPr>
          <w:rFonts w:ascii="ITC Avant Garde" w:hAnsi="ITC Avant Garde" w:cs="Arial"/>
        </w:rPr>
        <w:t>modificaciones</w:t>
      </w:r>
      <w:r w:rsidR="007F2A05">
        <w:rPr>
          <w:rFonts w:ascii="ITC Avant Garde" w:hAnsi="ITC Avant Garde" w:cs="Arial"/>
        </w:rPr>
        <w:t xml:space="preserve"> al proyecto</w:t>
      </w:r>
      <w:r w:rsidR="000530AC">
        <w:rPr>
          <w:rFonts w:ascii="ITC Avant Garde" w:eastAsia="Calibri" w:hAnsi="ITC Avant Garde" w:cs="Arial"/>
        </w:rPr>
        <w:t xml:space="preserve"> relacionadas</w:t>
      </w:r>
      <w:r w:rsidR="00FC3A32" w:rsidRPr="00765712">
        <w:rPr>
          <w:rFonts w:ascii="ITC Avant Garde" w:eastAsia="Calibri" w:hAnsi="ITC Avant Garde" w:cs="Arial"/>
        </w:rPr>
        <w:t xml:space="preserve"> </w:t>
      </w:r>
      <w:r w:rsidR="000530AC">
        <w:rPr>
          <w:rFonts w:ascii="ITC Avant Garde" w:eastAsia="Calibri" w:hAnsi="ITC Avant Garde" w:cs="Arial"/>
        </w:rPr>
        <w:t>con</w:t>
      </w:r>
      <w:r w:rsidR="00FC3A32" w:rsidRPr="00765712">
        <w:rPr>
          <w:rFonts w:ascii="ITC Avant Garde" w:eastAsia="Calibri" w:hAnsi="ITC Avant Garde" w:cs="Arial"/>
        </w:rPr>
        <w:t xml:space="preserve"> las condiciones </w:t>
      </w:r>
      <w:r w:rsidR="000530AC">
        <w:rPr>
          <w:rFonts w:ascii="ITC Avant Garde" w:eastAsia="Calibri" w:hAnsi="ITC Avant Garde" w:cs="Arial"/>
        </w:rPr>
        <w:t xml:space="preserve">técnicas </w:t>
      </w:r>
      <w:r w:rsidR="00FC3A32" w:rsidRPr="00765712">
        <w:rPr>
          <w:rFonts w:ascii="ITC Avant Garde" w:eastAsia="Calibri" w:hAnsi="ITC Avant Garde" w:cs="Arial"/>
        </w:rPr>
        <w:t>de operación</w:t>
      </w:r>
      <w:r w:rsidR="000530AC">
        <w:rPr>
          <w:rFonts w:ascii="ITC Avant Garde" w:eastAsia="Calibri" w:hAnsi="ITC Avant Garde" w:cs="Arial"/>
        </w:rPr>
        <w:t xml:space="preserve"> y definición de términos.</w:t>
      </w:r>
    </w:p>
    <w:p w14:paraId="3F5B1665" w14:textId="7A1E7797" w:rsidR="00E61840" w:rsidRPr="000411D5" w:rsidRDefault="00E61840" w:rsidP="00D868C2">
      <w:pPr>
        <w:pBdr>
          <w:top w:val="nil"/>
          <w:left w:val="nil"/>
          <w:bottom w:val="nil"/>
          <w:right w:val="nil"/>
          <w:between w:val="nil"/>
          <w:bar w:val="nil"/>
        </w:pBdr>
        <w:shd w:val="clear" w:color="auto" w:fill="FFFFFF"/>
        <w:suppressAutoHyphens/>
        <w:spacing w:after="0" w:line="240" w:lineRule="auto"/>
        <w:ind w:right="-62"/>
        <w:jc w:val="both"/>
        <w:outlineLvl w:val="1"/>
        <w:rPr>
          <w:rFonts w:ascii="ITC Avant Garde" w:hAnsi="ITC Avant Garde" w:cs="Arial"/>
        </w:rPr>
      </w:pPr>
    </w:p>
    <w:p w14:paraId="74264A57" w14:textId="1C41F2D0" w:rsidR="00F21A5E" w:rsidRDefault="00514B40" w:rsidP="00D868C2">
      <w:pPr>
        <w:pStyle w:val="Prrafodelista"/>
        <w:spacing w:after="0" w:line="240" w:lineRule="auto"/>
        <w:ind w:left="0" w:right="51"/>
        <w:jc w:val="both"/>
        <w:rPr>
          <w:rFonts w:ascii="ITC Avant Garde" w:hAnsi="ITC Avant Garde" w:cs="Arial"/>
          <w:b/>
          <w:bCs/>
          <w:lang w:eastAsia="es-MX"/>
        </w:rPr>
      </w:pPr>
      <w:r w:rsidRPr="000411D5">
        <w:rPr>
          <w:rFonts w:ascii="ITC Avant Garde" w:hAnsi="ITC Avant Garde" w:cs="Arial"/>
        </w:rPr>
        <w:t xml:space="preserve">Por lo expuesto, el Pleno del Instituto Federal de Telecomunicaciones, con fundamento en los artículos 6o., 7o., 27, 28, párrafo décimo quinto de la Constitución Política de los Estados Unidos Mexicanos; 1, 2, 7, 15 fracción I, </w:t>
      </w:r>
      <w:r w:rsidR="00F21A5E">
        <w:rPr>
          <w:rFonts w:ascii="ITC Avant Garde" w:hAnsi="ITC Avant Garde" w:cs="Arial"/>
        </w:rPr>
        <w:t xml:space="preserve">16, </w:t>
      </w:r>
      <w:r w:rsidRPr="000411D5">
        <w:rPr>
          <w:rFonts w:ascii="ITC Avant Garde" w:hAnsi="ITC Avant Garde" w:cs="Arial"/>
        </w:rPr>
        <w:t>17 fracción I, 54, 55</w:t>
      </w:r>
      <w:r w:rsidR="00F21A5E">
        <w:rPr>
          <w:rFonts w:ascii="ITC Avant Garde" w:hAnsi="ITC Avant Garde" w:cs="Arial"/>
        </w:rPr>
        <w:t xml:space="preserve"> fracción II</w:t>
      </w:r>
      <w:r w:rsidRPr="000411D5">
        <w:rPr>
          <w:rFonts w:ascii="ITC Avant Garde" w:hAnsi="ITC Avant Garde" w:cs="Arial"/>
        </w:rPr>
        <w:t xml:space="preserve">, 57 </w:t>
      </w:r>
      <w:r w:rsidR="0003767D">
        <w:rPr>
          <w:rFonts w:ascii="ITC Avant Garde" w:hAnsi="ITC Avant Garde" w:cs="Arial"/>
        </w:rPr>
        <w:t>y</w:t>
      </w:r>
      <w:r w:rsidR="00F21A5E">
        <w:rPr>
          <w:rFonts w:ascii="ITC Avant Garde" w:hAnsi="ITC Avant Garde" w:cs="Arial"/>
        </w:rPr>
        <w:t xml:space="preserve"> 64</w:t>
      </w:r>
      <w:r w:rsidR="0003767D">
        <w:rPr>
          <w:rFonts w:ascii="ITC Avant Garde" w:hAnsi="ITC Avant Garde" w:cs="Arial"/>
        </w:rPr>
        <w:t>,</w:t>
      </w:r>
      <w:r w:rsidR="00F21A5E">
        <w:rPr>
          <w:rFonts w:ascii="ITC Avant Garde" w:hAnsi="ITC Avant Garde" w:cs="Arial"/>
        </w:rPr>
        <w:t xml:space="preserve"> </w:t>
      </w:r>
      <w:r w:rsidRPr="000411D5">
        <w:rPr>
          <w:rFonts w:ascii="ITC Avant Garde" w:hAnsi="ITC Avant Garde" w:cs="Arial"/>
        </w:rPr>
        <w:t xml:space="preserve">de la Ley Federal de Telecomunicaciones y Radiodifusión; 1, 4 fracción I, 6 </w:t>
      </w:r>
      <w:r w:rsidR="0003767D">
        <w:rPr>
          <w:rFonts w:ascii="ITC Avant Garde" w:hAnsi="ITC Avant Garde" w:cs="Arial"/>
        </w:rPr>
        <w:t>fracción</w:t>
      </w:r>
      <w:r w:rsidRPr="000411D5">
        <w:rPr>
          <w:rFonts w:ascii="ITC Avant Garde" w:hAnsi="ITC Avant Garde" w:cs="Arial"/>
        </w:rPr>
        <w:t xml:space="preserve"> I, </w:t>
      </w:r>
      <w:r w:rsidR="00933771">
        <w:rPr>
          <w:rFonts w:ascii="ITC Avant Garde" w:hAnsi="ITC Avant Garde" w:cs="Arial"/>
        </w:rPr>
        <w:t>y 30 fracción IV</w:t>
      </w:r>
      <w:r w:rsidR="0003767D">
        <w:rPr>
          <w:rFonts w:ascii="ITC Avant Garde" w:hAnsi="ITC Avant Garde" w:cs="Arial"/>
        </w:rPr>
        <w:t>,</w:t>
      </w:r>
      <w:r w:rsidR="00933771">
        <w:rPr>
          <w:rFonts w:ascii="ITC Avant Garde" w:hAnsi="ITC Avant Garde" w:cs="Arial"/>
        </w:rPr>
        <w:t xml:space="preserve"> </w:t>
      </w:r>
      <w:r w:rsidRPr="000411D5">
        <w:rPr>
          <w:rFonts w:ascii="ITC Avant Garde" w:hAnsi="ITC Avant Garde" w:cs="Arial"/>
        </w:rPr>
        <w:t xml:space="preserve">del Estatuto Orgánico del Instituto Federal de Telecomunicaciones, se emite el </w:t>
      </w:r>
      <w:r w:rsidR="00EE037D" w:rsidRPr="000411D5">
        <w:rPr>
          <w:rFonts w:ascii="ITC Avant Garde" w:hAnsi="ITC Avant Garde" w:cs="Arial"/>
        </w:rPr>
        <w:t>siguiente:</w:t>
      </w:r>
    </w:p>
    <w:p w14:paraId="34DDCAC5" w14:textId="77777777" w:rsidR="00F21A5E" w:rsidRPr="000411D5" w:rsidRDefault="00F21A5E" w:rsidP="00D868C2">
      <w:pPr>
        <w:spacing w:after="0" w:line="240" w:lineRule="auto"/>
        <w:ind w:right="49"/>
        <w:contextualSpacing/>
        <w:jc w:val="center"/>
        <w:rPr>
          <w:rFonts w:ascii="ITC Avant Garde" w:hAnsi="ITC Avant Garde" w:cs="Arial"/>
          <w:b/>
          <w:bCs/>
          <w:lang w:eastAsia="es-MX"/>
        </w:rPr>
      </w:pPr>
    </w:p>
    <w:p w14:paraId="547A5EA1" w14:textId="77777777" w:rsidR="00EE037D" w:rsidRPr="000411D5" w:rsidRDefault="00EE037D" w:rsidP="00D868C2">
      <w:pPr>
        <w:spacing w:after="0" w:line="240" w:lineRule="auto"/>
        <w:ind w:right="49"/>
        <w:contextualSpacing/>
        <w:jc w:val="center"/>
        <w:rPr>
          <w:rFonts w:ascii="ITC Avant Garde" w:hAnsi="ITC Avant Garde" w:cs="Arial"/>
          <w:b/>
          <w:bCs/>
          <w:lang w:eastAsia="es-MX"/>
        </w:rPr>
      </w:pPr>
      <w:r w:rsidRPr="000411D5">
        <w:rPr>
          <w:rFonts w:ascii="ITC Avant Garde" w:hAnsi="ITC Avant Garde" w:cs="Arial"/>
          <w:b/>
          <w:bCs/>
          <w:lang w:eastAsia="es-MX"/>
        </w:rPr>
        <w:t>ACUERDO</w:t>
      </w:r>
    </w:p>
    <w:p w14:paraId="4365B972" w14:textId="77777777" w:rsidR="00514B40" w:rsidRPr="006B7FCE" w:rsidRDefault="00514B40" w:rsidP="00D868C2">
      <w:pPr>
        <w:autoSpaceDE w:val="0"/>
        <w:autoSpaceDN w:val="0"/>
        <w:adjustRightInd w:val="0"/>
        <w:spacing w:after="0" w:line="240" w:lineRule="auto"/>
        <w:jc w:val="both"/>
        <w:rPr>
          <w:rFonts w:ascii="ITC Avant Garde" w:hAnsi="ITC Avant Garde" w:cs="Arial"/>
        </w:rPr>
      </w:pPr>
    </w:p>
    <w:p w14:paraId="3456E342" w14:textId="323B91F9" w:rsidR="0099179E" w:rsidRPr="000411D5" w:rsidRDefault="00E61840" w:rsidP="00D868C2">
      <w:pPr>
        <w:pStyle w:val="Prrafodelista"/>
        <w:numPr>
          <w:ilvl w:val="0"/>
          <w:numId w:val="28"/>
        </w:numPr>
        <w:pBdr>
          <w:top w:val="nil"/>
          <w:left w:val="nil"/>
          <w:bottom w:val="nil"/>
          <w:right w:val="nil"/>
          <w:between w:val="nil"/>
          <w:bar w:val="nil"/>
        </w:pBdr>
        <w:shd w:val="clear" w:color="auto" w:fill="FFFFFF"/>
        <w:suppressAutoHyphens/>
        <w:spacing w:after="0" w:line="240" w:lineRule="auto"/>
        <w:ind w:left="0" w:right="-62" w:firstLine="0"/>
        <w:contextualSpacing w:val="0"/>
        <w:jc w:val="both"/>
        <w:outlineLvl w:val="1"/>
        <w:rPr>
          <w:rFonts w:ascii="ITC Avant Garde" w:hAnsi="ITC Avant Garde" w:cs="Arial"/>
          <w:lang w:eastAsia="es-MX"/>
        </w:rPr>
      </w:pPr>
      <w:r w:rsidRPr="000411D5">
        <w:rPr>
          <w:rFonts w:ascii="ITC Avant Garde" w:hAnsi="ITC Avant Garde" w:cs="Arial"/>
          <w:lang w:eastAsia="es-MX"/>
        </w:rPr>
        <w:t xml:space="preserve">Se </w:t>
      </w:r>
      <w:r w:rsidR="00567F7B" w:rsidRPr="000411D5">
        <w:rPr>
          <w:rFonts w:ascii="ITC Avant Garde" w:hAnsi="ITC Avant Garde" w:cs="Arial"/>
          <w:lang w:eastAsia="es-MX"/>
        </w:rPr>
        <w:t>clasifica</w:t>
      </w:r>
      <w:r w:rsidRPr="000411D5">
        <w:rPr>
          <w:rFonts w:ascii="ITC Avant Garde" w:hAnsi="ITC Avant Garde" w:cs="Arial"/>
          <w:lang w:eastAsia="es-MX"/>
        </w:rPr>
        <w:t xml:space="preserve"> </w:t>
      </w:r>
      <w:r w:rsidR="00681263" w:rsidRPr="000411D5">
        <w:rPr>
          <w:rFonts w:ascii="ITC Avant Garde" w:hAnsi="ITC Avant Garde" w:cs="Arial"/>
          <w:lang w:eastAsia="es-MX"/>
        </w:rPr>
        <w:t xml:space="preserve">la banda de frecuencias </w:t>
      </w:r>
      <w:r w:rsidR="00681263" w:rsidRPr="00B646BF">
        <w:rPr>
          <w:rFonts w:ascii="ITC Avant Garde" w:hAnsi="ITC Avant Garde" w:cs="Arial"/>
          <w:lang w:eastAsia="es-MX"/>
        </w:rPr>
        <w:t>de 57-64 GHz</w:t>
      </w:r>
      <w:r w:rsidR="00681263" w:rsidRPr="000411D5">
        <w:rPr>
          <w:rFonts w:ascii="ITC Avant Garde" w:hAnsi="ITC Avant Garde" w:cs="Arial"/>
          <w:lang w:eastAsia="es-MX"/>
        </w:rPr>
        <w:t xml:space="preserve"> </w:t>
      </w:r>
      <w:r w:rsidRPr="000411D5">
        <w:rPr>
          <w:rFonts w:ascii="ITC Avant Garde" w:hAnsi="ITC Avant Garde" w:cs="Arial"/>
          <w:lang w:eastAsia="es-MX"/>
        </w:rPr>
        <w:t>como espectro libre.</w:t>
      </w:r>
    </w:p>
    <w:p w14:paraId="04592EE6" w14:textId="77777777" w:rsidR="0099179E" w:rsidRPr="000411D5" w:rsidRDefault="0099179E" w:rsidP="00D868C2">
      <w:pPr>
        <w:autoSpaceDE w:val="0"/>
        <w:autoSpaceDN w:val="0"/>
        <w:adjustRightInd w:val="0"/>
        <w:spacing w:after="0" w:line="240" w:lineRule="auto"/>
        <w:jc w:val="both"/>
        <w:rPr>
          <w:rFonts w:ascii="ITC Avant Garde" w:hAnsi="ITC Avant Garde" w:cs="Arial"/>
        </w:rPr>
      </w:pPr>
    </w:p>
    <w:p w14:paraId="6C68F1D0" w14:textId="0AD2CD4C" w:rsidR="00E200F5" w:rsidRPr="000411D5" w:rsidRDefault="00E61840" w:rsidP="00D868C2">
      <w:pPr>
        <w:pStyle w:val="Prrafodelista"/>
        <w:numPr>
          <w:ilvl w:val="0"/>
          <w:numId w:val="28"/>
        </w:numPr>
        <w:pBdr>
          <w:top w:val="nil"/>
          <w:left w:val="nil"/>
          <w:bottom w:val="nil"/>
          <w:right w:val="nil"/>
          <w:between w:val="nil"/>
          <w:bar w:val="nil"/>
        </w:pBdr>
        <w:shd w:val="clear" w:color="auto" w:fill="FFFFFF"/>
        <w:suppressAutoHyphens/>
        <w:spacing w:after="0" w:line="240" w:lineRule="auto"/>
        <w:ind w:left="0" w:right="-62" w:firstLine="0"/>
        <w:contextualSpacing w:val="0"/>
        <w:jc w:val="both"/>
        <w:outlineLvl w:val="1"/>
        <w:rPr>
          <w:rFonts w:ascii="ITC Avant Garde" w:hAnsi="ITC Avant Garde" w:cs="Arial"/>
          <w:lang w:eastAsia="es-MX"/>
        </w:rPr>
      </w:pPr>
      <w:r w:rsidRPr="000411D5">
        <w:rPr>
          <w:rFonts w:ascii="ITC Avant Garde" w:hAnsi="ITC Avant Garde" w:cs="Arial"/>
          <w:lang w:eastAsia="es-MX"/>
        </w:rPr>
        <w:t xml:space="preserve">Los sistemas, dispositivos o productos que utilicen la banda de frecuencias </w:t>
      </w:r>
      <w:r w:rsidR="00C72F4C" w:rsidRPr="00B646BF">
        <w:rPr>
          <w:rFonts w:ascii="ITC Avant Garde" w:hAnsi="ITC Avant Garde" w:cs="Arial"/>
          <w:lang w:eastAsia="es-MX"/>
        </w:rPr>
        <w:t>de</w:t>
      </w:r>
      <w:r w:rsidR="00B646BF" w:rsidRPr="00B646BF">
        <w:rPr>
          <w:rFonts w:ascii="ITC Avant Garde" w:hAnsi="ITC Avant Garde" w:cs="Arial"/>
          <w:lang w:eastAsia="es-MX"/>
        </w:rPr>
        <w:t xml:space="preserve"> </w:t>
      </w:r>
      <w:r w:rsidR="00C72F4C" w:rsidRPr="00B646BF">
        <w:rPr>
          <w:rFonts w:ascii="ITC Avant Garde" w:hAnsi="ITC Avant Garde" w:cs="Arial"/>
          <w:lang w:eastAsia="es-MX"/>
        </w:rPr>
        <w:t>57-64</w:t>
      </w:r>
      <w:r w:rsidR="00B646BF" w:rsidRPr="00B646BF">
        <w:rPr>
          <w:rFonts w:ascii="ITC Avant Garde" w:hAnsi="ITC Avant Garde" w:cs="Arial"/>
          <w:lang w:eastAsia="es-MX"/>
        </w:rPr>
        <w:t xml:space="preserve"> </w:t>
      </w:r>
      <w:r w:rsidR="00C72F4C" w:rsidRPr="00B646BF">
        <w:rPr>
          <w:rFonts w:ascii="ITC Avant Garde" w:hAnsi="ITC Avant Garde" w:cs="Arial"/>
          <w:lang w:eastAsia="es-MX"/>
        </w:rPr>
        <w:t>GHz</w:t>
      </w:r>
      <w:r w:rsidRPr="000411D5">
        <w:rPr>
          <w:rFonts w:ascii="ITC Avant Garde" w:hAnsi="ITC Avant Garde" w:cs="Arial"/>
          <w:lang w:eastAsia="es-MX"/>
        </w:rPr>
        <w:t>, debe</w:t>
      </w:r>
      <w:r w:rsidR="0035585C">
        <w:rPr>
          <w:rFonts w:ascii="ITC Avant Garde" w:hAnsi="ITC Avant Garde" w:cs="Arial"/>
          <w:lang w:eastAsia="es-MX"/>
        </w:rPr>
        <w:t>rán</w:t>
      </w:r>
      <w:r w:rsidRPr="000411D5">
        <w:rPr>
          <w:rFonts w:ascii="ITC Avant Garde" w:hAnsi="ITC Avant Garde" w:cs="Arial"/>
          <w:lang w:eastAsia="es-MX"/>
        </w:rPr>
        <w:t xml:space="preserve"> cumplir con las condiciones </w:t>
      </w:r>
      <w:r w:rsidR="00581322">
        <w:rPr>
          <w:rFonts w:ascii="ITC Avant Garde" w:hAnsi="ITC Avant Garde" w:cs="Arial"/>
          <w:lang w:eastAsia="es-MX"/>
        </w:rPr>
        <w:t xml:space="preserve">técnicas </w:t>
      </w:r>
      <w:r w:rsidRPr="000411D5">
        <w:rPr>
          <w:rFonts w:ascii="ITC Avant Garde" w:hAnsi="ITC Avant Garde" w:cs="Arial"/>
          <w:lang w:eastAsia="es-MX"/>
        </w:rPr>
        <w:t xml:space="preserve">de operación establecidas en el </w:t>
      </w:r>
      <w:r w:rsidR="00567F7B" w:rsidRPr="000411D5">
        <w:rPr>
          <w:rFonts w:ascii="ITC Avant Garde" w:hAnsi="ITC Avant Garde" w:cs="Arial"/>
          <w:lang w:eastAsia="es-MX"/>
        </w:rPr>
        <w:t>Anexo 1</w:t>
      </w:r>
      <w:r w:rsidRPr="000411D5">
        <w:rPr>
          <w:rFonts w:ascii="ITC Avant Garde" w:hAnsi="ITC Avant Garde" w:cs="Arial"/>
          <w:lang w:eastAsia="es-MX"/>
        </w:rPr>
        <w:t xml:space="preserve"> qu</w:t>
      </w:r>
      <w:r w:rsidR="00681263">
        <w:rPr>
          <w:rFonts w:ascii="ITC Avant Garde" w:hAnsi="ITC Avant Garde" w:cs="Arial"/>
          <w:lang w:eastAsia="es-MX"/>
        </w:rPr>
        <w:t>e forma parte del presente Acuerdo</w:t>
      </w:r>
      <w:r w:rsidRPr="000411D5">
        <w:rPr>
          <w:rFonts w:ascii="ITC Avant Garde" w:hAnsi="ITC Avant Garde" w:cs="Arial"/>
          <w:lang w:eastAsia="es-MX"/>
        </w:rPr>
        <w:t>.</w:t>
      </w:r>
    </w:p>
    <w:p w14:paraId="658375EE" w14:textId="77777777" w:rsidR="00567F7B" w:rsidRPr="006B7FCE" w:rsidRDefault="00567F7B" w:rsidP="00D868C2">
      <w:pPr>
        <w:autoSpaceDE w:val="0"/>
        <w:autoSpaceDN w:val="0"/>
        <w:adjustRightInd w:val="0"/>
        <w:spacing w:after="0" w:line="240" w:lineRule="auto"/>
        <w:jc w:val="both"/>
        <w:rPr>
          <w:rFonts w:ascii="ITC Avant Garde" w:hAnsi="ITC Avant Garde" w:cs="Arial"/>
        </w:rPr>
      </w:pPr>
    </w:p>
    <w:p w14:paraId="55C6A214" w14:textId="290CC4B2" w:rsidR="00567F7B" w:rsidRPr="000411D5" w:rsidRDefault="00567F7B" w:rsidP="00D868C2">
      <w:pPr>
        <w:pStyle w:val="Prrafodelista"/>
        <w:numPr>
          <w:ilvl w:val="0"/>
          <w:numId w:val="28"/>
        </w:numPr>
        <w:pBdr>
          <w:top w:val="nil"/>
          <w:left w:val="nil"/>
          <w:bottom w:val="nil"/>
          <w:right w:val="nil"/>
          <w:between w:val="nil"/>
          <w:bar w:val="nil"/>
        </w:pBdr>
        <w:shd w:val="clear" w:color="auto" w:fill="FFFFFF"/>
        <w:suppressAutoHyphens/>
        <w:spacing w:after="0" w:line="240" w:lineRule="auto"/>
        <w:ind w:left="0" w:right="-62" w:firstLine="0"/>
        <w:contextualSpacing w:val="0"/>
        <w:jc w:val="both"/>
        <w:outlineLvl w:val="1"/>
        <w:rPr>
          <w:rFonts w:ascii="ITC Avant Garde" w:hAnsi="ITC Avant Garde" w:cs="Arial"/>
          <w:lang w:eastAsia="es-MX"/>
        </w:rPr>
      </w:pPr>
      <w:r w:rsidRPr="000411D5">
        <w:rPr>
          <w:rFonts w:ascii="ITC Avant Garde" w:hAnsi="ITC Avant Garde" w:cs="Arial"/>
          <w:lang w:eastAsia="es-MX"/>
        </w:rPr>
        <w:t xml:space="preserve">Publíquese el presente Acuerdo junto con su Anexo 1 en el Diario Oficial de la Federación, así como en el portal de </w:t>
      </w:r>
      <w:r w:rsidR="00DE70FA">
        <w:rPr>
          <w:rFonts w:ascii="ITC Avant Garde" w:hAnsi="ITC Avant Garde" w:cs="Arial"/>
          <w:lang w:eastAsia="es-MX"/>
        </w:rPr>
        <w:t>i</w:t>
      </w:r>
      <w:r w:rsidRPr="000411D5">
        <w:rPr>
          <w:rFonts w:ascii="ITC Avant Garde" w:hAnsi="ITC Avant Garde" w:cs="Arial"/>
          <w:lang w:eastAsia="es-MX"/>
        </w:rPr>
        <w:t>nternet del Instituto Federal de Telecomunicaciones.</w:t>
      </w:r>
    </w:p>
    <w:p w14:paraId="4044C503" w14:textId="77777777" w:rsidR="00567F7B" w:rsidRPr="006B7FCE" w:rsidRDefault="00567F7B" w:rsidP="00D868C2">
      <w:pPr>
        <w:autoSpaceDE w:val="0"/>
        <w:autoSpaceDN w:val="0"/>
        <w:adjustRightInd w:val="0"/>
        <w:spacing w:after="0" w:line="240" w:lineRule="auto"/>
        <w:jc w:val="both"/>
        <w:rPr>
          <w:rFonts w:ascii="ITC Avant Garde" w:hAnsi="ITC Avant Garde" w:cs="Arial"/>
        </w:rPr>
      </w:pPr>
    </w:p>
    <w:p w14:paraId="2946E593" w14:textId="69E29DCE" w:rsidR="00567F7B" w:rsidRPr="000411D5" w:rsidRDefault="00567F7B" w:rsidP="00D868C2">
      <w:pPr>
        <w:pStyle w:val="Prrafodelista"/>
        <w:numPr>
          <w:ilvl w:val="0"/>
          <w:numId w:val="28"/>
        </w:numPr>
        <w:pBdr>
          <w:top w:val="nil"/>
          <w:left w:val="nil"/>
          <w:bottom w:val="nil"/>
          <w:right w:val="nil"/>
          <w:between w:val="nil"/>
          <w:bar w:val="nil"/>
        </w:pBdr>
        <w:shd w:val="clear" w:color="auto" w:fill="FFFFFF"/>
        <w:suppressAutoHyphens/>
        <w:spacing w:after="0" w:line="240" w:lineRule="auto"/>
        <w:ind w:left="0" w:right="-62" w:firstLine="0"/>
        <w:contextualSpacing w:val="0"/>
        <w:jc w:val="both"/>
        <w:outlineLvl w:val="1"/>
        <w:rPr>
          <w:rFonts w:ascii="ITC Avant Garde" w:hAnsi="ITC Avant Garde" w:cs="Arial"/>
          <w:lang w:eastAsia="es-MX"/>
        </w:rPr>
      </w:pPr>
      <w:r w:rsidRPr="000411D5">
        <w:rPr>
          <w:rFonts w:ascii="ITC Avant Garde" w:hAnsi="ITC Avant Garde" w:cs="Arial"/>
          <w:lang w:eastAsia="es-MX"/>
        </w:rPr>
        <w:t>Publíquese el documento de respuesta</w:t>
      </w:r>
      <w:r w:rsidR="00681263">
        <w:rPr>
          <w:rFonts w:ascii="ITC Avant Garde" w:hAnsi="ITC Avant Garde" w:cs="Arial"/>
          <w:lang w:eastAsia="es-MX"/>
        </w:rPr>
        <w:t>s</w:t>
      </w:r>
      <w:r w:rsidRPr="000411D5">
        <w:rPr>
          <w:rFonts w:ascii="ITC Avant Garde" w:hAnsi="ITC Avant Garde" w:cs="Arial"/>
          <w:lang w:eastAsia="es-MX"/>
        </w:rPr>
        <w:t xml:space="preserve"> </w:t>
      </w:r>
      <w:r w:rsidR="00681263">
        <w:rPr>
          <w:rFonts w:ascii="ITC Avant Garde" w:hAnsi="ITC Avant Garde" w:cs="Arial"/>
          <w:lang w:eastAsia="es-MX"/>
        </w:rPr>
        <w:t>a</w:t>
      </w:r>
      <w:r w:rsidRPr="000411D5">
        <w:rPr>
          <w:rFonts w:ascii="ITC Avant Garde" w:hAnsi="ITC Avant Garde" w:cs="Arial"/>
          <w:lang w:eastAsia="es-MX"/>
        </w:rPr>
        <w:t xml:space="preserve"> los comentarios, manifestaciones y propuestas concretas recibidas durante el proceso de consulta pública, en el portal de </w:t>
      </w:r>
      <w:r w:rsidR="00DE70FA">
        <w:rPr>
          <w:rFonts w:ascii="ITC Avant Garde" w:hAnsi="ITC Avant Garde" w:cs="Arial"/>
          <w:lang w:eastAsia="es-MX"/>
        </w:rPr>
        <w:t>i</w:t>
      </w:r>
      <w:r w:rsidRPr="000411D5">
        <w:rPr>
          <w:rFonts w:ascii="ITC Avant Garde" w:hAnsi="ITC Avant Garde" w:cs="Arial"/>
          <w:lang w:eastAsia="es-MX"/>
        </w:rPr>
        <w:t>nternet del Instituto.</w:t>
      </w:r>
    </w:p>
    <w:p w14:paraId="1111A49D" w14:textId="77777777" w:rsidR="00EF5438" w:rsidRPr="006B7FCE" w:rsidRDefault="00EF5438" w:rsidP="00D868C2">
      <w:pPr>
        <w:autoSpaceDE w:val="0"/>
        <w:autoSpaceDN w:val="0"/>
        <w:adjustRightInd w:val="0"/>
        <w:spacing w:after="0" w:line="240" w:lineRule="auto"/>
        <w:jc w:val="both"/>
        <w:rPr>
          <w:rFonts w:ascii="ITC Avant Garde" w:hAnsi="ITC Avant Garde" w:cs="Arial"/>
        </w:rPr>
      </w:pPr>
    </w:p>
    <w:p w14:paraId="47002504" w14:textId="4F99AFB9" w:rsidR="004473C2" w:rsidRDefault="004473C2" w:rsidP="00AC6E57">
      <w:pPr>
        <w:pStyle w:val="Prrafodelista"/>
        <w:numPr>
          <w:ilvl w:val="0"/>
          <w:numId w:val="28"/>
        </w:numPr>
        <w:pBdr>
          <w:top w:val="nil"/>
          <w:left w:val="nil"/>
          <w:bottom w:val="nil"/>
          <w:right w:val="nil"/>
          <w:between w:val="nil"/>
          <w:bar w:val="nil"/>
        </w:pBdr>
        <w:shd w:val="clear" w:color="auto" w:fill="FFFFFF"/>
        <w:suppressAutoHyphens/>
        <w:spacing w:after="0" w:line="240" w:lineRule="auto"/>
        <w:ind w:left="0" w:right="-62" w:firstLine="0"/>
        <w:contextualSpacing w:val="0"/>
        <w:jc w:val="both"/>
        <w:outlineLvl w:val="1"/>
        <w:rPr>
          <w:rFonts w:ascii="ITC Avant Garde" w:hAnsi="ITC Avant Garde" w:cs="Arial"/>
          <w:lang w:eastAsia="es-MX"/>
        </w:rPr>
      </w:pPr>
      <w:r>
        <w:rPr>
          <w:rFonts w:ascii="ITC Avant Garde" w:hAnsi="ITC Avant Garde" w:cs="Arial"/>
          <w:lang w:eastAsia="es-MX"/>
        </w:rPr>
        <w:t>El presente Acuerdo</w:t>
      </w:r>
      <w:r w:rsidR="00C05C2F">
        <w:rPr>
          <w:rFonts w:ascii="ITC Avant Garde" w:hAnsi="ITC Avant Garde" w:cs="Arial"/>
          <w:lang w:eastAsia="es-MX"/>
        </w:rPr>
        <w:t>,</w:t>
      </w:r>
      <w:r>
        <w:rPr>
          <w:rFonts w:ascii="ITC Avant Garde" w:hAnsi="ITC Avant Garde" w:cs="Arial"/>
          <w:lang w:eastAsia="es-MX"/>
        </w:rPr>
        <w:t xml:space="preserve"> </w:t>
      </w:r>
      <w:r w:rsidR="00F803FF">
        <w:rPr>
          <w:rFonts w:ascii="ITC Avant Garde" w:hAnsi="ITC Avant Garde" w:cs="Arial"/>
          <w:lang w:eastAsia="es-MX"/>
        </w:rPr>
        <w:t>junto con su Anexo I</w:t>
      </w:r>
      <w:r w:rsidR="00C05C2F">
        <w:rPr>
          <w:rFonts w:ascii="ITC Avant Garde" w:hAnsi="ITC Avant Garde" w:cs="Arial"/>
          <w:lang w:eastAsia="es-MX"/>
        </w:rPr>
        <w:t>,</w:t>
      </w:r>
      <w:r w:rsidR="00F803FF">
        <w:rPr>
          <w:rFonts w:ascii="ITC Avant Garde" w:hAnsi="ITC Avant Garde" w:cs="Arial"/>
          <w:lang w:eastAsia="es-MX"/>
        </w:rPr>
        <w:t xml:space="preserve"> </w:t>
      </w:r>
      <w:r>
        <w:rPr>
          <w:rFonts w:ascii="ITC Avant Garde" w:hAnsi="ITC Avant Garde" w:cs="Arial"/>
          <w:lang w:eastAsia="es-MX"/>
        </w:rPr>
        <w:t>entrará</w:t>
      </w:r>
      <w:r w:rsidR="00F803FF">
        <w:rPr>
          <w:rFonts w:ascii="ITC Avant Garde" w:hAnsi="ITC Avant Garde" w:cs="Arial"/>
          <w:lang w:eastAsia="es-MX"/>
        </w:rPr>
        <w:t>n</w:t>
      </w:r>
      <w:r>
        <w:rPr>
          <w:rFonts w:ascii="ITC Avant Garde" w:hAnsi="ITC Avant Garde" w:cs="Arial"/>
          <w:lang w:eastAsia="es-MX"/>
        </w:rPr>
        <w:t xml:space="preserve"> en vigor al día siguiente de su publicación en el D</w:t>
      </w:r>
      <w:r w:rsidR="00681263">
        <w:rPr>
          <w:rFonts w:ascii="ITC Avant Garde" w:hAnsi="ITC Avant Garde" w:cs="Arial"/>
          <w:lang w:eastAsia="es-MX"/>
        </w:rPr>
        <w:t>iario Oficial de la Federación.</w:t>
      </w:r>
    </w:p>
    <w:p w14:paraId="69EC44B3" w14:textId="77777777" w:rsidR="0083299B" w:rsidRPr="00681263" w:rsidRDefault="0083299B" w:rsidP="00D868C2">
      <w:pPr>
        <w:autoSpaceDE w:val="0"/>
        <w:autoSpaceDN w:val="0"/>
        <w:adjustRightInd w:val="0"/>
        <w:spacing w:after="0" w:line="240" w:lineRule="auto"/>
        <w:jc w:val="both"/>
        <w:rPr>
          <w:rFonts w:ascii="ITC Avant Garde" w:hAnsi="ITC Avant Garde" w:cs="Arial"/>
        </w:rPr>
      </w:pPr>
    </w:p>
    <w:p w14:paraId="672A1E8D" w14:textId="77777777" w:rsidR="0083299B" w:rsidRPr="0083299B" w:rsidRDefault="0083299B" w:rsidP="00D868C2">
      <w:pPr>
        <w:pBdr>
          <w:top w:val="nil"/>
          <w:left w:val="nil"/>
          <w:bottom w:val="nil"/>
          <w:right w:val="nil"/>
          <w:between w:val="nil"/>
          <w:bar w:val="nil"/>
        </w:pBdr>
        <w:shd w:val="clear" w:color="auto" w:fill="FFFFFF"/>
        <w:suppressAutoHyphens/>
        <w:spacing w:after="0" w:line="240" w:lineRule="auto"/>
        <w:ind w:right="-62"/>
        <w:jc w:val="both"/>
        <w:outlineLvl w:val="1"/>
        <w:rPr>
          <w:rFonts w:ascii="ITC Avant Garde" w:hAnsi="ITC Avant Garde" w:cs="Arial"/>
          <w:lang w:eastAsia="es-MX"/>
        </w:rPr>
      </w:pPr>
    </w:p>
    <w:p w14:paraId="1B3F149A" w14:textId="77777777" w:rsidR="00EF5438" w:rsidRPr="000411D5" w:rsidRDefault="00EF5438" w:rsidP="00D868C2">
      <w:pPr>
        <w:autoSpaceDE w:val="0"/>
        <w:autoSpaceDN w:val="0"/>
        <w:adjustRightInd w:val="0"/>
        <w:spacing w:after="0" w:line="240" w:lineRule="auto"/>
        <w:jc w:val="both"/>
        <w:rPr>
          <w:rFonts w:ascii="ITC Avant Garde" w:hAnsi="ITC Avant Garde" w:cs="Arial"/>
        </w:rPr>
      </w:pPr>
    </w:p>
    <w:p w14:paraId="2D42DDE9" w14:textId="081DBFA3" w:rsidR="00567F7B" w:rsidRPr="000411D5" w:rsidRDefault="00567F7B" w:rsidP="00D868C2">
      <w:pPr>
        <w:autoSpaceDE w:val="0"/>
        <w:autoSpaceDN w:val="0"/>
        <w:adjustRightInd w:val="0"/>
        <w:spacing w:after="0" w:line="240" w:lineRule="auto"/>
        <w:jc w:val="both"/>
        <w:rPr>
          <w:rFonts w:ascii="ITC Avant Garde" w:hAnsi="ITC Avant Garde" w:cs="Arial"/>
        </w:rPr>
      </w:pPr>
    </w:p>
    <w:tbl>
      <w:tblPr>
        <w:tblW w:w="8497" w:type="dxa"/>
        <w:jc w:val="center"/>
        <w:tblCellMar>
          <w:left w:w="70" w:type="dxa"/>
          <w:right w:w="70" w:type="dxa"/>
        </w:tblCellMar>
        <w:tblLook w:val="04A0" w:firstRow="1" w:lastRow="0" w:firstColumn="1" w:lastColumn="0" w:noHBand="0" w:noVBand="1"/>
      </w:tblPr>
      <w:tblGrid>
        <w:gridCol w:w="1437"/>
        <w:gridCol w:w="2244"/>
        <w:gridCol w:w="992"/>
        <w:gridCol w:w="2591"/>
        <w:gridCol w:w="1233"/>
      </w:tblGrid>
      <w:tr w:rsidR="000411D5" w:rsidRPr="000411D5" w14:paraId="55573040" w14:textId="77777777" w:rsidTr="00F40898">
        <w:trPr>
          <w:trHeight w:val="246"/>
          <w:jc w:val="center"/>
        </w:trPr>
        <w:tc>
          <w:tcPr>
            <w:tcW w:w="3681" w:type="dxa"/>
            <w:gridSpan w:val="2"/>
            <w:shd w:val="clear" w:color="auto" w:fill="auto"/>
            <w:vAlign w:val="center"/>
          </w:tcPr>
          <w:p w14:paraId="751E0BCE"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1CB7D8CC"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5404C06E"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521B8F64" w14:textId="77777777" w:rsidTr="00F40898">
        <w:trPr>
          <w:trHeight w:val="246"/>
          <w:jc w:val="center"/>
        </w:trPr>
        <w:tc>
          <w:tcPr>
            <w:tcW w:w="3681" w:type="dxa"/>
            <w:gridSpan w:val="2"/>
            <w:shd w:val="clear" w:color="auto" w:fill="auto"/>
            <w:vAlign w:val="center"/>
          </w:tcPr>
          <w:p w14:paraId="0CE2DD7F"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7658073B"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2A1A682F"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1A33285B" w14:textId="77777777" w:rsidTr="00F40898">
        <w:trPr>
          <w:trHeight w:val="246"/>
          <w:jc w:val="center"/>
        </w:trPr>
        <w:tc>
          <w:tcPr>
            <w:tcW w:w="3681" w:type="dxa"/>
            <w:gridSpan w:val="2"/>
            <w:shd w:val="clear" w:color="auto" w:fill="auto"/>
            <w:vAlign w:val="center"/>
          </w:tcPr>
          <w:p w14:paraId="0658D1A3"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186F19AF"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7938FC47"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63049772" w14:textId="77777777" w:rsidTr="00F40898">
        <w:trPr>
          <w:trHeight w:val="246"/>
          <w:jc w:val="center"/>
        </w:trPr>
        <w:tc>
          <w:tcPr>
            <w:tcW w:w="3681" w:type="dxa"/>
            <w:gridSpan w:val="2"/>
            <w:shd w:val="clear" w:color="auto" w:fill="auto"/>
            <w:vAlign w:val="center"/>
          </w:tcPr>
          <w:p w14:paraId="379FE893"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0CAA2E1D"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77B7D8C9"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4606D9BF" w14:textId="77777777" w:rsidTr="00F40898">
        <w:trPr>
          <w:trHeight w:val="246"/>
          <w:jc w:val="center"/>
        </w:trPr>
        <w:tc>
          <w:tcPr>
            <w:tcW w:w="3681" w:type="dxa"/>
            <w:gridSpan w:val="2"/>
            <w:shd w:val="clear" w:color="auto" w:fill="auto"/>
            <w:vAlign w:val="center"/>
          </w:tcPr>
          <w:p w14:paraId="4232D724"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33745B0B"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11D57C1B"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6C8D0282" w14:textId="77777777" w:rsidTr="00F40898">
        <w:trPr>
          <w:trHeight w:val="246"/>
          <w:jc w:val="center"/>
        </w:trPr>
        <w:tc>
          <w:tcPr>
            <w:tcW w:w="1437" w:type="dxa"/>
            <w:shd w:val="clear" w:color="auto" w:fill="auto"/>
            <w:vAlign w:val="center"/>
          </w:tcPr>
          <w:p w14:paraId="0FDC483C"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5827" w:type="dxa"/>
            <w:gridSpan w:val="3"/>
            <w:shd w:val="clear" w:color="auto" w:fill="auto"/>
            <w:vAlign w:val="center"/>
            <w:hideMark/>
          </w:tcPr>
          <w:p w14:paraId="10CBE317" w14:textId="2F67F2BD"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r w:rsidRPr="000411D5">
              <w:rPr>
                <w:rFonts w:ascii="ITC Avant Garde" w:eastAsia="Times New Roman" w:hAnsi="ITC Avant Garde" w:cs="Arial"/>
                <w:b/>
                <w:bCs/>
                <w:lang w:eastAsia="es-MX"/>
              </w:rPr>
              <w:t>Gabriel Oswaldo Contreras Saldívar</w:t>
            </w:r>
          </w:p>
        </w:tc>
        <w:tc>
          <w:tcPr>
            <w:tcW w:w="1233" w:type="dxa"/>
            <w:shd w:val="clear" w:color="auto" w:fill="auto"/>
            <w:vAlign w:val="center"/>
          </w:tcPr>
          <w:p w14:paraId="78D3B328"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1D8E9F80" w14:textId="77777777" w:rsidTr="00F40898">
        <w:trPr>
          <w:trHeight w:val="246"/>
          <w:jc w:val="center"/>
        </w:trPr>
        <w:tc>
          <w:tcPr>
            <w:tcW w:w="8497" w:type="dxa"/>
            <w:gridSpan w:val="5"/>
            <w:shd w:val="clear" w:color="auto" w:fill="auto"/>
            <w:vAlign w:val="center"/>
          </w:tcPr>
          <w:p w14:paraId="78A63487"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r w:rsidRPr="000411D5">
              <w:rPr>
                <w:rFonts w:ascii="ITC Avant Garde" w:eastAsia="Times New Roman" w:hAnsi="ITC Avant Garde" w:cs="Arial"/>
                <w:b/>
                <w:bCs/>
                <w:lang w:eastAsia="es-MX"/>
              </w:rPr>
              <w:t>Comisionado</w:t>
            </w:r>
          </w:p>
          <w:p w14:paraId="1B3A1043"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r w:rsidRPr="000411D5">
              <w:rPr>
                <w:rFonts w:ascii="ITC Avant Garde" w:eastAsia="Times New Roman" w:hAnsi="ITC Avant Garde" w:cs="Arial"/>
                <w:b/>
                <w:bCs/>
                <w:lang w:eastAsia="es-MX"/>
              </w:rPr>
              <w:t>Presidente</w:t>
            </w:r>
          </w:p>
        </w:tc>
      </w:tr>
      <w:tr w:rsidR="000411D5" w:rsidRPr="000411D5" w14:paraId="73ABB868" w14:textId="77777777" w:rsidTr="00F40898">
        <w:trPr>
          <w:trHeight w:val="236"/>
          <w:jc w:val="center"/>
        </w:trPr>
        <w:tc>
          <w:tcPr>
            <w:tcW w:w="3681" w:type="dxa"/>
            <w:gridSpan w:val="2"/>
            <w:shd w:val="clear" w:color="auto" w:fill="auto"/>
            <w:vAlign w:val="center"/>
          </w:tcPr>
          <w:p w14:paraId="0389BE15"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564DD12B"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025E388A"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0B5E8B7B" w14:textId="77777777" w:rsidTr="00F40898">
        <w:trPr>
          <w:trHeight w:val="60"/>
          <w:jc w:val="center"/>
        </w:trPr>
        <w:tc>
          <w:tcPr>
            <w:tcW w:w="3681" w:type="dxa"/>
            <w:gridSpan w:val="2"/>
            <w:shd w:val="clear" w:color="auto" w:fill="auto"/>
            <w:vAlign w:val="center"/>
          </w:tcPr>
          <w:p w14:paraId="1DCE696B"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12AEED30"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5BCE1092"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0C0AF258" w14:textId="77777777" w:rsidTr="00F40898">
        <w:trPr>
          <w:trHeight w:val="236"/>
          <w:jc w:val="center"/>
        </w:trPr>
        <w:tc>
          <w:tcPr>
            <w:tcW w:w="3681" w:type="dxa"/>
            <w:gridSpan w:val="2"/>
            <w:shd w:val="clear" w:color="auto" w:fill="auto"/>
            <w:vAlign w:val="center"/>
          </w:tcPr>
          <w:p w14:paraId="4519AA60"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04AA03AA"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095B3B9F"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23CE2250" w14:textId="77777777" w:rsidTr="00F40898">
        <w:trPr>
          <w:trHeight w:val="246"/>
          <w:jc w:val="center"/>
        </w:trPr>
        <w:tc>
          <w:tcPr>
            <w:tcW w:w="3681" w:type="dxa"/>
            <w:gridSpan w:val="2"/>
            <w:shd w:val="clear" w:color="auto" w:fill="auto"/>
            <w:vAlign w:val="center"/>
          </w:tcPr>
          <w:p w14:paraId="1AFFDA8F"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64706974"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478A683F"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4C096B4D" w14:textId="77777777" w:rsidTr="00F40898">
        <w:trPr>
          <w:trHeight w:val="50"/>
          <w:jc w:val="center"/>
        </w:trPr>
        <w:tc>
          <w:tcPr>
            <w:tcW w:w="3681" w:type="dxa"/>
            <w:gridSpan w:val="2"/>
            <w:shd w:val="clear" w:color="auto" w:fill="auto"/>
            <w:vAlign w:val="center"/>
          </w:tcPr>
          <w:p w14:paraId="36072058"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4A709C2C"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5D241368"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2696315A" w14:textId="77777777" w:rsidTr="00F40898">
        <w:trPr>
          <w:trHeight w:val="246"/>
          <w:jc w:val="center"/>
        </w:trPr>
        <w:tc>
          <w:tcPr>
            <w:tcW w:w="3681" w:type="dxa"/>
            <w:gridSpan w:val="2"/>
            <w:shd w:val="clear" w:color="auto" w:fill="auto"/>
            <w:vAlign w:val="center"/>
          </w:tcPr>
          <w:p w14:paraId="20663FBE" w14:textId="348A6D6F"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r w:rsidRPr="000411D5">
              <w:rPr>
                <w:rFonts w:ascii="ITC Avant Garde" w:eastAsia="Times New Roman" w:hAnsi="ITC Avant Garde" w:cs="Arial"/>
                <w:b/>
                <w:bCs/>
                <w:lang w:eastAsia="es-MX"/>
              </w:rPr>
              <w:t>Adriana Sofía Labardini Inzunza</w:t>
            </w:r>
          </w:p>
        </w:tc>
        <w:tc>
          <w:tcPr>
            <w:tcW w:w="992" w:type="dxa"/>
            <w:shd w:val="clear" w:color="auto" w:fill="auto"/>
            <w:vAlign w:val="center"/>
          </w:tcPr>
          <w:p w14:paraId="0DA81C8A"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055B9CAC" w14:textId="756C1FD4"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r w:rsidRPr="000411D5">
              <w:rPr>
                <w:rFonts w:ascii="ITC Avant Garde" w:eastAsia="Times New Roman" w:hAnsi="ITC Avant Garde" w:cs="Arial"/>
                <w:b/>
                <w:bCs/>
                <w:lang w:eastAsia="es-MX"/>
              </w:rPr>
              <w:t>María Elena Estavillo Flores</w:t>
            </w:r>
          </w:p>
        </w:tc>
      </w:tr>
      <w:tr w:rsidR="000411D5" w:rsidRPr="000411D5" w14:paraId="4372067E" w14:textId="77777777" w:rsidTr="00F40898">
        <w:trPr>
          <w:trHeight w:val="50"/>
          <w:jc w:val="center"/>
        </w:trPr>
        <w:tc>
          <w:tcPr>
            <w:tcW w:w="3681" w:type="dxa"/>
            <w:gridSpan w:val="2"/>
            <w:shd w:val="clear" w:color="auto" w:fill="auto"/>
            <w:vAlign w:val="center"/>
          </w:tcPr>
          <w:p w14:paraId="6AF00C61"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r w:rsidRPr="000411D5">
              <w:rPr>
                <w:rFonts w:ascii="ITC Avant Garde" w:eastAsia="Times New Roman" w:hAnsi="ITC Avant Garde" w:cs="Arial"/>
                <w:b/>
                <w:bCs/>
                <w:lang w:eastAsia="es-MX"/>
              </w:rPr>
              <w:t>Comisionada</w:t>
            </w:r>
          </w:p>
        </w:tc>
        <w:tc>
          <w:tcPr>
            <w:tcW w:w="992" w:type="dxa"/>
            <w:shd w:val="clear" w:color="auto" w:fill="auto"/>
            <w:vAlign w:val="center"/>
          </w:tcPr>
          <w:p w14:paraId="1617D868"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2BD5C84D"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r w:rsidRPr="000411D5">
              <w:rPr>
                <w:rFonts w:ascii="ITC Avant Garde" w:eastAsia="Times New Roman" w:hAnsi="ITC Avant Garde" w:cs="Arial"/>
                <w:b/>
                <w:bCs/>
                <w:lang w:eastAsia="es-MX"/>
              </w:rPr>
              <w:t>Comisionada</w:t>
            </w:r>
          </w:p>
        </w:tc>
      </w:tr>
      <w:tr w:rsidR="000411D5" w:rsidRPr="000411D5" w14:paraId="1E94E850" w14:textId="77777777" w:rsidTr="00F40898">
        <w:trPr>
          <w:trHeight w:val="50"/>
          <w:jc w:val="center"/>
        </w:trPr>
        <w:tc>
          <w:tcPr>
            <w:tcW w:w="3681" w:type="dxa"/>
            <w:gridSpan w:val="2"/>
            <w:shd w:val="clear" w:color="auto" w:fill="auto"/>
            <w:vAlign w:val="center"/>
          </w:tcPr>
          <w:p w14:paraId="086FE56C"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47C104F3"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52E7B844"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1C47F698" w14:textId="77777777" w:rsidTr="00F40898">
        <w:trPr>
          <w:trHeight w:val="50"/>
          <w:jc w:val="center"/>
        </w:trPr>
        <w:tc>
          <w:tcPr>
            <w:tcW w:w="3681" w:type="dxa"/>
            <w:gridSpan w:val="2"/>
            <w:shd w:val="clear" w:color="auto" w:fill="auto"/>
            <w:vAlign w:val="center"/>
          </w:tcPr>
          <w:p w14:paraId="51A11636"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2BDDE498"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7A975FED"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3416A447" w14:textId="77777777" w:rsidTr="00F40898">
        <w:trPr>
          <w:trHeight w:val="50"/>
          <w:jc w:val="center"/>
        </w:trPr>
        <w:tc>
          <w:tcPr>
            <w:tcW w:w="3681" w:type="dxa"/>
            <w:gridSpan w:val="2"/>
            <w:shd w:val="clear" w:color="auto" w:fill="auto"/>
            <w:vAlign w:val="center"/>
          </w:tcPr>
          <w:p w14:paraId="0FCBE37D"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1BE2E3B7"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6A46AAE3"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215926F0" w14:textId="77777777" w:rsidTr="00F40898">
        <w:trPr>
          <w:trHeight w:val="50"/>
          <w:jc w:val="center"/>
        </w:trPr>
        <w:tc>
          <w:tcPr>
            <w:tcW w:w="3681" w:type="dxa"/>
            <w:gridSpan w:val="2"/>
            <w:shd w:val="clear" w:color="auto" w:fill="auto"/>
            <w:vAlign w:val="center"/>
          </w:tcPr>
          <w:p w14:paraId="63A8FB27"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64B7EC52"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7EF1E7DE"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7FE6B880" w14:textId="77777777" w:rsidTr="00F40898">
        <w:trPr>
          <w:trHeight w:val="50"/>
          <w:jc w:val="center"/>
        </w:trPr>
        <w:tc>
          <w:tcPr>
            <w:tcW w:w="3681" w:type="dxa"/>
            <w:gridSpan w:val="2"/>
            <w:shd w:val="clear" w:color="auto" w:fill="auto"/>
            <w:vAlign w:val="center"/>
          </w:tcPr>
          <w:p w14:paraId="74377F41"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1019D80D"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4A8232E1"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5C2FEA49" w14:textId="77777777" w:rsidTr="00F40898">
        <w:trPr>
          <w:trHeight w:val="50"/>
          <w:jc w:val="center"/>
        </w:trPr>
        <w:tc>
          <w:tcPr>
            <w:tcW w:w="3681" w:type="dxa"/>
            <w:gridSpan w:val="2"/>
            <w:shd w:val="clear" w:color="auto" w:fill="auto"/>
            <w:vAlign w:val="center"/>
          </w:tcPr>
          <w:p w14:paraId="514113BD" w14:textId="25DA9C5D"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r w:rsidRPr="000411D5">
              <w:rPr>
                <w:rFonts w:ascii="ITC Avant Garde" w:eastAsia="Times New Roman" w:hAnsi="ITC Avant Garde" w:cs="Arial"/>
                <w:b/>
                <w:bCs/>
                <w:lang w:eastAsia="es-MX"/>
              </w:rPr>
              <w:t>Mario Germán Fromow Rangel</w:t>
            </w:r>
          </w:p>
        </w:tc>
        <w:tc>
          <w:tcPr>
            <w:tcW w:w="992" w:type="dxa"/>
            <w:shd w:val="clear" w:color="auto" w:fill="auto"/>
            <w:vAlign w:val="center"/>
          </w:tcPr>
          <w:p w14:paraId="489F22A2"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1C008D0D" w14:textId="2CE11D92"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r w:rsidRPr="000411D5">
              <w:rPr>
                <w:rFonts w:ascii="ITC Avant Garde" w:eastAsia="Times New Roman" w:hAnsi="ITC Avant Garde" w:cs="Arial"/>
                <w:b/>
                <w:bCs/>
                <w:lang w:eastAsia="es-MX"/>
              </w:rPr>
              <w:t>Adolfo Cuevas Teja</w:t>
            </w:r>
          </w:p>
        </w:tc>
      </w:tr>
      <w:tr w:rsidR="000411D5" w:rsidRPr="000411D5" w14:paraId="43138EF2" w14:textId="77777777" w:rsidTr="00F40898">
        <w:trPr>
          <w:trHeight w:val="236"/>
          <w:jc w:val="center"/>
        </w:trPr>
        <w:tc>
          <w:tcPr>
            <w:tcW w:w="3681" w:type="dxa"/>
            <w:gridSpan w:val="2"/>
            <w:shd w:val="clear" w:color="auto" w:fill="auto"/>
            <w:vAlign w:val="center"/>
          </w:tcPr>
          <w:p w14:paraId="353BE60F"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r w:rsidRPr="000411D5">
              <w:rPr>
                <w:rFonts w:ascii="ITC Avant Garde" w:eastAsia="Times New Roman" w:hAnsi="ITC Avant Garde" w:cs="Arial"/>
                <w:b/>
                <w:bCs/>
                <w:lang w:eastAsia="es-MX"/>
              </w:rPr>
              <w:t>Comisionado</w:t>
            </w:r>
          </w:p>
        </w:tc>
        <w:tc>
          <w:tcPr>
            <w:tcW w:w="992" w:type="dxa"/>
            <w:shd w:val="clear" w:color="auto" w:fill="auto"/>
            <w:vAlign w:val="center"/>
          </w:tcPr>
          <w:p w14:paraId="55F5AABC"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4CA3CD9B"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r w:rsidRPr="000411D5">
              <w:rPr>
                <w:rFonts w:ascii="ITC Avant Garde" w:eastAsia="Times New Roman" w:hAnsi="ITC Avant Garde" w:cs="Arial"/>
                <w:b/>
                <w:bCs/>
                <w:lang w:eastAsia="es-MX"/>
              </w:rPr>
              <w:t>Comisionado</w:t>
            </w:r>
          </w:p>
        </w:tc>
      </w:tr>
      <w:tr w:rsidR="000411D5" w:rsidRPr="000411D5" w14:paraId="27E90594" w14:textId="77777777" w:rsidTr="00F40898">
        <w:trPr>
          <w:trHeight w:val="246"/>
          <w:jc w:val="center"/>
        </w:trPr>
        <w:tc>
          <w:tcPr>
            <w:tcW w:w="3681" w:type="dxa"/>
            <w:gridSpan w:val="2"/>
            <w:shd w:val="clear" w:color="auto" w:fill="auto"/>
            <w:vAlign w:val="center"/>
          </w:tcPr>
          <w:p w14:paraId="605FB95F"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53575B16"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594E3235"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115A2479" w14:textId="77777777" w:rsidTr="00F40898">
        <w:trPr>
          <w:trHeight w:val="246"/>
          <w:jc w:val="center"/>
        </w:trPr>
        <w:tc>
          <w:tcPr>
            <w:tcW w:w="3681" w:type="dxa"/>
            <w:gridSpan w:val="2"/>
            <w:shd w:val="clear" w:color="auto" w:fill="auto"/>
            <w:vAlign w:val="center"/>
          </w:tcPr>
          <w:p w14:paraId="3187CEF1"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421AB4AA"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1591B1AE"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2386A40B" w14:textId="77777777" w:rsidTr="00F40898">
        <w:trPr>
          <w:trHeight w:val="226"/>
          <w:jc w:val="center"/>
        </w:trPr>
        <w:tc>
          <w:tcPr>
            <w:tcW w:w="3681" w:type="dxa"/>
            <w:gridSpan w:val="2"/>
            <w:shd w:val="clear" w:color="auto" w:fill="auto"/>
            <w:vAlign w:val="center"/>
          </w:tcPr>
          <w:p w14:paraId="4A35FBA4"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14039993"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69274B75"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51C998B2" w14:textId="77777777" w:rsidTr="00F40898">
        <w:trPr>
          <w:trHeight w:val="102"/>
          <w:jc w:val="center"/>
        </w:trPr>
        <w:tc>
          <w:tcPr>
            <w:tcW w:w="3681" w:type="dxa"/>
            <w:gridSpan w:val="2"/>
            <w:shd w:val="clear" w:color="auto" w:fill="auto"/>
            <w:vAlign w:val="center"/>
          </w:tcPr>
          <w:p w14:paraId="7F4FF9FB"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3A361708"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481E69B1"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52E71065" w14:textId="77777777" w:rsidTr="00F40898">
        <w:trPr>
          <w:trHeight w:val="47"/>
          <w:jc w:val="center"/>
        </w:trPr>
        <w:tc>
          <w:tcPr>
            <w:tcW w:w="3681" w:type="dxa"/>
            <w:gridSpan w:val="2"/>
            <w:shd w:val="clear" w:color="auto" w:fill="auto"/>
            <w:vAlign w:val="center"/>
          </w:tcPr>
          <w:p w14:paraId="3DF3C5FF"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992" w:type="dxa"/>
            <w:shd w:val="clear" w:color="auto" w:fill="auto"/>
            <w:vAlign w:val="center"/>
          </w:tcPr>
          <w:p w14:paraId="4BFF9F9A"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c>
          <w:tcPr>
            <w:tcW w:w="3824" w:type="dxa"/>
            <w:gridSpan w:val="2"/>
            <w:shd w:val="clear" w:color="auto" w:fill="auto"/>
            <w:vAlign w:val="center"/>
          </w:tcPr>
          <w:p w14:paraId="289ABA3A"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p>
        </w:tc>
      </w:tr>
      <w:tr w:rsidR="000411D5" w:rsidRPr="000411D5" w14:paraId="3C8A3113" w14:textId="77777777" w:rsidTr="00F40898">
        <w:trPr>
          <w:trHeight w:val="236"/>
          <w:jc w:val="center"/>
        </w:trPr>
        <w:tc>
          <w:tcPr>
            <w:tcW w:w="8497" w:type="dxa"/>
            <w:gridSpan w:val="5"/>
            <w:shd w:val="clear" w:color="auto" w:fill="auto"/>
            <w:vAlign w:val="center"/>
            <w:hideMark/>
          </w:tcPr>
          <w:p w14:paraId="056CDDEB" w14:textId="75DD60A6"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r w:rsidRPr="000411D5">
              <w:rPr>
                <w:rFonts w:ascii="ITC Avant Garde" w:eastAsia="Times New Roman" w:hAnsi="ITC Avant Garde" w:cs="Arial"/>
                <w:b/>
                <w:bCs/>
                <w:lang w:eastAsia="es-MX"/>
              </w:rPr>
              <w:t>Javier Juárez Mojica</w:t>
            </w:r>
          </w:p>
        </w:tc>
      </w:tr>
      <w:tr w:rsidR="000411D5" w:rsidRPr="000411D5" w14:paraId="6258294C" w14:textId="77777777" w:rsidTr="00F40898">
        <w:trPr>
          <w:trHeight w:val="128"/>
          <w:jc w:val="center"/>
        </w:trPr>
        <w:tc>
          <w:tcPr>
            <w:tcW w:w="8497" w:type="dxa"/>
            <w:gridSpan w:val="5"/>
            <w:shd w:val="clear" w:color="auto" w:fill="auto"/>
            <w:vAlign w:val="center"/>
            <w:hideMark/>
          </w:tcPr>
          <w:p w14:paraId="1C89824B" w14:textId="77777777" w:rsidR="00567F7B" w:rsidRPr="000411D5" w:rsidRDefault="00567F7B" w:rsidP="00D868C2">
            <w:pPr>
              <w:spacing w:after="0" w:line="240" w:lineRule="auto"/>
              <w:ind w:right="49"/>
              <w:contextualSpacing/>
              <w:jc w:val="center"/>
              <w:rPr>
                <w:rFonts w:ascii="ITC Avant Garde" w:eastAsia="Times New Roman" w:hAnsi="ITC Avant Garde" w:cs="Arial"/>
                <w:b/>
                <w:bCs/>
                <w:lang w:eastAsia="es-MX"/>
              </w:rPr>
            </w:pPr>
            <w:r w:rsidRPr="000411D5">
              <w:rPr>
                <w:rFonts w:ascii="ITC Avant Garde" w:eastAsia="Times New Roman" w:hAnsi="ITC Avant Garde" w:cs="Arial"/>
                <w:b/>
                <w:bCs/>
                <w:lang w:eastAsia="es-MX"/>
              </w:rPr>
              <w:t>Comisionado</w:t>
            </w:r>
          </w:p>
        </w:tc>
      </w:tr>
    </w:tbl>
    <w:p w14:paraId="34930B1A" w14:textId="77777777" w:rsidR="00567F7B" w:rsidRPr="000411D5" w:rsidRDefault="00567F7B" w:rsidP="00D868C2">
      <w:pPr>
        <w:autoSpaceDE w:val="0"/>
        <w:autoSpaceDN w:val="0"/>
        <w:adjustRightInd w:val="0"/>
        <w:spacing w:after="0" w:line="240" w:lineRule="auto"/>
        <w:jc w:val="both"/>
        <w:rPr>
          <w:rFonts w:ascii="ITC Avant Garde" w:hAnsi="ITC Avant Garde" w:cs="Arial"/>
        </w:rPr>
      </w:pPr>
    </w:p>
    <w:p w14:paraId="2387BFBC" w14:textId="77777777" w:rsidR="002D56E0" w:rsidRPr="000411D5" w:rsidRDefault="002D56E0" w:rsidP="00D868C2">
      <w:pPr>
        <w:spacing w:after="0"/>
        <w:rPr>
          <w:rFonts w:ascii="ITC Avant Garde" w:hAnsi="ITC Avant Garde" w:cs="Arial"/>
          <w:b/>
          <w:bCs/>
        </w:rPr>
      </w:pPr>
      <w:r w:rsidRPr="000411D5">
        <w:rPr>
          <w:rFonts w:ascii="ITC Avant Garde" w:hAnsi="ITC Avant Garde" w:cs="Arial"/>
          <w:b/>
          <w:bCs/>
        </w:rPr>
        <w:br w:type="page"/>
      </w:r>
    </w:p>
    <w:p w14:paraId="2C8C8B60" w14:textId="332BFD75" w:rsidR="00EF5438" w:rsidRPr="000411D5" w:rsidRDefault="002963D0" w:rsidP="00D868C2">
      <w:pPr>
        <w:autoSpaceDE w:val="0"/>
        <w:autoSpaceDN w:val="0"/>
        <w:adjustRightInd w:val="0"/>
        <w:spacing w:after="0" w:line="240" w:lineRule="auto"/>
        <w:jc w:val="center"/>
        <w:rPr>
          <w:rFonts w:ascii="ITC Avant Garde" w:hAnsi="ITC Avant Garde" w:cs="Arial"/>
          <w:b/>
          <w:bCs/>
        </w:rPr>
      </w:pPr>
      <w:r w:rsidRPr="000411D5">
        <w:rPr>
          <w:rFonts w:ascii="ITC Avant Garde" w:hAnsi="ITC Avant Garde" w:cs="Arial"/>
          <w:b/>
          <w:bCs/>
        </w:rPr>
        <w:lastRenderedPageBreak/>
        <w:t>ANEXO 1</w:t>
      </w:r>
    </w:p>
    <w:p w14:paraId="42917CBD" w14:textId="270FAD7B" w:rsidR="00A95C1D" w:rsidRPr="00B646BF" w:rsidRDefault="00A95C1D" w:rsidP="00D868C2">
      <w:pPr>
        <w:autoSpaceDE w:val="0"/>
        <w:autoSpaceDN w:val="0"/>
        <w:adjustRightInd w:val="0"/>
        <w:spacing w:after="0" w:line="240" w:lineRule="auto"/>
        <w:jc w:val="center"/>
        <w:rPr>
          <w:rFonts w:ascii="ITC Avant Garde" w:hAnsi="ITC Avant Garde" w:cs="Arial"/>
          <w:b/>
          <w:bCs/>
        </w:rPr>
      </w:pPr>
    </w:p>
    <w:p w14:paraId="1B7A4480" w14:textId="67B62F05" w:rsidR="000411D5" w:rsidRPr="000411D5" w:rsidRDefault="00AF7A5F" w:rsidP="00AF7A5F">
      <w:pPr>
        <w:pStyle w:val="Prrafodelista"/>
        <w:numPr>
          <w:ilvl w:val="0"/>
          <w:numId w:val="40"/>
        </w:numPr>
        <w:autoSpaceDE w:val="0"/>
        <w:autoSpaceDN w:val="0"/>
        <w:adjustRightInd w:val="0"/>
        <w:spacing w:after="0" w:line="240" w:lineRule="auto"/>
        <w:ind w:left="284" w:hanging="284"/>
        <w:rPr>
          <w:rFonts w:ascii="ITC Avant Garde" w:hAnsi="ITC Avant Garde" w:cs="Arial"/>
          <w:b/>
          <w:bCs/>
        </w:rPr>
      </w:pPr>
      <w:r w:rsidRPr="00AF7A5F">
        <w:rPr>
          <w:rFonts w:ascii="ITC Avant Garde" w:hAnsi="ITC Avant Garde" w:cs="Arial"/>
          <w:b/>
          <w:bCs/>
        </w:rPr>
        <w:t>DEFINICIONES</w:t>
      </w:r>
    </w:p>
    <w:p w14:paraId="43E73C34" w14:textId="77777777" w:rsidR="00AF7A5F" w:rsidRPr="000411D5" w:rsidRDefault="00AF7A5F" w:rsidP="00D868C2">
      <w:pPr>
        <w:autoSpaceDE w:val="0"/>
        <w:autoSpaceDN w:val="0"/>
        <w:adjustRightInd w:val="0"/>
        <w:spacing w:after="0" w:line="240" w:lineRule="auto"/>
        <w:jc w:val="center"/>
        <w:rPr>
          <w:rFonts w:ascii="ITC Avant Garde" w:hAnsi="ITC Avant Garde" w:cs="Arial"/>
          <w:b/>
          <w:bCs/>
        </w:rPr>
      </w:pPr>
    </w:p>
    <w:p w14:paraId="2B9A4E6D" w14:textId="69AC2AD2" w:rsidR="000411D5" w:rsidRPr="000411D5" w:rsidRDefault="005A48C2" w:rsidP="00D868C2">
      <w:pPr>
        <w:pStyle w:val="Prrafodelista"/>
        <w:numPr>
          <w:ilvl w:val="1"/>
          <w:numId w:val="29"/>
        </w:numPr>
        <w:pBdr>
          <w:top w:val="nil"/>
          <w:left w:val="nil"/>
          <w:bottom w:val="nil"/>
          <w:right w:val="nil"/>
          <w:between w:val="nil"/>
          <w:bar w:val="nil"/>
        </w:pBdr>
        <w:shd w:val="clear" w:color="auto" w:fill="FFFFFF"/>
        <w:suppressAutoHyphens/>
        <w:spacing w:after="0" w:line="240" w:lineRule="auto"/>
        <w:ind w:right="-62"/>
        <w:contextualSpacing w:val="0"/>
        <w:jc w:val="both"/>
        <w:outlineLvl w:val="1"/>
        <w:rPr>
          <w:rFonts w:ascii="ITC Avant Garde" w:hAnsi="ITC Avant Garde" w:cs="Arial"/>
          <w:b/>
          <w:lang w:eastAsia="es-MX"/>
        </w:rPr>
      </w:pPr>
      <w:r w:rsidRPr="005A48C2">
        <w:rPr>
          <w:rFonts w:ascii="ITC Avant Garde" w:hAnsi="ITC Avant Garde" w:cs="Arial"/>
          <w:lang w:eastAsia="es-MX"/>
        </w:rPr>
        <w:t xml:space="preserve">Sin perjuicio de las definiciones previstas en el artículo 3 de la Ley </w:t>
      </w:r>
      <w:r>
        <w:rPr>
          <w:rFonts w:ascii="ITC Avant Garde" w:hAnsi="ITC Avant Garde" w:cs="Arial"/>
          <w:lang w:eastAsia="es-MX"/>
        </w:rPr>
        <w:t>Federal de Telecomunicaciones y Radiodifusión</w:t>
      </w:r>
      <w:r w:rsidR="006861C6">
        <w:rPr>
          <w:rFonts w:ascii="ITC Avant Garde" w:hAnsi="ITC Avant Garde" w:cs="Arial"/>
          <w:lang w:eastAsia="es-MX"/>
        </w:rPr>
        <w:t xml:space="preserve"> y en la normatividad aplicable en la materia</w:t>
      </w:r>
      <w:r>
        <w:rPr>
          <w:rFonts w:ascii="ITC Avant Garde" w:hAnsi="ITC Avant Garde" w:cs="Arial"/>
          <w:lang w:eastAsia="es-MX"/>
        </w:rPr>
        <w:t>, p</w:t>
      </w:r>
      <w:r w:rsidR="000411D5" w:rsidRPr="000411D5">
        <w:rPr>
          <w:rFonts w:ascii="ITC Avant Garde" w:hAnsi="ITC Avant Garde" w:cs="Arial"/>
          <w:lang w:eastAsia="es-MX"/>
        </w:rPr>
        <w:t>ara los efectos de</w:t>
      </w:r>
      <w:r w:rsidR="00FD6451">
        <w:rPr>
          <w:rFonts w:ascii="ITC Avant Garde" w:hAnsi="ITC Avant Garde" w:cs="Arial"/>
          <w:lang w:eastAsia="es-MX"/>
        </w:rPr>
        <w:t xml:space="preserve"> </w:t>
      </w:r>
      <w:r>
        <w:rPr>
          <w:rFonts w:ascii="ITC Avant Garde" w:hAnsi="ITC Avant Garde" w:cs="Arial"/>
          <w:lang w:eastAsia="es-MX"/>
        </w:rPr>
        <w:t>l</w:t>
      </w:r>
      <w:r w:rsidR="00FD6451">
        <w:rPr>
          <w:rFonts w:ascii="ITC Avant Garde" w:hAnsi="ITC Avant Garde" w:cs="Arial"/>
          <w:lang w:eastAsia="es-MX"/>
        </w:rPr>
        <w:t>as</w:t>
      </w:r>
      <w:r w:rsidR="000411D5" w:rsidRPr="000411D5">
        <w:rPr>
          <w:rFonts w:ascii="ITC Avant Garde" w:hAnsi="ITC Avant Garde" w:cs="Arial"/>
          <w:lang w:eastAsia="es-MX"/>
        </w:rPr>
        <w:t xml:space="preserve"> presente</w:t>
      </w:r>
      <w:r w:rsidR="00FD6451">
        <w:rPr>
          <w:rFonts w:ascii="ITC Avant Garde" w:hAnsi="ITC Avant Garde" w:cs="Arial"/>
          <w:lang w:eastAsia="es-MX"/>
        </w:rPr>
        <w:t>s condiciones técnicas de operación</w:t>
      </w:r>
      <w:r w:rsidR="000411D5" w:rsidRPr="000411D5">
        <w:rPr>
          <w:rFonts w:ascii="ITC Avant Garde" w:hAnsi="ITC Avant Garde" w:cs="Arial"/>
          <w:lang w:eastAsia="es-MX"/>
        </w:rPr>
        <w:t>, se entenderá por:</w:t>
      </w:r>
    </w:p>
    <w:p w14:paraId="6AAD7A20" w14:textId="77777777" w:rsidR="000411D5" w:rsidRPr="000411D5" w:rsidRDefault="000411D5" w:rsidP="00D868C2">
      <w:pPr>
        <w:pStyle w:val="Prrafodelista"/>
        <w:pBdr>
          <w:top w:val="nil"/>
          <w:left w:val="nil"/>
          <w:bottom w:val="nil"/>
          <w:right w:val="nil"/>
          <w:between w:val="nil"/>
          <w:bar w:val="nil"/>
        </w:pBdr>
        <w:shd w:val="clear" w:color="auto" w:fill="FFFFFF"/>
        <w:suppressAutoHyphens/>
        <w:spacing w:after="0" w:line="240" w:lineRule="auto"/>
        <w:ind w:left="360" w:right="-62"/>
        <w:contextualSpacing w:val="0"/>
        <w:jc w:val="both"/>
        <w:outlineLvl w:val="1"/>
        <w:rPr>
          <w:rFonts w:ascii="ITC Avant Garde" w:hAnsi="ITC Avant Garde" w:cs="Arial"/>
          <w:b/>
          <w:lang w:eastAsia="es-MX"/>
        </w:rPr>
      </w:pPr>
    </w:p>
    <w:p w14:paraId="642E10DE" w14:textId="4C608F45" w:rsidR="000411D5" w:rsidRDefault="000411D5" w:rsidP="00D868C2">
      <w:pPr>
        <w:pStyle w:val="Prrafodelista"/>
        <w:numPr>
          <w:ilvl w:val="2"/>
          <w:numId w:val="29"/>
        </w:numPr>
        <w:pBdr>
          <w:top w:val="nil"/>
          <w:left w:val="nil"/>
          <w:bottom w:val="nil"/>
          <w:right w:val="nil"/>
          <w:between w:val="nil"/>
          <w:bar w:val="nil"/>
        </w:pBdr>
        <w:shd w:val="clear" w:color="auto" w:fill="FFFFFF"/>
        <w:suppressAutoHyphens/>
        <w:spacing w:after="0" w:line="240" w:lineRule="auto"/>
        <w:ind w:left="1134" w:right="-62" w:hanging="708"/>
        <w:contextualSpacing w:val="0"/>
        <w:jc w:val="both"/>
        <w:outlineLvl w:val="1"/>
        <w:rPr>
          <w:rFonts w:ascii="ITC Avant Garde" w:hAnsi="ITC Avant Garde" w:cs="Arial"/>
          <w:lang w:eastAsia="es-MX"/>
        </w:rPr>
      </w:pPr>
      <w:r w:rsidRPr="000411D5">
        <w:rPr>
          <w:rFonts w:ascii="ITC Avant Garde" w:hAnsi="ITC Avant Garde" w:cs="Arial"/>
          <w:b/>
          <w:lang w:eastAsia="es-MX"/>
        </w:rPr>
        <w:t>Ancho de banda de emisión</w:t>
      </w:r>
      <w:r w:rsidRPr="00A95C1D">
        <w:rPr>
          <w:rFonts w:ascii="ITC Avant Garde" w:hAnsi="ITC Avant Garde" w:cs="Arial"/>
          <w:lang w:eastAsia="es-MX"/>
        </w:rPr>
        <w:t xml:space="preserve">: </w:t>
      </w:r>
      <w:r w:rsidRPr="000411D5">
        <w:rPr>
          <w:rFonts w:ascii="ITC Avant Garde" w:hAnsi="ITC Avant Garde" w:cs="Arial"/>
          <w:lang w:eastAsia="es-MX"/>
        </w:rPr>
        <w:t>rango de frecuencias instantáneo ocupado por una señal radiada estacionaria con modulación, fuera del cual la densidad espectral de potencia radiada nunca excede 6 dB por debajo de la densidad espectral de potencia máxima radiada en la banda, medida con un analizador de espectro con ancho de banda de resolución de 100 kHz. La frecuencia central debe ser estacionaria durante el intervalo de medición, aun cuando no sea estacionaria durante las operaciones normales.</w:t>
      </w:r>
    </w:p>
    <w:p w14:paraId="141E7A92" w14:textId="35BDF351" w:rsidR="00B36E81" w:rsidRPr="000411D5" w:rsidRDefault="007C38C0" w:rsidP="00D868C2">
      <w:pPr>
        <w:pStyle w:val="Prrafodelista"/>
        <w:numPr>
          <w:ilvl w:val="2"/>
          <w:numId w:val="29"/>
        </w:numPr>
        <w:pBdr>
          <w:top w:val="nil"/>
          <w:left w:val="nil"/>
          <w:bottom w:val="nil"/>
          <w:right w:val="nil"/>
          <w:between w:val="nil"/>
          <w:bar w:val="nil"/>
        </w:pBdr>
        <w:shd w:val="clear" w:color="auto" w:fill="FFFFFF"/>
        <w:suppressAutoHyphens/>
        <w:spacing w:after="0" w:line="240" w:lineRule="auto"/>
        <w:ind w:left="1134" w:right="-62" w:hanging="708"/>
        <w:contextualSpacing w:val="0"/>
        <w:jc w:val="both"/>
        <w:outlineLvl w:val="1"/>
        <w:rPr>
          <w:rFonts w:ascii="ITC Avant Garde" w:hAnsi="ITC Avant Garde" w:cs="Arial"/>
          <w:lang w:eastAsia="es-MX"/>
        </w:rPr>
      </w:pPr>
      <w:r>
        <w:rPr>
          <w:rFonts w:ascii="ITC Avant Garde" w:hAnsi="ITC Avant Garde" w:cs="Arial"/>
          <w:b/>
          <w:lang w:eastAsia="es-MX"/>
        </w:rPr>
        <w:t>Ancho</w:t>
      </w:r>
      <w:r w:rsidR="00B36E81" w:rsidRPr="00B36E81">
        <w:rPr>
          <w:rFonts w:ascii="ITC Avant Garde" w:hAnsi="ITC Avant Garde" w:cs="Arial"/>
          <w:b/>
          <w:lang w:eastAsia="es-MX"/>
        </w:rPr>
        <w:t xml:space="preserve"> de banda</w:t>
      </w:r>
      <w:r w:rsidR="00B36E81">
        <w:rPr>
          <w:rFonts w:ascii="ITC Avant Garde" w:hAnsi="ITC Avant Garde" w:cs="Arial"/>
          <w:lang w:eastAsia="es-MX"/>
        </w:rPr>
        <w:t xml:space="preserve">: </w:t>
      </w:r>
      <w:r w:rsidR="002F7359">
        <w:rPr>
          <w:rFonts w:ascii="ITC Avant Garde" w:hAnsi="ITC Avant Garde" w:cs="Arial"/>
          <w:lang w:eastAsia="es-MX"/>
        </w:rPr>
        <w:t>v</w:t>
      </w:r>
      <w:r w:rsidR="00B36E81" w:rsidRPr="00B36E81">
        <w:rPr>
          <w:rFonts w:ascii="ITC Avant Garde" w:hAnsi="ITC Avant Garde" w:cs="Arial"/>
          <w:lang w:eastAsia="es-MX"/>
        </w:rPr>
        <w:t xml:space="preserve">alor de la diferencia entre dos frecuencias límite de una banda de frecuencias. La </w:t>
      </w:r>
      <w:r w:rsidR="0049403F">
        <w:rPr>
          <w:rFonts w:ascii="ITC Avant Garde" w:hAnsi="ITC Avant Garde" w:cs="Arial"/>
          <w:lang w:eastAsia="es-MX"/>
        </w:rPr>
        <w:t>cual</w:t>
      </w:r>
      <w:r w:rsidR="00B36E81" w:rsidRPr="00B36E81">
        <w:rPr>
          <w:rFonts w:ascii="ITC Avant Garde" w:hAnsi="ITC Avant Garde" w:cs="Arial"/>
          <w:lang w:eastAsia="es-MX"/>
        </w:rPr>
        <w:t xml:space="preserve"> se determina por un solo valor y no depende de la posición de la banda en el espectro de frecuencias.</w:t>
      </w:r>
    </w:p>
    <w:p w14:paraId="5649FAB3" w14:textId="7A6786D4" w:rsidR="000411D5" w:rsidRPr="000411D5" w:rsidRDefault="000411D5" w:rsidP="00D868C2">
      <w:pPr>
        <w:pStyle w:val="Prrafodelista"/>
        <w:numPr>
          <w:ilvl w:val="2"/>
          <w:numId w:val="29"/>
        </w:numPr>
        <w:pBdr>
          <w:top w:val="nil"/>
          <w:left w:val="nil"/>
          <w:bottom w:val="nil"/>
          <w:right w:val="nil"/>
          <w:between w:val="nil"/>
          <w:bar w:val="nil"/>
        </w:pBdr>
        <w:shd w:val="clear" w:color="auto" w:fill="FFFFFF"/>
        <w:suppressAutoHyphens/>
        <w:spacing w:after="0" w:line="240" w:lineRule="auto"/>
        <w:ind w:left="1134" w:right="-62" w:hanging="708"/>
        <w:contextualSpacing w:val="0"/>
        <w:jc w:val="both"/>
        <w:outlineLvl w:val="1"/>
        <w:rPr>
          <w:rFonts w:ascii="ITC Avant Garde" w:hAnsi="ITC Avant Garde" w:cs="Arial"/>
          <w:lang w:eastAsia="es-MX"/>
        </w:rPr>
      </w:pPr>
      <w:r w:rsidRPr="000411D5">
        <w:rPr>
          <w:rFonts w:ascii="ITC Avant Garde" w:hAnsi="ITC Avant Garde" w:cs="Arial"/>
          <w:b/>
          <w:lang w:eastAsia="es-MX"/>
        </w:rPr>
        <w:t>Banda de frecuencias</w:t>
      </w:r>
      <w:r w:rsidRPr="00A95C1D">
        <w:rPr>
          <w:rFonts w:ascii="ITC Avant Garde" w:hAnsi="ITC Avant Garde" w:cs="Arial"/>
          <w:lang w:eastAsia="es-MX"/>
        </w:rPr>
        <w:t xml:space="preserve">: </w:t>
      </w:r>
      <w:r w:rsidRPr="000411D5">
        <w:rPr>
          <w:rFonts w:ascii="ITC Avant Garde" w:hAnsi="ITC Avant Garde" w:cs="Arial"/>
          <w:lang w:eastAsia="es-MX"/>
        </w:rPr>
        <w:t>porción del espectro radioeléctrico comprendido entre dos frecuencias determinadas.</w:t>
      </w:r>
    </w:p>
    <w:p w14:paraId="6F238E00" w14:textId="6D025439" w:rsidR="000411D5" w:rsidRPr="000411D5" w:rsidRDefault="000411D5" w:rsidP="00D868C2">
      <w:pPr>
        <w:pStyle w:val="Prrafodelista"/>
        <w:numPr>
          <w:ilvl w:val="2"/>
          <w:numId w:val="29"/>
        </w:numPr>
        <w:pBdr>
          <w:top w:val="nil"/>
          <w:left w:val="nil"/>
          <w:bottom w:val="nil"/>
          <w:right w:val="nil"/>
          <w:between w:val="nil"/>
          <w:bar w:val="nil"/>
        </w:pBdr>
        <w:shd w:val="clear" w:color="auto" w:fill="FFFFFF"/>
        <w:suppressAutoHyphens/>
        <w:spacing w:after="0" w:line="240" w:lineRule="auto"/>
        <w:ind w:left="1134" w:right="-62" w:hanging="708"/>
        <w:contextualSpacing w:val="0"/>
        <w:jc w:val="both"/>
        <w:outlineLvl w:val="1"/>
        <w:rPr>
          <w:rFonts w:ascii="ITC Avant Garde" w:hAnsi="ITC Avant Garde" w:cs="Arial"/>
          <w:lang w:eastAsia="es-MX"/>
        </w:rPr>
      </w:pPr>
      <w:r w:rsidRPr="000411D5">
        <w:rPr>
          <w:rFonts w:ascii="ITC Avant Garde" w:hAnsi="ITC Avant Garde" w:cs="Arial"/>
          <w:b/>
          <w:lang w:eastAsia="es-MX"/>
        </w:rPr>
        <w:t>Dispositivos de Corto Alcance</w:t>
      </w:r>
      <w:r w:rsidRPr="00A95C1D">
        <w:rPr>
          <w:rFonts w:ascii="ITC Avant Garde" w:hAnsi="ITC Avant Garde" w:cs="Arial"/>
          <w:lang w:eastAsia="es-MX"/>
        </w:rPr>
        <w:t xml:space="preserve">: </w:t>
      </w:r>
      <w:r w:rsidRPr="000411D5">
        <w:rPr>
          <w:rFonts w:ascii="ITC Avant Garde" w:hAnsi="ITC Avant Garde" w:cs="Arial"/>
          <w:lang w:eastAsia="es-MX"/>
        </w:rPr>
        <w:t>dispositivos de radio</w:t>
      </w:r>
      <w:r w:rsidR="001E4F3B">
        <w:rPr>
          <w:rFonts w:ascii="ITC Avant Garde" w:hAnsi="ITC Avant Garde" w:cs="Arial"/>
          <w:lang w:eastAsia="es-MX"/>
        </w:rPr>
        <w:t>comunicaciones</w:t>
      </w:r>
      <w:r w:rsidRPr="000411D5">
        <w:rPr>
          <w:rFonts w:ascii="ITC Avant Garde" w:hAnsi="ITC Avant Garde" w:cs="Arial"/>
          <w:lang w:eastAsia="es-MX"/>
        </w:rPr>
        <w:t xml:space="preserve"> que tienen poco riesgo de interferencia respecto a otros dispositivos</w:t>
      </w:r>
      <w:r w:rsidR="001E4F3B">
        <w:rPr>
          <w:rFonts w:ascii="ITC Avant Garde" w:hAnsi="ITC Avant Garde" w:cs="Arial"/>
          <w:lang w:eastAsia="es-MX"/>
        </w:rPr>
        <w:t xml:space="preserve"> de radiocomunicaciones</w:t>
      </w:r>
      <w:r w:rsidRPr="000411D5">
        <w:rPr>
          <w:rFonts w:ascii="ITC Avant Garde" w:hAnsi="ITC Avant Garde" w:cs="Arial"/>
          <w:lang w:eastAsia="es-MX"/>
        </w:rPr>
        <w:t>, generalmente porque su potencia de transmisión es muy baja y operan a distancias muy cortas.</w:t>
      </w:r>
    </w:p>
    <w:p w14:paraId="6E6B94CE" w14:textId="5DF1B48F" w:rsidR="00256BAD" w:rsidRPr="006861C6" w:rsidRDefault="00256BAD" w:rsidP="00256BAD">
      <w:pPr>
        <w:pStyle w:val="Prrafodelista"/>
        <w:numPr>
          <w:ilvl w:val="2"/>
          <w:numId w:val="29"/>
        </w:numPr>
        <w:pBdr>
          <w:top w:val="nil"/>
          <w:left w:val="nil"/>
          <w:bottom w:val="nil"/>
          <w:right w:val="nil"/>
          <w:between w:val="nil"/>
          <w:bar w:val="nil"/>
        </w:pBdr>
        <w:shd w:val="clear" w:color="auto" w:fill="FFFFFF"/>
        <w:suppressAutoHyphens/>
        <w:spacing w:after="0" w:line="240" w:lineRule="auto"/>
        <w:ind w:left="1134" w:right="-62" w:hanging="708"/>
        <w:contextualSpacing w:val="0"/>
        <w:jc w:val="both"/>
        <w:outlineLvl w:val="1"/>
        <w:rPr>
          <w:rFonts w:ascii="ITC Avant Garde" w:hAnsi="ITC Avant Garde" w:cs="Arial"/>
          <w:lang w:eastAsia="es-MX"/>
        </w:rPr>
      </w:pPr>
      <w:r w:rsidRPr="006861C6">
        <w:rPr>
          <w:rFonts w:ascii="ITC Avant Garde" w:hAnsi="ITC Avant Garde" w:cs="Arial"/>
          <w:b/>
          <w:lang w:eastAsia="es-MX"/>
        </w:rPr>
        <w:t>Emisión fuera de banda:</w:t>
      </w:r>
      <w:r w:rsidRPr="006861C6">
        <w:rPr>
          <w:rFonts w:ascii="ITC Avant Garde" w:hAnsi="ITC Avant Garde" w:cs="Arial"/>
          <w:lang w:eastAsia="es-MX"/>
        </w:rPr>
        <w:t xml:space="preserve"> </w:t>
      </w:r>
      <w:r w:rsidR="002F7359">
        <w:rPr>
          <w:rFonts w:ascii="ITC Avant Garde" w:hAnsi="ITC Avant Garde" w:cs="Arial"/>
          <w:lang w:eastAsia="es-MX"/>
        </w:rPr>
        <w:t>e</w:t>
      </w:r>
      <w:r w:rsidRPr="006861C6">
        <w:rPr>
          <w:rFonts w:ascii="ITC Avant Garde" w:hAnsi="ITC Avant Garde" w:cs="Arial"/>
          <w:lang w:eastAsia="es-MX"/>
        </w:rPr>
        <w:t>misión en una o varias frecuencias situadas inmediatamente fuera de</w:t>
      </w:r>
      <w:r w:rsidRPr="006861C6" w:rsidDel="007C38C0">
        <w:rPr>
          <w:rFonts w:ascii="ITC Avant Garde" w:hAnsi="ITC Avant Garde" w:cs="Arial"/>
          <w:lang w:eastAsia="es-MX"/>
        </w:rPr>
        <w:t xml:space="preserve">l </w:t>
      </w:r>
      <w:r w:rsidRPr="0049403F">
        <w:rPr>
          <w:rFonts w:ascii="ITC Avant Garde" w:hAnsi="ITC Avant Garde"/>
        </w:rPr>
        <w:t>anch</w:t>
      </w:r>
      <w:r w:rsidR="00522897">
        <w:rPr>
          <w:rFonts w:ascii="ITC Avant Garde" w:hAnsi="ITC Avant Garde"/>
        </w:rPr>
        <w:t>o</w:t>
      </w:r>
      <w:r w:rsidRPr="0049403F">
        <w:rPr>
          <w:rFonts w:ascii="ITC Avant Garde" w:hAnsi="ITC Avant Garde"/>
        </w:rPr>
        <w:t xml:space="preserve"> de banda necesari</w:t>
      </w:r>
      <w:r w:rsidR="007C38C0">
        <w:rPr>
          <w:rFonts w:ascii="ITC Avant Garde" w:hAnsi="ITC Avant Garde"/>
        </w:rPr>
        <w:t>o</w:t>
      </w:r>
      <w:r w:rsidRPr="006861C6">
        <w:rPr>
          <w:rFonts w:ascii="ITC Avant Garde" w:hAnsi="ITC Avant Garde" w:cs="Arial"/>
          <w:lang w:eastAsia="es-MX"/>
        </w:rPr>
        <w:t>, resultante del proceso de modulación, excluyendo las emisiones no esenciales</w:t>
      </w:r>
      <w:r>
        <w:rPr>
          <w:rFonts w:ascii="ITC Avant Garde" w:hAnsi="ITC Avant Garde" w:cs="Arial"/>
          <w:lang w:eastAsia="es-MX"/>
        </w:rPr>
        <w:t>.</w:t>
      </w:r>
    </w:p>
    <w:p w14:paraId="0F859462" w14:textId="3714A5C6" w:rsidR="006861C6" w:rsidRPr="006861C6" w:rsidRDefault="006861C6" w:rsidP="006861C6">
      <w:pPr>
        <w:pStyle w:val="Prrafodelista"/>
        <w:numPr>
          <w:ilvl w:val="2"/>
          <w:numId w:val="29"/>
        </w:numPr>
        <w:pBdr>
          <w:top w:val="nil"/>
          <w:left w:val="nil"/>
          <w:bottom w:val="nil"/>
          <w:right w:val="nil"/>
          <w:between w:val="nil"/>
          <w:bar w:val="nil"/>
        </w:pBdr>
        <w:shd w:val="clear" w:color="auto" w:fill="FFFFFF"/>
        <w:suppressAutoHyphens/>
        <w:spacing w:after="0" w:line="240" w:lineRule="auto"/>
        <w:ind w:left="1134" w:right="-62" w:hanging="708"/>
        <w:contextualSpacing w:val="0"/>
        <w:jc w:val="both"/>
        <w:outlineLvl w:val="1"/>
        <w:rPr>
          <w:rFonts w:ascii="ITC Avant Garde" w:hAnsi="ITC Avant Garde" w:cs="Arial"/>
          <w:lang w:eastAsia="es-MX"/>
        </w:rPr>
      </w:pPr>
      <w:r w:rsidRPr="006861C6">
        <w:rPr>
          <w:rFonts w:ascii="ITC Avant Garde" w:hAnsi="ITC Avant Garde" w:cs="Arial"/>
          <w:b/>
          <w:lang w:eastAsia="es-MX"/>
        </w:rPr>
        <w:t>Emisión no esencial:</w:t>
      </w:r>
      <w:r w:rsidRPr="006861C6">
        <w:rPr>
          <w:rFonts w:ascii="ITC Avant Garde" w:hAnsi="ITC Avant Garde" w:cs="Arial"/>
          <w:lang w:eastAsia="es-MX"/>
        </w:rPr>
        <w:t xml:space="preserve"> </w:t>
      </w:r>
      <w:r w:rsidR="002F7359">
        <w:rPr>
          <w:rFonts w:ascii="ITC Avant Garde" w:hAnsi="ITC Avant Garde" w:cs="Arial"/>
          <w:lang w:eastAsia="es-MX"/>
        </w:rPr>
        <w:t>e</w:t>
      </w:r>
      <w:r w:rsidRPr="006861C6">
        <w:rPr>
          <w:rFonts w:ascii="ITC Avant Garde" w:hAnsi="ITC Avant Garde" w:cs="Arial"/>
          <w:lang w:eastAsia="es-MX"/>
        </w:rPr>
        <w:t>misión en una o varias frecuencias situadas fuera de</w:t>
      </w:r>
      <w:r w:rsidRPr="006861C6" w:rsidDel="007C38C0">
        <w:rPr>
          <w:rFonts w:ascii="ITC Avant Garde" w:hAnsi="ITC Avant Garde" w:cs="Arial"/>
          <w:lang w:eastAsia="es-MX"/>
        </w:rPr>
        <w:t xml:space="preserve">l </w:t>
      </w:r>
      <w:r w:rsidRPr="006861C6">
        <w:rPr>
          <w:rFonts w:ascii="ITC Avant Garde" w:hAnsi="ITC Avant Garde" w:cs="Arial"/>
          <w:lang w:eastAsia="es-MX"/>
        </w:rPr>
        <w:t>anch</w:t>
      </w:r>
      <w:r w:rsidR="00522897">
        <w:rPr>
          <w:rFonts w:ascii="ITC Avant Garde" w:hAnsi="ITC Avant Garde" w:cs="Arial"/>
          <w:lang w:eastAsia="es-MX"/>
        </w:rPr>
        <w:t>o</w:t>
      </w:r>
      <w:r w:rsidR="007C38C0">
        <w:rPr>
          <w:rFonts w:ascii="ITC Avant Garde" w:hAnsi="ITC Avant Garde" w:cs="Arial"/>
          <w:lang w:eastAsia="es-MX"/>
        </w:rPr>
        <w:t xml:space="preserve"> de banda</w:t>
      </w:r>
      <w:r w:rsidRPr="006861C6">
        <w:rPr>
          <w:rFonts w:ascii="ITC Avant Garde" w:hAnsi="ITC Avant Garde" w:cs="Arial"/>
          <w:lang w:eastAsia="es-MX"/>
        </w:rPr>
        <w:t xml:space="preserve"> necesari</w:t>
      </w:r>
      <w:r w:rsidR="007C38C0">
        <w:rPr>
          <w:rFonts w:ascii="ITC Avant Garde" w:hAnsi="ITC Avant Garde" w:cs="Arial"/>
          <w:lang w:eastAsia="es-MX"/>
        </w:rPr>
        <w:t>o</w:t>
      </w:r>
      <w:r w:rsidRPr="006861C6">
        <w:rPr>
          <w:rFonts w:ascii="ITC Avant Garde" w:hAnsi="ITC Avant Garde" w:cs="Arial"/>
          <w:lang w:eastAsia="es-MX"/>
        </w:rPr>
        <w:t>, cuyo nivel puede reducirse sin influir en la transmisión de la información correspondiente. Las emisiones armónicas, las emisiones parásitas, los productos de intermodulación y los productos de la conversión de frecuencia están comprendidos en las emisiones no esenciales, pero están excluidas las emisiones fuera de banda</w:t>
      </w:r>
      <w:r w:rsidR="00DD5C85">
        <w:rPr>
          <w:rFonts w:ascii="ITC Avant Garde" w:hAnsi="ITC Avant Garde" w:cs="Arial"/>
          <w:lang w:eastAsia="es-MX"/>
        </w:rPr>
        <w:t>.</w:t>
      </w:r>
    </w:p>
    <w:p w14:paraId="420B8232" w14:textId="5E23B114" w:rsidR="000411D5" w:rsidRPr="000411D5" w:rsidRDefault="000411D5" w:rsidP="00D868C2">
      <w:pPr>
        <w:pStyle w:val="Prrafodelista"/>
        <w:numPr>
          <w:ilvl w:val="2"/>
          <w:numId w:val="29"/>
        </w:numPr>
        <w:pBdr>
          <w:top w:val="nil"/>
          <w:left w:val="nil"/>
          <w:bottom w:val="nil"/>
          <w:right w:val="nil"/>
          <w:between w:val="nil"/>
          <w:bar w:val="nil"/>
        </w:pBdr>
        <w:shd w:val="clear" w:color="auto" w:fill="FFFFFF"/>
        <w:suppressAutoHyphens/>
        <w:spacing w:after="0" w:line="240" w:lineRule="auto"/>
        <w:ind w:left="1134" w:right="-62" w:hanging="708"/>
        <w:contextualSpacing w:val="0"/>
        <w:jc w:val="both"/>
        <w:outlineLvl w:val="1"/>
        <w:rPr>
          <w:rFonts w:ascii="ITC Avant Garde" w:hAnsi="ITC Avant Garde" w:cs="Arial"/>
          <w:lang w:eastAsia="es-MX"/>
        </w:rPr>
      </w:pPr>
      <w:r w:rsidRPr="000411D5">
        <w:rPr>
          <w:rFonts w:ascii="ITC Avant Garde" w:hAnsi="ITC Avant Garde" w:cs="Arial"/>
          <w:b/>
          <w:lang w:eastAsia="es-MX"/>
        </w:rPr>
        <w:t>Homologación</w:t>
      </w:r>
      <w:r w:rsidRPr="00A95C1D">
        <w:rPr>
          <w:rFonts w:ascii="ITC Avant Garde" w:hAnsi="ITC Avant Garde" w:cs="Arial"/>
          <w:lang w:eastAsia="es-MX"/>
        </w:rPr>
        <w:t xml:space="preserve">: </w:t>
      </w:r>
      <w:r w:rsidRPr="000411D5">
        <w:rPr>
          <w:rFonts w:ascii="ITC Avant Garde" w:hAnsi="ITC Avant Garde" w:cs="Arial"/>
          <w:lang w:eastAsia="es-MX"/>
        </w:rPr>
        <w:t>acto por el cual el Instituto reconoce oficialmente que las especificaciones de un producto, equipo, dispositivo o aparato destinado a telecomunicaciones o radiodifusión, satisface las normas o disposiciones técnicas aplicables.</w:t>
      </w:r>
    </w:p>
    <w:p w14:paraId="4E8E9D18" w14:textId="296FE7C2" w:rsidR="000411D5" w:rsidRPr="000411D5" w:rsidRDefault="000411D5" w:rsidP="00D868C2">
      <w:pPr>
        <w:pStyle w:val="Prrafodelista"/>
        <w:numPr>
          <w:ilvl w:val="2"/>
          <w:numId w:val="29"/>
        </w:numPr>
        <w:pBdr>
          <w:top w:val="nil"/>
          <w:left w:val="nil"/>
          <w:bottom w:val="nil"/>
          <w:right w:val="nil"/>
          <w:between w:val="nil"/>
          <w:bar w:val="nil"/>
        </w:pBdr>
        <w:shd w:val="clear" w:color="auto" w:fill="FFFFFF"/>
        <w:suppressAutoHyphens/>
        <w:spacing w:after="0" w:line="240" w:lineRule="auto"/>
        <w:ind w:left="1134" w:right="-62" w:hanging="708"/>
        <w:contextualSpacing w:val="0"/>
        <w:jc w:val="both"/>
        <w:outlineLvl w:val="1"/>
        <w:rPr>
          <w:rFonts w:ascii="ITC Avant Garde" w:hAnsi="ITC Avant Garde" w:cs="Arial"/>
          <w:lang w:eastAsia="es-MX"/>
        </w:rPr>
      </w:pPr>
      <w:r w:rsidRPr="000411D5">
        <w:rPr>
          <w:rFonts w:ascii="ITC Avant Garde" w:hAnsi="ITC Avant Garde" w:cs="Arial"/>
          <w:b/>
          <w:lang w:eastAsia="es-MX"/>
        </w:rPr>
        <w:t>Interferencia perjudicial</w:t>
      </w:r>
      <w:r w:rsidRPr="00A95C1D">
        <w:rPr>
          <w:rFonts w:ascii="ITC Avant Garde" w:hAnsi="ITC Avant Garde" w:cs="Arial"/>
          <w:lang w:eastAsia="es-MX"/>
        </w:rPr>
        <w:t xml:space="preserve">: </w:t>
      </w:r>
      <w:r w:rsidRPr="000411D5">
        <w:rPr>
          <w:rFonts w:ascii="ITC Avant Garde" w:hAnsi="ITC Avant Garde" w:cs="Arial"/>
          <w:lang w:eastAsia="es-MX"/>
        </w:rPr>
        <w:t>efecto de una energía no deseada debida a una o varias emisiones, radiaciones, inducciones o sus combinaciones sobre la recepción en un sistema de telecomunicaciones o radiodifusión, que puede manifestarse como degradación de la calidad, falseamiento o pérdida de información, que compromete, interrumpe repetidamente o impide el funcionamiento de cualquier servicio de radiocomunicación.</w:t>
      </w:r>
    </w:p>
    <w:p w14:paraId="502D6EE5" w14:textId="1B3FDEB3" w:rsidR="000411D5" w:rsidRPr="000411D5" w:rsidRDefault="000411D5" w:rsidP="00D868C2">
      <w:pPr>
        <w:pStyle w:val="Prrafodelista"/>
        <w:numPr>
          <w:ilvl w:val="2"/>
          <w:numId w:val="29"/>
        </w:numPr>
        <w:pBdr>
          <w:top w:val="nil"/>
          <w:left w:val="nil"/>
          <w:bottom w:val="nil"/>
          <w:right w:val="nil"/>
          <w:between w:val="nil"/>
          <w:bar w:val="nil"/>
        </w:pBdr>
        <w:shd w:val="clear" w:color="auto" w:fill="FFFFFF"/>
        <w:suppressAutoHyphens/>
        <w:spacing w:after="0" w:line="240" w:lineRule="auto"/>
        <w:ind w:left="1134" w:right="-62" w:hanging="708"/>
        <w:contextualSpacing w:val="0"/>
        <w:jc w:val="both"/>
        <w:outlineLvl w:val="1"/>
        <w:rPr>
          <w:rFonts w:ascii="ITC Avant Garde" w:hAnsi="ITC Avant Garde" w:cs="Arial"/>
          <w:lang w:eastAsia="es-MX"/>
        </w:rPr>
      </w:pPr>
      <w:r w:rsidRPr="000411D5">
        <w:rPr>
          <w:rFonts w:ascii="ITC Avant Garde" w:hAnsi="ITC Avant Garde" w:cs="Arial"/>
          <w:b/>
          <w:lang w:eastAsia="es-MX"/>
        </w:rPr>
        <w:lastRenderedPageBreak/>
        <w:t>Potencia Isótropa Radiada Equivalente (PIRE)</w:t>
      </w:r>
      <w:r w:rsidRPr="00A95C1D">
        <w:rPr>
          <w:rFonts w:ascii="ITC Avant Garde" w:hAnsi="ITC Avant Garde" w:cs="Arial"/>
          <w:lang w:eastAsia="es-MX"/>
        </w:rPr>
        <w:t xml:space="preserve">: </w:t>
      </w:r>
      <w:r w:rsidRPr="000411D5">
        <w:rPr>
          <w:rFonts w:ascii="ITC Avant Garde" w:hAnsi="ITC Avant Garde" w:cs="Arial"/>
          <w:lang w:eastAsia="es-MX"/>
        </w:rPr>
        <w:t>producto de la potencia suministrada a la antena por su ganancia con relación a una antena isótropa en una dirección dada (ganancia isótropa absoluta).</w:t>
      </w:r>
    </w:p>
    <w:p w14:paraId="7A042479" w14:textId="0456EC69" w:rsidR="000411D5" w:rsidRPr="000411D5" w:rsidRDefault="000411D5" w:rsidP="00D868C2">
      <w:pPr>
        <w:pStyle w:val="Prrafodelista"/>
        <w:numPr>
          <w:ilvl w:val="2"/>
          <w:numId w:val="29"/>
        </w:numPr>
        <w:pBdr>
          <w:top w:val="nil"/>
          <w:left w:val="nil"/>
          <w:bottom w:val="nil"/>
          <w:right w:val="nil"/>
          <w:between w:val="nil"/>
          <w:bar w:val="nil"/>
        </w:pBdr>
        <w:shd w:val="clear" w:color="auto" w:fill="FFFFFF"/>
        <w:suppressAutoHyphens/>
        <w:spacing w:after="0" w:line="240" w:lineRule="auto"/>
        <w:ind w:left="1134" w:right="-62" w:hanging="708"/>
        <w:contextualSpacing w:val="0"/>
        <w:jc w:val="both"/>
        <w:outlineLvl w:val="1"/>
        <w:rPr>
          <w:rFonts w:ascii="ITC Avant Garde" w:hAnsi="ITC Avant Garde" w:cs="Arial"/>
          <w:lang w:eastAsia="es-MX"/>
        </w:rPr>
      </w:pPr>
      <w:r w:rsidRPr="000411D5">
        <w:rPr>
          <w:rFonts w:ascii="ITC Avant Garde" w:hAnsi="ITC Avant Garde" w:cs="Arial"/>
          <w:b/>
          <w:lang w:eastAsia="es-MX"/>
        </w:rPr>
        <w:t>Potencia pico de salida</w:t>
      </w:r>
      <w:r w:rsidRPr="00A95C1D">
        <w:rPr>
          <w:rFonts w:ascii="ITC Avant Garde" w:hAnsi="ITC Avant Garde" w:cs="Arial"/>
          <w:lang w:eastAsia="es-MX"/>
        </w:rPr>
        <w:t xml:space="preserve">: </w:t>
      </w:r>
      <w:r w:rsidRPr="000411D5">
        <w:rPr>
          <w:rFonts w:ascii="ITC Avant Garde" w:hAnsi="ITC Avant Garde" w:cs="Arial"/>
          <w:lang w:eastAsia="es-MX"/>
        </w:rPr>
        <w:t>cantidad de energía máxima a la salida del transmisor.</w:t>
      </w:r>
    </w:p>
    <w:p w14:paraId="0BF83BA2" w14:textId="6A43C759" w:rsidR="000411D5" w:rsidRPr="000411D5" w:rsidRDefault="000411D5" w:rsidP="00D868C2">
      <w:pPr>
        <w:pStyle w:val="Prrafodelista"/>
        <w:numPr>
          <w:ilvl w:val="2"/>
          <w:numId w:val="29"/>
        </w:numPr>
        <w:pBdr>
          <w:top w:val="nil"/>
          <w:left w:val="nil"/>
          <w:bottom w:val="nil"/>
          <w:right w:val="nil"/>
          <w:between w:val="nil"/>
          <w:bar w:val="nil"/>
        </w:pBdr>
        <w:shd w:val="clear" w:color="auto" w:fill="FFFFFF"/>
        <w:suppressAutoHyphens/>
        <w:spacing w:after="0" w:line="240" w:lineRule="auto"/>
        <w:ind w:left="1134" w:right="-62" w:hanging="708"/>
        <w:contextualSpacing w:val="0"/>
        <w:jc w:val="both"/>
        <w:outlineLvl w:val="1"/>
        <w:rPr>
          <w:rFonts w:ascii="ITC Avant Garde" w:hAnsi="ITC Avant Garde" w:cs="Arial"/>
          <w:lang w:eastAsia="es-MX"/>
        </w:rPr>
      </w:pPr>
      <w:r w:rsidRPr="000411D5">
        <w:rPr>
          <w:rFonts w:ascii="ITC Avant Garde" w:hAnsi="ITC Avant Garde" w:cs="Arial"/>
          <w:b/>
          <w:lang w:eastAsia="es-MX"/>
        </w:rPr>
        <w:t>Radioenlace fijo punto a punto</w:t>
      </w:r>
      <w:r w:rsidRPr="00A95C1D">
        <w:rPr>
          <w:rFonts w:ascii="ITC Avant Garde" w:hAnsi="ITC Avant Garde" w:cs="Arial"/>
          <w:lang w:eastAsia="es-MX"/>
        </w:rPr>
        <w:t xml:space="preserve">: </w:t>
      </w:r>
      <w:r w:rsidRPr="000411D5">
        <w:rPr>
          <w:rFonts w:ascii="ITC Avant Garde" w:hAnsi="ITC Avant Garde" w:cs="Arial"/>
          <w:lang w:eastAsia="es-MX"/>
        </w:rPr>
        <w:t>sistema de radiocomunicación de una o dos vías del servicio fijo entre dos puntos geográficos determinados, mediante el que se transmite y recibe información de cualquier naturaleza.</w:t>
      </w:r>
    </w:p>
    <w:p w14:paraId="4D146B20" w14:textId="2E286370" w:rsidR="000411D5" w:rsidRPr="000411D5" w:rsidRDefault="000411D5" w:rsidP="00D868C2">
      <w:pPr>
        <w:pStyle w:val="Prrafodelista"/>
        <w:numPr>
          <w:ilvl w:val="2"/>
          <w:numId w:val="29"/>
        </w:numPr>
        <w:pBdr>
          <w:top w:val="nil"/>
          <w:left w:val="nil"/>
          <w:bottom w:val="nil"/>
          <w:right w:val="nil"/>
          <w:between w:val="nil"/>
          <w:bar w:val="nil"/>
        </w:pBdr>
        <w:shd w:val="clear" w:color="auto" w:fill="FFFFFF"/>
        <w:suppressAutoHyphens/>
        <w:spacing w:after="0" w:line="240" w:lineRule="auto"/>
        <w:ind w:left="1134" w:right="-62" w:hanging="708"/>
        <w:contextualSpacing w:val="0"/>
        <w:jc w:val="both"/>
        <w:outlineLvl w:val="1"/>
        <w:rPr>
          <w:rFonts w:ascii="ITC Avant Garde" w:hAnsi="ITC Avant Garde" w:cs="Arial"/>
          <w:lang w:eastAsia="es-MX"/>
        </w:rPr>
      </w:pPr>
      <w:r w:rsidRPr="000411D5">
        <w:rPr>
          <w:rFonts w:ascii="ITC Avant Garde" w:hAnsi="ITC Avant Garde" w:cs="Arial"/>
          <w:b/>
          <w:lang w:eastAsia="es-MX"/>
        </w:rPr>
        <w:t>Sensor de perturbación de campo</w:t>
      </w:r>
      <w:r w:rsidRPr="00A95C1D">
        <w:rPr>
          <w:rFonts w:ascii="ITC Avant Garde" w:hAnsi="ITC Avant Garde" w:cs="Arial"/>
          <w:lang w:eastAsia="es-MX"/>
        </w:rPr>
        <w:t xml:space="preserve">: </w:t>
      </w:r>
      <w:r w:rsidRPr="000411D5">
        <w:rPr>
          <w:rFonts w:ascii="ITC Avant Garde" w:hAnsi="ITC Avant Garde" w:cs="Arial"/>
          <w:lang w:eastAsia="es-MX"/>
        </w:rPr>
        <w:t>dispositivo que establece un campo de radiofrecuencia a su alrededor y detecta los cambios provenientes del movimiento, ya sea de personas o de objetos.</w:t>
      </w:r>
    </w:p>
    <w:p w14:paraId="235E8A16" w14:textId="30AE04AA" w:rsidR="000411D5" w:rsidRDefault="000411D5" w:rsidP="00D868C2">
      <w:pPr>
        <w:pStyle w:val="Prrafodelista"/>
        <w:numPr>
          <w:ilvl w:val="2"/>
          <w:numId w:val="29"/>
        </w:numPr>
        <w:pBdr>
          <w:top w:val="nil"/>
          <w:left w:val="nil"/>
          <w:bottom w:val="nil"/>
          <w:right w:val="nil"/>
          <w:between w:val="nil"/>
          <w:bar w:val="nil"/>
        </w:pBdr>
        <w:shd w:val="clear" w:color="auto" w:fill="FFFFFF"/>
        <w:suppressAutoHyphens/>
        <w:spacing w:after="0" w:line="240" w:lineRule="auto"/>
        <w:ind w:left="1134" w:right="-62" w:hanging="708"/>
        <w:contextualSpacing w:val="0"/>
        <w:jc w:val="both"/>
        <w:outlineLvl w:val="1"/>
        <w:rPr>
          <w:rFonts w:ascii="ITC Avant Garde" w:hAnsi="ITC Avant Garde" w:cs="Arial"/>
          <w:lang w:eastAsia="es-MX"/>
        </w:rPr>
      </w:pPr>
      <w:r w:rsidRPr="000411D5">
        <w:rPr>
          <w:rFonts w:ascii="ITC Avant Garde" w:hAnsi="ITC Avant Garde" w:cs="Arial"/>
          <w:b/>
          <w:lang w:eastAsia="es-MX"/>
        </w:rPr>
        <w:t>Sistemas de transporte inteligente</w:t>
      </w:r>
      <w:r w:rsidRPr="00A95C1D">
        <w:rPr>
          <w:rFonts w:ascii="ITC Avant Garde" w:hAnsi="ITC Avant Garde" w:cs="Arial"/>
          <w:lang w:eastAsia="es-MX"/>
        </w:rPr>
        <w:t xml:space="preserve">: </w:t>
      </w:r>
      <w:r w:rsidRPr="000411D5">
        <w:rPr>
          <w:rFonts w:ascii="ITC Avant Garde" w:hAnsi="ITC Avant Garde" w:cs="Arial"/>
          <w:lang w:eastAsia="es-MX"/>
        </w:rPr>
        <w:t>sistemas que utilizan una combinación de tecnologías de comunicaciones, posicionamiento y automatización, para mejorar la seguridad, la gestión y la eficacia del transporte terrenal.</w:t>
      </w:r>
    </w:p>
    <w:p w14:paraId="3BF75926" w14:textId="4E0EC0A7" w:rsidR="00FA47A1" w:rsidRPr="006861C6" w:rsidRDefault="00FA47A1" w:rsidP="00D868C2">
      <w:pPr>
        <w:pStyle w:val="Prrafodelista"/>
        <w:numPr>
          <w:ilvl w:val="2"/>
          <w:numId w:val="29"/>
        </w:numPr>
        <w:pBdr>
          <w:top w:val="nil"/>
          <w:left w:val="nil"/>
          <w:bottom w:val="nil"/>
          <w:right w:val="nil"/>
          <w:between w:val="nil"/>
          <w:bar w:val="nil"/>
        </w:pBdr>
        <w:shd w:val="clear" w:color="auto" w:fill="FFFFFF"/>
        <w:suppressAutoHyphens/>
        <w:spacing w:after="0" w:line="240" w:lineRule="auto"/>
        <w:ind w:left="1134" w:right="-62" w:hanging="708"/>
        <w:contextualSpacing w:val="0"/>
        <w:jc w:val="both"/>
        <w:outlineLvl w:val="1"/>
        <w:rPr>
          <w:rFonts w:ascii="ITC Avant Garde" w:hAnsi="ITC Avant Garde" w:cs="Arial"/>
          <w:lang w:eastAsia="es-MX"/>
        </w:rPr>
      </w:pPr>
      <w:r w:rsidRPr="00FA47A1">
        <w:rPr>
          <w:rFonts w:ascii="ITC Avant Garde" w:hAnsi="ITC Avant Garde" w:cs="Arial"/>
          <w:b/>
          <w:lang w:eastAsia="es-MX"/>
        </w:rPr>
        <w:t>Título habilitante:</w:t>
      </w:r>
      <w:r w:rsidRPr="00FA47A1">
        <w:rPr>
          <w:rFonts w:ascii="ITC Avant Garde" w:hAnsi="ITC Avant Garde" w:cs="Arial"/>
          <w:lang w:eastAsia="es-MX"/>
        </w:rPr>
        <w:t xml:space="preserve"> </w:t>
      </w:r>
      <w:r w:rsidR="002F7359">
        <w:rPr>
          <w:rFonts w:ascii="ITC Avant Garde" w:hAnsi="ITC Avant Garde" w:cs="Arial"/>
          <w:lang w:eastAsia="es-MX"/>
        </w:rPr>
        <w:t>c</w:t>
      </w:r>
      <w:r w:rsidRPr="00FA47A1">
        <w:rPr>
          <w:rFonts w:ascii="ITC Avant Garde" w:hAnsi="ITC Avant Garde" w:cs="Arial"/>
          <w:lang w:eastAsia="es-MX"/>
        </w:rPr>
        <w:t>oncesión, permiso, asignación</w:t>
      </w:r>
      <w:r w:rsidR="006246BC">
        <w:rPr>
          <w:rFonts w:ascii="ITC Avant Garde" w:hAnsi="ITC Avant Garde" w:cs="Arial"/>
          <w:lang w:eastAsia="es-MX"/>
        </w:rPr>
        <w:t>, autorización</w:t>
      </w:r>
      <w:r w:rsidRPr="00FA47A1">
        <w:rPr>
          <w:rFonts w:ascii="ITC Avant Garde" w:hAnsi="ITC Avant Garde" w:cs="Arial"/>
          <w:lang w:eastAsia="es-MX"/>
        </w:rPr>
        <w:t xml:space="preserve"> o </w:t>
      </w:r>
      <w:r w:rsidR="00C056CA">
        <w:rPr>
          <w:rFonts w:ascii="ITC Avant Garde" w:hAnsi="ITC Avant Garde" w:cs="Arial"/>
          <w:lang w:eastAsia="es-MX"/>
        </w:rPr>
        <w:t>cualquier otro instrumento</w:t>
      </w:r>
      <w:r w:rsidRPr="00FA47A1">
        <w:rPr>
          <w:rFonts w:ascii="ITC Avant Garde" w:hAnsi="ITC Avant Garde" w:cs="Arial"/>
          <w:lang w:eastAsia="es-MX"/>
        </w:rPr>
        <w:t xml:space="preserve">, que </w:t>
      </w:r>
      <w:r w:rsidR="00C056CA">
        <w:rPr>
          <w:rFonts w:ascii="ITC Avant Garde" w:hAnsi="ITC Avant Garde" w:cs="Arial"/>
          <w:lang w:eastAsia="es-MX"/>
        </w:rPr>
        <w:t>otorgue el derecho a</w:t>
      </w:r>
      <w:r w:rsidRPr="006861C6">
        <w:rPr>
          <w:rFonts w:ascii="ITC Avant Garde" w:hAnsi="ITC Avant Garde" w:cs="Arial"/>
          <w:lang w:eastAsia="es-MX"/>
        </w:rPr>
        <w:t>l</w:t>
      </w:r>
      <w:r w:rsidRPr="00FA47A1">
        <w:rPr>
          <w:rFonts w:ascii="ITC Avant Garde" w:hAnsi="ITC Avant Garde" w:cs="Arial"/>
          <w:lang w:eastAsia="es-MX"/>
        </w:rPr>
        <w:t xml:space="preserve"> uso, aprovechamiento y/o explotación de bandas de frecuencias del espectro radioeléctrico.</w:t>
      </w:r>
    </w:p>
    <w:p w14:paraId="187F9FF3" w14:textId="77777777" w:rsidR="00A95C1D" w:rsidRPr="006861C6" w:rsidRDefault="00A95C1D" w:rsidP="006861C6">
      <w:pPr>
        <w:pBdr>
          <w:top w:val="nil"/>
          <w:left w:val="nil"/>
          <w:bottom w:val="nil"/>
          <w:right w:val="nil"/>
          <w:between w:val="nil"/>
          <w:bar w:val="nil"/>
        </w:pBdr>
        <w:shd w:val="clear" w:color="auto" w:fill="FFFFFF"/>
        <w:suppressAutoHyphens/>
        <w:spacing w:after="0" w:line="240" w:lineRule="auto"/>
        <w:ind w:right="-62"/>
        <w:jc w:val="both"/>
        <w:outlineLvl w:val="1"/>
        <w:rPr>
          <w:rFonts w:ascii="ITC Avant Garde" w:hAnsi="ITC Avant Garde" w:cs="Arial"/>
          <w:lang w:eastAsia="es-MX"/>
        </w:rPr>
      </w:pPr>
    </w:p>
    <w:p w14:paraId="52838DA6" w14:textId="31AB8F38" w:rsidR="006861C6" w:rsidRPr="00A65C14" w:rsidRDefault="006861C6" w:rsidP="006861C6">
      <w:pPr>
        <w:pStyle w:val="Prrafodelista"/>
        <w:numPr>
          <w:ilvl w:val="1"/>
          <w:numId w:val="29"/>
        </w:numPr>
        <w:pBdr>
          <w:top w:val="nil"/>
          <w:left w:val="nil"/>
          <w:bottom w:val="nil"/>
          <w:right w:val="nil"/>
          <w:between w:val="nil"/>
          <w:bar w:val="nil"/>
        </w:pBdr>
        <w:shd w:val="clear" w:color="auto" w:fill="FFFFFF"/>
        <w:suppressAutoHyphens/>
        <w:spacing w:after="0" w:line="240" w:lineRule="auto"/>
        <w:ind w:right="-62"/>
        <w:contextualSpacing w:val="0"/>
        <w:jc w:val="both"/>
        <w:outlineLvl w:val="1"/>
        <w:rPr>
          <w:rFonts w:ascii="ITC Avant Garde" w:hAnsi="ITC Avant Garde" w:cs="Arial"/>
          <w:lang w:eastAsia="es-MX"/>
        </w:rPr>
      </w:pPr>
      <w:r w:rsidRPr="00A65C14">
        <w:rPr>
          <w:rFonts w:ascii="ITC Avant Garde" w:hAnsi="ITC Avant Garde" w:cs="Arial"/>
          <w:lang w:eastAsia="es-MX"/>
        </w:rPr>
        <w:t>Los términos antes señalados pueden ser utilizados indistintamente en singular o plural.</w:t>
      </w:r>
    </w:p>
    <w:p w14:paraId="4E810AC1" w14:textId="77777777" w:rsidR="00D868C2" w:rsidRPr="00B646BF" w:rsidRDefault="00D868C2" w:rsidP="00D868C2">
      <w:pPr>
        <w:autoSpaceDE w:val="0"/>
        <w:autoSpaceDN w:val="0"/>
        <w:adjustRightInd w:val="0"/>
        <w:spacing w:after="0" w:line="240" w:lineRule="auto"/>
        <w:jc w:val="both"/>
        <w:rPr>
          <w:rFonts w:ascii="ITC Avant Garde" w:hAnsi="ITC Avant Garde" w:cs="Arial"/>
          <w:b/>
          <w:bCs/>
        </w:rPr>
      </w:pPr>
    </w:p>
    <w:p w14:paraId="1DA218D5" w14:textId="77777777" w:rsidR="006861C6" w:rsidRPr="00B646BF" w:rsidRDefault="006861C6" w:rsidP="00D868C2">
      <w:pPr>
        <w:autoSpaceDE w:val="0"/>
        <w:autoSpaceDN w:val="0"/>
        <w:adjustRightInd w:val="0"/>
        <w:spacing w:after="0" w:line="240" w:lineRule="auto"/>
        <w:jc w:val="both"/>
        <w:rPr>
          <w:rFonts w:ascii="ITC Avant Garde" w:hAnsi="ITC Avant Garde" w:cs="Arial"/>
          <w:b/>
          <w:bCs/>
        </w:rPr>
      </w:pPr>
    </w:p>
    <w:p w14:paraId="26CB9EF2" w14:textId="28B5FC4A" w:rsidR="00E200F5" w:rsidRPr="000411D5" w:rsidRDefault="00E200F5" w:rsidP="00AF7A5F">
      <w:pPr>
        <w:pStyle w:val="Prrafodelista"/>
        <w:numPr>
          <w:ilvl w:val="0"/>
          <w:numId w:val="40"/>
        </w:numPr>
        <w:autoSpaceDE w:val="0"/>
        <w:autoSpaceDN w:val="0"/>
        <w:adjustRightInd w:val="0"/>
        <w:spacing w:after="0" w:line="240" w:lineRule="auto"/>
        <w:ind w:left="284" w:hanging="284"/>
        <w:rPr>
          <w:rFonts w:ascii="ITC Avant Garde" w:hAnsi="ITC Avant Garde" w:cs="Arial"/>
          <w:b/>
          <w:bCs/>
        </w:rPr>
      </w:pPr>
      <w:r w:rsidRPr="000411D5">
        <w:rPr>
          <w:rFonts w:ascii="ITC Avant Garde" w:hAnsi="ITC Avant Garde" w:cs="Arial"/>
          <w:b/>
          <w:bCs/>
        </w:rPr>
        <w:t xml:space="preserve">CONDICIONES </w:t>
      </w:r>
      <w:r w:rsidR="000C3723">
        <w:rPr>
          <w:rFonts w:ascii="ITC Avant Garde" w:hAnsi="ITC Avant Garde" w:cs="Arial"/>
          <w:b/>
          <w:bCs/>
        </w:rPr>
        <w:t xml:space="preserve">TÉCNICAS </w:t>
      </w:r>
      <w:r w:rsidRPr="000411D5">
        <w:rPr>
          <w:rFonts w:ascii="ITC Avant Garde" w:hAnsi="ITC Avant Garde" w:cs="Arial"/>
          <w:b/>
          <w:bCs/>
        </w:rPr>
        <w:t xml:space="preserve">DE </w:t>
      </w:r>
      <w:r w:rsidR="00EF5438" w:rsidRPr="000411D5">
        <w:rPr>
          <w:rFonts w:ascii="ITC Avant Garde" w:hAnsi="ITC Avant Garde" w:cs="Arial"/>
          <w:b/>
          <w:bCs/>
        </w:rPr>
        <w:t>OPERACIÓN</w:t>
      </w:r>
      <w:r w:rsidR="007333FD" w:rsidRPr="000411D5">
        <w:rPr>
          <w:rFonts w:ascii="ITC Avant Garde" w:hAnsi="ITC Avant Garde" w:cs="Arial"/>
          <w:b/>
          <w:bCs/>
        </w:rPr>
        <w:t xml:space="preserve"> </w:t>
      </w:r>
      <w:r w:rsidR="00A95C1D">
        <w:rPr>
          <w:rFonts w:ascii="ITC Avant Garde" w:hAnsi="ITC Avant Garde" w:cs="Arial"/>
          <w:b/>
          <w:bCs/>
        </w:rPr>
        <w:t>EN</w:t>
      </w:r>
      <w:r w:rsidR="007333FD" w:rsidRPr="000411D5">
        <w:rPr>
          <w:rFonts w:ascii="ITC Avant Garde" w:hAnsi="ITC Avant Garde" w:cs="Arial"/>
          <w:b/>
          <w:bCs/>
        </w:rPr>
        <w:t xml:space="preserve"> LA BANDA DE FRECUENCIAS </w:t>
      </w:r>
      <w:r w:rsidR="00EB7389">
        <w:rPr>
          <w:rFonts w:ascii="ITC Avant Garde" w:hAnsi="ITC Avant Garde" w:cs="Arial"/>
          <w:b/>
          <w:bCs/>
        </w:rPr>
        <w:t xml:space="preserve">DE </w:t>
      </w:r>
      <w:r w:rsidR="007333FD" w:rsidRPr="000411D5">
        <w:rPr>
          <w:rFonts w:ascii="ITC Avant Garde" w:hAnsi="ITC Avant Garde" w:cs="Arial"/>
          <w:b/>
          <w:bCs/>
        </w:rPr>
        <w:t>57-64 GHz</w:t>
      </w:r>
    </w:p>
    <w:p w14:paraId="6C9D5ED0" w14:textId="77777777" w:rsidR="00EF5438" w:rsidRPr="000411D5" w:rsidRDefault="00EF5438" w:rsidP="00D868C2">
      <w:pPr>
        <w:autoSpaceDE w:val="0"/>
        <w:autoSpaceDN w:val="0"/>
        <w:adjustRightInd w:val="0"/>
        <w:spacing w:after="0" w:line="240" w:lineRule="auto"/>
        <w:jc w:val="both"/>
        <w:rPr>
          <w:rFonts w:ascii="ITC Avant Garde" w:hAnsi="ITC Avant Garde" w:cs="Arial"/>
          <w:b/>
          <w:bCs/>
        </w:rPr>
      </w:pPr>
    </w:p>
    <w:p w14:paraId="32195810" w14:textId="41CF5680" w:rsidR="000411D5" w:rsidRPr="000411D5" w:rsidRDefault="000411D5" w:rsidP="00D868C2">
      <w:pPr>
        <w:pStyle w:val="Prrafodelista"/>
        <w:numPr>
          <w:ilvl w:val="1"/>
          <w:numId w:val="33"/>
        </w:numPr>
        <w:pBdr>
          <w:top w:val="nil"/>
          <w:left w:val="nil"/>
          <w:bottom w:val="nil"/>
          <w:right w:val="nil"/>
          <w:between w:val="nil"/>
          <w:bar w:val="nil"/>
        </w:pBdr>
        <w:shd w:val="clear" w:color="auto" w:fill="FFFFFF"/>
        <w:suppressAutoHyphens/>
        <w:spacing w:after="0" w:line="240" w:lineRule="auto"/>
        <w:ind w:right="-62"/>
        <w:contextualSpacing w:val="0"/>
        <w:jc w:val="both"/>
        <w:outlineLvl w:val="1"/>
        <w:rPr>
          <w:rFonts w:ascii="ITC Avant Garde" w:hAnsi="ITC Avant Garde" w:cs="Arial"/>
          <w:b/>
          <w:lang w:eastAsia="es-MX"/>
        </w:rPr>
      </w:pPr>
      <w:r w:rsidRPr="000411D5">
        <w:rPr>
          <w:rFonts w:ascii="ITC Avant Garde" w:hAnsi="ITC Avant Garde" w:cs="Arial"/>
          <w:b/>
          <w:lang w:eastAsia="es-MX"/>
        </w:rPr>
        <w:t xml:space="preserve">Condiciones </w:t>
      </w:r>
      <w:r w:rsidR="00EB7389">
        <w:rPr>
          <w:rFonts w:ascii="ITC Avant Garde" w:hAnsi="ITC Avant Garde" w:cs="Arial"/>
          <w:b/>
          <w:lang w:eastAsia="es-MX"/>
        </w:rPr>
        <w:t xml:space="preserve">técnicas </w:t>
      </w:r>
      <w:r w:rsidRPr="000411D5">
        <w:rPr>
          <w:rFonts w:ascii="ITC Avant Garde" w:hAnsi="ITC Avant Garde" w:cs="Arial"/>
          <w:b/>
          <w:lang w:eastAsia="es-MX"/>
        </w:rPr>
        <w:t xml:space="preserve">de operación permitidas en la banda de frecuencias </w:t>
      </w:r>
      <w:r w:rsidR="00EB7389">
        <w:rPr>
          <w:rFonts w:ascii="ITC Avant Garde" w:hAnsi="ITC Avant Garde" w:cs="Arial"/>
          <w:b/>
          <w:lang w:eastAsia="es-MX"/>
        </w:rPr>
        <w:t xml:space="preserve">de </w:t>
      </w:r>
      <w:r w:rsidRPr="000411D5">
        <w:rPr>
          <w:rFonts w:ascii="ITC Avant Garde" w:hAnsi="ITC Avant Garde" w:cs="Arial"/>
          <w:b/>
          <w:lang w:eastAsia="es-MX"/>
        </w:rPr>
        <w:t>57-64 GHz</w:t>
      </w:r>
    </w:p>
    <w:p w14:paraId="6E86F601" w14:textId="77777777" w:rsidR="00A95C1D" w:rsidRPr="00B646BF" w:rsidRDefault="00A95C1D" w:rsidP="00D868C2">
      <w:pPr>
        <w:pStyle w:val="Prrafodelista"/>
        <w:pBdr>
          <w:top w:val="nil"/>
          <w:left w:val="nil"/>
          <w:bottom w:val="nil"/>
          <w:right w:val="nil"/>
          <w:between w:val="nil"/>
          <w:bar w:val="nil"/>
        </w:pBdr>
        <w:shd w:val="clear" w:color="auto" w:fill="FFFFFF"/>
        <w:suppressAutoHyphens/>
        <w:spacing w:after="0" w:line="240" w:lineRule="auto"/>
        <w:ind w:left="360" w:right="-62"/>
        <w:contextualSpacing w:val="0"/>
        <w:jc w:val="both"/>
        <w:outlineLvl w:val="1"/>
        <w:rPr>
          <w:rFonts w:ascii="ITC Avant Garde" w:hAnsi="ITC Avant Garde" w:cs="Arial"/>
          <w:b/>
          <w:lang w:eastAsia="es-MX"/>
        </w:rPr>
      </w:pPr>
    </w:p>
    <w:p w14:paraId="6C4B348A" w14:textId="4B36C3EF" w:rsidR="007333FD" w:rsidRPr="00B646BF" w:rsidRDefault="007333FD"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sidRPr="00B646BF">
        <w:rPr>
          <w:rFonts w:ascii="ITC Avant Garde" w:hAnsi="ITC Avant Garde" w:cs="Arial"/>
          <w:lang w:eastAsia="es-MX"/>
        </w:rPr>
        <w:t>Los dispositivos, equipos o productos que operen en esta banda de frecuencias deberán ser homologados de conformidad con los artículos establecidos en el Título Décimo Tercero de la Ley Federal de Telecomunicaciones y Radiodifusión, así como con las demás disposiciones reglamentarias y administrativas aplicables.</w:t>
      </w:r>
    </w:p>
    <w:p w14:paraId="1C2B9064" w14:textId="19DF3D10" w:rsidR="007333FD" w:rsidRPr="00B646BF" w:rsidRDefault="007333FD"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sidRPr="00B646BF">
        <w:rPr>
          <w:rFonts w:ascii="ITC Avant Garde" w:hAnsi="ITC Avant Garde" w:cs="Arial"/>
          <w:lang w:eastAsia="es-MX"/>
        </w:rPr>
        <w:t>Los niveles de emisión de Potencia Isótropa Radiada Equivalente (PIRE), medidos durante el intervalo de la transmisión, no deberán exceder los valores descritos en el presente documento.</w:t>
      </w:r>
    </w:p>
    <w:p w14:paraId="4E4F025A" w14:textId="0E701837" w:rsidR="007333FD" w:rsidRPr="00B646BF" w:rsidRDefault="007333FD"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sidRPr="00B646BF">
        <w:rPr>
          <w:rFonts w:ascii="ITC Avant Garde" w:hAnsi="ITC Avant Garde" w:cs="Arial"/>
          <w:lang w:eastAsia="es-MX"/>
        </w:rPr>
        <w:t xml:space="preserve">Los transmisores de radioenlaces fijos punto a punto localizados en exteriores, deberán operar con una PIRE promedio que no exceda 82 dBm y una PIRE máxima que no exceda de 85 dBm. En los casos que la ganancia de la antena sea menor a 51 dBi, se deberán restar 2 dB a la PIRE promedio y a la PIRE máxima, por cada dB </w:t>
      </w:r>
      <w:r w:rsidR="009F2072">
        <w:rPr>
          <w:rFonts w:ascii="ITC Avant Garde" w:hAnsi="ITC Avant Garde" w:cs="Arial"/>
          <w:lang w:eastAsia="es-MX"/>
        </w:rPr>
        <w:t xml:space="preserve">que </w:t>
      </w:r>
      <w:r w:rsidRPr="00B646BF">
        <w:rPr>
          <w:rFonts w:ascii="ITC Avant Garde" w:hAnsi="ITC Avant Garde" w:cs="Arial"/>
          <w:lang w:eastAsia="es-MX"/>
        </w:rPr>
        <w:t>la ganancia sea menor a 51 dBi.</w:t>
      </w:r>
    </w:p>
    <w:p w14:paraId="481A0F1C" w14:textId="6DB47B29" w:rsidR="007333FD" w:rsidRPr="00B646BF" w:rsidRDefault="007333FD"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sidRPr="00B646BF">
        <w:rPr>
          <w:rFonts w:ascii="ITC Avant Garde" w:hAnsi="ITC Avant Garde" w:cs="Arial"/>
          <w:lang w:eastAsia="es-MX"/>
        </w:rPr>
        <w:t xml:space="preserve">Los sensores de perturbación de campo fijo con ancho de banda igual o menor a 500 MHz que operen dentro del segmento 61-61.5 GHz, </w:t>
      </w:r>
      <w:r w:rsidRPr="00B646BF">
        <w:rPr>
          <w:rFonts w:ascii="ITC Avant Garde" w:hAnsi="ITC Avant Garde" w:cs="Arial"/>
          <w:lang w:eastAsia="es-MX"/>
        </w:rPr>
        <w:lastRenderedPageBreak/>
        <w:t>deberán operar con una PIRE promedio que no exceda 40 dBm y una PIRE máxima que no exceda 43 dBm.</w:t>
      </w:r>
    </w:p>
    <w:p w14:paraId="2AC28BE6" w14:textId="6F6583A1" w:rsidR="007333FD" w:rsidRPr="00B646BF" w:rsidRDefault="007333FD"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sidRPr="00B646BF">
        <w:rPr>
          <w:rFonts w:ascii="ITC Avant Garde" w:hAnsi="ITC Avant Garde" w:cs="Arial"/>
          <w:lang w:eastAsia="es-MX"/>
        </w:rPr>
        <w:t>Los sensores de perturbación de campo fijo con ancho de banda igual o menor a 500 MHz que operen dentro de la banda 57-64 GHz, con excepción del segmento 61-61.5 GHz, deberán operar con una PIRE promedio que no exceda 10 dBm y una PIRE máxima que no exceda 13 dBm.</w:t>
      </w:r>
    </w:p>
    <w:p w14:paraId="047DD186" w14:textId="464D86C2" w:rsidR="007333FD" w:rsidRPr="00B646BF" w:rsidRDefault="007333FD"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sidRPr="00B646BF">
        <w:rPr>
          <w:rFonts w:ascii="ITC Avant Garde" w:hAnsi="ITC Avant Garde" w:cs="Arial"/>
          <w:lang w:eastAsia="es-MX"/>
        </w:rPr>
        <w:t xml:space="preserve">Los sensores de perturbación de campo fijo diferentes a los mencionados en los incisos </w:t>
      </w:r>
      <w:r w:rsidR="007C6CD2">
        <w:rPr>
          <w:rFonts w:ascii="ITC Avant Garde" w:hAnsi="ITC Avant Garde" w:cs="Arial"/>
          <w:lang w:eastAsia="es-MX"/>
        </w:rPr>
        <w:t>2.1.4</w:t>
      </w:r>
      <w:r w:rsidR="007C6CD2" w:rsidRPr="00B646BF">
        <w:rPr>
          <w:rFonts w:ascii="ITC Avant Garde" w:hAnsi="ITC Avant Garde" w:cs="Arial"/>
          <w:lang w:eastAsia="es-MX"/>
        </w:rPr>
        <w:t xml:space="preserve"> </w:t>
      </w:r>
      <w:r w:rsidRPr="00B646BF">
        <w:rPr>
          <w:rFonts w:ascii="ITC Avant Garde" w:hAnsi="ITC Avant Garde" w:cs="Arial"/>
          <w:lang w:eastAsia="es-MX"/>
        </w:rPr>
        <w:t xml:space="preserve">y </w:t>
      </w:r>
      <w:r w:rsidR="007C6CD2">
        <w:rPr>
          <w:rFonts w:ascii="ITC Avant Garde" w:hAnsi="ITC Avant Garde" w:cs="Arial"/>
          <w:lang w:eastAsia="es-MX"/>
        </w:rPr>
        <w:t>2.1.5</w:t>
      </w:r>
      <w:r w:rsidRPr="00B646BF">
        <w:rPr>
          <w:rFonts w:ascii="ITC Avant Garde" w:hAnsi="ITC Avant Garde" w:cs="Arial"/>
          <w:lang w:eastAsia="es-MX"/>
        </w:rPr>
        <w:t>, así como los sensores de movimiento interactivo, no deberán exceder una potencia pico de salida del transmisor de -10 dBm y una PIRE máxima de 10 dBm.</w:t>
      </w:r>
    </w:p>
    <w:p w14:paraId="69DBA26C" w14:textId="7C07A5A9" w:rsidR="007333FD" w:rsidRPr="00B646BF" w:rsidRDefault="007333FD"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sidRPr="00B646BF">
        <w:rPr>
          <w:rFonts w:ascii="ITC Avant Garde" w:hAnsi="ITC Avant Garde" w:cs="Arial"/>
          <w:lang w:eastAsia="es-MX"/>
        </w:rPr>
        <w:t>Los sistemas de transporte inteligente que operen dentro del segmento 63-64 GHz, deberán operar con una PIRE máxima de 40 dBm y ganancia de antena menor o igual a 23 dBi.</w:t>
      </w:r>
    </w:p>
    <w:p w14:paraId="29F2F189" w14:textId="18ED2A85" w:rsidR="007333FD" w:rsidRPr="00B646BF" w:rsidRDefault="007333FD"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sidRPr="00B646BF">
        <w:rPr>
          <w:rFonts w:ascii="ITC Avant Garde" w:hAnsi="ITC Avant Garde" w:cs="Arial"/>
          <w:lang w:eastAsia="es-MX"/>
        </w:rPr>
        <w:t xml:space="preserve">Cualquier </w:t>
      </w:r>
      <w:r w:rsidR="00D7212A">
        <w:rPr>
          <w:rFonts w:ascii="ITC Avant Garde" w:hAnsi="ITC Avant Garde" w:cs="Arial"/>
          <w:lang w:eastAsia="es-MX"/>
        </w:rPr>
        <w:t>otro</w:t>
      </w:r>
      <w:r w:rsidRPr="00B646BF">
        <w:rPr>
          <w:rFonts w:ascii="ITC Avant Garde" w:hAnsi="ITC Avant Garde" w:cs="Arial"/>
          <w:lang w:eastAsia="es-MX"/>
        </w:rPr>
        <w:t xml:space="preserve"> sistema, dispositivo, equipo o estación no considerado en los </w:t>
      </w:r>
      <w:r w:rsidR="00744950">
        <w:rPr>
          <w:rFonts w:ascii="ITC Avant Garde" w:hAnsi="ITC Avant Garde" w:cs="Arial"/>
          <w:lang w:eastAsia="es-MX"/>
        </w:rPr>
        <w:t>incisos 2.1.3, 2.1.4, 2.1.5, 2.1.6 y 2.1.7</w:t>
      </w:r>
      <w:r w:rsidRPr="00B646BF">
        <w:rPr>
          <w:rFonts w:ascii="ITC Avant Garde" w:hAnsi="ITC Avant Garde" w:cs="Arial"/>
          <w:lang w:eastAsia="es-MX"/>
        </w:rPr>
        <w:t>, deberá operar con una PIRE promedio que no exceda 40 dBm y una PIRE máxima que no exceda 43 dBm.</w:t>
      </w:r>
    </w:p>
    <w:p w14:paraId="6828E89D" w14:textId="606F72AF" w:rsidR="007333FD" w:rsidRPr="00B646BF" w:rsidRDefault="007333FD"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sidRPr="00B646BF">
        <w:rPr>
          <w:rFonts w:ascii="ITC Avant Garde" w:hAnsi="ITC Avant Garde" w:cs="Arial"/>
          <w:lang w:eastAsia="es-MX"/>
        </w:rPr>
        <w:t>Potencia pico de salida del transmisor:</w:t>
      </w:r>
    </w:p>
    <w:p w14:paraId="0470B2B2" w14:textId="662CCDBA" w:rsidR="007333FD" w:rsidRPr="000411D5" w:rsidRDefault="007333FD" w:rsidP="00643C8A">
      <w:pPr>
        <w:pStyle w:val="Prrafodelista"/>
        <w:numPr>
          <w:ilvl w:val="1"/>
          <w:numId w:val="23"/>
        </w:numPr>
        <w:spacing w:after="0"/>
        <w:ind w:left="1560" w:hanging="426"/>
        <w:contextualSpacing w:val="0"/>
        <w:jc w:val="both"/>
        <w:rPr>
          <w:rFonts w:ascii="ITC Avant Garde" w:hAnsi="ITC Avant Garde" w:cs="Arial"/>
        </w:rPr>
      </w:pPr>
      <w:r w:rsidRPr="000411D5">
        <w:rPr>
          <w:rFonts w:ascii="ITC Avant Garde" w:hAnsi="ITC Avant Garde" w:cs="Arial"/>
        </w:rPr>
        <w:t>Los dispositivos que utilicen un ancho de banda de emisión mayor a 100 MHz, no deberán exceder 500 mW. Dependiendo de la ganancia de la antena, puede ser necesario disminuir la potencia pico de salida del transmisor con el fin de no exceder los límites de PIRE establecidos en todos los numerales anteriores.</w:t>
      </w:r>
    </w:p>
    <w:p w14:paraId="7283FA1A" w14:textId="48E32289" w:rsidR="007333FD" w:rsidRPr="000411D5" w:rsidRDefault="007333FD" w:rsidP="00643C8A">
      <w:pPr>
        <w:pStyle w:val="Prrafodelista"/>
        <w:numPr>
          <w:ilvl w:val="1"/>
          <w:numId w:val="23"/>
        </w:numPr>
        <w:spacing w:after="0"/>
        <w:ind w:left="1560" w:hanging="426"/>
        <w:contextualSpacing w:val="0"/>
        <w:jc w:val="both"/>
        <w:rPr>
          <w:rFonts w:ascii="ITC Avant Garde" w:hAnsi="ITC Avant Garde" w:cs="Arial"/>
        </w:rPr>
      </w:pPr>
      <w:r w:rsidRPr="000411D5">
        <w:rPr>
          <w:rFonts w:ascii="ITC Avant Garde" w:hAnsi="ITC Avant Garde" w:cs="Arial"/>
        </w:rPr>
        <w:t>Los dispositivos que utilicen un ancho de banda de emisión menor a 100 MHz deben limitar la potencia pico de salida del transmisor del dispositivo, equipo o estación a lo resultante de multiplicar 500 mW por su ancho de banda de emisión en MHz, dividido entre 100 MHz.</w:t>
      </w:r>
    </w:p>
    <w:p w14:paraId="4C1EB46D" w14:textId="2737A123" w:rsidR="007333FD" w:rsidRPr="00215964" w:rsidRDefault="007333FD"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sidRPr="00215964">
        <w:rPr>
          <w:rFonts w:ascii="ITC Avant Garde" w:hAnsi="ITC Avant Garde" w:cs="Arial"/>
          <w:lang w:eastAsia="es-MX"/>
        </w:rPr>
        <w:t>El uso de la banda de frecuencias 57-64 GHz deberá atender a las disposiciones en materia de protección a seres humanos de radiaciones no ionizantes</w:t>
      </w:r>
      <w:r w:rsidR="00215964">
        <w:rPr>
          <w:rFonts w:ascii="ITC Avant Garde" w:hAnsi="ITC Avant Garde" w:cs="Arial"/>
          <w:lang w:eastAsia="es-MX"/>
        </w:rPr>
        <w:t xml:space="preserve"> </w:t>
      </w:r>
      <w:r w:rsidR="006246BC">
        <w:rPr>
          <w:rFonts w:ascii="ITC Avant Garde" w:hAnsi="ITC Avant Garde" w:cs="Arial"/>
          <w:lang w:eastAsia="es-MX"/>
        </w:rPr>
        <w:t>que se emitan</w:t>
      </w:r>
      <w:r w:rsidR="00215964">
        <w:rPr>
          <w:rFonts w:ascii="ITC Avant Garde" w:hAnsi="ITC Avant Garde" w:cs="Arial"/>
          <w:lang w:eastAsia="es-MX"/>
        </w:rPr>
        <w:t xml:space="preserve"> por el Instituto.</w:t>
      </w:r>
    </w:p>
    <w:p w14:paraId="61797F70" w14:textId="77777777" w:rsidR="000411D5" w:rsidRPr="000411D5" w:rsidRDefault="000411D5" w:rsidP="00D868C2">
      <w:pPr>
        <w:spacing w:after="0"/>
        <w:jc w:val="both"/>
        <w:rPr>
          <w:rFonts w:ascii="ITC Avant Garde" w:hAnsi="ITC Avant Garde" w:cs="Arial"/>
        </w:rPr>
      </w:pPr>
    </w:p>
    <w:p w14:paraId="50FC9289" w14:textId="191390AE" w:rsidR="007333FD" w:rsidRPr="000411D5" w:rsidRDefault="000411D5" w:rsidP="00D868C2">
      <w:pPr>
        <w:pStyle w:val="Prrafodelista"/>
        <w:numPr>
          <w:ilvl w:val="1"/>
          <w:numId w:val="33"/>
        </w:numPr>
        <w:pBdr>
          <w:top w:val="nil"/>
          <w:left w:val="nil"/>
          <w:bottom w:val="nil"/>
          <w:right w:val="nil"/>
          <w:between w:val="nil"/>
          <w:bar w:val="nil"/>
        </w:pBdr>
        <w:shd w:val="clear" w:color="auto" w:fill="FFFFFF"/>
        <w:suppressAutoHyphens/>
        <w:spacing w:after="0" w:line="240" w:lineRule="auto"/>
        <w:ind w:right="-62"/>
        <w:contextualSpacing w:val="0"/>
        <w:jc w:val="both"/>
        <w:outlineLvl w:val="1"/>
        <w:rPr>
          <w:rFonts w:ascii="ITC Avant Garde" w:hAnsi="ITC Avant Garde" w:cs="Arial"/>
          <w:b/>
          <w:lang w:eastAsia="es-MX"/>
        </w:rPr>
      </w:pPr>
      <w:bookmarkStart w:id="3" w:name="_Toc474327036"/>
      <w:r w:rsidRPr="000411D5">
        <w:rPr>
          <w:rFonts w:ascii="ITC Avant Garde" w:hAnsi="ITC Avant Garde" w:cs="Arial"/>
          <w:b/>
          <w:lang w:eastAsia="es-MX"/>
        </w:rPr>
        <w:t>Restricciones Generales</w:t>
      </w:r>
      <w:bookmarkEnd w:id="3"/>
      <w:r w:rsidR="00B63D90">
        <w:rPr>
          <w:rFonts w:ascii="ITC Avant Garde" w:hAnsi="ITC Avant Garde" w:cs="Arial"/>
          <w:b/>
          <w:lang w:eastAsia="es-MX"/>
        </w:rPr>
        <w:t>.</w:t>
      </w:r>
    </w:p>
    <w:p w14:paraId="72840348" w14:textId="77777777" w:rsidR="00A95C1D" w:rsidRPr="000A0E5E" w:rsidRDefault="00A95C1D" w:rsidP="00D868C2">
      <w:pPr>
        <w:spacing w:after="0"/>
        <w:jc w:val="both"/>
        <w:rPr>
          <w:rFonts w:ascii="ITC Avant Garde" w:hAnsi="ITC Avant Garde" w:cs="Arial"/>
        </w:rPr>
      </w:pPr>
    </w:p>
    <w:p w14:paraId="048E82EA" w14:textId="5EF0D55D" w:rsidR="007333FD" w:rsidRPr="00B646BF" w:rsidRDefault="007333FD"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sidRPr="00B646BF">
        <w:rPr>
          <w:rFonts w:ascii="ITC Avant Garde" w:hAnsi="ITC Avant Garde" w:cs="Arial"/>
          <w:lang w:eastAsia="es-MX"/>
        </w:rPr>
        <w:t>No se permite la operación en la banda de frecuencias 57-64 GHz de los siguientes sistemas, disp</w:t>
      </w:r>
      <w:r w:rsidR="00D83763">
        <w:rPr>
          <w:rFonts w:ascii="ITC Avant Garde" w:hAnsi="ITC Avant Garde" w:cs="Arial"/>
          <w:lang w:eastAsia="es-MX"/>
        </w:rPr>
        <w:t>ositivos, equipos o estaciones:</w:t>
      </w:r>
    </w:p>
    <w:p w14:paraId="6C6AE6B5" w14:textId="513998C3" w:rsidR="007333FD" w:rsidRPr="000411D5" w:rsidRDefault="007333FD" w:rsidP="00643C8A">
      <w:pPr>
        <w:pStyle w:val="Prrafodelista"/>
        <w:numPr>
          <w:ilvl w:val="0"/>
          <w:numId w:val="24"/>
        </w:numPr>
        <w:spacing w:after="0"/>
        <w:ind w:left="1560" w:hanging="426"/>
        <w:contextualSpacing w:val="0"/>
        <w:jc w:val="both"/>
        <w:rPr>
          <w:rFonts w:ascii="ITC Avant Garde" w:hAnsi="ITC Avant Garde" w:cs="Arial"/>
        </w:rPr>
      </w:pPr>
      <w:r w:rsidRPr="000411D5">
        <w:rPr>
          <w:rFonts w:ascii="ITC Avant Garde" w:hAnsi="ITC Avant Garde" w:cs="Arial"/>
        </w:rPr>
        <w:t>Equipo o dispositivos utilizados en aeronaves o satélites</w:t>
      </w:r>
      <w:r w:rsidR="00D83763">
        <w:rPr>
          <w:rFonts w:ascii="ITC Avant Garde" w:hAnsi="ITC Avant Garde" w:cs="Arial"/>
        </w:rPr>
        <w:t>.</w:t>
      </w:r>
    </w:p>
    <w:p w14:paraId="611C8BC3" w14:textId="476F7A51" w:rsidR="007333FD" w:rsidRPr="006F792D" w:rsidRDefault="007333FD" w:rsidP="00643C8A">
      <w:pPr>
        <w:pStyle w:val="Prrafodelista"/>
        <w:numPr>
          <w:ilvl w:val="0"/>
          <w:numId w:val="24"/>
        </w:numPr>
        <w:pBdr>
          <w:top w:val="nil"/>
          <w:left w:val="nil"/>
          <w:bottom w:val="nil"/>
          <w:right w:val="nil"/>
          <w:between w:val="nil"/>
          <w:bar w:val="nil"/>
        </w:pBdr>
        <w:shd w:val="clear" w:color="auto" w:fill="FFFFFF"/>
        <w:suppressAutoHyphens/>
        <w:spacing w:after="0" w:line="240" w:lineRule="auto"/>
        <w:ind w:left="1560" w:right="-62" w:hanging="426"/>
        <w:contextualSpacing w:val="0"/>
        <w:jc w:val="both"/>
        <w:outlineLvl w:val="1"/>
        <w:rPr>
          <w:rFonts w:ascii="ITC Avant Garde" w:hAnsi="ITC Avant Garde" w:cs="Arial"/>
          <w:lang w:eastAsia="es-MX"/>
        </w:rPr>
      </w:pPr>
      <w:r w:rsidRPr="000411D5">
        <w:rPr>
          <w:rFonts w:ascii="ITC Avant Garde" w:hAnsi="ITC Avant Garde" w:cs="Arial"/>
        </w:rPr>
        <w:t>Sensores de perturbación de campo, los cuales incluyen sistemas de radar vehiculares, excepto que dichos sensores sean empleados para: i) operaciones fijas, incluyendo los sensores de perturbación de campo instalados en equipo fijo, aun cuando el sensor se mueva dentro del equipo; ii) o como dispositivos de corto alcance para detección de movimiento interactivo.</w:t>
      </w:r>
    </w:p>
    <w:p w14:paraId="3450A4B5" w14:textId="33B609A3" w:rsidR="007333FD" w:rsidRDefault="000C1EAC"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Pr>
          <w:rFonts w:ascii="ITC Avant Garde" w:hAnsi="ITC Avant Garde" w:cs="Arial"/>
          <w:lang w:eastAsia="es-MX"/>
        </w:rPr>
        <w:t>Fuera de la banda de frecuencias 57-64 GHz, l</w:t>
      </w:r>
      <w:r w:rsidR="006F792D">
        <w:rPr>
          <w:rFonts w:ascii="ITC Avant Garde" w:hAnsi="ITC Avant Garde" w:cs="Arial"/>
          <w:lang w:eastAsia="es-MX"/>
        </w:rPr>
        <w:t xml:space="preserve">a densidad de potencia de cualquier emisión deberá consistir únicamente de emisiones </w:t>
      </w:r>
      <w:r w:rsidR="006861C6">
        <w:rPr>
          <w:rFonts w:ascii="ITC Avant Garde" w:hAnsi="ITC Avant Garde" w:cs="Arial"/>
          <w:lang w:eastAsia="es-MX"/>
        </w:rPr>
        <w:t>no esenciales</w:t>
      </w:r>
      <w:r w:rsidR="006F792D">
        <w:rPr>
          <w:rFonts w:ascii="ITC Avant Garde" w:hAnsi="ITC Avant Garde" w:cs="Arial"/>
          <w:lang w:eastAsia="es-MX"/>
        </w:rPr>
        <w:t>.</w:t>
      </w:r>
    </w:p>
    <w:p w14:paraId="084CC265" w14:textId="34CF57DE" w:rsidR="006F792D" w:rsidRDefault="006F792D"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bookmarkStart w:id="4" w:name="_Toc474327037"/>
      <w:r>
        <w:rPr>
          <w:rFonts w:ascii="ITC Avant Garde" w:hAnsi="ITC Avant Garde" w:cs="Arial"/>
          <w:lang w:eastAsia="es-MX"/>
        </w:rPr>
        <w:lastRenderedPageBreak/>
        <w:t>El nivel de</w:t>
      </w:r>
      <w:r w:rsidR="006325B2">
        <w:rPr>
          <w:rFonts w:ascii="ITC Avant Garde" w:hAnsi="ITC Avant Garde" w:cs="Arial"/>
          <w:lang w:eastAsia="es-MX"/>
        </w:rPr>
        <w:t xml:space="preserve"> </w:t>
      </w:r>
      <w:r>
        <w:rPr>
          <w:rFonts w:ascii="ITC Avant Garde" w:hAnsi="ITC Avant Garde" w:cs="Arial"/>
          <w:lang w:eastAsia="es-MX"/>
        </w:rPr>
        <w:t>emisiones</w:t>
      </w:r>
      <w:r w:rsidR="006A2DE0">
        <w:rPr>
          <w:rFonts w:ascii="ITC Avant Garde" w:hAnsi="ITC Avant Garde" w:cs="Arial"/>
          <w:lang w:eastAsia="es-MX"/>
        </w:rPr>
        <w:t xml:space="preserve"> </w:t>
      </w:r>
      <w:r w:rsidR="006861C6">
        <w:rPr>
          <w:rFonts w:ascii="ITC Avant Garde" w:hAnsi="ITC Avant Garde" w:cs="Arial"/>
          <w:lang w:eastAsia="es-MX"/>
        </w:rPr>
        <w:t>no esenciales</w:t>
      </w:r>
      <w:r>
        <w:rPr>
          <w:rFonts w:ascii="ITC Avant Garde" w:hAnsi="ITC Avant Garde" w:cs="Arial"/>
          <w:lang w:eastAsia="es-MX"/>
        </w:rPr>
        <w:t>, entre 40 GHz y 200 GHz, no deberá exceder 90 pW/cm</w:t>
      </w:r>
      <w:r w:rsidRPr="00247784">
        <w:rPr>
          <w:rFonts w:ascii="ITC Avant Garde" w:hAnsi="ITC Avant Garde" w:cs="Arial"/>
          <w:vertAlign w:val="superscript"/>
          <w:lang w:eastAsia="es-MX"/>
        </w:rPr>
        <w:t>2</w:t>
      </w:r>
      <w:r>
        <w:rPr>
          <w:rFonts w:ascii="ITC Avant Garde" w:hAnsi="ITC Avant Garde" w:cs="Arial"/>
          <w:lang w:eastAsia="es-MX"/>
        </w:rPr>
        <w:t>, medido a una distancia de 3 metros del punto de radiación.</w:t>
      </w:r>
    </w:p>
    <w:p w14:paraId="72450BAE" w14:textId="065C3B70" w:rsidR="006D1BB0" w:rsidRDefault="006D1BB0"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Pr>
          <w:rFonts w:ascii="ITC Avant Garde" w:hAnsi="ITC Avant Garde" w:cs="Arial"/>
          <w:lang w:eastAsia="es-MX"/>
        </w:rPr>
        <w:t xml:space="preserve">Los niveles de las emisiones no esenciales no deberán exceder el nivel de </w:t>
      </w:r>
      <w:r w:rsidR="00B17A96">
        <w:rPr>
          <w:rFonts w:ascii="ITC Avant Garde" w:hAnsi="ITC Avant Garde" w:cs="Arial"/>
          <w:lang w:eastAsia="es-MX"/>
        </w:rPr>
        <w:t>la emisión fundamental.</w:t>
      </w:r>
    </w:p>
    <w:p w14:paraId="03DC9E33" w14:textId="4120B6DE" w:rsidR="00BC4896" w:rsidRDefault="008C6054"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Pr>
          <w:rFonts w:ascii="ITC Avant Garde" w:hAnsi="ITC Avant Garde" w:cs="Arial"/>
          <w:lang w:eastAsia="es-MX"/>
        </w:rPr>
        <w:t>Esta banda de frecuencias no podrá ser utilizada para la operación de radio</w:t>
      </w:r>
      <w:r w:rsidR="00BC4896" w:rsidRPr="00BC4896">
        <w:rPr>
          <w:rFonts w:ascii="ITC Avant Garde" w:hAnsi="ITC Avant Garde" w:cs="Arial"/>
          <w:lang w:eastAsia="es-MX"/>
        </w:rPr>
        <w:t>enlaces que</w:t>
      </w:r>
      <w:r w:rsidR="00643C8A">
        <w:rPr>
          <w:rFonts w:ascii="ITC Avant Garde" w:hAnsi="ITC Avant Garde" w:cs="Arial"/>
          <w:lang w:eastAsia="es-MX"/>
        </w:rPr>
        <w:t xml:space="preserve"> crucen las fronteras del país.</w:t>
      </w:r>
    </w:p>
    <w:p w14:paraId="70CDF707" w14:textId="77777777" w:rsidR="00BF2234" w:rsidRPr="000C4D23" w:rsidRDefault="00BF2234" w:rsidP="000C4D23">
      <w:pPr>
        <w:spacing w:after="0"/>
        <w:jc w:val="both"/>
        <w:rPr>
          <w:rFonts w:ascii="ITC Avant Garde" w:hAnsi="ITC Avant Garde" w:cs="Arial"/>
        </w:rPr>
      </w:pPr>
    </w:p>
    <w:p w14:paraId="14CB90D1" w14:textId="27742B38" w:rsidR="007333FD" w:rsidRPr="000411D5" w:rsidRDefault="000411D5" w:rsidP="00D868C2">
      <w:pPr>
        <w:pStyle w:val="Prrafodelista"/>
        <w:numPr>
          <w:ilvl w:val="1"/>
          <w:numId w:val="33"/>
        </w:numPr>
        <w:pBdr>
          <w:top w:val="nil"/>
          <w:left w:val="nil"/>
          <w:bottom w:val="nil"/>
          <w:right w:val="nil"/>
          <w:between w:val="nil"/>
          <w:bar w:val="nil"/>
        </w:pBdr>
        <w:shd w:val="clear" w:color="auto" w:fill="FFFFFF"/>
        <w:suppressAutoHyphens/>
        <w:spacing w:after="0" w:line="240" w:lineRule="auto"/>
        <w:ind w:right="-62"/>
        <w:contextualSpacing w:val="0"/>
        <w:jc w:val="both"/>
        <w:outlineLvl w:val="1"/>
        <w:rPr>
          <w:rFonts w:ascii="ITC Avant Garde" w:hAnsi="ITC Avant Garde" w:cs="Arial"/>
          <w:b/>
          <w:lang w:eastAsia="es-MX"/>
        </w:rPr>
      </w:pPr>
      <w:r w:rsidRPr="000411D5">
        <w:rPr>
          <w:rFonts w:ascii="ITC Avant Garde" w:hAnsi="ITC Avant Garde" w:cs="Arial"/>
          <w:b/>
          <w:lang w:eastAsia="es-MX"/>
        </w:rPr>
        <w:t>Condiciones de Coexistencia</w:t>
      </w:r>
      <w:bookmarkEnd w:id="4"/>
      <w:r w:rsidR="00B63D90">
        <w:rPr>
          <w:rFonts w:ascii="ITC Avant Garde" w:hAnsi="ITC Avant Garde" w:cs="Arial"/>
          <w:b/>
          <w:lang w:eastAsia="es-MX"/>
        </w:rPr>
        <w:t>.</w:t>
      </w:r>
    </w:p>
    <w:p w14:paraId="3495D35F" w14:textId="77777777" w:rsidR="00A95C1D" w:rsidRPr="000A0E5E" w:rsidRDefault="00A95C1D" w:rsidP="00D868C2">
      <w:pPr>
        <w:spacing w:after="0"/>
        <w:jc w:val="both"/>
        <w:rPr>
          <w:rFonts w:ascii="ITC Avant Garde" w:hAnsi="ITC Avant Garde" w:cs="Arial"/>
        </w:rPr>
      </w:pPr>
    </w:p>
    <w:p w14:paraId="607F6C54" w14:textId="69B84FF4" w:rsidR="007333FD" w:rsidRPr="00B646BF" w:rsidRDefault="007333FD"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sidRPr="00B646BF">
        <w:rPr>
          <w:rFonts w:ascii="ITC Avant Garde" w:hAnsi="ITC Avant Garde" w:cs="Arial"/>
          <w:lang w:eastAsia="es-MX"/>
        </w:rPr>
        <w:t>Los sistemas, dispositivos, equipos o estaciones que operen en esta banda de frecuencias no provocarán interferencia perjudicial a sistemas, dispositivos, equipos o estaciones de usuarios que cuenten con un título habilitante para hacer uso del espectro radioeléctrico</w:t>
      </w:r>
      <w:r w:rsidR="00FE7EEE">
        <w:rPr>
          <w:rFonts w:ascii="ITC Avant Garde" w:hAnsi="ITC Avant Garde" w:cs="Arial"/>
          <w:lang w:eastAsia="es-MX"/>
        </w:rPr>
        <w:t>.</w:t>
      </w:r>
    </w:p>
    <w:p w14:paraId="136BBA85" w14:textId="5B725455" w:rsidR="007333FD" w:rsidRPr="00B646BF" w:rsidRDefault="007333FD"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sidRPr="00B646BF">
        <w:rPr>
          <w:rFonts w:ascii="ITC Avant Garde" w:hAnsi="ITC Avant Garde" w:cs="Arial"/>
          <w:lang w:eastAsia="es-MX"/>
        </w:rPr>
        <w:t>Los sistemas, dispositivos, equipos o estaciones que operen en esta banda de frecuencias no podrán reclamar protección contra interferencias perjudiciales causadas por sistemas, dispositivos, equipos o estaciones de usuarios que cuenten con un título habilitante para hacer uso del espectro radioeléctrico</w:t>
      </w:r>
      <w:r w:rsidR="00FE7EEE">
        <w:rPr>
          <w:rFonts w:ascii="ITC Avant Garde" w:hAnsi="ITC Avant Garde" w:cs="Arial"/>
          <w:lang w:eastAsia="es-MX"/>
        </w:rPr>
        <w:t>.</w:t>
      </w:r>
    </w:p>
    <w:p w14:paraId="26DF384A" w14:textId="1AC99D1C" w:rsidR="007333FD" w:rsidRPr="00B646BF" w:rsidRDefault="007333FD"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sidRPr="00B646BF">
        <w:rPr>
          <w:rFonts w:ascii="ITC Avant Garde" w:hAnsi="ITC Avant Garde" w:cs="Arial"/>
          <w:lang w:eastAsia="es-MX"/>
        </w:rPr>
        <w:t>Los sistemas, dispositivos, equipos o estaciones operando en esta banda de frecuencias que causen interferencias perjudiciales a usuarios que cuenten con un título habilitante para hacer uso del espectro radioeléctrico</w:t>
      </w:r>
      <w:r w:rsidR="00FE7EEE">
        <w:rPr>
          <w:rFonts w:ascii="ITC Avant Garde" w:hAnsi="ITC Avant Garde" w:cs="Arial"/>
          <w:lang w:eastAsia="es-MX"/>
        </w:rPr>
        <w:t>,</w:t>
      </w:r>
      <w:r w:rsidRPr="00B646BF">
        <w:rPr>
          <w:rFonts w:ascii="ITC Avant Garde" w:hAnsi="ITC Avant Garde" w:cs="Arial"/>
          <w:lang w:eastAsia="es-MX"/>
        </w:rPr>
        <w:t xml:space="preserve"> deberán cesar operaciones hasta que se elimine la interferencia perjudicial, aun cuando el dispositivo, equipo o producto se encuentre debidamente homologado.</w:t>
      </w:r>
    </w:p>
    <w:p w14:paraId="59AE037C" w14:textId="75D135D5" w:rsidR="007333FD" w:rsidRPr="00B646BF" w:rsidRDefault="007333FD" w:rsidP="00D868C2">
      <w:pPr>
        <w:pStyle w:val="Prrafodelista"/>
        <w:numPr>
          <w:ilvl w:val="2"/>
          <w:numId w:val="33"/>
        </w:numPr>
        <w:pBdr>
          <w:top w:val="nil"/>
          <w:left w:val="nil"/>
          <w:bottom w:val="nil"/>
          <w:right w:val="nil"/>
          <w:between w:val="nil"/>
          <w:bar w:val="nil"/>
        </w:pBdr>
        <w:shd w:val="clear" w:color="auto" w:fill="FFFFFF"/>
        <w:suppressAutoHyphens/>
        <w:spacing w:after="0" w:line="240" w:lineRule="auto"/>
        <w:ind w:left="1134" w:right="-62"/>
        <w:contextualSpacing w:val="0"/>
        <w:jc w:val="both"/>
        <w:outlineLvl w:val="1"/>
        <w:rPr>
          <w:rFonts w:ascii="ITC Avant Garde" w:hAnsi="ITC Avant Garde" w:cs="Arial"/>
          <w:lang w:eastAsia="es-MX"/>
        </w:rPr>
      </w:pPr>
      <w:r w:rsidRPr="00B646BF">
        <w:rPr>
          <w:rFonts w:ascii="ITC Avant Garde" w:hAnsi="ITC Avant Garde" w:cs="Arial"/>
          <w:lang w:eastAsia="es-MX"/>
        </w:rPr>
        <w:t>Los sistemas, dispositivos, equipos o estaciones que operen en esta banda de frecuencias no podrán reclamar protección contra interferencias perjudiciales provenientes de otros sistemas, dispositivos, equipos o estaciones que operen bajo lo establecido en el presente documento.</w:t>
      </w:r>
    </w:p>
    <w:p w14:paraId="6F6FD8AF" w14:textId="77777777" w:rsidR="007333FD" w:rsidRPr="000411D5" w:rsidRDefault="007333FD" w:rsidP="00D868C2">
      <w:pPr>
        <w:spacing w:after="0"/>
        <w:jc w:val="both"/>
        <w:rPr>
          <w:rFonts w:ascii="ITC Avant Garde" w:hAnsi="ITC Avant Garde" w:cs="Arial"/>
        </w:rPr>
      </w:pPr>
    </w:p>
    <w:sectPr w:rsidR="007333FD" w:rsidRPr="000411D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8EFCF" w14:textId="77777777" w:rsidR="00C30F92" w:rsidRDefault="00C30F92" w:rsidP="00677B39">
      <w:pPr>
        <w:spacing w:after="0" w:line="240" w:lineRule="auto"/>
      </w:pPr>
      <w:r>
        <w:separator/>
      </w:r>
    </w:p>
  </w:endnote>
  <w:endnote w:type="continuationSeparator" w:id="0">
    <w:p w14:paraId="37879AEB" w14:textId="77777777" w:rsidR="00C30F92" w:rsidRDefault="00C30F92" w:rsidP="00677B39">
      <w:pPr>
        <w:spacing w:after="0" w:line="240" w:lineRule="auto"/>
      </w:pPr>
      <w:r>
        <w:continuationSeparator/>
      </w:r>
    </w:p>
  </w:endnote>
  <w:endnote w:type="continuationNotice" w:id="1">
    <w:p w14:paraId="384F7668" w14:textId="77777777" w:rsidR="00C30F92" w:rsidRDefault="00C30F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02734" w14:textId="77777777" w:rsidR="0099376D" w:rsidRDefault="0099376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05307" w14:textId="77777777" w:rsidR="0099376D" w:rsidRDefault="0099376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5DDEC" w14:textId="77777777" w:rsidR="0099376D" w:rsidRDefault="009937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E8C23" w14:textId="77777777" w:rsidR="00C30F92" w:rsidRDefault="00C30F92" w:rsidP="00677B39">
      <w:pPr>
        <w:spacing w:after="0" w:line="240" w:lineRule="auto"/>
      </w:pPr>
      <w:r>
        <w:separator/>
      </w:r>
    </w:p>
  </w:footnote>
  <w:footnote w:type="continuationSeparator" w:id="0">
    <w:p w14:paraId="0271039D" w14:textId="77777777" w:rsidR="00C30F92" w:rsidRDefault="00C30F92" w:rsidP="00677B39">
      <w:pPr>
        <w:spacing w:after="0" w:line="240" w:lineRule="auto"/>
      </w:pPr>
      <w:r>
        <w:continuationSeparator/>
      </w:r>
    </w:p>
  </w:footnote>
  <w:footnote w:type="continuationNotice" w:id="1">
    <w:p w14:paraId="714A8411" w14:textId="77777777" w:rsidR="00C30F92" w:rsidRDefault="00C30F92">
      <w:pPr>
        <w:spacing w:after="0" w:line="240" w:lineRule="auto"/>
      </w:pPr>
    </w:p>
  </w:footnote>
  <w:footnote w:id="2">
    <w:p w14:paraId="1558F91B" w14:textId="193E6E91" w:rsidR="00B17A96" w:rsidRPr="002E72D1" w:rsidRDefault="00B17A96" w:rsidP="0099179E">
      <w:pPr>
        <w:pStyle w:val="Textonotapie"/>
        <w:rPr>
          <w:rFonts w:ascii="ITC Avant Garde" w:hAnsi="ITC Avant Garde"/>
          <w:sz w:val="16"/>
          <w:szCs w:val="16"/>
        </w:rPr>
      </w:pPr>
      <w:r w:rsidRPr="002E72D1">
        <w:rPr>
          <w:rStyle w:val="Refdenotaalpie"/>
          <w:rFonts w:ascii="ITC Avant Garde" w:hAnsi="ITC Avant Garde"/>
          <w:sz w:val="16"/>
          <w:szCs w:val="16"/>
        </w:rPr>
        <w:footnoteRef/>
      </w:r>
      <w:r w:rsidRPr="002E72D1">
        <w:rPr>
          <w:rFonts w:ascii="ITC Avant Garde" w:hAnsi="ITC Avant Garde" w:cs="Arial"/>
          <w:color w:val="000000"/>
          <w:sz w:val="16"/>
          <w:szCs w:val="16"/>
        </w:rPr>
        <w:t>“</w:t>
      </w:r>
      <w:r w:rsidRPr="002E72D1">
        <w:rPr>
          <w:rFonts w:ascii="ITC Avant Garde" w:hAnsi="ITC Avant Garde" w:cs="Arial"/>
          <w:i/>
          <w:color w:val="000000"/>
          <w:sz w:val="16"/>
          <w:szCs w:val="16"/>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2E72D1">
        <w:rPr>
          <w:rFonts w:ascii="ITC Avant Garde" w:hAnsi="ITC Avant Garde" w:cs="Arial"/>
          <w:color w:val="000000"/>
          <w:sz w:val="16"/>
          <w:szCs w:val="16"/>
        </w:rPr>
        <w:t xml:space="preserve">”, 25 de marzo de 2014, Pág. 10. </w:t>
      </w:r>
      <w:r w:rsidRPr="002E72D1">
        <w:rPr>
          <w:rFonts w:ascii="ITC Avant Garde" w:hAnsi="ITC Avant Garde"/>
          <w:sz w:val="16"/>
          <w:szCs w:val="16"/>
        </w:rPr>
        <w:t>Consultable en:</w:t>
      </w:r>
    </w:p>
    <w:p w14:paraId="11592BE5" w14:textId="77777777" w:rsidR="00B17A96" w:rsidRPr="001903B5" w:rsidRDefault="00C30F92" w:rsidP="0099179E">
      <w:pPr>
        <w:pStyle w:val="Textonotapie"/>
        <w:rPr>
          <w:rFonts w:ascii="ITC Avant Garde" w:hAnsi="ITC Avant Garde" w:cs="Arial"/>
          <w:color w:val="000000"/>
          <w:sz w:val="16"/>
          <w:szCs w:val="16"/>
        </w:rPr>
      </w:pPr>
      <w:hyperlink r:id="rId1" w:history="1">
        <w:r w:rsidR="00B17A96" w:rsidRPr="002E72D1">
          <w:rPr>
            <w:rStyle w:val="Hipervnculo"/>
            <w:rFonts w:ascii="ITC Avant Garde" w:hAnsi="ITC Avant Garde"/>
            <w:sz w:val="16"/>
            <w:szCs w:val="16"/>
          </w:rPr>
          <w:t>http://legislacion.scjn.gob.mx/Buscador/Paginas/wfProcesoLegislativoCompleto.aspx?IdOrd=101766&amp;IdRef=1&amp;IdProc=1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8E439" w14:textId="143AAE24" w:rsidR="0099376D" w:rsidRDefault="0099376D">
    <w:pPr>
      <w:pStyle w:val="Encabezado"/>
    </w:pPr>
    <w:r>
      <w:rPr>
        <w:noProof/>
      </w:rPr>
      <w:pict w14:anchorId="0E52A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2094" o:spid="_x0000_s2050"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EA710" w14:textId="21FC5FD3" w:rsidR="0099376D" w:rsidRDefault="0099376D">
    <w:pPr>
      <w:pStyle w:val="Encabezado"/>
    </w:pPr>
    <w:r>
      <w:rPr>
        <w:noProof/>
      </w:rPr>
      <w:pict w14:anchorId="54001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2095" o:spid="_x0000_s2051"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EB072" w14:textId="15A60CB4" w:rsidR="0099376D" w:rsidRDefault="0099376D">
    <w:pPr>
      <w:pStyle w:val="Encabezado"/>
    </w:pPr>
    <w:r>
      <w:rPr>
        <w:noProof/>
      </w:rPr>
      <w:pict w14:anchorId="51D93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2093" o:spid="_x0000_s2049"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4A9B"/>
    <w:multiLevelType w:val="hybridMultilevel"/>
    <w:tmpl w:val="5CC0C2DC"/>
    <w:lvl w:ilvl="0" w:tplc="E1B68A9E">
      <w:start w:val="1"/>
      <w:numFmt w:val="ordinalText"/>
      <w:lvlText w:val="%1."/>
      <w:lvlJc w:val="left"/>
      <w:pPr>
        <w:ind w:left="502" w:hanging="360"/>
      </w:pPr>
      <w:rPr>
        <w:rFonts w:hint="default"/>
        <w:b/>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2A5391"/>
    <w:multiLevelType w:val="multilevel"/>
    <w:tmpl w:val="418E2F1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9E137E5"/>
    <w:multiLevelType w:val="hybridMultilevel"/>
    <w:tmpl w:val="037C2C2E"/>
    <w:lvl w:ilvl="0" w:tplc="080A0017">
      <w:start w:val="1"/>
      <w:numFmt w:val="lowerLetter"/>
      <w:lvlText w:val="%1)"/>
      <w:lvlJc w:val="left"/>
      <w:pPr>
        <w:ind w:left="720" w:hanging="360"/>
      </w:pPr>
      <w:rPr>
        <w:rFonts w:hint="default"/>
      </w:rPr>
    </w:lvl>
    <w:lvl w:ilvl="1" w:tplc="080A0017">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5F0139"/>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7828F1"/>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B41BBC"/>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1877B5"/>
    <w:multiLevelType w:val="hybridMultilevel"/>
    <w:tmpl w:val="7D72004E"/>
    <w:lvl w:ilvl="0" w:tplc="080A0017">
      <w:start w:val="1"/>
      <w:numFmt w:val="lowerLetter"/>
      <w:lvlText w:val="%1)"/>
      <w:lvlJc w:val="left"/>
      <w:pPr>
        <w:ind w:left="720" w:hanging="360"/>
      </w:pPr>
    </w:lvl>
    <w:lvl w:ilvl="1" w:tplc="11DC7836">
      <w:start w:val="1"/>
      <w:numFmt w:val="decimal"/>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9183C"/>
    <w:multiLevelType w:val="hybridMultilevel"/>
    <w:tmpl w:val="C1A8DB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267800"/>
    <w:multiLevelType w:val="hybridMultilevel"/>
    <w:tmpl w:val="BEEC00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3F473E"/>
    <w:multiLevelType w:val="hybridMultilevel"/>
    <w:tmpl w:val="00120284"/>
    <w:lvl w:ilvl="0" w:tplc="DEDC203C">
      <w:start w:val="1"/>
      <w:numFmt w:val="ordinalText"/>
      <w:lvlText w:val="%1."/>
      <w:lvlJc w:val="left"/>
      <w:pPr>
        <w:ind w:left="3479" w:hanging="360"/>
      </w:pPr>
      <w:rPr>
        <w:rFonts w:ascii="ITC Avant Garde" w:hAnsi="ITC Avant Garde" w:hint="default"/>
        <w:b/>
        <w:i w:val="0"/>
        <w:caps/>
        <w:sz w:val="22"/>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10" w15:restartNumberingAfterBreak="0">
    <w:nsid w:val="25F44076"/>
    <w:multiLevelType w:val="hybridMultilevel"/>
    <w:tmpl w:val="034CB6F8"/>
    <w:lvl w:ilvl="0" w:tplc="83F84F10">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DE3054"/>
    <w:multiLevelType w:val="multilevel"/>
    <w:tmpl w:val="418E2F14"/>
    <w:numStyleLink w:val="Estilo2"/>
  </w:abstractNum>
  <w:abstractNum w:abstractNumId="12" w15:restartNumberingAfterBreak="0">
    <w:nsid w:val="29FD12DB"/>
    <w:multiLevelType w:val="hybridMultilevel"/>
    <w:tmpl w:val="7D72004E"/>
    <w:lvl w:ilvl="0" w:tplc="080A0017">
      <w:start w:val="1"/>
      <w:numFmt w:val="lowerLetter"/>
      <w:lvlText w:val="%1)"/>
      <w:lvlJc w:val="left"/>
      <w:pPr>
        <w:ind w:left="720" w:hanging="360"/>
      </w:pPr>
    </w:lvl>
    <w:lvl w:ilvl="1" w:tplc="11DC7836">
      <w:start w:val="1"/>
      <w:numFmt w:val="decimal"/>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F73E52"/>
    <w:multiLevelType w:val="hybridMultilevel"/>
    <w:tmpl w:val="F23698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E26C76"/>
    <w:multiLevelType w:val="hybridMultilevel"/>
    <w:tmpl w:val="922076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8D1EE2"/>
    <w:multiLevelType w:val="hybridMultilevel"/>
    <w:tmpl w:val="AEB4DC3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52083E"/>
    <w:multiLevelType w:val="multilevel"/>
    <w:tmpl w:val="418E2F1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455565F"/>
    <w:multiLevelType w:val="hybridMultilevel"/>
    <w:tmpl w:val="63B695F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E90562"/>
    <w:multiLevelType w:val="multilevel"/>
    <w:tmpl w:val="BC0E0404"/>
    <w:lvl w:ilvl="0">
      <w:start w:val="2"/>
      <w:numFmt w:val="upperRoman"/>
      <w:lvlText w:val="%1."/>
      <w:lvlJc w:val="left"/>
      <w:pPr>
        <w:ind w:left="1287" w:hanging="72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35A65DCA"/>
    <w:multiLevelType w:val="hybridMultilevel"/>
    <w:tmpl w:val="BEE27194"/>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6D13485"/>
    <w:multiLevelType w:val="hybridMultilevel"/>
    <w:tmpl w:val="53D43BB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D70EE1"/>
    <w:multiLevelType w:val="hybridMultilevel"/>
    <w:tmpl w:val="2E747FBA"/>
    <w:lvl w:ilvl="0" w:tplc="080A0013">
      <w:start w:val="1"/>
      <w:numFmt w:val="upperRoman"/>
      <w:lvlText w:val="%1."/>
      <w:lvlJc w:val="right"/>
      <w:pPr>
        <w:ind w:left="720" w:hanging="360"/>
      </w:pPr>
      <w:rPr>
        <w:rFonts w:hint="default"/>
      </w:rPr>
    </w:lvl>
    <w:lvl w:ilvl="1" w:tplc="0BC87242">
      <w:start w:val="1"/>
      <w:numFmt w:val="lowerRoman"/>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A62468"/>
    <w:multiLevelType w:val="hybridMultilevel"/>
    <w:tmpl w:val="93686026"/>
    <w:lvl w:ilvl="0" w:tplc="97DAFB0C">
      <w:start w:val="1"/>
      <w:numFmt w:val="decimal"/>
      <w:lvlText w:val="%1."/>
      <w:lvlJc w:val="left"/>
      <w:pPr>
        <w:ind w:left="720" w:hanging="360"/>
      </w:pPr>
      <w:rPr>
        <w:rFonts w:ascii="Arial-BoldMT" w:hAnsi="Arial-BoldMT" w:cs="Arial-BoldM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30689B"/>
    <w:multiLevelType w:val="hybridMultilevel"/>
    <w:tmpl w:val="5CC0C2DC"/>
    <w:lvl w:ilvl="0" w:tplc="E1B68A9E">
      <w:start w:val="1"/>
      <w:numFmt w:val="ordinalText"/>
      <w:lvlText w:val="%1."/>
      <w:lvlJc w:val="left"/>
      <w:pPr>
        <w:ind w:left="502" w:hanging="360"/>
      </w:pPr>
      <w:rPr>
        <w:rFonts w:hint="default"/>
        <w:b/>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4E258D"/>
    <w:multiLevelType w:val="hybridMultilevel"/>
    <w:tmpl w:val="6E9EFCE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1B2396"/>
    <w:multiLevelType w:val="multilevel"/>
    <w:tmpl w:val="418E2F14"/>
    <w:styleLink w:val="Estilo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7DD2F42"/>
    <w:multiLevelType w:val="hybridMultilevel"/>
    <w:tmpl w:val="6B1A49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461D25"/>
    <w:multiLevelType w:val="hybridMultilevel"/>
    <w:tmpl w:val="5CC0C2DC"/>
    <w:lvl w:ilvl="0" w:tplc="E1B68A9E">
      <w:start w:val="1"/>
      <w:numFmt w:val="ordinalText"/>
      <w:lvlText w:val="%1."/>
      <w:lvlJc w:val="left"/>
      <w:pPr>
        <w:ind w:left="2487" w:hanging="360"/>
      </w:pPr>
      <w:rPr>
        <w:rFonts w:hint="default"/>
        <w:b/>
        <w:caps/>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7427"/>
    <w:multiLevelType w:val="hybridMultilevel"/>
    <w:tmpl w:val="49F83B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652392"/>
    <w:multiLevelType w:val="multilevel"/>
    <w:tmpl w:val="418E2F14"/>
    <w:numStyleLink w:val="Estilo1"/>
  </w:abstractNum>
  <w:abstractNum w:abstractNumId="30" w15:restartNumberingAfterBreak="0">
    <w:nsid w:val="53FB1777"/>
    <w:multiLevelType w:val="hybridMultilevel"/>
    <w:tmpl w:val="5AAA8968"/>
    <w:lvl w:ilvl="0" w:tplc="4E6E399A">
      <w:start w:val="1"/>
      <w:numFmt w:val="lowerLetter"/>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775BC2"/>
    <w:multiLevelType w:val="hybridMultilevel"/>
    <w:tmpl w:val="7D72004E"/>
    <w:lvl w:ilvl="0" w:tplc="080A0017">
      <w:start w:val="1"/>
      <w:numFmt w:val="lowerLetter"/>
      <w:lvlText w:val="%1)"/>
      <w:lvlJc w:val="left"/>
      <w:pPr>
        <w:ind w:left="720" w:hanging="360"/>
      </w:pPr>
    </w:lvl>
    <w:lvl w:ilvl="1" w:tplc="11DC7836">
      <w:start w:val="1"/>
      <w:numFmt w:val="decimal"/>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A4420E"/>
    <w:multiLevelType w:val="multilevel"/>
    <w:tmpl w:val="C63A18F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F672CD"/>
    <w:multiLevelType w:val="hybridMultilevel"/>
    <w:tmpl w:val="A3EC0B92"/>
    <w:lvl w:ilvl="0" w:tplc="58DC571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C8069A"/>
    <w:multiLevelType w:val="hybridMultilevel"/>
    <w:tmpl w:val="1A8CE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811906"/>
    <w:multiLevelType w:val="multilevel"/>
    <w:tmpl w:val="755A823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6A3104"/>
    <w:multiLevelType w:val="hybridMultilevel"/>
    <w:tmpl w:val="F4340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B915AF6"/>
    <w:multiLevelType w:val="multilevel"/>
    <w:tmpl w:val="ABE4C59A"/>
    <w:lvl w:ilvl="0">
      <w:start w:val="1"/>
      <w:numFmt w:val="upperRoman"/>
      <w:lvlText w:val="%1."/>
      <w:lvlJc w:val="left"/>
      <w:pPr>
        <w:ind w:left="1287" w:hanging="72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15:restartNumberingAfterBreak="0">
    <w:nsid w:val="70412AE8"/>
    <w:multiLevelType w:val="multilevel"/>
    <w:tmpl w:val="418E2F14"/>
    <w:styleLink w:val="Estilo1"/>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0ED0D46"/>
    <w:multiLevelType w:val="hybridMultilevel"/>
    <w:tmpl w:val="F3F8155C"/>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7D6A29"/>
    <w:multiLevelType w:val="hybridMultilevel"/>
    <w:tmpl w:val="FA36B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33"/>
  </w:num>
  <w:num w:numId="4">
    <w:abstractNumId w:val="10"/>
  </w:num>
  <w:num w:numId="5">
    <w:abstractNumId w:val="5"/>
  </w:num>
  <w:num w:numId="6">
    <w:abstractNumId w:val="9"/>
  </w:num>
  <w:num w:numId="7">
    <w:abstractNumId w:val="37"/>
  </w:num>
  <w:num w:numId="8">
    <w:abstractNumId w:val="31"/>
  </w:num>
  <w:num w:numId="9">
    <w:abstractNumId w:val="18"/>
  </w:num>
  <w:num w:numId="10">
    <w:abstractNumId w:val="24"/>
  </w:num>
  <w:num w:numId="11">
    <w:abstractNumId w:val="20"/>
  </w:num>
  <w:num w:numId="12">
    <w:abstractNumId w:val="19"/>
  </w:num>
  <w:num w:numId="13">
    <w:abstractNumId w:val="17"/>
  </w:num>
  <w:num w:numId="14">
    <w:abstractNumId w:val="26"/>
  </w:num>
  <w:num w:numId="15">
    <w:abstractNumId w:val="8"/>
  </w:num>
  <w:num w:numId="16">
    <w:abstractNumId w:val="27"/>
  </w:num>
  <w:num w:numId="17">
    <w:abstractNumId w:val="34"/>
  </w:num>
  <w:num w:numId="18">
    <w:abstractNumId w:val="40"/>
  </w:num>
  <w:num w:numId="19">
    <w:abstractNumId w:val="15"/>
  </w:num>
  <w:num w:numId="20">
    <w:abstractNumId w:val="3"/>
  </w:num>
  <w:num w:numId="21">
    <w:abstractNumId w:val="4"/>
  </w:num>
  <w:num w:numId="22">
    <w:abstractNumId w:val="21"/>
  </w:num>
  <w:num w:numId="23">
    <w:abstractNumId w:val="2"/>
  </w:num>
  <w:num w:numId="24">
    <w:abstractNumId w:val="39"/>
  </w:num>
  <w:num w:numId="25">
    <w:abstractNumId w:val="12"/>
  </w:num>
  <w:num w:numId="26">
    <w:abstractNumId w:val="30"/>
  </w:num>
  <w:num w:numId="27">
    <w:abstractNumId w:val="6"/>
  </w:num>
  <w:num w:numId="28">
    <w:abstractNumId w:val="23"/>
  </w:num>
  <w:num w:numId="29">
    <w:abstractNumId w:val="1"/>
  </w:num>
  <w:num w:numId="30">
    <w:abstractNumId w:val="38"/>
  </w:num>
  <w:num w:numId="31">
    <w:abstractNumId w:val="29"/>
  </w:num>
  <w:num w:numId="32">
    <w:abstractNumId w:val="25"/>
  </w:num>
  <w:num w:numId="33">
    <w:abstractNumId w:val="11"/>
  </w:num>
  <w:num w:numId="34">
    <w:abstractNumId w:val="16"/>
  </w:num>
  <w:num w:numId="35">
    <w:abstractNumId w:val="7"/>
  </w:num>
  <w:num w:numId="36">
    <w:abstractNumId w:val="0"/>
  </w:num>
  <w:num w:numId="37">
    <w:abstractNumId w:val="14"/>
  </w:num>
  <w:num w:numId="38">
    <w:abstractNumId w:val="35"/>
  </w:num>
  <w:num w:numId="39">
    <w:abstractNumId w:val="32"/>
  </w:num>
  <w:num w:numId="40">
    <w:abstractNumId w:val="2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F5"/>
    <w:rsid w:val="00005AE2"/>
    <w:rsid w:val="00011B71"/>
    <w:rsid w:val="00015EC5"/>
    <w:rsid w:val="00016DB3"/>
    <w:rsid w:val="00035567"/>
    <w:rsid w:val="0003767D"/>
    <w:rsid w:val="000411D5"/>
    <w:rsid w:val="00042A11"/>
    <w:rsid w:val="000451F2"/>
    <w:rsid w:val="000530AC"/>
    <w:rsid w:val="000556A4"/>
    <w:rsid w:val="00057D79"/>
    <w:rsid w:val="00064209"/>
    <w:rsid w:val="00067FBD"/>
    <w:rsid w:val="000705C8"/>
    <w:rsid w:val="00070655"/>
    <w:rsid w:val="00073D0C"/>
    <w:rsid w:val="00080229"/>
    <w:rsid w:val="00080A8F"/>
    <w:rsid w:val="0008375A"/>
    <w:rsid w:val="0008455D"/>
    <w:rsid w:val="000857C9"/>
    <w:rsid w:val="00094246"/>
    <w:rsid w:val="00097260"/>
    <w:rsid w:val="000A03B8"/>
    <w:rsid w:val="000A0E5E"/>
    <w:rsid w:val="000A746B"/>
    <w:rsid w:val="000C1EAC"/>
    <w:rsid w:val="000C3723"/>
    <w:rsid w:val="000C4D23"/>
    <w:rsid w:val="000C7180"/>
    <w:rsid w:val="000E1A53"/>
    <w:rsid w:val="000F21E0"/>
    <w:rsid w:val="000F6187"/>
    <w:rsid w:val="00101041"/>
    <w:rsid w:val="00107CF6"/>
    <w:rsid w:val="00110A9F"/>
    <w:rsid w:val="0011156F"/>
    <w:rsid w:val="00111903"/>
    <w:rsid w:val="001132E0"/>
    <w:rsid w:val="0013176F"/>
    <w:rsid w:val="001377F6"/>
    <w:rsid w:val="001652D1"/>
    <w:rsid w:val="00171801"/>
    <w:rsid w:val="00171891"/>
    <w:rsid w:val="00173F44"/>
    <w:rsid w:val="00177D6B"/>
    <w:rsid w:val="00180F1E"/>
    <w:rsid w:val="00181D19"/>
    <w:rsid w:val="00181F14"/>
    <w:rsid w:val="001B4512"/>
    <w:rsid w:val="001B62D3"/>
    <w:rsid w:val="001C38B7"/>
    <w:rsid w:val="001C7542"/>
    <w:rsid w:val="001D3A72"/>
    <w:rsid w:val="001D561D"/>
    <w:rsid w:val="001E4F3B"/>
    <w:rsid w:val="001F466C"/>
    <w:rsid w:val="001F7C93"/>
    <w:rsid w:val="00200081"/>
    <w:rsid w:val="0020071A"/>
    <w:rsid w:val="002075A3"/>
    <w:rsid w:val="00211631"/>
    <w:rsid w:val="00215964"/>
    <w:rsid w:val="00222523"/>
    <w:rsid w:val="00247784"/>
    <w:rsid w:val="0025560E"/>
    <w:rsid w:val="00256BAD"/>
    <w:rsid w:val="00261C66"/>
    <w:rsid w:val="002633DE"/>
    <w:rsid w:val="0027091F"/>
    <w:rsid w:val="00273FB6"/>
    <w:rsid w:val="00274A87"/>
    <w:rsid w:val="00276CCD"/>
    <w:rsid w:val="00277EDB"/>
    <w:rsid w:val="00290E6B"/>
    <w:rsid w:val="002923B5"/>
    <w:rsid w:val="002963D0"/>
    <w:rsid w:val="002A2D19"/>
    <w:rsid w:val="002A5B5A"/>
    <w:rsid w:val="002A5C9C"/>
    <w:rsid w:val="002C5292"/>
    <w:rsid w:val="002D3E74"/>
    <w:rsid w:val="002D56E0"/>
    <w:rsid w:val="002E0B74"/>
    <w:rsid w:val="002E39E6"/>
    <w:rsid w:val="002E4C90"/>
    <w:rsid w:val="002E6BAC"/>
    <w:rsid w:val="002E72D1"/>
    <w:rsid w:val="002F7359"/>
    <w:rsid w:val="002F78C5"/>
    <w:rsid w:val="00302367"/>
    <w:rsid w:val="00302D41"/>
    <w:rsid w:val="003036C8"/>
    <w:rsid w:val="00323BA9"/>
    <w:rsid w:val="00324862"/>
    <w:rsid w:val="00340EB2"/>
    <w:rsid w:val="00343461"/>
    <w:rsid w:val="0034435A"/>
    <w:rsid w:val="00344F79"/>
    <w:rsid w:val="00353166"/>
    <w:rsid w:val="00355470"/>
    <w:rsid w:val="0035585C"/>
    <w:rsid w:val="003575DA"/>
    <w:rsid w:val="00357F92"/>
    <w:rsid w:val="00370593"/>
    <w:rsid w:val="003753F5"/>
    <w:rsid w:val="00381580"/>
    <w:rsid w:val="0039155D"/>
    <w:rsid w:val="00394407"/>
    <w:rsid w:val="003970B6"/>
    <w:rsid w:val="0039767A"/>
    <w:rsid w:val="003A296D"/>
    <w:rsid w:val="003D6836"/>
    <w:rsid w:val="003D7AED"/>
    <w:rsid w:val="003E7C42"/>
    <w:rsid w:val="003F2E25"/>
    <w:rsid w:val="003F30C3"/>
    <w:rsid w:val="00403129"/>
    <w:rsid w:val="00421D08"/>
    <w:rsid w:val="00423D87"/>
    <w:rsid w:val="00441AB5"/>
    <w:rsid w:val="004473C2"/>
    <w:rsid w:val="00451141"/>
    <w:rsid w:val="004648BE"/>
    <w:rsid w:val="00471D54"/>
    <w:rsid w:val="00477CFC"/>
    <w:rsid w:val="0048128E"/>
    <w:rsid w:val="0049403F"/>
    <w:rsid w:val="0049440A"/>
    <w:rsid w:val="004A59B7"/>
    <w:rsid w:val="004A6BAB"/>
    <w:rsid w:val="004B0419"/>
    <w:rsid w:val="004B2B0B"/>
    <w:rsid w:val="004B3C80"/>
    <w:rsid w:val="004B6439"/>
    <w:rsid w:val="004C54E0"/>
    <w:rsid w:val="004E6788"/>
    <w:rsid w:val="004F07E4"/>
    <w:rsid w:val="004F39E9"/>
    <w:rsid w:val="004F6C36"/>
    <w:rsid w:val="00504F8B"/>
    <w:rsid w:val="0051131A"/>
    <w:rsid w:val="00513EFF"/>
    <w:rsid w:val="00514B40"/>
    <w:rsid w:val="005171FC"/>
    <w:rsid w:val="00522897"/>
    <w:rsid w:val="005235E4"/>
    <w:rsid w:val="00535F1D"/>
    <w:rsid w:val="00567F7B"/>
    <w:rsid w:val="00572749"/>
    <w:rsid w:val="00575960"/>
    <w:rsid w:val="00581322"/>
    <w:rsid w:val="00581BFD"/>
    <w:rsid w:val="0058519A"/>
    <w:rsid w:val="005971C9"/>
    <w:rsid w:val="005A48C2"/>
    <w:rsid w:val="005A53A2"/>
    <w:rsid w:val="005C66B1"/>
    <w:rsid w:val="005D27F2"/>
    <w:rsid w:val="005E2EE0"/>
    <w:rsid w:val="005E5FC3"/>
    <w:rsid w:val="005E7DEB"/>
    <w:rsid w:val="00600D56"/>
    <w:rsid w:val="00601F0D"/>
    <w:rsid w:val="00602949"/>
    <w:rsid w:val="00602DD0"/>
    <w:rsid w:val="00610390"/>
    <w:rsid w:val="00615DAE"/>
    <w:rsid w:val="00615EF4"/>
    <w:rsid w:val="0062025F"/>
    <w:rsid w:val="006246BC"/>
    <w:rsid w:val="00625963"/>
    <w:rsid w:val="00630AFE"/>
    <w:rsid w:val="006325B2"/>
    <w:rsid w:val="00633212"/>
    <w:rsid w:val="00634D5C"/>
    <w:rsid w:val="0063700C"/>
    <w:rsid w:val="00640012"/>
    <w:rsid w:val="00643C8A"/>
    <w:rsid w:val="00650F93"/>
    <w:rsid w:val="00651889"/>
    <w:rsid w:val="0065238C"/>
    <w:rsid w:val="00652DD8"/>
    <w:rsid w:val="006575B4"/>
    <w:rsid w:val="0066442D"/>
    <w:rsid w:val="00666C75"/>
    <w:rsid w:val="0067541B"/>
    <w:rsid w:val="006768B2"/>
    <w:rsid w:val="00677B39"/>
    <w:rsid w:val="00681263"/>
    <w:rsid w:val="00684198"/>
    <w:rsid w:val="00684666"/>
    <w:rsid w:val="00684FF2"/>
    <w:rsid w:val="006861C6"/>
    <w:rsid w:val="006920BD"/>
    <w:rsid w:val="006A0FB7"/>
    <w:rsid w:val="006A2DE0"/>
    <w:rsid w:val="006A2EC8"/>
    <w:rsid w:val="006A7A96"/>
    <w:rsid w:val="006B7FCE"/>
    <w:rsid w:val="006C0EFD"/>
    <w:rsid w:val="006D1BB0"/>
    <w:rsid w:val="006D6608"/>
    <w:rsid w:val="006E6F59"/>
    <w:rsid w:val="006F1037"/>
    <w:rsid w:val="006F792D"/>
    <w:rsid w:val="00705A66"/>
    <w:rsid w:val="007076AA"/>
    <w:rsid w:val="007129F1"/>
    <w:rsid w:val="007169AC"/>
    <w:rsid w:val="007333FD"/>
    <w:rsid w:val="00735394"/>
    <w:rsid w:val="00737D5D"/>
    <w:rsid w:val="00742224"/>
    <w:rsid w:val="00744950"/>
    <w:rsid w:val="00752E63"/>
    <w:rsid w:val="00755A55"/>
    <w:rsid w:val="00773BAF"/>
    <w:rsid w:val="007A493A"/>
    <w:rsid w:val="007A7109"/>
    <w:rsid w:val="007C0557"/>
    <w:rsid w:val="007C0E3C"/>
    <w:rsid w:val="007C2352"/>
    <w:rsid w:val="007C23A0"/>
    <w:rsid w:val="007C38C0"/>
    <w:rsid w:val="007C6CD2"/>
    <w:rsid w:val="007E266D"/>
    <w:rsid w:val="007F27A2"/>
    <w:rsid w:val="007F2A05"/>
    <w:rsid w:val="007F4374"/>
    <w:rsid w:val="00803E5B"/>
    <w:rsid w:val="0080588B"/>
    <w:rsid w:val="00810A63"/>
    <w:rsid w:val="00816FAE"/>
    <w:rsid w:val="00830A29"/>
    <w:rsid w:val="0083299B"/>
    <w:rsid w:val="00836588"/>
    <w:rsid w:val="00841761"/>
    <w:rsid w:val="008427A3"/>
    <w:rsid w:val="00845E3D"/>
    <w:rsid w:val="00853FAC"/>
    <w:rsid w:val="00854CB0"/>
    <w:rsid w:val="0086069F"/>
    <w:rsid w:val="008629D9"/>
    <w:rsid w:val="00865E3B"/>
    <w:rsid w:val="0087220D"/>
    <w:rsid w:val="008744D4"/>
    <w:rsid w:val="0087638D"/>
    <w:rsid w:val="008771F5"/>
    <w:rsid w:val="00884DAB"/>
    <w:rsid w:val="008B7BE7"/>
    <w:rsid w:val="008C479C"/>
    <w:rsid w:val="008C6054"/>
    <w:rsid w:val="008D0D01"/>
    <w:rsid w:val="008E18D8"/>
    <w:rsid w:val="008E3B89"/>
    <w:rsid w:val="008E3E4E"/>
    <w:rsid w:val="008E468C"/>
    <w:rsid w:val="008F70EE"/>
    <w:rsid w:val="008F7631"/>
    <w:rsid w:val="008F7893"/>
    <w:rsid w:val="00905735"/>
    <w:rsid w:val="00910102"/>
    <w:rsid w:val="009215CE"/>
    <w:rsid w:val="00922775"/>
    <w:rsid w:val="00925F6B"/>
    <w:rsid w:val="009261D8"/>
    <w:rsid w:val="00927808"/>
    <w:rsid w:val="0093070A"/>
    <w:rsid w:val="00933771"/>
    <w:rsid w:val="00942504"/>
    <w:rsid w:val="00943D3E"/>
    <w:rsid w:val="009620DF"/>
    <w:rsid w:val="00966916"/>
    <w:rsid w:val="00967B3E"/>
    <w:rsid w:val="009719BB"/>
    <w:rsid w:val="00971EB9"/>
    <w:rsid w:val="00977955"/>
    <w:rsid w:val="009820F0"/>
    <w:rsid w:val="00982BA8"/>
    <w:rsid w:val="0098711E"/>
    <w:rsid w:val="009909A6"/>
    <w:rsid w:val="00990D65"/>
    <w:rsid w:val="0099179E"/>
    <w:rsid w:val="0099376D"/>
    <w:rsid w:val="009A2002"/>
    <w:rsid w:val="009B2F6F"/>
    <w:rsid w:val="009B6E8B"/>
    <w:rsid w:val="009B712D"/>
    <w:rsid w:val="009C2EF8"/>
    <w:rsid w:val="009C34B0"/>
    <w:rsid w:val="009D0235"/>
    <w:rsid w:val="009D5122"/>
    <w:rsid w:val="009D6A25"/>
    <w:rsid w:val="009F1C36"/>
    <w:rsid w:val="009F2072"/>
    <w:rsid w:val="00A0250C"/>
    <w:rsid w:val="00A13EB7"/>
    <w:rsid w:val="00A25BCF"/>
    <w:rsid w:val="00A32F1A"/>
    <w:rsid w:val="00A46894"/>
    <w:rsid w:val="00A4798C"/>
    <w:rsid w:val="00A65C14"/>
    <w:rsid w:val="00A835CC"/>
    <w:rsid w:val="00A8513D"/>
    <w:rsid w:val="00A860A2"/>
    <w:rsid w:val="00A92908"/>
    <w:rsid w:val="00A937F6"/>
    <w:rsid w:val="00A95C1D"/>
    <w:rsid w:val="00AB261B"/>
    <w:rsid w:val="00AB5CED"/>
    <w:rsid w:val="00AC0405"/>
    <w:rsid w:val="00AC45C8"/>
    <w:rsid w:val="00AC6E57"/>
    <w:rsid w:val="00AC7FDA"/>
    <w:rsid w:val="00AE1FC4"/>
    <w:rsid w:val="00AF29D1"/>
    <w:rsid w:val="00AF467E"/>
    <w:rsid w:val="00AF7A5F"/>
    <w:rsid w:val="00B00565"/>
    <w:rsid w:val="00B049FA"/>
    <w:rsid w:val="00B16CFD"/>
    <w:rsid w:val="00B16FDE"/>
    <w:rsid w:val="00B17A96"/>
    <w:rsid w:val="00B21E83"/>
    <w:rsid w:val="00B25275"/>
    <w:rsid w:val="00B34DE4"/>
    <w:rsid w:val="00B35C6E"/>
    <w:rsid w:val="00B35CB2"/>
    <w:rsid w:val="00B35DCD"/>
    <w:rsid w:val="00B36E81"/>
    <w:rsid w:val="00B37DC1"/>
    <w:rsid w:val="00B40B66"/>
    <w:rsid w:val="00B57823"/>
    <w:rsid w:val="00B61BAD"/>
    <w:rsid w:val="00B63D90"/>
    <w:rsid w:val="00B640C4"/>
    <w:rsid w:val="00B646BF"/>
    <w:rsid w:val="00B655A3"/>
    <w:rsid w:val="00B662A2"/>
    <w:rsid w:val="00B66951"/>
    <w:rsid w:val="00B8062B"/>
    <w:rsid w:val="00B810D7"/>
    <w:rsid w:val="00B81568"/>
    <w:rsid w:val="00B900EC"/>
    <w:rsid w:val="00B91BAB"/>
    <w:rsid w:val="00B93606"/>
    <w:rsid w:val="00B9687C"/>
    <w:rsid w:val="00BA3DBA"/>
    <w:rsid w:val="00BB22F8"/>
    <w:rsid w:val="00BC0846"/>
    <w:rsid w:val="00BC31A5"/>
    <w:rsid w:val="00BC4896"/>
    <w:rsid w:val="00BF2234"/>
    <w:rsid w:val="00C056CA"/>
    <w:rsid w:val="00C05C2F"/>
    <w:rsid w:val="00C30F92"/>
    <w:rsid w:val="00C3366C"/>
    <w:rsid w:val="00C33DF6"/>
    <w:rsid w:val="00C41F5C"/>
    <w:rsid w:val="00C432AF"/>
    <w:rsid w:val="00C461E3"/>
    <w:rsid w:val="00C57A5C"/>
    <w:rsid w:val="00C67C5C"/>
    <w:rsid w:val="00C70C18"/>
    <w:rsid w:val="00C72F4C"/>
    <w:rsid w:val="00C75C0C"/>
    <w:rsid w:val="00C83380"/>
    <w:rsid w:val="00C83C8F"/>
    <w:rsid w:val="00C854D8"/>
    <w:rsid w:val="00CC43E7"/>
    <w:rsid w:val="00CD4416"/>
    <w:rsid w:val="00CE45C9"/>
    <w:rsid w:val="00CF2C32"/>
    <w:rsid w:val="00CF3735"/>
    <w:rsid w:val="00CF3752"/>
    <w:rsid w:val="00D00D37"/>
    <w:rsid w:val="00D120AF"/>
    <w:rsid w:val="00D14814"/>
    <w:rsid w:val="00D1733C"/>
    <w:rsid w:val="00D232E3"/>
    <w:rsid w:val="00D24E7A"/>
    <w:rsid w:val="00D31A2F"/>
    <w:rsid w:val="00D31A64"/>
    <w:rsid w:val="00D4162F"/>
    <w:rsid w:val="00D42F10"/>
    <w:rsid w:val="00D64BA9"/>
    <w:rsid w:val="00D67D73"/>
    <w:rsid w:val="00D7212A"/>
    <w:rsid w:val="00D73AB0"/>
    <w:rsid w:val="00D83763"/>
    <w:rsid w:val="00D868C2"/>
    <w:rsid w:val="00D91021"/>
    <w:rsid w:val="00D93D93"/>
    <w:rsid w:val="00D970DA"/>
    <w:rsid w:val="00DB173D"/>
    <w:rsid w:val="00DB70F1"/>
    <w:rsid w:val="00DC7BC5"/>
    <w:rsid w:val="00DD1D07"/>
    <w:rsid w:val="00DD4277"/>
    <w:rsid w:val="00DD5C85"/>
    <w:rsid w:val="00DD7CF5"/>
    <w:rsid w:val="00DE50B0"/>
    <w:rsid w:val="00DE70FA"/>
    <w:rsid w:val="00DE7947"/>
    <w:rsid w:val="00DF40C3"/>
    <w:rsid w:val="00DF4A38"/>
    <w:rsid w:val="00E004B0"/>
    <w:rsid w:val="00E03944"/>
    <w:rsid w:val="00E04764"/>
    <w:rsid w:val="00E061C8"/>
    <w:rsid w:val="00E14C3D"/>
    <w:rsid w:val="00E200F5"/>
    <w:rsid w:val="00E21C2F"/>
    <w:rsid w:val="00E26972"/>
    <w:rsid w:val="00E26FAF"/>
    <w:rsid w:val="00E27A54"/>
    <w:rsid w:val="00E357A9"/>
    <w:rsid w:val="00E3591B"/>
    <w:rsid w:val="00E43652"/>
    <w:rsid w:val="00E50E28"/>
    <w:rsid w:val="00E52CE6"/>
    <w:rsid w:val="00E55741"/>
    <w:rsid w:val="00E61840"/>
    <w:rsid w:val="00E63A82"/>
    <w:rsid w:val="00E70787"/>
    <w:rsid w:val="00E73F00"/>
    <w:rsid w:val="00E81FF5"/>
    <w:rsid w:val="00E87C82"/>
    <w:rsid w:val="00E9737F"/>
    <w:rsid w:val="00EA496E"/>
    <w:rsid w:val="00EA65AA"/>
    <w:rsid w:val="00EB1FAE"/>
    <w:rsid w:val="00EB22D4"/>
    <w:rsid w:val="00EB5973"/>
    <w:rsid w:val="00EB7389"/>
    <w:rsid w:val="00EC1B04"/>
    <w:rsid w:val="00EE037D"/>
    <w:rsid w:val="00EF3DC8"/>
    <w:rsid w:val="00EF5438"/>
    <w:rsid w:val="00EF7693"/>
    <w:rsid w:val="00F04138"/>
    <w:rsid w:val="00F07D8F"/>
    <w:rsid w:val="00F1548C"/>
    <w:rsid w:val="00F21A5E"/>
    <w:rsid w:val="00F24C92"/>
    <w:rsid w:val="00F37728"/>
    <w:rsid w:val="00F40898"/>
    <w:rsid w:val="00F4487D"/>
    <w:rsid w:val="00F657AB"/>
    <w:rsid w:val="00F803FF"/>
    <w:rsid w:val="00F81CF0"/>
    <w:rsid w:val="00F84952"/>
    <w:rsid w:val="00F900CB"/>
    <w:rsid w:val="00F94854"/>
    <w:rsid w:val="00FA1A71"/>
    <w:rsid w:val="00FA47A1"/>
    <w:rsid w:val="00FB5D68"/>
    <w:rsid w:val="00FB61B5"/>
    <w:rsid w:val="00FC3A32"/>
    <w:rsid w:val="00FD227E"/>
    <w:rsid w:val="00FD6451"/>
    <w:rsid w:val="00FD7F33"/>
    <w:rsid w:val="00FE0066"/>
    <w:rsid w:val="00FE078A"/>
    <w:rsid w:val="00FE42F2"/>
    <w:rsid w:val="00FE7E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D5BFF8"/>
  <w15:chartTrackingRefBased/>
  <w15:docId w15:val="{22A18C80-F7DE-41B3-B840-9A0EFC27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33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77B39"/>
    <w:pPr>
      <w:pBdr>
        <w:top w:val="nil"/>
        <w:left w:val="nil"/>
        <w:bottom w:val="nil"/>
        <w:right w:val="nil"/>
        <w:between w:val="nil"/>
        <w:bar w:val="nil"/>
      </w:pBdr>
      <w:spacing w:after="0" w:line="240" w:lineRule="auto"/>
      <w:contextualSpacing/>
      <w:jc w:val="center"/>
      <w:outlineLvl w:val="1"/>
    </w:pPr>
    <w:rPr>
      <w:rFonts w:ascii="ITC Avant Garde" w:eastAsia="Times New Roman" w:hAnsi="ITC Avant Garde" w:cs="Times"/>
      <w:b/>
      <w:color w:val="2F2F2F"/>
      <w:bdr w:val="nil"/>
      <w:lang w:eastAsia="es-MX"/>
    </w:rPr>
  </w:style>
  <w:style w:type="paragraph" w:styleId="Ttulo3">
    <w:name w:val="heading 3"/>
    <w:basedOn w:val="Normal"/>
    <w:next w:val="Normal"/>
    <w:link w:val="Ttulo3Car"/>
    <w:uiPriority w:val="9"/>
    <w:unhideWhenUsed/>
    <w:qFormat/>
    <w:rsid w:val="00677B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Listas,lp1"/>
    <w:basedOn w:val="Normal"/>
    <w:link w:val="PrrafodelistaCar"/>
    <w:uiPriority w:val="34"/>
    <w:qFormat/>
    <w:rsid w:val="00EF5438"/>
    <w:pPr>
      <w:ind w:left="720"/>
      <w:contextualSpacing/>
    </w:pPr>
  </w:style>
  <w:style w:type="character" w:customStyle="1" w:styleId="PrrafodelistaCar">
    <w:name w:val="Párrafo de lista Car"/>
    <w:aliases w:val="4 Viñ 1nivel Car,Numeración 1 Car,Cuadrícula media 1 - Énfasis 21 Car,Listas Car,lp1 Car"/>
    <w:link w:val="Prrafodelista"/>
    <w:uiPriority w:val="34"/>
    <w:locked/>
    <w:rsid w:val="00677B39"/>
  </w:style>
  <w:style w:type="character" w:customStyle="1" w:styleId="Ttulo2Car">
    <w:name w:val="Título 2 Car"/>
    <w:basedOn w:val="Fuentedeprrafopredeter"/>
    <w:link w:val="Ttulo2"/>
    <w:uiPriority w:val="9"/>
    <w:rsid w:val="00677B39"/>
    <w:rPr>
      <w:rFonts w:ascii="ITC Avant Garde" w:eastAsia="Times New Roman" w:hAnsi="ITC Avant Garde" w:cs="Times"/>
      <w:b/>
      <w:color w:val="2F2F2F"/>
      <w:bdr w:val="nil"/>
      <w:lang w:eastAsia="es-MX"/>
    </w:rPr>
  </w:style>
  <w:style w:type="character" w:customStyle="1" w:styleId="Ttulo3Car">
    <w:name w:val="Título 3 Car"/>
    <w:basedOn w:val="Fuentedeprrafopredeter"/>
    <w:link w:val="Ttulo3"/>
    <w:uiPriority w:val="9"/>
    <w:rsid w:val="00677B39"/>
    <w:rPr>
      <w:rFonts w:asciiTheme="majorHAnsi" w:eastAsiaTheme="majorEastAsia" w:hAnsiTheme="majorHAnsi" w:cstheme="majorBidi"/>
      <w:color w:val="1F4D78" w:themeColor="accent1" w:themeShade="7F"/>
      <w:sz w:val="24"/>
      <w:szCs w:val="24"/>
    </w:rPr>
  </w:style>
  <w:style w:type="character" w:styleId="Hipervnculo">
    <w:name w:val="Hyperlink"/>
    <w:uiPriority w:val="99"/>
    <w:rsid w:val="00677B39"/>
    <w:rPr>
      <w:u w:val="single"/>
    </w:rPr>
  </w:style>
  <w:style w:type="paragraph" w:customStyle="1" w:styleId="Texto">
    <w:name w:val="Texto"/>
    <w:link w:val="TextoCar"/>
    <w:rsid w:val="00677B39"/>
    <w:pPr>
      <w:pBdr>
        <w:top w:val="nil"/>
        <w:left w:val="nil"/>
        <w:bottom w:val="nil"/>
        <w:right w:val="nil"/>
        <w:between w:val="nil"/>
        <w:bar w:val="nil"/>
      </w:pBdr>
      <w:spacing w:after="101" w:line="216" w:lineRule="exact"/>
      <w:ind w:firstLine="288"/>
      <w:jc w:val="both"/>
    </w:pPr>
    <w:rPr>
      <w:rFonts w:ascii="Arial" w:eastAsia="Arial Unicode MS" w:hAnsi="Arial Unicode MS" w:cs="Arial Unicode MS"/>
      <w:color w:val="000000"/>
      <w:sz w:val="18"/>
      <w:szCs w:val="18"/>
      <w:u w:color="000000"/>
      <w:bdr w:val="nil"/>
      <w:lang w:val="es-ES_tradnl"/>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rsid w:val="00677B3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uiPriority w:val="99"/>
    <w:rsid w:val="00677B39"/>
    <w:rPr>
      <w:rFonts w:ascii="Times New Roman" w:eastAsia="Arial Unicode MS" w:hAnsi="Times New Roman" w:cs="Times New Roman"/>
      <w:sz w:val="24"/>
      <w:szCs w:val="24"/>
      <w:bdr w:val="nil"/>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uiPriority w:val="99"/>
    <w:rsid w:val="00677B39"/>
    <w:rPr>
      <w:vertAlign w:val="superscript"/>
    </w:rPr>
  </w:style>
  <w:style w:type="character" w:customStyle="1" w:styleId="TextoCar">
    <w:name w:val="Texto Car"/>
    <w:link w:val="Texto"/>
    <w:locked/>
    <w:rsid w:val="00677B39"/>
    <w:rPr>
      <w:rFonts w:ascii="Arial" w:eastAsia="Arial Unicode MS" w:hAnsi="Arial Unicode MS" w:cs="Arial Unicode MS"/>
      <w:color w:val="000000"/>
      <w:sz w:val="18"/>
      <w:szCs w:val="18"/>
      <w:u w:color="000000"/>
      <w:bdr w:val="nil"/>
      <w:lang w:val="es-ES_tradnl"/>
    </w:rPr>
  </w:style>
  <w:style w:type="paragraph" w:styleId="NormalWeb">
    <w:name w:val="Normal (Web)"/>
    <w:basedOn w:val="Normal"/>
    <w:uiPriority w:val="99"/>
    <w:semiHidden/>
    <w:unhideWhenUsed/>
    <w:rsid w:val="00AF467E"/>
    <w:pPr>
      <w:spacing w:after="150"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A53A2"/>
    <w:rPr>
      <w:rFonts w:ascii="Arial" w:hAnsi="Arial" w:cs="Arial" w:hint="default"/>
      <w:b/>
      <w:bCs/>
    </w:rPr>
  </w:style>
  <w:style w:type="paragraph" w:styleId="Textocomentario">
    <w:name w:val="annotation text"/>
    <w:basedOn w:val="Normal"/>
    <w:link w:val="TextocomentarioCar"/>
    <w:uiPriority w:val="99"/>
    <w:unhideWhenUsed/>
    <w:rsid w:val="0099179E"/>
    <w:pPr>
      <w:spacing w:line="240" w:lineRule="auto"/>
    </w:pPr>
    <w:rPr>
      <w:sz w:val="20"/>
      <w:szCs w:val="20"/>
    </w:rPr>
  </w:style>
  <w:style w:type="character" w:customStyle="1" w:styleId="TextocomentarioCar">
    <w:name w:val="Texto comentario Car"/>
    <w:basedOn w:val="Fuentedeprrafopredeter"/>
    <w:link w:val="Textocomentario"/>
    <w:uiPriority w:val="99"/>
    <w:rsid w:val="0099179E"/>
    <w:rPr>
      <w:sz w:val="20"/>
      <w:szCs w:val="20"/>
    </w:rPr>
  </w:style>
  <w:style w:type="paragraph" w:customStyle="1" w:styleId="Default">
    <w:name w:val="Default"/>
    <w:rsid w:val="0099179E"/>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Ttulo1Car">
    <w:name w:val="Título 1 Car"/>
    <w:basedOn w:val="Fuentedeprrafopredeter"/>
    <w:link w:val="Ttulo1"/>
    <w:uiPriority w:val="9"/>
    <w:rsid w:val="007333FD"/>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1"/>
    <w:qFormat/>
    <w:rsid w:val="00567F7B"/>
    <w:pPr>
      <w:widowControl w:val="0"/>
      <w:spacing w:after="0" w:line="240" w:lineRule="auto"/>
      <w:ind w:left="118"/>
    </w:pPr>
    <w:rPr>
      <w:rFonts w:ascii="ITC Avant Garde" w:eastAsia="ITC Avant Garde" w:hAnsi="ITC Avant Garde"/>
      <w:lang w:val="en-US"/>
    </w:rPr>
  </w:style>
  <w:style w:type="character" w:customStyle="1" w:styleId="TextoindependienteCar">
    <w:name w:val="Texto independiente Car"/>
    <w:basedOn w:val="Fuentedeprrafopredeter"/>
    <w:link w:val="Textoindependiente"/>
    <w:uiPriority w:val="1"/>
    <w:rsid w:val="00567F7B"/>
    <w:rPr>
      <w:rFonts w:ascii="ITC Avant Garde" w:eastAsia="ITC Avant Garde" w:hAnsi="ITC Avant Garde"/>
      <w:lang w:val="en-US"/>
    </w:rPr>
  </w:style>
  <w:style w:type="numbering" w:customStyle="1" w:styleId="Estilo1">
    <w:name w:val="Estilo1"/>
    <w:uiPriority w:val="99"/>
    <w:rsid w:val="000411D5"/>
    <w:pPr>
      <w:numPr>
        <w:numId w:val="30"/>
      </w:numPr>
    </w:pPr>
  </w:style>
  <w:style w:type="numbering" w:customStyle="1" w:styleId="Estilo2">
    <w:name w:val="Estilo2"/>
    <w:uiPriority w:val="99"/>
    <w:rsid w:val="000411D5"/>
    <w:pPr>
      <w:numPr>
        <w:numId w:val="32"/>
      </w:numPr>
    </w:pPr>
  </w:style>
  <w:style w:type="paragraph" w:styleId="Encabezado">
    <w:name w:val="header"/>
    <w:basedOn w:val="Normal"/>
    <w:link w:val="EncabezadoCar"/>
    <w:uiPriority w:val="99"/>
    <w:unhideWhenUsed/>
    <w:rsid w:val="003554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5470"/>
  </w:style>
  <w:style w:type="paragraph" w:styleId="Piedepgina">
    <w:name w:val="footer"/>
    <w:basedOn w:val="Normal"/>
    <w:link w:val="PiedepginaCar"/>
    <w:uiPriority w:val="99"/>
    <w:unhideWhenUsed/>
    <w:rsid w:val="003554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5470"/>
  </w:style>
  <w:style w:type="paragraph" w:styleId="Textodeglobo">
    <w:name w:val="Balloon Text"/>
    <w:basedOn w:val="Normal"/>
    <w:link w:val="TextodegloboCar"/>
    <w:uiPriority w:val="99"/>
    <w:semiHidden/>
    <w:unhideWhenUsed/>
    <w:rsid w:val="00DE79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7947"/>
    <w:rPr>
      <w:rFonts w:ascii="Segoe UI" w:hAnsi="Segoe UI" w:cs="Segoe UI"/>
      <w:sz w:val="18"/>
      <w:szCs w:val="18"/>
    </w:rPr>
  </w:style>
  <w:style w:type="character" w:styleId="Refdecomentario">
    <w:name w:val="annotation reference"/>
    <w:basedOn w:val="Fuentedeprrafopredeter"/>
    <w:uiPriority w:val="99"/>
    <w:semiHidden/>
    <w:unhideWhenUsed/>
    <w:rsid w:val="00E63A82"/>
    <w:rPr>
      <w:sz w:val="16"/>
      <w:szCs w:val="16"/>
    </w:rPr>
  </w:style>
  <w:style w:type="paragraph" w:styleId="Asuntodelcomentario">
    <w:name w:val="annotation subject"/>
    <w:basedOn w:val="Textocomentario"/>
    <w:next w:val="Textocomentario"/>
    <w:link w:val="AsuntodelcomentarioCar"/>
    <w:uiPriority w:val="99"/>
    <w:semiHidden/>
    <w:unhideWhenUsed/>
    <w:rsid w:val="00E63A82"/>
    <w:rPr>
      <w:b/>
      <w:bCs/>
    </w:rPr>
  </w:style>
  <w:style w:type="character" w:customStyle="1" w:styleId="AsuntodelcomentarioCar">
    <w:name w:val="Asunto del comentario Car"/>
    <w:basedOn w:val="TextocomentarioCar"/>
    <w:link w:val="Asuntodelcomentario"/>
    <w:uiPriority w:val="99"/>
    <w:semiHidden/>
    <w:rsid w:val="00E63A82"/>
    <w:rPr>
      <w:b/>
      <w:bCs/>
      <w:sz w:val="20"/>
      <w:szCs w:val="20"/>
    </w:rPr>
  </w:style>
  <w:style w:type="paragraph" w:styleId="Revisin">
    <w:name w:val="Revision"/>
    <w:hidden/>
    <w:uiPriority w:val="99"/>
    <w:semiHidden/>
    <w:rsid w:val="00943D3E"/>
    <w:pPr>
      <w:spacing w:after="0" w:line="240" w:lineRule="auto"/>
    </w:pPr>
  </w:style>
  <w:style w:type="character" w:styleId="Hipervnculovisitado">
    <w:name w:val="FollowedHyperlink"/>
    <w:basedOn w:val="Fuentedeprrafopredeter"/>
    <w:uiPriority w:val="99"/>
    <w:semiHidden/>
    <w:unhideWhenUsed/>
    <w:rsid w:val="00A13E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96764">
      <w:bodyDiv w:val="1"/>
      <w:marLeft w:val="0"/>
      <w:marRight w:val="0"/>
      <w:marTop w:val="0"/>
      <w:marBottom w:val="0"/>
      <w:divBdr>
        <w:top w:val="none" w:sz="0" w:space="0" w:color="auto"/>
        <w:left w:val="none" w:sz="0" w:space="0" w:color="auto"/>
        <w:bottom w:val="none" w:sz="0" w:space="0" w:color="auto"/>
        <w:right w:val="none" w:sz="0" w:space="0" w:color="auto"/>
      </w:divBdr>
      <w:divsChild>
        <w:div w:id="513030549">
          <w:marLeft w:val="0"/>
          <w:marRight w:val="0"/>
          <w:marTop w:val="0"/>
          <w:marBottom w:val="0"/>
          <w:divBdr>
            <w:top w:val="none" w:sz="0" w:space="0" w:color="auto"/>
            <w:left w:val="none" w:sz="0" w:space="0" w:color="auto"/>
            <w:bottom w:val="none" w:sz="0" w:space="0" w:color="auto"/>
            <w:right w:val="none" w:sz="0" w:space="0" w:color="auto"/>
          </w:divBdr>
          <w:divsChild>
            <w:div w:id="1780491881">
              <w:marLeft w:val="-225"/>
              <w:marRight w:val="-225"/>
              <w:marTop w:val="0"/>
              <w:marBottom w:val="0"/>
              <w:divBdr>
                <w:top w:val="none" w:sz="0" w:space="0" w:color="auto"/>
                <w:left w:val="none" w:sz="0" w:space="0" w:color="auto"/>
                <w:bottom w:val="none" w:sz="0" w:space="0" w:color="auto"/>
                <w:right w:val="none" w:sz="0" w:space="0" w:color="auto"/>
              </w:divBdr>
              <w:divsChild>
                <w:div w:id="58945396">
                  <w:marLeft w:val="0"/>
                  <w:marRight w:val="0"/>
                  <w:marTop w:val="0"/>
                  <w:marBottom w:val="0"/>
                  <w:divBdr>
                    <w:top w:val="none" w:sz="0" w:space="0" w:color="auto"/>
                    <w:left w:val="none" w:sz="0" w:space="0" w:color="auto"/>
                    <w:bottom w:val="none" w:sz="0" w:space="0" w:color="auto"/>
                    <w:right w:val="none" w:sz="0" w:space="0" w:color="auto"/>
                  </w:divBdr>
                  <w:divsChild>
                    <w:div w:id="1477379486">
                      <w:marLeft w:val="-225"/>
                      <w:marRight w:val="-225"/>
                      <w:marTop w:val="0"/>
                      <w:marBottom w:val="0"/>
                      <w:divBdr>
                        <w:top w:val="none" w:sz="0" w:space="0" w:color="auto"/>
                        <w:left w:val="none" w:sz="0" w:space="0" w:color="auto"/>
                        <w:bottom w:val="none" w:sz="0" w:space="0" w:color="auto"/>
                        <w:right w:val="none" w:sz="0" w:space="0" w:color="auto"/>
                      </w:divBdr>
                      <w:divsChild>
                        <w:div w:id="1539010450">
                          <w:marLeft w:val="-225"/>
                          <w:marRight w:val="-225"/>
                          <w:marTop w:val="0"/>
                          <w:marBottom w:val="0"/>
                          <w:divBdr>
                            <w:top w:val="none" w:sz="0" w:space="0" w:color="auto"/>
                            <w:left w:val="none" w:sz="0" w:space="0" w:color="auto"/>
                            <w:bottom w:val="none" w:sz="0" w:space="0" w:color="auto"/>
                            <w:right w:val="none" w:sz="0" w:space="0" w:color="auto"/>
                          </w:divBdr>
                          <w:divsChild>
                            <w:div w:id="2031374340">
                              <w:marLeft w:val="0"/>
                              <w:marRight w:val="0"/>
                              <w:marTop w:val="0"/>
                              <w:marBottom w:val="0"/>
                              <w:divBdr>
                                <w:top w:val="none" w:sz="0" w:space="0" w:color="auto"/>
                                <w:left w:val="none" w:sz="0" w:space="0" w:color="auto"/>
                                <w:bottom w:val="none" w:sz="0" w:space="0" w:color="auto"/>
                                <w:right w:val="none" w:sz="0" w:space="0" w:color="auto"/>
                              </w:divBdr>
                              <w:divsChild>
                                <w:div w:id="1521122299">
                                  <w:marLeft w:val="-225"/>
                                  <w:marRight w:val="-225"/>
                                  <w:marTop w:val="0"/>
                                  <w:marBottom w:val="0"/>
                                  <w:divBdr>
                                    <w:top w:val="none" w:sz="0" w:space="0" w:color="auto"/>
                                    <w:left w:val="none" w:sz="0" w:space="0" w:color="auto"/>
                                    <w:bottom w:val="none" w:sz="0" w:space="0" w:color="auto"/>
                                    <w:right w:val="none" w:sz="0" w:space="0" w:color="auto"/>
                                  </w:divBdr>
                                  <w:divsChild>
                                    <w:div w:id="7548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726716">
      <w:bodyDiv w:val="1"/>
      <w:marLeft w:val="0"/>
      <w:marRight w:val="0"/>
      <w:marTop w:val="0"/>
      <w:marBottom w:val="0"/>
      <w:divBdr>
        <w:top w:val="none" w:sz="0" w:space="0" w:color="auto"/>
        <w:left w:val="none" w:sz="0" w:space="0" w:color="auto"/>
        <w:bottom w:val="none" w:sz="0" w:space="0" w:color="auto"/>
        <w:right w:val="none" w:sz="0" w:space="0" w:color="auto"/>
      </w:divBdr>
    </w:div>
    <w:div w:id="1146823259">
      <w:bodyDiv w:val="1"/>
      <w:marLeft w:val="0"/>
      <w:marRight w:val="0"/>
      <w:marTop w:val="0"/>
      <w:marBottom w:val="0"/>
      <w:divBdr>
        <w:top w:val="none" w:sz="0" w:space="0" w:color="auto"/>
        <w:left w:val="none" w:sz="0" w:space="0" w:color="auto"/>
        <w:bottom w:val="none" w:sz="0" w:space="0" w:color="auto"/>
        <w:right w:val="none" w:sz="0" w:space="0" w:color="auto"/>
      </w:divBdr>
      <w:divsChild>
        <w:div w:id="340013978">
          <w:marLeft w:val="0"/>
          <w:marRight w:val="0"/>
          <w:marTop w:val="0"/>
          <w:marBottom w:val="0"/>
          <w:divBdr>
            <w:top w:val="none" w:sz="0" w:space="0" w:color="auto"/>
            <w:left w:val="none" w:sz="0" w:space="0" w:color="auto"/>
            <w:bottom w:val="none" w:sz="0" w:space="0" w:color="auto"/>
            <w:right w:val="none" w:sz="0" w:space="0" w:color="auto"/>
          </w:divBdr>
          <w:divsChild>
            <w:div w:id="1330601284">
              <w:marLeft w:val="-225"/>
              <w:marRight w:val="-225"/>
              <w:marTop w:val="0"/>
              <w:marBottom w:val="0"/>
              <w:divBdr>
                <w:top w:val="none" w:sz="0" w:space="0" w:color="auto"/>
                <w:left w:val="none" w:sz="0" w:space="0" w:color="auto"/>
                <w:bottom w:val="none" w:sz="0" w:space="0" w:color="auto"/>
                <w:right w:val="none" w:sz="0" w:space="0" w:color="auto"/>
              </w:divBdr>
              <w:divsChild>
                <w:div w:id="710426417">
                  <w:marLeft w:val="0"/>
                  <w:marRight w:val="0"/>
                  <w:marTop w:val="0"/>
                  <w:marBottom w:val="0"/>
                  <w:divBdr>
                    <w:top w:val="none" w:sz="0" w:space="0" w:color="auto"/>
                    <w:left w:val="none" w:sz="0" w:space="0" w:color="auto"/>
                    <w:bottom w:val="none" w:sz="0" w:space="0" w:color="auto"/>
                    <w:right w:val="none" w:sz="0" w:space="0" w:color="auto"/>
                  </w:divBdr>
                  <w:divsChild>
                    <w:div w:id="1944026999">
                      <w:marLeft w:val="-225"/>
                      <w:marRight w:val="-225"/>
                      <w:marTop w:val="0"/>
                      <w:marBottom w:val="0"/>
                      <w:divBdr>
                        <w:top w:val="none" w:sz="0" w:space="0" w:color="auto"/>
                        <w:left w:val="none" w:sz="0" w:space="0" w:color="auto"/>
                        <w:bottom w:val="none" w:sz="0" w:space="0" w:color="auto"/>
                        <w:right w:val="none" w:sz="0" w:space="0" w:color="auto"/>
                      </w:divBdr>
                      <w:divsChild>
                        <w:div w:id="1530029329">
                          <w:marLeft w:val="-225"/>
                          <w:marRight w:val="-225"/>
                          <w:marTop w:val="0"/>
                          <w:marBottom w:val="0"/>
                          <w:divBdr>
                            <w:top w:val="none" w:sz="0" w:space="0" w:color="auto"/>
                            <w:left w:val="none" w:sz="0" w:space="0" w:color="auto"/>
                            <w:bottom w:val="none" w:sz="0" w:space="0" w:color="auto"/>
                            <w:right w:val="none" w:sz="0" w:space="0" w:color="auto"/>
                          </w:divBdr>
                          <w:divsChild>
                            <w:div w:id="119305437">
                              <w:marLeft w:val="0"/>
                              <w:marRight w:val="0"/>
                              <w:marTop w:val="0"/>
                              <w:marBottom w:val="0"/>
                              <w:divBdr>
                                <w:top w:val="none" w:sz="0" w:space="0" w:color="auto"/>
                                <w:left w:val="none" w:sz="0" w:space="0" w:color="auto"/>
                                <w:bottom w:val="none" w:sz="0" w:space="0" w:color="auto"/>
                                <w:right w:val="none" w:sz="0" w:space="0" w:color="auto"/>
                              </w:divBdr>
                              <w:divsChild>
                                <w:div w:id="442773127">
                                  <w:marLeft w:val="-225"/>
                                  <w:marRight w:val="-225"/>
                                  <w:marTop w:val="0"/>
                                  <w:marBottom w:val="0"/>
                                  <w:divBdr>
                                    <w:top w:val="none" w:sz="0" w:space="0" w:color="auto"/>
                                    <w:left w:val="none" w:sz="0" w:space="0" w:color="auto"/>
                                    <w:bottom w:val="none" w:sz="0" w:space="0" w:color="auto"/>
                                    <w:right w:val="none" w:sz="0" w:space="0" w:color="auto"/>
                                  </w:divBdr>
                                  <w:divsChild>
                                    <w:div w:id="13921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legislacion.scjn.gob.mx/Buscador/Paginas/wfProcesoLegislativoCompleto.aspx?IdOrd=101766&amp;IdRef=1&amp;IdProc=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27a80a42df35609733474f9064de828">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47B3F-A968-43D1-8DD6-AED83AD24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D7463B-5E52-4D1B-9D9C-824ECF599EBB}">
  <ds:schemaRefs>
    <ds:schemaRef ds:uri="http://schemas.microsoft.com/sharepoint/v3/contenttype/forms"/>
  </ds:schemaRefs>
</ds:datastoreItem>
</file>

<file path=customXml/itemProps3.xml><?xml version="1.0" encoding="utf-8"?>
<ds:datastoreItem xmlns:ds="http://schemas.openxmlformats.org/officeDocument/2006/customXml" ds:itemID="{E0891B89-C2A2-44EC-B74C-43863E3A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2F4070-20D4-49B3-86C1-B6C50BDD12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7D2D9FB-48FD-4BB7-AA9A-38BBC82B2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DFEBE990-E745-4116-A469-7BCC910A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4491</Words>
  <Characters>24704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MGPB</dc:creator>
  <cp:keywords/>
  <dc:description/>
  <cp:lastModifiedBy>Luis Fernando Rosas Yanez</cp:lastModifiedBy>
  <cp:revision>3</cp:revision>
  <dcterms:created xsi:type="dcterms:W3CDTF">2017-04-05T15:38:00Z</dcterms:created>
  <dcterms:modified xsi:type="dcterms:W3CDTF">2017-04-05T15:39:00Z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