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ayout w:type="fixed"/>
        <w:tblLook w:val="04A0" w:firstRow="1" w:lastRow="0" w:firstColumn="1" w:lastColumn="0" w:noHBand="0" w:noVBand="1"/>
      </w:tblPr>
      <w:tblGrid>
        <w:gridCol w:w="2547"/>
        <w:gridCol w:w="2671"/>
        <w:gridCol w:w="3610"/>
      </w:tblGrid>
      <w:tr w:rsidR="00501ADF" w:rsidTr="00DF2218">
        <w:trPr>
          <w:trHeight w:val="816"/>
        </w:trPr>
        <w:tc>
          <w:tcPr>
            <w:tcW w:w="2547" w:type="dxa"/>
            <w:shd w:val="clear" w:color="auto" w:fill="DBDBDB" w:themeFill="accent3" w:themeFillTint="66"/>
          </w:tcPr>
          <w:p w:rsidR="00501ADF" w:rsidRPr="0068307E" w:rsidRDefault="00501ADF" w:rsidP="00501ADF">
            <w:pPr>
              <w:jc w:val="both"/>
              <w:rPr>
                <w:b/>
                <w:sz w:val="20"/>
              </w:rPr>
            </w:pPr>
            <w:r w:rsidRPr="0068307E">
              <w:rPr>
                <w:b/>
                <w:sz w:val="20"/>
              </w:rPr>
              <w:t>Unidad administrativa:</w:t>
            </w:r>
          </w:p>
          <w:p w:rsidR="0068307E" w:rsidRDefault="0068307E" w:rsidP="00501ADF">
            <w:pPr>
              <w:jc w:val="both"/>
              <w:rPr>
                <w:sz w:val="20"/>
              </w:rPr>
            </w:pPr>
          </w:p>
          <w:p w:rsidR="00144090" w:rsidRPr="0068307E" w:rsidRDefault="00144090" w:rsidP="00501ADF">
            <w:pPr>
              <w:jc w:val="both"/>
              <w:rPr>
                <w:sz w:val="20"/>
              </w:rPr>
            </w:pPr>
            <w:r>
              <w:rPr>
                <w:sz w:val="20"/>
              </w:rPr>
              <w:t>UNIDAD DE CONCESIONES Y SERVICIOS</w:t>
            </w:r>
          </w:p>
          <w:p w:rsidR="0068307E" w:rsidRPr="0068307E" w:rsidRDefault="0068307E" w:rsidP="00501ADF">
            <w:pPr>
              <w:jc w:val="both"/>
              <w:rPr>
                <w:sz w:val="20"/>
              </w:rPr>
            </w:pPr>
          </w:p>
        </w:tc>
        <w:tc>
          <w:tcPr>
            <w:tcW w:w="6281" w:type="dxa"/>
            <w:gridSpan w:val="2"/>
            <w:shd w:val="clear" w:color="auto" w:fill="DBDBDB" w:themeFill="accent3" w:themeFillTint="66"/>
          </w:tcPr>
          <w:p w:rsidR="00501ADF" w:rsidRDefault="00501ADF" w:rsidP="00501ADF">
            <w:pPr>
              <w:jc w:val="both"/>
              <w:rPr>
                <w:b/>
                <w:sz w:val="20"/>
              </w:rPr>
            </w:pPr>
            <w:r w:rsidRPr="0068307E">
              <w:rPr>
                <w:b/>
                <w:sz w:val="20"/>
              </w:rPr>
              <w:t>Título del anteproyecto de regulación:</w:t>
            </w:r>
          </w:p>
          <w:p w:rsidR="0068307E" w:rsidRDefault="0068307E" w:rsidP="00501ADF">
            <w:pPr>
              <w:jc w:val="both"/>
              <w:rPr>
                <w:b/>
                <w:sz w:val="20"/>
              </w:rPr>
            </w:pPr>
          </w:p>
          <w:p w:rsidR="0068307E" w:rsidRPr="0068307E" w:rsidRDefault="00144090" w:rsidP="00501ADF">
            <w:pPr>
              <w:jc w:val="both"/>
              <w:rPr>
                <w:sz w:val="20"/>
              </w:rPr>
            </w:pPr>
            <w:r w:rsidRPr="00144090">
              <w:rPr>
                <w:sz w:val="20"/>
              </w:rPr>
              <w:t>ACUERDO MEDIANTE EL CUAL EL PLENO DEL INSTITUTO FEDERAL DE TELECOMUNICACIONES DETERMINA SOMETER A CONSULTA PÚBLICA EL ANTEPROYECTO DE ACUERDO MEDIANTE EL CUAL SE MODIFICAN LOS ARTÍCULOS 3 Y 8 DE LOS LINEAMIENTOS GENERALES PARA EL OTORGAMIENTO DE LAS CONCESIONES A QUE SE REFIERE EL TÍTULO CUARTO DE LA LEY FEDERAL DE TELECOMUNICACIONES Y RADIODIFUSIÓN</w:t>
            </w:r>
          </w:p>
        </w:tc>
      </w:tr>
      <w:tr w:rsidR="0068307E" w:rsidTr="00DF2218">
        <w:tc>
          <w:tcPr>
            <w:tcW w:w="2547" w:type="dxa"/>
            <w:vMerge w:val="restart"/>
            <w:shd w:val="clear" w:color="auto" w:fill="DBDBDB" w:themeFill="accent3" w:themeFillTint="66"/>
          </w:tcPr>
          <w:p w:rsidR="0068307E" w:rsidRDefault="0068307E" w:rsidP="00501ADF">
            <w:pPr>
              <w:jc w:val="both"/>
              <w:rPr>
                <w:b/>
                <w:sz w:val="20"/>
              </w:rPr>
            </w:pPr>
            <w:r w:rsidRPr="0068307E">
              <w:rPr>
                <w:b/>
                <w:sz w:val="20"/>
              </w:rPr>
              <w:t>Datos de contacto:</w:t>
            </w:r>
          </w:p>
          <w:p w:rsidR="0068307E" w:rsidRDefault="0068307E" w:rsidP="00501ADF">
            <w:pPr>
              <w:jc w:val="both"/>
              <w:rPr>
                <w:b/>
                <w:sz w:val="20"/>
              </w:rPr>
            </w:pPr>
          </w:p>
          <w:p w:rsidR="0068307E" w:rsidRPr="0068307E" w:rsidRDefault="0068307E" w:rsidP="00501ADF">
            <w:pPr>
              <w:jc w:val="both"/>
              <w:rPr>
                <w:sz w:val="20"/>
              </w:rPr>
            </w:pPr>
            <w:r w:rsidRPr="0068307E">
              <w:rPr>
                <w:sz w:val="20"/>
              </w:rPr>
              <w:t xml:space="preserve">Lic. </w:t>
            </w:r>
            <w:r w:rsidR="00144090">
              <w:rPr>
                <w:sz w:val="20"/>
              </w:rPr>
              <w:t>Roberto Flores Navarrete</w:t>
            </w:r>
          </w:p>
          <w:p w:rsidR="0068307E" w:rsidRPr="0068307E" w:rsidRDefault="00144090" w:rsidP="00501ADF">
            <w:pPr>
              <w:jc w:val="both"/>
              <w:rPr>
                <w:sz w:val="20"/>
              </w:rPr>
            </w:pPr>
            <w:r>
              <w:rPr>
                <w:sz w:val="20"/>
              </w:rPr>
              <w:t>Teléfono: 5015-4377</w:t>
            </w:r>
          </w:p>
          <w:p w:rsidR="0068307E" w:rsidRDefault="0068307E" w:rsidP="00501ADF">
            <w:pPr>
              <w:jc w:val="both"/>
              <w:rPr>
                <w:sz w:val="20"/>
              </w:rPr>
            </w:pPr>
            <w:r w:rsidRPr="0068307E">
              <w:rPr>
                <w:sz w:val="20"/>
              </w:rPr>
              <w:t>Correo</w:t>
            </w:r>
            <w:r>
              <w:rPr>
                <w:sz w:val="20"/>
              </w:rPr>
              <w:t xml:space="preserve"> </w:t>
            </w:r>
            <w:r w:rsidRPr="0068307E">
              <w:rPr>
                <w:sz w:val="20"/>
              </w:rPr>
              <w:t>electrónico:</w:t>
            </w:r>
          </w:p>
          <w:p w:rsidR="00144090" w:rsidRDefault="007B37C3" w:rsidP="00144090">
            <w:pPr>
              <w:jc w:val="both"/>
            </w:pPr>
            <w:hyperlink r:id="rId7" w:history="1">
              <w:r w:rsidR="00144090" w:rsidRPr="00144090">
                <w:rPr>
                  <w:rStyle w:val="Hipervnculo"/>
                  <w:sz w:val="20"/>
                </w:rPr>
                <w:t>roberto.flores</w:t>
              </w:r>
              <w:r w:rsidR="00144090" w:rsidRPr="00537CEF">
                <w:rPr>
                  <w:rStyle w:val="Hipervnculo"/>
                  <w:sz w:val="20"/>
                </w:rPr>
                <w:t>@ift.org.mx</w:t>
              </w:r>
            </w:hyperlink>
          </w:p>
          <w:p w:rsidR="0068307E" w:rsidRPr="0068307E" w:rsidRDefault="0068307E" w:rsidP="00144090">
            <w:pPr>
              <w:jc w:val="both"/>
              <w:rPr>
                <w:b/>
                <w:sz w:val="20"/>
              </w:rPr>
            </w:pPr>
            <w:r>
              <w:rPr>
                <w:sz w:val="20"/>
              </w:rPr>
              <w:t xml:space="preserve"> </w:t>
            </w:r>
          </w:p>
        </w:tc>
        <w:tc>
          <w:tcPr>
            <w:tcW w:w="2671" w:type="dxa"/>
            <w:shd w:val="clear" w:color="auto" w:fill="DBDBDB" w:themeFill="accent3" w:themeFillTint="66"/>
          </w:tcPr>
          <w:p w:rsidR="0068307E" w:rsidRDefault="0068307E" w:rsidP="008A48B0">
            <w:pPr>
              <w:jc w:val="both"/>
              <w:rPr>
                <w:b/>
                <w:sz w:val="20"/>
              </w:rPr>
            </w:pPr>
            <w:r w:rsidRPr="0068307E">
              <w:rPr>
                <w:b/>
                <w:sz w:val="20"/>
              </w:rPr>
              <w:t>Fecha de elaboración:</w:t>
            </w:r>
          </w:p>
          <w:p w:rsidR="0068307E" w:rsidRPr="0068307E" w:rsidRDefault="0068307E" w:rsidP="008A48B0">
            <w:pPr>
              <w:jc w:val="both"/>
              <w:rPr>
                <w:b/>
                <w:sz w:val="20"/>
              </w:rPr>
            </w:pPr>
          </w:p>
        </w:tc>
        <w:tc>
          <w:tcPr>
            <w:tcW w:w="3610" w:type="dxa"/>
            <w:shd w:val="clear" w:color="auto" w:fill="DBDBDB" w:themeFill="accent3" w:themeFillTint="66"/>
          </w:tcPr>
          <w:p w:rsidR="0068307E" w:rsidRPr="0068307E" w:rsidRDefault="00144090" w:rsidP="0068307E">
            <w:pPr>
              <w:jc w:val="center"/>
              <w:rPr>
                <w:sz w:val="20"/>
              </w:rPr>
            </w:pPr>
            <w:r>
              <w:rPr>
                <w:sz w:val="20"/>
              </w:rPr>
              <w:t>27/01/2017</w:t>
            </w:r>
          </w:p>
        </w:tc>
      </w:tr>
      <w:tr w:rsidR="0068307E" w:rsidTr="00DF2218">
        <w:trPr>
          <w:trHeight w:val="390"/>
        </w:trPr>
        <w:tc>
          <w:tcPr>
            <w:tcW w:w="2547" w:type="dxa"/>
            <w:vMerge/>
            <w:shd w:val="clear" w:color="auto" w:fill="DBDBDB" w:themeFill="accent3" w:themeFillTint="66"/>
          </w:tcPr>
          <w:p w:rsidR="0068307E" w:rsidRPr="0068307E" w:rsidRDefault="0068307E" w:rsidP="00501ADF">
            <w:pPr>
              <w:jc w:val="both"/>
              <w:rPr>
                <w:sz w:val="20"/>
              </w:rPr>
            </w:pPr>
          </w:p>
        </w:tc>
        <w:tc>
          <w:tcPr>
            <w:tcW w:w="2671" w:type="dxa"/>
            <w:shd w:val="clear" w:color="auto" w:fill="DBDBDB" w:themeFill="accent3" w:themeFillTint="66"/>
          </w:tcPr>
          <w:p w:rsidR="0068307E" w:rsidRPr="0068307E" w:rsidRDefault="0068307E" w:rsidP="0068307E">
            <w:pPr>
              <w:jc w:val="both"/>
              <w:rPr>
                <w:b/>
                <w:sz w:val="20"/>
              </w:rPr>
            </w:pPr>
            <w:r w:rsidRPr="0068307E">
              <w:rPr>
                <w:b/>
                <w:sz w:val="20"/>
              </w:rPr>
              <w:t xml:space="preserve">Fecha de </w:t>
            </w:r>
            <w:r>
              <w:rPr>
                <w:b/>
                <w:sz w:val="20"/>
              </w:rPr>
              <w:t>inicio de la consulta pública</w:t>
            </w:r>
            <w:r w:rsidRPr="0068307E">
              <w:rPr>
                <w:b/>
                <w:sz w:val="20"/>
              </w:rPr>
              <w:t>:</w:t>
            </w:r>
          </w:p>
        </w:tc>
        <w:tc>
          <w:tcPr>
            <w:tcW w:w="3610" w:type="dxa"/>
            <w:shd w:val="clear" w:color="auto" w:fill="DBDBDB" w:themeFill="accent3" w:themeFillTint="66"/>
          </w:tcPr>
          <w:p w:rsidR="0068307E" w:rsidRPr="0068307E" w:rsidRDefault="00EE64E3" w:rsidP="00EE64E3">
            <w:pPr>
              <w:jc w:val="center"/>
              <w:rPr>
                <w:sz w:val="20"/>
              </w:rPr>
            </w:pPr>
            <w:r>
              <w:rPr>
                <w:sz w:val="20"/>
              </w:rPr>
              <w:t>31</w:t>
            </w:r>
            <w:r w:rsidR="0068307E" w:rsidRPr="0068307E">
              <w:rPr>
                <w:sz w:val="20"/>
              </w:rPr>
              <w:t>/</w:t>
            </w:r>
            <w:r>
              <w:rPr>
                <w:sz w:val="20"/>
              </w:rPr>
              <w:t>01</w:t>
            </w:r>
            <w:r w:rsidR="0068307E" w:rsidRPr="0068307E">
              <w:rPr>
                <w:sz w:val="20"/>
              </w:rPr>
              <w:t>/</w:t>
            </w:r>
            <w:r>
              <w:rPr>
                <w:sz w:val="20"/>
              </w:rPr>
              <w:t>2017</w:t>
            </w:r>
          </w:p>
        </w:tc>
      </w:tr>
      <w:tr w:rsidR="0068307E" w:rsidTr="00DF2218">
        <w:tc>
          <w:tcPr>
            <w:tcW w:w="2547" w:type="dxa"/>
            <w:vMerge/>
            <w:shd w:val="clear" w:color="auto" w:fill="DBDBDB" w:themeFill="accent3" w:themeFillTint="66"/>
          </w:tcPr>
          <w:p w:rsidR="0068307E" w:rsidRPr="0068307E" w:rsidRDefault="0068307E" w:rsidP="00501ADF">
            <w:pPr>
              <w:jc w:val="both"/>
              <w:rPr>
                <w:sz w:val="20"/>
              </w:rPr>
            </w:pPr>
          </w:p>
        </w:tc>
        <w:tc>
          <w:tcPr>
            <w:tcW w:w="2671" w:type="dxa"/>
            <w:shd w:val="clear" w:color="auto" w:fill="DBDBDB" w:themeFill="accent3" w:themeFillTint="66"/>
          </w:tcPr>
          <w:p w:rsidR="0068307E" w:rsidRPr="0068307E" w:rsidRDefault="005A40FB" w:rsidP="0068307E">
            <w:pPr>
              <w:jc w:val="both"/>
              <w:rPr>
                <w:b/>
                <w:sz w:val="20"/>
              </w:rPr>
            </w:pPr>
            <w:r>
              <w:rPr>
                <w:b/>
                <w:sz w:val="20"/>
              </w:rPr>
              <w:t xml:space="preserve">Fecha de </w:t>
            </w:r>
            <w:r w:rsidR="0068307E">
              <w:rPr>
                <w:b/>
                <w:sz w:val="20"/>
              </w:rPr>
              <w:t>conclusión de la consulta pública:</w:t>
            </w:r>
          </w:p>
        </w:tc>
        <w:tc>
          <w:tcPr>
            <w:tcW w:w="3610" w:type="dxa"/>
            <w:shd w:val="clear" w:color="auto" w:fill="DBDBDB" w:themeFill="accent3" w:themeFillTint="66"/>
          </w:tcPr>
          <w:p w:rsidR="0068307E" w:rsidRPr="0068307E" w:rsidRDefault="00EE64E3" w:rsidP="0068307E">
            <w:pPr>
              <w:jc w:val="center"/>
              <w:rPr>
                <w:sz w:val="20"/>
              </w:rPr>
            </w:pPr>
            <w:r>
              <w:rPr>
                <w:sz w:val="20"/>
              </w:rPr>
              <w:t>28/02/2017</w:t>
            </w:r>
          </w:p>
        </w:tc>
      </w:tr>
    </w:tbl>
    <w:p w:rsidR="00501ADF" w:rsidRDefault="00501ADF" w:rsidP="00501ADF">
      <w:pPr>
        <w:jc w:val="both"/>
      </w:pPr>
    </w:p>
    <w:p w:rsidR="001932FC" w:rsidRPr="00A531AA" w:rsidRDefault="001932FC" w:rsidP="0068307E">
      <w:pPr>
        <w:shd w:val="clear" w:color="auto" w:fill="A8D08D" w:themeFill="accent6" w:themeFillTint="99"/>
        <w:jc w:val="both"/>
        <w:rPr>
          <w:b/>
        </w:rPr>
      </w:pPr>
      <w:r w:rsidRPr="00A531AA">
        <w:rPr>
          <w:b/>
        </w:rP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E6080B" w:rsidTr="008A48B0">
        <w:tc>
          <w:tcPr>
            <w:tcW w:w="8828" w:type="dxa"/>
            <w:shd w:val="clear" w:color="auto" w:fill="FFFFFF" w:themeFill="background1"/>
          </w:tcPr>
          <w:p w:rsidR="001932FC" w:rsidRPr="00A531AA" w:rsidRDefault="001932FC" w:rsidP="008A48B0">
            <w:pPr>
              <w:shd w:val="clear" w:color="auto" w:fill="FFFFFF" w:themeFill="background1"/>
              <w:jc w:val="both"/>
              <w:rPr>
                <w:b/>
                <w:sz w:val="20"/>
                <w:szCs w:val="20"/>
              </w:rPr>
            </w:pPr>
            <w:r w:rsidRPr="00A531AA">
              <w:rPr>
                <w:b/>
                <w:sz w:val="20"/>
                <w:szCs w:val="20"/>
              </w:rPr>
              <w:t>1.</w:t>
            </w:r>
            <w:r w:rsidR="00E6080B" w:rsidRPr="00A531AA">
              <w:rPr>
                <w:b/>
                <w:sz w:val="20"/>
                <w:szCs w:val="20"/>
              </w:rPr>
              <w:t>-</w:t>
            </w:r>
            <w:r w:rsidRPr="00A531AA">
              <w:rPr>
                <w:b/>
                <w:sz w:val="20"/>
                <w:szCs w:val="20"/>
              </w:rPr>
              <w:t xml:space="preserve"> </w:t>
            </w:r>
            <w:r w:rsidR="00D221B5" w:rsidRPr="00A531AA">
              <w:rPr>
                <w:b/>
                <w:sz w:val="20"/>
                <w:szCs w:val="20"/>
              </w:rPr>
              <w:t>Explique brevemente en qué consiste el anteproyecto de regulación propuesto así como sus objetivos generales</w:t>
            </w:r>
            <w:r w:rsidRPr="00A531AA">
              <w:rPr>
                <w:b/>
                <w:sz w:val="20"/>
                <w:szCs w:val="20"/>
              </w:rPr>
              <w:t>:</w:t>
            </w:r>
          </w:p>
          <w:p w:rsidR="001932FC" w:rsidRDefault="001932FC" w:rsidP="008A48B0">
            <w:pPr>
              <w:shd w:val="clear" w:color="auto" w:fill="FFFFFF" w:themeFill="background1"/>
              <w:jc w:val="both"/>
              <w:rPr>
                <w:sz w:val="20"/>
                <w:szCs w:val="20"/>
              </w:rPr>
            </w:pPr>
          </w:p>
          <w:p w:rsidR="00144090" w:rsidRPr="00144090" w:rsidRDefault="00144090" w:rsidP="00144090">
            <w:pPr>
              <w:shd w:val="clear" w:color="auto" w:fill="FFFFFF" w:themeFill="background1"/>
              <w:jc w:val="both"/>
              <w:rPr>
                <w:sz w:val="20"/>
                <w:szCs w:val="20"/>
              </w:rPr>
            </w:pPr>
            <w:r w:rsidRPr="00144090">
              <w:rPr>
                <w:sz w:val="20"/>
                <w:szCs w:val="20"/>
              </w:rPr>
              <w:t>Mediante los “Lineamientos Generales para el otorgamiento de las concesiones a que se refiere el Título Cuarto de la Ley Federal de Telecomunicaciones” (en lo sucesivo, “los Lineamientos”), se establecieron diversos formatos para realizar la solicitud de concesión, aplicables dependiendo del uso de la concesión.</w:t>
            </w:r>
          </w:p>
          <w:p w:rsidR="00144090" w:rsidRPr="00144090" w:rsidRDefault="00144090" w:rsidP="00144090">
            <w:pPr>
              <w:shd w:val="clear" w:color="auto" w:fill="FFFFFF" w:themeFill="background1"/>
              <w:jc w:val="both"/>
              <w:rPr>
                <w:sz w:val="20"/>
                <w:szCs w:val="20"/>
              </w:rPr>
            </w:pPr>
          </w:p>
          <w:p w:rsidR="00144090" w:rsidRPr="00144090" w:rsidRDefault="00144090" w:rsidP="00144090">
            <w:pPr>
              <w:shd w:val="clear" w:color="auto" w:fill="FFFFFF" w:themeFill="background1"/>
              <w:jc w:val="both"/>
              <w:rPr>
                <w:sz w:val="20"/>
                <w:szCs w:val="20"/>
              </w:rPr>
            </w:pPr>
            <w:r w:rsidRPr="00144090">
              <w:rPr>
                <w:sz w:val="20"/>
                <w:szCs w:val="20"/>
              </w:rPr>
              <w:t xml:space="preserve">En el caso de la solicitud de concesión para uso social, los Lineamientos establecen un formato en el que se incluyen los requisitos para las concesiones de uso social, uso social </w:t>
            </w:r>
            <w:proofErr w:type="gramStart"/>
            <w:r w:rsidRPr="00144090">
              <w:rPr>
                <w:sz w:val="20"/>
                <w:szCs w:val="20"/>
              </w:rPr>
              <w:t>comunitaria</w:t>
            </w:r>
            <w:proofErr w:type="gramEnd"/>
            <w:r w:rsidRPr="00144090">
              <w:rPr>
                <w:sz w:val="20"/>
                <w:szCs w:val="20"/>
              </w:rPr>
              <w:t xml:space="preserve"> y uso social indígena, para lo cual el interesado debe llenar únicamente la información que </w:t>
            </w:r>
            <w:r w:rsidR="00DB6255">
              <w:rPr>
                <w:sz w:val="20"/>
                <w:szCs w:val="20"/>
              </w:rPr>
              <w:t xml:space="preserve">le </w:t>
            </w:r>
            <w:r w:rsidRPr="00144090">
              <w:rPr>
                <w:sz w:val="20"/>
                <w:szCs w:val="20"/>
              </w:rPr>
              <w:t>sea aplicable.</w:t>
            </w:r>
          </w:p>
          <w:p w:rsidR="00144090" w:rsidRPr="00144090" w:rsidRDefault="00144090" w:rsidP="00144090">
            <w:pPr>
              <w:shd w:val="clear" w:color="auto" w:fill="FFFFFF" w:themeFill="background1"/>
              <w:jc w:val="both"/>
              <w:rPr>
                <w:sz w:val="20"/>
                <w:szCs w:val="20"/>
              </w:rPr>
            </w:pPr>
          </w:p>
          <w:p w:rsidR="00144090" w:rsidRPr="00144090" w:rsidRDefault="00144090" w:rsidP="00144090">
            <w:pPr>
              <w:shd w:val="clear" w:color="auto" w:fill="FFFFFF" w:themeFill="background1"/>
              <w:jc w:val="both"/>
              <w:rPr>
                <w:sz w:val="20"/>
                <w:szCs w:val="20"/>
              </w:rPr>
            </w:pPr>
            <w:r w:rsidRPr="00144090">
              <w:rPr>
                <w:sz w:val="20"/>
                <w:szCs w:val="20"/>
              </w:rPr>
              <w:t>El propósito de la modificación a los Lineamientos es desagregar el formato de solicitud de concesión para uso social, a fin de facilitar el entendimiento de los requisitos que son aplicables para cada tipo, esto es, de uso social, uso social comunitaria y uso social indígena</w:t>
            </w:r>
            <w:r w:rsidR="00DB6255">
              <w:rPr>
                <w:sz w:val="20"/>
                <w:szCs w:val="20"/>
              </w:rPr>
              <w:t>, con lo cual se simplifica y se hace más claro los requisitos que deben presentar los interesados en obtener este tipo de concesiones</w:t>
            </w:r>
            <w:r w:rsidRPr="00144090">
              <w:rPr>
                <w:sz w:val="20"/>
                <w:szCs w:val="20"/>
              </w:rPr>
              <w:t>.</w:t>
            </w:r>
          </w:p>
          <w:p w:rsidR="001932FC" w:rsidRPr="00E6080B" w:rsidRDefault="001932FC" w:rsidP="001932FC">
            <w:pPr>
              <w:jc w:val="both"/>
              <w:rPr>
                <w:sz w:val="20"/>
                <w:szCs w:val="20"/>
              </w:rPr>
            </w:pPr>
          </w:p>
        </w:tc>
      </w:tr>
    </w:tbl>
    <w:p w:rsidR="001932FC" w:rsidRDefault="001932FC" w:rsidP="001932FC">
      <w:pPr>
        <w:jc w:val="both"/>
      </w:pPr>
    </w:p>
    <w:p w:rsidR="001932FC" w:rsidRPr="00A531AA" w:rsidRDefault="001932FC" w:rsidP="00A1622C">
      <w:pPr>
        <w:shd w:val="clear" w:color="auto" w:fill="A8D08D" w:themeFill="accent6" w:themeFillTint="99"/>
        <w:jc w:val="both"/>
        <w:rPr>
          <w:b/>
        </w:rPr>
      </w:pPr>
      <w:r w:rsidRPr="00A531AA">
        <w:rPr>
          <w:b/>
        </w:rPr>
        <w:t xml:space="preserve">II. </w:t>
      </w:r>
      <w:r w:rsidR="00E21B49" w:rsidRPr="00A531AA">
        <w:rPr>
          <w:b/>
        </w:rPr>
        <w:t>IMPACTO DE LA REGULACIÓN</w:t>
      </w:r>
      <w:r w:rsidRPr="00A531AA">
        <w:rPr>
          <w:b/>
        </w:rPr>
        <w:t>.</w:t>
      </w:r>
    </w:p>
    <w:tbl>
      <w:tblPr>
        <w:tblStyle w:val="Tablaconcuadrcula"/>
        <w:tblW w:w="0" w:type="auto"/>
        <w:tblLook w:val="04A0" w:firstRow="1" w:lastRow="0" w:firstColumn="1" w:lastColumn="0" w:noHBand="0" w:noVBand="1"/>
      </w:tblPr>
      <w:tblGrid>
        <w:gridCol w:w="8828"/>
      </w:tblGrid>
      <w:tr w:rsidR="00E6080B" w:rsidTr="00E6080B">
        <w:tc>
          <w:tcPr>
            <w:tcW w:w="8828" w:type="dxa"/>
          </w:tcPr>
          <w:p w:rsidR="00801FED" w:rsidRPr="00A531AA" w:rsidRDefault="00E35357" w:rsidP="00E6080B">
            <w:pPr>
              <w:jc w:val="both"/>
              <w:rPr>
                <w:b/>
                <w:sz w:val="20"/>
              </w:rPr>
            </w:pPr>
            <w:r w:rsidRPr="00A531AA">
              <w:rPr>
                <w:b/>
                <w:sz w:val="20"/>
              </w:rPr>
              <w:t>2</w:t>
            </w:r>
            <w:r w:rsidR="00E6080B" w:rsidRPr="00A531AA">
              <w:rPr>
                <w:b/>
                <w:sz w:val="20"/>
              </w:rPr>
              <w:t xml:space="preserve">.- </w:t>
            </w:r>
            <w:r w:rsidR="00E21B49" w:rsidRPr="00A531AA">
              <w:rPr>
                <w:b/>
                <w:sz w:val="20"/>
              </w:rPr>
              <w:t>Justifique las razones por las que considera que el anteproyecto de regulación propuesto no genera costos de cumplimiento para los particulares, independientemente de los beneficios que éste genere</w:t>
            </w:r>
            <w:r w:rsidR="00801FED" w:rsidRPr="00A531AA">
              <w:rPr>
                <w:b/>
                <w:sz w:val="20"/>
              </w:rPr>
              <w:t>:</w:t>
            </w:r>
          </w:p>
          <w:p w:rsidR="00801FED" w:rsidRPr="00801FED" w:rsidRDefault="00801FED" w:rsidP="00E6080B">
            <w:pPr>
              <w:jc w:val="both"/>
              <w:rPr>
                <w:sz w:val="20"/>
              </w:rPr>
            </w:pPr>
          </w:p>
          <w:p w:rsidR="00E6080B" w:rsidRDefault="00144090" w:rsidP="00E6080B">
            <w:pPr>
              <w:jc w:val="both"/>
              <w:rPr>
                <w:sz w:val="20"/>
              </w:rPr>
            </w:pPr>
            <w:r>
              <w:rPr>
                <w:sz w:val="20"/>
              </w:rPr>
              <w:t>La modificación a los Lineamientos propuesta tiene como objetivo facilitar la comprensión de los requisitos que son aplicables a las solicitudes de concesión para uso social en cada una de sus modalidades, ya sea uso social, uso social comunitaria o uso social indígena.</w:t>
            </w:r>
          </w:p>
          <w:p w:rsidR="00144090" w:rsidRDefault="00144090" w:rsidP="00E6080B">
            <w:pPr>
              <w:jc w:val="both"/>
              <w:rPr>
                <w:sz w:val="20"/>
              </w:rPr>
            </w:pPr>
          </w:p>
          <w:p w:rsidR="00144090" w:rsidRDefault="00144090" w:rsidP="00E6080B">
            <w:pPr>
              <w:jc w:val="both"/>
              <w:rPr>
                <w:sz w:val="20"/>
              </w:rPr>
            </w:pPr>
            <w:r>
              <w:rPr>
                <w:sz w:val="20"/>
              </w:rPr>
              <w:t>E</w:t>
            </w:r>
            <w:r w:rsidR="00DF2218">
              <w:rPr>
                <w:sz w:val="20"/>
              </w:rPr>
              <w:t>n este sentido, contrario a considerarse como carga regulatoria, la modificación generará simplificación en la presentación del trámite de solicitud de concesión para uso social</w:t>
            </w:r>
            <w:r w:rsidR="00DB6255">
              <w:rPr>
                <w:sz w:val="20"/>
              </w:rPr>
              <w:t xml:space="preserve"> al dejar en claro que requisito le es </w:t>
            </w:r>
            <w:r w:rsidR="00DB6255">
              <w:rPr>
                <w:sz w:val="20"/>
              </w:rPr>
              <w:lastRenderedPageBreak/>
              <w:t>aplicable a cada tipo de concesión para dicho uso, es decir, para uso social, social comunitaria o social indígena</w:t>
            </w:r>
            <w:r w:rsidR="00DF2218">
              <w:rPr>
                <w:sz w:val="20"/>
              </w:rPr>
              <w:t>.</w:t>
            </w:r>
          </w:p>
          <w:p w:rsidR="00144090" w:rsidRDefault="00144090" w:rsidP="00E6080B">
            <w:pPr>
              <w:jc w:val="both"/>
            </w:pPr>
          </w:p>
        </w:tc>
      </w:tr>
    </w:tbl>
    <w:p w:rsidR="00E21B49" w:rsidRDefault="00E21B49" w:rsidP="00E21B49">
      <w:pPr>
        <w:jc w:val="both"/>
      </w:pPr>
    </w:p>
    <w:tbl>
      <w:tblPr>
        <w:tblStyle w:val="Tablaconcuadrcula"/>
        <w:tblW w:w="0" w:type="auto"/>
        <w:tblLook w:val="04A0" w:firstRow="1" w:lastRow="0" w:firstColumn="1" w:lastColumn="0" w:noHBand="0" w:noVBand="1"/>
      </w:tblPr>
      <w:tblGrid>
        <w:gridCol w:w="1696"/>
        <w:gridCol w:w="5670"/>
        <w:gridCol w:w="1462"/>
      </w:tblGrid>
      <w:tr w:rsidR="00804F49" w:rsidRPr="00804F49" w:rsidTr="007D4E5B">
        <w:tc>
          <w:tcPr>
            <w:tcW w:w="1696" w:type="dxa"/>
            <w:vMerge w:val="restart"/>
          </w:tcPr>
          <w:p w:rsidR="00804F49" w:rsidRPr="00A531AA" w:rsidRDefault="00E35357" w:rsidP="00804F49">
            <w:pPr>
              <w:jc w:val="both"/>
              <w:rPr>
                <w:b/>
                <w:sz w:val="20"/>
                <w:szCs w:val="20"/>
              </w:rPr>
            </w:pPr>
            <w:r w:rsidRPr="00A531AA">
              <w:rPr>
                <w:b/>
                <w:sz w:val="20"/>
                <w:szCs w:val="20"/>
              </w:rPr>
              <w:t>3</w:t>
            </w:r>
            <w:r w:rsidR="00804F49" w:rsidRPr="00A531AA">
              <w:rPr>
                <w:b/>
                <w:sz w:val="20"/>
                <w:szCs w:val="20"/>
              </w:rPr>
              <w:t>.- Indique cuál(es) de la(s) siguiente(s) acciones corresponde(n) al anteproyecto de regulación propuesto.</w:t>
            </w:r>
          </w:p>
        </w:tc>
        <w:tc>
          <w:tcPr>
            <w:tcW w:w="5670" w:type="dxa"/>
            <w:shd w:val="clear" w:color="auto" w:fill="A8D08D" w:themeFill="accent6" w:themeFillTint="99"/>
          </w:tcPr>
          <w:p w:rsidR="00804F49" w:rsidRPr="00804F49" w:rsidRDefault="00804F49" w:rsidP="00804F49">
            <w:pPr>
              <w:jc w:val="center"/>
              <w:rPr>
                <w:sz w:val="20"/>
                <w:szCs w:val="20"/>
              </w:rPr>
            </w:pPr>
            <w:r w:rsidRPr="00804F49">
              <w:rPr>
                <w:sz w:val="20"/>
                <w:szCs w:val="20"/>
              </w:rPr>
              <w:t>Acciones</w:t>
            </w:r>
          </w:p>
        </w:tc>
        <w:tc>
          <w:tcPr>
            <w:tcW w:w="1462" w:type="dxa"/>
            <w:shd w:val="clear" w:color="auto" w:fill="A8D08D" w:themeFill="accent6" w:themeFillTint="99"/>
          </w:tcPr>
          <w:p w:rsidR="00804F49" w:rsidRPr="00804F49" w:rsidRDefault="00804F49" w:rsidP="00804F49">
            <w:pPr>
              <w:jc w:val="center"/>
              <w:rPr>
                <w:sz w:val="20"/>
                <w:szCs w:val="20"/>
              </w:rPr>
            </w:pPr>
            <w:r w:rsidRPr="00804F49">
              <w:rPr>
                <w:sz w:val="20"/>
                <w:szCs w:val="20"/>
              </w:rPr>
              <w:t>Seleccione</w:t>
            </w:r>
          </w:p>
        </w:tc>
      </w:tr>
      <w:tr w:rsidR="00804F49" w:rsidRPr="00804F49" w:rsidTr="00804F49">
        <w:tc>
          <w:tcPr>
            <w:tcW w:w="1696" w:type="dxa"/>
            <w:vMerge/>
          </w:tcPr>
          <w:p w:rsidR="00804F49" w:rsidRPr="00804F49" w:rsidRDefault="00804F49" w:rsidP="00E21B49">
            <w:pPr>
              <w:jc w:val="both"/>
              <w:rPr>
                <w:sz w:val="20"/>
                <w:szCs w:val="20"/>
              </w:rPr>
            </w:pPr>
          </w:p>
        </w:tc>
        <w:tc>
          <w:tcPr>
            <w:tcW w:w="5670" w:type="dxa"/>
          </w:tcPr>
          <w:p w:rsidR="00804F49" w:rsidRPr="00804F49" w:rsidRDefault="00804F49" w:rsidP="00E21B49">
            <w:pPr>
              <w:jc w:val="both"/>
              <w:rPr>
                <w:sz w:val="20"/>
                <w:szCs w:val="20"/>
              </w:rPr>
            </w:pPr>
            <w:r w:rsidRPr="00804F49">
              <w:rPr>
                <w:sz w:val="20"/>
                <w:szCs w:val="20"/>
              </w:rPr>
              <w:t>Crea nuevas obligaciones y/o sanciones para los particulares o hace más estrictas las existentes</w:t>
            </w:r>
            <w:r>
              <w:rPr>
                <w:sz w:val="20"/>
                <w:szCs w:val="20"/>
              </w:rPr>
              <w:t>.</w:t>
            </w:r>
          </w:p>
        </w:tc>
        <w:tc>
          <w:tcPr>
            <w:tcW w:w="1462" w:type="dxa"/>
          </w:tcPr>
          <w:p w:rsidR="00804F49" w:rsidRPr="00804F49" w:rsidRDefault="00804F49" w:rsidP="00804F49">
            <w:pPr>
              <w:jc w:val="center"/>
              <w:rPr>
                <w:sz w:val="20"/>
                <w:szCs w:val="20"/>
              </w:rPr>
            </w:pPr>
            <w:r>
              <w:rPr>
                <w:sz w:val="20"/>
                <w:szCs w:val="20"/>
              </w:rPr>
              <w:t>Si ( ) No (</w:t>
            </w:r>
            <w:r w:rsidR="00DF2218">
              <w:rPr>
                <w:sz w:val="20"/>
                <w:szCs w:val="20"/>
              </w:rPr>
              <w:t>X</w:t>
            </w:r>
            <w:r>
              <w:rPr>
                <w:sz w:val="20"/>
                <w:szCs w:val="20"/>
              </w:rPr>
              <w:t xml:space="preserve"> )</w:t>
            </w:r>
          </w:p>
        </w:tc>
      </w:tr>
      <w:tr w:rsidR="00804F49" w:rsidRPr="00804F49" w:rsidTr="00804F49">
        <w:tc>
          <w:tcPr>
            <w:tcW w:w="1696" w:type="dxa"/>
            <w:vMerge/>
          </w:tcPr>
          <w:p w:rsidR="00804F49" w:rsidRPr="00804F49" w:rsidRDefault="00804F49" w:rsidP="00804F49">
            <w:pPr>
              <w:jc w:val="both"/>
              <w:rPr>
                <w:sz w:val="20"/>
                <w:szCs w:val="20"/>
              </w:rPr>
            </w:pPr>
          </w:p>
        </w:tc>
        <w:tc>
          <w:tcPr>
            <w:tcW w:w="5670" w:type="dxa"/>
          </w:tcPr>
          <w:p w:rsidR="00804F49" w:rsidRPr="00804F49" w:rsidRDefault="00804F49" w:rsidP="00804F49">
            <w:pPr>
              <w:jc w:val="both"/>
              <w:rPr>
                <w:sz w:val="20"/>
                <w:szCs w:val="20"/>
              </w:rPr>
            </w:pPr>
            <w:r w:rsidRPr="00804F49">
              <w:rPr>
                <w:sz w:val="20"/>
                <w:szCs w:val="20"/>
              </w:rPr>
              <w:t>Modifica o crea trámites que signifiquen mayores cargas administrativas o costos de cumplimiento para los particulares.</w:t>
            </w:r>
          </w:p>
        </w:tc>
        <w:tc>
          <w:tcPr>
            <w:tcW w:w="1462" w:type="dxa"/>
          </w:tcPr>
          <w:p w:rsidR="00804F49" w:rsidRDefault="00804F49" w:rsidP="00804F49">
            <w:pPr>
              <w:jc w:val="center"/>
            </w:pPr>
            <w:r w:rsidRPr="00D76D0A">
              <w:rPr>
                <w:sz w:val="20"/>
                <w:szCs w:val="20"/>
              </w:rPr>
              <w:t>Si ( ) No (</w:t>
            </w:r>
            <w:r w:rsidR="00DF2218">
              <w:rPr>
                <w:sz w:val="20"/>
                <w:szCs w:val="20"/>
              </w:rPr>
              <w:t>X</w:t>
            </w:r>
            <w:r w:rsidRPr="00D76D0A">
              <w:rPr>
                <w:sz w:val="20"/>
                <w:szCs w:val="20"/>
              </w:rPr>
              <w:t xml:space="preserve"> )</w:t>
            </w:r>
          </w:p>
        </w:tc>
      </w:tr>
      <w:tr w:rsidR="00804F49" w:rsidRPr="00804F49" w:rsidTr="00804F49">
        <w:tc>
          <w:tcPr>
            <w:tcW w:w="1696" w:type="dxa"/>
            <w:vMerge/>
          </w:tcPr>
          <w:p w:rsidR="00804F49" w:rsidRPr="00804F49" w:rsidRDefault="00804F49" w:rsidP="00804F49">
            <w:pPr>
              <w:jc w:val="both"/>
              <w:rPr>
                <w:sz w:val="20"/>
                <w:szCs w:val="20"/>
              </w:rPr>
            </w:pPr>
          </w:p>
        </w:tc>
        <w:tc>
          <w:tcPr>
            <w:tcW w:w="5670" w:type="dxa"/>
          </w:tcPr>
          <w:p w:rsidR="00804F49" w:rsidRPr="00804F49" w:rsidRDefault="00804F49" w:rsidP="00804F49">
            <w:pPr>
              <w:jc w:val="both"/>
              <w:rPr>
                <w:sz w:val="20"/>
                <w:szCs w:val="20"/>
              </w:rPr>
            </w:pPr>
            <w:r w:rsidRPr="00804F49">
              <w:rPr>
                <w:sz w:val="20"/>
                <w:szCs w:val="20"/>
              </w:rPr>
              <w:t>Reduce o restringe prestaciones o derechos para los particulares.</w:t>
            </w:r>
          </w:p>
        </w:tc>
        <w:tc>
          <w:tcPr>
            <w:tcW w:w="1462" w:type="dxa"/>
          </w:tcPr>
          <w:p w:rsidR="00804F49" w:rsidRDefault="00804F49" w:rsidP="00804F49">
            <w:pPr>
              <w:jc w:val="center"/>
            </w:pPr>
            <w:r w:rsidRPr="00D76D0A">
              <w:rPr>
                <w:sz w:val="20"/>
                <w:szCs w:val="20"/>
              </w:rPr>
              <w:t>Si ( ) No (</w:t>
            </w:r>
            <w:r w:rsidR="00DF2218">
              <w:rPr>
                <w:sz w:val="20"/>
                <w:szCs w:val="20"/>
              </w:rPr>
              <w:t>X</w:t>
            </w:r>
            <w:r w:rsidRPr="00D76D0A">
              <w:rPr>
                <w:sz w:val="20"/>
                <w:szCs w:val="20"/>
              </w:rPr>
              <w:t xml:space="preserve"> )</w:t>
            </w:r>
          </w:p>
        </w:tc>
      </w:tr>
      <w:tr w:rsidR="00804F49" w:rsidRPr="00804F49" w:rsidTr="00804F49">
        <w:tc>
          <w:tcPr>
            <w:tcW w:w="1696" w:type="dxa"/>
            <w:vMerge/>
          </w:tcPr>
          <w:p w:rsidR="00804F49" w:rsidRPr="00804F49" w:rsidRDefault="00804F49" w:rsidP="00804F49">
            <w:pPr>
              <w:jc w:val="both"/>
              <w:rPr>
                <w:sz w:val="20"/>
                <w:szCs w:val="20"/>
              </w:rPr>
            </w:pPr>
          </w:p>
        </w:tc>
        <w:tc>
          <w:tcPr>
            <w:tcW w:w="5670" w:type="dxa"/>
          </w:tcPr>
          <w:p w:rsidR="00804F49" w:rsidRPr="00804F49" w:rsidRDefault="00804F49" w:rsidP="00804F49">
            <w:pPr>
              <w:jc w:val="both"/>
              <w:rPr>
                <w:sz w:val="20"/>
                <w:szCs w:val="20"/>
              </w:rPr>
            </w:pPr>
            <w:r w:rsidRPr="00804F49">
              <w:rPr>
                <w:sz w:val="20"/>
                <w:szCs w:val="20"/>
              </w:rPr>
              <w:t>Establece o modifica definiciones, clasificaciones, metodologías, criterios, caracterizaciones o cualquier otro término de referencia, afectando derechos, obligaciones, prestaciones o trámites de los particulares.</w:t>
            </w:r>
          </w:p>
        </w:tc>
        <w:tc>
          <w:tcPr>
            <w:tcW w:w="1462" w:type="dxa"/>
          </w:tcPr>
          <w:p w:rsidR="00804F49" w:rsidRDefault="00804F49" w:rsidP="00804F49">
            <w:pPr>
              <w:jc w:val="center"/>
            </w:pPr>
            <w:r w:rsidRPr="00D76D0A">
              <w:rPr>
                <w:sz w:val="20"/>
                <w:szCs w:val="20"/>
              </w:rPr>
              <w:t>Si ( ) No (</w:t>
            </w:r>
            <w:r w:rsidR="00DF2218">
              <w:rPr>
                <w:sz w:val="20"/>
                <w:szCs w:val="20"/>
              </w:rPr>
              <w:t>X</w:t>
            </w:r>
            <w:r w:rsidRPr="00D76D0A">
              <w:rPr>
                <w:sz w:val="20"/>
                <w:szCs w:val="20"/>
              </w:rPr>
              <w:t xml:space="preserve"> )</w:t>
            </w:r>
          </w:p>
        </w:tc>
      </w:tr>
    </w:tbl>
    <w:p w:rsidR="00E21B49" w:rsidRDefault="00E21B49" w:rsidP="00E21B49">
      <w:pPr>
        <w:jc w:val="both"/>
      </w:pPr>
    </w:p>
    <w:p w:rsidR="00A73AD8" w:rsidRPr="00A531AA" w:rsidRDefault="00A73AD8" w:rsidP="00A73AD8">
      <w:pPr>
        <w:shd w:val="clear" w:color="auto" w:fill="A8D08D" w:themeFill="accent6" w:themeFillTint="99"/>
        <w:jc w:val="both"/>
        <w:rPr>
          <w:b/>
        </w:rPr>
      </w:pPr>
      <w:r w:rsidRPr="00A531AA">
        <w:rPr>
          <w:b/>
        </w:rPr>
        <w:t>I</w:t>
      </w:r>
      <w:r w:rsidR="00804F49" w:rsidRPr="00A531AA">
        <w:rPr>
          <w:b/>
        </w:rPr>
        <w:t>I</w:t>
      </w:r>
      <w:r w:rsidRPr="00A531AA">
        <w:rPr>
          <w:b/>
        </w:rPr>
        <w:t>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RPr="00DF2218" w:rsidTr="00A73AD8">
        <w:tc>
          <w:tcPr>
            <w:tcW w:w="8828" w:type="dxa"/>
          </w:tcPr>
          <w:p w:rsidR="00B74C55" w:rsidRPr="00A531AA" w:rsidRDefault="00E35357" w:rsidP="00A73AD8">
            <w:pPr>
              <w:jc w:val="both"/>
              <w:rPr>
                <w:b/>
                <w:sz w:val="20"/>
              </w:rPr>
            </w:pPr>
            <w:r w:rsidRPr="00A531AA">
              <w:rPr>
                <w:b/>
                <w:sz w:val="20"/>
              </w:rPr>
              <w:t>4</w:t>
            </w:r>
            <w:r w:rsidR="00A73AD8" w:rsidRPr="00A531AA">
              <w:rPr>
                <w:b/>
                <w:sz w:val="20"/>
              </w:rPr>
              <w:t xml:space="preserve">.- Enliste </w:t>
            </w:r>
            <w:r w:rsidR="00B74C55" w:rsidRPr="00A531AA">
              <w:rPr>
                <w:b/>
                <w:sz w:val="20"/>
              </w:rPr>
              <w:t>los datos bibliográficos o las direcciones electrónicas consultadas para el diseño y redacción</w:t>
            </w:r>
            <w:r w:rsidR="00804F49" w:rsidRPr="00A531AA">
              <w:rPr>
                <w:b/>
                <w:sz w:val="20"/>
              </w:rPr>
              <w:t xml:space="preserve"> del anteproyecto de regulación, así como cualquier otra documentación que se considere de interés.</w:t>
            </w:r>
          </w:p>
          <w:p w:rsidR="00A73AD8" w:rsidRDefault="00A73AD8" w:rsidP="0086684A">
            <w:pPr>
              <w:jc w:val="both"/>
              <w:rPr>
                <w:sz w:val="20"/>
              </w:rPr>
            </w:pPr>
          </w:p>
          <w:p w:rsidR="00870931" w:rsidRPr="00A531AA" w:rsidRDefault="00DF2218" w:rsidP="00870931">
            <w:pPr>
              <w:pStyle w:val="Prrafodelista"/>
              <w:numPr>
                <w:ilvl w:val="0"/>
                <w:numId w:val="3"/>
              </w:numPr>
              <w:jc w:val="both"/>
            </w:pPr>
            <w:r w:rsidRPr="00144090">
              <w:rPr>
                <w:sz w:val="20"/>
                <w:szCs w:val="20"/>
              </w:rPr>
              <w:t xml:space="preserve">Lineamientos Generales </w:t>
            </w:r>
            <w:r w:rsidRPr="00DF2218">
              <w:rPr>
                <w:sz w:val="20"/>
              </w:rPr>
              <w:t>para el otorgamiento de las concesiones a que se refiere el Título Cuarto de la Ley Federal de Telecomunicaciones. Publicación del Diario Oficial de la Federación de fecha 24 de julio de 2015.</w:t>
            </w:r>
          </w:p>
          <w:p w:rsidR="00A531AA" w:rsidRPr="00DF2218" w:rsidRDefault="00A531AA" w:rsidP="00A531AA">
            <w:pPr>
              <w:pStyle w:val="Prrafodelista"/>
              <w:jc w:val="both"/>
            </w:pPr>
            <w:bookmarkStart w:id="0" w:name="_GoBack"/>
            <w:bookmarkEnd w:id="0"/>
          </w:p>
        </w:tc>
      </w:tr>
    </w:tbl>
    <w:p w:rsidR="0086684A" w:rsidRPr="00DF2218" w:rsidRDefault="0086684A" w:rsidP="0086684A">
      <w:pPr>
        <w:jc w:val="both"/>
      </w:pPr>
    </w:p>
    <w:sectPr w:rsidR="0086684A" w:rsidRPr="00DF221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7C3" w:rsidRDefault="007B37C3" w:rsidP="00501ADF">
      <w:pPr>
        <w:spacing w:after="0" w:line="240" w:lineRule="auto"/>
      </w:pPr>
      <w:r>
        <w:separator/>
      </w:r>
    </w:p>
  </w:endnote>
  <w:endnote w:type="continuationSeparator" w:id="0">
    <w:p w:rsidR="007B37C3" w:rsidRDefault="007B37C3"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7C3" w:rsidRDefault="007B37C3" w:rsidP="00501ADF">
      <w:pPr>
        <w:spacing w:after="0" w:line="240" w:lineRule="auto"/>
      </w:pPr>
      <w:r>
        <w:separator/>
      </w:r>
    </w:p>
  </w:footnote>
  <w:footnote w:type="continuationSeparator" w:id="0">
    <w:p w:rsidR="007B37C3" w:rsidRDefault="007B37C3" w:rsidP="00501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ADF" w:rsidRPr="00501ADF" w:rsidRDefault="00804F49"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6630940A" wp14:editId="70AC3AD7">
              <wp:simplePos x="0" y="0"/>
              <wp:positionH relativeFrom="margin">
                <wp:posOffset>2301240</wp:posOffset>
              </wp:positionH>
              <wp:positionV relativeFrom="paragraph">
                <wp:posOffset>7620</wp:posOffset>
              </wp:positionV>
              <wp:extent cx="3343275" cy="5905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590550"/>
                      </a:xfrm>
                      <a:prstGeom prst="rect">
                        <a:avLst/>
                      </a:prstGeom>
                      <a:solidFill>
                        <a:srgbClr val="FFFFFF"/>
                      </a:solidFill>
                      <a:ln w="9525">
                        <a:solidFill>
                          <a:schemeClr val="bg1"/>
                        </a:solidFill>
                        <a:miter lim="800000"/>
                        <a:headEnd/>
                        <a:tailEnd/>
                      </a:ln>
                    </wps:spPr>
                    <wps:txbx>
                      <w:txbxContent>
                        <w:p w:rsidR="00804F49" w:rsidRPr="00A531AA" w:rsidRDefault="00E35357" w:rsidP="00804F49">
                          <w:pPr>
                            <w:jc w:val="right"/>
                            <w:rPr>
                              <w:sz w:val="24"/>
                            </w:rPr>
                          </w:pPr>
                          <w:r w:rsidRPr="00A531AA">
                            <w:rPr>
                              <w:sz w:val="24"/>
                            </w:rPr>
                            <w:t>ANÁ</w:t>
                          </w:r>
                          <w:r w:rsidR="00804F49" w:rsidRPr="00A531AA">
                            <w:rPr>
                              <w:sz w:val="24"/>
                            </w:rPr>
                            <w:t xml:space="preserve">LISIS DE </w:t>
                          </w:r>
                          <w:r w:rsidRPr="00A531AA">
                            <w:rPr>
                              <w:sz w:val="24"/>
                            </w:rPr>
                            <w:t xml:space="preserve">NULO </w:t>
                          </w:r>
                          <w:r w:rsidR="00804F49" w:rsidRPr="00A531AA">
                            <w:rPr>
                              <w:sz w:val="24"/>
                            </w:rPr>
                            <w:t>IMPACTO REGULATORIO</w:t>
                          </w:r>
                        </w:p>
                        <w:p w:rsidR="00294941" w:rsidRPr="00804F49" w:rsidRDefault="00294941" w:rsidP="00804F49">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0940A" id="_x0000_t202" coordsize="21600,21600" o:spt="202" path="m,l,21600r21600,l21600,xe">
              <v:stroke joinstyle="miter"/>
              <v:path gradientshapeok="t" o:connecttype="rect"/>
            </v:shapetype>
            <v:shape id="Cuadro de texto 2" o:spid="_x0000_s1026" type="#_x0000_t202" style="position:absolute;margin-left:181.2pt;margin-top:.6pt;width:263.25pt;height:4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" strokecolor="white [3212]">
              <v:textbox>
                <w:txbxContent>
                  <w:p w:rsidR="00804F49" w:rsidRPr="00A531AA" w:rsidRDefault="00E35357" w:rsidP="00804F49">
                    <w:pPr>
                      <w:jc w:val="right"/>
                      <w:rPr>
                        <w:sz w:val="24"/>
                      </w:rPr>
                    </w:pPr>
                    <w:r w:rsidRPr="00A531AA">
                      <w:rPr>
                        <w:sz w:val="24"/>
                      </w:rPr>
                      <w:t>ANÁ</w:t>
                    </w:r>
                    <w:r w:rsidR="00804F49" w:rsidRPr="00A531AA">
                      <w:rPr>
                        <w:sz w:val="24"/>
                      </w:rPr>
                      <w:t xml:space="preserve">LISIS DE </w:t>
                    </w:r>
                    <w:r w:rsidRPr="00A531AA">
                      <w:rPr>
                        <w:sz w:val="24"/>
                      </w:rPr>
                      <w:t xml:space="preserve">NULO </w:t>
                    </w:r>
                    <w:r w:rsidR="00804F49" w:rsidRPr="00A531AA">
                      <w:rPr>
                        <w:sz w:val="24"/>
                      </w:rPr>
                      <w:t>IMPACTO REGULATORIO</w:t>
                    </w:r>
                  </w:p>
                  <w:p w:rsidR="00294941" w:rsidRPr="00804F49" w:rsidRDefault="00294941" w:rsidP="00804F49">
                    <w:pPr>
                      <w:jc w:val="right"/>
                    </w:pPr>
                  </w:p>
                </w:txbxContent>
              </v:textbox>
              <w10:wrap type="square" anchorx="margin"/>
            </v:shape>
          </w:pict>
        </mc:Fallback>
      </mc:AlternateContent>
    </w:r>
    <w:r w:rsidR="00501ADF"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14:anchorId="6FCA643C" wp14:editId="427444E3">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ADF" w:rsidRDefault="00501ADF">
    <w:pPr>
      <w:pStyle w:val="Encabezado"/>
    </w:pPr>
  </w:p>
  <w:p w:rsidR="00804F49" w:rsidRDefault="00804F49">
    <w:pPr>
      <w:pStyle w:val="Encabezado"/>
    </w:pPr>
  </w:p>
  <w:p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40406544"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501ADF" w:rsidRDefault="00501A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144090"/>
    <w:rsid w:val="001932FC"/>
    <w:rsid w:val="00286496"/>
    <w:rsid w:val="00294941"/>
    <w:rsid w:val="00295E97"/>
    <w:rsid w:val="002E039A"/>
    <w:rsid w:val="0030055F"/>
    <w:rsid w:val="003039BF"/>
    <w:rsid w:val="003C037F"/>
    <w:rsid w:val="003F05E7"/>
    <w:rsid w:val="00496568"/>
    <w:rsid w:val="004B6836"/>
    <w:rsid w:val="004E0DA9"/>
    <w:rsid w:val="00501ADF"/>
    <w:rsid w:val="005A40FB"/>
    <w:rsid w:val="005B027F"/>
    <w:rsid w:val="005B6627"/>
    <w:rsid w:val="006717D5"/>
    <w:rsid w:val="0068307E"/>
    <w:rsid w:val="006D7A08"/>
    <w:rsid w:val="007B37C3"/>
    <w:rsid w:val="007D4E5B"/>
    <w:rsid w:val="00801FED"/>
    <w:rsid w:val="00804F49"/>
    <w:rsid w:val="0086684A"/>
    <w:rsid w:val="00870931"/>
    <w:rsid w:val="00876D05"/>
    <w:rsid w:val="008A48B0"/>
    <w:rsid w:val="008C76AF"/>
    <w:rsid w:val="008E3011"/>
    <w:rsid w:val="00A1622C"/>
    <w:rsid w:val="00A204C3"/>
    <w:rsid w:val="00A531AA"/>
    <w:rsid w:val="00A73AD8"/>
    <w:rsid w:val="00B31808"/>
    <w:rsid w:val="00B358D6"/>
    <w:rsid w:val="00B6461E"/>
    <w:rsid w:val="00B74C55"/>
    <w:rsid w:val="00C370CF"/>
    <w:rsid w:val="00C917FC"/>
    <w:rsid w:val="00D221B5"/>
    <w:rsid w:val="00D30A94"/>
    <w:rsid w:val="00DB6255"/>
    <w:rsid w:val="00DF2218"/>
    <w:rsid w:val="00E21B49"/>
    <w:rsid w:val="00E27972"/>
    <w:rsid w:val="00E35357"/>
    <w:rsid w:val="00E6080B"/>
    <w:rsid w:val="00EE64E3"/>
    <w:rsid w:val="00F122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berto.flores@ift.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3DshowOrganigrama%26_idDependencia%3D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3401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Luis Fernando Rosas Yanez</cp:lastModifiedBy>
  <cp:revision>3</cp:revision>
  <dcterms:created xsi:type="dcterms:W3CDTF">2017-01-31T02:25:00Z</dcterms:created>
  <dcterms:modified xsi:type="dcterms:W3CDTF">2017-01-31T02:26:00Z</dcterms:modified>
</cp:coreProperties>
</file>