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A381" w14:textId="314538F6" w:rsidR="00890ECB" w:rsidRPr="00566647" w:rsidRDefault="00890ECB" w:rsidP="0030792F">
      <w:pPr>
        <w:pStyle w:val="Ttulo1"/>
        <w:rPr>
          <w:sz w:val="22"/>
        </w:rPr>
      </w:pPr>
      <w:r w:rsidRPr="00566647">
        <w:rPr>
          <w:sz w:val="22"/>
        </w:rPr>
        <w:t>RESPUESTAS GENERALES QUE PROPORCIONA EL INSTITUTO FEDERAL DE TELECOMUNICACIONES A LAS MANIFESTACIONES, OPINIONES, COMENTARIOS Y PROPUESTAS PRESENTADAS DURANTE LA CONSULTA PÚBLICA DEL:</w:t>
      </w:r>
      <w:r w:rsidR="00976034">
        <w:rPr>
          <w:sz w:val="22"/>
        </w:rPr>
        <w:t xml:space="preserve"> </w:t>
      </w:r>
      <w:r w:rsidRPr="00566647">
        <w:rPr>
          <w:sz w:val="22"/>
        </w:rPr>
        <w:t>“ANTEPROYECTO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p>
    <w:p w14:paraId="79D440AF" w14:textId="387F7382" w:rsidR="00890ECB" w:rsidRPr="00566647" w:rsidRDefault="00890ECB" w:rsidP="0030792F">
      <w:pPr>
        <w:rPr>
          <w:sz w:val="22"/>
        </w:rPr>
      </w:pPr>
      <w:r w:rsidRPr="00566647">
        <w:rPr>
          <w:sz w:val="22"/>
        </w:rPr>
        <w:t>En relación con los comentarios, opiniones y propuestas concretas recibidas durante el periodo comprendido del 13 de diciembre de 2016 al 23 de marzo de 2017, respecto al Anteproyecto materia de la consulta pública de mérito, se informa que el Instituto Federal de Telecomunicaciones (en lo sucesivo, el “Instituto”) identificó diversos temas, por lo que</w:t>
      </w:r>
      <w:r w:rsidR="00214F02" w:rsidRPr="00566647">
        <w:rPr>
          <w:sz w:val="22"/>
        </w:rPr>
        <w:t>,</w:t>
      </w:r>
      <w:r w:rsidRPr="00566647">
        <w:rPr>
          <w:sz w:val="22"/>
        </w:rPr>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14:paraId="5EC27BF3" w14:textId="77777777" w:rsidR="00890ECB" w:rsidRPr="00566647" w:rsidRDefault="00890ECB" w:rsidP="0030792F">
      <w:pPr>
        <w:rPr>
          <w:sz w:val="22"/>
        </w:rPr>
      </w:pPr>
      <w:r w:rsidRPr="00566647">
        <w:rPr>
          <w:sz w:val="22"/>
        </w:rPr>
        <w:t xml:space="preserve">Una vez concluido el plazo de consulta respectivo, se publicaron en el portal de Internet del Instituto todos y cada uno de los comentarios, opiniones y propuestas concretas recibidas respecto del Anteproyecto, las cuales se encuentran disponibles al público en general en el portal de Internet del Instituto. </w:t>
      </w:r>
    </w:p>
    <w:p w14:paraId="6619F536" w14:textId="77777777" w:rsidR="006D7948" w:rsidRPr="00566647" w:rsidRDefault="00890ECB" w:rsidP="0030792F">
      <w:pPr>
        <w:rPr>
          <w:sz w:val="22"/>
        </w:rPr>
      </w:pPr>
      <w:r w:rsidRPr="00566647">
        <w:rPr>
          <w:sz w:val="22"/>
        </w:rPr>
        <w:t>Durante la c</w:t>
      </w:r>
      <w:r w:rsidR="00072D09" w:rsidRPr="00566647">
        <w:rPr>
          <w:sz w:val="22"/>
        </w:rPr>
        <w:t>onsulta pública se recibieron 11</w:t>
      </w:r>
      <w:r w:rsidRPr="00566647">
        <w:rPr>
          <w:sz w:val="22"/>
        </w:rPr>
        <w:t xml:space="preserve"> participaciones de personas morales, las cuales se listan a continuación:</w:t>
      </w:r>
    </w:p>
    <w:tbl>
      <w:tblPr>
        <w:tblStyle w:val="Tabladecuadrcula5oscura-nfasis6"/>
        <w:tblW w:w="0" w:type="auto"/>
        <w:tblInd w:w="279" w:type="dxa"/>
        <w:tblLook w:val="0420" w:firstRow="1" w:lastRow="0" w:firstColumn="0" w:lastColumn="0" w:noHBand="0" w:noVBand="1"/>
      </w:tblPr>
      <w:tblGrid>
        <w:gridCol w:w="995"/>
        <w:gridCol w:w="5895"/>
        <w:gridCol w:w="1659"/>
      </w:tblGrid>
      <w:tr w:rsidR="00890ECB" w:rsidRPr="00566647" w14:paraId="397F6129" w14:textId="77777777" w:rsidTr="00151D45">
        <w:trPr>
          <w:cnfStyle w:val="100000000000" w:firstRow="1" w:lastRow="0" w:firstColumn="0" w:lastColumn="0" w:oddVBand="0" w:evenVBand="0" w:oddHBand="0" w:evenHBand="0" w:firstRowFirstColumn="0" w:firstRowLastColumn="0" w:lastRowFirstColumn="0" w:lastRowLastColumn="0"/>
          <w:trHeight w:val="720"/>
        </w:trPr>
        <w:tc>
          <w:tcPr>
            <w:tcW w:w="0" w:type="auto"/>
            <w:noWrap/>
            <w:vAlign w:val="center"/>
            <w:hideMark/>
          </w:tcPr>
          <w:p w14:paraId="31C72A5E" w14:textId="64398B4A" w:rsidR="00890ECB" w:rsidRPr="00566647" w:rsidRDefault="00890ECB" w:rsidP="00151D45">
            <w:pPr>
              <w:spacing w:after="160" w:line="259" w:lineRule="auto"/>
              <w:jc w:val="center"/>
            </w:pPr>
            <w:r w:rsidRPr="00566647">
              <w:t xml:space="preserve">Número </w:t>
            </w:r>
          </w:p>
        </w:tc>
        <w:tc>
          <w:tcPr>
            <w:tcW w:w="0" w:type="auto"/>
            <w:noWrap/>
            <w:vAlign w:val="center"/>
            <w:hideMark/>
          </w:tcPr>
          <w:p w14:paraId="40B130DD" w14:textId="77777777" w:rsidR="00890ECB" w:rsidRPr="00566647" w:rsidRDefault="00890ECB" w:rsidP="0030792F">
            <w:pPr>
              <w:spacing w:after="160" w:line="259" w:lineRule="auto"/>
            </w:pPr>
            <w:r w:rsidRPr="00566647">
              <w:t>Nombre</w:t>
            </w:r>
          </w:p>
        </w:tc>
        <w:tc>
          <w:tcPr>
            <w:tcW w:w="0" w:type="auto"/>
            <w:noWrap/>
            <w:vAlign w:val="center"/>
            <w:hideMark/>
          </w:tcPr>
          <w:p w14:paraId="68AC6A85" w14:textId="77777777" w:rsidR="00890ECB" w:rsidRPr="00566647" w:rsidRDefault="00890ECB" w:rsidP="0030792F">
            <w:pPr>
              <w:spacing w:after="160" w:line="259" w:lineRule="auto"/>
            </w:pPr>
            <w:r w:rsidRPr="00566647">
              <w:t>Régimen Fiscal</w:t>
            </w:r>
          </w:p>
        </w:tc>
      </w:tr>
      <w:tr w:rsidR="00890ECB" w:rsidRPr="00566647" w14:paraId="53F837A3" w14:textId="77777777" w:rsidTr="00151D45">
        <w:trPr>
          <w:cnfStyle w:val="000000100000" w:firstRow="0" w:lastRow="0" w:firstColumn="0" w:lastColumn="0" w:oddVBand="0" w:evenVBand="0" w:oddHBand="1" w:evenHBand="0" w:firstRowFirstColumn="0" w:firstRowLastColumn="0" w:lastRowFirstColumn="0" w:lastRowLastColumn="0"/>
          <w:trHeight w:val="855"/>
        </w:trPr>
        <w:tc>
          <w:tcPr>
            <w:tcW w:w="0" w:type="auto"/>
            <w:vAlign w:val="center"/>
            <w:hideMark/>
          </w:tcPr>
          <w:p w14:paraId="66BF2A7F" w14:textId="77777777" w:rsidR="00890ECB" w:rsidRPr="00566647" w:rsidRDefault="00890ECB" w:rsidP="00151D45">
            <w:pPr>
              <w:spacing w:after="160" w:line="259" w:lineRule="auto"/>
              <w:jc w:val="center"/>
            </w:pPr>
            <w:r w:rsidRPr="00566647">
              <w:t>1</w:t>
            </w:r>
          </w:p>
        </w:tc>
        <w:tc>
          <w:tcPr>
            <w:tcW w:w="0" w:type="auto"/>
            <w:vAlign w:val="center"/>
            <w:hideMark/>
          </w:tcPr>
          <w:p w14:paraId="4ECE4AB7" w14:textId="77777777" w:rsidR="00890ECB" w:rsidRPr="00566647" w:rsidRDefault="00890ECB" w:rsidP="0030792F">
            <w:pPr>
              <w:spacing w:after="160" w:line="259" w:lineRule="auto"/>
            </w:pPr>
            <w:r w:rsidRPr="00566647">
              <w:t>Asociación Nacional de Telecomunicaciones, A.C. (ANATEL)</w:t>
            </w:r>
          </w:p>
        </w:tc>
        <w:tc>
          <w:tcPr>
            <w:tcW w:w="0" w:type="auto"/>
            <w:vAlign w:val="center"/>
            <w:hideMark/>
          </w:tcPr>
          <w:p w14:paraId="5B151CA1" w14:textId="77777777" w:rsidR="00890ECB" w:rsidRPr="00566647" w:rsidRDefault="00890ECB" w:rsidP="0030792F">
            <w:pPr>
              <w:spacing w:after="160" w:line="259" w:lineRule="auto"/>
            </w:pPr>
            <w:r w:rsidRPr="00566647">
              <w:t>Moral</w:t>
            </w:r>
          </w:p>
        </w:tc>
      </w:tr>
      <w:tr w:rsidR="00890ECB" w:rsidRPr="00566647" w14:paraId="54F9BB83" w14:textId="77777777" w:rsidTr="00151D45">
        <w:trPr>
          <w:trHeight w:val="1425"/>
        </w:trPr>
        <w:tc>
          <w:tcPr>
            <w:tcW w:w="0" w:type="auto"/>
            <w:vAlign w:val="center"/>
            <w:hideMark/>
          </w:tcPr>
          <w:p w14:paraId="747B384F" w14:textId="77777777" w:rsidR="00890ECB" w:rsidRPr="00566647" w:rsidRDefault="00890ECB" w:rsidP="00151D45">
            <w:pPr>
              <w:spacing w:after="160" w:line="259" w:lineRule="auto"/>
              <w:jc w:val="center"/>
            </w:pPr>
            <w:r w:rsidRPr="00566647">
              <w:t>2</w:t>
            </w:r>
          </w:p>
        </w:tc>
        <w:tc>
          <w:tcPr>
            <w:tcW w:w="0" w:type="auto"/>
            <w:vAlign w:val="center"/>
            <w:hideMark/>
          </w:tcPr>
          <w:p w14:paraId="362C3592" w14:textId="77777777" w:rsidR="00890ECB" w:rsidRPr="00566647" w:rsidRDefault="00174DC1" w:rsidP="0030792F">
            <w:pPr>
              <w:spacing w:after="160" w:line="259" w:lineRule="auto"/>
            </w:pPr>
            <w:r w:rsidRPr="00566647">
              <w:t xml:space="preserve">Cámara Nacional de la Industria Electrónica, de Telecomunicaciones y Tecnologías de la Información </w:t>
            </w:r>
            <w:r w:rsidR="00890ECB" w:rsidRPr="00566647">
              <w:t>(CANIETI)</w:t>
            </w:r>
          </w:p>
        </w:tc>
        <w:tc>
          <w:tcPr>
            <w:tcW w:w="0" w:type="auto"/>
            <w:vAlign w:val="center"/>
            <w:hideMark/>
          </w:tcPr>
          <w:p w14:paraId="590FFA14" w14:textId="77777777" w:rsidR="00890ECB" w:rsidRPr="00566647" w:rsidRDefault="00890ECB" w:rsidP="0030792F">
            <w:pPr>
              <w:spacing w:after="160" w:line="259" w:lineRule="auto"/>
            </w:pPr>
            <w:r w:rsidRPr="00566647">
              <w:t>Moral</w:t>
            </w:r>
          </w:p>
        </w:tc>
      </w:tr>
      <w:tr w:rsidR="00890ECB" w:rsidRPr="00566647" w14:paraId="18791A8E" w14:textId="77777777" w:rsidTr="00151D45">
        <w:trPr>
          <w:cnfStyle w:val="000000100000" w:firstRow="0" w:lastRow="0" w:firstColumn="0" w:lastColumn="0" w:oddVBand="0" w:evenVBand="0" w:oddHBand="1" w:evenHBand="0" w:firstRowFirstColumn="0" w:firstRowLastColumn="0" w:lastRowFirstColumn="0" w:lastRowLastColumn="0"/>
          <w:trHeight w:val="855"/>
        </w:trPr>
        <w:tc>
          <w:tcPr>
            <w:tcW w:w="0" w:type="auto"/>
            <w:vAlign w:val="center"/>
            <w:hideMark/>
          </w:tcPr>
          <w:p w14:paraId="0B9B8029" w14:textId="77777777" w:rsidR="00890ECB" w:rsidRPr="00566647" w:rsidRDefault="00890ECB" w:rsidP="00151D45">
            <w:pPr>
              <w:spacing w:after="160" w:line="259" w:lineRule="auto"/>
              <w:jc w:val="center"/>
            </w:pPr>
            <w:r w:rsidRPr="00566647">
              <w:t>3</w:t>
            </w:r>
          </w:p>
        </w:tc>
        <w:tc>
          <w:tcPr>
            <w:tcW w:w="0" w:type="auto"/>
            <w:vAlign w:val="center"/>
            <w:hideMark/>
          </w:tcPr>
          <w:p w14:paraId="67906A20" w14:textId="77777777" w:rsidR="00890ECB" w:rsidRPr="00566647" w:rsidRDefault="00890ECB" w:rsidP="0030792F">
            <w:pPr>
              <w:spacing w:after="160" w:line="259" w:lineRule="auto"/>
            </w:pPr>
            <w:r w:rsidRPr="00566647">
              <w:t>Televisora de Occidente, S.A. de C.V.</w:t>
            </w:r>
          </w:p>
        </w:tc>
        <w:tc>
          <w:tcPr>
            <w:tcW w:w="0" w:type="auto"/>
            <w:vAlign w:val="center"/>
            <w:hideMark/>
          </w:tcPr>
          <w:p w14:paraId="2A444789" w14:textId="77777777" w:rsidR="00890ECB" w:rsidRPr="00566647" w:rsidRDefault="00890ECB" w:rsidP="0030792F">
            <w:pPr>
              <w:spacing w:after="160" w:line="259" w:lineRule="auto"/>
            </w:pPr>
            <w:r w:rsidRPr="00566647">
              <w:t>Moral</w:t>
            </w:r>
          </w:p>
        </w:tc>
      </w:tr>
      <w:tr w:rsidR="00890ECB" w:rsidRPr="00566647" w14:paraId="2049BE22" w14:textId="77777777" w:rsidTr="00151D45">
        <w:trPr>
          <w:trHeight w:val="720"/>
        </w:trPr>
        <w:tc>
          <w:tcPr>
            <w:tcW w:w="0" w:type="auto"/>
            <w:vAlign w:val="center"/>
            <w:hideMark/>
          </w:tcPr>
          <w:p w14:paraId="78FC6D82" w14:textId="77777777" w:rsidR="00890ECB" w:rsidRPr="00566647" w:rsidRDefault="00890ECB" w:rsidP="00151D45">
            <w:pPr>
              <w:spacing w:after="160" w:line="259" w:lineRule="auto"/>
              <w:jc w:val="center"/>
            </w:pPr>
            <w:r w:rsidRPr="00566647">
              <w:t>4</w:t>
            </w:r>
          </w:p>
        </w:tc>
        <w:tc>
          <w:tcPr>
            <w:tcW w:w="0" w:type="auto"/>
            <w:vAlign w:val="center"/>
            <w:hideMark/>
          </w:tcPr>
          <w:p w14:paraId="07020FB6" w14:textId="77777777" w:rsidR="00890ECB" w:rsidRPr="00566647" w:rsidRDefault="00890ECB" w:rsidP="0030792F">
            <w:pPr>
              <w:spacing w:after="160" w:line="259" w:lineRule="auto"/>
            </w:pPr>
            <w:r w:rsidRPr="00566647">
              <w:t xml:space="preserve">MOBILE &amp; Wireless </w:t>
            </w:r>
            <w:proofErr w:type="spellStart"/>
            <w:r w:rsidRPr="00566647">
              <w:t>Forum</w:t>
            </w:r>
            <w:proofErr w:type="spellEnd"/>
            <w:r w:rsidR="00174DC1" w:rsidRPr="00566647">
              <w:t xml:space="preserve"> (MWF)</w:t>
            </w:r>
          </w:p>
        </w:tc>
        <w:tc>
          <w:tcPr>
            <w:tcW w:w="0" w:type="auto"/>
            <w:vAlign w:val="center"/>
            <w:hideMark/>
          </w:tcPr>
          <w:p w14:paraId="752179C7" w14:textId="77777777" w:rsidR="00890ECB" w:rsidRPr="00566647" w:rsidRDefault="00890ECB" w:rsidP="0030792F">
            <w:pPr>
              <w:spacing w:after="160" w:line="259" w:lineRule="auto"/>
            </w:pPr>
            <w:r w:rsidRPr="00566647">
              <w:t>Moral</w:t>
            </w:r>
          </w:p>
        </w:tc>
      </w:tr>
      <w:tr w:rsidR="00890ECB" w:rsidRPr="00566647" w14:paraId="0D43BDAA" w14:textId="77777777" w:rsidTr="00151D45">
        <w:trPr>
          <w:cnfStyle w:val="000000100000" w:firstRow="0" w:lastRow="0" w:firstColumn="0" w:lastColumn="0" w:oddVBand="0" w:evenVBand="0" w:oddHBand="1" w:evenHBand="0" w:firstRowFirstColumn="0" w:firstRowLastColumn="0" w:lastRowFirstColumn="0" w:lastRowLastColumn="0"/>
          <w:trHeight w:val="720"/>
        </w:trPr>
        <w:tc>
          <w:tcPr>
            <w:tcW w:w="0" w:type="auto"/>
            <w:vAlign w:val="center"/>
            <w:hideMark/>
          </w:tcPr>
          <w:p w14:paraId="480FD520" w14:textId="77777777" w:rsidR="00890ECB" w:rsidRPr="00566647" w:rsidRDefault="00890ECB" w:rsidP="00151D45">
            <w:pPr>
              <w:spacing w:after="160" w:line="259" w:lineRule="auto"/>
              <w:jc w:val="center"/>
            </w:pPr>
            <w:r w:rsidRPr="00566647">
              <w:lastRenderedPageBreak/>
              <w:t>5</w:t>
            </w:r>
          </w:p>
        </w:tc>
        <w:tc>
          <w:tcPr>
            <w:tcW w:w="0" w:type="auto"/>
            <w:vAlign w:val="center"/>
            <w:hideMark/>
          </w:tcPr>
          <w:p w14:paraId="226FFE00" w14:textId="77777777" w:rsidR="00890ECB" w:rsidRPr="00566647" w:rsidRDefault="00890ECB" w:rsidP="0030792F">
            <w:pPr>
              <w:spacing w:after="160" w:line="259" w:lineRule="auto"/>
            </w:pPr>
            <w:proofErr w:type="spellStart"/>
            <w:r w:rsidRPr="00566647">
              <w:t>Cellraid</w:t>
            </w:r>
            <w:proofErr w:type="spellEnd"/>
            <w:r w:rsidRPr="00566647">
              <w:t xml:space="preserve"> </w:t>
            </w:r>
            <w:proofErr w:type="spellStart"/>
            <w:r w:rsidRPr="00566647">
              <w:t>Oy</w:t>
            </w:r>
            <w:proofErr w:type="spellEnd"/>
            <w:r w:rsidR="00174DC1" w:rsidRPr="00566647">
              <w:t xml:space="preserve"> (CELLRAID)</w:t>
            </w:r>
          </w:p>
        </w:tc>
        <w:tc>
          <w:tcPr>
            <w:tcW w:w="0" w:type="auto"/>
            <w:vAlign w:val="center"/>
            <w:hideMark/>
          </w:tcPr>
          <w:p w14:paraId="3D700384" w14:textId="77777777" w:rsidR="00890ECB" w:rsidRPr="00566647" w:rsidRDefault="00890ECB" w:rsidP="0030792F">
            <w:pPr>
              <w:spacing w:after="160" w:line="259" w:lineRule="auto"/>
            </w:pPr>
            <w:r w:rsidRPr="00566647">
              <w:t>Moral</w:t>
            </w:r>
          </w:p>
        </w:tc>
      </w:tr>
      <w:tr w:rsidR="00890ECB" w:rsidRPr="00566647" w14:paraId="69B44827" w14:textId="77777777" w:rsidTr="00151D45">
        <w:trPr>
          <w:trHeight w:val="855"/>
        </w:trPr>
        <w:tc>
          <w:tcPr>
            <w:tcW w:w="0" w:type="auto"/>
            <w:vAlign w:val="center"/>
            <w:hideMark/>
          </w:tcPr>
          <w:p w14:paraId="7ACFED02" w14:textId="77777777" w:rsidR="00890ECB" w:rsidRPr="00566647" w:rsidRDefault="00890ECB" w:rsidP="00151D45">
            <w:pPr>
              <w:spacing w:after="160" w:line="259" w:lineRule="auto"/>
              <w:jc w:val="center"/>
            </w:pPr>
            <w:r w:rsidRPr="00566647">
              <w:t>6</w:t>
            </w:r>
          </w:p>
        </w:tc>
        <w:tc>
          <w:tcPr>
            <w:tcW w:w="0" w:type="auto"/>
            <w:vAlign w:val="center"/>
            <w:hideMark/>
          </w:tcPr>
          <w:p w14:paraId="15C46628" w14:textId="77777777" w:rsidR="00890ECB" w:rsidRPr="00566647" w:rsidRDefault="00890ECB" w:rsidP="0030792F">
            <w:pPr>
              <w:spacing w:after="160" w:line="259" w:lineRule="auto"/>
            </w:pPr>
            <w:proofErr w:type="spellStart"/>
            <w:r w:rsidRPr="00566647">
              <w:t>Zebra</w:t>
            </w:r>
            <w:proofErr w:type="spellEnd"/>
            <w:r w:rsidRPr="00566647">
              <w:t xml:space="preserve"> Technologies </w:t>
            </w:r>
            <w:proofErr w:type="spellStart"/>
            <w:r w:rsidRPr="00566647">
              <w:t>Corporation</w:t>
            </w:r>
            <w:proofErr w:type="spellEnd"/>
            <w:r w:rsidR="00174DC1" w:rsidRPr="00566647">
              <w:t>. (ZEBRA)</w:t>
            </w:r>
          </w:p>
        </w:tc>
        <w:tc>
          <w:tcPr>
            <w:tcW w:w="0" w:type="auto"/>
            <w:vAlign w:val="center"/>
            <w:hideMark/>
          </w:tcPr>
          <w:p w14:paraId="2A8FCCE5" w14:textId="77777777" w:rsidR="00890ECB" w:rsidRPr="00566647" w:rsidRDefault="00890ECB" w:rsidP="0030792F">
            <w:pPr>
              <w:spacing w:after="160" w:line="259" w:lineRule="auto"/>
            </w:pPr>
            <w:r w:rsidRPr="00566647">
              <w:t>Moral</w:t>
            </w:r>
          </w:p>
        </w:tc>
      </w:tr>
      <w:tr w:rsidR="00890ECB" w:rsidRPr="00566647" w14:paraId="7D8322C3" w14:textId="77777777" w:rsidTr="00151D45">
        <w:trPr>
          <w:cnfStyle w:val="000000100000" w:firstRow="0" w:lastRow="0" w:firstColumn="0" w:lastColumn="0" w:oddVBand="0" w:evenVBand="0" w:oddHBand="1" w:evenHBand="0" w:firstRowFirstColumn="0" w:firstRowLastColumn="0" w:lastRowFirstColumn="0" w:lastRowLastColumn="0"/>
          <w:trHeight w:val="855"/>
        </w:trPr>
        <w:tc>
          <w:tcPr>
            <w:tcW w:w="0" w:type="auto"/>
            <w:vAlign w:val="center"/>
            <w:hideMark/>
          </w:tcPr>
          <w:p w14:paraId="4440EDA3" w14:textId="77777777" w:rsidR="00890ECB" w:rsidRPr="00566647" w:rsidRDefault="00890ECB" w:rsidP="00151D45">
            <w:pPr>
              <w:spacing w:after="160" w:line="259" w:lineRule="auto"/>
              <w:jc w:val="center"/>
            </w:pPr>
            <w:r w:rsidRPr="00566647">
              <w:t>7</w:t>
            </w:r>
          </w:p>
        </w:tc>
        <w:tc>
          <w:tcPr>
            <w:tcW w:w="0" w:type="auto"/>
            <w:vAlign w:val="center"/>
            <w:hideMark/>
          </w:tcPr>
          <w:p w14:paraId="09E96E85" w14:textId="77777777" w:rsidR="00890ECB" w:rsidRPr="00566647" w:rsidRDefault="00890ECB" w:rsidP="0030792F">
            <w:pPr>
              <w:spacing w:after="160" w:line="259" w:lineRule="auto"/>
            </w:pPr>
            <w:r w:rsidRPr="00566647">
              <w:t>SONY DE MÉXICO S.A. de C.V.</w:t>
            </w:r>
            <w:r w:rsidR="00174DC1" w:rsidRPr="00566647">
              <w:t xml:space="preserve"> (SONY)</w:t>
            </w:r>
          </w:p>
        </w:tc>
        <w:tc>
          <w:tcPr>
            <w:tcW w:w="0" w:type="auto"/>
            <w:vAlign w:val="center"/>
            <w:hideMark/>
          </w:tcPr>
          <w:p w14:paraId="5B4191CC" w14:textId="77777777" w:rsidR="00890ECB" w:rsidRPr="00566647" w:rsidRDefault="00890ECB" w:rsidP="0030792F">
            <w:pPr>
              <w:spacing w:after="160" w:line="259" w:lineRule="auto"/>
            </w:pPr>
            <w:r w:rsidRPr="00566647">
              <w:t>Moral</w:t>
            </w:r>
          </w:p>
        </w:tc>
      </w:tr>
      <w:tr w:rsidR="00890ECB" w:rsidRPr="00566647" w14:paraId="09DA1151" w14:textId="77777777" w:rsidTr="00151D45">
        <w:trPr>
          <w:trHeight w:val="855"/>
        </w:trPr>
        <w:tc>
          <w:tcPr>
            <w:tcW w:w="0" w:type="auto"/>
            <w:vAlign w:val="center"/>
            <w:hideMark/>
          </w:tcPr>
          <w:p w14:paraId="2AD98302" w14:textId="77777777" w:rsidR="00890ECB" w:rsidRPr="00566647" w:rsidRDefault="00890ECB" w:rsidP="00151D45">
            <w:pPr>
              <w:spacing w:after="160" w:line="259" w:lineRule="auto"/>
              <w:jc w:val="center"/>
            </w:pPr>
            <w:r w:rsidRPr="00566647">
              <w:t>8</w:t>
            </w:r>
          </w:p>
        </w:tc>
        <w:tc>
          <w:tcPr>
            <w:tcW w:w="0" w:type="auto"/>
            <w:vAlign w:val="center"/>
            <w:hideMark/>
          </w:tcPr>
          <w:p w14:paraId="7583BA6A" w14:textId="77777777" w:rsidR="00890ECB" w:rsidRPr="00566647" w:rsidRDefault="00890ECB" w:rsidP="0030792F">
            <w:pPr>
              <w:spacing w:after="160" w:line="259" w:lineRule="auto"/>
            </w:pPr>
            <w:r w:rsidRPr="00566647">
              <w:t>NORMALIZACIÓN Y CERTIFICACIÓN ELECTRÓNICA, SC</w:t>
            </w:r>
            <w:r w:rsidR="00174DC1" w:rsidRPr="00566647">
              <w:t xml:space="preserve"> (NYCE)</w:t>
            </w:r>
          </w:p>
        </w:tc>
        <w:tc>
          <w:tcPr>
            <w:tcW w:w="0" w:type="auto"/>
            <w:vAlign w:val="center"/>
            <w:hideMark/>
          </w:tcPr>
          <w:p w14:paraId="59937AC7" w14:textId="77777777" w:rsidR="00890ECB" w:rsidRPr="00566647" w:rsidRDefault="00890ECB" w:rsidP="0030792F">
            <w:pPr>
              <w:spacing w:after="160" w:line="259" w:lineRule="auto"/>
            </w:pPr>
            <w:r w:rsidRPr="00566647">
              <w:t>Moral</w:t>
            </w:r>
          </w:p>
        </w:tc>
      </w:tr>
      <w:tr w:rsidR="00890ECB" w:rsidRPr="00566647" w14:paraId="06A3D4EC" w14:textId="77777777" w:rsidTr="00151D45">
        <w:trPr>
          <w:cnfStyle w:val="000000100000" w:firstRow="0" w:lastRow="0" w:firstColumn="0" w:lastColumn="0" w:oddVBand="0" w:evenVBand="0" w:oddHBand="1" w:evenHBand="0" w:firstRowFirstColumn="0" w:firstRowLastColumn="0" w:lastRowFirstColumn="0" w:lastRowLastColumn="0"/>
          <w:trHeight w:val="855"/>
        </w:trPr>
        <w:tc>
          <w:tcPr>
            <w:tcW w:w="0" w:type="auto"/>
            <w:vAlign w:val="center"/>
            <w:hideMark/>
          </w:tcPr>
          <w:p w14:paraId="0DD70EEB" w14:textId="77777777" w:rsidR="00890ECB" w:rsidRPr="00566647" w:rsidRDefault="00890ECB" w:rsidP="00151D45">
            <w:pPr>
              <w:spacing w:after="160" w:line="259" w:lineRule="auto"/>
              <w:jc w:val="center"/>
            </w:pPr>
            <w:r w:rsidRPr="00566647">
              <w:t>9</w:t>
            </w:r>
          </w:p>
        </w:tc>
        <w:tc>
          <w:tcPr>
            <w:tcW w:w="0" w:type="auto"/>
            <w:vAlign w:val="center"/>
            <w:hideMark/>
          </w:tcPr>
          <w:p w14:paraId="0E641395" w14:textId="77777777" w:rsidR="00890ECB" w:rsidRPr="00566647" w:rsidRDefault="00890ECB" w:rsidP="0030792F">
            <w:pPr>
              <w:spacing w:after="160" w:line="259" w:lineRule="auto"/>
            </w:pPr>
            <w:r w:rsidRPr="00566647">
              <w:t>ASOCIACIÓN DE NORMALIZACIÓN Y CERTIFICACIÓN, A.C.</w:t>
            </w:r>
            <w:r w:rsidR="00174DC1" w:rsidRPr="00566647">
              <w:t xml:space="preserve"> (ANCE)</w:t>
            </w:r>
          </w:p>
        </w:tc>
        <w:tc>
          <w:tcPr>
            <w:tcW w:w="0" w:type="auto"/>
            <w:vAlign w:val="center"/>
            <w:hideMark/>
          </w:tcPr>
          <w:p w14:paraId="304FF62C" w14:textId="77777777" w:rsidR="00890ECB" w:rsidRPr="00566647" w:rsidRDefault="00890ECB" w:rsidP="0030792F">
            <w:pPr>
              <w:spacing w:after="160" w:line="259" w:lineRule="auto"/>
            </w:pPr>
            <w:r w:rsidRPr="00566647">
              <w:t>Moral</w:t>
            </w:r>
          </w:p>
        </w:tc>
      </w:tr>
      <w:tr w:rsidR="00890ECB" w:rsidRPr="00566647" w14:paraId="6348140D" w14:textId="77777777" w:rsidTr="00151D45">
        <w:trPr>
          <w:trHeight w:val="855"/>
        </w:trPr>
        <w:tc>
          <w:tcPr>
            <w:tcW w:w="0" w:type="auto"/>
            <w:vAlign w:val="center"/>
            <w:hideMark/>
          </w:tcPr>
          <w:p w14:paraId="562C1A87" w14:textId="77777777" w:rsidR="00890ECB" w:rsidRPr="00566647" w:rsidRDefault="00890ECB" w:rsidP="00151D45">
            <w:pPr>
              <w:spacing w:after="160" w:line="259" w:lineRule="auto"/>
              <w:jc w:val="center"/>
            </w:pPr>
            <w:r w:rsidRPr="00566647">
              <w:t>10</w:t>
            </w:r>
          </w:p>
        </w:tc>
        <w:tc>
          <w:tcPr>
            <w:tcW w:w="0" w:type="auto"/>
            <w:vAlign w:val="center"/>
            <w:hideMark/>
          </w:tcPr>
          <w:p w14:paraId="7502A11B" w14:textId="77777777" w:rsidR="00890ECB" w:rsidRPr="00566647" w:rsidRDefault="00890ECB" w:rsidP="0030792F">
            <w:pPr>
              <w:spacing w:after="160" w:line="259" w:lineRule="auto"/>
            </w:pPr>
            <w:r w:rsidRPr="00566647">
              <w:t>Asociación Nacional de Telecomunicaciones, A.C. (ANATEL)</w:t>
            </w:r>
          </w:p>
        </w:tc>
        <w:tc>
          <w:tcPr>
            <w:tcW w:w="0" w:type="auto"/>
            <w:vAlign w:val="center"/>
            <w:hideMark/>
          </w:tcPr>
          <w:p w14:paraId="00EB7083" w14:textId="77777777" w:rsidR="00890ECB" w:rsidRPr="00566647" w:rsidRDefault="00890ECB" w:rsidP="0030792F">
            <w:pPr>
              <w:spacing w:after="160" w:line="259" w:lineRule="auto"/>
            </w:pPr>
            <w:r w:rsidRPr="00566647">
              <w:t>Moral</w:t>
            </w:r>
          </w:p>
        </w:tc>
      </w:tr>
      <w:tr w:rsidR="00890ECB" w:rsidRPr="00566647" w14:paraId="0087D3A7" w14:textId="77777777" w:rsidTr="00151D45">
        <w:trPr>
          <w:cnfStyle w:val="000000100000" w:firstRow="0" w:lastRow="0" w:firstColumn="0" w:lastColumn="0" w:oddVBand="0" w:evenVBand="0" w:oddHBand="1" w:evenHBand="0" w:firstRowFirstColumn="0" w:firstRowLastColumn="0" w:lastRowFirstColumn="0" w:lastRowLastColumn="0"/>
          <w:trHeight w:val="855"/>
        </w:trPr>
        <w:tc>
          <w:tcPr>
            <w:tcW w:w="0" w:type="auto"/>
            <w:vAlign w:val="center"/>
            <w:hideMark/>
          </w:tcPr>
          <w:p w14:paraId="5F3614FB" w14:textId="77777777" w:rsidR="00890ECB" w:rsidRPr="00566647" w:rsidRDefault="00890ECB" w:rsidP="00151D45">
            <w:pPr>
              <w:spacing w:after="160" w:line="259" w:lineRule="auto"/>
              <w:jc w:val="center"/>
            </w:pPr>
            <w:r w:rsidRPr="00566647">
              <w:t>11</w:t>
            </w:r>
          </w:p>
        </w:tc>
        <w:tc>
          <w:tcPr>
            <w:tcW w:w="0" w:type="auto"/>
            <w:vAlign w:val="center"/>
            <w:hideMark/>
          </w:tcPr>
          <w:p w14:paraId="38CFD9D2" w14:textId="77777777" w:rsidR="00890ECB" w:rsidRPr="00566647" w:rsidRDefault="00174DC1" w:rsidP="0030792F">
            <w:pPr>
              <w:spacing w:after="160" w:line="259" w:lineRule="auto"/>
            </w:pPr>
            <w:r w:rsidRPr="00566647">
              <w:t>Sociedad Mexicana para la Protección de la Radiación No Ionizante (SMPRI)</w:t>
            </w:r>
          </w:p>
        </w:tc>
        <w:tc>
          <w:tcPr>
            <w:tcW w:w="0" w:type="auto"/>
            <w:vAlign w:val="center"/>
            <w:hideMark/>
          </w:tcPr>
          <w:p w14:paraId="18E411B4" w14:textId="77777777" w:rsidR="00890ECB" w:rsidRPr="00566647" w:rsidRDefault="00890ECB" w:rsidP="0030792F">
            <w:pPr>
              <w:spacing w:after="160" w:line="259" w:lineRule="auto"/>
            </w:pPr>
            <w:r w:rsidRPr="00566647">
              <w:t>Moral</w:t>
            </w:r>
          </w:p>
        </w:tc>
      </w:tr>
    </w:tbl>
    <w:p w14:paraId="75CF560D" w14:textId="77777777" w:rsidR="00890ECB" w:rsidRPr="00566647" w:rsidRDefault="00890ECB" w:rsidP="0030792F">
      <w:pPr>
        <w:rPr>
          <w:sz w:val="22"/>
        </w:rPr>
      </w:pPr>
    </w:p>
    <w:p w14:paraId="2E252D42" w14:textId="229F9F07" w:rsidR="00890ECB" w:rsidRPr="00566647" w:rsidRDefault="00890ECB" w:rsidP="0030792F">
      <w:pPr>
        <w:rPr>
          <w:sz w:val="22"/>
        </w:rPr>
      </w:pPr>
      <w:r w:rsidRPr="00566647">
        <w:rPr>
          <w:sz w:val="22"/>
        </w:rPr>
        <w:t>De acuerdo a los comentarios recibidos durante la Consulta Pública se integraron, modificaron y/o eliminaron definiciones, numerales y fracciones en el anteproyecto original, por lo tanto</w:t>
      </w:r>
      <w:r w:rsidR="006C719B" w:rsidRPr="00566647">
        <w:rPr>
          <w:sz w:val="22"/>
        </w:rPr>
        <w:t>,</w:t>
      </w:r>
      <w:r w:rsidRPr="00566647">
        <w:rPr>
          <w:sz w:val="22"/>
        </w:rPr>
        <w:t xml:space="preserve"> el </w:t>
      </w:r>
      <w:r w:rsidR="006C719B" w:rsidRPr="00566647">
        <w:rPr>
          <w:sz w:val="22"/>
        </w:rPr>
        <w:t>Ante</w:t>
      </w:r>
      <w:r w:rsidRPr="00566647">
        <w:rPr>
          <w:sz w:val="22"/>
        </w:rPr>
        <w:t xml:space="preserve">proyecto que ahora nos ocupa sufrió un reordenamiento lo cual se refleja en el </w:t>
      </w:r>
      <w:r w:rsidR="00976034">
        <w:rPr>
          <w:sz w:val="22"/>
        </w:rPr>
        <w:t>proyecto</w:t>
      </w:r>
      <w:r w:rsidRPr="00566647">
        <w:rPr>
          <w:sz w:val="22"/>
        </w:rPr>
        <w:t xml:space="preserve"> final.</w:t>
      </w:r>
    </w:p>
    <w:p w14:paraId="6345F7A5" w14:textId="77777777" w:rsidR="00890ECB" w:rsidRPr="00566647" w:rsidRDefault="00890ECB" w:rsidP="0030792F">
      <w:pPr>
        <w:rPr>
          <w:sz w:val="22"/>
        </w:rPr>
      </w:pPr>
    </w:p>
    <w:p w14:paraId="0E3A5767" w14:textId="77777777" w:rsidR="00890ECB" w:rsidRPr="00566647" w:rsidRDefault="00174DC1" w:rsidP="0030792F">
      <w:pPr>
        <w:pStyle w:val="Ttulo2"/>
      </w:pPr>
      <w:r w:rsidRPr="00566647">
        <w:t>1. Objetivo</w:t>
      </w:r>
    </w:p>
    <w:p w14:paraId="6F37B174" w14:textId="77777777" w:rsidR="00890ECB" w:rsidRPr="00566647" w:rsidRDefault="00890ECB" w:rsidP="0030792F">
      <w:pPr>
        <w:spacing w:line="276" w:lineRule="auto"/>
        <w:rPr>
          <w:rFonts w:cs="ITC Avant Garde"/>
          <w:sz w:val="22"/>
          <w:u w:val="single"/>
        </w:rPr>
      </w:pPr>
      <w:r w:rsidRPr="00566647">
        <w:rPr>
          <w:rFonts w:cs="ITC Avant Garde"/>
          <w:sz w:val="22"/>
          <w:u w:val="single"/>
        </w:rPr>
        <w:t>Participante:</w:t>
      </w:r>
    </w:p>
    <w:p w14:paraId="469FA155" w14:textId="77777777" w:rsidR="00890ECB" w:rsidRPr="00566647" w:rsidRDefault="00174DC1" w:rsidP="0030792F">
      <w:pPr>
        <w:spacing w:line="276" w:lineRule="auto"/>
        <w:rPr>
          <w:rFonts w:eastAsia="Times New Roman" w:cs="ITC Avant Garde"/>
          <w:color w:val="000000"/>
          <w:sz w:val="22"/>
        </w:rPr>
      </w:pPr>
      <w:r w:rsidRPr="00566647">
        <w:rPr>
          <w:rFonts w:eastAsia="Times New Roman" w:cs="ITC Avant Garde"/>
          <w:color w:val="000000"/>
          <w:sz w:val="22"/>
        </w:rPr>
        <w:t>ANATEL</w:t>
      </w:r>
    </w:p>
    <w:p w14:paraId="74FD0CD2" w14:textId="77777777" w:rsidR="00890ECB" w:rsidRPr="00566647" w:rsidRDefault="00890ECB" w:rsidP="0030792F">
      <w:pPr>
        <w:spacing w:line="276" w:lineRule="auto"/>
        <w:rPr>
          <w:rFonts w:eastAsia="Times New Roman" w:cs="ITC Avant Garde"/>
          <w:color w:val="000000"/>
          <w:sz w:val="22"/>
          <w:u w:val="single"/>
        </w:rPr>
      </w:pPr>
      <w:r w:rsidRPr="00566647">
        <w:rPr>
          <w:rFonts w:eastAsia="Times New Roman" w:cs="ITC Avant Garde"/>
          <w:color w:val="000000"/>
          <w:sz w:val="22"/>
          <w:u w:val="single"/>
        </w:rPr>
        <w:t>Propuesta:</w:t>
      </w:r>
    </w:p>
    <w:p w14:paraId="2AE1D76A" w14:textId="79B28E02" w:rsidR="00890ECB" w:rsidRPr="00A85CBB" w:rsidRDefault="00A85CBB" w:rsidP="00A85CBB">
      <w:pPr>
        <w:pStyle w:val="Cita"/>
      </w:pPr>
      <w:r>
        <w:t>«</w:t>
      </w:r>
      <w:r w:rsidR="00174DC1" w:rsidRPr="00A85CBB">
        <w:t>Cambiar el intervalo de frecuencias de "300 MHz a 6 GHz" a "30 MHz a 6 GHz"</w:t>
      </w:r>
      <w:r>
        <w:t>»</w:t>
      </w:r>
    </w:p>
    <w:p w14:paraId="3511D28D" w14:textId="77777777" w:rsidR="00890ECB" w:rsidRPr="00566647" w:rsidRDefault="00890ECB" w:rsidP="0030792F">
      <w:pPr>
        <w:spacing w:line="276" w:lineRule="auto"/>
        <w:rPr>
          <w:rFonts w:eastAsia="Times New Roman" w:cs="ITC Avant Garde"/>
          <w:color w:val="000000"/>
          <w:sz w:val="22"/>
          <w:u w:val="single"/>
        </w:rPr>
      </w:pPr>
      <w:r w:rsidRPr="00566647">
        <w:rPr>
          <w:rFonts w:eastAsia="Times New Roman" w:cs="ITC Avant Garde"/>
          <w:color w:val="000000"/>
          <w:sz w:val="22"/>
          <w:u w:val="single"/>
        </w:rPr>
        <w:t>Respuesta:</w:t>
      </w:r>
    </w:p>
    <w:p w14:paraId="07C74B49" w14:textId="38345EFD" w:rsidR="00890ECB" w:rsidRPr="00566647" w:rsidRDefault="00174DC1" w:rsidP="0030792F">
      <w:pPr>
        <w:spacing w:line="276" w:lineRule="auto"/>
        <w:rPr>
          <w:rFonts w:eastAsia="Times New Roman" w:cs="ITC Avant Garde"/>
          <w:color w:val="000000"/>
          <w:sz w:val="22"/>
        </w:rPr>
      </w:pPr>
      <w:r w:rsidRPr="00566647">
        <w:rPr>
          <w:rFonts w:eastAsia="Times New Roman" w:cs="ITC Avant Garde"/>
          <w:color w:val="000000"/>
          <w:sz w:val="22"/>
        </w:rPr>
        <w:t xml:space="preserve">No se considera, </w:t>
      </w:r>
      <w:r w:rsidR="009530B1" w:rsidRPr="00566647">
        <w:rPr>
          <w:rFonts w:eastAsia="Times New Roman" w:cs="ITC Avant Garde"/>
          <w:color w:val="000000"/>
          <w:sz w:val="22"/>
        </w:rPr>
        <w:t xml:space="preserve">el </w:t>
      </w:r>
      <w:r w:rsidRPr="00566647">
        <w:rPr>
          <w:rFonts w:eastAsia="Times New Roman" w:cs="ITC Avant Garde"/>
          <w:color w:val="000000"/>
          <w:sz w:val="22"/>
        </w:rPr>
        <w:t xml:space="preserve">intervalo de frecuencia </w:t>
      </w:r>
      <w:r w:rsidR="009530B1" w:rsidRPr="00566647">
        <w:rPr>
          <w:rFonts w:eastAsia="Times New Roman" w:cs="ITC Avant Garde"/>
          <w:color w:val="000000"/>
          <w:sz w:val="22"/>
        </w:rPr>
        <w:t>y el campo de aplicación del presente Anteproyecto considera DCI con diversas tecnologías que sean usados cerca de la cabeza (particularmente cerca del oído) y aquellos que se usan a menos de 200 mm de distancia del cuerpo humano. Dispositivos con frecuencias de operación menor a 300 MHz tendrían antenas demasiado grandes, previniendo que sean usados bajo las condiciones anteriormente mencionadas.</w:t>
      </w:r>
    </w:p>
    <w:p w14:paraId="039FDDC1" w14:textId="77777777" w:rsidR="00890ECB" w:rsidRPr="00566647" w:rsidRDefault="00890ECB" w:rsidP="0030792F">
      <w:pPr>
        <w:rPr>
          <w:sz w:val="22"/>
        </w:rPr>
      </w:pPr>
    </w:p>
    <w:p w14:paraId="270AEB5D" w14:textId="77777777" w:rsidR="003A6BB5" w:rsidRPr="00566647" w:rsidRDefault="003A6BB5" w:rsidP="0030792F">
      <w:pPr>
        <w:pStyle w:val="Ttulo2"/>
      </w:pPr>
      <w:r w:rsidRPr="00566647">
        <w:t>2. Campo de Aplicación</w:t>
      </w:r>
    </w:p>
    <w:p w14:paraId="68F415BD" w14:textId="77777777" w:rsidR="00174DC1" w:rsidRPr="00566647" w:rsidRDefault="00174DC1" w:rsidP="0030792F">
      <w:pPr>
        <w:rPr>
          <w:sz w:val="22"/>
          <w:u w:val="single"/>
        </w:rPr>
      </w:pPr>
      <w:r w:rsidRPr="00566647">
        <w:rPr>
          <w:sz w:val="22"/>
          <w:u w:val="single"/>
        </w:rPr>
        <w:t>Participante:</w:t>
      </w:r>
    </w:p>
    <w:p w14:paraId="76F2F462" w14:textId="77777777" w:rsidR="00174DC1" w:rsidRPr="00566647" w:rsidRDefault="000B0C97" w:rsidP="0030792F">
      <w:pPr>
        <w:rPr>
          <w:sz w:val="22"/>
        </w:rPr>
      </w:pPr>
      <w:r w:rsidRPr="00566647">
        <w:rPr>
          <w:sz w:val="22"/>
        </w:rPr>
        <w:t>SMRPI</w:t>
      </w:r>
    </w:p>
    <w:p w14:paraId="6196560D" w14:textId="77777777" w:rsidR="00174DC1" w:rsidRPr="00566647" w:rsidRDefault="00174DC1" w:rsidP="0030792F">
      <w:pPr>
        <w:rPr>
          <w:sz w:val="22"/>
          <w:u w:val="single"/>
        </w:rPr>
      </w:pPr>
      <w:r w:rsidRPr="00566647">
        <w:rPr>
          <w:sz w:val="22"/>
          <w:u w:val="single"/>
        </w:rPr>
        <w:t>Propuesta:</w:t>
      </w:r>
    </w:p>
    <w:p w14:paraId="5F7013B4" w14:textId="0BBDFEA1" w:rsidR="00174DC1" w:rsidRPr="00A85CBB" w:rsidRDefault="00A85CBB" w:rsidP="00A85CBB">
      <w:pPr>
        <w:pStyle w:val="Cita"/>
      </w:pPr>
      <w:r w:rsidRPr="00A85CBB">
        <w:t>«</w:t>
      </w:r>
      <w:r w:rsidR="00174DC1" w:rsidRPr="00A85CBB">
        <w:t xml:space="preserve">Las distancias mencionadas son siempre menores a 200 mm, lo que deja fuera a dispositivos que transmiten en estas frecuencias a distintas potencias, algunas muy altas, por ejemplo, </w:t>
      </w:r>
      <w:proofErr w:type="spellStart"/>
      <w:r w:rsidR="00174DC1" w:rsidRPr="00A85CBB">
        <w:t>ruteadores</w:t>
      </w:r>
      <w:proofErr w:type="spellEnd"/>
      <w:r w:rsidR="00174DC1" w:rsidRPr="00A85CBB">
        <w:t xml:space="preserve"> inalámbricos de gran alcance, el cual logran con altas potencias, mientras pueden estar en interiores y cerca cuerpo(s) humanos. Se continúa cometiendo el error de usar el factor térmico como determinante, así como la potencia, creando una falsa idea de NO EFECTO (TÉRMICO). No se han tomado en cuenta cómo estas señales, en sus diferentes frecuencias de uso, interaccionan con los tejidos y órganos expuestos independientemente de su intensidad. Lo anterior es la gran falla de las DT 007 y 012.</w:t>
      </w:r>
      <w:r w:rsidRPr="00A85CBB">
        <w:t>»</w:t>
      </w:r>
    </w:p>
    <w:p w14:paraId="69B0B834" w14:textId="77777777" w:rsidR="00174DC1" w:rsidRPr="00566647" w:rsidRDefault="00174DC1" w:rsidP="0030792F">
      <w:pPr>
        <w:rPr>
          <w:sz w:val="22"/>
          <w:u w:val="single"/>
        </w:rPr>
      </w:pPr>
      <w:r w:rsidRPr="00566647">
        <w:rPr>
          <w:sz w:val="22"/>
          <w:u w:val="single"/>
        </w:rPr>
        <w:t>Respuesta:</w:t>
      </w:r>
    </w:p>
    <w:p w14:paraId="3B979E99" w14:textId="422C59E6" w:rsidR="00174DC1" w:rsidRPr="00566647" w:rsidRDefault="000B0C97" w:rsidP="0030792F">
      <w:pPr>
        <w:rPr>
          <w:sz w:val="22"/>
        </w:rPr>
      </w:pPr>
      <w:r w:rsidRPr="00566647">
        <w:rPr>
          <w:sz w:val="22"/>
        </w:rPr>
        <w:t xml:space="preserve">No se considera, </w:t>
      </w:r>
      <w:r w:rsidR="004D58D9" w:rsidRPr="00566647">
        <w:rPr>
          <w:sz w:val="22"/>
        </w:rPr>
        <w:t>se tomó como referencia la normatividad internacional IEC 62209</w:t>
      </w:r>
      <w:r w:rsidR="00797832">
        <w:rPr>
          <w:sz w:val="22"/>
        </w:rPr>
        <w:t>-1 e IEC 62209-2</w:t>
      </w:r>
      <w:r w:rsidR="004D58D9" w:rsidRPr="00566647">
        <w:rPr>
          <w:sz w:val="22"/>
        </w:rPr>
        <w:t>, para establecer que los productos, equipos, dispositivos o aparatos destinados a telecomunicaciones que pueden ser conectados a una red de telecomunicaciones o hacer uso del espectro radioeléctrico, que se utilicen a una distancia menor o igual a 200 mm del cuerpo humano, deben cumplir con los límites básicos de exposición de emisiones radioeléctricas no ionizantes en el intervalo de frecuencias 30 MHz a 6 GHz</w:t>
      </w:r>
      <w:r w:rsidR="00422DA8" w:rsidRPr="00566647">
        <w:rPr>
          <w:sz w:val="22"/>
        </w:rPr>
        <w:t xml:space="preserve"> y</w:t>
      </w:r>
      <w:r w:rsidR="004D58D9" w:rsidRPr="00566647">
        <w:rPr>
          <w:sz w:val="22"/>
        </w:rPr>
        <w:t xml:space="preserve"> de la misma referencia se </w:t>
      </w:r>
      <w:r w:rsidR="00422DA8" w:rsidRPr="00566647">
        <w:rPr>
          <w:sz w:val="22"/>
        </w:rPr>
        <w:t xml:space="preserve">consideraron </w:t>
      </w:r>
      <w:r w:rsidR="004D58D9" w:rsidRPr="00566647">
        <w:rPr>
          <w:sz w:val="22"/>
        </w:rPr>
        <w:t xml:space="preserve">los métodos de prueba.  Por otro lado es importante mencionar que </w:t>
      </w:r>
      <w:r w:rsidR="00B76326" w:rsidRPr="00566647">
        <w:rPr>
          <w:sz w:val="22"/>
        </w:rPr>
        <w:t xml:space="preserve">el objetivo del </w:t>
      </w:r>
      <w:r w:rsidR="00976034">
        <w:rPr>
          <w:sz w:val="22"/>
        </w:rPr>
        <w:t>Anteproyecto</w:t>
      </w:r>
      <w:r w:rsidR="00B76326" w:rsidRPr="00566647">
        <w:rPr>
          <w:sz w:val="22"/>
        </w:rPr>
        <w:t xml:space="preserve"> es establecer las especificaciones técnicas para el cumplimiento de los límites máximos de emisiones radioeléctricas de los productos, equipos, dispositivos o aparatos destinados a telecomunicaciones que pueden ser conectados a una red de telecomunicaciones o hacer uso del espectro radioeléctrico, medidos en la proximidad del cuerpo humano, mediante el índice de absorción específica (SAR) en el intervalo de 30 MHz a 6 GHz, </w:t>
      </w:r>
      <w:r w:rsidR="004D58D9" w:rsidRPr="00566647">
        <w:rPr>
          <w:sz w:val="22"/>
        </w:rPr>
        <w:t xml:space="preserve">y dichas especificaciones técnicas se encuentran </w:t>
      </w:r>
      <w:r w:rsidR="00B76326" w:rsidRPr="00566647">
        <w:rPr>
          <w:sz w:val="22"/>
        </w:rPr>
        <w:t>en concordancia con la recomendación internacional sobre límites de exposición a campos eléctricos, magnéticos y electromagnéticos (hasta 300 GHz) de la Comisión Internacional para la Protección contra las Radiaciones No Ionizantes (ICNIRP)</w:t>
      </w:r>
      <w:r w:rsidRPr="00566647">
        <w:rPr>
          <w:sz w:val="22"/>
        </w:rPr>
        <w:t>.</w:t>
      </w:r>
    </w:p>
    <w:p w14:paraId="1834ABFE" w14:textId="77777777" w:rsidR="00A85CBB" w:rsidRPr="00566647" w:rsidRDefault="00A85CBB" w:rsidP="0030792F">
      <w:pPr>
        <w:rPr>
          <w:sz w:val="22"/>
        </w:rPr>
      </w:pPr>
    </w:p>
    <w:p w14:paraId="61B38147" w14:textId="77777777" w:rsidR="003A6BB5" w:rsidRPr="00566647" w:rsidRDefault="003A6BB5" w:rsidP="0030792F">
      <w:pPr>
        <w:pStyle w:val="Ttulo2"/>
      </w:pPr>
      <w:r w:rsidRPr="00566647">
        <w:t>3. Definiciones</w:t>
      </w:r>
    </w:p>
    <w:p w14:paraId="3E735EE7" w14:textId="77777777" w:rsidR="000B0C97" w:rsidRPr="00566647" w:rsidRDefault="000B0C97" w:rsidP="0030792F">
      <w:pPr>
        <w:rPr>
          <w:sz w:val="22"/>
          <w:u w:val="single"/>
        </w:rPr>
      </w:pPr>
      <w:r w:rsidRPr="00566647">
        <w:rPr>
          <w:sz w:val="22"/>
          <w:u w:val="single"/>
        </w:rPr>
        <w:t>Participante:</w:t>
      </w:r>
    </w:p>
    <w:p w14:paraId="6B0CA326" w14:textId="77777777" w:rsidR="000B0C97" w:rsidRPr="00566647" w:rsidRDefault="003A6BB5" w:rsidP="0030792F">
      <w:pPr>
        <w:rPr>
          <w:sz w:val="22"/>
        </w:rPr>
      </w:pPr>
      <w:r w:rsidRPr="00566647">
        <w:rPr>
          <w:sz w:val="22"/>
        </w:rPr>
        <w:t>NYCE</w:t>
      </w:r>
    </w:p>
    <w:p w14:paraId="5EDBE3D6" w14:textId="77777777" w:rsidR="000B0C97" w:rsidRPr="00566647" w:rsidRDefault="000B0C97" w:rsidP="0030792F">
      <w:pPr>
        <w:rPr>
          <w:sz w:val="22"/>
          <w:u w:val="single"/>
        </w:rPr>
      </w:pPr>
      <w:r w:rsidRPr="00566647">
        <w:rPr>
          <w:sz w:val="22"/>
          <w:u w:val="single"/>
        </w:rPr>
        <w:lastRenderedPageBreak/>
        <w:t>Propuesta:</w:t>
      </w:r>
    </w:p>
    <w:p w14:paraId="34C06C79" w14:textId="1CE716BD" w:rsidR="000B0C97" w:rsidRPr="00566647" w:rsidRDefault="00A85CBB" w:rsidP="00A85CBB">
      <w:pPr>
        <w:pStyle w:val="Cita"/>
      </w:pPr>
      <w:r w:rsidRPr="00A85CBB">
        <w:t>«</w:t>
      </w:r>
      <w:r w:rsidR="003A6BB5" w:rsidRPr="00566647">
        <w:t>Se propone la Siguiente redacción para la definición I." Cociente resultante de dividir la energía incremental (</w:t>
      </w:r>
      <w:proofErr w:type="spellStart"/>
      <w:r w:rsidR="003A6BB5" w:rsidRPr="00566647">
        <w:t>dW</w:t>
      </w:r>
      <w:proofErr w:type="spellEnd"/>
      <w:r w:rsidR="003A6BB5" w:rsidRPr="00566647">
        <w:t>) absorbida por (disipada en) entre una masa incremental (dm) contenida</w:t>
      </w:r>
      <w:r w:rsidR="00566647" w:rsidRPr="00566647">
        <w:t xml:space="preserve"> …</w:t>
      </w:r>
      <w:r w:rsidR="003A6BB5" w:rsidRPr="00566647">
        <w:t>" Así se define un cociente.</w:t>
      </w:r>
      <w:r w:rsidRPr="00A85CBB">
        <w:t>»</w:t>
      </w:r>
    </w:p>
    <w:p w14:paraId="550E2EBB" w14:textId="6D9D9365" w:rsidR="001A6308" w:rsidRPr="00566647" w:rsidRDefault="00A85CBB" w:rsidP="00A85CBB">
      <w:pPr>
        <w:pStyle w:val="Cita"/>
      </w:pPr>
      <w:r w:rsidRPr="00A85CBB">
        <w:t>«</w:t>
      </w:r>
      <w:r w:rsidR="001A6308" w:rsidRPr="00566647">
        <w:t>Se propone la siguiente redacción para la definición II," Accesorio.</w:t>
      </w:r>
      <w:r w:rsidR="00566647" w:rsidRPr="00566647">
        <w:t xml:space="preserve"> </w:t>
      </w:r>
      <w:r w:rsidR="001A6308" w:rsidRPr="00566647">
        <w:t>- Componente opcional que puede ser usado conjuntamente con un dispositivo, equipo o aparato de telecomunicaciones que puede ser conectado a una red pública de telecomunicaciones y/o hacer uso del espectro radioeléctrico". El cambio propuesto dará consistencia al Proyecto de DT.</w:t>
      </w:r>
      <w:r w:rsidRPr="00A85CBB">
        <w:t>»</w:t>
      </w:r>
    </w:p>
    <w:p w14:paraId="1C238E6F" w14:textId="77777777" w:rsidR="000B0C97" w:rsidRPr="00566647" w:rsidRDefault="000B0C97" w:rsidP="0030792F">
      <w:pPr>
        <w:rPr>
          <w:sz w:val="22"/>
          <w:u w:val="single"/>
        </w:rPr>
      </w:pPr>
      <w:r w:rsidRPr="00566647">
        <w:rPr>
          <w:sz w:val="22"/>
          <w:u w:val="single"/>
        </w:rPr>
        <w:t>Respuesta:</w:t>
      </w:r>
    </w:p>
    <w:p w14:paraId="1B1BEB47" w14:textId="6A92825D" w:rsidR="00422DA8" w:rsidRPr="00566647" w:rsidRDefault="00422DA8" w:rsidP="0030792F">
      <w:pPr>
        <w:rPr>
          <w:sz w:val="22"/>
        </w:rPr>
      </w:pPr>
      <w:r w:rsidRPr="00566647">
        <w:rPr>
          <w:sz w:val="22"/>
        </w:rPr>
        <w:t>En cuanto a la propuesta de modificación de la definición de la fracción I, s</w:t>
      </w:r>
      <w:r w:rsidR="003A6BB5" w:rsidRPr="00566647">
        <w:rPr>
          <w:sz w:val="22"/>
        </w:rPr>
        <w:t xml:space="preserve">e considera y se modifica </w:t>
      </w:r>
      <w:r w:rsidRPr="00566647">
        <w:rPr>
          <w:sz w:val="22"/>
        </w:rPr>
        <w:t>quedando en los siguientes términos:</w:t>
      </w:r>
    </w:p>
    <w:p w14:paraId="191DCA0D" w14:textId="77777777" w:rsidR="00422DA8" w:rsidRPr="00566647" w:rsidRDefault="00422DA8" w:rsidP="00A85CBB">
      <w:pPr>
        <w:pStyle w:val="Prrafodelista"/>
        <w:spacing w:line="360" w:lineRule="auto"/>
        <w:ind w:left="567" w:right="616"/>
        <w:contextualSpacing w:val="0"/>
        <w:rPr>
          <w:i/>
          <w:sz w:val="22"/>
        </w:rPr>
      </w:pPr>
      <w:r w:rsidRPr="00566647">
        <w:rPr>
          <w:i/>
          <w:sz w:val="22"/>
        </w:rPr>
        <w:t>“Absorción específica de energía (SA): Cociente resultante de dividir la energía incremental (</w:t>
      </w:r>
      <m:oMath>
        <m:r>
          <w:rPr>
            <w:rFonts w:ascii="Cambria Math" w:hAnsi="Cambria Math"/>
            <w:sz w:val="22"/>
          </w:rPr>
          <m:t>dW</m:t>
        </m:r>
      </m:oMath>
      <w:r w:rsidRPr="00566647">
        <w:rPr>
          <w:i/>
          <w:sz w:val="22"/>
        </w:rPr>
        <w:t>) absorbida por (disipada en) entre una masa incremental (</w:t>
      </w:r>
      <m:oMath>
        <m:r>
          <w:rPr>
            <w:rFonts w:ascii="Cambria Math" w:hAnsi="Cambria Math"/>
            <w:sz w:val="22"/>
          </w:rPr>
          <m:t>dm</m:t>
        </m:r>
      </m:oMath>
      <w:r w:rsidRPr="00566647">
        <w:rPr>
          <w:i/>
          <w:sz w:val="22"/>
        </w:rPr>
        <w:t>) contenida en un elemento de volumen (</w:t>
      </w:r>
      <m:oMath>
        <m:r>
          <w:rPr>
            <w:rFonts w:ascii="Cambria Math" w:hAnsi="Cambria Math"/>
            <w:sz w:val="22"/>
          </w:rPr>
          <m:t>dV</m:t>
        </m:r>
      </m:oMath>
      <w:r w:rsidRPr="00566647">
        <w:rPr>
          <w:i/>
          <w:sz w:val="22"/>
        </w:rPr>
        <w:t>) de una determinada densidad (</w:t>
      </w:r>
      <m:oMath>
        <m:sSub>
          <m:sSubPr>
            <m:ctrlPr>
              <w:rPr>
                <w:rFonts w:ascii="Cambria Math" w:hAnsi="Cambria Math"/>
                <w:i/>
                <w:sz w:val="22"/>
              </w:rPr>
            </m:ctrlPr>
          </m:sSubPr>
          <m:e>
            <m:r>
              <w:rPr>
                <w:rFonts w:ascii="Cambria Math" w:hAnsi="Cambria Math"/>
                <w:sz w:val="22"/>
              </w:rPr>
              <m:t>ρ</m:t>
            </m:r>
          </m:e>
          <m:sub>
            <m:r>
              <w:rPr>
                <w:rFonts w:ascii="Cambria Math" w:hAnsi="Cambria Math"/>
                <w:sz w:val="22"/>
              </w:rPr>
              <m:t>m</m:t>
            </m:r>
          </m:sub>
        </m:sSub>
      </m:oMath>
      <w:r w:rsidRPr="00566647">
        <w:rPr>
          <w:i/>
          <w:sz w:val="22"/>
        </w:rPr>
        <w:t>);</w:t>
      </w:r>
    </w:p>
    <w:p w14:paraId="26DD2499" w14:textId="77777777" w:rsidR="00422DA8" w:rsidRPr="00566647" w:rsidRDefault="00422DA8" w:rsidP="00A85CBB">
      <w:pPr>
        <w:spacing w:line="360" w:lineRule="auto"/>
        <w:ind w:left="567" w:right="616"/>
        <w:rPr>
          <w:i/>
          <w:sz w:val="22"/>
        </w:rPr>
      </w:pPr>
      <m:oMathPara>
        <m:oMath>
          <m:r>
            <w:rPr>
              <w:rFonts w:ascii="Cambria Math" w:hAnsi="Cambria Math"/>
              <w:sz w:val="22"/>
            </w:rPr>
            <m:t>SA=</m:t>
          </m:r>
          <m:f>
            <m:fPr>
              <m:ctrlPr>
                <w:rPr>
                  <w:rFonts w:ascii="Cambria Math" w:hAnsi="Cambria Math"/>
                  <w:i/>
                  <w:sz w:val="22"/>
                </w:rPr>
              </m:ctrlPr>
            </m:fPr>
            <m:num>
              <m:r>
                <w:rPr>
                  <w:rFonts w:ascii="Cambria Math" w:hAnsi="Cambria Math"/>
                  <w:sz w:val="22"/>
                </w:rPr>
                <m:t>dW</m:t>
              </m:r>
            </m:num>
            <m:den>
              <m:r>
                <w:rPr>
                  <w:rFonts w:ascii="Cambria Math" w:hAnsi="Cambria Math"/>
                  <w:sz w:val="22"/>
                </w:rPr>
                <m:t>dm</m:t>
              </m:r>
            </m:den>
          </m:f>
          <m:r>
            <w:rPr>
              <w:rFonts w:ascii="Cambria Math" w:hAnsi="Cambria Math"/>
              <w:sz w:val="22"/>
            </w:rPr>
            <m:t>=</m:t>
          </m:r>
          <m:f>
            <m:fPr>
              <m:ctrlPr>
                <w:rPr>
                  <w:rFonts w:ascii="Cambria Math" w:hAnsi="Cambria Math"/>
                  <w:i/>
                  <w:sz w:val="22"/>
                </w:rPr>
              </m:ctrlPr>
            </m:fPr>
            <m:num>
              <m:r>
                <w:rPr>
                  <w:rFonts w:ascii="Cambria Math" w:hAnsi="Cambria Math"/>
                  <w:sz w:val="22"/>
                </w:rPr>
                <m:t>1</m:t>
              </m:r>
            </m:num>
            <m:den>
              <m:sSub>
                <m:sSubPr>
                  <m:ctrlPr>
                    <w:rPr>
                      <w:rFonts w:ascii="Cambria Math" w:hAnsi="Cambria Math"/>
                      <w:i/>
                      <w:sz w:val="22"/>
                    </w:rPr>
                  </m:ctrlPr>
                </m:sSubPr>
                <m:e>
                  <m:r>
                    <w:rPr>
                      <w:rFonts w:ascii="Cambria Math" w:hAnsi="Cambria Math"/>
                      <w:sz w:val="22"/>
                    </w:rPr>
                    <m:t>ρ</m:t>
                  </m:r>
                </m:e>
                <m:sub>
                  <m:r>
                    <w:rPr>
                      <w:rFonts w:ascii="Cambria Math" w:hAnsi="Cambria Math"/>
                      <w:sz w:val="22"/>
                    </w:rPr>
                    <m:t>m</m:t>
                  </m:r>
                </m:sub>
              </m:sSub>
            </m:den>
          </m:f>
          <m:f>
            <m:fPr>
              <m:ctrlPr>
                <w:rPr>
                  <w:rFonts w:ascii="Cambria Math" w:hAnsi="Cambria Math"/>
                  <w:i/>
                  <w:sz w:val="22"/>
                </w:rPr>
              </m:ctrlPr>
            </m:fPr>
            <m:num>
              <m:r>
                <w:rPr>
                  <w:rFonts w:ascii="Cambria Math" w:hAnsi="Cambria Math"/>
                  <w:sz w:val="22"/>
                </w:rPr>
                <m:t>dW</m:t>
              </m:r>
            </m:num>
            <m:den>
              <m:r>
                <w:rPr>
                  <w:rFonts w:ascii="Cambria Math" w:hAnsi="Cambria Math"/>
                  <w:sz w:val="22"/>
                </w:rPr>
                <m:t>dV</m:t>
              </m:r>
            </m:den>
          </m:f>
        </m:oMath>
      </m:oMathPara>
    </w:p>
    <w:p w14:paraId="0CD1CD30" w14:textId="77777777" w:rsidR="00422DA8" w:rsidRPr="00566647" w:rsidRDefault="00422DA8" w:rsidP="00A85CBB">
      <w:pPr>
        <w:tabs>
          <w:tab w:val="left" w:pos="5991"/>
        </w:tabs>
        <w:spacing w:line="360" w:lineRule="auto"/>
        <w:ind w:left="567" w:right="616"/>
        <w:rPr>
          <w:i/>
          <w:sz w:val="22"/>
        </w:rPr>
      </w:pPr>
      <w:r w:rsidRPr="00566647">
        <w:rPr>
          <w:i/>
          <w:sz w:val="22"/>
        </w:rPr>
        <w:t>La absorción específica se expresa en (</w:t>
      </w:r>
      <m:oMath>
        <m:r>
          <w:rPr>
            <w:rFonts w:ascii="Cambria Math" w:hAnsi="Cambria Math"/>
            <w:sz w:val="22"/>
          </w:rPr>
          <m:t>Joules</m:t>
        </m:r>
      </m:oMath>
      <w:r w:rsidRPr="00566647">
        <w:rPr>
          <w:i/>
          <w:sz w:val="22"/>
        </w:rPr>
        <w:t>) por kilogramo (</w:t>
      </w:r>
      <m:oMath>
        <m:r>
          <w:rPr>
            <w:rFonts w:ascii="Cambria Math" w:hAnsi="Cambria Math"/>
            <w:sz w:val="22"/>
          </w:rPr>
          <m:t>J/kg</m:t>
        </m:r>
      </m:oMath>
      <w:r w:rsidRPr="00566647">
        <w:rPr>
          <w:i/>
          <w:sz w:val="22"/>
        </w:rPr>
        <w:t>).”</w:t>
      </w:r>
    </w:p>
    <w:p w14:paraId="67B9687A" w14:textId="77777777" w:rsidR="00422DA8" w:rsidRPr="00566647" w:rsidRDefault="00422DA8" w:rsidP="0030792F">
      <w:pPr>
        <w:rPr>
          <w:sz w:val="22"/>
        </w:rPr>
      </w:pPr>
    </w:p>
    <w:p w14:paraId="4EE9F972" w14:textId="6B5B3924" w:rsidR="001A6308" w:rsidRPr="00566647" w:rsidRDefault="00422DA8" w:rsidP="0030792F">
      <w:pPr>
        <w:rPr>
          <w:sz w:val="22"/>
        </w:rPr>
      </w:pPr>
      <w:r w:rsidRPr="00566647">
        <w:rPr>
          <w:sz w:val="22"/>
        </w:rPr>
        <w:t xml:space="preserve">Con respecto a modificar la definición II, </w:t>
      </w:r>
      <w:r w:rsidR="001A6308" w:rsidRPr="00566647">
        <w:rPr>
          <w:sz w:val="22"/>
        </w:rPr>
        <w:t xml:space="preserve">se </w:t>
      </w:r>
      <w:r w:rsidRPr="00566647">
        <w:rPr>
          <w:sz w:val="22"/>
        </w:rPr>
        <w:t>considera parcialmente quedando en los siguientes términos:</w:t>
      </w:r>
    </w:p>
    <w:p w14:paraId="01135E30" w14:textId="55F8B344" w:rsidR="00422DA8" w:rsidRPr="00566647" w:rsidRDefault="00422DA8" w:rsidP="00A85CBB">
      <w:pPr>
        <w:pStyle w:val="Prrafodelista"/>
        <w:spacing w:line="360" w:lineRule="auto"/>
        <w:ind w:left="851" w:right="616"/>
        <w:contextualSpacing w:val="0"/>
        <w:rPr>
          <w:i/>
          <w:sz w:val="22"/>
        </w:rPr>
      </w:pPr>
      <w:r w:rsidRPr="00566647">
        <w:rPr>
          <w:i/>
          <w:sz w:val="22"/>
        </w:rPr>
        <w:t>“Accesorio: Componente opcional que puede ser usado conjuntamente con un dispositivo, equipo o aparato de telecomunicación inalámbrica fijo o móvi</w:t>
      </w:r>
      <w:r w:rsidR="00EF0060">
        <w:rPr>
          <w:i/>
          <w:sz w:val="22"/>
        </w:rPr>
        <w:t>l</w:t>
      </w:r>
      <w:r w:rsidR="00EF0060" w:rsidRPr="00EF0060">
        <w:rPr>
          <w:i/>
          <w:sz w:val="22"/>
        </w:rPr>
        <w:t xml:space="preserve"> y que es incluido en el empaque del mismo</w:t>
      </w:r>
      <w:r w:rsidRPr="00566647">
        <w:rPr>
          <w:i/>
          <w:sz w:val="22"/>
        </w:rPr>
        <w:t>;</w:t>
      </w:r>
    </w:p>
    <w:p w14:paraId="67C5AB77" w14:textId="77777777" w:rsidR="00A85CBB" w:rsidRPr="00566647" w:rsidRDefault="00A85CBB" w:rsidP="0030792F">
      <w:pPr>
        <w:rPr>
          <w:sz w:val="22"/>
          <w:lang w:val="es-ES_tradnl"/>
        </w:rPr>
      </w:pPr>
    </w:p>
    <w:p w14:paraId="2C49BFC5" w14:textId="77777777" w:rsidR="00C522EF" w:rsidRPr="00566647" w:rsidRDefault="00C522EF" w:rsidP="0030792F">
      <w:pPr>
        <w:rPr>
          <w:sz w:val="22"/>
          <w:u w:val="single"/>
          <w:lang w:val="es-ES_tradnl"/>
        </w:rPr>
      </w:pPr>
      <w:r w:rsidRPr="00566647">
        <w:rPr>
          <w:sz w:val="22"/>
          <w:u w:val="single"/>
          <w:lang w:val="es-ES_tradnl"/>
        </w:rPr>
        <w:t>Participante:</w:t>
      </w:r>
    </w:p>
    <w:p w14:paraId="244EA3E9" w14:textId="77777777" w:rsidR="00C522EF" w:rsidRPr="00566647" w:rsidRDefault="00C522EF" w:rsidP="0030792F">
      <w:pPr>
        <w:rPr>
          <w:sz w:val="22"/>
          <w:lang w:val="es-ES_tradnl"/>
        </w:rPr>
      </w:pPr>
      <w:r w:rsidRPr="00566647">
        <w:rPr>
          <w:sz w:val="22"/>
          <w:lang w:val="es-ES_tradnl"/>
        </w:rPr>
        <w:t>ANCE</w:t>
      </w:r>
      <w:r w:rsidR="001316B7" w:rsidRPr="00566647">
        <w:rPr>
          <w:sz w:val="22"/>
          <w:lang w:val="es-ES_tradnl"/>
        </w:rPr>
        <w:t>, NYCE</w:t>
      </w:r>
    </w:p>
    <w:p w14:paraId="77F2F616" w14:textId="77777777" w:rsidR="00C522EF" w:rsidRPr="00566647" w:rsidRDefault="00C522EF" w:rsidP="0030792F">
      <w:pPr>
        <w:rPr>
          <w:sz w:val="22"/>
          <w:u w:val="single"/>
          <w:lang w:val="es-ES_tradnl"/>
        </w:rPr>
      </w:pPr>
      <w:r w:rsidRPr="00566647">
        <w:rPr>
          <w:sz w:val="22"/>
          <w:u w:val="single"/>
          <w:lang w:val="es-ES_tradnl"/>
        </w:rPr>
        <w:t>Propuesta:</w:t>
      </w:r>
    </w:p>
    <w:p w14:paraId="3ED79F08" w14:textId="77777777" w:rsidR="00C522EF" w:rsidRPr="00566647" w:rsidRDefault="001316B7" w:rsidP="0030792F">
      <w:pPr>
        <w:rPr>
          <w:sz w:val="22"/>
          <w:lang w:val="es-ES_tradnl"/>
        </w:rPr>
      </w:pPr>
      <w:r w:rsidRPr="00566647">
        <w:rPr>
          <w:sz w:val="22"/>
          <w:lang w:val="es-ES_tradnl"/>
        </w:rPr>
        <w:t>Los participantes sugieren cambiar la definición de “Reporte de Prueba” a “Informe de Pruebas”</w:t>
      </w:r>
    </w:p>
    <w:p w14:paraId="70FCC541" w14:textId="77777777" w:rsidR="00C522EF" w:rsidRPr="00566647" w:rsidRDefault="00C522EF" w:rsidP="0030792F">
      <w:pPr>
        <w:rPr>
          <w:sz w:val="22"/>
          <w:u w:val="single"/>
          <w:lang w:val="es-ES_tradnl"/>
        </w:rPr>
      </w:pPr>
      <w:r w:rsidRPr="00566647">
        <w:rPr>
          <w:sz w:val="22"/>
          <w:u w:val="single"/>
          <w:lang w:val="es-ES_tradnl"/>
        </w:rPr>
        <w:lastRenderedPageBreak/>
        <w:t>Respuesta:</w:t>
      </w:r>
    </w:p>
    <w:p w14:paraId="2C28362A" w14:textId="37AE3803" w:rsidR="00C522EF" w:rsidRPr="00566647" w:rsidRDefault="00C522EF" w:rsidP="0030792F">
      <w:pPr>
        <w:pStyle w:val="Textocomentario"/>
        <w:jc w:val="both"/>
        <w:rPr>
          <w:sz w:val="22"/>
          <w:szCs w:val="22"/>
        </w:rPr>
      </w:pPr>
      <w:r w:rsidRPr="00566647">
        <w:rPr>
          <w:sz w:val="22"/>
          <w:szCs w:val="22"/>
        </w:rPr>
        <w:t xml:space="preserve">No se considera, la presente definición se establece en </w:t>
      </w:r>
      <w:r w:rsidR="0093365C" w:rsidRPr="00566647">
        <w:rPr>
          <w:sz w:val="22"/>
          <w:szCs w:val="22"/>
        </w:rPr>
        <w:t xml:space="preserve">consistencia </w:t>
      </w:r>
      <w:r w:rsidRPr="00566647">
        <w:rPr>
          <w:sz w:val="22"/>
          <w:szCs w:val="22"/>
        </w:rPr>
        <w:t xml:space="preserve">con los </w:t>
      </w:r>
      <w:r w:rsidR="0030792F">
        <w:rPr>
          <w:sz w:val="22"/>
          <w:szCs w:val="22"/>
        </w:rPr>
        <w:t>“</w:t>
      </w:r>
      <w:r w:rsidRPr="0030792F">
        <w:rPr>
          <w:i/>
          <w:sz w:val="22"/>
          <w:szCs w:val="22"/>
        </w:rPr>
        <w:t>Lineamientos de acreditación, autorización, designación y reconocimiento de L</w:t>
      </w:r>
      <w:r w:rsidR="001316B7" w:rsidRPr="0030792F">
        <w:rPr>
          <w:i/>
          <w:sz w:val="22"/>
          <w:szCs w:val="22"/>
        </w:rPr>
        <w:t xml:space="preserve">aboratorios de </w:t>
      </w:r>
      <w:r w:rsidRPr="0030792F">
        <w:rPr>
          <w:i/>
          <w:sz w:val="22"/>
          <w:szCs w:val="22"/>
        </w:rPr>
        <w:t>P</w:t>
      </w:r>
      <w:r w:rsidR="001316B7" w:rsidRPr="0030792F">
        <w:rPr>
          <w:i/>
          <w:sz w:val="22"/>
          <w:szCs w:val="22"/>
        </w:rPr>
        <w:t>ruebas</w:t>
      </w:r>
      <w:r w:rsidR="0030792F">
        <w:rPr>
          <w:sz w:val="22"/>
          <w:szCs w:val="22"/>
        </w:rPr>
        <w:t>” emitidos por el Instituto y actualmente</w:t>
      </w:r>
      <w:r w:rsidRPr="00566647">
        <w:rPr>
          <w:sz w:val="22"/>
          <w:szCs w:val="22"/>
        </w:rPr>
        <w:t xml:space="preserve"> vig</w:t>
      </w:r>
      <w:r w:rsidR="0093365C" w:rsidRPr="00566647">
        <w:rPr>
          <w:sz w:val="22"/>
          <w:szCs w:val="22"/>
        </w:rPr>
        <w:t>entes</w:t>
      </w:r>
      <w:r w:rsidRPr="00566647">
        <w:rPr>
          <w:sz w:val="22"/>
          <w:szCs w:val="22"/>
        </w:rPr>
        <w:t>.</w:t>
      </w:r>
    </w:p>
    <w:p w14:paraId="1DB2C44C" w14:textId="77777777" w:rsidR="000F7CD2" w:rsidRPr="00566647" w:rsidRDefault="000F7CD2" w:rsidP="0030792F">
      <w:pPr>
        <w:rPr>
          <w:sz w:val="22"/>
          <w:lang w:val="es-ES_tradnl"/>
        </w:rPr>
      </w:pPr>
    </w:p>
    <w:p w14:paraId="6E2165AF" w14:textId="77777777" w:rsidR="001316B7" w:rsidRPr="00566647" w:rsidRDefault="001316B7" w:rsidP="0030792F">
      <w:pPr>
        <w:pStyle w:val="Ttulo2"/>
        <w:rPr>
          <w:lang w:val="es-ES_tradnl"/>
        </w:rPr>
      </w:pPr>
      <w:r w:rsidRPr="00566647">
        <w:rPr>
          <w:lang w:val="es-ES_tradnl"/>
        </w:rPr>
        <w:t>4. Especificaciones Técnicas</w:t>
      </w:r>
    </w:p>
    <w:p w14:paraId="1246CEC2" w14:textId="77777777" w:rsidR="00C522EF" w:rsidRPr="00566647" w:rsidRDefault="00C522EF" w:rsidP="0030792F">
      <w:pPr>
        <w:rPr>
          <w:sz w:val="22"/>
          <w:u w:val="single"/>
          <w:lang w:val="es-ES_tradnl"/>
        </w:rPr>
      </w:pPr>
      <w:r w:rsidRPr="00566647">
        <w:rPr>
          <w:sz w:val="22"/>
          <w:u w:val="single"/>
          <w:lang w:val="es-ES_tradnl"/>
        </w:rPr>
        <w:t>Participante:</w:t>
      </w:r>
    </w:p>
    <w:p w14:paraId="41769668" w14:textId="77777777" w:rsidR="00C522EF" w:rsidRPr="00566647" w:rsidRDefault="001316B7" w:rsidP="0030792F">
      <w:pPr>
        <w:rPr>
          <w:sz w:val="22"/>
          <w:lang w:val="es-ES_tradnl"/>
        </w:rPr>
      </w:pPr>
      <w:r w:rsidRPr="00566647">
        <w:rPr>
          <w:sz w:val="22"/>
          <w:lang w:val="es-ES_tradnl"/>
        </w:rPr>
        <w:t>Televisora de Oriente</w:t>
      </w:r>
    </w:p>
    <w:p w14:paraId="7D74FAE1" w14:textId="77777777" w:rsidR="00C522EF" w:rsidRPr="00566647" w:rsidRDefault="00C522EF" w:rsidP="0030792F">
      <w:pPr>
        <w:rPr>
          <w:sz w:val="22"/>
          <w:u w:val="single"/>
          <w:lang w:val="es-ES_tradnl"/>
        </w:rPr>
      </w:pPr>
      <w:r w:rsidRPr="00566647">
        <w:rPr>
          <w:sz w:val="22"/>
          <w:u w:val="single"/>
          <w:lang w:val="es-ES_tradnl"/>
        </w:rPr>
        <w:t>Propuesta:</w:t>
      </w:r>
    </w:p>
    <w:p w14:paraId="0BC9878C" w14:textId="7E03A8F8" w:rsidR="00C522EF" w:rsidRPr="00566647" w:rsidRDefault="00A85CBB" w:rsidP="00A85CBB">
      <w:pPr>
        <w:pStyle w:val="Cita"/>
        <w:rPr>
          <w:lang w:val="es-ES_tradnl"/>
        </w:rPr>
      </w:pPr>
      <w:r w:rsidRPr="00A85CBB">
        <w:rPr>
          <w:lang w:val="es-ES_tradnl"/>
        </w:rPr>
        <w:t>«</w:t>
      </w:r>
      <w:r w:rsidR="001316B7" w:rsidRPr="00566647">
        <w:rPr>
          <w:lang w:val="es-ES_tradnl"/>
        </w:rPr>
        <w:t>Se debe indicar si los parámetros se encuentran homologados</w:t>
      </w:r>
      <w:r w:rsidR="00095AA9" w:rsidRPr="00566647">
        <w:rPr>
          <w:lang w:val="es-ES_tradnl"/>
        </w:rPr>
        <w:t xml:space="preserve"> </w:t>
      </w:r>
      <w:r w:rsidR="001316B7" w:rsidRPr="00566647">
        <w:rPr>
          <w:lang w:val="es-ES_tradnl"/>
        </w:rPr>
        <w:t>a nivel internacional o si estos</w:t>
      </w:r>
      <w:r w:rsidR="00095AA9" w:rsidRPr="00566647">
        <w:rPr>
          <w:lang w:val="es-ES_tradnl"/>
        </w:rPr>
        <w:t xml:space="preserve"> </w:t>
      </w:r>
      <w:r w:rsidR="001316B7" w:rsidRPr="00566647">
        <w:rPr>
          <w:lang w:val="es-ES_tradnl"/>
        </w:rPr>
        <w:t>son específicos</w:t>
      </w:r>
      <w:r w:rsidR="00095AA9" w:rsidRPr="00566647">
        <w:rPr>
          <w:lang w:val="es-ES_tradnl"/>
        </w:rPr>
        <w:t xml:space="preserve"> </w:t>
      </w:r>
      <w:r w:rsidR="001316B7" w:rsidRPr="00566647">
        <w:rPr>
          <w:lang w:val="es-ES_tradnl"/>
        </w:rPr>
        <w:t>en territorio nacional, ya que se debe considerar que la mayoría de los dispositivos que se comercializan en territorio mexicano son de importación, elaborado con estándares internacionales.</w:t>
      </w:r>
      <w:r w:rsidRPr="00A85CBB">
        <w:rPr>
          <w:lang w:val="es-ES_tradnl"/>
        </w:rPr>
        <w:t>»</w:t>
      </w:r>
    </w:p>
    <w:p w14:paraId="4D61B86F" w14:textId="77777777" w:rsidR="00C522EF" w:rsidRPr="00566647" w:rsidRDefault="00C522EF" w:rsidP="0030792F">
      <w:pPr>
        <w:rPr>
          <w:sz w:val="22"/>
          <w:u w:val="single"/>
          <w:lang w:val="es-ES_tradnl"/>
        </w:rPr>
      </w:pPr>
      <w:r w:rsidRPr="00566647">
        <w:rPr>
          <w:sz w:val="22"/>
          <w:u w:val="single"/>
          <w:lang w:val="es-ES_tradnl"/>
        </w:rPr>
        <w:t>Respuesta:</w:t>
      </w:r>
    </w:p>
    <w:p w14:paraId="38ED6B77" w14:textId="08A471C9" w:rsidR="0045045E" w:rsidRPr="0030792F" w:rsidRDefault="008317AE" w:rsidP="0030792F">
      <w:pPr>
        <w:rPr>
          <w:sz w:val="22"/>
          <w:lang w:val="es-ES_tradnl"/>
        </w:rPr>
      </w:pPr>
      <w:r w:rsidRPr="0030792F">
        <w:rPr>
          <w:sz w:val="22"/>
          <w:lang w:val="es-ES_tradnl"/>
        </w:rPr>
        <w:t xml:space="preserve">Las especificaciones técnicas para el cumplimiento de los límites máximos de emisiones radioeléctricas de los productos, equipos, dispositivos o aparatos destinados a telecomunicaciones que pueden ser conectados a una red de telecomunicaciones o hacer uso del espectro radioeléctrico, medidos en la proximidad del cuerpo humano, mediante el índice de absorción específica (SAR) en el intervalo de 30 MHz a 6 GHz, </w:t>
      </w:r>
      <w:r w:rsidR="0045045E" w:rsidRPr="0030792F">
        <w:rPr>
          <w:sz w:val="22"/>
          <w:lang w:val="es-ES_tradnl"/>
        </w:rPr>
        <w:t xml:space="preserve">y los métodos de prueba correspondientes, </w:t>
      </w:r>
      <w:r w:rsidRPr="0030792F">
        <w:rPr>
          <w:sz w:val="22"/>
          <w:lang w:val="es-ES_tradnl"/>
        </w:rPr>
        <w:t>concuerda con</w:t>
      </w:r>
      <w:r w:rsidR="0045045E" w:rsidRPr="0030792F">
        <w:rPr>
          <w:sz w:val="22"/>
          <w:lang w:val="es-ES_tradnl"/>
        </w:rPr>
        <w:t xml:space="preserve"> las normas listadas en el numeral 6. CONCORDANCIA CON NORMAS INTERNACIONALES, de la DT IFT-012-201</w:t>
      </w:r>
      <w:r w:rsidR="002A6513">
        <w:rPr>
          <w:sz w:val="22"/>
          <w:lang w:val="es-ES_tradnl"/>
        </w:rPr>
        <w:t>9</w:t>
      </w:r>
      <w:r w:rsidR="0045045E" w:rsidRPr="0030792F">
        <w:rPr>
          <w:sz w:val="22"/>
          <w:lang w:val="es-ES_tradnl"/>
        </w:rPr>
        <w:t>:</w:t>
      </w:r>
    </w:p>
    <w:p w14:paraId="542F47D9" w14:textId="6C990967" w:rsidR="008317AE" w:rsidRPr="0030792F" w:rsidRDefault="008317AE" w:rsidP="0030792F">
      <w:pPr>
        <w:pStyle w:val="Prrafodelista"/>
        <w:numPr>
          <w:ilvl w:val="0"/>
          <w:numId w:val="2"/>
        </w:numPr>
        <w:spacing w:after="101" w:line="360" w:lineRule="auto"/>
        <w:ind w:left="567" w:hanging="425"/>
        <w:rPr>
          <w:i/>
          <w:sz w:val="22"/>
          <w:lang w:val="en-US"/>
        </w:rPr>
      </w:pPr>
      <w:r w:rsidRPr="00566647">
        <w:rPr>
          <w:i/>
          <w:sz w:val="22"/>
          <w:lang w:val="en-US"/>
        </w:rPr>
        <w:t>IEC 62209-1: Measurement procedure for the assessment of specific absorption rate of human exposure to radio frequency fields from hand-held and body-mounted Wireless communication devices- Part</w:t>
      </w:r>
      <w:r w:rsidR="0030792F">
        <w:rPr>
          <w:i/>
          <w:sz w:val="22"/>
          <w:lang w:val="en-US"/>
        </w:rPr>
        <w:t xml:space="preserve"> </w:t>
      </w:r>
      <w:r w:rsidRPr="00566647">
        <w:rPr>
          <w:i/>
          <w:sz w:val="22"/>
          <w:lang w:val="en-US"/>
        </w:rPr>
        <w:t xml:space="preserve">1: Devices used next to the ear (Frequency range of 300 MHz to 6 GHz). </w:t>
      </w:r>
      <w:r w:rsidRPr="0030792F">
        <w:rPr>
          <w:i/>
          <w:sz w:val="22"/>
          <w:lang w:val="en-US"/>
        </w:rPr>
        <w:t>Ed</w:t>
      </w:r>
      <w:r w:rsidR="0030792F">
        <w:rPr>
          <w:i/>
          <w:sz w:val="22"/>
          <w:lang w:val="en-US"/>
        </w:rPr>
        <w:t xml:space="preserve"> </w:t>
      </w:r>
      <w:r w:rsidRPr="0030792F">
        <w:rPr>
          <w:i/>
          <w:sz w:val="22"/>
          <w:lang w:val="en-US"/>
        </w:rPr>
        <w:t>2.</w:t>
      </w:r>
      <w:r w:rsidR="0030792F">
        <w:rPr>
          <w:i/>
          <w:sz w:val="22"/>
          <w:lang w:val="en-US"/>
        </w:rPr>
        <w:t xml:space="preserve"> </w:t>
      </w:r>
      <w:r w:rsidRPr="0030792F">
        <w:rPr>
          <w:sz w:val="22"/>
          <w:lang w:val="en-US"/>
        </w:rPr>
        <w:t>Agosto de 2016</w:t>
      </w:r>
      <w:r w:rsidRPr="0030792F">
        <w:rPr>
          <w:i/>
          <w:sz w:val="22"/>
          <w:lang w:val="en-US"/>
        </w:rPr>
        <w:t>.</w:t>
      </w:r>
    </w:p>
    <w:p w14:paraId="34E41F7B" w14:textId="05830831" w:rsidR="008317AE" w:rsidRPr="00566647" w:rsidRDefault="008317AE" w:rsidP="0030792F">
      <w:pPr>
        <w:pStyle w:val="Prrafodelista"/>
        <w:numPr>
          <w:ilvl w:val="0"/>
          <w:numId w:val="2"/>
        </w:numPr>
        <w:spacing w:after="101" w:line="360" w:lineRule="auto"/>
        <w:ind w:left="567" w:hanging="425"/>
        <w:rPr>
          <w:i/>
          <w:sz w:val="22"/>
        </w:rPr>
      </w:pPr>
      <w:r w:rsidRPr="00566647">
        <w:rPr>
          <w:i/>
          <w:sz w:val="22"/>
          <w:lang w:val="en-US"/>
        </w:rPr>
        <w:t xml:space="preserve">IEC 62209-2: Human exposure to radio frequency fields from hand-held and body- mounted Wireless communication devices-Human models, instrumentation, and procedures- Part 2: Procedure to determine the specific absorption ratio (SAR) for Wireless communication devices used in close proximity to the human body (frequency range of 30 MHZ to 6 GHz). </w:t>
      </w:r>
      <w:r w:rsidRPr="00566647">
        <w:rPr>
          <w:i/>
          <w:sz w:val="22"/>
        </w:rPr>
        <w:t xml:space="preserve">Ed 1. </w:t>
      </w:r>
      <w:proofErr w:type="gramStart"/>
      <w:r w:rsidRPr="0030792F">
        <w:rPr>
          <w:sz w:val="22"/>
        </w:rPr>
        <w:t>Marzo</w:t>
      </w:r>
      <w:proofErr w:type="gramEnd"/>
      <w:r w:rsidRPr="0030792F">
        <w:rPr>
          <w:sz w:val="22"/>
        </w:rPr>
        <w:t xml:space="preserve"> de 2010</w:t>
      </w:r>
      <w:r w:rsidRPr="00566647">
        <w:rPr>
          <w:i/>
          <w:sz w:val="22"/>
        </w:rPr>
        <w:t>.</w:t>
      </w:r>
    </w:p>
    <w:p w14:paraId="2DA8FFCB" w14:textId="6EFEA8A1" w:rsidR="008317AE" w:rsidRPr="0030792F" w:rsidRDefault="008317AE" w:rsidP="0030792F">
      <w:pPr>
        <w:numPr>
          <w:ilvl w:val="0"/>
          <w:numId w:val="2"/>
        </w:numPr>
        <w:spacing w:after="0" w:line="360" w:lineRule="auto"/>
        <w:ind w:left="567" w:hanging="425"/>
        <w:rPr>
          <w:i/>
          <w:sz w:val="22"/>
          <w:lang w:val="en-US"/>
        </w:rPr>
      </w:pPr>
      <w:r w:rsidRPr="00566647">
        <w:rPr>
          <w:i/>
          <w:sz w:val="22"/>
          <w:lang w:val="en-US"/>
        </w:rPr>
        <w:lastRenderedPageBreak/>
        <w:t xml:space="preserve">International Commission on Non-Ionizing Radiation Protection, “Guidelines for limiting exposure to time-varying electric, magnetic and electromagnetic fields (up to 300 GHz”). </w:t>
      </w:r>
      <w:r w:rsidRPr="0030792F">
        <w:rPr>
          <w:i/>
          <w:sz w:val="22"/>
          <w:lang w:val="en-US"/>
        </w:rPr>
        <w:t>HEALTH PHYSICS 74 (4):494</w:t>
      </w:r>
      <w:r w:rsidRPr="0030792F">
        <w:rPr>
          <w:rFonts w:ascii="Cambria Math" w:hAnsi="Cambria Math" w:cs="Cambria Math"/>
          <w:i/>
          <w:sz w:val="22"/>
          <w:lang w:val="en-US"/>
        </w:rPr>
        <w:t>‐</w:t>
      </w:r>
      <w:r w:rsidRPr="0030792F">
        <w:rPr>
          <w:i/>
          <w:sz w:val="22"/>
          <w:lang w:val="en-US"/>
        </w:rPr>
        <w:t>522</w:t>
      </w:r>
      <w:r w:rsidR="0030792F">
        <w:rPr>
          <w:i/>
          <w:sz w:val="22"/>
          <w:lang w:val="en-US"/>
        </w:rPr>
        <w:t>.</w:t>
      </w:r>
      <w:r w:rsidRPr="0030792F">
        <w:rPr>
          <w:i/>
          <w:sz w:val="22"/>
          <w:lang w:val="en-US"/>
        </w:rPr>
        <w:t xml:space="preserve"> 1998.</w:t>
      </w:r>
    </w:p>
    <w:p w14:paraId="4769D062" w14:textId="77777777" w:rsidR="008317AE" w:rsidRPr="00566647" w:rsidRDefault="008317AE" w:rsidP="0030792F">
      <w:pPr>
        <w:numPr>
          <w:ilvl w:val="0"/>
          <w:numId w:val="2"/>
        </w:numPr>
        <w:spacing w:after="0" w:line="360" w:lineRule="auto"/>
        <w:ind w:left="567" w:hanging="425"/>
        <w:rPr>
          <w:i/>
          <w:sz w:val="22"/>
          <w:lang w:val="en-US"/>
        </w:rPr>
      </w:pPr>
      <w:r w:rsidRPr="00566647">
        <w:rPr>
          <w:i/>
          <w:sz w:val="22"/>
          <w:lang w:val="en-US"/>
        </w:rPr>
        <w:t>ISO/IEC 17043:2010, Conformity assessment- General requirements for proficiency testing.</w:t>
      </w:r>
    </w:p>
    <w:p w14:paraId="416C1DF0" w14:textId="0138B703" w:rsidR="008317AE" w:rsidRPr="00566647" w:rsidRDefault="008317AE" w:rsidP="0030792F">
      <w:pPr>
        <w:numPr>
          <w:ilvl w:val="0"/>
          <w:numId w:val="2"/>
        </w:numPr>
        <w:spacing w:after="0" w:line="360" w:lineRule="auto"/>
        <w:ind w:left="567" w:hanging="425"/>
        <w:rPr>
          <w:i/>
          <w:sz w:val="22"/>
          <w:lang w:val="en-US"/>
        </w:rPr>
      </w:pPr>
      <w:r w:rsidRPr="00566647">
        <w:rPr>
          <w:i/>
          <w:sz w:val="22"/>
          <w:lang w:val="en-US"/>
        </w:rPr>
        <w:t>ISO/IEC 17025:2005, General requirements for the competence of testing and calibration laboratories.</w:t>
      </w:r>
    </w:p>
    <w:p w14:paraId="0B4CC50A" w14:textId="77777777" w:rsidR="00C522EF" w:rsidRPr="00566647" w:rsidRDefault="00C522EF" w:rsidP="0030792F">
      <w:pPr>
        <w:rPr>
          <w:sz w:val="22"/>
          <w:lang w:val="en-US"/>
        </w:rPr>
      </w:pPr>
    </w:p>
    <w:p w14:paraId="1B2FCF0D" w14:textId="77777777" w:rsidR="006B74B2" w:rsidRPr="00566647" w:rsidRDefault="006B74B2" w:rsidP="0030792F">
      <w:pPr>
        <w:rPr>
          <w:sz w:val="22"/>
          <w:u w:val="single"/>
          <w:lang w:val="es-ES_tradnl"/>
        </w:rPr>
      </w:pPr>
      <w:r w:rsidRPr="00566647">
        <w:rPr>
          <w:sz w:val="22"/>
          <w:u w:val="single"/>
          <w:lang w:val="es-ES_tradnl"/>
        </w:rPr>
        <w:t>Participante:</w:t>
      </w:r>
    </w:p>
    <w:p w14:paraId="1426E4F7" w14:textId="77777777" w:rsidR="006B74B2" w:rsidRPr="00566647" w:rsidRDefault="008317AE" w:rsidP="0030792F">
      <w:pPr>
        <w:rPr>
          <w:sz w:val="22"/>
          <w:lang w:val="es-ES_tradnl"/>
        </w:rPr>
      </w:pPr>
      <w:r w:rsidRPr="00566647">
        <w:rPr>
          <w:sz w:val="22"/>
          <w:lang w:val="es-ES_tradnl"/>
        </w:rPr>
        <w:t>SONY</w:t>
      </w:r>
    </w:p>
    <w:p w14:paraId="332A96E5" w14:textId="77777777" w:rsidR="006B74B2" w:rsidRPr="00566647" w:rsidRDefault="006B74B2" w:rsidP="0030792F">
      <w:pPr>
        <w:rPr>
          <w:sz w:val="22"/>
          <w:u w:val="single"/>
          <w:lang w:val="es-ES_tradnl"/>
        </w:rPr>
      </w:pPr>
      <w:r w:rsidRPr="00566647">
        <w:rPr>
          <w:sz w:val="22"/>
          <w:u w:val="single"/>
          <w:lang w:val="es-ES_tradnl"/>
        </w:rPr>
        <w:t>Propuesta:</w:t>
      </w:r>
    </w:p>
    <w:p w14:paraId="03EBADC1" w14:textId="4DFCDDEC" w:rsidR="006B74B2" w:rsidRPr="00566647" w:rsidRDefault="00A85CBB" w:rsidP="00A85CBB">
      <w:pPr>
        <w:pStyle w:val="Cita"/>
        <w:rPr>
          <w:lang w:val="es-ES_tradnl"/>
        </w:rPr>
      </w:pPr>
      <w:r w:rsidRPr="00A85CBB">
        <w:rPr>
          <w:lang w:val="es-ES_tradnl"/>
        </w:rPr>
        <w:t>«</w:t>
      </w:r>
      <w:r w:rsidR="006B74B2" w:rsidRPr="00566647">
        <w:rPr>
          <w:lang w:val="es-ES_tradnl"/>
        </w:rPr>
        <w:t xml:space="preserve">Propuesta: Eliminar la referencia de la tabla 1, o en su defecto adecuar de </w:t>
      </w:r>
      <w:r w:rsidR="0045045E" w:rsidRPr="00566647">
        <w:rPr>
          <w:lang w:val="es-ES_tradnl"/>
        </w:rPr>
        <w:t>acuerdo</w:t>
      </w:r>
      <w:r w:rsidR="006B74B2" w:rsidRPr="00566647">
        <w:rPr>
          <w:lang w:val="es-ES_tradnl"/>
        </w:rPr>
        <w:t xml:space="preserve"> al objetivo y campo de aplicación del intervalo de 30 MHz a 6 GHz.</w:t>
      </w:r>
      <w:r w:rsidRPr="00A85CBB">
        <w:rPr>
          <w:lang w:val="es-ES_tradnl"/>
        </w:rPr>
        <w:t>»</w:t>
      </w:r>
    </w:p>
    <w:p w14:paraId="0375816F" w14:textId="77777777" w:rsidR="006B74B2" w:rsidRPr="00566647" w:rsidRDefault="006B74B2" w:rsidP="0030792F">
      <w:pPr>
        <w:rPr>
          <w:sz w:val="22"/>
          <w:u w:val="single"/>
          <w:lang w:val="es-ES_tradnl"/>
        </w:rPr>
      </w:pPr>
      <w:r w:rsidRPr="00566647">
        <w:rPr>
          <w:sz w:val="22"/>
          <w:u w:val="single"/>
          <w:lang w:val="es-ES_tradnl"/>
        </w:rPr>
        <w:t>Respuesta:</w:t>
      </w:r>
    </w:p>
    <w:p w14:paraId="4DF33B44" w14:textId="65BD882D" w:rsidR="00C522EF" w:rsidRPr="00566647" w:rsidRDefault="00EF0060" w:rsidP="0030792F">
      <w:pPr>
        <w:rPr>
          <w:sz w:val="22"/>
          <w:lang w:val="es-ES_tradnl"/>
        </w:rPr>
      </w:pPr>
      <w:r>
        <w:rPr>
          <w:sz w:val="22"/>
          <w:lang w:val="es-ES_tradnl"/>
        </w:rPr>
        <w:t>S</w:t>
      </w:r>
      <w:r w:rsidR="006B74B2" w:rsidRPr="00566647">
        <w:rPr>
          <w:sz w:val="22"/>
          <w:lang w:val="es-ES_tradnl"/>
        </w:rPr>
        <w:t xml:space="preserve">e considera, la tabla 1 </w:t>
      </w:r>
      <w:r w:rsidR="00DF5265" w:rsidRPr="00566647">
        <w:rPr>
          <w:sz w:val="22"/>
          <w:lang w:val="es-ES_tradnl"/>
        </w:rPr>
        <w:t xml:space="preserve">se </w:t>
      </w:r>
      <w:r>
        <w:rPr>
          <w:sz w:val="22"/>
          <w:lang w:val="es-ES_tradnl"/>
        </w:rPr>
        <w:t xml:space="preserve">ajusta para mostrar </w:t>
      </w:r>
      <w:r w:rsidR="00DF5265" w:rsidRPr="00566647">
        <w:rPr>
          <w:sz w:val="22"/>
          <w:lang w:val="es-ES_tradnl"/>
        </w:rPr>
        <w:t>con claridad el intervalo a considerar</w:t>
      </w:r>
      <w:r w:rsidR="006B74B2" w:rsidRPr="00566647">
        <w:rPr>
          <w:sz w:val="22"/>
          <w:lang w:val="es-ES_tradnl"/>
        </w:rPr>
        <w:t>.</w:t>
      </w:r>
    </w:p>
    <w:p w14:paraId="07358589" w14:textId="77777777" w:rsidR="00C522EF" w:rsidRPr="00566647" w:rsidRDefault="00C522EF" w:rsidP="0030792F">
      <w:pPr>
        <w:rPr>
          <w:sz w:val="22"/>
          <w:lang w:val="es-ES_tradnl"/>
        </w:rPr>
      </w:pPr>
    </w:p>
    <w:p w14:paraId="2B50867A" w14:textId="77777777" w:rsidR="006B74B2" w:rsidRPr="00566647" w:rsidRDefault="006B74B2" w:rsidP="0030792F">
      <w:pPr>
        <w:rPr>
          <w:sz w:val="22"/>
          <w:u w:val="single"/>
          <w:lang w:val="es-ES_tradnl"/>
        </w:rPr>
      </w:pPr>
      <w:r w:rsidRPr="00566647">
        <w:rPr>
          <w:sz w:val="22"/>
          <w:u w:val="single"/>
          <w:lang w:val="es-ES_tradnl"/>
        </w:rPr>
        <w:t>Participante:</w:t>
      </w:r>
    </w:p>
    <w:p w14:paraId="4B43C884" w14:textId="77777777" w:rsidR="006B74B2" w:rsidRPr="00566647" w:rsidRDefault="006B74B2" w:rsidP="0030792F">
      <w:pPr>
        <w:rPr>
          <w:sz w:val="22"/>
          <w:lang w:val="es-ES_tradnl"/>
        </w:rPr>
      </w:pPr>
      <w:r w:rsidRPr="00566647">
        <w:rPr>
          <w:sz w:val="22"/>
          <w:lang w:val="es-ES_tradnl"/>
        </w:rPr>
        <w:t>ANATEL</w:t>
      </w:r>
    </w:p>
    <w:p w14:paraId="027053C3" w14:textId="77777777" w:rsidR="006B74B2" w:rsidRPr="00566647" w:rsidRDefault="006B74B2" w:rsidP="0030792F">
      <w:pPr>
        <w:rPr>
          <w:sz w:val="22"/>
          <w:u w:val="single"/>
          <w:lang w:val="es-ES_tradnl"/>
        </w:rPr>
      </w:pPr>
      <w:r w:rsidRPr="00566647">
        <w:rPr>
          <w:sz w:val="22"/>
          <w:u w:val="single"/>
          <w:lang w:val="es-ES_tradnl"/>
        </w:rPr>
        <w:t>Propuesta:</w:t>
      </w:r>
    </w:p>
    <w:p w14:paraId="2A4A1138" w14:textId="4463A95C" w:rsidR="006B74B2" w:rsidRPr="00566647" w:rsidRDefault="00A85CBB" w:rsidP="00A85CBB">
      <w:pPr>
        <w:pStyle w:val="Cita"/>
        <w:rPr>
          <w:lang w:val="es-ES_tradnl"/>
        </w:rPr>
      </w:pPr>
      <w:r w:rsidRPr="00A85CBB">
        <w:rPr>
          <w:lang w:val="es-ES_tradnl"/>
        </w:rPr>
        <w:t>«</w:t>
      </w:r>
      <w:r w:rsidR="006B74B2" w:rsidRPr="00566647">
        <w:rPr>
          <w:lang w:val="es-ES_tradnl"/>
        </w:rPr>
        <w:t xml:space="preserve">Eliminar la Tabla 2 y cambiar el párrafo 4.3 a lo siguiente: "4.3. Si el DCI opera en o por debajo del nivel de potencia de transmisión de 20 </w:t>
      </w:r>
      <w:proofErr w:type="spellStart"/>
      <w:r w:rsidR="006B74B2" w:rsidRPr="00566647">
        <w:rPr>
          <w:lang w:val="es-ES_tradnl"/>
        </w:rPr>
        <w:t>mW</w:t>
      </w:r>
      <w:proofErr w:type="spellEnd"/>
      <w:r w:rsidR="006B74B2" w:rsidRPr="00566647">
        <w:rPr>
          <w:lang w:val="es-ES_tradnl"/>
        </w:rPr>
        <w:t xml:space="preserve"> establecido en la IEC-62479:2010 y se emplea comúnmente a una distancia menor de 200 mm, el DCI se considera inherentemente conforme, los referidos DCI no están obligados a demostrar cumplimiento. Sin embargo, estará a disposición cuando el Instituto lo requiera, el formato “Dispositivos de Comunicación Inalámbricos inherentemente conformes”, contenido en el Anexo C de la presente Disposición Técnica, firmado por el interesado o por el representante legal, en que se manifiesta que el DCI opera con una potencia de transmisión no mayor a 20 </w:t>
      </w:r>
      <w:proofErr w:type="spellStart"/>
      <w:r w:rsidR="006B74B2" w:rsidRPr="00566647">
        <w:rPr>
          <w:lang w:val="es-ES_tradnl"/>
        </w:rPr>
        <w:t>mW</w:t>
      </w:r>
      <w:proofErr w:type="spellEnd"/>
      <w:r w:rsidR="006B74B2" w:rsidRPr="00566647">
        <w:rPr>
          <w:lang w:val="es-ES_tradnl"/>
        </w:rPr>
        <w:t>". Comentario: La DT está basada en la IEC, por lo que se sugiere utilizar las recomendaciones de aquella para los dispositivos que cumplen de manera inherente.</w:t>
      </w:r>
      <w:r w:rsidRPr="00A85CBB">
        <w:rPr>
          <w:lang w:val="es-ES_tradnl"/>
        </w:rPr>
        <w:t>»</w:t>
      </w:r>
    </w:p>
    <w:p w14:paraId="76835FB8" w14:textId="77777777" w:rsidR="006B74B2" w:rsidRPr="00566647" w:rsidRDefault="006B74B2" w:rsidP="0030792F">
      <w:pPr>
        <w:rPr>
          <w:sz w:val="22"/>
          <w:u w:val="single"/>
          <w:lang w:val="es-ES_tradnl"/>
        </w:rPr>
      </w:pPr>
      <w:r w:rsidRPr="00566647">
        <w:rPr>
          <w:sz w:val="22"/>
          <w:u w:val="single"/>
          <w:lang w:val="es-ES_tradnl"/>
        </w:rPr>
        <w:t>Respuesta:</w:t>
      </w:r>
    </w:p>
    <w:p w14:paraId="28FC068A" w14:textId="77777777" w:rsidR="00C522EF" w:rsidRPr="00566647" w:rsidRDefault="006B74B2" w:rsidP="0030792F">
      <w:pPr>
        <w:rPr>
          <w:sz w:val="22"/>
          <w:lang w:val="es-ES_tradnl"/>
        </w:rPr>
      </w:pPr>
      <w:r w:rsidRPr="00566647">
        <w:rPr>
          <w:sz w:val="22"/>
          <w:lang w:val="es-ES_tradnl"/>
        </w:rPr>
        <w:t>Se considera y ser realiza la modificación correspondiente</w:t>
      </w:r>
    </w:p>
    <w:p w14:paraId="679396CD" w14:textId="77777777" w:rsidR="00C522EF" w:rsidRPr="00566647" w:rsidRDefault="00C522EF" w:rsidP="0030792F">
      <w:pPr>
        <w:rPr>
          <w:sz w:val="22"/>
          <w:lang w:val="es-ES_tradnl"/>
        </w:rPr>
      </w:pPr>
    </w:p>
    <w:p w14:paraId="240D18EE" w14:textId="77777777" w:rsidR="006B74B2" w:rsidRPr="00566647" w:rsidRDefault="006B74B2" w:rsidP="0030792F">
      <w:pPr>
        <w:rPr>
          <w:sz w:val="22"/>
          <w:u w:val="single"/>
          <w:lang w:val="es-ES_tradnl"/>
        </w:rPr>
      </w:pPr>
      <w:r w:rsidRPr="00566647">
        <w:rPr>
          <w:sz w:val="22"/>
          <w:u w:val="single"/>
          <w:lang w:val="es-ES_tradnl"/>
        </w:rPr>
        <w:t>Participante:</w:t>
      </w:r>
    </w:p>
    <w:p w14:paraId="25822FDD" w14:textId="77777777" w:rsidR="006B74B2" w:rsidRPr="00566647" w:rsidRDefault="006B74B2" w:rsidP="0030792F">
      <w:pPr>
        <w:rPr>
          <w:sz w:val="22"/>
          <w:lang w:val="es-ES_tradnl"/>
        </w:rPr>
      </w:pPr>
      <w:r w:rsidRPr="00566647">
        <w:rPr>
          <w:sz w:val="22"/>
          <w:lang w:val="es-ES_tradnl"/>
        </w:rPr>
        <w:t>NYCE</w:t>
      </w:r>
    </w:p>
    <w:p w14:paraId="0E72FD1E" w14:textId="77777777" w:rsidR="006B74B2" w:rsidRPr="00566647" w:rsidRDefault="006B74B2" w:rsidP="0030792F">
      <w:pPr>
        <w:rPr>
          <w:sz w:val="22"/>
          <w:u w:val="single"/>
          <w:lang w:val="es-ES_tradnl"/>
        </w:rPr>
      </w:pPr>
      <w:r w:rsidRPr="00566647">
        <w:rPr>
          <w:sz w:val="22"/>
          <w:u w:val="single"/>
          <w:lang w:val="es-ES_tradnl"/>
        </w:rPr>
        <w:t>Propuesta:</w:t>
      </w:r>
    </w:p>
    <w:p w14:paraId="6C65147A" w14:textId="2145F304" w:rsidR="006B74B2" w:rsidRPr="00566647" w:rsidRDefault="00A85CBB" w:rsidP="00A85CBB">
      <w:pPr>
        <w:pStyle w:val="Cita"/>
        <w:rPr>
          <w:lang w:val="es-ES_tradnl"/>
        </w:rPr>
      </w:pPr>
      <w:r w:rsidRPr="00A85CBB">
        <w:rPr>
          <w:lang w:val="es-ES_tradnl"/>
        </w:rPr>
        <w:t>«</w:t>
      </w:r>
      <w:r w:rsidR="006B74B2" w:rsidRPr="00566647">
        <w:rPr>
          <w:lang w:val="es-ES_tradnl"/>
        </w:rPr>
        <w:t>Con relación a la tabla 2, que se refiere a los límites de excepción para DCI inherentemente conformes, sería conveniente incluir el intervalo de 5800 MHz a 6000 MHz.</w:t>
      </w:r>
      <w:r w:rsidRPr="00A85CBB">
        <w:rPr>
          <w:lang w:val="es-ES_tradnl"/>
        </w:rPr>
        <w:t>»</w:t>
      </w:r>
    </w:p>
    <w:p w14:paraId="7CCF8F71" w14:textId="77777777" w:rsidR="006B74B2" w:rsidRPr="00566647" w:rsidRDefault="006B74B2" w:rsidP="0030792F">
      <w:pPr>
        <w:rPr>
          <w:sz w:val="22"/>
          <w:u w:val="single"/>
          <w:lang w:val="es-ES_tradnl"/>
        </w:rPr>
      </w:pPr>
      <w:r w:rsidRPr="00566647">
        <w:rPr>
          <w:sz w:val="22"/>
          <w:u w:val="single"/>
          <w:lang w:val="es-ES_tradnl"/>
        </w:rPr>
        <w:t>Respuesta:</w:t>
      </w:r>
    </w:p>
    <w:p w14:paraId="41BEDD75" w14:textId="7D336B45" w:rsidR="006B74B2" w:rsidRPr="00566647" w:rsidRDefault="006B74B2" w:rsidP="0030792F">
      <w:pPr>
        <w:rPr>
          <w:sz w:val="22"/>
          <w:lang w:val="es-ES_tradnl"/>
        </w:rPr>
      </w:pPr>
      <w:r w:rsidRPr="00566647">
        <w:rPr>
          <w:sz w:val="22"/>
          <w:lang w:val="es-ES_tradnl"/>
        </w:rPr>
        <w:t xml:space="preserve">No se considera, en virtud de que se elimina la </w:t>
      </w:r>
      <w:r w:rsidR="0030792F">
        <w:rPr>
          <w:sz w:val="22"/>
          <w:lang w:val="es-ES_tradnl"/>
        </w:rPr>
        <w:t>T</w:t>
      </w:r>
      <w:r w:rsidRPr="00566647">
        <w:rPr>
          <w:sz w:val="22"/>
          <w:lang w:val="es-ES_tradnl"/>
        </w:rPr>
        <w:t>abla 2</w:t>
      </w:r>
      <w:r w:rsidR="0030792F">
        <w:rPr>
          <w:sz w:val="22"/>
          <w:lang w:val="es-ES_tradnl"/>
        </w:rPr>
        <w:t xml:space="preserve"> de la redacción del Proyecto</w:t>
      </w:r>
      <w:r w:rsidRPr="00566647">
        <w:rPr>
          <w:sz w:val="22"/>
          <w:lang w:val="es-ES_tradnl"/>
        </w:rPr>
        <w:t>.</w:t>
      </w:r>
    </w:p>
    <w:p w14:paraId="5242B1A3" w14:textId="77777777" w:rsidR="006B74B2" w:rsidRPr="00566647" w:rsidRDefault="006B74B2" w:rsidP="0030792F">
      <w:pPr>
        <w:rPr>
          <w:sz w:val="22"/>
          <w:lang w:val="es-ES_tradnl"/>
        </w:rPr>
      </w:pPr>
    </w:p>
    <w:p w14:paraId="63A595C6" w14:textId="77777777" w:rsidR="006B74B2" w:rsidRPr="00566647" w:rsidRDefault="006B74B2" w:rsidP="0030792F">
      <w:pPr>
        <w:rPr>
          <w:sz w:val="22"/>
          <w:u w:val="single"/>
          <w:lang w:val="es-ES_tradnl"/>
        </w:rPr>
      </w:pPr>
      <w:r w:rsidRPr="00566647">
        <w:rPr>
          <w:sz w:val="22"/>
          <w:u w:val="single"/>
          <w:lang w:val="es-ES_tradnl"/>
        </w:rPr>
        <w:t>Participante:</w:t>
      </w:r>
    </w:p>
    <w:p w14:paraId="626FCBC8" w14:textId="77777777" w:rsidR="006B74B2" w:rsidRPr="00566647" w:rsidRDefault="00DF5265" w:rsidP="0030792F">
      <w:pPr>
        <w:rPr>
          <w:sz w:val="22"/>
          <w:lang w:val="es-ES_tradnl"/>
        </w:rPr>
      </w:pPr>
      <w:r w:rsidRPr="00566647">
        <w:rPr>
          <w:sz w:val="22"/>
          <w:lang w:val="es-ES_tradnl"/>
        </w:rPr>
        <w:t>SONY</w:t>
      </w:r>
    </w:p>
    <w:p w14:paraId="75E9A559" w14:textId="77777777" w:rsidR="006B74B2" w:rsidRPr="00566647" w:rsidRDefault="006B74B2" w:rsidP="0030792F">
      <w:pPr>
        <w:rPr>
          <w:sz w:val="22"/>
          <w:u w:val="single"/>
          <w:lang w:val="es-ES_tradnl"/>
        </w:rPr>
      </w:pPr>
      <w:r w:rsidRPr="00566647">
        <w:rPr>
          <w:sz w:val="22"/>
          <w:u w:val="single"/>
          <w:lang w:val="es-ES_tradnl"/>
        </w:rPr>
        <w:t>Propuesta:</w:t>
      </w:r>
    </w:p>
    <w:p w14:paraId="1F79448A" w14:textId="3FFC51E1" w:rsidR="006B74B2" w:rsidRPr="00566647" w:rsidRDefault="00A85CBB" w:rsidP="00A85CBB">
      <w:pPr>
        <w:pStyle w:val="Cita"/>
        <w:rPr>
          <w:lang w:val="es-ES_tradnl"/>
        </w:rPr>
      </w:pPr>
      <w:r w:rsidRPr="00A85CBB">
        <w:rPr>
          <w:lang w:val="es-ES_tradnl"/>
        </w:rPr>
        <w:t>«</w:t>
      </w:r>
      <w:r w:rsidR="006B74B2" w:rsidRPr="00566647">
        <w:rPr>
          <w:lang w:val="es-ES_tradnl"/>
        </w:rPr>
        <w:t>General: Dado que el valor límite es el mismo que el de la directriz de la ICNIRP, el límite de exención debería ser de 20mW en lugar de los límites de Canadá. Los equipos cuya potencia de salida sea inferior a 20mW, teóricamente el SAR (localizado en cabeza y tronco) sería inferior a 2W / kg (promedio de 10g), que es el límite SAR. Por lo tanto, si seleccionan el límite SAR de ICNIRP, no tiene sentido adoptar valores límite de exención canadiense. Por lo tanto, deben adoptar el valor límite de la exención de Europa, 20mW para una mejor coherencia.</w:t>
      </w:r>
      <w:r w:rsidRPr="00A85CBB">
        <w:rPr>
          <w:lang w:val="es-ES_tradnl"/>
        </w:rPr>
        <w:t>»</w:t>
      </w:r>
    </w:p>
    <w:p w14:paraId="0A4729B1" w14:textId="77777777" w:rsidR="006B74B2" w:rsidRPr="0067202F" w:rsidRDefault="006B74B2" w:rsidP="0030792F">
      <w:pPr>
        <w:rPr>
          <w:sz w:val="22"/>
          <w:u w:val="single"/>
          <w:lang w:val="en-US"/>
        </w:rPr>
      </w:pPr>
      <w:proofErr w:type="spellStart"/>
      <w:r w:rsidRPr="0067202F">
        <w:rPr>
          <w:sz w:val="22"/>
          <w:u w:val="single"/>
          <w:lang w:val="en-US"/>
        </w:rPr>
        <w:t>Respuesta</w:t>
      </w:r>
      <w:proofErr w:type="spellEnd"/>
      <w:r w:rsidRPr="0067202F">
        <w:rPr>
          <w:sz w:val="22"/>
          <w:u w:val="single"/>
          <w:lang w:val="en-US"/>
        </w:rPr>
        <w:t>:</w:t>
      </w:r>
    </w:p>
    <w:p w14:paraId="671730AF" w14:textId="6F03E3D2" w:rsidR="006B74B2" w:rsidRPr="00942AAB" w:rsidRDefault="006B74B2" w:rsidP="0030792F">
      <w:pPr>
        <w:pStyle w:val="Textocomentario"/>
        <w:jc w:val="both"/>
        <w:rPr>
          <w:sz w:val="22"/>
          <w:szCs w:val="22"/>
          <w:lang w:val="en-US"/>
        </w:rPr>
      </w:pPr>
      <w:r w:rsidRPr="00942AAB">
        <w:rPr>
          <w:sz w:val="22"/>
          <w:szCs w:val="22"/>
          <w:lang w:val="en-US"/>
        </w:rPr>
        <w:t xml:space="preserve">Se </w:t>
      </w:r>
      <w:proofErr w:type="spellStart"/>
      <w:r w:rsidRPr="00942AAB">
        <w:rPr>
          <w:sz w:val="22"/>
          <w:szCs w:val="22"/>
          <w:lang w:val="en-US"/>
        </w:rPr>
        <w:t>considera</w:t>
      </w:r>
      <w:proofErr w:type="spellEnd"/>
      <w:r w:rsidRPr="00942AAB">
        <w:rPr>
          <w:sz w:val="22"/>
          <w:szCs w:val="22"/>
          <w:lang w:val="en-US"/>
        </w:rPr>
        <w:t xml:space="preserve"> y se </w:t>
      </w:r>
      <w:proofErr w:type="spellStart"/>
      <w:r w:rsidRPr="00942AAB">
        <w:rPr>
          <w:sz w:val="22"/>
          <w:szCs w:val="22"/>
          <w:lang w:val="en-US"/>
        </w:rPr>
        <w:t>estable</w:t>
      </w:r>
      <w:r w:rsidR="00021D93" w:rsidRPr="00942AAB">
        <w:rPr>
          <w:sz w:val="22"/>
          <w:szCs w:val="22"/>
          <w:lang w:val="en-US"/>
        </w:rPr>
        <w:t>ce</w:t>
      </w:r>
      <w:proofErr w:type="spellEnd"/>
      <w:r w:rsidRPr="00942AAB">
        <w:rPr>
          <w:sz w:val="22"/>
          <w:szCs w:val="22"/>
          <w:lang w:val="en-US"/>
        </w:rPr>
        <w:t xml:space="preserve"> el </w:t>
      </w:r>
      <w:proofErr w:type="spellStart"/>
      <w:r w:rsidRPr="00942AAB">
        <w:rPr>
          <w:sz w:val="22"/>
          <w:szCs w:val="22"/>
          <w:lang w:val="en-US"/>
        </w:rPr>
        <w:t>límite</w:t>
      </w:r>
      <w:proofErr w:type="spellEnd"/>
      <w:r w:rsidRPr="00942AAB">
        <w:rPr>
          <w:sz w:val="22"/>
          <w:szCs w:val="22"/>
          <w:lang w:val="en-US"/>
        </w:rPr>
        <w:t xml:space="preserve"> de SAR de 20 </w:t>
      </w:r>
      <w:proofErr w:type="spellStart"/>
      <w:r w:rsidRPr="00942AAB">
        <w:rPr>
          <w:sz w:val="22"/>
          <w:szCs w:val="22"/>
          <w:lang w:val="en-US"/>
        </w:rPr>
        <w:t>mW</w:t>
      </w:r>
      <w:proofErr w:type="spellEnd"/>
      <w:r w:rsidR="00021D93" w:rsidRPr="00942AAB">
        <w:rPr>
          <w:sz w:val="22"/>
          <w:szCs w:val="22"/>
          <w:lang w:val="en-US"/>
        </w:rPr>
        <w:t xml:space="preserve"> </w:t>
      </w:r>
      <w:proofErr w:type="spellStart"/>
      <w:r w:rsidR="00021D93" w:rsidRPr="00942AAB">
        <w:rPr>
          <w:sz w:val="22"/>
          <w:szCs w:val="22"/>
          <w:lang w:val="en-US"/>
        </w:rPr>
        <w:t>basado</w:t>
      </w:r>
      <w:proofErr w:type="spellEnd"/>
      <w:r w:rsidR="00021D93" w:rsidRPr="00942AAB">
        <w:rPr>
          <w:sz w:val="22"/>
          <w:szCs w:val="22"/>
          <w:lang w:val="en-US"/>
        </w:rPr>
        <w:t xml:space="preserve"> </w:t>
      </w:r>
      <w:proofErr w:type="spellStart"/>
      <w:r w:rsidR="00021D93" w:rsidRPr="00942AAB">
        <w:rPr>
          <w:sz w:val="22"/>
          <w:szCs w:val="22"/>
          <w:lang w:val="en-US"/>
        </w:rPr>
        <w:t>en</w:t>
      </w:r>
      <w:proofErr w:type="spellEnd"/>
      <w:r w:rsidR="00021D93" w:rsidRPr="00942AAB">
        <w:rPr>
          <w:sz w:val="22"/>
          <w:szCs w:val="22"/>
          <w:lang w:val="en-US"/>
        </w:rPr>
        <w:t xml:space="preserve"> el </w:t>
      </w:r>
      <w:proofErr w:type="spellStart"/>
      <w:r w:rsidR="00021D93" w:rsidRPr="00942AAB">
        <w:rPr>
          <w:sz w:val="22"/>
          <w:szCs w:val="22"/>
          <w:lang w:val="en-US"/>
        </w:rPr>
        <w:t>estándar</w:t>
      </w:r>
      <w:proofErr w:type="spellEnd"/>
      <w:r w:rsidR="00021D93" w:rsidRPr="00942AAB">
        <w:rPr>
          <w:sz w:val="22"/>
          <w:szCs w:val="22"/>
          <w:lang w:val="en-US"/>
        </w:rPr>
        <w:t xml:space="preserve"> IEC 62479:</w:t>
      </w:r>
      <w:r w:rsidR="00021D93" w:rsidRPr="00942AAB">
        <w:rPr>
          <w:i/>
          <w:sz w:val="22"/>
          <w:szCs w:val="22"/>
          <w:lang w:val="en-US"/>
        </w:rPr>
        <w:t xml:space="preserve"> Assessment of the compliance of low-power electronic and electrical equipment with the basic restrictions related to human exposure to electromagnetic fields (10 MHz to 300 GHz)</w:t>
      </w:r>
    </w:p>
    <w:p w14:paraId="7FB38B0D" w14:textId="77777777" w:rsidR="006B74B2" w:rsidRPr="00566647" w:rsidRDefault="006B74B2" w:rsidP="0030792F">
      <w:pPr>
        <w:rPr>
          <w:sz w:val="22"/>
          <w:lang w:val="en-US"/>
        </w:rPr>
      </w:pPr>
    </w:p>
    <w:p w14:paraId="25EA7DFE" w14:textId="77777777" w:rsidR="006B74B2" w:rsidRPr="00566647" w:rsidRDefault="00C2220F" w:rsidP="0030792F">
      <w:pPr>
        <w:pStyle w:val="Ttulo2"/>
      </w:pPr>
      <w:r w:rsidRPr="00566647">
        <w:t>5. Métodos de Prueba</w:t>
      </w:r>
    </w:p>
    <w:p w14:paraId="2FF02DF3" w14:textId="77777777" w:rsidR="00C2220F" w:rsidRPr="00566647" w:rsidRDefault="00C2220F" w:rsidP="0030792F">
      <w:pPr>
        <w:rPr>
          <w:sz w:val="22"/>
          <w:u w:val="single"/>
        </w:rPr>
      </w:pPr>
      <w:r w:rsidRPr="00566647">
        <w:rPr>
          <w:sz w:val="22"/>
          <w:u w:val="single"/>
        </w:rPr>
        <w:t>Participante:</w:t>
      </w:r>
    </w:p>
    <w:p w14:paraId="2C1F915B" w14:textId="77777777" w:rsidR="00C2220F" w:rsidRPr="00566647" w:rsidRDefault="00C2220F" w:rsidP="0030792F">
      <w:pPr>
        <w:rPr>
          <w:sz w:val="22"/>
        </w:rPr>
      </w:pPr>
      <w:r w:rsidRPr="00566647">
        <w:rPr>
          <w:sz w:val="22"/>
        </w:rPr>
        <w:t>NYCE</w:t>
      </w:r>
    </w:p>
    <w:p w14:paraId="52180DE0" w14:textId="77777777" w:rsidR="00C2220F" w:rsidRPr="00566647" w:rsidRDefault="00C2220F" w:rsidP="0030792F">
      <w:pPr>
        <w:rPr>
          <w:sz w:val="22"/>
          <w:u w:val="single"/>
        </w:rPr>
      </w:pPr>
      <w:r w:rsidRPr="00566647">
        <w:rPr>
          <w:sz w:val="22"/>
          <w:u w:val="single"/>
        </w:rPr>
        <w:t>Propuesta:</w:t>
      </w:r>
    </w:p>
    <w:p w14:paraId="7FD91E97" w14:textId="362AA633" w:rsidR="00C2220F" w:rsidRPr="00566647" w:rsidRDefault="00A85CBB" w:rsidP="00A85CBB">
      <w:pPr>
        <w:pStyle w:val="Cita"/>
      </w:pPr>
      <w:r w:rsidRPr="00A85CBB">
        <w:lastRenderedPageBreak/>
        <w:t>«</w:t>
      </w:r>
      <w:r w:rsidR="00C2220F" w:rsidRPr="00566647">
        <w:t>Es necesario que se armonicen los términos, en la definición XV y en 5.1.2, aparece el término, "modelo antropomórfico de la cabeza humana" y en 5.1.1, aparece el término, "modelo de la cabeza humana.</w:t>
      </w:r>
      <w:r w:rsidRPr="00A85CBB">
        <w:t>»</w:t>
      </w:r>
    </w:p>
    <w:p w14:paraId="47778D5A" w14:textId="77777777" w:rsidR="00C2220F" w:rsidRPr="00566647" w:rsidRDefault="00C2220F" w:rsidP="0030792F">
      <w:pPr>
        <w:rPr>
          <w:sz w:val="22"/>
          <w:u w:val="single"/>
        </w:rPr>
      </w:pPr>
      <w:r w:rsidRPr="00566647">
        <w:rPr>
          <w:sz w:val="22"/>
          <w:u w:val="single"/>
        </w:rPr>
        <w:t>Respuesta:</w:t>
      </w:r>
    </w:p>
    <w:p w14:paraId="50769155" w14:textId="77777777" w:rsidR="00C2220F" w:rsidRPr="00566647" w:rsidRDefault="00C2220F" w:rsidP="0030792F">
      <w:pPr>
        <w:pStyle w:val="Textocomentario"/>
        <w:jc w:val="both"/>
        <w:rPr>
          <w:sz w:val="22"/>
          <w:szCs w:val="22"/>
        </w:rPr>
      </w:pPr>
      <w:r w:rsidRPr="00566647">
        <w:rPr>
          <w:sz w:val="22"/>
          <w:szCs w:val="22"/>
        </w:rPr>
        <w:t>Se considera y se modifica en todo el documento.</w:t>
      </w:r>
    </w:p>
    <w:p w14:paraId="6FB24956" w14:textId="77777777" w:rsidR="00C2220F" w:rsidRPr="00566647" w:rsidRDefault="00C2220F" w:rsidP="0030792F">
      <w:pPr>
        <w:rPr>
          <w:sz w:val="22"/>
          <w:lang w:val="es-ES_tradnl"/>
        </w:rPr>
      </w:pPr>
    </w:p>
    <w:p w14:paraId="25B451D1" w14:textId="77777777" w:rsidR="00930215" w:rsidRPr="00566647" w:rsidRDefault="00930215" w:rsidP="0030792F">
      <w:pPr>
        <w:rPr>
          <w:sz w:val="22"/>
          <w:u w:val="single"/>
        </w:rPr>
      </w:pPr>
      <w:r w:rsidRPr="00566647">
        <w:rPr>
          <w:sz w:val="22"/>
          <w:u w:val="single"/>
        </w:rPr>
        <w:t>Participante:</w:t>
      </w:r>
    </w:p>
    <w:p w14:paraId="11B39638" w14:textId="77777777" w:rsidR="00930215" w:rsidRPr="00566647" w:rsidRDefault="00930215" w:rsidP="0030792F">
      <w:pPr>
        <w:rPr>
          <w:sz w:val="22"/>
        </w:rPr>
      </w:pPr>
      <w:r w:rsidRPr="00566647">
        <w:rPr>
          <w:sz w:val="22"/>
        </w:rPr>
        <w:t>NYCE</w:t>
      </w:r>
    </w:p>
    <w:p w14:paraId="3196AD46" w14:textId="77777777" w:rsidR="00930215" w:rsidRPr="00566647" w:rsidRDefault="00930215" w:rsidP="0030792F">
      <w:pPr>
        <w:rPr>
          <w:sz w:val="22"/>
          <w:u w:val="single"/>
        </w:rPr>
      </w:pPr>
      <w:r w:rsidRPr="00566647">
        <w:rPr>
          <w:sz w:val="22"/>
          <w:u w:val="single"/>
        </w:rPr>
        <w:t>Propuesta:</w:t>
      </w:r>
    </w:p>
    <w:p w14:paraId="7C82227B" w14:textId="1E4AF5DB" w:rsidR="00930215" w:rsidRPr="00566647" w:rsidRDefault="00A85CBB" w:rsidP="00A85CBB">
      <w:pPr>
        <w:pStyle w:val="Cita"/>
      </w:pPr>
      <w:r w:rsidRPr="00A85CBB">
        <w:t>«</w:t>
      </w:r>
      <w:r w:rsidR="00930215" w:rsidRPr="00566647">
        <w:t>Cuando se haga mención a la norma internacional IEC62209-1:20016 u otro documento al que se haga referencia y se utilice como parte de la disposición técnica, es conveniente que se diga inmediatamente después, "o la que la sustituya"</w:t>
      </w:r>
      <w:r w:rsidRPr="00A85CBB">
        <w:t>»</w:t>
      </w:r>
    </w:p>
    <w:p w14:paraId="2771B089" w14:textId="77777777" w:rsidR="00930215" w:rsidRPr="00566647" w:rsidRDefault="00930215" w:rsidP="0030792F">
      <w:pPr>
        <w:rPr>
          <w:sz w:val="22"/>
          <w:u w:val="single"/>
        </w:rPr>
      </w:pPr>
      <w:r w:rsidRPr="00566647">
        <w:rPr>
          <w:sz w:val="22"/>
          <w:u w:val="single"/>
        </w:rPr>
        <w:t>Respuesta:</w:t>
      </w:r>
    </w:p>
    <w:p w14:paraId="4F8E4851" w14:textId="47758D9A" w:rsidR="00930215" w:rsidRPr="00566647" w:rsidRDefault="00930215" w:rsidP="0030792F">
      <w:pPr>
        <w:pStyle w:val="Textocomentario"/>
        <w:jc w:val="both"/>
        <w:rPr>
          <w:sz w:val="22"/>
          <w:szCs w:val="22"/>
        </w:rPr>
      </w:pPr>
      <w:r w:rsidRPr="00566647">
        <w:rPr>
          <w:sz w:val="22"/>
          <w:szCs w:val="22"/>
        </w:rPr>
        <w:t>Se considera y se realizan las modificaciones correspondientes</w:t>
      </w:r>
      <w:r w:rsidR="0030792F">
        <w:rPr>
          <w:sz w:val="22"/>
          <w:szCs w:val="22"/>
        </w:rPr>
        <w:t xml:space="preserve"> en todo el documento</w:t>
      </w:r>
      <w:r w:rsidRPr="00566647">
        <w:rPr>
          <w:sz w:val="22"/>
          <w:szCs w:val="22"/>
        </w:rPr>
        <w:t>.</w:t>
      </w:r>
    </w:p>
    <w:p w14:paraId="20792F62" w14:textId="77777777" w:rsidR="006B74B2" w:rsidRPr="00566647" w:rsidRDefault="006B74B2" w:rsidP="0030792F">
      <w:pPr>
        <w:rPr>
          <w:sz w:val="22"/>
          <w:lang w:val="es-ES_tradnl"/>
        </w:rPr>
      </w:pPr>
    </w:p>
    <w:p w14:paraId="641B81EA" w14:textId="77777777" w:rsidR="00930215" w:rsidRPr="00566647" w:rsidRDefault="00930215" w:rsidP="0030792F">
      <w:pPr>
        <w:rPr>
          <w:sz w:val="22"/>
          <w:u w:val="single"/>
        </w:rPr>
      </w:pPr>
      <w:r w:rsidRPr="00566647">
        <w:rPr>
          <w:sz w:val="22"/>
          <w:u w:val="single"/>
        </w:rPr>
        <w:t>Participante:</w:t>
      </w:r>
    </w:p>
    <w:p w14:paraId="0E53DA82" w14:textId="77777777" w:rsidR="00930215" w:rsidRPr="00566647" w:rsidRDefault="00930215" w:rsidP="0030792F">
      <w:pPr>
        <w:rPr>
          <w:sz w:val="22"/>
        </w:rPr>
      </w:pPr>
      <w:r w:rsidRPr="00566647">
        <w:rPr>
          <w:sz w:val="22"/>
        </w:rPr>
        <w:t>ANCE</w:t>
      </w:r>
    </w:p>
    <w:p w14:paraId="41F2614D" w14:textId="77777777" w:rsidR="00930215" w:rsidRPr="00566647" w:rsidRDefault="00930215" w:rsidP="0030792F">
      <w:pPr>
        <w:rPr>
          <w:sz w:val="22"/>
          <w:u w:val="single"/>
        </w:rPr>
      </w:pPr>
      <w:r w:rsidRPr="00566647">
        <w:rPr>
          <w:sz w:val="22"/>
          <w:u w:val="single"/>
        </w:rPr>
        <w:t>Propuesta:</w:t>
      </w:r>
    </w:p>
    <w:p w14:paraId="0A8BAA08" w14:textId="697D7495" w:rsidR="00930215" w:rsidRPr="00566647" w:rsidRDefault="00A85CBB" w:rsidP="00A85CBB">
      <w:pPr>
        <w:pStyle w:val="Cita"/>
        <w:rPr>
          <w:lang w:val="es-ES_tradnl"/>
        </w:rPr>
      </w:pPr>
      <w:r w:rsidRPr="00A85CBB">
        <w:t>«</w:t>
      </w:r>
      <w:r w:rsidR="00930215" w:rsidRPr="00566647">
        <w:t>Se recomienda incluir la tabla 3 de la DT-IFT-010-2016 para mostrar las bandas de uso de dispositivos celulares (tal como los dispositivos móviles con LTE), así como a los equipos bloqueadores de la IFT-010 o definir si los bloqueadores entrarían en el campo de aplicación de la en su caso en la IFT-007, ya que la IFT-010 menciona a estas pruebas en el 4.2.11</w:t>
      </w:r>
      <w:r w:rsidRPr="00A85CBB">
        <w:t>»</w:t>
      </w:r>
    </w:p>
    <w:p w14:paraId="2B06AD54" w14:textId="77777777" w:rsidR="00930215" w:rsidRPr="00566647" w:rsidRDefault="00930215" w:rsidP="0030792F">
      <w:pPr>
        <w:rPr>
          <w:sz w:val="22"/>
          <w:u w:val="single"/>
        </w:rPr>
      </w:pPr>
      <w:r w:rsidRPr="00566647">
        <w:rPr>
          <w:sz w:val="22"/>
          <w:u w:val="single"/>
        </w:rPr>
        <w:t>Respuesta:</w:t>
      </w:r>
    </w:p>
    <w:p w14:paraId="3A3440BD" w14:textId="77777777" w:rsidR="0046234E" w:rsidRPr="00566647" w:rsidRDefault="00930215" w:rsidP="0030792F">
      <w:pPr>
        <w:rPr>
          <w:sz w:val="22"/>
        </w:rPr>
      </w:pPr>
      <w:r w:rsidRPr="00566647">
        <w:rPr>
          <w:sz w:val="22"/>
        </w:rPr>
        <w:t xml:space="preserve">No se considera, </w:t>
      </w:r>
      <w:r w:rsidR="00DF5265" w:rsidRPr="00566647">
        <w:rPr>
          <w:sz w:val="22"/>
        </w:rPr>
        <w:t xml:space="preserve">el </w:t>
      </w:r>
      <w:r w:rsidR="00D83CB0" w:rsidRPr="00566647">
        <w:rPr>
          <w:sz w:val="22"/>
        </w:rPr>
        <w:t xml:space="preserve">objetivo </w:t>
      </w:r>
      <w:r w:rsidR="00DF5265" w:rsidRPr="00566647">
        <w:rPr>
          <w:sz w:val="22"/>
        </w:rPr>
        <w:t>de la</w:t>
      </w:r>
      <w:r w:rsidR="00D83CB0" w:rsidRPr="00566647">
        <w:rPr>
          <w:sz w:val="22"/>
        </w:rPr>
        <w:t xml:space="preserve"> 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r w:rsidR="00DF5265" w:rsidRPr="00566647">
        <w:rPr>
          <w:sz w:val="22"/>
        </w:rPr>
        <w:t>.</w:t>
      </w:r>
      <w:r w:rsidR="00D83CB0" w:rsidRPr="00566647">
        <w:rPr>
          <w:sz w:val="22"/>
        </w:rPr>
        <w:t xml:space="preserve">”, es </w:t>
      </w:r>
      <w:r w:rsidR="00DF5265" w:rsidRPr="00566647">
        <w:rPr>
          <w:sz w:val="22"/>
        </w:rPr>
        <w:t>establece</w:t>
      </w:r>
      <w:r w:rsidR="00D83CB0" w:rsidRPr="00566647">
        <w:rPr>
          <w:sz w:val="22"/>
        </w:rPr>
        <w:t>r</w:t>
      </w:r>
      <w:r w:rsidR="00DF5265" w:rsidRPr="00566647">
        <w:rPr>
          <w:sz w:val="22"/>
        </w:rPr>
        <w:t xml:space="preserve"> las especificaciones técnicas y condiciones de operación para</w:t>
      </w:r>
      <w:r w:rsidR="00D83CB0" w:rsidRPr="00566647">
        <w:rPr>
          <w:sz w:val="22"/>
        </w:rPr>
        <w:t xml:space="preserve"> </w:t>
      </w:r>
      <w:r w:rsidR="00DF5265" w:rsidRPr="00566647">
        <w:rPr>
          <w:sz w:val="22"/>
        </w:rPr>
        <w:t>los equipos de bloqueo de señales de telefonía celular, de radiocomunicación o de transmisión de datos e</w:t>
      </w:r>
      <w:r w:rsidR="00D83CB0" w:rsidRPr="00566647">
        <w:rPr>
          <w:sz w:val="22"/>
        </w:rPr>
        <w:t xml:space="preserve"> </w:t>
      </w:r>
      <w:r w:rsidR="00DF5265" w:rsidRPr="00566647">
        <w:rPr>
          <w:sz w:val="22"/>
        </w:rPr>
        <w:t>imagen en las bandas de frecuencia que se utilicen para la recepción en los equipos terminales de</w:t>
      </w:r>
      <w:r w:rsidR="00D83CB0" w:rsidRPr="00566647">
        <w:rPr>
          <w:sz w:val="22"/>
        </w:rPr>
        <w:t xml:space="preserve"> </w:t>
      </w:r>
      <w:r w:rsidR="00DF5265" w:rsidRPr="00566647">
        <w:rPr>
          <w:sz w:val="22"/>
        </w:rPr>
        <w:t>comunicación, así como los métodos de prueba para comprobar el cumplimie</w:t>
      </w:r>
      <w:r w:rsidR="00992F66" w:rsidRPr="00566647">
        <w:rPr>
          <w:sz w:val="22"/>
        </w:rPr>
        <w:t xml:space="preserve">nto de dichas especificaciones. </w:t>
      </w:r>
    </w:p>
    <w:p w14:paraId="01A4689B" w14:textId="07DEA683" w:rsidR="00992F66" w:rsidRPr="00566647" w:rsidRDefault="00992F66" w:rsidP="0030792F">
      <w:pPr>
        <w:rPr>
          <w:sz w:val="22"/>
        </w:rPr>
      </w:pPr>
      <w:r w:rsidRPr="00566647">
        <w:rPr>
          <w:sz w:val="22"/>
        </w:rPr>
        <w:lastRenderedPageBreak/>
        <w:t>Es importante mencionar que en la Tabla 3 de la disposición técnica IFT-010-201</w:t>
      </w:r>
      <w:r w:rsidR="0030792F">
        <w:rPr>
          <w:sz w:val="22"/>
        </w:rPr>
        <w:t>8</w:t>
      </w:r>
      <w:r w:rsidRPr="00566647">
        <w:rPr>
          <w:sz w:val="22"/>
        </w:rPr>
        <w:t xml:space="preserve"> se muestran como referencia bandas de frecuencias, para que el Equipo bloqueador de señales </w:t>
      </w:r>
      <w:r w:rsidR="0046234E" w:rsidRPr="00566647">
        <w:rPr>
          <w:sz w:val="22"/>
        </w:rPr>
        <w:t xml:space="preserve">que se empleé, </w:t>
      </w:r>
      <w:r w:rsidRPr="00566647">
        <w:rPr>
          <w:sz w:val="22"/>
        </w:rPr>
        <w:t>sólo bloque las frecuencias asignadas para el enlace descendente o conexión de bajada (</w:t>
      </w:r>
      <w:proofErr w:type="spellStart"/>
      <w:r w:rsidRPr="0030792F">
        <w:rPr>
          <w:i/>
          <w:sz w:val="22"/>
        </w:rPr>
        <w:t>Downlink</w:t>
      </w:r>
      <w:proofErr w:type="spellEnd"/>
      <w:r w:rsidRPr="00566647">
        <w:rPr>
          <w:sz w:val="22"/>
        </w:rPr>
        <w:t xml:space="preserve">). </w:t>
      </w:r>
    </w:p>
    <w:p w14:paraId="1B4DC2E6" w14:textId="1C4D7B2A" w:rsidR="00930215" w:rsidRPr="00566647" w:rsidRDefault="0046234E" w:rsidP="0030792F">
      <w:pPr>
        <w:rPr>
          <w:sz w:val="22"/>
        </w:rPr>
      </w:pPr>
      <w:r w:rsidRPr="00566647">
        <w:rPr>
          <w:sz w:val="22"/>
        </w:rPr>
        <w:t xml:space="preserve">En cuanto a definir si los bloqueadores entrarían en el campo de aplicación de la </w:t>
      </w:r>
      <w:r w:rsidR="0030792F">
        <w:rPr>
          <w:sz w:val="22"/>
        </w:rPr>
        <w:t>D</w:t>
      </w:r>
      <w:r w:rsidRPr="00566647">
        <w:rPr>
          <w:sz w:val="22"/>
        </w:rPr>
        <w:t xml:space="preserve">isposición </w:t>
      </w:r>
      <w:r w:rsidR="0030792F">
        <w:rPr>
          <w:sz w:val="22"/>
        </w:rPr>
        <w:t>T</w:t>
      </w:r>
      <w:r w:rsidRPr="00566647">
        <w:rPr>
          <w:sz w:val="22"/>
        </w:rPr>
        <w:t>écnica IFT-007-201</w:t>
      </w:r>
      <w:r w:rsidR="002A6513">
        <w:rPr>
          <w:sz w:val="22"/>
        </w:rPr>
        <w:t>9</w:t>
      </w:r>
      <w:r w:rsidRPr="00566647">
        <w:rPr>
          <w:sz w:val="22"/>
        </w:rPr>
        <w:t xml:space="preserve"> se considera que queda fuera del alcance del presente</w:t>
      </w:r>
      <w:r w:rsidR="0067202F">
        <w:rPr>
          <w:sz w:val="22"/>
        </w:rPr>
        <w:t xml:space="preserve"> Anteproyecto</w:t>
      </w:r>
      <w:r w:rsidR="00930215" w:rsidRPr="00566647">
        <w:rPr>
          <w:sz w:val="22"/>
        </w:rPr>
        <w:t>.</w:t>
      </w:r>
    </w:p>
    <w:p w14:paraId="113ABB10" w14:textId="77777777" w:rsidR="000F7CD2" w:rsidRPr="00566647" w:rsidRDefault="000F7CD2" w:rsidP="0030792F">
      <w:pPr>
        <w:rPr>
          <w:sz w:val="22"/>
        </w:rPr>
      </w:pPr>
    </w:p>
    <w:p w14:paraId="15271B10" w14:textId="77777777" w:rsidR="00930215" w:rsidRPr="00566647" w:rsidRDefault="00930215" w:rsidP="0030792F">
      <w:pPr>
        <w:rPr>
          <w:sz w:val="22"/>
          <w:u w:val="single"/>
        </w:rPr>
      </w:pPr>
      <w:r w:rsidRPr="00566647">
        <w:rPr>
          <w:sz w:val="22"/>
          <w:u w:val="single"/>
        </w:rPr>
        <w:t>Participante:</w:t>
      </w:r>
    </w:p>
    <w:p w14:paraId="1845E029" w14:textId="77777777" w:rsidR="00930215" w:rsidRPr="00566647" w:rsidRDefault="00930215" w:rsidP="0030792F">
      <w:pPr>
        <w:rPr>
          <w:sz w:val="22"/>
        </w:rPr>
      </w:pPr>
      <w:r w:rsidRPr="00566647">
        <w:rPr>
          <w:sz w:val="22"/>
        </w:rPr>
        <w:t>SMPRI</w:t>
      </w:r>
    </w:p>
    <w:p w14:paraId="4BB54E96" w14:textId="77777777" w:rsidR="00930215" w:rsidRPr="00566647" w:rsidRDefault="00930215" w:rsidP="0030792F">
      <w:pPr>
        <w:rPr>
          <w:sz w:val="22"/>
          <w:u w:val="single"/>
        </w:rPr>
      </w:pPr>
      <w:r w:rsidRPr="00566647">
        <w:rPr>
          <w:sz w:val="22"/>
          <w:u w:val="single"/>
        </w:rPr>
        <w:t>Propuesta:</w:t>
      </w:r>
    </w:p>
    <w:p w14:paraId="0594AFD8" w14:textId="1F4AEBD9" w:rsidR="00930215" w:rsidRPr="00566647" w:rsidRDefault="00A85CBB" w:rsidP="00A85CBB">
      <w:pPr>
        <w:pStyle w:val="Cita"/>
      </w:pPr>
      <w:r w:rsidRPr="00A85CBB">
        <w:t>«</w:t>
      </w:r>
      <w:r w:rsidR="00930215" w:rsidRPr="00566647">
        <w:t>El modelo usado (15</w:t>
      </w:r>
      <w:r w:rsidR="00F931DC" w:rsidRPr="00566647">
        <w:t xml:space="preserve"> </w:t>
      </w:r>
      <w:r w:rsidR="00930215" w:rsidRPr="00566647">
        <w:t>cm de oreja a oreja) equivale a la cabeza de un masculino adulto, no necesariamente un reflejo de una cabeza promedio de un mexicano. Evidentemente, mujeres y sobre todo niños no están incluidos. Muy preocupante el caso de los niños ya que son un grupo de usuarios en crecimiento exponencial y quienes tendrán una exposición mayor a lo largo de su vida.</w:t>
      </w:r>
      <w:r w:rsidRPr="00A85CBB">
        <w:t>»</w:t>
      </w:r>
    </w:p>
    <w:p w14:paraId="342A9715" w14:textId="77777777" w:rsidR="00930215" w:rsidRPr="00566647" w:rsidRDefault="00930215" w:rsidP="0030792F">
      <w:pPr>
        <w:rPr>
          <w:sz w:val="22"/>
          <w:u w:val="single"/>
        </w:rPr>
      </w:pPr>
      <w:r w:rsidRPr="00566647">
        <w:rPr>
          <w:sz w:val="22"/>
          <w:u w:val="single"/>
        </w:rPr>
        <w:t>Respuesta:</w:t>
      </w:r>
    </w:p>
    <w:p w14:paraId="60C2331B" w14:textId="16FCC613" w:rsidR="00930215" w:rsidRPr="00566647" w:rsidRDefault="00586F74" w:rsidP="0030792F">
      <w:pPr>
        <w:pStyle w:val="Textocomentario"/>
        <w:jc w:val="both"/>
        <w:rPr>
          <w:sz w:val="22"/>
          <w:szCs w:val="22"/>
        </w:rPr>
      </w:pPr>
      <w:r w:rsidRPr="00566647">
        <w:rPr>
          <w:sz w:val="22"/>
          <w:szCs w:val="22"/>
        </w:rPr>
        <w:t>Con base en recomendaciones internacionales consultadas, se propone el empleo de un modelo de la cabeza que tiene una forma que corresponde al de un hombre adulto con dimensiones mayores a las que presentan el 90% de los hombres adultos, de acuerdo a estudios antropométricos de la población. Por lo tanto, dicho modelo se utiliza debido a que una cabeza de mayor tamaño en general absorbe mayor cantidad de energía electromagnética y por ello la medición se realiza para un peor caso que no se presenta en la exposición real a la que están sometidas la mayor parte de las personas</w:t>
      </w:r>
      <w:r w:rsidR="00930215" w:rsidRPr="00566647">
        <w:rPr>
          <w:sz w:val="22"/>
          <w:szCs w:val="22"/>
        </w:rPr>
        <w:t>.</w:t>
      </w:r>
    </w:p>
    <w:p w14:paraId="152F8ED1" w14:textId="77777777" w:rsidR="00930215" w:rsidRPr="00566647" w:rsidRDefault="00930215" w:rsidP="0030792F">
      <w:pPr>
        <w:rPr>
          <w:sz w:val="22"/>
          <w:lang w:val="es-ES_tradnl"/>
        </w:rPr>
      </w:pPr>
    </w:p>
    <w:p w14:paraId="5C86B301" w14:textId="77777777" w:rsidR="00CD0491" w:rsidRPr="00566647" w:rsidRDefault="00CD0491" w:rsidP="0030792F">
      <w:pPr>
        <w:rPr>
          <w:sz w:val="22"/>
          <w:u w:val="single"/>
        </w:rPr>
      </w:pPr>
      <w:r w:rsidRPr="00566647">
        <w:rPr>
          <w:sz w:val="22"/>
          <w:u w:val="single"/>
        </w:rPr>
        <w:t>Participante:</w:t>
      </w:r>
    </w:p>
    <w:p w14:paraId="368E075A" w14:textId="77777777" w:rsidR="00CD0491" w:rsidRPr="00566647" w:rsidRDefault="00CD0491" w:rsidP="0030792F">
      <w:pPr>
        <w:rPr>
          <w:sz w:val="22"/>
        </w:rPr>
      </w:pPr>
      <w:r w:rsidRPr="00566647">
        <w:rPr>
          <w:sz w:val="22"/>
        </w:rPr>
        <w:t>SMPRI</w:t>
      </w:r>
    </w:p>
    <w:p w14:paraId="01BCE74F" w14:textId="77777777" w:rsidR="00CD0491" w:rsidRPr="00566647" w:rsidRDefault="00CD0491" w:rsidP="0030792F">
      <w:pPr>
        <w:rPr>
          <w:sz w:val="22"/>
          <w:u w:val="single"/>
        </w:rPr>
      </w:pPr>
      <w:r w:rsidRPr="00566647">
        <w:rPr>
          <w:sz w:val="22"/>
          <w:u w:val="single"/>
        </w:rPr>
        <w:t>Propuesta:</w:t>
      </w:r>
    </w:p>
    <w:p w14:paraId="47026C7C" w14:textId="7F9C3225" w:rsidR="00CD0491" w:rsidRPr="00566647" w:rsidRDefault="00A85CBB" w:rsidP="00A85CBB">
      <w:pPr>
        <w:pStyle w:val="Cita"/>
      </w:pPr>
      <w:r w:rsidRPr="00A85CBB">
        <w:t>«</w:t>
      </w:r>
      <w:r w:rsidR="00CD0491" w:rsidRPr="00566647">
        <w:t xml:space="preserve">Dentro del cráneo existen múltiples tejidos, </w:t>
      </w:r>
      <w:r w:rsidR="00586F74" w:rsidRPr="00566647">
        <w:t>líquidos</w:t>
      </w:r>
      <w:r w:rsidR="00CD0491" w:rsidRPr="00566647">
        <w:t xml:space="preserve"> y </w:t>
      </w:r>
      <w:r w:rsidR="00586F74" w:rsidRPr="00566647">
        <w:t>órganos</w:t>
      </w:r>
      <w:r w:rsidR="00CD0491" w:rsidRPr="00566647">
        <w:t xml:space="preserve">. Cada uno tiene una interacción y una absorción distinta. El </w:t>
      </w:r>
      <w:r w:rsidR="00586F74" w:rsidRPr="00566647">
        <w:t>líquido</w:t>
      </w:r>
      <w:r w:rsidR="00CD0491" w:rsidRPr="00566647">
        <w:t xml:space="preserve"> que se usa es uno homogéneo, esto es, la absorción es igual en cualquier punto, pero sobre todo la ionización es uniforme, lo cual no sucede en una cabeza humana. De nuevo, el factor térmico nos lleva por un camino erróneo dando una falsa sensación de seguridad donde no la existe, especialmente, en los menores. Otros aspectos fundamentales son las pulsaciones y la polarización. la exposición nunca es constante debido a que </w:t>
      </w:r>
      <w:proofErr w:type="gramStart"/>
      <w:r w:rsidR="00CD0491" w:rsidRPr="00566647">
        <w:t>las transmisión</w:t>
      </w:r>
      <w:proofErr w:type="gramEnd"/>
      <w:r w:rsidR="00CD0491" w:rsidRPr="00566647">
        <w:t xml:space="preserve"> </w:t>
      </w:r>
      <w:r w:rsidR="0030792F">
        <w:t>[</w:t>
      </w:r>
      <w:r w:rsidR="0030792F" w:rsidRPr="0030792F">
        <w:t>sic</w:t>
      </w:r>
      <w:r w:rsidR="0030792F">
        <w:t xml:space="preserve">] </w:t>
      </w:r>
      <w:r w:rsidR="00CD0491" w:rsidRPr="00566647">
        <w:t xml:space="preserve">se da en pulsaciones, lo que provoca estados de "alerta" en las células radiadas, en contraste, por ejemplo, </w:t>
      </w:r>
      <w:r w:rsidR="00CD0491" w:rsidRPr="00566647">
        <w:lastRenderedPageBreak/>
        <w:t>con el campo electromagnético de la Tierra, el cual es constante, por lo que no genera estos estados en las células.</w:t>
      </w:r>
      <w:r w:rsidRPr="00A85CBB">
        <w:t>»</w:t>
      </w:r>
    </w:p>
    <w:p w14:paraId="4308A006" w14:textId="77777777" w:rsidR="00CD0491" w:rsidRPr="00566647" w:rsidRDefault="00CD0491" w:rsidP="0030792F">
      <w:pPr>
        <w:rPr>
          <w:sz w:val="22"/>
          <w:u w:val="single"/>
        </w:rPr>
      </w:pPr>
      <w:r w:rsidRPr="00566647">
        <w:rPr>
          <w:sz w:val="22"/>
          <w:u w:val="single"/>
        </w:rPr>
        <w:t>Respuesta:</w:t>
      </w:r>
    </w:p>
    <w:p w14:paraId="3CEFE1E4" w14:textId="68D20E67" w:rsidR="00586F74" w:rsidRPr="00566647" w:rsidRDefault="00586F74" w:rsidP="0030792F">
      <w:pPr>
        <w:rPr>
          <w:sz w:val="22"/>
        </w:rPr>
      </w:pPr>
      <w:r w:rsidRPr="00566647">
        <w:rPr>
          <w:sz w:val="22"/>
        </w:rPr>
        <w:t>De acuerdo con la Organización Mundial de la Salud, la ICNIRP: “Proporciona orientación científica y recomendaciones sobre protección contra la exposición a RNI, elabora directrices y límites internacionales de exposición a RNI independientes”</w:t>
      </w:r>
      <w:r w:rsidR="00A3556E" w:rsidRPr="00566647">
        <w:rPr>
          <w:rStyle w:val="Refdenotaalpie"/>
          <w:sz w:val="22"/>
        </w:rPr>
        <w:footnoteReference w:id="1"/>
      </w:r>
      <w:r w:rsidR="00A3556E" w:rsidRPr="00566647">
        <w:rPr>
          <w:sz w:val="22"/>
        </w:rPr>
        <w:t>.</w:t>
      </w:r>
    </w:p>
    <w:p w14:paraId="0A548E4C" w14:textId="297BE4AD" w:rsidR="00CD0491" w:rsidRPr="00566647" w:rsidRDefault="00586F74" w:rsidP="0030792F">
      <w:pPr>
        <w:rPr>
          <w:sz w:val="22"/>
        </w:rPr>
      </w:pPr>
      <w:r w:rsidRPr="00566647">
        <w:rPr>
          <w:sz w:val="22"/>
        </w:rPr>
        <w:t>Asimismo</w:t>
      </w:r>
      <w:r w:rsidR="0030792F">
        <w:rPr>
          <w:sz w:val="22"/>
        </w:rPr>
        <w:t>,</w:t>
      </w:r>
      <w:r w:rsidRPr="00566647">
        <w:rPr>
          <w:sz w:val="22"/>
        </w:rPr>
        <w:t xml:space="preserve"> es relevante recordar que el tema que nos ocupa es de radiaciones no ionizantes. Adicionalmente se menciona que </w:t>
      </w:r>
      <w:r w:rsidR="00CD0491" w:rsidRPr="00566647">
        <w:rPr>
          <w:sz w:val="22"/>
        </w:rPr>
        <w:t xml:space="preserve">las normas internacionales de referencia para el presente tema establecen las características de </w:t>
      </w:r>
      <w:proofErr w:type="spellStart"/>
      <w:r w:rsidR="00CD0491" w:rsidRPr="00566647">
        <w:rPr>
          <w:sz w:val="22"/>
        </w:rPr>
        <w:t>permitividad</w:t>
      </w:r>
      <w:proofErr w:type="spellEnd"/>
      <w:r w:rsidR="00CD0491" w:rsidRPr="00566647">
        <w:rPr>
          <w:sz w:val="22"/>
        </w:rPr>
        <w:t xml:space="preserve"> relativa y conductividad del líquido equivalente al tejido de la cabeza humana.</w:t>
      </w:r>
    </w:p>
    <w:p w14:paraId="68E3BC98" w14:textId="77777777" w:rsidR="00930215" w:rsidRPr="00566647" w:rsidRDefault="00930215" w:rsidP="0030792F">
      <w:pPr>
        <w:rPr>
          <w:sz w:val="22"/>
          <w:lang w:val="es-ES_tradnl"/>
        </w:rPr>
      </w:pPr>
    </w:p>
    <w:p w14:paraId="03C6FBE6" w14:textId="77777777" w:rsidR="00CD0491" w:rsidRPr="00566647" w:rsidRDefault="00CD0491" w:rsidP="0030792F">
      <w:pPr>
        <w:rPr>
          <w:sz w:val="22"/>
          <w:u w:val="single"/>
        </w:rPr>
      </w:pPr>
      <w:r w:rsidRPr="00566647">
        <w:rPr>
          <w:sz w:val="22"/>
          <w:u w:val="single"/>
        </w:rPr>
        <w:t>Participante:</w:t>
      </w:r>
    </w:p>
    <w:p w14:paraId="03BA5085" w14:textId="77777777" w:rsidR="00CD0491" w:rsidRPr="00566647" w:rsidRDefault="00CD0491" w:rsidP="0030792F">
      <w:pPr>
        <w:rPr>
          <w:sz w:val="22"/>
        </w:rPr>
      </w:pPr>
      <w:r w:rsidRPr="00566647">
        <w:rPr>
          <w:sz w:val="22"/>
        </w:rPr>
        <w:t>NYCE</w:t>
      </w:r>
    </w:p>
    <w:p w14:paraId="1DAFA701" w14:textId="77777777" w:rsidR="00CD0491" w:rsidRPr="00566647" w:rsidRDefault="00CD0491" w:rsidP="0030792F">
      <w:pPr>
        <w:rPr>
          <w:sz w:val="22"/>
          <w:u w:val="single"/>
        </w:rPr>
      </w:pPr>
      <w:r w:rsidRPr="00566647">
        <w:rPr>
          <w:sz w:val="22"/>
          <w:u w:val="single"/>
        </w:rPr>
        <w:t>Propuesta:</w:t>
      </w:r>
    </w:p>
    <w:p w14:paraId="76A69D0A" w14:textId="20064ECA" w:rsidR="00CD0491" w:rsidRPr="00566647" w:rsidRDefault="00A85CBB" w:rsidP="00A85CBB">
      <w:pPr>
        <w:pStyle w:val="Cita"/>
      </w:pPr>
      <w:r w:rsidRPr="00A85CBB">
        <w:t>«</w:t>
      </w:r>
      <w:r w:rsidR="00CD0491" w:rsidRPr="00566647">
        <w:t>… cambiar la palabra, "rango", por la palabra "intervalo", ese mismo cambio realizarlo en el resto del documento. El término intervalo indica una frecuencia de inicio y una frecuencia final.</w:t>
      </w:r>
      <w:r w:rsidRPr="00A85CBB">
        <w:t>»</w:t>
      </w:r>
    </w:p>
    <w:p w14:paraId="70E37401" w14:textId="77777777" w:rsidR="00CD0491" w:rsidRPr="00566647" w:rsidRDefault="00CD0491" w:rsidP="0030792F">
      <w:pPr>
        <w:rPr>
          <w:sz w:val="22"/>
          <w:u w:val="single"/>
        </w:rPr>
      </w:pPr>
      <w:r w:rsidRPr="00566647">
        <w:rPr>
          <w:sz w:val="22"/>
          <w:u w:val="single"/>
        </w:rPr>
        <w:t>Respuesta:</w:t>
      </w:r>
    </w:p>
    <w:p w14:paraId="60E62F71" w14:textId="77777777" w:rsidR="00CD0491" w:rsidRPr="00566647" w:rsidRDefault="00CD0491" w:rsidP="0030792F">
      <w:pPr>
        <w:pStyle w:val="Textocomentario"/>
        <w:jc w:val="both"/>
        <w:rPr>
          <w:sz w:val="22"/>
          <w:szCs w:val="22"/>
        </w:rPr>
      </w:pPr>
      <w:r w:rsidRPr="00566647">
        <w:rPr>
          <w:sz w:val="22"/>
          <w:szCs w:val="22"/>
        </w:rPr>
        <w:t>Se considera y se realiza en todo el documento, cuando aplica.</w:t>
      </w:r>
    </w:p>
    <w:p w14:paraId="79B6DD3C" w14:textId="77777777" w:rsidR="00930215" w:rsidRPr="00566647" w:rsidRDefault="00930215" w:rsidP="0030792F">
      <w:pPr>
        <w:rPr>
          <w:sz w:val="22"/>
          <w:lang w:val="es-ES_tradnl"/>
        </w:rPr>
      </w:pPr>
    </w:p>
    <w:p w14:paraId="7752492B" w14:textId="77777777" w:rsidR="00CD0491" w:rsidRPr="00566647" w:rsidRDefault="00CD0491" w:rsidP="0030792F">
      <w:pPr>
        <w:rPr>
          <w:sz w:val="22"/>
          <w:u w:val="single"/>
        </w:rPr>
      </w:pPr>
      <w:r w:rsidRPr="00566647">
        <w:rPr>
          <w:sz w:val="22"/>
          <w:u w:val="single"/>
        </w:rPr>
        <w:t>Participante:</w:t>
      </w:r>
    </w:p>
    <w:p w14:paraId="2ACDF8EC" w14:textId="77777777" w:rsidR="00CD0491" w:rsidRPr="00566647" w:rsidRDefault="00CD0491" w:rsidP="0030792F">
      <w:pPr>
        <w:rPr>
          <w:sz w:val="22"/>
        </w:rPr>
      </w:pPr>
      <w:r w:rsidRPr="00566647">
        <w:rPr>
          <w:sz w:val="22"/>
        </w:rPr>
        <w:t>ANATEL</w:t>
      </w:r>
    </w:p>
    <w:p w14:paraId="3AD34AC7" w14:textId="77777777" w:rsidR="00CD0491" w:rsidRPr="00566647" w:rsidRDefault="00CD0491" w:rsidP="0030792F">
      <w:pPr>
        <w:rPr>
          <w:sz w:val="22"/>
          <w:u w:val="single"/>
        </w:rPr>
      </w:pPr>
      <w:r w:rsidRPr="00566647">
        <w:rPr>
          <w:sz w:val="22"/>
          <w:u w:val="single"/>
        </w:rPr>
        <w:t>Propuesta:</w:t>
      </w:r>
    </w:p>
    <w:p w14:paraId="56E8945A" w14:textId="7FFBC809" w:rsidR="00CD0491" w:rsidRPr="00566647" w:rsidRDefault="001B1EBB" w:rsidP="001B1EBB">
      <w:pPr>
        <w:pStyle w:val="Cita"/>
      </w:pPr>
      <w:r w:rsidRPr="001B1EBB">
        <w:t>«</w:t>
      </w:r>
      <w:r w:rsidR="00CD0491" w:rsidRPr="00566647">
        <w:t>Se entiende en la redacción que todos los accesorios compatibles con equipos tendrían que ser evaluados, cuando debe de limitarse a los que están incluidos con el equipo. Proponemos que se incluya: "los accesorios incluidos en el empaque y que pueden afectar la potencia de salida, se someterán a prueba".</w:t>
      </w:r>
      <w:r w:rsidRPr="001B1EBB">
        <w:t>»</w:t>
      </w:r>
    </w:p>
    <w:p w14:paraId="3390154A" w14:textId="77777777" w:rsidR="00CD0491" w:rsidRPr="00566647" w:rsidRDefault="00CD0491" w:rsidP="0030792F">
      <w:pPr>
        <w:rPr>
          <w:sz w:val="22"/>
          <w:u w:val="single"/>
        </w:rPr>
      </w:pPr>
      <w:r w:rsidRPr="00566647">
        <w:rPr>
          <w:sz w:val="22"/>
          <w:u w:val="single"/>
        </w:rPr>
        <w:t>Respuesta:</w:t>
      </w:r>
    </w:p>
    <w:p w14:paraId="398D947F" w14:textId="3C6EAC4D" w:rsidR="00CD0491" w:rsidRPr="00566647" w:rsidRDefault="00CD0491" w:rsidP="0030792F">
      <w:pPr>
        <w:pStyle w:val="Textocomentario"/>
        <w:jc w:val="both"/>
        <w:rPr>
          <w:sz w:val="22"/>
          <w:szCs w:val="22"/>
        </w:rPr>
      </w:pPr>
      <w:r w:rsidRPr="00566647">
        <w:rPr>
          <w:sz w:val="22"/>
          <w:szCs w:val="22"/>
        </w:rPr>
        <w:t>Se considera</w:t>
      </w:r>
      <w:r w:rsidR="001B1EBB">
        <w:rPr>
          <w:sz w:val="22"/>
          <w:szCs w:val="22"/>
        </w:rPr>
        <w:t xml:space="preserve"> parcialmente </w:t>
      </w:r>
      <w:r w:rsidRPr="00566647">
        <w:rPr>
          <w:sz w:val="22"/>
          <w:szCs w:val="22"/>
        </w:rPr>
        <w:t>y se realiza la aclaración</w:t>
      </w:r>
      <w:r w:rsidR="001B1EBB">
        <w:rPr>
          <w:sz w:val="22"/>
          <w:szCs w:val="22"/>
        </w:rPr>
        <w:t xml:space="preserve"> de que los accesorios serán los que sean incluidos en el empaque original del DCI</w:t>
      </w:r>
      <w:r w:rsidRPr="00566647">
        <w:rPr>
          <w:sz w:val="22"/>
          <w:szCs w:val="22"/>
        </w:rPr>
        <w:t>.</w:t>
      </w:r>
    </w:p>
    <w:p w14:paraId="07869319" w14:textId="77777777" w:rsidR="00CD0491" w:rsidRPr="00566647" w:rsidRDefault="00CD0491" w:rsidP="0030792F">
      <w:pPr>
        <w:rPr>
          <w:sz w:val="22"/>
        </w:rPr>
      </w:pPr>
    </w:p>
    <w:p w14:paraId="50C5DA15" w14:textId="77777777" w:rsidR="00CD0491" w:rsidRPr="00566647" w:rsidRDefault="00772573" w:rsidP="0030792F">
      <w:pPr>
        <w:rPr>
          <w:sz w:val="22"/>
          <w:u w:val="single"/>
        </w:rPr>
      </w:pPr>
      <w:r w:rsidRPr="00566647">
        <w:rPr>
          <w:sz w:val="22"/>
          <w:u w:val="single"/>
        </w:rPr>
        <w:lastRenderedPageBreak/>
        <w:t>Participante</w:t>
      </w:r>
      <w:r w:rsidR="00CD0491" w:rsidRPr="00566647">
        <w:rPr>
          <w:sz w:val="22"/>
          <w:u w:val="single"/>
        </w:rPr>
        <w:t>:</w:t>
      </w:r>
    </w:p>
    <w:p w14:paraId="514C33B7" w14:textId="77777777" w:rsidR="00CD0491" w:rsidRPr="00566647" w:rsidRDefault="00772573" w:rsidP="0030792F">
      <w:pPr>
        <w:rPr>
          <w:sz w:val="22"/>
        </w:rPr>
      </w:pPr>
      <w:r w:rsidRPr="00566647">
        <w:rPr>
          <w:sz w:val="22"/>
        </w:rPr>
        <w:t>ANCE</w:t>
      </w:r>
    </w:p>
    <w:p w14:paraId="7368D662" w14:textId="77777777" w:rsidR="00CD0491" w:rsidRPr="00566647" w:rsidRDefault="00CD0491" w:rsidP="0030792F">
      <w:pPr>
        <w:rPr>
          <w:sz w:val="22"/>
          <w:u w:val="single"/>
        </w:rPr>
      </w:pPr>
      <w:r w:rsidRPr="00566647">
        <w:rPr>
          <w:sz w:val="22"/>
          <w:u w:val="single"/>
        </w:rPr>
        <w:t>Propuesta:</w:t>
      </w:r>
    </w:p>
    <w:p w14:paraId="17F564D1" w14:textId="6E40997F" w:rsidR="00772573" w:rsidRPr="00566647" w:rsidRDefault="001B1EBB" w:rsidP="001B1EBB">
      <w:pPr>
        <w:pStyle w:val="Cita"/>
      </w:pPr>
      <w:r w:rsidRPr="001B1EBB">
        <w:t>«</w:t>
      </w:r>
      <w:r w:rsidR="00772573" w:rsidRPr="00566647">
        <w:t>Con el objeto de dar claridad a la redacción de la DT en los párrafos, se sugieren las modificaciones siguientes:</w:t>
      </w:r>
    </w:p>
    <w:p w14:paraId="3C29591A" w14:textId="77777777" w:rsidR="00772573" w:rsidRPr="00566647" w:rsidRDefault="00772573" w:rsidP="001B1EBB">
      <w:pPr>
        <w:pStyle w:val="Cita"/>
      </w:pPr>
      <w:r w:rsidRPr="00566647">
        <w:t>Dice: 1) Incluir valores de la Incertidumbre de medición de la Tablas 1 del Anexo A, y Tablas 1 y 2 del Anexo D del estándar IEC 62209-1: 20016".</w:t>
      </w:r>
    </w:p>
    <w:p w14:paraId="194C169C" w14:textId="77777777" w:rsidR="00772573" w:rsidRPr="00566647" w:rsidRDefault="00772573" w:rsidP="001B1EBB">
      <w:pPr>
        <w:pStyle w:val="Cita"/>
      </w:pPr>
      <w:r w:rsidRPr="00566647">
        <w:t>Debe decir: "IEC 62209-1:2016"</w:t>
      </w:r>
    </w:p>
    <w:p w14:paraId="170C222F" w14:textId="77777777" w:rsidR="00772573" w:rsidRPr="00566647" w:rsidRDefault="00772573" w:rsidP="001B1EBB">
      <w:pPr>
        <w:pStyle w:val="Cita"/>
      </w:pPr>
      <w:r w:rsidRPr="00566647">
        <w:t xml:space="preserve">Dice: </w:t>
      </w:r>
      <w:proofErr w:type="gramStart"/>
      <w:r w:rsidRPr="00566647">
        <w:t>g)...</w:t>
      </w:r>
      <w:proofErr w:type="gramEnd"/>
    </w:p>
    <w:p w14:paraId="478831CD" w14:textId="2DF93ED5" w:rsidR="00772573" w:rsidRPr="00566647" w:rsidRDefault="00772573" w:rsidP="001B1EBB">
      <w:pPr>
        <w:pStyle w:val="Cita"/>
      </w:pPr>
      <w:r w:rsidRPr="00566647">
        <w:t xml:space="preserve">2) Reducción de pruebas basada en las características del diseño del EBP (observar el numeral 5.1.11 de la presente DT). El RP debe incluir dibujos o fotografías ilustrando la disposición y ubicación de las antenas en el </w:t>
      </w:r>
      <w:proofErr w:type="spellStart"/>
      <w:r w:rsidRPr="00566647">
        <w:t>Handset</w:t>
      </w:r>
      <w:proofErr w:type="spellEnd"/>
      <w:r w:rsidRPr="00566647">
        <w:t>.</w:t>
      </w:r>
    </w:p>
    <w:p w14:paraId="4EEB5F50" w14:textId="5876020E" w:rsidR="00CD0491" w:rsidRPr="00566647" w:rsidRDefault="00772573" w:rsidP="001B1EBB">
      <w:pPr>
        <w:pStyle w:val="Cita"/>
      </w:pPr>
      <w:r w:rsidRPr="00566647">
        <w:t>Debe decir: "</w:t>
      </w:r>
      <w:proofErr w:type="spellStart"/>
      <w:r w:rsidRPr="00566647">
        <w:rPr>
          <w:b/>
        </w:rPr>
        <w:t>Handset</w:t>
      </w:r>
      <w:proofErr w:type="spellEnd"/>
      <w:r w:rsidRPr="00566647">
        <w:t>"</w:t>
      </w:r>
      <w:r w:rsidR="001B1EBB" w:rsidRPr="001B1EBB">
        <w:t>»</w:t>
      </w:r>
    </w:p>
    <w:p w14:paraId="36B451BC" w14:textId="77777777" w:rsidR="00CD0491" w:rsidRPr="00566647" w:rsidRDefault="00CD0491" w:rsidP="0030792F">
      <w:pPr>
        <w:rPr>
          <w:sz w:val="22"/>
          <w:u w:val="single"/>
        </w:rPr>
      </w:pPr>
      <w:r w:rsidRPr="00566647">
        <w:rPr>
          <w:sz w:val="22"/>
          <w:u w:val="single"/>
        </w:rPr>
        <w:t>Respuesta:</w:t>
      </w:r>
    </w:p>
    <w:p w14:paraId="3EB072B0" w14:textId="77777777" w:rsidR="00772573" w:rsidRPr="00566647" w:rsidRDefault="00772573" w:rsidP="0030792F">
      <w:pPr>
        <w:pStyle w:val="Textocomentario"/>
        <w:jc w:val="both"/>
        <w:rPr>
          <w:sz w:val="22"/>
          <w:szCs w:val="22"/>
        </w:rPr>
      </w:pPr>
      <w:r w:rsidRPr="00566647">
        <w:rPr>
          <w:sz w:val="22"/>
          <w:szCs w:val="22"/>
        </w:rPr>
        <w:t>Se considera y se realizan las modificaciones correspondientes.</w:t>
      </w:r>
    </w:p>
    <w:p w14:paraId="122C982A" w14:textId="77777777" w:rsidR="00CD0491" w:rsidRPr="00566647" w:rsidRDefault="00CD0491" w:rsidP="0030792F">
      <w:pPr>
        <w:rPr>
          <w:sz w:val="22"/>
          <w:lang w:val="es-ES_tradnl"/>
        </w:rPr>
      </w:pPr>
    </w:p>
    <w:p w14:paraId="53D64F02" w14:textId="77777777" w:rsidR="00772573" w:rsidRPr="00566647" w:rsidRDefault="00772573" w:rsidP="0030792F">
      <w:pPr>
        <w:rPr>
          <w:sz w:val="22"/>
          <w:u w:val="single"/>
          <w:lang w:val="es-ES_tradnl"/>
        </w:rPr>
      </w:pPr>
      <w:r w:rsidRPr="00566647">
        <w:rPr>
          <w:sz w:val="22"/>
          <w:u w:val="single"/>
          <w:lang w:val="es-ES_tradnl"/>
        </w:rPr>
        <w:t>Participante:</w:t>
      </w:r>
    </w:p>
    <w:p w14:paraId="5FA1F211" w14:textId="77777777" w:rsidR="00772573" w:rsidRPr="00566647" w:rsidRDefault="00772573" w:rsidP="0030792F">
      <w:pPr>
        <w:rPr>
          <w:sz w:val="22"/>
          <w:lang w:val="es-ES_tradnl"/>
        </w:rPr>
      </w:pPr>
      <w:r w:rsidRPr="00566647">
        <w:rPr>
          <w:sz w:val="22"/>
          <w:lang w:val="es-ES_tradnl"/>
        </w:rPr>
        <w:t>NYCE</w:t>
      </w:r>
    </w:p>
    <w:p w14:paraId="62D0570E" w14:textId="77777777" w:rsidR="00772573" w:rsidRPr="00566647" w:rsidRDefault="00772573" w:rsidP="0030792F">
      <w:pPr>
        <w:rPr>
          <w:sz w:val="22"/>
          <w:u w:val="single"/>
          <w:lang w:val="es-ES_tradnl"/>
        </w:rPr>
      </w:pPr>
      <w:r w:rsidRPr="00566647">
        <w:rPr>
          <w:sz w:val="22"/>
          <w:u w:val="single"/>
          <w:lang w:val="es-ES_tradnl"/>
        </w:rPr>
        <w:t>Propuesta:</w:t>
      </w:r>
    </w:p>
    <w:p w14:paraId="6DA8AEF7" w14:textId="28B6404A" w:rsidR="00772573" w:rsidRPr="00566647" w:rsidRDefault="001B1EBB" w:rsidP="001B1EBB">
      <w:pPr>
        <w:pStyle w:val="Cita"/>
      </w:pPr>
      <w:r w:rsidRPr="001B1EBB">
        <w:t>«</w:t>
      </w:r>
      <w:r w:rsidR="00772573" w:rsidRPr="00566647">
        <w:t xml:space="preserve">El título </w:t>
      </w:r>
      <w:r>
        <w:t xml:space="preserve">[del numeral 5.2] </w:t>
      </w:r>
      <w:r w:rsidR="00772573" w:rsidRPr="00566647">
        <w:t>denota un método de medición para DCI que se usan en el cuerpo, mientras que objetivo y el campo de aplicación establecen que estos dispositivos se utilizan a una distancia igual o menor a 200mm del cuerpo humano, es necesario aclarar o acotar el título de 5.2.</w:t>
      </w:r>
      <w:r w:rsidRPr="001B1EBB">
        <w:t>»</w:t>
      </w:r>
    </w:p>
    <w:p w14:paraId="7B4D35BC" w14:textId="77777777" w:rsidR="00772573" w:rsidRPr="00566647" w:rsidRDefault="00772573" w:rsidP="0030792F">
      <w:pPr>
        <w:rPr>
          <w:sz w:val="22"/>
          <w:u w:val="single"/>
          <w:lang w:val="es-ES_tradnl"/>
        </w:rPr>
      </w:pPr>
      <w:r w:rsidRPr="00566647">
        <w:rPr>
          <w:sz w:val="22"/>
          <w:u w:val="single"/>
          <w:lang w:val="es-ES_tradnl"/>
        </w:rPr>
        <w:t>Respuesta:</w:t>
      </w:r>
    </w:p>
    <w:p w14:paraId="5C135ED0" w14:textId="77777777" w:rsidR="00772573" w:rsidRPr="00566647" w:rsidRDefault="00772573" w:rsidP="0030792F">
      <w:pPr>
        <w:pStyle w:val="Textocomentario"/>
        <w:jc w:val="both"/>
        <w:rPr>
          <w:sz w:val="22"/>
          <w:szCs w:val="22"/>
        </w:rPr>
      </w:pPr>
      <w:r w:rsidRPr="00566647">
        <w:rPr>
          <w:sz w:val="22"/>
          <w:szCs w:val="22"/>
        </w:rPr>
        <w:t>Se considera y se realizan las modificaciones correspondientes al numeral 5.2.</w:t>
      </w:r>
    </w:p>
    <w:p w14:paraId="6E293298" w14:textId="77777777" w:rsidR="00772573" w:rsidRPr="00566647" w:rsidRDefault="00772573" w:rsidP="0030792F">
      <w:pPr>
        <w:rPr>
          <w:sz w:val="22"/>
          <w:lang w:val="es-ES_tradnl"/>
        </w:rPr>
      </w:pPr>
    </w:p>
    <w:p w14:paraId="3D86D3AD" w14:textId="77777777" w:rsidR="00A21CF7" w:rsidRPr="00566647" w:rsidRDefault="00A21CF7" w:rsidP="0030792F">
      <w:pPr>
        <w:rPr>
          <w:sz w:val="22"/>
          <w:u w:val="single"/>
          <w:lang w:val="es-ES_tradnl"/>
        </w:rPr>
      </w:pPr>
      <w:r w:rsidRPr="00566647">
        <w:rPr>
          <w:sz w:val="22"/>
          <w:u w:val="single"/>
          <w:lang w:val="es-ES_tradnl"/>
        </w:rPr>
        <w:t>Participante:</w:t>
      </w:r>
    </w:p>
    <w:p w14:paraId="78736165" w14:textId="77777777" w:rsidR="00A21CF7" w:rsidRPr="00566647" w:rsidRDefault="00A21CF7" w:rsidP="0030792F">
      <w:pPr>
        <w:rPr>
          <w:sz w:val="22"/>
          <w:lang w:val="es-ES_tradnl"/>
        </w:rPr>
      </w:pPr>
      <w:r w:rsidRPr="00566647">
        <w:rPr>
          <w:sz w:val="22"/>
          <w:lang w:val="es-ES_tradnl"/>
        </w:rPr>
        <w:t>NYCE</w:t>
      </w:r>
    </w:p>
    <w:p w14:paraId="7D6C5FD1" w14:textId="77777777" w:rsidR="00A21CF7" w:rsidRPr="00566647" w:rsidRDefault="00A21CF7" w:rsidP="0030792F">
      <w:pPr>
        <w:rPr>
          <w:sz w:val="22"/>
          <w:u w:val="single"/>
          <w:lang w:val="es-ES_tradnl"/>
        </w:rPr>
      </w:pPr>
      <w:r w:rsidRPr="00566647">
        <w:rPr>
          <w:sz w:val="22"/>
          <w:u w:val="single"/>
          <w:lang w:val="es-ES_tradnl"/>
        </w:rPr>
        <w:t>Propuesta:</w:t>
      </w:r>
    </w:p>
    <w:p w14:paraId="41A4C625" w14:textId="14732477" w:rsidR="00A21CF7" w:rsidRPr="00566647" w:rsidRDefault="001B1EBB" w:rsidP="001B1EBB">
      <w:pPr>
        <w:pStyle w:val="Cita"/>
        <w:rPr>
          <w:lang w:val="es-ES_tradnl"/>
        </w:rPr>
      </w:pPr>
      <w:r w:rsidRPr="001B1EBB">
        <w:rPr>
          <w:lang w:val="es-ES_tradnl"/>
        </w:rPr>
        <w:t>«</w:t>
      </w:r>
      <w:r w:rsidR="00A21CF7" w:rsidRPr="00566647">
        <w:rPr>
          <w:lang w:val="es-ES_tradnl"/>
        </w:rPr>
        <w:t xml:space="preserve">Pregunta: </w:t>
      </w:r>
      <w:proofErr w:type="gramStart"/>
      <w:r w:rsidR="00A21CF7" w:rsidRPr="00566647">
        <w:rPr>
          <w:lang w:val="es-ES_tradnl"/>
        </w:rPr>
        <w:t>¿Los teléfonos móviles se deben probar conforme a 5.</w:t>
      </w:r>
      <w:proofErr w:type="gramEnd"/>
      <w:r w:rsidR="00A21CF7" w:rsidRPr="00566647">
        <w:rPr>
          <w:lang w:val="es-ES_tradnl"/>
        </w:rPr>
        <w:t>1 y a 5.2 y 5.2.7.9?</w:t>
      </w:r>
    </w:p>
    <w:p w14:paraId="69523E99" w14:textId="77777777" w:rsidR="00A21CF7" w:rsidRPr="00566647" w:rsidRDefault="00A21CF7" w:rsidP="001B1EBB">
      <w:pPr>
        <w:pStyle w:val="Cita"/>
        <w:rPr>
          <w:lang w:val="es-ES_tradnl"/>
        </w:rPr>
      </w:pPr>
      <w:r w:rsidRPr="00566647">
        <w:rPr>
          <w:lang w:val="es-ES_tradnl"/>
        </w:rPr>
        <w:lastRenderedPageBreak/>
        <w:t>El apartado 5.1 se refiere principalmente a este tipo de dispositivos y los apartados 5.2.7.3 y 5.2.7.9 también los mencionan.</w:t>
      </w:r>
    </w:p>
    <w:p w14:paraId="13386686" w14:textId="5496ED29" w:rsidR="00A21CF7" w:rsidRPr="00566647" w:rsidRDefault="00A21CF7" w:rsidP="001B1EBB">
      <w:pPr>
        <w:pStyle w:val="Cita"/>
        <w:rPr>
          <w:lang w:val="es-ES_tradnl"/>
        </w:rPr>
      </w:pPr>
      <w:r w:rsidRPr="00566647">
        <w:rPr>
          <w:lang w:val="es-ES_tradnl"/>
        </w:rPr>
        <w:t xml:space="preserve">De ser el caso se debe aclarar lo conducente. Sugerimos que sólo se mida el uso previsto que pudiera arrojar los mayores niveles de SAR, se entiende </w:t>
      </w:r>
      <w:proofErr w:type="gramStart"/>
      <w:r w:rsidRPr="00566647">
        <w:rPr>
          <w:lang w:val="es-ES_tradnl"/>
        </w:rPr>
        <w:t>que</w:t>
      </w:r>
      <w:proofErr w:type="gramEnd"/>
      <w:r w:rsidRPr="00566647">
        <w:rPr>
          <w:lang w:val="es-ES_tradnl"/>
        </w:rPr>
        <w:t xml:space="preserve"> si se cumple con esa condición, el resto también las estaría cumpliendo. Esta situación, debe acla</w:t>
      </w:r>
      <w:r w:rsidR="001B1EBB">
        <w:rPr>
          <w:lang w:val="es-ES_tradnl"/>
        </w:rPr>
        <w:t>rar con mayor fuerza en 5.2.8.3</w:t>
      </w:r>
      <w:r w:rsidR="001B1EBB" w:rsidRPr="001B1EBB">
        <w:rPr>
          <w:lang w:val="es-ES_tradnl"/>
        </w:rPr>
        <w:t>»</w:t>
      </w:r>
    </w:p>
    <w:p w14:paraId="75C1EE94" w14:textId="77777777" w:rsidR="00A21CF7" w:rsidRPr="00566647" w:rsidRDefault="00A21CF7" w:rsidP="0030792F">
      <w:pPr>
        <w:rPr>
          <w:sz w:val="22"/>
          <w:u w:val="single"/>
          <w:lang w:val="es-ES_tradnl"/>
        </w:rPr>
      </w:pPr>
      <w:r w:rsidRPr="00566647">
        <w:rPr>
          <w:sz w:val="22"/>
          <w:u w:val="single"/>
          <w:lang w:val="es-ES_tradnl"/>
        </w:rPr>
        <w:t>Respuesta:</w:t>
      </w:r>
    </w:p>
    <w:p w14:paraId="2BEAA40B" w14:textId="09DE95BD" w:rsidR="00A21CF7" w:rsidRPr="00566647" w:rsidRDefault="00A21CF7" w:rsidP="0030792F">
      <w:pPr>
        <w:pStyle w:val="Textocomentario"/>
        <w:jc w:val="both"/>
        <w:rPr>
          <w:sz w:val="22"/>
          <w:szCs w:val="22"/>
        </w:rPr>
      </w:pPr>
      <w:r w:rsidRPr="00566647">
        <w:rPr>
          <w:sz w:val="22"/>
          <w:szCs w:val="22"/>
        </w:rPr>
        <w:t xml:space="preserve">Los equipos móviles se deben probar conforme a 5.1 </w:t>
      </w:r>
      <w:r w:rsidR="001F72EC" w:rsidRPr="00566647">
        <w:rPr>
          <w:sz w:val="22"/>
          <w:szCs w:val="22"/>
        </w:rPr>
        <w:t xml:space="preserve">MÉTODO DE PRUEBA PARA EL CUMPLIMIENTO DE LOS LÍMITES MÁXIMOS DE EMISIONES RADIOELÉCTRICAS NO IONIZANTES. ÍNDICE DE ABSORCIÓN ESPECÍFICA (SAR) EN DCI QUE SE USAN EN LA CABEZA PARTICULARMENTE CERCA DEL OÍDO tomando en cuenta </w:t>
      </w:r>
      <w:r w:rsidRPr="00566647">
        <w:rPr>
          <w:sz w:val="22"/>
          <w:szCs w:val="22"/>
        </w:rPr>
        <w:t>el manual de usuario</w:t>
      </w:r>
      <w:r w:rsidR="001F72EC" w:rsidRPr="00566647">
        <w:rPr>
          <w:sz w:val="22"/>
          <w:szCs w:val="22"/>
        </w:rPr>
        <w:t>, donde se</w:t>
      </w:r>
      <w:r w:rsidRPr="00566647">
        <w:rPr>
          <w:sz w:val="22"/>
          <w:szCs w:val="22"/>
        </w:rPr>
        <w:t xml:space="preserve"> establece</w:t>
      </w:r>
      <w:r w:rsidR="001F72EC" w:rsidRPr="00566647">
        <w:rPr>
          <w:sz w:val="22"/>
          <w:szCs w:val="22"/>
        </w:rPr>
        <w:t xml:space="preserve">n los </w:t>
      </w:r>
      <w:r w:rsidRPr="00566647">
        <w:rPr>
          <w:sz w:val="22"/>
          <w:szCs w:val="22"/>
        </w:rPr>
        <w:t>diversos usos previstos.</w:t>
      </w:r>
    </w:p>
    <w:p w14:paraId="63A412A2" w14:textId="77777777" w:rsidR="00A21CF7" w:rsidRPr="00566647" w:rsidRDefault="00A21CF7" w:rsidP="0030792F">
      <w:pPr>
        <w:rPr>
          <w:sz w:val="22"/>
        </w:rPr>
      </w:pPr>
    </w:p>
    <w:p w14:paraId="286BCC7C" w14:textId="77777777" w:rsidR="00A21CF7" w:rsidRPr="00566647" w:rsidRDefault="00A21CF7" w:rsidP="0030792F">
      <w:pPr>
        <w:rPr>
          <w:sz w:val="22"/>
          <w:u w:val="single"/>
          <w:lang w:val="es-ES_tradnl"/>
        </w:rPr>
      </w:pPr>
      <w:r w:rsidRPr="00566647">
        <w:rPr>
          <w:sz w:val="22"/>
          <w:u w:val="single"/>
          <w:lang w:val="es-ES_tradnl"/>
        </w:rPr>
        <w:t>Participante:</w:t>
      </w:r>
    </w:p>
    <w:p w14:paraId="4A907FA5" w14:textId="77777777" w:rsidR="00A21CF7" w:rsidRPr="00566647" w:rsidRDefault="00A21CF7" w:rsidP="0030792F">
      <w:pPr>
        <w:rPr>
          <w:sz w:val="22"/>
          <w:lang w:val="es-ES_tradnl"/>
        </w:rPr>
      </w:pPr>
      <w:r w:rsidRPr="00566647">
        <w:rPr>
          <w:sz w:val="22"/>
          <w:lang w:val="es-ES_tradnl"/>
        </w:rPr>
        <w:t>ANATEL</w:t>
      </w:r>
    </w:p>
    <w:p w14:paraId="247DCB8A" w14:textId="77777777" w:rsidR="00A21CF7" w:rsidRPr="00566647" w:rsidRDefault="00A21CF7" w:rsidP="0030792F">
      <w:pPr>
        <w:rPr>
          <w:sz w:val="22"/>
          <w:u w:val="single"/>
          <w:lang w:val="es-ES_tradnl"/>
        </w:rPr>
      </w:pPr>
      <w:r w:rsidRPr="00566647">
        <w:rPr>
          <w:sz w:val="22"/>
          <w:u w:val="single"/>
          <w:lang w:val="es-ES_tradnl"/>
        </w:rPr>
        <w:t>Propuesta:</w:t>
      </w:r>
    </w:p>
    <w:p w14:paraId="08F62482" w14:textId="4625FE1A" w:rsidR="00A21CF7" w:rsidRPr="00566647" w:rsidRDefault="001B1EBB" w:rsidP="001B1EBB">
      <w:pPr>
        <w:pStyle w:val="Cita"/>
      </w:pPr>
      <w:r w:rsidRPr="001B1EBB">
        <w:t>«</w:t>
      </w:r>
      <w:r w:rsidR="00A21CF7" w:rsidRPr="00566647">
        <w:t xml:space="preserve">Se propone eliminar </w:t>
      </w:r>
      <w:r w:rsidR="001F72EC" w:rsidRPr="00566647">
        <w:t xml:space="preserve">toda la sección 5.2.7.6., </w:t>
      </w:r>
      <w:r w:rsidR="00A21CF7" w:rsidRPr="00566647">
        <w:t>puesto que los dispositivos de escritorio como computadoras se ubican a más de 20 cm de distancia de las antenas o módulos de radio frecuencia en su uso normal y no deben ser regulados. Se debe evitar realizar pruebas no necesarias y cargar de trabajo a los laboratorios.</w:t>
      </w:r>
      <w:r w:rsidRPr="001B1EBB">
        <w:t>»</w:t>
      </w:r>
    </w:p>
    <w:p w14:paraId="65E34B9E" w14:textId="77777777" w:rsidR="00A21CF7" w:rsidRPr="00566647" w:rsidRDefault="00A21CF7" w:rsidP="0030792F">
      <w:pPr>
        <w:rPr>
          <w:sz w:val="22"/>
          <w:u w:val="single"/>
          <w:lang w:val="es-ES_tradnl"/>
        </w:rPr>
      </w:pPr>
      <w:r w:rsidRPr="00566647">
        <w:rPr>
          <w:sz w:val="22"/>
          <w:u w:val="single"/>
          <w:lang w:val="es-ES_tradnl"/>
        </w:rPr>
        <w:t>Respuesta:</w:t>
      </w:r>
    </w:p>
    <w:p w14:paraId="5BD8D5AC" w14:textId="1B43BDFA" w:rsidR="00A21CF7" w:rsidRPr="00566647" w:rsidRDefault="00A21CF7" w:rsidP="0030792F">
      <w:pPr>
        <w:pStyle w:val="Textocomentario"/>
        <w:jc w:val="both"/>
        <w:rPr>
          <w:sz w:val="22"/>
          <w:szCs w:val="22"/>
        </w:rPr>
      </w:pPr>
      <w:r w:rsidRPr="00566647">
        <w:rPr>
          <w:sz w:val="22"/>
          <w:szCs w:val="22"/>
        </w:rPr>
        <w:t xml:space="preserve">No se considera, lo anterior deberá ser analizado por el laboratorio </w:t>
      </w:r>
      <w:r w:rsidR="001F72EC" w:rsidRPr="00566647">
        <w:rPr>
          <w:sz w:val="22"/>
          <w:szCs w:val="22"/>
        </w:rPr>
        <w:t xml:space="preserve">de prueba tomando en cuenta </w:t>
      </w:r>
      <w:r w:rsidRPr="00566647">
        <w:rPr>
          <w:sz w:val="22"/>
          <w:szCs w:val="22"/>
        </w:rPr>
        <w:t>del manual de usuario y el uso previsto de los referidos equipos.</w:t>
      </w:r>
    </w:p>
    <w:p w14:paraId="288A0931" w14:textId="77777777" w:rsidR="00772573" w:rsidRPr="00566647" w:rsidRDefault="00772573" w:rsidP="0030792F">
      <w:pPr>
        <w:rPr>
          <w:sz w:val="22"/>
          <w:lang w:val="es-ES_tradnl"/>
        </w:rPr>
      </w:pPr>
    </w:p>
    <w:p w14:paraId="528F713F" w14:textId="77777777" w:rsidR="00894641" w:rsidRPr="00566647" w:rsidRDefault="00894641" w:rsidP="0030792F">
      <w:pPr>
        <w:rPr>
          <w:sz w:val="22"/>
          <w:u w:val="single"/>
          <w:lang w:val="es-ES_tradnl"/>
        </w:rPr>
      </w:pPr>
      <w:r w:rsidRPr="00566647">
        <w:rPr>
          <w:sz w:val="22"/>
          <w:u w:val="single"/>
          <w:lang w:val="es-ES_tradnl"/>
        </w:rPr>
        <w:t>Participante:</w:t>
      </w:r>
    </w:p>
    <w:p w14:paraId="63F84C8F" w14:textId="77777777" w:rsidR="00894641" w:rsidRPr="00566647" w:rsidRDefault="00894641" w:rsidP="0030792F">
      <w:pPr>
        <w:rPr>
          <w:sz w:val="22"/>
          <w:lang w:val="es-ES_tradnl"/>
        </w:rPr>
      </w:pPr>
      <w:r w:rsidRPr="00566647">
        <w:rPr>
          <w:sz w:val="22"/>
          <w:lang w:val="es-ES_tradnl"/>
        </w:rPr>
        <w:t>NYCE</w:t>
      </w:r>
    </w:p>
    <w:p w14:paraId="479DFF83" w14:textId="77777777" w:rsidR="00894641" w:rsidRPr="00566647" w:rsidRDefault="00894641" w:rsidP="0030792F">
      <w:pPr>
        <w:rPr>
          <w:sz w:val="22"/>
          <w:u w:val="single"/>
          <w:lang w:val="es-ES_tradnl"/>
        </w:rPr>
      </w:pPr>
      <w:r w:rsidRPr="00566647">
        <w:rPr>
          <w:sz w:val="22"/>
          <w:u w:val="single"/>
          <w:lang w:val="es-ES_tradnl"/>
        </w:rPr>
        <w:t>Propuesta:</w:t>
      </w:r>
    </w:p>
    <w:p w14:paraId="13601E35" w14:textId="14D5FE9C" w:rsidR="00894641" w:rsidRPr="00566647" w:rsidRDefault="001B1EBB" w:rsidP="001B1EBB">
      <w:pPr>
        <w:pStyle w:val="Cita"/>
        <w:rPr>
          <w:lang w:val="es-ES_tradnl"/>
        </w:rPr>
      </w:pPr>
      <w:r w:rsidRPr="001B1EBB">
        <w:rPr>
          <w:lang w:val="es-ES_tradnl"/>
        </w:rPr>
        <w:t>«</w:t>
      </w:r>
      <w:r w:rsidR="00894641" w:rsidRPr="00566647">
        <w:rPr>
          <w:lang w:val="es-ES_tradnl"/>
        </w:rPr>
        <w:t xml:space="preserve">Se sugiere que esta manera de forma de transmisión de </w:t>
      </w:r>
      <w:proofErr w:type="spellStart"/>
      <w:r w:rsidR="00894641" w:rsidRPr="00566647">
        <w:rPr>
          <w:lang w:val="es-ES_tradnl"/>
        </w:rPr>
        <w:t>multibanda</w:t>
      </w:r>
      <w:proofErr w:type="spellEnd"/>
      <w:r w:rsidR="00894641" w:rsidRPr="00566647">
        <w:rPr>
          <w:lang w:val="es-ES_tradnl"/>
        </w:rPr>
        <w:t xml:space="preserve">, también sea considerada de manera dentro del apartado, 5.2.8.2.1, "Reducción de pruebas". Como ya se mencionó anteriormente, consideramos que sería suficiente con que se encuentre y se mida, la condición en la que se en </w:t>
      </w:r>
      <w:r w:rsidR="005A4103" w:rsidRPr="00566647">
        <w:rPr>
          <w:lang w:val="es-ES_tradnl"/>
        </w:rPr>
        <w:t>en</w:t>
      </w:r>
      <w:r w:rsidR="00894641" w:rsidRPr="00566647">
        <w:rPr>
          <w:lang w:val="es-ES_tradnl"/>
        </w:rPr>
        <w:t>cuentre el mayor SAR, de esa manera se reducirán los costos y los recursos que se empleen en la evaluación de los DI en el alcance del proyecto de DT</w:t>
      </w:r>
      <w:r>
        <w:rPr>
          <w:lang w:val="es-ES_tradnl"/>
        </w:rPr>
        <w:t>.</w:t>
      </w:r>
      <w:r w:rsidRPr="001B1EBB">
        <w:rPr>
          <w:lang w:val="es-ES_tradnl"/>
        </w:rPr>
        <w:t>»</w:t>
      </w:r>
    </w:p>
    <w:p w14:paraId="69739405" w14:textId="77777777" w:rsidR="00894641" w:rsidRPr="00566647" w:rsidRDefault="00894641" w:rsidP="0030792F">
      <w:pPr>
        <w:rPr>
          <w:sz w:val="22"/>
          <w:u w:val="single"/>
          <w:lang w:val="es-ES_tradnl"/>
        </w:rPr>
      </w:pPr>
      <w:r w:rsidRPr="00566647">
        <w:rPr>
          <w:sz w:val="22"/>
          <w:u w:val="single"/>
          <w:lang w:val="es-ES_tradnl"/>
        </w:rPr>
        <w:t>Respuesta:</w:t>
      </w:r>
    </w:p>
    <w:p w14:paraId="12026992" w14:textId="3C44A7CF" w:rsidR="00894641" w:rsidRPr="00566647" w:rsidRDefault="00894641" w:rsidP="0030792F">
      <w:pPr>
        <w:rPr>
          <w:sz w:val="22"/>
        </w:rPr>
      </w:pPr>
      <w:r w:rsidRPr="00566647">
        <w:rPr>
          <w:sz w:val="22"/>
        </w:rPr>
        <w:lastRenderedPageBreak/>
        <w:t>No se considera, en virtud de que no se tiene certeza sobre si en un</w:t>
      </w:r>
      <w:r w:rsidR="006B3788" w:rsidRPr="00566647">
        <w:rPr>
          <w:sz w:val="22"/>
        </w:rPr>
        <w:t>a</w:t>
      </w:r>
      <w:r w:rsidRPr="00566647">
        <w:rPr>
          <w:sz w:val="22"/>
        </w:rPr>
        <w:t xml:space="preserve"> sol</w:t>
      </w:r>
      <w:r w:rsidR="006B3788" w:rsidRPr="00566647">
        <w:rPr>
          <w:sz w:val="22"/>
        </w:rPr>
        <w:t>a</w:t>
      </w:r>
      <w:r w:rsidRPr="00566647">
        <w:rPr>
          <w:sz w:val="22"/>
        </w:rPr>
        <w:t xml:space="preserve"> banda se pueda encontrar el máximo nivel de SAR</w:t>
      </w:r>
      <w:r w:rsidR="006B3788" w:rsidRPr="00566647">
        <w:rPr>
          <w:sz w:val="22"/>
        </w:rPr>
        <w:t>;</w:t>
      </w:r>
      <w:r w:rsidRPr="00566647">
        <w:rPr>
          <w:sz w:val="22"/>
        </w:rPr>
        <w:t xml:space="preserve"> sin embargo</w:t>
      </w:r>
      <w:r w:rsidR="0030792F">
        <w:rPr>
          <w:sz w:val="22"/>
        </w:rPr>
        <w:t>,</w:t>
      </w:r>
      <w:r w:rsidRPr="00566647">
        <w:rPr>
          <w:sz w:val="22"/>
        </w:rPr>
        <w:t xml:space="preserve"> se </w:t>
      </w:r>
      <w:r w:rsidR="00151D45">
        <w:rPr>
          <w:sz w:val="22"/>
        </w:rPr>
        <w:t>establece</w:t>
      </w:r>
      <w:r w:rsidR="00151D45" w:rsidRPr="00566647">
        <w:rPr>
          <w:sz w:val="22"/>
        </w:rPr>
        <w:t xml:space="preserve"> </w:t>
      </w:r>
      <w:r w:rsidR="00151D45">
        <w:rPr>
          <w:sz w:val="22"/>
        </w:rPr>
        <w:t xml:space="preserve">que el DCI deberá </w:t>
      </w:r>
      <w:r w:rsidRPr="00566647">
        <w:rPr>
          <w:sz w:val="22"/>
        </w:rPr>
        <w:t xml:space="preserve">evaluar </w:t>
      </w:r>
      <w:r w:rsidR="006B3788" w:rsidRPr="00566647">
        <w:rPr>
          <w:sz w:val="22"/>
        </w:rPr>
        <w:t xml:space="preserve">únicamente </w:t>
      </w:r>
      <w:r w:rsidR="00151D45">
        <w:rPr>
          <w:sz w:val="22"/>
        </w:rPr>
        <w:t xml:space="preserve">en </w:t>
      </w:r>
      <w:r w:rsidRPr="00566647">
        <w:rPr>
          <w:sz w:val="22"/>
        </w:rPr>
        <w:t>las bandas de frecuencias en las que oper</w:t>
      </w:r>
      <w:bookmarkStart w:id="0" w:name="_GoBack"/>
      <w:r w:rsidR="00151D45">
        <w:rPr>
          <w:sz w:val="22"/>
        </w:rPr>
        <w:t>e</w:t>
      </w:r>
      <w:bookmarkEnd w:id="0"/>
      <w:r w:rsidRPr="00566647">
        <w:rPr>
          <w:sz w:val="22"/>
        </w:rPr>
        <w:t xml:space="preserve"> en México.</w:t>
      </w:r>
    </w:p>
    <w:p w14:paraId="0198D325" w14:textId="77777777" w:rsidR="00772573" w:rsidRPr="00566647" w:rsidRDefault="00772573" w:rsidP="0030792F">
      <w:pPr>
        <w:rPr>
          <w:sz w:val="22"/>
          <w:lang w:val="es-ES_tradnl"/>
        </w:rPr>
      </w:pPr>
    </w:p>
    <w:p w14:paraId="5EE8E265" w14:textId="77777777" w:rsidR="00894641" w:rsidRPr="00566647" w:rsidRDefault="00894641" w:rsidP="0030792F">
      <w:pPr>
        <w:rPr>
          <w:sz w:val="22"/>
          <w:u w:val="single"/>
          <w:lang w:val="es-ES_tradnl"/>
        </w:rPr>
      </w:pPr>
      <w:r w:rsidRPr="00566647">
        <w:rPr>
          <w:sz w:val="22"/>
          <w:u w:val="single"/>
          <w:lang w:val="es-ES_tradnl"/>
        </w:rPr>
        <w:t>Participante:</w:t>
      </w:r>
    </w:p>
    <w:p w14:paraId="27422020" w14:textId="77777777" w:rsidR="00894641" w:rsidRPr="00566647" w:rsidRDefault="00894641" w:rsidP="0030792F">
      <w:pPr>
        <w:rPr>
          <w:sz w:val="22"/>
          <w:lang w:val="es-ES_tradnl"/>
        </w:rPr>
      </w:pPr>
      <w:r w:rsidRPr="00566647">
        <w:rPr>
          <w:sz w:val="22"/>
          <w:lang w:val="es-ES_tradnl"/>
        </w:rPr>
        <w:t>NYCE</w:t>
      </w:r>
    </w:p>
    <w:p w14:paraId="2ED72BFD" w14:textId="77777777" w:rsidR="00894641" w:rsidRPr="00566647" w:rsidRDefault="00894641" w:rsidP="0030792F">
      <w:pPr>
        <w:rPr>
          <w:sz w:val="22"/>
          <w:u w:val="single"/>
          <w:lang w:val="es-ES_tradnl"/>
        </w:rPr>
      </w:pPr>
      <w:r w:rsidRPr="00566647">
        <w:rPr>
          <w:sz w:val="22"/>
          <w:u w:val="single"/>
          <w:lang w:val="es-ES_tradnl"/>
        </w:rPr>
        <w:t>Propuesta:</w:t>
      </w:r>
    </w:p>
    <w:p w14:paraId="0FBF63E0" w14:textId="552DDB52" w:rsidR="00894641" w:rsidRPr="00566647" w:rsidRDefault="001B1EBB" w:rsidP="001B1EBB">
      <w:pPr>
        <w:pStyle w:val="Cita"/>
        <w:rPr>
          <w:lang w:val="es-ES_tradnl"/>
        </w:rPr>
      </w:pPr>
      <w:r w:rsidRPr="001B1EBB">
        <w:rPr>
          <w:lang w:val="es-ES_tradnl"/>
        </w:rPr>
        <w:t>«</w:t>
      </w:r>
      <w:r w:rsidR="00894641" w:rsidRPr="00566647">
        <w:rPr>
          <w:lang w:val="es-ES_tradnl"/>
        </w:rPr>
        <w:t>En este apartado, pero particularmente en la fracción XXXI de definición es una definición por separado de, "laboratorio de pruebas", se debe aclarar que su acreditación y autorización debe ser conforme a la norma internacional ISO/IEC 17025:2005 o su equivalente nacional o las que las sustituyan.</w:t>
      </w:r>
      <w:r w:rsidRPr="001B1EBB">
        <w:rPr>
          <w:lang w:val="es-ES_tradnl"/>
        </w:rPr>
        <w:t>»</w:t>
      </w:r>
    </w:p>
    <w:p w14:paraId="3C674F7C" w14:textId="77777777" w:rsidR="00894641" w:rsidRPr="00566647" w:rsidRDefault="00894641" w:rsidP="0030792F">
      <w:pPr>
        <w:rPr>
          <w:sz w:val="22"/>
          <w:u w:val="single"/>
          <w:lang w:val="es-ES_tradnl"/>
        </w:rPr>
      </w:pPr>
      <w:r w:rsidRPr="00566647">
        <w:rPr>
          <w:sz w:val="22"/>
          <w:u w:val="single"/>
          <w:lang w:val="es-ES_tradnl"/>
        </w:rPr>
        <w:t>Respuesta:</w:t>
      </w:r>
    </w:p>
    <w:p w14:paraId="626109FB" w14:textId="366C452D" w:rsidR="00894641" w:rsidRPr="00566647" w:rsidRDefault="00894641" w:rsidP="0030792F">
      <w:pPr>
        <w:pStyle w:val="Textocomentario"/>
        <w:jc w:val="both"/>
        <w:rPr>
          <w:sz w:val="22"/>
          <w:szCs w:val="22"/>
        </w:rPr>
      </w:pPr>
      <w:r w:rsidRPr="00566647">
        <w:rPr>
          <w:sz w:val="22"/>
          <w:szCs w:val="22"/>
        </w:rPr>
        <w:t>Se considera parcialmente</w:t>
      </w:r>
      <w:r w:rsidR="005A4103" w:rsidRPr="00566647">
        <w:rPr>
          <w:sz w:val="22"/>
          <w:szCs w:val="22"/>
        </w:rPr>
        <w:t xml:space="preserve">, </w:t>
      </w:r>
      <w:r w:rsidRPr="00566647">
        <w:rPr>
          <w:sz w:val="22"/>
          <w:szCs w:val="22"/>
        </w:rPr>
        <w:t xml:space="preserve">se establece en </w:t>
      </w:r>
      <w:r w:rsidR="005A4103" w:rsidRPr="00566647">
        <w:rPr>
          <w:sz w:val="22"/>
          <w:szCs w:val="22"/>
        </w:rPr>
        <w:t>el apartado de D</w:t>
      </w:r>
      <w:r w:rsidRPr="00566647">
        <w:rPr>
          <w:sz w:val="22"/>
          <w:szCs w:val="22"/>
        </w:rPr>
        <w:t xml:space="preserve">efiniciones </w:t>
      </w:r>
      <w:r w:rsidR="006B3788" w:rsidRPr="00566647">
        <w:rPr>
          <w:sz w:val="22"/>
          <w:szCs w:val="22"/>
        </w:rPr>
        <w:t xml:space="preserve">del presente </w:t>
      </w:r>
      <w:r w:rsidR="00976034">
        <w:rPr>
          <w:sz w:val="22"/>
          <w:szCs w:val="22"/>
        </w:rPr>
        <w:t>Anteproyecto</w:t>
      </w:r>
      <w:r w:rsidR="006B3788" w:rsidRPr="00566647">
        <w:rPr>
          <w:sz w:val="22"/>
          <w:szCs w:val="22"/>
        </w:rPr>
        <w:t xml:space="preserve"> </w:t>
      </w:r>
      <w:r w:rsidRPr="00566647">
        <w:rPr>
          <w:sz w:val="22"/>
          <w:szCs w:val="22"/>
        </w:rPr>
        <w:t>la correspondiente a</w:t>
      </w:r>
      <w:r w:rsidR="005A4103" w:rsidRPr="00566647">
        <w:rPr>
          <w:sz w:val="22"/>
          <w:szCs w:val="22"/>
        </w:rPr>
        <w:t xml:space="preserve"> L</w:t>
      </w:r>
      <w:r w:rsidRPr="00566647">
        <w:rPr>
          <w:sz w:val="22"/>
          <w:szCs w:val="22"/>
        </w:rPr>
        <w:t>aboratorio</w:t>
      </w:r>
      <w:r w:rsidR="005A4103" w:rsidRPr="00566647">
        <w:rPr>
          <w:sz w:val="22"/>
          <w:szCs w:val="22"/>
        </w:rPr>
        <w:t>s</w:t>
      </w:r>
      <w:r w:rsidRPr="00566647">
        <w:rPr>
          <w:sz w:val="22"/>
          <w:szCs w:val="22"/>
        </w:rPr>
        <w:t xml:space="preserve"> de prueba</w:t>
      </w:r>
      <w:r w:rsidR="005A4103" w:rsidRPr="00566647">
        <w:rPr>
          <w:sz w:val="22"/>
          <w:szCs w:val="22"/>
        </w:rPr>
        <w:t xml:space="preserve"> en concordancia con l</w:t>
      </w:r>
      <w:r w:rsidRPr="00566647">
        <w:rPr>
          <w:sz w:val="22"/>
          <w:szCs w:val="22"/>
        </w:rPr>
        <w:t xml:space="preserve">os </w:t>
      </w:r>
      <w:r w:rsidR="005A4103" w:rsidRPr="00566647">
        <w:rPr>
          <w:sz w:val="22"/>
          <w:szCs w:val="22"/>
        </w:rPr>
        <w:t>L</w:t>
      </w:r>
      <w:r w:rsidRPr="00566647">
        <w:rPr>
          <w:sz w:val="22"/>
          <w:szCs w:val="22"/>
        </w:rPr>
        <w:t>ineamientos de acreditación, autorización, designación y reconocimiento de L</w:t>
      </w:r>
      <w:r w:rsidR="005A4103" w:rsidRPr="00566647">
        <w:rPr>
          <w:sz w:val="22"/>
          <w:szCs w:val="22"/>
        </w:rPr>
        <w:t xml:space="preserve">aboratorios de </w:t>
      </w:r>
      <w:r w:rsidRPr="00566647">
        <w:rPr>
          <w:sz w:val="22"/>
          <w:szCs w:val="22"/>
        </w:rPr>
        <w:t>P</w:t>
      </w:r>
      <w:r w:rsidR="005A4103" w:rsidRPr="00566647">
        <w:rPr>
          <w:sz w:val="22"/>
          <w:szCs w:val="22"/>
        </w:rPr>
        <w:t>rueba vigentes</w:t>
      </w:r>
      <w:r w:rsidRPr="00566647">
        <w:rPr>
          <w:sz w:val="22"/>
          <w:szCs w:val="22"/>
        </w:rPr>
        <w:t>.</w:t>
      </w:r>
    </w:p>
    <w:p w14:paraId="3FC8DC64" w14:textId="77777777" w:rsidR="00772573" w:rsidRPr="00566647" w:rsidRDefault="00772573" w:rsidP="0030792F">
      <w:pPr>
        <w:rPr>
          <w:sz w:val="22"/>
          <w:lang w:val="es-ES_tradnl"/>
        </w:rPr>
      </w:pPr>
    </w:p>
    <w:p w14:paraId="17BBCBFC" w14:textId="77777777" w:rsidR="00894641" w:rsidRPr="00566647" w:rsidRDefault="00894641" w:rsidP="0030792F">
      <w:pPr>
        <w:rPr>
          <w:sz w:val="22"/>
          <w:u w:val="single"/>
          <w:lang w:val="es-ES_tradnl"/>
        </w:rPr>
      </w:pPr>
      <w:r w:rsidRPr="00566647">
        <w:rPr>
          <w:sz w:val="22"/>
          <w:u w:val="single"/>
          <w:lang w:val="es-ES_tradnl"/>
        </w:rPr>
        <w:t>Participante:</w:t>
      </w:r>
    </w:p>
    <w:p w14:paraId="1A8D4C5B" w14:textId="77777777" w:rsidR="00894641" w:rsidRPr="00566647" w:rsidRDefault="00894641" w:rsidP="0030792F">
      <w:pPr>
        <w:rPr>
          <w:sz w:val="22"/>
          <w:lang w:val="es-ES_tradnl"/>
        </w:rPr>
      </w:pPr>
      <w:r w:rsidRPr="00566647">
        <w:rPr>
          <w:sz w:val="22"/>
          <w:lang w:val="es-ES_tradnl"/>
        </w:rPr>
        <w:t>NYCE</w:t>
      </w:r>
    </w:p>
    <w:p w14:paraId="39B6EF50" w14:textId="77777777" w:rsidR="00894641" w:rsidRPr="00566647" w:rsidRDefault="00894641" w:rsidP="0030792F">
      <w:pPr>
        <w:rPr>
          <w:sz w:val="22"/>
          <w:u w:val="single"/>
          <w:lang w:val="es-ES_tradnl"/>
        </w:rPr>
      </w:pPr>
      <w:r w:rsidRPr="00566647">
        <w:rPr>
          <w:sz w:val="22"/>
          <w:u w:val="single"/>
          <w:lang w:val="es-ES_tradnl"/>
        </w:rPr>
        <w:t>Propuesta:</w:t>
      </w:r>
    </w:p>
    <w:p w14:paraId="3A07A901" w14:textId="05E78C3A" w:rsidR="00894641" w:rsidRPr="00566647" w:rsidRDefault="001B1EBB" w:rsidP="001B1EBB">
      <w:pPr>
        <w:pStyle w:val="Cita"/>
        <w:rPr>
          <w:lang w:val="es-ES_tradnl"/>
        </w:rPr>
      </w:pPr>
      <w:r w:rsidRPr="001B1EBB">
        <w:rPr>
          <w:lang w:val="es-ES_tradnl"/>
        </w:rPr>
        <w:t>«</w:t>
      </w:r>
      <w:r w:rsidR="00894641" w:rsidRPr="00566647">
        <w:rPr>
          <w:lang w:val="es-ES_tradnl"/>
        </w:rPr>
        <w:t>Realizar la siguiente modificación, "Además de lo dispuesto en la norma ISO/IEC17025:2005 o la que la sustituya, el RP deberá contener los siguientes elementos"</w:t>
      </w:r>
      <w:r w:rsidR="006B3788" w:rsidRPr="00566647">
        <w:rPr>
          <w:lang w:val="es-ES_tradnl"/>
        </w:rPr>
        <w:t xml:space="preserve"> </w:t>
      </w:r>
      <w:r w:rsidR="00894641" w:rsidRPr="00566647">
        <w:rPr>
          <w:lang w:val="es-ES_tradnl"/>
        </w:rPr>
        <w:t>Aunque durante el proceso de acreditación y autorización, el RP debe cumplir con lo establecido en esa norma internacional o su equivalente nacional, no está por demás dejarlo claro.</w:t>
      </w:r>
      <w:r w:rsidRPr="001B1EBB">
        <w:rPr>
          <w:lang w:val="es-ES_tradnl"/>
        </w:rPr>
        <w:t>»</w:t>
      </w:r>
    </w:p>
    <w:p w14:paraId="52EB5624" w14:textId="77777777" w:rsidR="00894641" w:rsidRPr="00566647" w:rsidRDefault="00894641" w:rsidP="0030792F">
      <w:pPr>
        <w:rPr>
          <w:sz w:val="22"/>
          <w:u w:val="single"/>
          <w:lang w:val="es-ES_tradnl"/>
        </w:rPr>
      </w:pPr>
      <w:r w:rsidRPr="00566647">
        <w:rPr>
          <w:sz w:val="22"/>
          <w:u w:val="single"/>
          <w:lang w:val="es-ES_tradnl"/>
        </w:rPr>
        <w:t>Respuesta:</w:t>
      </w:r>
    </w:p>
    <w:p w14:paraId="2954878F" w14:textId="77777777" w:rsidR="00894641" w:rsidRPr="00566647" w:rsidRDefault="00894641" w:rsidP="0030792F">
      <w:pPr>
        <w:pStyle w:val="Textocomentario"/>
        <w:jc w:val="both"/>
        <w:rPr>
          <w:sz w:val="22"/>
          <w:szCs w:val="22"/>
        </w:rPr>
      </w:pPr>
      <w:r w:rsidRPr="00566647">
        <w:rPr>
          <w:sz w:val="22"/>
          <w:szCs w:val="22"/>
        </w:rPr>
        <w:t>Se considera y se realiza la modificación correspondiente.</w:t>
      </w:r>
    </w:p>
    <w:p w14:paraId="2AE142AE" w14:textId="77777777" w:rsidR="00772573" w:rsidRPr="00566647" w:rsidRDefault="00772573" w:rsidP="0030792F">
      <w:pPr>
        <w:rPr>
          <w:sz w:val="22"/>
          <w:lang w:val="es-ES_tradnl"/>
        </w:rPr>
      </w:pPr>
    </w:p>
    <w:p w14:paraId="1EC7DCDD" w14:textId="77777777" w:rsidR="00CD0491" w:rsidRPr="00566647" w:rsidRDefault="004E6C10" w:rsidP="0030792F">
      <w:pPr>
        <w:pStyle w:val="Ttulo2"/>
      </w:pPr>
      <w:r w:rsidRPr="00566647">
        <w:t>8. Evaluación de la Conformidad</w:t>
      </w:r>
    </w:p>
    <w:p w14:paraId="7470C0FB" w14:textId="77777777" w:rsidR="006E2160" w:rsidRPr="00566647" w:rsidRDefault="006E2160" w:rsidP="0030792F">
      <w:pPr>
        <w:rPr>
          <w:sz w:val="22"/>
          <w:u w:val="single"/>
        </w:rPr>
      </w:pPr>
      <w:r w:rsidRPr="00566647">
        <w:rPr>
          <w:sz w:val="22"/>
          <w:u w:val="single"/>
        </w:rPr>
        <w:t>Participante:</w:t>
      </w:r>
    </w:p>
    <w:p w14:paraId="24A84DF4" w14:textId="77777777" w:rsidR="006E2160" w:rsidRPr="00566647" w:rsidRDefault="006E2160" w:rsidP="0030792F">
      <w:pPr>
        <w:rPr>
          <w:sz w:val="22"/>
        </w:rPr>
      </w:pPr>
      <w:r w:rsidRPr="00566647">
        <w:rPr>
          <w:sz w:val="22"/>
        </w:rPr>
        <w:t>MWF</w:t>
      </w:r>
    </w:p>
    <w:p w14:paraId="67C34B5A" w14:textId="77777777" w:rsidR="006E2160" w:rsidRPr="00566647" w:rsidRDefault="006E2160" w:rsidP="0030792F">
      <w:pPr>
        <w:rPr>
          <w:sz w:val="22"/>
          <w:u w:val="single"/>
        </w:rPr>
      </w:pPr>
      <w:r w:rsidRPr="00566647">
        <w:rPr>
          <w:sz w:val="22"/>
          <w:u w:val="single"/>
        </w:rPr>
        <w:t>Propuesta:</w:t>
      </w:r>
    </w:p>
    <w:p w14:paraId="4A2EA100" w14:textId="6BE05A27" w:rsidR="006E2160" w:rsidRPr="00566647" w:rsidRDefault="001B1EBB" w:rsidP="001B1EBB">
      <w:pPr>
        <w:pStyle w:val="Cita"/>
      </w:pPr>
      <w:r w:rsidRPr="001B1EBB">
        <w:lastRenderedPageBreak/>
        <w:t>«</w:t>
      </w:r>
      <w:r w:rsidR="006E2160" w:rsidRPr="00566647">
        <w:t>Que se acepte una declaración formal de los fabricantes o importadores, mediante la cual señalen que cumplen con los parámetros de la disposición técnica, anexando los resultados de laboratorios internacionalmente reconocidos.</w:t>
      </w:r>
      <w:r w:rsidRPr="001B1EBB">
        <w:t>»</w:t>
      </w:r>
    </w:p>
    <w:p w14:paraId="79E346A7" w14:textId="77777777" w:rsidR="006E2160" w:rsidRPr="00566647" w:rsidRDefault="006E2160" w:rsidP="0030792F">
      <w:pPr>
        <w:rPr>
          <w:sz w:val="22"/>
          <w:u w:val="single"/>
        </w:rPr>
      </w:pPr>
      <w:r w:rsidRPr="00566647">
        <w:rPr>
          <w:sz w:val="22"/>
          <w:u w:val="single"/>
        </w:rPr>
        <w:t>Respuesta:</w:t>
      </w:r>
    </w:p>
    <w:p w14:paraId="1F1A63B7" w14:textId="2F43C415" w:rsidR="006E2160" w:rsidRPr="00566647" w:rsidRDefault="00BD77BD" w:rsidP="0030792F">
      <w:pPr>
        <w:rPr>
          <w:sz w:val="22"/>
        </w:rPr>
      </w:pPr>
      <w:r w:rsidRPr="00566647">
        <w:rPr>
          <w:sz w:val="22"/>
        </w:rPr>
        <w:t xml:space="preserve">La declaración de conformidad por parte del fabricante o importador no está contemplada por el Instituto al considerarse que no ofrece certeza en la evaluación de la conformidad correspondiente. </w:t>
      </w:r>
    </w:p>
    <w:p w14:paraId="52701E73" w14:textId="77777777" w:rsidR="004E6C10" w:rsidRPr="00566647" w:rsidRDefault="004E6C10" w:rsidP="0030792F">
      <w:pPr>
        <w:rPr>
          <w:sz w:val="22"/>
          <w:lang w:val="es-ES_tradnl"/>
        </w:rPr>
      </w:pPr>
    </w:p>
    <w:p w14:paraId="324CF9BF" w14:textId="77777777" w:rsidR="006E2160" w:rsidRPr="00566647" w:rsidRDefault="006E2160" w:rsidP="0030792F">
      <w:pPr>
        <w:rPr>
          <w:sz w:val="22"/>
          <w:u w:val="single"/>
        </w:rPr>
      </w:pPr>
      <w:r w:rsidRPr="00566647">
        <w:rPr>
          <w:sz w:val="22"/>
          <w:u w:val="single"/>
        </w:rPr>
        <w:t>Participantes:</w:t>
      </w:r>
    </w:p>
    <w:p w14:paraId="4E15D14E" w14:textId="77777777" w:rsidR="006E2160" w:rsidRPr="00566647" w:rsidRDefault="006E2160" w:rsidP="0030792F">
      <w:pPr>
        <w:rPr>
          <w:sz w:val="22"/>
        </w:rPr>
      </w:pPr>
      <w:r w:rsidRPr="00566647">
        <w:rPr>
          <w:sz w:val="22"/>
        </w:rPr>
        <w:t>NYCE, ANATEL</w:t>
      </w:r>
    </w:p>
    <w:p w14:paraId="360B6AAA" w14:textId="77777777" w:rsidR="006E2160" w:rsidRPr="00566647" w:rsidRDefault="006E2160" w:rsidP="0030792F">
      <w:pPr>
        <w:rPr>
          <w:sz w:val="22"/>
          <w:u w:val="single"/>
        </w:rPr>
      </w:pPr>
      <w:r w:rsidRPr="00566647">
        <w:rPr>
          <w:sz w:val="22"/>
          <w:u w:val="single"/>
        </w:rPr>
        <w:t>Propuesta:</w:t>
      </w:r>
    </w:p>
    <w:p w14:paraId="6F07C09D" w14:textId="72A3709D" w:rsidR="006E2160" w:rsidRPr="00566647" w:rsidRDefault="001B1EBB" w:rsidP="001B1EBB">
      <w:pPr>
        <w:pStyle w:val="Cita"/>
      </w:pPr>
      <w:r w:rsidRPr="001B1EBB">
        <w:t>«</w:t>
      </w:r>
      <w:r w:rsidR="006E2160" w:rsidRPr="00566647">
        <w:t>Se propone modificar el capítulo 8, "Evaluación de la conformidad", la propuesta actual nos parece incompleta y requiere establecer certeza jurídica en los procesos y requisitos que deben cumplir los regulados y los organismos de evaluación de la conformidad.</w:t>
      </w:r>
    </w:p>
    <w:p w14:paraId="17754478" w14:textId="77777777" w:rsidR="006E2160" w:rsidRPr="00566647" w:rsidRDefault="006E2160" w:rsidP="001B1EBB">
      <w:pPr>
        <w:pStyle w:val="Cita"/>
      </w:pPr>
      <w:r w:rsidRPr="00566647">
        <w:t>Se adjunta en Word documento propuesto.</w:t>
      </w:r>
    </w:p>
    <w:p w14:paraId="08D065C5" w14:textId="77777777" w:rsidR="006E2160" w:rsidRPr="00566647" w:rsidRDefault="006E2160" w:rsidP="001B1EBB">
      <w:pPr>
        <w:pStyle w:val="Cita"/>
      </w:pPr>
      <w:r w:rsidRPr="00566647">
        <w:t>De la misma forma, hace falta incluir algunos procedimientos y mecanismos que abaraten los costos por concepto de evaluación de la conformidad.</w:t>
      </w:r>
    </w:p>
    <w:p w14:paraId="3DDCF68E" w14:textId="48DF91B8" w:rsidR="006E2160" w:rsidRPr="00566647" w:rsidRDefault="006E2160" w:rsidP="001B1EBB">
      <w:pPr>
        <w:pStyle w:val="Cita"/>
      </w:pPr>
      <w:r w:rsidRPr="00566647">
        <w:t>La propuesta de modificación al capítulo 8, contiene un apartado de definiciones, por lo que del capítulo 3, del Proyecto de DT, las definiciones III,</w:t>
      </w:r>
      <w:r w:rsidR="004B3B7D" w:rsidRPr="00566647">
        <w:t xml:space="preserve"> </w:t>
      </w:r>
      <w:r w:rsidRPr="00566647">
        <w:t>XVII y XXXI. Por ejemplo, no se mencionan los esquemas de certificación que se mencionan en la fracción III, ni el mecanismo para ampliar los certificados de cumplimiento (fracción V)</w:t>
      </w:r>
      <w:r w:rsidR="001B1EBB" w:rsidRPr="001B1EBB">
        <w:t>»</w:t>
      </w:r>
    </w:p>
    <w:p w14:paraId="60EB8412" w14:textId="77777777" w:rsidR="006E2160" w:rsidRPr="00566647" w:rsidRDefault="006E2160" w:rsidP="0030792F">
      <w:pPr>
        <w:rPr>
          <w:sz w:val="22"/>
          <w:u w:val="single"/>
        </w:rPr>
      </w:pPr>
      <w:r w:rsidRPr="00566647">
        <w:rPr>
          <w:sz w:val="22"/>
          <w:u w:val="single"/>
        </w:rPr>
        <w:t>Respuesta:</w:t>
      </w:r>
    </w:p>
    <w:p w14:paraId="0756D688" w14:textId="4AF976D7" w:rsidR="00177C46" w:rsidRPr="00566647" w:rsidRDefault="006E2160" w:rsidP="0030792F">
      <w:pPr>
        <w:rPr>
          <w:sz w:val="22"/>
        </w:rPr>
      </w:pPr>
      <w:r w:rsidRPr="00566647">
        <w:rPr>
          <w:sz w:val="22"/>
        </w:rPr>
        <w:t xml:space="preserve">Se considera parcialmente, </w:t>
      </w:r>
      <w:r w:rsidR="006B3788" w:rsidRPr="00566647">
        <w:rPr>
          <w:sz w:val="22"/>
        </w:rPr>
        <w:t xml:space="preserve">se incluyen </w:t>
      </w:r>
      <w:r w:rsidRPr="00566647">
        <w:rPr>
          <w:sz w:val="22"/>
        </w:rPr>
        <w:t xml:space="preserve">algunos elementos específicos en el </w:t>
      </w:r>
      <w:r w:rsidR="006B3788" w:rsidRPr="00566647">
        <w:rPr>
          <w:sz w:val="22"/>
        </w:rPr>
        <w:t xml:space="preserve">capítulo 8 "Evaluación de la conformidad. </w:t>
      </w:r>
    </w:p>
    <w:p w14:paraId="21EA86AD" w14:textId="77777777" w:rsidR="00177C46" w:rsidRPr="00566647" w:rsidRDefault="00177C46" w:rsidP="0030792F">
      <w:pPr>
        <w:rPr>
          <w:sz w:val="22"/>
        </w:rPr>
      </w:pPr>
      <w:r w:rsidRPr="00566647">
        <w:rPr>
          <w:sz w:val="22"/>
        </w:rPr>
        <w:t>Adicionalmente, los esquemas de Certificación y el Procedimiento general de Evaluación de la Conformidad no están dentro del alcance del presente Anteproyecto.</w:t>
      </w:r>
    </w:p>
    <w:p w14:paraId="69A74AA4" w14:textId="761D5EDC" w:rsidR="00177C46" w:rsidRPr="00566647" w:rsidRDefault="00177C46" w:rsidP="0030792F">
      <w:pPr>
        <w:rPr>
          <w:sz w:val="22"/>
        </w:rPr>
      </w:pPr>
      <w:r w:rsidRPr="00566647">
        <w:rPr>
          <w:sz w:val="22"/>
        </w:rPr>
        <w:t>El objetivo del presente numeral es complementar el Procedimiento general de Evaluación de la Conformidad vigente. Los requisitos que deben cumplir los regulados y los OEC, respecto a la Evaluación de la Conformidad, están establecidos en los lineamientos para LP, en las propuestas de lineamientos para UV y OC, así como en el PEC vigente o en el PEC que emita el Instituto</w:t>
      </w:r>
    </w:p>
    <w:p w14:paraId="342FB7AE" w14:textId="77777777" w:rsidR="00894641" w:rsidRPr="00566647" w:rsidRDefault="00894641" w:rsidP="0030792F">
      <w:pPr>
        <w:rPr>
          <w:sz w:val="22"/>
          <w:lang w:val="es-ES_tradnl"/>
        </w:rPr>
      </w:pPr>
    </w:p>
    <w:p w14:paraId="25A64D4D" w14:textId="77777777" w:rsidR="002418EA" w:rsidRPr="00566647" w:rsidRDefault="002418EA" w:rsidP="0030792F">
      <w:pPr>
        <w:rPr>
          <w:sz w:val="22"/>
          <w:u w:val="single"/>
          <w:lang w:val="es-ES_tradnl"/>
        </w:rPr>
      </w:pPr>
      <w:r w:rsidRPr="00566647">
        <w:rPr>
          <w:sz w:val="22"/>
          <w:u w:val="single"/>
          <w:lang w:val="es-ES_tradnl"/>
        </w:rPr>
        <w:t>Participante:</w:t>
      </w:r>
    </w:p>
    <w:p w14:paraId="77F05A90" w14:textId="77777777" w:rsidR="002418EA" w:rsidRPr="00566647" w:rsidRDefault="002418EA" w:rsidP="0030792F">
      <w:pPr>
        <w:rPr>
          <w:sz w:val="22"/>
          <w:lang w:val="es-ES_tradnl"/>
        </w:rPr>
      </w:pPr>
      <w:r w:rsidRPr="00566647">
        <w:rPr>
          <w:sz w:val="22"/>
          <w:lang w:val="es-ES_tradnl"/>
        </w:rPr>
        <w:t>ZEBRA</w:t>
      </w:r>
    </w:p>
    <w:p w14:paraId="5ACF2D1D" w14:textId="77777777" w:rsidR="002418EA" w:rsidRPr="00566647" w:rsidRDefault="002418EA" w:rsidP="0030792F">
      <w:pPr>
        <w:rPr>
          <w:sz w:val="22"/>
          <w:u w:val="single"/>
          <w:lang w:val="es-ES_tradnl"/>
        </w:rPr>
      </w:pPr>
      <w:r w:rsidRPr="00566647">
        <w:rPr>
          <w:sz w:val="22"/>
          <w:u w:val="single"/>
          <w:lang w:val="es-ES_tradnl"/>
        </w:rPr>
        <w:t>Propuesta:</w:t>
      </w:r>
    </w:p>
    <w:p w14:paraId="59029377" w14:textId="6C048039" w:rsidR="002418EA" w:rsidRPr="00566647" w:rsidRDefault="001B1EBB" w:rsidP="001B1EBB">
      <w:pPr>
        <w:pStyle w:val="Cita"/>
      </w:pPr>
      <w:r w:rsidRPr="001B1EBB">
        <w:t>«</w:t>
      </w:r>
      <w:r w:rsidR="002418EA" w:rsidRPr="00566647">
        <w:t>En principio no tenemos ninguna objeción a que México incorpore una evaluación de la Exposición Humana en su normativa Nacional de Homologación. Creemos, sin embargo, que esto debe ser incorporado de tal manera que se minimice el impacto a la industria, y se debe adoptar de una manera que presenta una línea menor resistencia a los fabricantes.</w:t>
      </w:r>
      <w:r w:rsidRPr="001B1EBB">
        <w:t>»</w:t>
      </w:r>
    </w:p>
    <w:p w14:paraId="52E02594" w14:textId="77777777" w:rsidR="002418EA" w:rsidRPr="00566647" w:rsidRDefault="002418EA" w:rsidP="0030792F">
      <w:pPr>
        <w:rPr>
          <w:sz w:val="22"/>
          <w:u w:val="single"/>
          <w:lang w:val="es-ES_tradnl"/>
        </w:rPr>
      </w:pPr>
      <w:r w:rsidRPr="00566647">
        <w:rPr>
          <w:sz w:val="22"/>
          <w:u w:val="single"/>
          <w:lang w:val="es-ES_tradnl"/>
        </w:rPr>
        <w:t>Respuesta:</w:t>
      </w:r>
    </w:p>
    <w:p w14:paraId="7C0E8770" w14:textId="21F5D67C" w:rsidR="002418EA" w:rsidRPr="00566647" w:rsidRDefault="002418EA" w:rsidP="0030792F">
      <w:pPr>
        <w:rPr>
          <w:sz w:val="22"/>
        </w:rPr>
      </w:pPr>
      <w:r w:rsidRPr="00566647">
        <w:rPr>
          <w:sz w:val="22"/>
        </w:rPr>
        <w:t xml:space="preserve">Se considera. En el </w:t>
      </w:r>
      <w:r w:rsidR="00976034">
        <w:rPr>
          <w:sz w:val="22"/>
        </w:rPr>
        <w:t>Anteproyecto</w:t>
      </w:r>
      <w:r w:rsidRPr="00566647">
        <w:rPr>
          <w:sz w:val="22"/>
        </w:rPr>
        <w:t xml:space="preserve"> se establece</w:t>
      </w:r>
      <w:r w:rsidR="00EB636F" w:rsidRPr="00566647">
        <w:rPr>
          <w:sz w:val="22"/>
        </w:rPr>
        <w:t xml:space="preserve"> un</w:t>
      </w:r>
      <w:r w:rsidR="004F7BEC" w:rsidRPr="00566647">
        <w:rPr>
          <w:sz w:val="22"/>
        </w:rPr>
        <w:t xml:space="preserve"> para su entrada en vigor</w:t>
      </w:r>
      <w:r w:rsidR="00EB636F" w:rsidRPr="00566647">
        <w:rPr>
          <w:sz w:val="22"/>
        </w:rPr>
        <w:t xml:space="preserve"> de </w:t>
      </w:r>
      <w:r w:rsidR="004F7BEC" w:rsidRPr="00566647">
        <w:rPr>
          <w:sz w:val="22"/>
        </w:rPr>
        <w:t>trescientos sesenta y cinco días naturales contados a partir de su publicación en el Diario Oficial de la Federación</w:t>
      </w:r>
      <w:r w:rsidR="00EB636F" w:rsidRPr="00566647">
        <w:rPr>
          <w:sz w:val="22"/>
        </w:rPr>
        <w:t xml:space="preserve">. </w:t>
      </w:r>
      <w:r w:rsidR="00921DF2" w:rsidRPr="00566647">
        <w:rPr>
          <w:sz w:val="22"/>
        </w:rPr>
        <w:t>Asimismo</w:t>
      </w:r>
      <w:r w:rsidR="00EB636F" w:rsidRPr="00566647">
        <w:rPr>
          <w:sz w:val="22"/>
        </w:rPr>
        <w:t>,</w:t>
      </w:r>
      <w:r w:rsidR="00921DF2" w:rsidRPr="00566647">
        <w:rPr>
          <w:sz w:val="22"/>
        </w:rPr>
        <w:t xml:space="preserve"> se considera que los Dispositivos de comunicaciones inalámbricas se podrán certificar con respecto a la DT IFT-</w:t>
      </w:r>
      <w:r w:rsidR="0067202F">
        <w:rPr>
          <w:sz w:val="22"/>
        </w:rPr>
        <w:t>012</w:t>
      </w:r>
      <w:r w:rsidR="00921DF2" w:rsidRPr="00566647">
        <w:rPr>
          <w:sz w:val="22"/>
        </w:rPr>
        <w:t>-201</w:t>
      </w:r>
      <w:r w:rsidR="002A6513">
        <w:rPr>
          <w:sz w:val="22"/>
        </w:rPr>
        <w:t>9</w:t>
      </w:r>
      <w:r w:rsidR="00921DF2" w:rsidRPr="00566647">
        <w:rPr>
          <w:sz w:val="22"/>
        </w:rPr>
        <w:t xml:space="preserve"> una vez que el Instituto autorice o reconozca al primer Laboratorio de Prueba (bajo el marco de un Acuerdo de Reconocimiento Mutuo).</w:t>
      </w:r>
    </w:p>
    <w:p w14:paraId="395693ED" w14:textId="77777777" w:rsidR="00894641" w:rsidRPr="00566647" w:rsidRDefault="00894641" w:rsidP="0030792F">
      <w:pPr>
        <w:rPr>
          <w:sz w:val="22"/>
          <w:lang w:val="es-ES_tradnl"/>
        </w:rPr>
      </w:pPr>
    </w:p>
    <w:p w14:paraId="4975B6C6" w14:textId="77777777" w:rsidR="002418EA" w:rsidRPr="00566647" w:rsidRDefault="002418EA" w:rsidP="0030792F">
      <w:pPr>
        <w:rPr>
          <w:sz w:val="22"/>
          <w:u w:val="single"/>
        </w:rPr>
      </w:pPr>
      <w:r w:rsidRPr="00566647">
        <w:rPr>
          <w:sz w:val="22"/>
          <w:u w:val="single"/>
        </w:rPr>
        <w:t>Participante:</w:t>
      </w:r>
    </w:p>
    <w:p w14:paraId="43F1B54D" w14:textId="77777777" w:rsidR="002418EA" w:rsidRPr="00566647" w:rsidRDefault="002418EA" w:rsidP="0030792F">
      <w:pPr>
        <w:rPr>
          <w:sz w:val="22"/>
        </w:rPr>
      </w:pPr>
      <w:r w:rsidRPr="00566647">
        <w:rPr>
          <w:sz w:val="22"/>
        </w:rPr>
        <w:t>ZEBRA</w:t>
      </w:r>
    </w:p>
    <w:p w14:paraId="2AC52FFA" w14:textId="77777777" w:rsidR="002418EA" w:rsidRPr="00566647" w:rsidRDefault="002418EA" w:rsidP="0030792F">
      <w:pPr>
        <w:rPr>
          <w:sz w:val="22"/>
          <w:u w:val="single"/>
        </w:rPr>
      </w:pPr>
      <w:r w:rsidRPr="00566647">
        <w:rPr>
          <w:sz w:val="22"/>
          <w:u w:val="single"/>
        </w:rPr>
        <w:t>Propuesta:</w:t>
      </w:r>
    </w:p>
    <w:p w14:paraId="69CE5DF6" w14:textId="7D7A35A2" w:rsidR="002418EA" w:rsidRPr="00566647" w:rsidRDefault="001B1EBB" w:rsidP="001B1EBB">
      <w:pPr>
        <w:pStyle w:val="Cita"/>
      </w:pPr>
      <w:r w:rsidRPr="001B1EBB">
        <w:t>«</w:t>
      </w:r>
      <w:r w:rsidR="002418EA" w:rsidRPr="00566647">
        <w:t>Consideramos que las pruebas locales no son un buen enfoque para esto, y contribuirán muy poco a asegurar la conformidad de los productos en México.</w:t>
      </w:r>
      <w:r w:rsidRPr="001B1EBB">
        <w:t>»</w:t>
      </w:r>
    </w:p>
    <w:p w14:paraId="2CF7A5E6" w14:textId="77777777" w:rsidR="002418EA" w:rsidRPr="00566647" w:rsidRDefault="002418EA" w:rsidP="0030792F">
      <w:pPr>
        <w:rPr>
          <w:sz w:val="22"/>
          <w:u w:val="single"/>
        </w:rPr>
      </w:pPr>
      <w:r w:rsidRPr="00566647">
        <w:rPr>
          <w:sz w:val="22"/>
          <w:u w:val="single"/>
        </w:rPr>
        <w:t>Respuesta:</w:t>
      </w:r>
    </w:p>
    <w:p w14:paraId="33A421E0" w14:textId="347771B1" w:rsidR="002418EA" w:rsidRPr="00566647" w:rsidRDefault="001B1EBB" w:rsidP="0030792F">
      <w:pPr>
        <w:rPr>
          <w:sz w:val="22"/>
        </w:rPr>
      </w:pPr>
      <w:r>
        <w:rPr>
          <w:sz w:val="22"/>
        </w:rPr>
        <w:t>No se considera, l</w:t>
      </w:r>
      <w:r w:rsidR="00921DF2" w:rsidRPr="00566647">
        <w:rPr>
          <w:sz w:val="22"/>
        </w:rPr>
        <w:t>a evaluación de la conformidad en México se realizará a través de Organismos de Evaluación de la Conformidad Acreditados y Autorizados</w:t>
      </w:r>
      <w:r w:rsidR="002418EA" w:rsidRPr="00566647">
        <w:rPr>
          <w:sz w:val="22"/>
        </w:rPr>
        <w:t xml:space="preserve">, lo anterior </w:t>
      </w:r>
      <w:r w:rsidR="00921DF2" w:rsidRPr="00566647">
        <w:rPr>
          <w:sz w:val="22"/>
        </w:rPr>
        <w:t xml:space="preserve">observando </w:t>
      </w:r>
      <w:r w:rsidR="002418EA" w:rsidRPr="00566647">
        <w:rPr>
          <w:sz w:val="22"/>
        </w:rPr>
        <w:t>las normas internacionales ISO</w:t>
      </w:r>
      <w:r w:rsidR="00921DF2" w:rsidRPr="00566647">
        <w:rPr>
          <w:sz w:val="22"/>
        </w:rPr>
        <w:t>/IEC</w:t>
      </w:r>
      <w:r w:rsidR="002418EA" w:rsidRPr="00566647">
        <w:rPr>
          <w:sz w:val="22"/>
        </w:rPr>
        <w:t xml:space="preserve"> 17025 para los laboratorios </w:t>
      </w:r>
      <w:r w:rsidR="00921DF2" w:rsidRPr="00566647">
        <w:rPr>
          <w:sz w:val="22"/>
        </w:rPr>
        <w:t>de prueba, e ISO/IEC</w:t>
      </w:r>
      <w:r w:rsidR="002418EA" w:rsidRPr="00566647">
        <w:rPr>
          <w:sz w:val="22"/>
        </w:rPr>
        <w:t xml:space="preserve"> 17065 para los Organismos de Certificación, </w:t>
      </w:r>
      <w:r w:rsidR="00921DF2" w:rsidRPr="00566647">
        <w:rPr>
          <w:sz w:val="22"/>
        </w:rPr>
        <w:t xml:space="preserve">dando </w:t>
      </w:r>
      <w:r w:rsidR="002418EA" w:rsidRPr="00566647">
        <w:rPr>
          <w:sz w:val="22"/>
        </w:rPr>
        <w:t xml:space="preserve">certeza </w:t>
      </w:r>
      <w:r w:rsidR="00921DF2" w:rsidRPr="00566647">
        <w:rPr>
          <w:sz w:val="22"/>
        </w:rPr>
        <w:t>jurídica y técnica a los involucrados</w:t>
      </w:r>
      <w:r w:rsidR="002418EA" w:rsidRPr="00566647">
        <w:rPr>
          <w:sz w:val="22"/>
        </w:rPr>
        <w:t>.</w:t>
      </w:r>
    </w:p>
    <w:p w14:paraId="3AB4667E" w14:textId="77777777" w:rsidR="00894641" w:rsidRPr="00566647" w:rsidRDefault="00894641" w:rsidP="0030792F">
      <w:pPr>
        <w:rPr>
          <w:sz w:val="22"/>
          <w:lang w:val="es-ES_tradnl"/>
        </w:rPr>
      </w:pPr>
    </w:p>
    <w:p w14:paraId="35CCBAA1" w14:textId="77777777" w:rsidR="0029720B" w:rsidRPr="00566647" w:rsidRDefault="0029720B" w:rsidP="0030792F">
      <w:pPr>
        <w:rPr>
          <w:sz w:val="22"/>
          <w:u w:val="single"/>
          <w:lang w:val="es-ES_tradnl"/>
        </w:rPr>
      </w:pPr>
      <w:r w:rsidRPr="00566647">
        <w:rPr>
          <w:sz w:val="22"/>
          <w:u w:val="single"/>
          <w:lang w:val="es-ES_tradnl"/>
        </w:rPr>
        <w:t>Participante:</w:t>
      </w:r>
    </w:p>
    <w:p w14:paraId="0A207793" w14:textId="77777777" w:rsidR="0029720B" w:rsidRPr="00566647" w:rsidRDefault="0029720B" w:rsidP="0030792F">
      <w:pPr>
        <w:rPr>
          <w:sz w:val="22"/>
          <w:lang w:val="es-ES_tradnl"/>
        </w:rPr>
      </w:pPr>
      <w:r w:rsidRPr="00566647">
        <w:rPr>
          <w:sz w:val="22"/>
          <w:lang w:val="es-ES_tradnl"/>
        </w:rPr>
        <w:t>CANIETI</w:t>
      </w:r>
    </w:p>
    <w:p w14:paraId="1A980803" w14:textId="77777777" w:rsidR="0029720B" w:rsidRPr="00566647" w:rsidRDefault="0029720B" w:rsidP="0030792F">
      <w:pPr>
        <w:rPr>
          <w:sz w:val="22"/>
          <w:u w:val="single"/>
          <w:lang w:val="es-ES_tradnl"/>
        </w:rPr>
      </w:pPr>
      <w:r w:rsidRPr="00566647">
        <w:rPr>
          <w:sz w:val="22"/>
          <w:u w:val="single"/>
          <w:lang w:val="es-ES_tradnl"/>
        </w:rPr>
        <w:t>Propuesta:</w:t>
      </w:r>
    </w:p>
    <w:p w14:paraId="55782B1D" w14:textId="3EE380B5" w:rsidR="0029720B" w:rsidRPr="00566647" w:rsidRDefault="001B1EBB" w:rsidP="001B1EBB">
      <w:pPr>
        <w:pStyle w:val="Cita"/>
        <w:rPr>
          <w:lang w:val="es-ES_tradnl"/>
        </w:rPr>
      </w:pPr>
      <w:r w:rsidRPr="001B1EBB">
        <w:rPr>
          <w:lang w:val="es-ES_tradnl"/>
        </w:rPr>
        <w:lastRenderedPageBreak/>
        <w:t>«</w:t>
      </w:r>
      <w:r w:rsidR="0029720B" w:rsidRPr="00566647">
        <w:rPr>
          <w:lang w:val="es-ES_tradnl"/>
        </w:rPr>
        <w:t xml:space="preserve">Cometario: Actualmente al reverso de los certificados de homologación se indican más alternativas para ostentar el número del certificado tales como en el Manual del usuario </w:t>
      </w:r>
      <w:r w:rsidR="0030792F">
        <w:rPr>
          <w:lang w:val="es-ES_tradnl"/>
        </w:rPr>
        <w:t>o</w:t>
      </w:r>
      <w:r w:rsidR="0029720B" w:rsidRPr="00566647">
        <w:rPr>
          <w:lang w:val="es-ES_tradnl"/>
        </w:rPr>
        <w:t xml:space="preserve"> en hoja viajera. </w:t>
      </w:r>
    </w:p>
    <w:p w14:paraId="7E1AD112" w14:textId="1209E5F5" w:rsidR="0029720B" w:rsidRPr="00566647" w:rsidRDefault="0029720B" w:rsidP="001B1EBB">
      <w:pPr>
        <w:pStyle w:val="Cita"/>
        <w:rPr>
          <w:lang w:val="es-ES_tradnl"/>
        </w:rPr>
      </w:pPr>
      <w:r w:rsidRPr="00566647">
        <w:rPr>
          <w:lang w:val="es-ES_tradnl"/>
        </w:rPr>
        <w:t>Propuesta: Homologar las alternativas a lo indicado al reverso de los certificados de homologación en su condición tercera, la cual entre otros indica: Si, no es posible agregar el número de homologación en el propio dispositivo, se podrá agregar en el Manual del usuario o en hoja viajera</w:t>
      </w:r>
      <w:r w:rsidR="001B1EBB" w:rsidRPr="001B1EBB">
        <w:rPr>
          <w:lang w:val="es-ES_tradnl"/>
        </w:rPr>
        <w:t>»</w:t>
      </w:r>
    </w:p>
    <w:p w14:paraId="65D3A210" w14:textId="77777777" w:rsidR="0029720B" w:rsidRPr="00566647" w:rsidRDefault="0029720B" w:rsidP="0030792F">
      <w:pPr>
        <w:rPr>
          <w:sz w:val="22"/>
          <w:u w:val="single"/>
          <w:lang w:val="es-ES_tradnl"/>
        </w:rPr>
      </w:pPr>
      <w:r w:rsidRPr="00566647">
        <w:rPr>
          <w:sz w:val="22"/>
          <w:u w:val="single"/>
          <w:lang w:val="es-ES_tradnl"/>
        </w:rPr>
        <w:t>Respuesta:</w:t>
      </w:r>
    </w:p>
    <w:p w14:paraId="482836BC" w14:textId="77777777" w:rsidR="00921FA2" w:rsidRPr="00566647" w:rsidRDefault="00921FA2" w:rsidP="0030792F">
      <w:pPr>
        <w:rPr>
          <w:sz w:val="22"/>
        </w:rPr>
      </w:pPr>
      <w:r w:rsidRPr="00566647">
        <w:rPr>
          <w:sz w:val="22"/>
        </w:rPr>
        <w:t>Se considera y se incluye un párrafo para dar más claridad</w:t>
      </w:r>
      <w:r w:rsidRPr="00566647" w:rsidDel="00921FA2">
        <w:rPr>
          <w:sz w:val="22"/>
        </w:rPr>
        <w:t xml:space="preserve"> </w:t>
      </w:r>
    </w:p>
    <w:p w14:paraId="453AD168" w14:textId="77777777" w:rsidR="00894641" w:rsidRPr="00566647" w:rsidRDefault="00894641" w:rsidP="0030792F">
      <w:pPr>
        <w:rPr>
          <w:sz w:val="22"/>
          <w:lang w:val="es-ES_tradnl"/>
        </w:rPr>
      </w:pPr>
    </w:p>
    <w:p w14:paraId="7C805461" w14:textId="77777777" w:rsidR="0029720B" w:rsidRPr="00566647" w:rsidRDefault="0029720B" w:rsidP="0030792F">
      <w:pPr>
        <w:rPr>
          <w:sz w:val="22"/>
          <w:u w:val="single"/>
          <w:lang w:val="es-ES_tradnl"/>
        </w:rPr>
      </w:pPr>
      <w:r w:rsidRPr="00566647">
        <w:rPr>
          <w:sz w:val="22"/>
          <w:u w:val="single"/>
          <w:lang w:val="es-ES_tradnl"/>
        </w:rPr>
        <w:t>Participante:</w:t>
      </w:r>
    </w:p>
    <w:p w14:paraId="6231F6A9" w14:textId="77777777" w:rsidR="0029720B" w:rsidRPr="00566647" w:rsidRDefault="0029720B" w:rsidP="0030792F">
      <w:pPr>
        <w:rPr>
          <w:sz w:val="22"/>
          <w:lang w:val="es-ES_tradnl"/>
        </w:rPr>
      </w:pPr>
      <w:r w:rsidRPr="00566647">
        <w:rPr>
          <w:sz w:val="22"/>
          <w:lang w:val="es-ES_tradnl"/>
        </w:rPr>
        <w:t>ANATEL</w:t>
      </w:r>
    </w:p>
    <w:p w14:paraId="31D0A11D" w14:textId="77777777" w:rsidR="0029720B" w:rsidRPr="00566647" w:rsidRDefault="0029720B" w:rsidP="0030792F">
      <w:pPr>
        <w:rPr>
          <w:sz w:val="22"/>
          <w:u w:val="single"/>
          <w:lang w:val="es-ES_tradnl"/>
        </w:rPr>
      </w:pPr>
      <w:r w:rsidRPr="00566647">
        <w:rPr>
          <w:sz w:val="22"/>
          <w:u w:val="single"/>
          <w:lang w:val="es-ES_tradnl"/>
        </w:rPr>
        <w:t>Propuesta:</w:t>
      </w:r>
    </w:p>
    <w:p w14:paraId="2BC1A8B5" w14:textId="2EF74B9B" w:rsidR="0029720B" w:rsidRPr="00566647" w:rsidRDefault="001B1EBB" w:rsidP="001B1EBB">
      <w:pPr>
        <w:pStyle w:val="Cita"/>
      </w:pPr>
      <w:r w:rsidRPr="001B1EBB">
        <w:t>«</w:t>
      </w:r>
      <w:r w:rsidR="0029720B" w:rsidRPr="00566647">
        <w:t>Cambiar párrafo a "VIII. El Instituto expedirá el Certificado de Homologación en un plazo no mayor a doce días hábiles contados a partir de la fecha de recepción de la solicitud." Comentario: Este es el plazo actual en el proceso de homologación, y un plazo mayor incidirá negativamente en la comercialización de los equipos terminales.</w:t>
      </w:r>
      <w:r w:rsidRPr="001B1EBB">
        <w:t>»</w:t>
      </w:r>
    </w:p>
    <w:p w14:paraId="3F71F30F" w14:textId="77777777" w:rsidR="0029720B" w:rsidRPr="00566647" w:rsidRDefault="0029720B" w:rsidP="0030792F">
      <w:pPr>
        <w:rPr>
          <w:sz w:val="22"/>
          <w:u w:val="single"/>
          <w:lang w:val="es-ES_tradnl"/>
        </w:rPr>
      </w:pPr>
      <w:r w:rsidRPr="00566647">
        <w:rPr>
          <w:sz w:val="22"/>
          <w:u w:val="single"/>
          <w:lang w:val="es-ES_tradnl"/>
        </w:rPr>
        <w:t>Respuesta:</w:t>
      </w:r>
    </w:p>
    <w:p w14:paraId="11864EFC" w14:textId="2E5F2425" w:rsidR="0029720B" w:rsidRPr="00566647" w:rsidRDefault="0029720B" w:rsidP="0030792F">
      <w:pPr>
        <w:rPr>
          <w:sz w:val="22"/>
        </w:rPr>
      </w:pPr>
      <w:r w:rsidRPr="00566647">
        <w:rPr>
          <w:sz w:val="22"/>
        </w:rPr>
        <w:t xml:space="preserve">No se considera, </w:t>
      </w:r>
      <w:r w:rsidR="00921DF2" w:rsidRPr="00566647">
        <w:rPr>
          <w:sz w:val="22"/>
        </w:rPr>
        <w:t xml:space="preserve">la propuesta no se encuentra dentro del alcance del presente </w:t>
      </w:r>
      <w:r w:rsidR="00976034">
        <w:rPr>
          <w:sz w:val="22"/>
        </w:rPr>
        <w:t>Anteproyecto</w:t>
      </w:r>
      <w:r w:rsidRPr="00566647">
        <w:rPr>
          <w:sz w:val="22"/>
        </w:rPr>
        <w:t>.</w:t>
      </w:r>
    </w:p>
    <w:p w14:paraId="6890C66D" w14:textId="77777777" w:rsidR="0029720B" w:rsidRPr="00566647" w:rsidRDefault="0029720B" w:rsidP="0030792F">
      <w:pPr>
        <w:rPr>
          <w:sz w:val="22"/>
          <w:lang w:val="es-ES_tradnl"/>
        </w:rPr>
      </w:pPr>
    </w:p>
    <w:p w14:paraId="15193C3C" w14:textId="77777777" w:rsidR="0029720B" w:rsidRPr="00566647" w:rsidRDefault="0029720B" w:rsidP="0030792F">
      <w:pPr>
        <w:rPr>
          <w:sz w:val="22"/>
          <w:u w:val="single"/>
          <w:lang w:val="es-ES_tradnl"/>
        </w:rPr>
      </w:pPr>
      <w:r w:rsidRPr="00566647">
        <w:rPr>
          <w:sz w:val="22"/>
          <w:u w:val="single"/>
          <w:lang w:val="es-ES_tradnl"/>
        </w:rPr>
        <w:t>Participante:</w:t>
      </w:r>
    </w:p>
    <w:p w14:paraId="04288E36" w14:textId="77777777" w:rsidR="0029720B" w:rsidRPr="00566647" w:rsidRDefault="0029720B" w:rsidP="0030792F">
      <w:pPr>
        <w:rPr>
          <w:sz w:val="22"/>
          <w:lang w:val="es-ES_tradnl"/>
        </w:rPr>
      </w:pPr>
      <w:r w:rsidRPr="00566647">
        <w:rPr>
          <w:sz w:val="22"/>
          <w:lang w:val="es-ES_tradnl"/>
        </w:rPr>
        <w:t>ZEBRA</w:t>
      </w:r>
    </w:p>
    <w:p w14:paraId="22E45AE0" w14:textId="77777777" w:rsidR="0029720B" w:rsidRPr="00566647" w:rsidRDefault="0029720B" w:rsidP="0030792F">
      <w:pPr>
        <w:rPr>
          <w:sz w:val="22"/>
          <w:u w:val="single"/>
          <w:lang w:val="es-ES_tradnl"/>
        </w:rPr>
      </w:pPr>
      <w:r w:rsidRPr="00566647">
        <w:rPr>
          <w:sz w:val="22"/>
          <w:u w:val="single"/>
          <w:lang w:val="es-ES_tradnl"/>
        </w:rPr>
        <w:t>Propuesta:</w:t>
      </w:r>
    </w:p>
    <w:p w14:paraId="2D7F1220" w14:textId="15392C54" w:rsidR="0029720B" w:rsidRPr="00566647" w:rsidRDefault="001B1EBB" w:rsidP="001B1EBB">
      <w:pPr>
        <w:pStyle w:val="Cita"/>
        <w:rPr>
          <w:lang w:val="es-ES_tradnl"/>
        </w:rPr>
      </w:pPr>
      <w:r w:rsidRPr="001B1EBB">
        <w:rPr>
          <w:lang w:val="es-ES_tradnl"/>
        </w:rPr>
        <w:t>«</w:t>
      </w:r>
      <w:r w:rsidR="0029720B" w:rsidRPr="00566647">
        <w:rPr>
          <w:lang w:val="es-ES_tradnl"/>
        </w:rPr>
        <w:t>Propuesta para la evaluación de la conformidad de la exposición humana se lleve a cabo independientemente del proceso de homologación de RF.</w:t>
      </w:r>
    </w:p>
    <w:p w14:paraId="7EE72BCA" w14:textId="28DC068F" w:rsidR="0029720B" w:rsidRPr="00566647" w:rsidRDefault="0029720B" w:rsidP="001B1EBB">
      <w:pPr>
        <w:pStyle w:val="Cita"/>
        <w:rPr>
          <w:lang w:val="es-ES_tradnl"/>
        </w:rPr>
      </w:pPr>
      <w:r w:rsidRPr="00566647">
        <w:rPr>
          <w:lang w:val="es-ES_tradnl"/>
        </w:rPr>
        <w:t>Consideramos que este enfoque sería engorroso y ralentizará el proceso de homologación. Para otros países que incorporan la exposición humana como parte de su esquema de homologación, esta evaluación se lleva a cabo junto con la homologación de RF.</w:t>
      </w:r>
      <w:r w:rsidR="001B1EBB" w:rsidRPr="001B1EBB">
        <w:rPr>
          <w:lang w:val="es-ES_tradnl"/>
        </w:rPr>
        <w:t>»</w:t>
      </w:r>
    </w:p>
    <w:p w14:paraId="0587E03E" w14:textId="77777777" w:rsidR="0029720B" w:rsidRPr="00566647" w:rsidRDefault="0029720B" w:rsidP="0030792F">
      <w:pPr>
        <w:rPr>
          <w:sz w:val="22"/>
          <w:u w:val="single"/>
          <w:lang w:val="es-ES_tradnl"/>
        </w:rPr>
      </w:pPr>
      <w:r w:rsidRPr="00566647">
        <w:rPr>
          <w:sz w:val="22"/>
          <w:u w:val="single"/>
          <w:lang w:val="es-ES_tradnl"/>
        </w:rPr>
        <w:t>Respuesta:</w:t>
      </w:r>
    </w:p>
    <w:p w14:paraId="48B267BD" w14:textId="77777777" w:rsidR="0025320E" w:rsidRPr="00566647" w:rsidRDefault="0029720B" w:rsidP="0030792F">
      <w:pPr>
        <w:rPr>
          <w:sz w:val="22"/>
        </w:rPr>
      </w:pPr>
      <w:r w:rsidRPr="00566647">
        <w:rPr>
          <w:sz w:val="22"/>
        </w:rPr>
        <w:lastRenderedPageBreak/>
        <w:t xml:space="preserve">No se considera. </w:t>
      </w:r>
      <w:r w:rsidR="0025320E" w:rsidRPr="00566647">
        <w:rPr>
          <w:sz w:val="22"/>
        </w:rPr>
        <w:t>El Artículo 289 de la Ley Federal de Telecomunicaciones y Radiodifus</w:t>
      </w:r>
      <w:r w:rsidR="0012539B" w:rsidRPr="00566647">
        <w:rPr>
          <w:sz w:val="22"/>
        </w:rPr>
        <w:t>i</w:t>
      </w:r>
      <w:r w:rsidR="0025320E" w:rsidRPr="00566647">
        <w:rPr>
          <w:sz w:val="22"/>
        </w:rPr>
        <w:t>ón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7F42A6DB" w14:textId="0F44225C" w:rsidR="0025320E" w:rsidRPr="00566647" w:rsidRDefault="00214F02" w:rsidP="0030792F">
      <w:pPr>
        <w:rPr>
          <w:sz w:val="22"/>
        </w:rPr>
      </w:pPr>
      <w:r w:rsidRPr="00566647">
        <w:rPr>
          <w:sz w:val="22"/>
        </w:rPr>
        <w:t>Asimismo,</w:t>
      </w:r>
      <w:r w:rsidR="0025320E" w:rsidRPr="00566647">
        <w:rPr>
          <w:sz w:val="22"/>
        </w:rPr>
        <w:t xml:space="preserve"> establece que el Instituto podrá aplicar el reconocimiento mutuo de la evaluación de la conformidad de productos, equipos, dispositivos o aparatos destinados a telecomunicaciones o radiodifusión que hayan evaluado su conformidad en otro Estado con el que el gobierno mexicano haya suscrito un acuerdo o tratado internacional para estos efectos.</w:t>
      </w:r>
    </w:p>
    <w:p w14:paraId="3B0820A9" w14:textId="76984597" w:rsidR="0029720B" w:rsidRPr="00566647" w:rsidRDefault="0029720B" w:rsidP="0030792F">
      <w:pPr>
        <w:rPr>
          <w:sz w:val="22"/>
        </w:rPr>
      </w:pPr>
      <w:r w:rsidRPr="00566647">
        <w:rPr>
          <w:sz w:val="22"/>
        </w:rPr>
        <w:t>Para que un producto</w:t>
      </w:r>
      <w:r w:rsidR="0025320E" w:rsidRPr="00566647">
        <w:rPr>
          <w:sz w:val="22"/>
        </w:rPr>
        <w:t xml:space="preserve">, equipos, dispositivos o aparatos destinados a telecomunicaciones o radiodifusión que puedan ser conectados a una red de telecomunicaciones o hacer uso del espectro radioeléctrico previo a </w:t>
      </w:r>
      <w:r w:rsidRPr="00566647">
        <w:rPr>
          <w:sz w:val="22"/>
        </w:rPr>
        <w:t>obten</w:t>
      </w:r>
      <w:r w:rsidR="0025320E" w:rsidRPr="00566647">
        <w:rPr>
          <w:sz w:val="22"/>
        </w:rPr>
        <w:t xml:space="preserve">er </w:t>
      </w:r>
      <w:r w:rsidRPr="00566647">
        <w:rPr>
          <w:sz w:val="22"/>
        </w:rPr>
        <w:t xml:space="preserve">el Certificado de Homologación debe </w:t>
      </w:r>
      <w:r w:rsidR="0025320E" w:rsidRPr="00566647">
        <w:rPr>
          <w:sz w:val="22"/>
        </w:rPr>
        <w:t xml:space="preserve">obtener el Certificado de Conformidad emitido por un Organismo de Evaluación dela conformidad </w:t>
      </w:r>
      <w:r w:rsidRPr="00566647">
        <w:rPr>
          <w:sz w:val="22"/>
        </w:rPr>
        <w:t xml:space="preserve">con respecto a todas las </w:t>
      </w:r>
      <w:r w:rsidR="00214F02" w:rsidRPr="00566647">
        <w:rPr>
          <w:sz w:val="22"/>
        </w:rPr>
        <w:t>d</w:t>
      </w:r>
      <w:r w:rsidRPr="00566647">
        <w:rPr>
          <w:sz w:val="22"/>
        </w:rPr>
        <w:t>isposiciones técnicas que le sean aplicables.</w:t>
      </w:r>
    </w:p>
    <w:p w14:paraId="51BCE5FD" w14:textId="6DAEF216" w:rsidR="00214F02" w:rsidRPr="00566647" w:rsidRDefault="00214F02" w:rsidP="0030792F">
      <w:pPr>
        <w:rPr>
          <w:sz w:val="22"/>
        </w:rPr>
      </w:pPr>
      <w:r w:rsidRPr="00566647">
        <w:rPr>
          <w:sz w:val="22"/>
        </w:rPr>
        <w:t>Sin embargo, considerando que las pruebas de RNI pueden tomar mucho tiempo en ser realizadas, se ha incluido en el Anteproyecto criterios de reducción de pruebas consistentes con los establecidos en la norma IEC 62209-1 e IEC 62209-2.</w:t>
      </w:r>
    </w:p>
    <w:p w14:paraId="41D9CC09" w14:textId="77777777" w:rsidR="0029720B" w:rsidRPr="00566647" w:rsidRDefault="0029720B" w:rsidP="0030792F">
      <w:pPr>
        <w:rPr>
          <w:sz w:val="22"/>
          <w:lang w:val="es-ES_tradnl"/>
        </w:rPr>
      </w:pPr>
    </w:p>
    <w:p w14:paraId="5B754A89" w14:textId="77777777" w:rsidR="0029720B" w:rsidRPr="00566647" w:rsidRDefault="0029720B" w:rsidP="0030792F">
      <w:pPr>
        <w:rPr>
          <w:sz w:val="22"/>
          <w:u w:val="single"/>
          <w:lang w:val="es-ES_tradnl"/>
        </w:rPr>
      </w:pPr>
      <w:r w:rsidRPr="00566647">
        <w:rPr>
          <w:sz w:val="22"/>
          <w:u w:val="single"/>
          <w:lang w:val="es-ES_tradnl"/>
        </w:rPr>
        <w:t>Participante:</w:t>
      </w:r>
    </w:p>
    <w:p w14:paraId="3DB95EBC" w14:textId="77777777" w:rsidR="0029720B" w:rsidRPr="00566647" w:rsidRDefault="004D3E07" w:rsidP="0030792F">
      <w:pPr>
        <w:rPr>
          <w:sz w:val="22"/>
          <w:lang w:val="es-ES_tradnl"/>
        </w:rPr>
      </w:pPr>
      <w:r w:rsidRPr="00566647">
        <w:rPr>
          <w:sz w:val="22"/>
          <w:lang w:val="es-ES_tradnl"/>
        </w:rPr>
        <w:t>CANIETI</w:t>
      </w:r>
    </w:p>
    <w:p w14:paraId="0B741A88" w14:textId="77777777" w:rsidR="0029720B" w:rsidRPr="00566647" w:rsidRDefault="0029720B" w:rsidP="0030792F">
      <w:pPr>
        <w:rPr>
          <w:sz w:val="22"/>
          <w:u w:val="single"/>
          <w:lang w:val="es-ES_tradnl"/>
        </w:rPr>
      </w:pPr>
      <w:r w:rsidRPr="00566647">
        <w:rPr>
          <w:sz w:val="22"/>
          <w:u w:val="single"/>
          <w:lang w:val="es-ES_tradnl"/>
        </w:rPr>
        <w:t>Propuesta:</w:t>
      </w:r>
    </w:p>
    <w:p w14:paraId="002A8AC8" w14:textId="6E6AE8A1" w:rsidR="004D3E07" w:rsidRPr="00566647" w:rsidRDefault="001B1EBB" w:rsidP="001B1EBB">
      <w:pPr>
        <w:pStyle w:val="Cita"/>
      </w:pPr>
      <w:r w:rsidRPr="001B1EBB">
        <w:t>«</w:t>
      </w:r>
      <w:r w:rsidR="004D3E07" w:rsidRPr="00566647">
        <w:t>Se solicita que los certificados que se consideren para el seguimiento en cuestión, sean únicamente los que se encuentren vigentes al momento de hacer la selección de las referencias a revisar.</w:t>
      </w:r>
      <w:r w:rsidRPr="001B1EBB">
        <w:t>»</w:t>
      </w:r>
    </w:p>
    <w:p w14:paraId="7B1AD70C" w14:textId="77777777" w:rsidR="0029720B" w:rsidRPr="00566647" w:rsidRDefault="0029720B" w:rsidP="0030792F">
      <w:pPr>
        <w:rPr>
          <w:sz w:val="22"/>
          <w:u w:val="single"/>
          <w:lang w:val="es-ES_tradnl"/>
        </w:rPr>
      </w:pPr>
      <w:r w:rsidRPr="00566647">
        <w:rPr>
          <w:sz w:val="22"/>
          <w:u w:val="single"/>
          <w:lang w:val="es-ES_tradnl"/>
        </w:rPr>
        <w:t>Respuesta:</w:t>
      </w:r>
    </w:p>
    <w:p w14:paraId="4FB8D0A2" w14:textId="77777777" w:rsidR="004D3E07" w:rsidRPr="00566647" w:rsidRDefault="004D3E07" w:rsidP="0030792F">
      <w:pPr>
        <w:rPr>
          <w:sz w:val="22"/>
        </w:rPr>
      </w:pPr>
      <w:r w:rsidRPr="00566647">
        <w:rPr>
          <w:sz w:val="22"/>
        </w:rPr>
        <w:t>Se considera y se modifica redacción.</w:t>
      </w:r>
    </w:p>
    <w:p w14:paraId="0028C706" w14:textId="77777777" w:rsidR="0029720B" w:rsidRPr="00566647" w:rsidRDefault="0029720B" w:rsidP="0030792F">
      <w:pPr>
        <w:rPr>
          <w:sz w:val="22"/>
          <w:lang w:val="es-ES_tradnl"/>
        </w:rPr>
      </w:pPr>
    </w:p>
    <w:p w14:paraId="3767E16F" w14:textId="77777777" w:rsidR="004D3E07" w:rsidRPr="00566647" w:rsidRDefault="004D3E07" w:rsidP="0030792F">
      <w:pPr>
        <w:rPr>
          <w:sz w:val="22"/>
          <w:u w:val="single"/>
          <w:lang w:val="es-ES_tradnl"/>
        </w:rPr>
      </w:pPr>
      <w:r w:rsidRPr="00566647">
        <w:rPr>
          <w:sz w:val="22"/>
          <w:u w:val="single"/>
          <w:lang w:val="es-ES_tradnl"/>
        </w:rPr>
        <w:t>Participante:</w:t>
      </w:r>
    </w:p>
    <w:p w14:paraId="27403844" w14:textId="77777777" w:rsidR="004D3E07" w:rsidRPr="00566647" w:rsidRDefault="004D3E07" w:rsidP="0030792F">
      <w:pPr>
        <w:rPr>
          <w:sz w:val="22"/>
          <w:lang w:val="es-ES_tradnl"/>
        </w:rPr>
      </w:pPr>
      <w:r w:rsidRPr="00566647">
        <w:rPr>
          <w:sz w:val="22"/>
          <w:lang w:val="es-ES_tradnl"/>
        </w:rPr>
        <w:t>ANATEL</w:t>
      </w:r>
    </w:p>
    <w:p w14:paraId="65BB61DE" w14:textId="77777777" w:rsidR="004D3E07" w:rsidRPr="00566647" w:rsidRDefault="004D3E07" w:rsidP="0030792F">
      <w:pPr>
        <w:rPr>
          <w:sz w:val="22"/>
          <w:u w:val="single"/>
          <w:lang w:val="es-ES_tradnl"/>
        </w:rPr>
      </w:pPr>
      <w:r w:rsidRPr="00566647">
        <w:rPr>
          <w:sz w:val="22"/>
          <w:u w:val="single"/>
          <w:lang w:val="es-ES_tradnl"/>
        </w:rPr>
        <w:t>Propuesta:</w:t>
      </w:r>
    </w:p>
    <w:p w14:paraId="60A66155" w14:textId="0DDD8C58" w:rsidR="004D3E07" w:rsidRPr="00566647" w:rsidRDefault="001B1EBB" w:rsidP="001B1EBB">
      <w:pPr>
        <w:pStyle w:val="Cita"/>
      </w:pPr>
      <w:r w:rsidRPr="001B1EBB">
        <w:lastRenderedPageBreak/>
        <w:t>«</w:t>
      </w:r>
      <w:r w:rsidR="004D3E07" w:rsidRPr="00566647">
        <w:t>Cambiar párrafo a "X. Dicho seguimiento se aplicará a no más de la mitad del total de certificados expedidos el año inmediato anterior, seleccionados de manera aleatoria. El seguimiento se hará con cargo al titular del certificado y se efectuará sobre los equipos que se encuentren en el territorio nacional, en las bodegas de los fabricantes, importadores, comercializadores, distribuidores o arrendadores, o en puntos de venta." Comentario: No hace sentido aplicarlo a productos con mayor antigüedad, ya que, los ciclos de vida son cada vez más cortos. A su vez, se evita el problema de falta de capacidad en los laboratorios para atender las evaluaciones de seguimiento y costos a los fabricantes y/o comercializadores.</w:t>
      </w:r>
      <w:r w:rsidRPr="001B1EBB">
        <w:t>»</w:t>
      </w:r>
    </w:p>
    <w:p w14:paraId="69F0D1FE" w14:textId="77777777" w:rsidR="004D3E07" w:rsidRPr="00566647" w:rsidRDefault="004D3E07" w:rsidP="0030792F">
      <w:pPr>
        <w:rPr>
          <w:sz w:val="22"/>
          <w:u w:val="single"/>
          <w:lang w:val="es-ES_tradnl"/>
        </w:rPr>
      </w:pPr>
      <w:r w:rsidRPr="00566647">
        <w:rPr>
          <w:sz w:val="22"/>
          <w:u w:val="single"/>
          <w:lang w:val="es-ES_tradnl"/>
        </w:rPr>
        <w:t>Respuesta:</w:t>
      </w:r>
    </w:p>
    <w:p w14:paraId="56B4EE7D" w14:textId="6F0ACBCD" w:rsidR="004D3E07" w:rsidRPr="00566647" w:rsidRDefault="004D3E07" w:rsidP="0030792F">
      <w:pPr>
        <w:rPr>
          <w:sz w:val="22"/>
        </w:rPr>
      </w:pPr>
      <w:r w:rsidRPr="00566647">
        <w:rPr>
          <w:sz w:val="22"/>
        </w:rPr>
        <w:t xml:space="preserve">No se considera, lo anterior en virtud de que el Procedimiento de Evaluación de la Conformidad establece las temporalidades de las Actividades de </w:t>
      </w:r>
      <w:r w:rsidR="0025320E" w:rsidRPr="00566647">
        <w:rPr>
          <w:sz w:val="22"/>
        </w:rPr>
        <w:t>seguimiento a los Certificados de Conformidad vigentes</w:t>
      </w:r>
      <w:r w:rsidRPr="00566647">
        <w:rPr>
          <w:sz w:val="22"/>
        </w:rPr>
        <w:t xml:space="preserve"> en función del Esquema de Certificación seleccionado por el interesado.</w:t>
      </w:r>
    </w:p>
    <w:p w14:paraId="16D8C358" w14:textId="77777777" w:rsidR="00177C46" w:rsidRPr="00566647" w:rsidRDefault="00177C46" w:rsidP="0030792F">
      <w:pPr>
        <w:rPr>
          <w:sz w:val="22"/>
        </w:rPr>
      </w:pPr>
    </w:p>
    <w:p w14:paraId="762E1CDB" w14:textId="77777777" w:rsidR="004D3E07" w:rsidRPr="00566647" w:rsidRDefault="004D3E07" w:rsidP="0030792F">
      <w:pPr>
        <w:rPr>
          <w:sz w:val="22"/>
          <w:u w:val="single"/>
          <w:lang w:val="es-ES_tradnl"/>
        </w:rPr>
      </w:pPr>
      <w:r w:rsidRPr="00566647">
        <w:rPr>
          <w:sz w:val="22"/>
          <w:u w:val="single"/>
          <w:lang w:val="es-ES_tradnl"/>
        </w:rPr>
        <w:t>Participantes:</w:t>
      </w:r>
    </w:p>
    <w:p w14:paraId="6215E987" w14:textId="77777777" w:rsidR="004D3E07" w:rsidRPr="00566647" w:rsidRDefault="004D3E07" w:rsidP="0030792F">
      <w:pPr>
        <w:rPr>
          <w:sz w:val="22"/>
          <w:lang w:val="es-ES_tradnl"/>
        </w:rPr>
      </w:pPr>
      <w:r w:rsidRPr="00566647">
        <w:rPr>
          <w:sz w:val="22"/>
          <w:lang w:val="es-ES_tradnl"/>
        </w:rPr>
        <w:t>CANIETI, ANATEL</w:t>
      </w:r>
    </w:p>
    <w:p w14:paraId="7DACD680" w14:textId="77777777" w:rsidR="004D3E07" w:rsidRPr="00566647" w:rsidRDefault="004D3E07" w:rsidP="0030792F">
      <w:pPr>
        <w:rPr>
          <w:sz w:val="22"/>
          <w:u w:val="single"/>
          <w:lang w:val="es-ES_tradnl"/>
        </w:rPr>
      </w:pPr>
      <w:r w:rsidRPr="00566647">
        <w:rPr>
          <w:sz w:val="22"/>
          <w:u w:val="single"/>
          <w:lang w:val="es-ES_tradnl"/>
        </w:rPr>
        <w:t>Propuesta:</w:t>
      </w:r>
    </w:p>
    <w:p w14:paraId="6AADF35E" w14:textId="12E933F5" w:rsidR="004D3E07" w:rsidRPr="00566647" w:rsidRDefault="001B1EBB" w:rsidP="001B1EBB">
      <w:pPr>
        <w:pStyle w:val="Cita"/>
        <w:rPr>
          <w:lang w:val="es-ES_tradnl"/>
        </w:rPr>
      </w:pPr>
      <w:r w:rsidRPr="001B1EBB">
        <w:rPr>
          <w:lang w:val="es-ES_tradnl"/>
        </w:rPr>
        <w:t>«</w:t>
      </w:r>
      <w:r w:rsidR="004D3E07" w:rsidRPr="00566647">
        <w:rPr>
          <w:lang w:val="es-ES_tradnl"/>
        </w:rPr>
        <w:t xml:space="preserve">Comentario: Actualmente la información técnica de los equipos se entrega a los organismos de certificación en inglés. Sólo el Manual del usuario se traduce. Propuesta. En </w:t>
      </w:r>
      <w:proofErr w:type="gramStart"/>
      <w:r w:rsidR="004D3E07" w:rsidRPr="00566647">
        <w:rPr>
          <w:lang w:val="es-ES_tradnl"/>
        </w:rPr>
        <w:t>Español</w:t>
      </w:r>
      <w:proofErr w:type="gramEnd"/>
      <w:r w:rsidR="004D3E07" w:rsidRPr="00566647">
        <w:rPr>
          <w:lang w:val="es-ES_tradnl"/>
        </w:rPr>
        <w:t xml:space="preserve"> sólo el Manual del Usuario y el resto de la información técnica en Inglés.</w:t>
      </w:r>
      <w:r w:rsidRPr="001B1EBB">
        <w:rPr>
          <w:lang w:val="es-ES_tradnl"/>
        </w:rPr>
        <w:t>»</w:t>
      </w:r>
    </w:p>
    <w:p w14:paraId="2E5E5B8E" w14:textId="77777777" w:rsidR="004D3E07" w:rsidRPr="00566647" w:rsidRDefault="004D3E07" w:rsidP="0030792F">
      <w:pPr>
        <w:rPr>
          <w:sz w:val="22"/>
          <w:u w:val="single"/>
          <w:lang w:val="es-ES_tradnl"/>
        </w:rPr>
      </w:pPr>
      <w:r w:rsidRPr="00566647">
        <w:rPr>
          <w:sz w:val="22"/>
          <w:u w:val="single"/>
          <w:lang w:val="es-ES_tradnl"/>
        </w:rPr>
        <w:t>Respuesta:</w:t>
      </w:r>
    </w:p>
    <w:p w14:paraId="351FA635" w14:textId="0A8B5697" w:rsidR="00177C46" w:rsidRPr="00566647" w:rsidRDefault="00177C46" w:rsidP="008D18D1">
      <w:pPr>
        <w:rPr>
          <w:i/>
          <w:sz w:val="22"/>
          <w:lang w:val="es-ES_tradnl"/>
        </w:rPr>
      </w:pPr>
      <w:r w:rsidRPr="00566647">
        <w:rPr>
          <w:sz w:val="22"/>
          <w:lang w:val="es-ES_tradnl"/>
        </w:rPr>
        <w:t>Se considera y se modifica la redacción del numeral 8, fracción XVI</w:t>
      </w:r>
      <w:r w:rsidR="008D18D1">
        <w:rPr>
          <w:i/>
          <w:sz w:val="22"/>
          <w:lang w:val="es-ES_tradnl"/>
        </w:rPr>
        <w:t>.</w:t>
      </w:r>
    </w:p>
    <w:p w14:paraId="2681FA97" w14:textId="77777777" w:rsidR="00DB1D38" w:rsidRPr="00566647" w:rsidRDefault="00DB1D38" w:rsidP="0030792F">
      <w:pPr>
        <w:spacing w:line="360" w:lineRule="auto"/>
        <w:ind w:left="426" w:right="474"/>
        <w:rPr>
          <w:i/>
          <w:sz w:val="22"/>
          <w:lang w:val="es-ES_tradnl"/>
        </w:rPr>
      </w:pPr>
    </w:p>
    <w:p w14:paraId="50F9D991" w14:textId="77777777" w:rsidR="004D3E07" w:rsidRPr="00566647" w:rsidRDefault="004D3E07" w:rsidP="0030792F">
      <w:pPr>
        <w:pStyle w:val="Ttulo2"/>
        <w:rPr>
          <w:lang w:val="es-ES_tradnl"/>
        </w:rPr>
      </w:pPr>
      <w:r w:rsidRPr="00566647">
        <w:rPr>
          <w:lang w:val="es-ES_tradnl"/>
        </w:rPr>
        <w:t>10. Contraseña de Producto</w:t>
      </w:r>
    </w:p>
    <w:p w14:paraId="1C1C6A44" w14:textId="77777777" w:rsidR="004D3E07" w:rsidRPr="00566647" w:rsidRDefault="004D3E07" w:rsidP="0030792F">
      <w:pPr>
        <w:rPr>
          <w:sz w:val="22"/>
          <w:u w:val="single"/>
          <w:lang w:val="es-ES_tradnl"/>
        </w:rPr>
      </w:pPr>
      <w:r w:rsidRPr="00566647">
        <w:rPr>
          <w:sz w:val="22"/>
          <w:u w:val="single"/>
          <w:lang w:val="es-ES_tradnl"/>
        </w:rPr>
        <w:t>Participante:</w:t>
      </w:r>
    </w:p>
    <w:p w14:paraId="09257D56" w14:textId="77777777" w:rsidR="004D3E07" w:rsidRPr="00566647" w:rsidRDefault="00103409" w:rsidP="0030792F">
      <w:pPr>
        <w:rPr>
          <w:sz w:val="22"/>
          <w:lang w:val="es-ES_tradnl"/>
        </w:rPr>
      </w:pPr>
      <w:r w:rsidRPr="00566647">
        <w:rPr>
          <w:sz w:val="22"/>
          <w:lang w:val="es-ES_tradnl"/>
        </w:rPr>
        <w:t>SONY</w:t>
      </w:r>
    </w:p>
    <w:p w14:paraId="7E45FC6B" w14:textId="77777777" w:rsidR="004D3E07" w:rsidRPr="00566647" w:rsidRDefault="004D3E07" w:rsidP="0030792F">
      <w:pPr>
        <w:rPr>
          <w:sz w:val="22"/>
          <w:u w:val="single"/>
          <w:lang w:val="es-ES_tradnl"/>
        </w:rPr>
      </w:pPr>
      <w:r w:rsidRPr="00566647">
        <w:rPr>
          <w:sz w:val="22"/>
          <w:u w:val="single"/>
          <w:lang w:val="es-ES_tradnl"/>
        </w:rPr>
        <w:t>Propuesta:</w:t>
      </w:r>
    </w:p>
    <w:p w14:paraId="5DF18D34" w14:textId="58779BB8" w:rsidR="004D3E07" w:rsidRPr="00566647" w:rsidRDefault="001B1EBB" w:rsidP="001B1EBB">
      <w:pPr>
        <w:pStyle w:val="Cita"/>
        <w:rPr>
          <w:lang w:val="es-ES_tradnl"/>
        </w:rPr>
      </w:pPr>
      <w:r w:rsidRPr="001B1EBB">
        <w:rPr>
          <w:lang w:val="es-ES_tradnl"/>
        </w:rPr>
        <w:t>«</w:t>
      </w:r>
      <w:r w:rsidR="004D3E07" w:rsidRPr="00566647">
        <w:rPr>
          <w:lang w:val="es-ES_tradnl"/>
        </w:rPr>
        <w:t xml:space="preserve">Dado que esta regulación aplica a productos a los cuales se da cumplimiento con otra/s regulación/es de telecomunicaciones, es importante considerar que se expida un solo número de certificado de homologación, o que al Instituto Federal de Telecomunicaciones conceda el tener un solo número de certificado que combine el cumplimiento con 2 o más certificados de homologación. </w:t>
      </w:r>
    </w:p>
    <w:p w14:paraId="16C2F94E" w14:textId="30F24A89" w:rsidR="004D3E07" w:rsidRPr="00566647" w:rsidRDefault="004D3E07" w:rsidP="001B1EBB">
      <w:pPr>
        <w:pStyle w:val="Cita"/>
        <w:rPr>
          <w:lang w:val="es-ES_tradnl"/>
        </w:rPr>
      </w:pPr>
      <w:r w:rsidRPr="00566647">
        <w:rPr>
          <w:lang w:val="es-ES_tradnl"/>
        </w:rPr>
        <w:lastRenderedPageBreak/>
        <w:t>Debe decir: Los Dispositivos de comunicaciones inalámbricas amparados por el Certificado de Homologación, deberán exhibir el número de Certificado de Homologación correspondiente, así como la marca y el modelo con la que se expide dicho certificado en cada unidad de producto mediante marcado o etiqueta que lo haga ostensible, claro, visible, legible, intransferible e indeleble con el uso normal. De no ser posible exhibir dicho número en el producto mismo, podrá exhibirse de manera electrónica en el mismo Dispositivos de comunicaciones inalámbricas. El producto puede dar cumplimiento a una o más regulaciones con un mismo número de Certificado de Homologación. El marcado o etiqueta a que se refiere el párrafo anterior, deberá cumplir con los elementos y características que indique la disposición que al efecto emita el Instituto.</w:t>
      </w:r>
      <w:r w:rsidR="001B1EBB" w:rsidRPr="001B1EBB">
        <w:rPr>
          <w:lang w:val="es-ES_tradnl"/>
        </w:rPr>
        <w:t>»</w:t>
      </w:r>
    </w:p>
    <w:p w14:paraId="50E2F103" w14:textId="77777777" w:rsidR="004D3E07" w:rsidRPr="00566647" w:rsidRDefault="004D3E07" w:rsidP="0030792F">
      <w:pPr>
        <w:rPr>
          <w:sz w:val="22"/>
          <w:u w:val="single"/>
          <w:lang w:val="es-ES_tradnl"/>
        </w:rPr>
      </w:pPr>
      <w:r w:rsidRPr="00566647">
        <w:rPr>
          <w:sz w:val="22"/>
          <w:u w:val="single"/>
          <w:lang w:val="es-ES_tradnl"/>
        </w:rPr>
        <w:t>Respuesta:</w:t>
      </w:r>
    </w:p>
    <w:p w14:paraId="2D44EB77" w14:textId="77777777" w:rsidR="004D3E07" w:rsidRPr="00566647" w:rsidRDefault="004D3E07" w:rsidP="0030792F">
      <w:pPr>
        <w:pStyle w:val="Textocomentario"/>
        <w:jc w:val="both"/>
        <w:rPr>
          <w:sz w:val="22"/>
          <w:szCs w:val="22"/>
        </w:rPr>
      </w:pPr>
      <w:r w:rsidRPr="00566647">
        <w:rPr>
          <w:sz w:val="22"/>
          <w:szCs w:val="22"/>
        </w:rPr>
        <w:t>Se considera y se incluye un párrafo para dar más claridad.</w:t>
      </w:r>
    </w:p>
    <w:p w14:paraId="4809F2DF" w14:textId="77777777" w:rsidR="0029720B" w:rsidRPr="00566647" w:rsidRDefault="0029720B" w:rsidP="0030792F">
      <w:pPr>
        <w:rPr>
          <w:sz w:val="22"/>
          <w:lang w:val="es-ES_tradnl"/>
        </w:rPr>
      </w:pPr>
    </w:p>
    <w:p w14:paraId="40B72928" w14:textId="77777777" w:rsidR="004D3E07" w:rsidRPr="00566647" w:rsidRDefault="004D3E07" w:rsidP="0030792F">
      <w:pPr>
        <w:pStyle w:val="Ttulo2"/>
        <w:rPr>
          <w:lang w:val="es-ES_tradnl"/>
        </w:rPr>
      </w:pPr>
      <w:r w:rsidRPr="00566647">
        <w:rPr>
          <w:lang w:val="es-ES_tradnl"/>
        </w:rPr>
        <w:t>11. Disposiciones Transitorias</w:t>
      </w:r>
    </w:p>
    <w:p w14:paraId="4DB2BCB2" w14:textId="77777777" w:rsidR="004D3E07" w:rsidRPr="00566647" w:rsidRDefault="004D3E07" w:rsidP="0030792F">
      <w:pPr>
        <w:rPr>
          <w:sz w:val="22"/>
          <w:u w:val="single"/>
          <w:lang w:val="es-ES_tradnl"/>
        </w:rPr>
      </w:pPr>
      <w:r w:rsidRPr="00566647">
        <w:rPr>
          <w:sz w:val="22"/>
          <w:u w:val="single"/>
          <w:lang w:val="es-ES_tradnl"/>
        </w:rPr>
        <w:t>Participante</w:t>
      </w:r>
      <w:r w:rsidR="005D42AA" w:rsidRPr="00566647">
        <w:rPr>
          <w:sz w:val="22"/>
          <w:u w:val="single"/>
          <w:lang w:val="es-ES_tradnl"/>
        </w:rPr>
        <w:t>s</w:t>
      </w:r>
      <w:r w:rsidRPr="00566647">
        <w:rPr>
          <w:sz w:val="22"/>
          <w:u w:val="single"/>
          <w:lang w:val="es-ES_tradnl"/>
        </w:rPr>
        <w:t>:</w:t>
      </w:r>
    </w:p>
    <w:p w14:paraId="5CFDD859" w14:textId="77777777" w:rsidR="004D3E07" w:rsidRPr="00566647" w:rsidRDefault="004D3E07" w:rsidP="0030792F">
      <w:pPr>
        <w:rPr>
          <w:sz w:val="22"/>
          <w:lang w:val="es-ES_tradnl"/>
        </w:rPr>
      </w:pPr>
      <w:r w:rsidRPr="00566647">
        <w:rPr>
          <w:sz w:val="22"/>
          <w:lang w:val="es-ES_tradnl"/>
        </w:rPr>
        <w:t>ANATEL</w:t>
      </w:r>
      <w:r w:rsidR="005D42AA" w:rsidRPr="00566647">
        <w:rPr>
          <w:sz w:val="22"/>
          <w:lang w:val="es-ES_tradnl"/>
        </w:rPr>
        <w:t>, ANCE</w:t>
      </w:r>
    </w:p>
    <w:p w14:paraId="1161A673" w14:textId="77777777" w:rsidR="004D3E07" w:rsidRPr="00566647" w:rsidRDefault="004D3E07" w:rsidP="0030792F">
      <w:pPr>
        <w:rPr>
          <w:sz w:val="22"/>
          <w:u w:val="single"/>
          <w:lang w:val="es-ES_tradnl"/>
        </w:rPr>
      </w:pPr>
      <w:r w:rsidRPr="00566647">
        <w:rPr>
          <w:sz w:val="22"/>
          <w:u w:val="single"/>
          <w:lang w:val="es-ES_tradnl"/>
        </w:rPr>
        <w:t>Propuesta:</w:t>
      </w:r>
    </w:p>
    <w:p w14:paraId="6A3B54A1" w14:textId="0EB506DD" w:rsidR="004D3E07" w:rsidRPr="00566647" w:rsidRDefault="001B1EBB" w:rsidP="001B1EBB">
      <w:pPr>
        <w:pStyle w:val="Cita"/>
      </w:pPr>
      <w:r w:rsidRPr="001B1EBB">
        <w:t>«</w:t>
      </w:r>
      <w:r w:rsidR="004D3E07" w:rsidRPr="00566647">
        <w:t>Cambiar párrafo a "PRIMERO.</w:t>
      </w:r>
      <w:r w:rsidR="0030792F">
        <w:t xml:space="preserve"> </w:t>
      </w:r>
      <w:r w:rsidR="004D3E07" w:rsidRPr="00566647">
        <w:t>- La presente DT entrará en vigor a los trescientos sesenta y cinco días naturales contados a partir de su publicación en el Diario Oficial de la Federación, sin perjuicio de lo dispuesto en los transitorios siguientes." Comentario: Actualmente no hay una infraestructura de laboratorios en México y se necesita más tiempo para desarrollarla, evitando que se presente un cuello de botella que afecte las ventas de fabricantes y comercializadores de equipos en tiempo y forma.</w:t>
      </w:r>
      <w:r w:rsidRPr="001B1EBB">
        <w:t>»</w:t>
      </w:r>
    </w:p>
    <w:p w14:paraId="012A8FF1" w14:textId="77777777" w:rsidR="004D3E07" w:rsidRPr="00566647" w:rsidRDefault="004D3E07" w:rsidP="0030792F">
      <w:pPr>
        <w:rPr>
          <w:sz w:val="22"/>
          <w:u w:val="single"/>
          <w:lang w:val="es-ES_tradnl"/>
        </w:rPr>
      </w:pPr>
      <w:r w:rsidRPr="00566647">
        <w:rPr>
          <w:sz w:val="22"/>
          <w:u w:val="single"/>
          <w:lang w:val="es-ES_tradnl"/>
        </w:rPr>
        <w:t>Respuesta:</w:t>
      </w:r>
    </w:p>
    <w:p w14:paraId="58E0AFCB" w14:textId="0EE65875" w:rsidR="004D3E07" w:rsidRPr="00566647" w:rsidRDefault="00942AAB" w:rsidP="0030792F">
      <w:pPr>
        <w:pStyle w:val="Textocomentario"/>
        <w:jc w:val="both"/>
        <w:rPr>
          <w:sz w:val="22"/>
          <w:szCs w:val="22"/>
        </w:rPr>
      </w:pPr>
      <w:r>
        <w:rPr>
          <w:sz w:val="22"/>
          <w:szCs w:val="22"/>
        </w:rPr>
        <w:t>S</w:t>
      </w:r>
      <w:r w:rsidR="004D3E07" w:rsidRPr="00566647">
        <w:rPr>
          <w:sz w:val="22"/>
          <w:szCs w:val="22"/>
        </w:rPr>
        <w:t>e considera</w:t>
      </w:r>
      <w:r w:rsidR="00265BD9" w:rsidRPr="00566647">
        <w:rPr>
          <w:sz w:val="22"/>
          <w:szCs w:val="22"/>
        </w:rPr>
        <w:t>,</w:t>
      </w:r>
      <w:r w:rsidR="004D3E07" w:rsidRPr="00566647">
        <w:rPr>
          <w:sz w:val="22"/>
          <w:szCs w:val="22"/>
        </w:rPr>
        <w:t xml:space="preserve"> </w:t>
      </w:r>
      <w:r w:rsidR="00265BD9" w:rsidRPr="00566647">
        <w:rPr>
          <w:sz w:val="22"/>
          <w:szCs w:val="22"/>
        </w:rPr>
        <w:t xml:space="preserve">la </w:t>
      </w:r>
      <w:r w:rsidR="004D3E07" w:rsidRPr="00566647">
        <w:rPr>
          <w:sz w:val="22"/>
          <w:szCs w:val="22"/>
        </w:rPr>
        <w:t>entrada en vigor</w:t>
      </w:r>
      <w:r w:rsidR="00265BD9" w:rsidRPr="00566647">
        <w:rPr>
          <w:sz w:val="22"/>
          <w:szCs w:val="22"/>
        </w:rPr>
        <w:t xml:space="preserve"> será </w:t>
      </w:r>
      <w:r>
        <w:rPr>
          <w:sz w:val="22"/>
          <w:szCs w:val="22"/>
        </w:rPr>
        <w:t>a 1 año de la publicación en el DOF</w:t>
      </w:r>
      <w:r w:rsidR="004D3E07" w:rsidRPr="00566647">
        <w:rPr>
          <w:sz w:val="22"/>
          <w:szCs w:val="22"/>
        </w:rPr>
        <w:t>.</w:t>
      </w:r>
    </w:p>
    <w:p w14:paraId="3EC4F522" w14:textId="77777777" w:rsidR="0029720B" w:rsidRPr="00566647" w:rsidRDefault="0029720B" w:rsidP="0030792F">
      <w:pPr>
        <w:rPr>
          <w:sz w:val="22"/>
          <w:lang w:val="es-ES_tradnl"/>
        </w:rPr>
      </w:pPr>
    </w:p>
    <w:p w14:paraId="24FCFE5B" w14:textId="77777777" w:rsidR="004D3E07" w:rsidRPr="00566647" w:rsidRDefault="004D3E07" w:rsidP="0030792F">
      <w:pPr>
        <w:rPr>
          <w:sz w:val="22"/>
          <w:u w:val="single"/>
          <w:lang w:val="es-ES_tradnl"/>
        </w:rPr>
      </w:pPr>
      <w:r w:rsidRPr="00566647">
        <w:rPr>
          <w:sz w:val="22"/>
          <w:u w:val="single"/>
          <w:lang w:val="es-ES_tradnl"/>
        </w:rPr>
        <w:t>Participante</w:t>
      </w:r>
      <w:r w:rsidR="005D42AA" w:rsidRPr="00566647">
        <w:rPr>
          <w:sz w:val="22"/>
          <w:u w:val="single"/>
          <w:lang w:val="es-ES_tradnl"/>
        </w:rPr>
        <w:t>s</w:t>
      </w:r>
      <w:r w:rsidRPr="00566647">
        <w:rPr>
          <w:sz w:val="22"/>
          <w:u w:val="single"/>
          <w:lang w:val="es-ES_tradnl"/>
        </w:rPr>
        <w:t>:</w:t>
      </w:r>
    </w:p>
    <w:p w14:paraId="18B6BD35" w14:textId="77777777" w:rsidR="004D3E07" w:rsidRPr="00566647" w:rsidRDefault="00103409" w:rsidP="0030792F">
      <w:pPr>
        <w:rPr>
          <w:sz w:val="22"/>
          <w:lang w:val="es-ES_tradnl"/>
        </w:rPr>
      </w:pPr>
      <w:r w:rsidRPr="00566647">
        <w:rPr>
          <w:sz w:val="22"/>
          <w:lang w:val="es-ES_tradnl"/>
        </w:rPr>
        <w:t>SONY</w:t>
      </w:r>
      <w:r w:rsidR="005D42AA" w:rsidRPr="00566647">
        <w:rPr>
          <w:sz w:val="22"/>
          <w:lang w:val="es-ES_tradnl"/>
        </w:rPr>
        <w:t>, CANIETI</w:t>
      </w:r>
    </w:p>
    <w:p w14:paraId="35854D0E" w14:textId="77777777" w:rsidR="004D3E07" w:rsidRPr="00566647" w:rsidRDefault="004D3E07" w:rsidP="0030792F">
      <w:pPr>
        <w:rPr>
          <w:sz w:val="22"/>
          <w:u w:val="single"/>
          <w:lang w:val="es-ES_tradnl"/>
        </w:rPr>
      </w:pPr>
      <w:r w:rsidRPr="00566647">
        <w:rPr>
          <w:sz w:val="22"/>
          <w:u w:val="single"/>
          <w:lang w:val="es-ES_tradnl"/>
        </w:rPr>
        <w:t>Propuesta:</w:t>
      </w:r>
    </w:p>
    <w:p w14:paraId="55E9F1C5" w14:textId="643CA784" w:rsidR="005D42AA" w:rsidRPr="00566647" w:rsidRDefault="001B1EBB" w:rsidP="001B1EBB">
      <w:pPr>
        <w:pStyle w:val="Cita"/>
      </w:pPr>
      <w:r w:rsidRPr="001B1EBB">
        <w:t>«</w:t>
      </w:r>
      <w:r w:rsidR="005D42AA" w:rsidRPr="00566647">
        <w:t>Considerando que esta regulación es totalmente nueva en su aplicación en México, es importante contar con un periodo de transición de 1 año.</w:t>
      </w:r>
      <w:r w:rsidRPr="001B1EBB">
        <w:t>»</w:t>
      </w:r>
    </w:p>
    <w:p w14:paraId="0AECEAB0" w14:textId="77777777" w:rsidR="004D3E07" w:rsidRPr="00566647" w:rsidRDefault="004D3E07" w:rsidP="0030792F">
      <w:pPr>
        <w:rPr>
          <w:sz w:val="22"/>
          <w:u w:val="single"/>
          <w:lang w:val="es-ES_tradnl"/>
        </w:rPr>
      </w:pPr>
      <w:r w:rsidRPr="00566647">
        <w:rPr>
          <w:sz w:val="22"/>
          <w:u w:val="single"/>
          <w:lang w:val="es-ES_tradnl"/>
        </w:rPr>
        <w:t>Respuesta:</w:t>
      </w:r>
    </w:p>
    <w:p w14:paraId="3DF4066E" w14:textId="22B120D3" w:rsidR="005D42AA" w:rsidRPr="00566647" w:rsidRDefault="006B45E2" w:rsidP="0030792F">
      <w:pPr>
        <w:rPr>
          <w:sz w:val="22"/>
        </w:rPr>
      </w:pPr>
      <w:r w:rsidRPr="00566647">
        <w:rPr>
          <w:sz w:val="22"/>
        </w:rPr>
        <w:lastRenderedPageBreak/>
        <w:t>Se considera</w:t>
      </w:r>
      <w:r w:rsidR="00265BD9" w:rsidRPr="00566647">
        <w:rPr>
          <w:sz w:val="22"/>
        </w:rPr>
        <w:t xml:space="preserve">, la entrada en vigor queda establecida a </w:t>
      </w:r>
      <w:r w:rsidR="00EF0060">
        <w:rPr>
          <w:sz w:val="22"/>
        </w:rPr>
        <w:t>12 meses</w:t>
      </w:r>
      <w:r w:rsidR="00265BD9" w:rsidRPr="00566647">
        <w:rPr>
          <w:sz w:val="22"/>
        </w:rPr>
        <w:t xml:space="preserve"> de la publicación del </w:t>
      </w:r>
      <w:r w:rsidR="00976034">
        <w:rPr>
          <w:sz w:val="22"/>
        </w:rPr>
        <w:t>Anteproyecto</w:t>
      </w:r>
      <w:r w:rsidR="00265BD9" w:rsidRPr="00566647">
        <w:rPr>
          <w:sz w:val="22"/>
        </w:rPr>
        <w:t xml:space="preserve"> en el DOF</w:t>
      </w:r>
      <w:r w:rsidR="005D42AA" w:rsidRPr="00566647">
        <w:rPr>
          <w:sz w:val="22"/>
        </w:rPr>
        <w:t>.</w:t>
      </w:r>
    </w:p>
    <w:p w14:paraId="55A76F0B" w14:textId="77777777" w:rsidR="0029720B" w:rsidRPr="00566647" w:rsidRDefault="0029720B" w:rsidP="0030792F">
      <w:pPr>
        <w:rPr>
          <w:sz w:val="22"/>
          <w:lang w:val="es-ES_tradnl"/>
        </w:rPr>
      </w:pPr>
    </w:p>
    <w:p w14:paraId="135BE4F9" w14:textId="77777777" w:rsidR="005D42AA" w:rsidRPr="00566647" w:rsidRDefault="005D42AA" w:rsidP="0030792F">
      <w:pPr>
        <w:rPr>
          <w:sz w:val="22"/>
          <w:u w:val="single"/>
          <w:lang w:val="es-ES_tradnl"/>
        </w:rPr>
      </w:pPr>
      <w:r w:rsidRPr="00566647">
        <w:rPr>
          <w:sz w:val="22"/>
          <w:u w:val="single"/>
          <w:lang w:val="es-ES_tradnl"/>
        </w:rPr>
        <w:t>Participante:</w:t>
      </w:r>
    </w:p>
    <w:p w14:paraId="476BCE1E" w14:textId="77777777" w:rsidR="005D42AA" w:rsidRPr="00566647" w:rsidRDefault="006D2CEA" w:rsidP="0030792F">
      <w:pPr>
        <w:rPr>
          <w:sz w:val="22"/>
          <w:lang w:val="es-ES_tradnl"/>
        </w:rPr>
      </w:pPr>
      <w:r w:rsidRPr="00566647">
        <w:rPr>
          <w:sz w:val="22"/>
          <w:lang w:val="es-ES_tradnl"/>
        </w:rPr>
        <w:t>SONY</w:t>
      </w:r>
    </w:p>
    <w:p w14:paraId="0DCF2E71" w14:textId="77777777" w:rsidR="005D42AA" w:rsidRPr="00566647" w:rsidRDefault="005D42AA" w:rsidP="0030792F">
      <w:pPr>
        <w:rPr>
          <w:sz w:val="22"/>
          <w:u w:val="single"/>
          <w:lang w:val="es-ES_tradnl"/>
        </w:rPr>
      </w:pPr>
      <w:r w:rsidRPr="00566647">
        <w:rPr>
          <w:sz w:val="22"/>
          <w:u w:val="single"/>
          <w:lang w:val="es-ES_tradnl"/>
        </w:rPr>
        <w:t>Propuesta:</w:t>
      </w:r>
    </w:p>
    <w:p w14:paraId="60355AD9" w14:textId="7D7ECEF8" w:rsidR="005D42AA" w:rsidRPr="00566647" w:rsidRDefault="001B1EBB" w:rsidP="001B1EBB">
      <w:pPr>
        <w:pStyle w:val="Cita"/>
      </w:pPr>
      <w:r w:rsidRPr="001B1EBB">
        <w:t>«</w:t>
      </w:r>
      <w:r w:rsidR="005D42AA" w:rsidRPr="00566647">
        <w:t xml:space="preserve">Facilitar que una vez que sea publicada la DT y que se tenga a laboratorios y organismos de certificación acreditados se puedan realizar las pruebas de laboratorio y aplicación correspondientes al organismo de certificación aún antes que la DT entre en vigor. </w:t>
      </w:r>
    </w:p>
    <w:p w14:paraId="79EB20B4" w14:textId="42D58469" w:rsidR="005D42AA" w:rsidRPr="00566647" w:rsidRDefault="005D42AA" w:rsidP="001B1EBB">
      <w:pPr>
        <w:pStyle w:val="Cita"/>
      </w:pPr>
      <w:r w:rsidRPr="00566647">
        <w:t>Dice: TERCERO.</w:t>
      </w:r>
      <w:r w:rsidR="0030792F">
        <w:t xml:space="preserve"> </w:t>
      </w:r>
      <w:r w:rsidRPr="00566647">
        <w:t>- Los Dispositivos de comunicaciones inalámbricas se podrán certificar con respecto a esta DT una vez que el Instituto autorice o reconozca al primer Laboratorio de Prueba (bajo el marco de un Acuerdo de Reconocimiento Mutuo) y Organismo de Certificación, lo anterior una vez que la presente Disposición Técnica entre en vigor.</w:t>
      </w:r>
    </w:p>
    <w:p w14:paraId="4C528C7B" w14:textId="60002501" w:rsidR="005D42AA" w:rsidRPr="00566647" w:rsidRDefault="005D42AA" w:rsidP="001B1EBB">
      <w:pPr>
        <w:pStyle w:val="Cita"/>
      </w:pPr>
      <w:r w:rsidRPr="00566647">
        <w:t>Debe decir: TERCERO.</w:t>
      </w:r>
      <w:r w:rsidR="0030792F">
        <w:t xml:space="preserve"> </w:t>
      </w:r>
      <w:r w:rsidRPr="00566647">
        <w:t>- Los Dispositivos de comunicaciones inalámbricas se podrán certificar con respecto a esta DT una vez que el Instituto autorice o reconozca al primer Laboratorio de Prueba (bajo el marco de un Acuerdo de Reconocimiento Mutuo) y Organismo de Certificación, lo anterior aún antes de que la presente Disposición Técnica entre en vigor. Los laboratorios de prueba y los organismos de certificación de producto podrán iniciar los trámites de acreditación y aprobación en la presente Disposición Técnica una vez que en el Diario Oficial de la Federación se publique la norma definitiva.</w:t>
      </w:r>
      <w:r w:rsidR="001B1EBB" w:rsidRPr="001B1EBB">
        <w:t>»</w:t>
      </w:r>
    </w:p>
    <w:p w14:paraId="15E42487" w14:textId="77777777" w:rsidR="005D42AA" w:rsidRPr="00566647" w:rsidRDefault="005D42AA" w:rsidP="0030792F">
      <w:pPr>
        <w:rPr>
          <w:sz w:val="22"/>
          <w:u w:val="single"/>
          <w:lang w:val="es-ES_tradnl"/>
        </w:rPr>
      </w:pPr>
      <w:r w:rsidRPr="00566647">
        <w:rPr>
          <w:sz w:val="22"/>
          <w:u w:val="single"/>
          <w:lang w:val="es-ES_tradnl"/>
        </w:rPr>
        <w:t>Respuesta:</w:t>
      </w:r>
    </w:p>
    <w:p w14:paraId="6C59FA59" w14:textId="77777777" w:rsidR="005B0662" w:rsidRPr="00566647" w:rsidRDefault="005D42AA" w:rsidP="0030792F">
      <w:pPr>
        <w:rPr>
          <w:sz w:val="22"/>
        </w:rPr>
      </w:pPr>
      <w:r w:rsidRPr="00566647">
        <w:rPr>
          <w:sz w:val="22"/>
        </w:rPr>
        <w:t xml:space="preserve">Se considera parcialmente, </w:t>
      </w:r>
      <w:r w:rsidR="005B0662" w:rsidRPr="00566647">
        <w:rPr>
          <w:sz w:val="22"/>
        </w:rPr>
        <w:t>en los transitorios SEGUNDO se establece que los Laboratorios de Prueba y Organismos de Certificación podrán llevar a cabo la Evaluación de la Conformidad, siempre y cuando se encuentren en condiciones de realizarla conforme a lo dispuesto en la referida disposición técnica, requiriendo una acreditación por un Organismo de Acreditación autorizado por el Instituto y una autorización por el mismo.</w:t>
      </w:r>
    </w:p>
    <w:p w14:paraId="52E62815" w14:textId="77777777" w:rsidR="005B0662" w:rsidRPr="00566647" w:rsidRDefault="005B0662" w:rsidP="0030792F">
      <w:pPr>
        <w:rPr>
          <w:sz w:val="22"/>
        </w:rPr>
      </w:pPr>
      <w:r w:rsidRPr="00566647">
        <w:rPr>
          <w:sz w:val="22"/>
        </w:rPr>
        <w:t>En el TERCERO se especifica entre otros que los Dispositivos de comunicaciones inalámbricas se podrán certificar con respecto a la disposición en comento una vez que el Instituto autorice o reconozca al primer Laboratorio de Prueba (bajo el marco de un Acuerdo de Reconocimiento Mutuo).</w:t>
      </w:r>
    </w:p>
    <w:p w14:paraId="629CA24A" w14:textId="5F1BBD5D" w:rsidR="005B0662" w:rsidRPr="00566647" w:rsidRDefault="005B0662" w:rsidP="0030792F">
      <w:pPr>
        <w:rPr>
          <w:sz w:val="22"/>
        </w:rPr>
      </w:pPr>
      <w:r w:rsidRPr="00566647">
        <w:rPr>
          <w:sz w:val="22"/>
        </w:rPr>
        <w:t xml:space="preserve">En el CUARTO transitorio se determina que los Laboratorios de Prueba y los Organismos de Certificación de producto podrán iniciar los trámites de </w:t>
      </w:r>
      <w:r w:rsidRPr="00566647">
        <w:rPr>
          <w:sz w:val="22"/>
        </w:rPr>
        <w:lastRenderedPageBreak/>
        <w:t xml:space="preserve">Acreditación y Autorización en la referida Disposición Técnica </w:t>
      </w:r>
      <w:r w:rsidR="00EF0060">
        <w:rPr>
          <w:sz w:val="22"/>
        </w:rPr>
        <w:t>al día hábil siguiente de</w:t>
      </w:r>
      <w:r w:rsidRPr="00566647">
        <w:rPr>
          <w:sz w:val="22"/>
        </w:rPr>
        <w:t xml:space="preserve"> que ésta sea publicada en el Diario Oficial de la Federación.</w:t>
      </w:r>
    </w:p>
    <w:p w14:paraId="73BE96F2" w14:textId="77777777" w:rsidR="0029720B" w:rsidRPr="00566647" w:rsidRDefault="0029720B" w:rsidP="0030792F">
      <w:pPr>
        <w:rPr>
          <w:sz w:val="22"/>
          <w:lang w:val="es-ES_tradnl"/>
        </w:rPr>
      </w:pPr>
    </w:p>
    <w:p w14:paraId="1952685D" w14:textId="2F68B147" w:rsidR="005D42AA" w:rsidRPr="00566647" w:rsidRDefault="005D42AA" w:rsidP="0030792F">
      <w:pPr>
        <w:rPr>
          <w:sz w:val="22"/>
          <w:u w:val="single"/>
          <w:lang w:val="es-ES_tradnl"/>
        </w:rPr>
      </w:pPr>
      <w:r w:rsidRPr="00566647">
        <w:rPr>
          <w:sz w:val="22"/>
          <w:u w:val="single"/>
          <w:lang w:val="es-ES_tradnl"/>
        </w:rPr>
        <w:t>Participante:</w:t>
      </w:r>
    </w:p>
    <w:p w14:paraId="097A717C" w14:textId="56E3C5A2" w:rsidR="005D42AA" w:rsidRPr="00566647" w:rsidRDefault="005D42AA" w:rsidP="0030792F">
      <w:pPr>
        <w:rPr>
          <w:sz w:val="22"/>
          <w:lang w:val="es-ES_tradnl"/>
        </w:rPr>
      </w:pPr>
      <w:r w:rsidRPr="00566647">
        <w:rPr>
          <w:sz w:val="22"/>
          <w:lang w:val="es-ES_tradnl"/>
        </w:rPr>
        <w:t>ANATEL</w:t>
      </w:r>
      <w:r w:rsidR="00921FA2" w:rsidRPr="00566647">
        <w:rPr>
          <w:sz w:val="22"/>
          <w:lang w:val="es-ES_tradnl"/>
        </w:rPr>
        <w:t>, CANIETI</w:t>
      </w:r>
      <w:r w:rsidR="004E48EF">
        <w:rPr>
          <w:sz w:val="22"/>
          <w:lang w:val="es-ES_tradnl"/>
        </w:rPr>
        <w:t>, SONY</w:t>
      </w:r>
    </w:p>
    <w:p w14:paraId="39605047" w14:textId="77777777" w:rsidR="005D42AA" w:rsidRPr="00566647" w:rsidRDefault="005D42AA" w:rsidP="0030792F">
      <w:pPr>
        <w:rPr>
          <w:sz w:val="22"/>
          <w:u w:val="single"/>
          <w:lang w:val="es-ES_tradnl"/>
        </w:rPr>
      </w:pPr>
      <w:r w:rsidRPr="00566647">
        <w:rPr>
          <w:sz w:val="22"/>
          <w:u w:val="single"/>
          <w:lang w:val="es-ES_tradnl"/>
        </w:rPr>
        <w:t>Propuesta:</w:t>
      </w:r>
    </w:p>
    <w:p w14:paraId="3EF49068" w14:textId="475697C9" w:rsidR="005D42AA" w:rsidRPr="00566647" w:rsidRDefault="001B1EBB" w:rsidP="001B1EBB">
      <w:pPr>
        <w:pStyle w:val="Cita"/>
        <w:rPr>
          <w:lang w:val="es-ES_tradnl"/>
        </w:rPr>
      </w:pPr>
      <w:r w:rsidRPr="001B1EBB">
        <w:rPr>
          <w:lang w:val="es-ES_tradnl"/>
        </w:rPr>
        <w:t>«</w:t>
      </w:r>
      <w:r w:rsidR="005D42AA" w:rsidRPr="00566647">
        <w:rPr>
          <w:lang w:val="es-ES_tradnl"/>
        </w:rPr>
        <w:t>Agregar un quinto transitorio "QUINTO.</w:t>
      </w:r>
      <w:r w:rsidR="0030792F">
        <w:rPr>
          <w:lang w:val="es-ES_tradnl"/>
        </w:rPr>
        <w:t xml:space="preserve"> </w:t>
      </w:r>
      <w:r w:rsidR="005D42AA" w:rsidRPr="00566647">
        <w:rPr>
          <w:lang w:val="es-ES_tradnl"/>
        </w:rPr>
        <w:t>- "La presente Disposición Técnica no se aplicará de manera retroactiva a los productos que a la entrada en vigor cuenten con un certificado de homologación vigente." Comentario: Los productos ya existentes fueron diseñados sin tomar en cuenta las disposiciones de la presente DT ya que no las conocían. Además, se debe evitar inundar a los laboratorios que se establezcan con requerimientos innecesarios que afectarán la comercialización de los productos durante varios meses.</w:t>
      </w:r>
      <w:r w:rsidRPr="001B1EBB">
        <w:rPr>
          <w:lang w:val="es-ES_tradnl"/>
        </w:rPr>
        <w:t>»</w:t>
      </w:r>
    </w:p>
    <w:p w14:paraId="4754ACBD" w14:textId="77777777" w:rsidR="005D42AA" w:rsidRPr="00566647" w:rsidRDefault="005D42AA" w:rsidP="0030792F">
      <w:pPr>
        <w:rPr>
          <w:sz w:val="22"/>
          <w:u w:val="single"/>
          <w:lang w:val="es-ES_tradnl"/>
        </w:rPr>
      </w:pPr>
      <w:r w:rsidRPr="00566647">
        <w:rPr>
          <w:sz w:val="22"/>
          <w:u w:val="single"/>
          <w:lang w:val="es-ES_tradnl"/>
        </w:rPr>
        <w:t>Respuesta:</w:t>
      </w:r>
    </w:p>
    <w:p w14:paraId="1673A907" w14:textId="21BF8B3D" w:rsidR="005D42AA" w:rsidRPr="00566647" w:rsidRDefault="005D42AA" w:rsidP="0030792F">
      <w:pPr>
        <w:rPr>
          <w:sz w:val="22"/>
        </w:rPr>
      </w:pPr>
      <w:r w:rsidRPr="00566647">
        <w:rPr>
          <w:sz w:val="22"/>
        </w:rPr>
        <w:t xml:space="preserve">Se considera </w:t>
      </w:r>
      <w:r w:rsidR="005B0662" w:rsidRPr="00566647">
        <w:rPr>
          <w:sz w:val="22"/>
        </w:rPr>
        <w:t xml:space="preserve">parcialmente </w:t>
      </w:r>
      <w:r w:rsidRPr="00566647">
        <w:rPr>
          <w:sz w:val="22"/>
        </w:rPr>
        <w:t xml:space="preserve">y se redacta el transitorio </w:t>
      </w:r>
      <w:r w:rsidR="005B0662" w:rsidRPr="00566647">
        <w:rPr>
          <w:sz w:val="22"/>
        </w:rPr>
        <w:t>SEXTO, quedando en los siguientes términos:</w:t>
      </w:r>
    </w:p>
    <w:p w14:paraId="15773E9D" w14:textId="33578899" w:rsidR="005B0662" w:rsidRPr="00566647" w:rsidRDefault="001B1EBB" w:rsidP="0030792F">
      <w:pPr>
        <w:spacing w:line="360" w:lineRule="auto"/>
        <w:ind w:left="426" w:right="474"/>
        <w:rPr>
          <w:i/>
          <w:sz w:val="22"/>
          <w:lang w:val="es-ES_tradnl"/>
        </w:rPr>
      </w:pPr>
      <w:r w:rsidRPr="00566647">
        <w:rPr>
          <w:i/>
          <w:sz w:val="22"/>
          <w:lang w:val="es-ES_tradnl"/>
        </w:rPr>
        <w:t xml:space="preserve"> </w:t>
      </w:r>
      <w:r w:rsidR="005B0662" w:rsidRPr="00566647">
        <w:rPr>
          <w:i/>
          <w:sz w:val="22"/>
          <w:lang w:val="es-ES_tradnl"/>
        </w:rPr>
        <w:t>“SEXTO.</w:t>
      </w:r>
      <w:r w:rsidR="0030792F">
        <w:rPr>
          <w:i/>
          <w:sz w:val="22"/>
          <w:lang w:val="es-ES_tradnl"/>
        </w:rPr>
        <w:t xml:space="preserve"> </w:t>
      </w:r>
      <w:r w:rsidR="005B0662" w:rsidRPr="00566647">
        <w:rPr>
          <w:i/>
          <w:sz w:val="22"/>
          <w:lang w:val="es-ES_tradnl"/>
        </w:rPr>
        <w:t>- Los Certificados de Cumplimiento emitidos por los Organismos de Certificación previamente a la entrada en vigor del presente instrumento regulatorio, se entenderán y tendrán todos los efectos jurídicos como Certificados de Conformidad. Asimismo, dichos Certificados de Cumplimiento y el Certificado de Homologación mantendrán su vigencia en los términos en que fueron expedidos.”</w:t>
      </w:r>
    </w:p>
    <w:p w14:paraId="1AA9B786" w14:textId="77777777" w:rsidR="005B0662" w:rsidRPr="00566647" w:rsidRDefault="005B0662" w:rsidP="0030792F">
      <w:pPr>
        <w:rPr>
          <w:sz w:val="22"/>
        </w:rPr>
      </w:pPr>
    </w:p>
    <w:p w14:paraId="17F8C7DA" w14:textId="77777777" w:rsidR="005D42AA" w:rsidRPr="00566647" w:rsidRDefault="005D42AA" w:rsidP="0030792F">
      <w:pPr>
        <w:rPr>
          <w:sz w:val="22"/>
          <w:u w:val="single"/>
          <w:lang w:val="es-ES_tradnl"/>
        </w:rPr>
      </w:pPr>
      <w:r w:rsidRPr="00566647">
        <w:rPr>
          <w:sz w:val="22"/>
          <w:u w:val="single"/>
          <w:lang w:val="es-ES_tradnl"/>
        </w:rPr>
        <w:t>Participante:</w:t>
      </w:r>
    </w:p>
    <w:p w14:paraId="3E17BDE7" w14:textId="77515680" w:rsidR="005D42AA" w:rsidRPr="00566647" w:rsidRDefault="005B0662" w:rsidP="0030792F">
      <w:pPr>
        <w:rPr>
          <w:sz w:val="22"/>
          <w:lang w:val="es-ES_tradnl"/>
        </w:rPr>
      </w:pPr>
      <w:r w:rsidRPr="00566647">
        <w:rPr>
          <w:sz w:val="22"/>
          <w:lang w:val="es-ES_tradnl"/>
        </w:rPr>
        <w:t>SONY</w:t>
      </w:r>
      <w:r w:rsidR="006B45E2" w:rsidRPr="00566647">
        <w:rPr>
          <w:sz w:val="22"/>
          <w:lang w:val="es-ES_tradnl"/>
        </w:rPr>
        <w:t>, MWF</w:t>
      </w:r>
    </w:p>
    <w:p w14:paraId="2FDD1A3D" w14:textId="77777777" w:rsidR="005D42AA" w:rsidRPr="00566647" w:rsidRDefault="005D42AA" w:rsidP="0030792F">
      <w:pPr>
        <w:rPr>
          <w:sz w:val="22"/>
          <w:u w:val="single"/>
          <w:lang w:val="es-ES_tradnl"/>
        </w:rPr>
      </w:pPr>
      <w:r w:rsidRPr="00566647">
        <w:rPr>
          <w:sz w:val="22"/>
          <w:u w:val="single"/>
          <w:lang w:val="es-ES_tradnl"/>
        </w:rPr>
        <w:t>Propuesta:</w:t>
      </w:r>
    </w:p>
    <w:p w14:paraId="50446F66" w14:textId="71EC76EB" w:rsidR="005D42AA" w:rsidRPr="00566647" w:rsidRDefault="001B1EBB" w:rsidP="001B1EBB">
      <w:pPr>
        <w:pStyle w:val="Cita"/>
        <w:rPr>
          <w:lang w:val="es-ES_tradnl"/>
        </w:rPr>
      </w:pPr>
      <w:r w:rsidRPr="001B1EBB">
        <w:rPr>
          <w:lang w:val="es-ES_tradnl"/>
        </w:rPr>
        <w:t>«</w:t>
      </w:r>
      <w:r w:rsidR="005D42AA" w:rsidRPr="00566647">
        <w:rPr>
          <w:lang w:val="es-ES_tradnl"/>
        </w:rPr>
        <w:t>Reconocer que los productos en tránsito, importados, y/o comercialización puedan ser comercializados sin dar cumplimiento a la DT.</w:t>
      </w:r>
      <w:r w:rsidRPr="001B1EBB">
        <w:rPr>
          <w:lang w:val="es-ES_tradnl"/>
        </w:rPr>
        <w:t>»</w:t>
      </w:r>
    </w:p>
    <w:p w14:paraId="14A0EA0E" w14:textId="77777777" w:rsidR="005D42AA" w:rsidRPr="00566647" w:rsidRDefault="005D42AA" w:rsidP="0030792F">
      <w:pPr>
        <w:rPr>
          <w:sz w:val="22"/>
          <w:u w:val="single"/>
          <w:lang w:val="es-ES_tradnl"/>
        </w:rPr>
      </w:pPr>
      <w:r w:rsidRPr="00566647">
        <w:rPr>
          <w:sz w:val="22"/>
          <w:u w:val="single"/>
          <w:lang w:val="es-ES_tradnl"/>
        </w:rPr>
        <w:t>Respuesta:</w:t>
      </w:r>
    </w:p>
    <w:p w14:paraId="7C3FE39D" w14:textId="477F1CDB" w:rsidR="0012539B" w:rsidRPr="00566647" w:rsidRDefault="0012539B" w:rsidP="0030792F">
      <w:pPr>
        <w:rPr>
          <w:sz w:val="22"/>
        </w:rPr>
      </w:pPr>
      <w:r w:rsidRPr="00566647">
        <w:rPr>
          <w:sz w:val="22"/>
        </w:rPr>
        <w:t>No s</w:t>
      </w:r>
      <w:r w:rsidR="005D42AA" w:rsidRPr="00566647">
        <w:rPr>
          <w:sz w:val="22"/>
        </w:rPr>
        <w:t xml:space="preserve">e considera, </w:t>
      </w:r>
      <w:r w:rsidRPr="00566647">
        <w:rPr>
          <w:sz w:val="22"/>
        </w:rPr>
        <w:t xml:space="preserve">el Artículo 289 de la Ley Federal de Telecomunicaciones y Radiodifusión establece que los productos, equipos, dispositivos o aparatos destinados a telecomunicaciones o radiodifusión que puedan ser conectados a una red de telecomunicaciones o hacer uso del espectro radioeléctrico deberán </w:t>
      </w:r>
      <w:r w:rsidRPr="00566647">
        <w:rPr>
          <w:sz w:val="22"/>
        </w:rPr>
        <w:lastRenderedPageBreak/>
        <w:t xml:space="preserve">homologarse conforme a las normas o disposiciones técnicas aplicables de conformidad con lo establecido en la Ley Federal sobre Metrología y Normalización. </w:t>
      </w:r>
    </w:p>
    <w:p w14:paraId="3DE6B7BD" w14:textId="4CEB2AF0" w:rsidR="0012539B" w:rsidRPr="004E48EF" w:rsidRDefault="0012539B" w:rsidP="004E48EF">
      <w:pPr>
        <w:rPr>
          <w:sz w:val="22"/>
          <w:lang w:val="es-ES_tradnl"/>
        </w:rPr>
      </w:pPr>
      <w:r w:rsidRPr="00566647">
        <w:rPr>
          <w:sz w:val="22"/>
        </w:rPr>
        <w:t>No obstante</w:t>
      </w:r>
      <w:r w:rsidR="00AA379F" w:rsidRPr="00566647">
        <w:rPr>
          <w:sz w:val="22"/>
        </w:rPr>
        <w:t>,</w:t>
      </w:r>
      <w:r w:rsidRPr="00566647">
        <w:rPr>
          <w:sz w:val="22"/>
        </w:rPr>
        <w:t xml:space="preserve"> lo anterior, se redacta el transitorio </w:t>
      </w:r>
      <w:r w:rsidRPr="004E48EF">
        <w:rPr>
          <w:b/>
          <w:sz w:val="22"/>
        </w:rPr>
        <w:t>SEXTO</w:t>
      </w:r>
      <w:r w:rsidR="004E48EF" w:rsidRPr="004E48EF">
        <w:rPr>
          <w:sz w:val="22"/>
          <w:lang w:val="es-ES_tradnl"/>
        </w:rPr>
        <w:t xml:space="preserve"> para</w:t>
      </w:r>
      <w:r w:rsidR="004E48EF">
        <w:rPr>
          <w:sz w:val="22"/>
          <w:lang w:val="es-ES_tradnl"/>
        </w:rPr>
        <w:t xml:space="preserve"> aquellos </w:t>
      </w:r>
      <w:r w:rsidR="004E48EF" w:rsidRPr="004E48EF">
        <w:rPr>
          <w:sz w:val="22"/>
          <w:lang w:val="es-ES_tradnl"/>
        </w:rPr>
        <w:t>productos, equipos, dispositivos o aparatos destinados a telecomunicaciones o radiodifusión</w:t>
      </w:r>
      <w:r w:rsidR="004E48EF">
        <w:rPr>
          <w:sz w:val="22"/>
          <w:lang w:val="es-ES_tradnl"/>
        </w:rPr>
        <w:t xml:space="preserve"> que ya cuenten con Certificado de Cumplimiento previo a la entrada en vigor del Anteproyecto.</w:t>
      </w:r>
    </w:p>
    <w:p w14:paraId="0C064063" w14:textId="01F1DF8E" w:rsidR="005D42AA" w:rsidRDefault="005D42AA" w:rsidP="0030792F">
      <w:pPr>
        <w:rPr>
          <w:sz w:val="22"/>
          <w:lang w:val="es-ES_tradnl"/>
        </w:rPr>
      </w:pPr>
    </w:p>
    <w:p w14:paraId="371A0C73" w14:textId="3CB86B81" w:rsidR="0030792F" w:rsidRDefault="0030792F" w:rsidP="0030792F">
      <w:pPr>
        <w:pStyle w:val="Ttulo2"/>
        <w:rPr>
          <w:lang w:val="es-ES_tradnl"/>
        </w:rPr>
      </w:pPr>
      <w:r>
        <w:rPr>
          <w:lang w:val="es-ES_tradnl"/>
        </w:rPr>
        <w:t>Comentarios Generales</w:t>
      </w:r>
    </w:p>
    <w:p w14:paraId="52FE8262" w14:textId="77777777" w:rsidR="00AA379F" w:rsidRPr="001B1EBB" w:rsidRDefault="00AA379F" w:rsidP="0030792F">
      <w:pPr>
        <w:rPr>
          <w:sz w:val="22"/>
          <w:u w:val="single"/>
          <w:lang w:val="es-ES_tradnl"/>
        </w:rPr>
      </w:pPr>
      <w:r w:rsidRPr="001B1EBB">
        <w:rPr>
          <w:sz w:val="22"/>
          <w:u w:val="single"/>
          <w:lang w:val="es-ES_tradnl"/>
        </w:rPr>
        <w:t>Participante:</w:t>
      </w:r>
    </w:p>
    <w:p w14:paraId="08DCDC65" w14:textId="1A74A551" w:rsidR="00AA379F" w:rsidRPr="00566647" w:rsidRDefault="00AA379F" w:rsidP="0030792F">
      <w:pPr>
        <w:rPr>
          <w:sz w:val="22"/>
          <w:lang w:val="es-ES_tradnl"/>
        </w:rPr>
      </w:pPr>
      <w:r w:rsidRPr="00566647">
        <w:rPr>
          <w:sz w:val="22"/>
          <w:lang w:val="es-ES_tradnl"/>
        </w:rPr>
        <w:t>MWF</w:t>
      </w:r>
    </w:p>
    <w:p w14:paraId="3E2CC5BA" w14:textId="4C6C239C" w:rsidR="0029720B" w:rsidRPr="001B1EBB" w:rsidRDefault="00AA379F" w:rsidP="0030792F">
      <w:pPr>
        <w:rPr>
          <w:sz w:val="22"/>
          <w:u w:val="single"/>
          <w:lang w:val="es-ES_tradnl"/>
        </w:rPr>
      </w:pPr>
      <w:r w:rsidRPr="001B1EBB">
        <w:rPr>
          <w:sz w:val="22"/>
          <w:u w:val="single"/>
          <w:lang w:val="es-ES_tradnl"/>
        </w:rPr>
        <w:t>Propuesta:</w:t>
      </w:r>
    </w:p>
    <w:p w14:paraId="5428369C" w14:textId="5CDDF13A" w:rsidR="00AA379F" w:rsidRPr="00566647" w:rsidRDefault="001B1EBB" w:rsidP="001B1EBB">
      <w:pPr>
        <w:pStyle w:val="Cita"/>
        <w:rPr>
          <w:lang w:val="es-ES_tradnl"/>
        </w:rPr>
      </w:pPr>
      <w:r w:rsidRPr="001B1EBB">
        <w:rPr>
          <w:lang w:val="es-ES_tradnl"/>
        </w:rPr>
        <w:t>«</w:t>
      </w:r>
      <w:r w:rsidR="00AA379F" w:rsidRPr="00566647">
        <w:rPr>
          <w:lang w:val="es-ES_tradnl"/>
        </w:rPr>
        <w:t>Que se implemente una campaña clara de comunicación social dirigida al público en general, explicando con argumentos científicos y en términos sencillos que es el SAR, asegurando las altísimas márgenes de seguridad ya involucrada en el concepto.</w:t>
      </w:r>
      <w:r w:rsidRPr="001B1EBB">
        <w:rPr>
          <w:lang w:val="es-ES_tradnl"/>
        </w:rPr>
        <w:t>»</w:t>
      </w:r>
    </w:p>
    <w:p w14:paraId="6AB5DAAD" w14:textId="6F616BF8" w:rsidR="00AA379F" w:rsidRPr="001B1EBB" w:rsidRDefault="00AA379F" w:rsidP="0030792F">
      <w:pPr>
        <w:rPr>
          <w:sz w:val="22"/>
          <w:u w:val="single"/>
          <w:lang w:val="es-ES_tradnl"/>
        </w:rPr>
      </w:pPr>
      <w:r w:rsidRPr="001B1EBB">
        <w:rPr>
          <w:sz w:val="22"/>
          <w:u w:val="single"/>
          <w:lang w:val="es-ES_tradnl"/>
        </w:rPr>
        <w:t>Respuesta:</w:t>
      </w:r>
    </w:p>
    <w:p w14:paraId="0777FD03" w14:textId="5D945EB6" w:rsidR="00AA379F" w:rsidRPr="00566647" w:rsidRDefault="002E0DBE" w:rsidP="0030792F">
      <w:pPr>
        <w:rPr>
          <w:sz w:val="22"/>
          <w:lang w:val="es-ES_tradnl"/>
        </w:rPr>
      </w:pPr>
      <w:r w:rsidRPr="00566647">
        <w:rPr>
          <w:sz w:val="22"/>
          <w:lang w:val="es-ES_tradnl"/>
        </w:rPr>
        <w:t xml:space="preserve">Si bien la creación y ejecución de una campaña de comunicación social en los términos solicitados queda fuera del alcance del Anteproyecto, se le comunicará la petición a la unidad del Instituto correspondiente para que la misma, informe a la población los efectos del SAR y </w:t>
      </w:r>
      <w:r w:rsidR="00EF0060">
        <w:rPr>
          <w:sz w:val="22"/>
          <w:lang w:val="es-ES_tradnl"/>
        </w:rPr>
        <w:t>los alcances d</w:t>
      </w:r>
      <w:r w:rsidRPr="00566647">
        <w:rPr>
          <w:sz w:val="22"/>
          <w:lang w:val="es-ES_tradnl"/>
        </w:rPr>
        <w:t>el Anteproyecto una vez que este entre en vigor.</w:t>
      </w:r>
    </w:p>
    <w:sectPr w:rsidR="00AA379F" w:rsidRPr="0056664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55067" w14:textId="77777777" w:rsidR="00EC0C84" w:rsidRDefault="00EC0C84" w:rsidP="00C522EF">
      <w:pPr>
        <w:spacing w:after="0" w:line="240" w:lineRule="auto"/>
      </w:pPr>
      <w:r>
        <w:separator/>
      </w:r>
    </w:p>
  </w:endnote>
  <w:endnote w:type="continuationSeparator" w:id="0">
    <w:p w14:paraId="2D2AFC1C" w14:textId="77777777" w:rsidR="00EC0C84" w:rsidRDefault="00EC0C84" w:rsidP="00C5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12813"/>
      <w:docPartObj>
        <w:docPartGallery w:val="Page Numbers (Bottom of Page)"/>
        <w:docPartUnique/>
      </w:docPartObj>
    </w:sdtPr>
    <w:sdtEndPr/>
    <w:sdtContent>
      <w:sdt>
        <w:sdtPr>
          <w:id w:val="-1769616900"/>
          <w:docPartObj>
            <w:docPartGallery w:val="Page Numbers (Top of Page)"/>
            <w:docPartUnique/>
          </w:docPartObj>
        </w:sdtPr>
        <w:sdtEndPr/>
        <w:sdtContent>
          <w:p w14:paraId="0F61880D" w14:textId="2F510FCC" w:rsidR="009530B1" w:rsidRDefault="009530B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776C4">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76C4">
              <w:rPr>
                <w:b/>
                <w:bCs/>
                <w:noProof/>
              </w:rPr>
              <w:t>22</w:t>
            </w:r>
            <w:r>
              <w:rPr>
                <w:b/>
                <w:bCs/>
                <w:sz w:val="24"/>
                <w:szCs w:val="24"/>
              </w:rPr>
              <w:fldChar w:fldCharType="end"/>
            </w:r>
          </w:p>
        </w:sdtContent>
      </w:sdt>
    </w:sdtContent>
  </w:sdt>
  <w:p w14:paraId="2BAD0EF3" w14:textId="77777777" w:rsidR="009530B1" w:rsidRDefault="00953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797F" w14:textId="77777777" w:rsidR="00EC0C84" w:rsidRDefault="00EC0C84" w:rsidP="00C522EF">
      <w:pPr>
        <w:spacing w:after="0" w:line="240" w:lineRule="auto"/>
      </w:pPr>
      <w:r>
        <w:separator/>
      </w:r>
    </w:p>
  </w:footnote>
  <w:footnote w:type="continuationSeparator" w:id="0">
    <w:p w14:paraId="79DFFB1C" w14:textId="77777777" w:rsidR="00EC0C84" w:rsidRDefault="00EC0C84" w:rsidP="00C522EF">
      <w:pPr>
        <w:spacing w:after="0" w:line="240" w:lineRule="auto"/>
      </w:pPr>
      <w:r>
        <w:continuationSeparator/>
      </w:r>
    </w:p>
  </w:footnote>
  <w:footnote w:id="1">
    <w:p w14:paraId="5D7F841F" w14:textId="10AFA2E1" w:rsidR="00A3556E" w:rsidRDefault="00A3556E">
      <w:pPr>
        <w:pStyle w:val="Textonotapie"/>
      </w:pPr>
      <w:r>
        <w:rPr>
          <w:rStyle w:val="Refdenotaalpie"/>
        </w:rPr>
        <w:footnoteRef/>
      </w:r>
      <w:r>
        <w:t xml:space="preserve"> </w:t>
      </w:r>
      <w:hyperlink r:id="rId1" w:history="1">
        <w:r w:rsidRPr="007A358A">
          <w:rPr>
            <w:rStyle w:val="Hipervnculo"/>
          </w:rPr>
          <w:t>http://www.who.int/peh-emf/project/intorg/es/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1A3F"/>
    <w:multiLevelType w:val="hybridMultilevel"/>
    <w:tmpl w:val="7646E91A"/>
    <w:lvl w:ilvl="0" w:tplc="08FAAC16">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964DCD"/>
    <w:multiLevelType w:val="hybridMultilevel"/>
    <w:tmpl w:val="071C139A"/>
    <w:lvl w:ilvl="0" w:tplc="5C4E7694">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CB"/>
    <w:rsid w:val="00000240"/>
    <w:rsid w:val="0001016E"/>
    <w:rsid w:val="00021D93"/>
    <w:rsid w:val="0004028F"/>
    <w:rsid w:val="00072D09"/>
    <w:rsid w:val="00095AA9"/>
    <w:rsid w:val="000A57F1"/>
    <w:rsid w:val="000B0C97"/>
    <w:rsid w:val="000E7B3F"/>
    <w:rsid w:val="000F7CD2"/>
    <w:rsid w:val="00103409"/>
    <w:rsid w:val="00114FD5"/>
    <w:rsid w:val="0012539B"/>
    <w:rsid w:val="001316B7"/>
    <w:rsid w:val="00151D45"/>
    <w:rsid w:val="00174DC1"/>
    <w:rsid w:val="001756FB"/>
    <w:rsid w:val="00177C46"/>
    <w:rsid w:val="00195006"/>
    <w:rsid w:val="001A6308"/>
    <w:rsid w:val="001B1EBB"/>
    <w:rsid w:val="001C0D80"/>
    <w:rsid w:val="001E608C"/>
    <w:rsid w:val="001F72EC"/>
    <w:rsid w:val="00214F02"/>
    <w:rsid w:val="002418EA"/>
    <w:rsid w:val="00252ACA"/>
    <w:rsid w:val="0025320E"/>
    <w:rsid w:val="00265BD9"/>
    <w:rsid w:val="00265D64"/>
    <w:rsid w:val="00274079"/>
    <w:rsid w:val="002836BB"/>
    <w:rsid w:val="002853CE"/>
    <w:rsid w:val="0029720B"/>
    <w:rsid w:val="002A6513"/>
    <w:rsid w:val="002D3DCD"/>
    <w:rsid w:val="002E0DBE"/>
    <w:rsid w:val="0030792F"/>
    <w:rsid w:val="00322D85"/>
    <w:rsid w:val="00325186"/>
    <w:rsid w:val="003541FB"/>
    <w:rsid w:val="00366598"/>
    <w:rsid w:val="003A66F5"/>
    <w:rsid w:val="003A6BB5"/>
    <w:rsid w:val="003B34C9"/>
    <w:rsid w:val="003B4AB6"/>
    <w:rsid w:val="004144EA"/>
    <w:rsid w:val="00422DA8"/>
    <w:rsid w:val="00436223"/>
    <w:rsid w:val="00441890"/>
    <w:rsid w:val="0045045E"/>
    <w:rsid w:val="0046234E"/>
    <w:rsid w:val="00462F34"/>
    <w:rsid w:val="00495062"/>
    <w:rsid w:val="004B3B7D"/>
    <w:rsid w:val="004B771B"/>
    <w:rsid w:val="004D3C86"/>
    <w:rsid w:val="004D3E07"/>
    <w:rsid w:val="004D58D9"/>
    <w:rsid w:val="004D7066"/>
    <w:rsid w:val="004E1AF6"/>
    <w:rsid w:val="004E48EF"/>
    <w:rsid w:val="004E6C10"/>
    <w:rsid w:val="004F7BEC"/>
    <w:rsid w:val="005248C8"/>
    <w:rsid w:val="00544063"/>
    <w:rsid w:val="00561E30"/>
    <w:rsid w:val="005644D7"/>
    <w:rsid w:val="00566647"/>
    <w:rsid w:val="005737FE"/>
    <w:rsid w:val="00577914"/>
    <w:rsid w:val="00586F74"/>
    <w:rsid w:val="005A4103"/>
    <w:rsid w:val="005B0662"/>
    <w:rsid w:val="005C582D"/>
    <w:rsid w:val="005D0C88"/>
    <w:rsid w:val="005D284C"/>
    <w:rsid w:val="005D42AA"/>
    <w:rsid w:val="005D474C"/>
    <w:rsid w:val="006019B6"/>
    <w:rsid w:val="00621CEC"/>
    <w:rsid w:val="00664F02"/>
    <w:rsid w:val="0067202F"/>
    <w:rsid w:val="006A1B73"/>
    <w:rsid w:val="006A5C32"/>
    <w:rsid w:val="006B3788"/>
    <w:rsid w:val="006B45E2"/>
    <w:rsid w:val="006B74B2"/>
    <w:rsid w:val="006C719B"/>
    <w:rsid w:val="006D2CEA"/>
    <w:rsid w:val="006D7948"/>
    <w:rsid w:val="006E2160"/>
    <w:rsid w:val="006E6892"/>
    <w:rsid w:val="006F44B6"/>
    <w:rsid w:val="00711FE7"/>
    <w:rsid w:val="00715E13"/>
    <w:rsid w:val="00724F41"/>
    <w:rsid w:val="00757276"/>
    <w:rsid w:val="00772573"/>
    <w:rsid w:val="00797832"/>
    <w:rsid w:val="007F6090"/>
    <w:rsid w:val="0080784D"/>
    <w:rsid w:val="008317AE"/>
    <w:rsid w:val="00837E30"/>
    <w:rsid w:val="00855D1B"/>
    <w:rsid w:val="008763D8"/>
    <w:rsid w:val="00890ECB"/>
    <w:rsid w:val="00894641"/>
    <w:rsid w:val="008B156E"/>
    <w:rsid w:val="008D18D1"/>
    <w:rsid w:val="00921DF2"/>
    <w:rsid w:val="00921FA2"/>
    <w:rsid w:val="00930215"/>
    <w:rsid w:val="0093365C"/>
    <w:rsid w:val="00942AAB"/>
    <w:rsid w:val="009530B1"/>
    <w:rsid w:val="00971E60"/>
    <w:rsid w:val="00976034"/>
    <w:rsid w:val="00992F66"/>
    <w:rsid w:val="009C0D74"/>
    <w:rsid w:val="00A16F50"/>
    <w:rsid w:val="00A21CF7"/>
    <w:rsid w:val="00A27850"/>
    <w:rsid w:val="00A3356C"/>
    <w:rsid w:val="00A3556E"/>
    <w:rsid w:val="00A6057A"/>
    <w:rsid w:val="00A730A7"/>
    <w:rsid w:val="00A776C4"/>
    <w:rsid w:val="00A82C37"/>
    <w:rsid w:val="00A85CBB"/>
    <w:rsid w:val="00A95D09"/>
    <w:rsid w:val="00AA379F"/>
    <w:rsid w:val="00AA4239"/>
    <w:rsid w:val="00AC6A39"/>
    <w:rsid w:val="00AD3E97"/>
    <w:rsid w:val="00AE791C"/>
    <w:rsid w:val="00AF3CDA"/>
    <w:rsid w:val="00B01033"/>
    <w:rsid w:val="00B53925"/>
    <w:rsid w:val="00B6144D"/>
    <w:rsid w:val="00B64276"/>
    <w:rsid w:val="00B76326"/>
    <w:rsid w:val="00BA4CEE"/>
    <w:rsid w:val="00BD77BD"/>
    <w:rsid w:val="00C125A0"/>
    <w:rsid w:val="00C2220F"/>
    <w:rsid w:val="00C22353"/>
    <w:rsid w:val="00C3596C"/>
    <w:rsid w:val="00C507C1"/>
    <w:rsid w:val="00C522EF"/>
    <w:rsid w:val="00C90444"/>
    <w:rsid w:val="00CD0491"/>
    <w:rsid w:val="00CE1FB9"/>
    <w:rsid w:val="00CE6D93"/>
    <w:rsid w:val="00CF0848"/>
    <w:rsid w:val="00D00F9C"/>
    <w:rsid w:val="00D050E5"/>
    <w:rsid w:val="00D3191C"/>
    <w:rsid w:val="00D56A87"/>
    <w:rsid w:val="00D609D1"/>
    <w:rsid w:val="00D83CB0"/>
    <w:rsid w:val="00D878E4"/>
    <w:rsid w:val="00D93718"/>
    <w:rsid w:val="00DA60B8"/>
    <w:rsid w:val="00DB1D38"/>
    <w:rsid w:val="00DF5265"/>
    <w:rsid w:val="00E2135F"/>
    <w:rsid w:val="00EA237A"/>
    <w:rsid w:val="00EB13BE"/>
    <w:rsid w:val="00EB2CCE"/>
    <w:rsid w:val="00EB636F"/>
    <w:rsid w:val="00EC0C84"/>
    <w:rsid w:val="00EC485E"/>
    <w:rsid w:val="00ED1C90"/>
    <w:rsid w:val="00EF0060"/>
    <w:rsid w:val="00F108D9"/>
    <w:rsid w:val="00F931DC"/>
    <w:rsid w:val="00FF7E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D506"/>
  <w15:chartTrackingRefBased/>
  <w15:docId w15:val="{49B8553F-354F-42A3-805E-BBC5617A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ECB"/>
    <w:pPr>
      <w:jc w:val="both"/>
    </w:pPr>
    <w:rPr>
      <w:rFonts w:ascii="ITC Avant Garde" w:hAnsi="ITC Avant Garde"/>
      <w:sz w:val="20"/>
    </w:rPr>
  </w:style>
  <w:style w:type="paragraph" w:styleId="Ttulo1">
    <w:name w:val="heading 1"/>
    <w:basedOn w:val="Normal"/>
    <w:next w:val="Normal"/>
    <w:link w:val="Ttulo1Car"/>
    <w:uiPriority w:val="9"/>
    <w:qFormat/>
    <w:rsid w:val="00890ECB"/>
    <w:pPr>
      <w:outlineLvl w:val="0"/>
    </w:pPr>
    <w:rPr>
      <w:b/>
    </w:rPr>
  </w:style>
  <w:style w:type="paragraph" w:styleId="Ttulo2">
    <w:name w:val="heading 2"/>
    <w:basedOn w:val="Normal"/>
    <w:next w:val="Normal"/>
    <w:link w:val="Ttulo2Car"/>
    <w:uiPriority w:val="9"/>
    <w:unhideWhenUsed/>
    <w:qFormat/>
    <w:rsid w:val="00174DC1"/>
    <w:pPr>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0ECB"/>
    <w:rPr>
      <w:rFonts w:ascii="ITC Avant Garde" w:hAnsi="ITC Avant Garde"/>
      <w:b/>
      <w:sz w:val="20"/>
    </w:rPr>
  </w:style>
  <w:style w:type="table" w:styleId="Tabladecuadrcula1clara-nfasis6">
    <w:name w:val="Grid Table 1 Light Accent 6"/>
    <w:basedOn w:val="Tablanormal"/>
    <w:uiPriority w:val="46"/>
    <w:rsid w:val="00890EC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890EC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6">
    <w:name w:val="Grid Table 5 Dark Accent 6"/>
    <w:basedOn w:val="Tablanormal"/>
    <w:uiPriority w:val="50"/>
    <w:rsid w:val="00890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174DC1"/>
    <w:pPr>
      <w:ind w:left="720"/>
      <w:contextualSpacing/>
    </w:pPr>
  </w:style>
  <w:style w:type="character" w:styleId="Refdecomentario">
    <w:name w:val="annotation reference"/>
    <w:uiPriority w:val="99"/>
    <w:rsid w:val="00174DC1"/>
    <w:rPr>
      <w:rFonts w:cs="Times New Roman"/>
      <w:sz w:val="16"/>
      <w:szCs w:val="16"/>
    </w:rPr>
  </w:style>
  <w:style w:type="paragraph" w:styleId="Textocomentario">
    <w:name w:val="annotation text"/>
    <w:basedOn w:val="Normal"/>
    <w:link w:val="TextocomentarioCar"/>
    <w:rsid w:val="00174DC1"/>
    <w:pPr>
      <w:spacing w:after="0" w:line="240" w:lineRule="auto"/>
      <w:jc w:val="left"/>
    </w:pPr>
    <w:rPr>
      <w:rFonts w:eastAsia="Calibri" w:cs="Times New Roman"/>
      <w:szCs w:val="20"/>
      <w:lang w:val="es-ES_tradnl"/>
    </w:rPr>
  </w:style>
  <w:style w:type="character" w:customStyle="1" w:styleId="TextocomentarioCar">
    <w:name w:val="Texto comentario Car"/>
    <w:basedOn w:val="Fuentedeprrafopredeter"/>
    <w:link w:val="Textocomentario"/>
    <w:rsid w:val="00174DC1"/>
    <w:rPr>
      <w:rFonts w:ascii="ITC Avant Garde" w:eastAsia="Calibri" w:hAnsi="ITC Avant Garde" w:cs="Times New Roman"/>
      <w:sz w:val="20"/>
      <w:szCs w:val="20"/>
      <w:lang w:val="es-ES_tradnl"/>
    </w:rPr>
  </w:style>
  <w:style w:type="character" w:customStyle="1" w:styleId="Ttulo2Car">
    <w:name w:val="Título 2 Car"/>
    <w:basedOn w:val="Fuentedeprrafopredeter"/>
    <w:link w:val="Ttulo2"/>
    <w:uiPriority w:val="9"/>
    <w:rsid w:val="00174DC1"/>
    <w:rPr>
      <w:rFonts w:ascii="ITC Avant Garde" w:hAnsi="ITC Avant Garde"/>
      <w:b/>
    </w:rPr>
  </w:style>
  <w:style w:type="paragraph" w:styleId="Encabezado">
    <w:name w:val="header"/>
    <w:basedOn w:val="Normal"/>
    <w:link w:val="EncabezadoCar"/>
    <w:uiPriority w:val="99"/>
    <w:unhideWhenUsed/>
    <w:rsid w:val="00C52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2EF"/>
    <w:rPr>
      <w:rFonts w:ascii="ITC Avant Garde" w:hAnsi="ITC Avant Garde"/>
      <w:sz w:val="20"/>
    </w:rPr>
  </w:style>
  <w:style w:type="paragraph" w:styleId="Piedepgina">
    <w:name w:val="footer"/>
    <w:basedOn w:val="Normal"/>
    <w:link w:val="PiedepginaCar"/>
    <w:uiPriority w:val="99"/>
    <w:unhideWhenUsed/>
    <w:rsid w:val="00C52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2EF"/>
    <w:rPr>
      <w:rFonts w:ascii="ITC Avant Garde" w:hAnsi="ITC Avant Garde"/>
      <w:sz w:val="20"/>
    </w:rPr>
  </w:style>
  <w:style w:type="paragraph" w:styleId="Textodeglobo">
    <w:name w:val="Balloon Text"/>
    <w:basedOn w:val="Normal"/>
    <w:link w:val="TextodegloboCar"/>
    <w:uiPriority w:val="99"/>
    <w:semiHidden/>
    <w:unhideWhenUsed/>
    <w:rsid w:val="00B76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326"/>
    <w:rPr>
      <w:rFonts w:ascii="Segoe UI" w:hAnsi="Segoe UI" w:cs="Segoe UI"/>
      <w:sz w:val="18"/>
      <w:szCs w:val="18"/>
    </w:rPr>
  </w:style>
  <w:style w:type="character" w:customStyle="1" w:styleId="PrrafodelistaCar">
    <w:name w:val="Párrafo de lista Car"/>
    <w:link w:val="Prrafodelista"/>
    <w:uiPriority w:val="34"/>
    <w:locked/>
    <w:rsid w:val="00422DA8"/>
    <w:rPr>
      <w:rFonts w:ascii="ITC Avant Garde" w:hAnsi="ITC Avant Garde"/>
      <w:sz w:val="20"/>
    </w:rPr>
  </w:style>
  <w:style w:type="paragraph" w:styleId="Asuntodelcomentario">
    <w:name w:val="annotation subject"/>
    <w:basedOn w:val="Textocomentario"/>
    <w:next w:val="Textocomentario"/>
    <w:link w:val="AsuntodelcomentarioCar"/>
    <w:uiPriority w:val="99"/>
    <w:semiHidden/>
    <w:unhideWhenUsed/>
    <w:rsid w:val="00366598"/>
    <w:pPr>
      <w:spacing w:after="160"/>
      <w:jc w:val="both"/>
    </w:pPr>
    <w:rPr>
      <w:rFonts w:eastAsiaTheme="minorHAnsi" w:cstheme="minorBidi"/>
      <w:b/>
      <w:bCs/>
      <w:lang w:val="es-MX"/>
    </w:rPr>
  </w:style>
  <w:style w:type="character" w:customStyle="1" w:styleId="AsuntodelcomentarioCar">
    <w:name w:val="Asunto del comentario Car"/>
    <w:basedOn w:val="TextocomentarioCar"/>
    <w:link w:val="Asuntodelcomentario"/>
    <w:uiPriority w:val="99"/>
    <w:semiHidden/>
    <w:rsid w:val="00366598"/>
    <w:rPr>
      <w:rFonts w:ascii="ITC Avant Garde" w:eastAsia="Calibri" w:hAnsi="ITC Avant Garde" w:cs="Times New Roman"/>
      <w:b/>
      <w:bCs/>
      <w:sz w:val="20"/>
      <w:szCs w:val="20"/>
      <w:lang w:val="es-ES_tradnl"/>
    </w:rPr>
  </w:style>
  <w:style w:type="paragraph" w:styleId="Textonotapie">
    <w:name w:val="footnote text"/>
    <w:basedOn w:val="Normal"/>
    <w:link w:val="TextonotapieCar"/>
    <w:uiPriority w:val="99"/>
    <w:semiHidden/>
    <w:unhideWhenUsed/>
    <w:rsid w:val="00A3556E"/>
    <w:pPr>
      <w:spacing w:after="0" w:line="240" w:lineRule="auto"/>
    </w:pPr>
    <w:rPr>
      <w:szCs w:val="20"/>
    </w:rPr>
  </w:style>
  <w:style w:type="character" w:customStyle="1" w:styleId="TextonotapieCar">
    <w:name w:val="Texto nota pie Car"/>
    <w:basedOn w:val="Fuentedeprrafopredeter"/>
    <w:link w:val="Textonotapie"/>
    <w:uiPriority w:val="99"/>
    <w:semiHidden/>
    <w:rsid w:val="00A3556E"/>
    <w:rPr>
      <w:rFonts w:ascii="ITC Avant Garde" w:hAnsi="ITC Avant Garde"/>
      <w:sz w:val="20"/>
      <w:szCs w:val="20"/>
    </w:rPr>
  </w:style>
  <w:style w:type="character" w:styleId="Refdenotaalpie">
    <w:name w:val="footnote reference"/>
    <w:basedOn w:val="Fuentedeprrafopredeter"/>
    <w:uiPriority w:val="99"/>
    <w:semiHidden/>
    <w:unhideWhenUsed/>
    <w:rsid w:val="00A3556E"/>
    <w:rPr>
      <w:vertAlign w:val="superscript"/>
    </w:rPr>
  </w:style>
  <w:style w:type="character" w:styleId="Hipervnculo">
    <w:name w:val="Hyperlink"/>
    <w:basedOn w:val="Fuentedeprrafopredeter"/>
    <w:uiPriority w:val="99"/>
    <w:unhideWhenUsed/>
    <w:rsid w:val="00A3556E"/>
    <w:rPr>
      <w:color w:val="0563C1" w:themeColor="hyperlink"/>
      <w:u w:val="single"/>
    </w:rPr>
  </w:style>
  <w:style w:type="paragraph" w:styleId="Cita">
    <w:name w:val="Quote"/>
    <w:basedOn w:val="Normal"/>
    <w:next w:val="Normal"/>
    <w:link w:val="CitaCar"/>
    <w:uiPriority w:val="29"/>
    <w:qFormat/>
    <w:rsid w:val="00A85CBB"/>
    <w:pPr>
      <w:spacing w:before="200"/>
      <w:ind w:left="284" w:right="49"/>
    </w:pPr>
    <w:rPr>
      <w:i/>
      <w:iCs/>
      <w:color w:val="404040" w:themeColor="text1" w:themeTint="BF"/>
      <w:sz w:val="22"/>
    </w:rPr>
  </w:style>
  <w:style w:type="character" w:customStyle="1" w:styleId="CitaCar">
    <w:name w:val="Cita Car"/>
    <w:basedOn w:val="Fuentedeprrafopredeter"/>
    <w:link w:val="Cita"/>
    <w:uiPriority w:val="29"/>
    <w:rsid w:val="00A85CBB"/>
    <w:rPr>
      <w:rFonts w:ascii="ITC Avant Garde" w:hAnsi="ITC Avant Garde"/>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8363">
      <w:bodyDiv w:val="1"/>
      <w:marLeft w:val="0"/>
      <w:marRight w:val="0"/>
      <w:marTop w:val="0"/>
      <w:marBottom w:val="0"/>
      <w:divBdr>
        <w:top w:val="none" w:sz="0" w:space="0" w:color="auto"/>
        <w:left w:val="none" w:sz="0" w:space="0" w:color="auto"/>
        <w:bottom w:val="none" w:sz="0" w:space="0" w:color="auto"/>
        <w:right w:val="none" w:sz="0" w:space="0" w:color="auto"/>
      </w:divBdr>
    </w:div>
    <w:div w:id="898906484">
      <w:bodyDiv w:val="1"/>
      <w:marLeft w:val="0"/>
      <w:marRight w:val="0"/>
      <w:marTop w:val="0"/>
      <w:marBottom w:val="0"/>
      <w:divBdr>
        <w:top w:val="none" w:sz="0" w:space="0" w:color="auto"/>
        <w:left w:val="none" w:sz="0" w:space="0" w:color="auto"/>
        <w:bottom w:val="none" w:sz="0" w:space="0" w:color="auto"/>
        <w:right w:val="none" w:sz="0" w:space="0" w:color="auto"/>
      </w:divBdr>
    </w:div>
    <w:div w:id="920337459">
      <w:bodyDiv w:val="1"/>
      <w:marLeft w:val="0"/>
      <w:marRight w:val="0"/>
      <w:marTop w:val="0"/>
      <w:marBottom w:val="0"/>
      <w:divBdr>
        <w:top w:val="none" w:sz="0" w:space="0" w:color="auto"/>
        <w:left w:val="none" w:sz="0" w:space="0" w:color="auto"/>
        <w:bottom w:val="none" w:sz="0" w:space="0" w:color="auto"/>
        <w:right w:val="none" w:sz="0" w:space="0" w:color="auto"/>
      </w:divBdr>
    </w:div>
    <w:div w:id="17976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peh-emf/project/intor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51C0-8BD7-41AE-80DE-E374DFCE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5634</Words>
  <Characters>30988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dc:creator>
  <cp:keywords/>
  <dc:description/>
  <cp:lastModifiedBy>Horacio Villalobos Tlatempa</cp:lastModifiedBy>
  <cp:revision>3</cp:revision>
  <dcterms:created xsi:type="dcterms:W3CDTF">2019-10-22T22:26:00Z</dcterms:created>
  <dcterms:modified xsi:type="dcterms:W3CDTF">2019-11-13T16:04:00Z</dcterms:modified>
</cp:coreProperties>
</file>