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88" w:rsidRPr="0070085A" w:rsidRDefault="00892701" w:rsidP="0087085E">
      <w:pPr>
        <w:tabs>
          <w:tab w:val="left" w:pos="720"/>
          <w:tab w:val="left" w:pos="1134"/>
        </w:tabs>
        <w:spacing w:line="276" w:lineRule="auto"/>
        <w:jc w:val="both"/>
        <w:rPr>
          <w:rFonts w:ascii="ITC Avant Garde" w:hAnsi="ITC Avant Garde" w:cs="Tahoma"/>
          <w:b/>
          <w:bCs/>
          <w:color w:val="000000"/>
          <w:sz w:val="22"/>
          <w:szCs w:val="22"/>
          <w:lang w:eastAsia="es-MX"/>
        </w:rPr>
      </w:pPr>
      <w:r w:rsidRPr="0070085A">
        <w:rPr>
          <w:rFonts w:ascii="ITC Avant Garde" w:hAnsi="ITC Avant Garde" w:cs="Tahoma"/>
          <w:b/>
          <w:bCs/>
          <w:color w:val="000000"/>
          <w:sz w:val="22"/>
          <w:szCs w:val="22"/>
        </w:rPr>
        <w:t xml:space="preserve">ACUERDO MEDIANTE EL CUAL EL PLENO DEL INSTITUTO FEDERAL DE TELECOMUNICACIONES </w:t>
      </w:r>
      <w:r w:rsidR="00FA1F22" w:rsidRPr="0070085A">
        <w:rPr>
          <w:rFonts w:ascii="ITC Avant Garde" w:hAnsi="ITC Avant Garde"/>
          <w:b/>
          <w:sz w:val="22"/>
          <w:szCs w:val="22"/>
        </w:rPr>
        <w:t xml:space="preserve">AMPLÍA EL PLAZO DE LA CONSULTA PÚBLICA ESTABLECIDO EN EL </w:t>
      </w:r>
      <w:r w:rsidR="00BC3F88" w:rsidRPr="0070085A">
        <w:rPr>
          <w:rFonts w:ascii="ITC Avant Garde" w:hAnsi="ITC Avant Garde"/>
          <w:b/>
          <w:sz w:val="22"/>
          <w:szCs w:val="22"/>
        </w:rPr>
        <w:t>ACUERDO MEDIANTE EL CUAL EL PLENO DEL INSTITUTO FEDERAL DE TELECOMUNICACIONES DETERMINA</w:t>
      </w:r>
      <w:r w:rsidR="00D574F5">
        <w:rPr>
          <w:rFonts w:ascii="ITC Avant Garde" w:hAnsi="ITC Avant Garde"/>
          <w:b/>
          <w:sz w:val="22"/>
          <w:szCs w:val="22"/>
        </w:rPr>
        <w:t xml:space="preserve"> SOMETER A CONSULTA PÚBLICA EL “</w:t>
      </w:r>
      <w:r w:rsidR="00BC3F88" w:rsidRPr="0070085A">
        <w:rPr>
          <w:rFonts w:ascii="ITC Avant Garde" w:hAnsi="ITC Avant Garde"/>
          <w:b/>
          <w:sz w:val="22"/>
          <w:szCs w:val="22"/>
        </w:rPr>
        <w:t xml:space="preserve">ANTEPROYECTO  DE </w:t>
      </w:r>
      <w:r w:rsidR="00172EE5" w:rsidRPr="00A1405F">
        <w:rPr>
          <w:rFonts w:ascii="ITC Avant Garde" w:hAnsi="ITC Avant Garde" w:cs="Tahoma"/>
          <w:b/>
          <w:bCs/>
          <w:color w:val="000000"/>
          <w:sz w:val="22"/>
          <w:szCs w:val="22"/>
          <w:lang w:val="es-ES_tradnl" w:eastAsia="es-MX"/>
        </w:rPr>
        <w:t>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p>
    <w:p w:rsidR="00FA1F22" w:rsidRDefault="00FA1F22" w:rsidP="0087085E">
      <w:pPr>
        <w:tabs>
          <w:tab w:val="left" w:pos="720"/>
          <w:tab w:val="left" w:pos="1134"/>
        </w:tabs>
        <w:spacing w:line="276" w:lineRule="auto"/>
        <w:jc w:val="both"/>
        <w:rPr>
          <w:rFonts w:ascii="ITC Avant Garde" w:hAnsi="ITC Avant Garde" w:cs="Tahoma"/>
          <w:b/>
          <w:bCs/>
          <w:color w:val="000000"/>
          <w:sz w:val="22"/>
          <w:szCs w:val="22"/>
        </w:rPr>
      </w:pPr>
    </w:p>
    <w:p w:rsidR="0087085E" w:rsidRDefault="0087085E" w:rsidP="0087085E">
      <w:pPr>
        <w:tabs>
          <w:tab w:val="left" w:pos="720"/>
          <w:tab w:val="left" w:pos="1134"/>
        </w:tabs>
        <w:spacing w:line="276" w:lineRule="auto"/>
        <w:jc w:val="both"/>
        <w:rPr>
          <w:rFonts w:ascii="ITC Avant Garde" w:hAnsi="ITC Avant Garde" w:cs="Tahoma"/>
          <w:b/>
          <w:bCs/>
          <w:color w:val="000000"/>
          <w:sz w:val="22"/>
          <w:szCs w:val="22"/>
        </w:rPr>
      </w:pPr>
    </w:p>
    <w:p w:rsidR="00AD55DE" w:rsidRPr="0070085A" w:rsidRDefault="00AD55DE" w:rsidP="0087085E">
      <w:pPr>
        <w:pStyle w:val="ANOTACION"/>
        <w:spacing w:before="0" w:after="0" w:line="276" w:lineRule="auto"/>
        <w:rPr>
          <w:rFonts w:ascii="ITC Avant Garde" w:hAnsi="ITC Avant Garde" w:cs="Arial"/>
          <w:bCs/>
          <w:sz w:val="22"/>
          <w:szCs w:val="22"/>
          <w:lang w:eastAsia="es-MX"/>
        </w:rPr>
      </w:pPr>
      <w:r w:rsidRPr="0070085A">
        <w:rPr>
          <w:rFonts w:ascii="ITC Avant Garde" w:hAnsi="ITC Avant Garde" w:cs="Arial"/>
          <w:bCs/>
          <w:sz w:val="22"/>
          <w:szCs w:val="22"/>
          <w:lang w:eastAsia="es-MX"/>
        </w:rPr>
        <w:t>ANTECEDENTES</w:t>
      </w:r>
    </w:p>
    <w:p w:rsidR="008A4AF1" w:rsidRDefault="008A4AF1" w:rsidP="0087085E">
      <w:pPr>
        <w:pStyle w:val="ANOTACION"/>
        <w:spacing w:before="0" w:after="0" w:line="276" w:lineRule="auto"/>
        <w:rPr>
          <w:rFonts w:ascii="ITC Avant Garde" w:hAnsi="ITC Avant Garde" w:cs="Arial"/>
          <w:bCs/>
          <w:sz w:val="22"/>
          <w:szCs w:val="22"/>
          <w:lang w:eastAsia="es-MX"/>
        </w:rPr>
      </w:pPr>
    </w:p>
    <w:p w:rsidR="00E72CD9" w:rsidRPr="0070085A" w:rsidRDefault="00D00E71" w:rsidP="0087085E">
      <w:pPr>
        <w:pStyle w:val="Prrafodelista"/>
        <w:numPr>
          <w:ilvl w:val="0"/>
          <w:numId w:val="12"/>
        </w:numPr>
        <w:spacing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11 de junio de 2013 se publicó en </w:t>
      </w:r>
      <w:r w:rsidR="008A5F01" w:rsidRPr="0070085A">
        <w:rPr>
          <w:rFonts w:ascii="ITC Avant Garde" w:hAnsi="ITC Avant Garde"/>
          <w:sz w:val="22"/>
          <w:szCs w:val="22"/>
          <w:lang w:val="es-ES"/>
        </w:rPr>
        <w:t xml:space="preserve">el Diario Oficial de la Federación (en lo sucesivo, </w:t>
      </w:r>
      <w:r w:rsidRPr="0070085A">
        <w:rPr>
          <w:rFonts w:ascii="ITC Avant Garde" w:hAnsi="ITC Avant Garde"/>
          <w:sz w:val="22"/>
          <w:szCs w:val="22"/>
          <w:lang w:val="es-ES"/>
        </w:rPr>
        <w:t xml:space="preserve">el </w:t>
      </w:r>
      <w:r w:rsidR="008A5F01" w:rsidRPr="0070085A">
        <w:rPr>
          <w:rFonts w:ascii="ITC Avant Garde" w:hAnsi="ITC Avant Garde"/>
          <w:sz w:val="22"/>
          <w:szCs w:val="22"/>
          <w:lang w:val="es-ES"/>
        </w:rPr>
        <w:t>“</w:t>
      </w:r>
      <w:r w:rsidRPr="0070085A">
        <w:rPr>
          <w:rFonts w:ascii="ITC Avant Garde" w:hAnsi="ITC Avant Garde"/>
          <w:sz w:val="22"/>
          <w:szCs w:val="22"/>
          <w:lang w:val="es-ES"/>
        </w:rPr>
        <w:t>DOF</w:t>
      </w:r>
      <w:r w:rsidR="008A5F01" w:rsidRPr="0070085A">
        <w:rPr>
          <w:rFonts w:ascii="ITC Avant Garde" w:hAnsi="ITC Avant Garde"/>
          <w:sz w:val="22"/>
          <w:szCs w:val="22"/>
          <w:lang w:val="es-ES"/>
        </w:rPr>
        <w:t>”)</w:t>
      </w:r>
      <w:r w:rsidR="008D1966" w:rsidRPr="0070085A">
        <w:rPr>
          <w:rFonts w:ascii="ITC Avant Garde" w:hAnsi="ITC Avant Garde"/>
          <w:sz w:val="22"/>
          <w:szCs w:val="22"/>
          <w:lang w:val="es-ES"/>
        </w:rPr>
        <w:t xml:space="preserve"> </w:t>
      </w:r>
      <w:r w:rsidRPr="0070085A">
        <w:rPr>
          <w:rFonts w:ascii="ITC Avant Garde" w:hAnsi="ITC Avant Garde"/>
          <w:sz w:val="22"/>
          <w:szCs w:val="22"/>
          <w:lang w:val="es-ES"/>
        </w:rPr>
        <w:t>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rsidR="00E72CD9" w:rsidRPr="0070085A" w:rsidRDefault="00E72CD9" w:rsidP="0087085E">
      <w:pPr>
        <w:pStyle w:val="Prrafodelista"/>
        <w:spacing w:line="276" w:lineRule="auto"/>
        <w:ind w:left="1080"/>
        <w:jc w:val="both"/>
        <w:rPr>
          <w:rFonts w:ascii="ITC Avant Garde" w:hAnsi="ITC Avant Garde"/>
          <w:sz w:val="22"/>
          <w:szCs w:val="22"/>
          <w:lang w:val="es-ES"/>
        </w:rPr>
      </w:pPr>
    </w:p>
    <w:p w:rsidR="00E72CD9" w:rsidRPr="0070085A" w:rsidRDefault="00D00E71" w:rsidP="0087085E">
      <w:pPr>
        <w:pStyle w:val="Prrafodelista"/>
        <w:numPr>
          <w:ilvl w:val="0"/>
          <w:numId w:val="12"/>
        </w:numPr>
        <w:spacing w:line="276" w:lineRule="auto"/>
        <w:jc w:val="both"/>
        <w:rPr>
          <w:rFonts w:ascii="ITC Avant Garde" w:hAnsi="ITC Avant Garde"/>
          <w:bCs/>
          <w:sz w:val="22"/>
          <w:szCs w:val="22"/>
          <w:lang w:val="es-ES_tradnl" w:eastAsia="es-MX"/>
        </w:rPr>
      </w:pPr>
      <w:r w:rsidRPr="0070085A">
        <w:rPr>
          <w:rFonts w:ascii="ITC Avant Garde" w:hAnsi="ITC Avant Garde"/>
          <w:sz w:val="22"/>
          <w:szCs w:val="22"/>
          <w:lang w:val="es-ES"/>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sidR="008A5F01" w:rsidRPr="0070085A">
        <w:rPr>
          <w:rFonts w:ascii="ITC Avant Garde" w:hAnsi="ITC Avant Garde"/>
          <w:sz w:val="22"/>
          <w:szCs w:val="22"/>
          <w:lang w:val="es-ES"/>
        </w:rPr>
        <w:t xml:space="preserve">a los </w:t>
      </w:r>
      <w:r w:rsidRPr="0070085A">
        <w:rPr>
          <w:rFonts w:ascii="ITC Avant Garde" w:hAnsi="ITC Avant Garde"/>
          <w:sz w:val="22"/>
          <w:szCs w:val="22"/>
          <w:lang w:val="es-ES"/>
        </w:rPr>
        <w:t xml:space="preserve">treinta días naturales siguientes a su publicación, esto es, el 13 de agosto de 2014. </w:t>
      </w:r>
    </w:p>
    <w:p w:rsidR="00E72CD9" w:rsidRPr="0070085A" w:rsidRDefault="00E72CD9" w:rsidP="0087085E">
      <w:pPr>
        <w:pStyle w:val="Prrafodelista"/>
        <w:spacing w:line="276" w:lineRule="auto"/>
        <w:rPr>
          <w:rFonts w:ascii="ITC Avant Garde" w:hAnsi="ITC Avant Garde"/>
          <w:bCs/>
          <w:sz w:val="22"/>
          <w:szCs w:val="22"/>
          <w:lang w:val="es-ES_tradnl" w:eastAsia="es-MX"/>
        </w:rPr>
      </w:pPr>
    </w:p>
    <w:p w:rsidR="00D00E71" w:rsidRPr="0070085A" w:rsidRDefault="00D00E71" w:rsidP="0087085E">
      <w:pPr>
        <w:pStyle w:val="Prrafodelista"/>
        <w:numPr>
          <w:ilvl w:val="0"/>
          <w:numId w:val="12"/>
        </w:numPr>
        <w:spacing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w:t>
      </w:r>
      <w:r w:rsidR="00367CE9" w:rsidRPr="0070085A">
        <w:rPr>
          <w:rFonts w:ascii="ITC Avant Garde" w:hAnsi="ITC Avant Garde"/>
          <w:sz w:val="22"/>
          <w:szCs w:val="22"/>
          <w:lang w:val="es-ES"/>
        </w:rPr>
        <w:t>el DOF el 17 de octubre de 2014 y el 17 de octubre de 2016, respectivamente.</w:t>
      </w:r>
    </w:p>
    <w:p w:rsidR="00E72CD9" w:rsidRPr="0070085A" w:rsidRDefault="00E72CD9" w:rsidP="0087085E">
      <w:pPr>
        <w:pStyle w:val="Prrafodelista"/>
        <w:spacing w:line="276" w:lineRule="auto"/>
        <w:rPr>
          <w:rFonts w:ascii="ITC Avant Garde" w:hAnsi="ITC Avant Garde"/>
          <w:sz w:val="22"/>
          <w:szCs w:val="22"/>
          <w:lang w:val="es-ES"/>
        </w:rPr>
      </w:pPr>
    </w:p>
    <w:p w:rsidR="00172EE5" w:rsidRPr="00172EE5" w:rsidRDefault="00E72CD9" w:rsidP="00172EE5">
      <w:pPr>
        <w:pStyle w:val="Prrafodelista"/>
        <w:numPr>
          <w:ilvl w:val="0"/>
          <w:numId w:val="12"/>
        </w:numPr>
        <w:spacing w:line="276" w:lineRule="auto"/>
        <w:jc w:val="both"/>
        <w:rPr>
          <w:rFonts w:ascii="ITC Avant Garde" w:hAnsi="ITC Avant Garde"/>
          <w:sz w:val="22"/>
          <w:szCs w:val="22"/>
          <w:lang w:val="es-ES"/>
        </w:rPr>
      </w:pPr>
      <w:r w:rsidRPr="00172EE5">
        <w:rPr>
          <w:rFonts w:ascii="ITC Avant Garde" w:hAnsi="ITC Avant Garde"/>
          <w:sz w:val="22"/>
          <w:szCs w:val="22"/>
          <w:lang w:val="es-ES"/>
        </w:rPr>
        <w:t xml:space="preserve">El 8 de </w:t>
      </w:r>
      <w:r w:rsidR="00892701" w:rsidRPr="00172EE5">
        <w:rPr>
          <w:rFonts w:ascii="ITC Avant Garde" w:hAnsi="ITC Avant Garde"/>
          <w:sz w:val="22"/>
          <w:szCs w:val="22"/>
          <w:lang w:val="es-ES"/>
        </w:rPr>
        <w:t xml:space="preserve">diciembre </w:t>
      </w:r>
      <w:r w:rsidRPr="00172EE5">
        <w:rPr>
          <w:rFonts w:ascii="ITC Avant Garde" w:hAnsi="ITC Avant Garde"/>
          <w:sz w:val="22"/>
          <w:szCs w:val="22"/>
          <w:lang w:val="es-ES"/>
        </w:rPr>
        <w:t>de 201</w:t>
      </w:r>
      <w:r w:rsidR="00892701" w:rsidRPr="00172EE5">
        <w:rPr>
          <w:rFonts w:ascii="ITC Avant Garde" w:hAnsi="ITC Avant Garde"/>
          <w:sz w:val="22"/>
          <w:szCs w:val="22"/>
          <w:lang w:val="es-ES"/>
        </w:rPr>
        <w:t>6</w:t>
      </w:r>
      <w:r w:rsidRPr="00172EE5">
        <w:rPr>
          <w:rFonts w:ascii="ITC Avant Garde" w:hAnsi="ITC Avant Garde"/>
          <w:sz w:val="22"/>
          <w:szCs w:val="22"/>
          <w:lang w:val="es-ES"/>
        </w:rPr>
        <w:t>, el Pleno del Instituto aprobó  por unanimidad de votos, en su X</w:t>
      </w:r>
      <w:r w:rsidR="00892701" w:rsidRPr="00172EE5">
        <w:rPr>
          <w:rFonts w:ascii="ITC Avant Garde" w:hAnsi="ITC Avant Garde"/>
          <w:sz w:val="22"/>
          <w:szCs w:val="22"/>
          <w:lang w:val="es-ES"/>
        </w:rPr>
        <w:t xml:space="preserve">LIV </w:t>
      </w:r>
      <w:r w:rsidRPr="00172EE5">
        <w:rPr>
          <w:rFonts w:ascii="ITC Avant Garde" w:hAnsi="ITC Avant Garde"/>
          <w:sz w:val="22"/>
          <w:szCs w:val="22"/>
          <w:lang w:val="es-ES"/>
        </w:rPr>
        <w:t xml:space="preserve">Sesión Ordinaria </w:t>
      </w:r>
      <w:r w:rsidR="00C03BCE" w:rsidRPr="00172EE5">
        <w:rPr>
          <w:rFonts w:ascii="ITC Avant Garde" w:hAnsi="ITC Avant Garde"/>
          <w:sz w:val="22"/>
          <w:szCs w:val="22"/>
          <w:lang w:val="es-ES"/>
        </w:rPr>
        <w:t xml:space="preserve">someter </w:t>
      </w:r>
      <w:r w:rsidR="00F1280F" w:rsidRPr="00172EE5">
        <w:rPr>
          <w:rFonts w:ascii="ITC Avant Garde" w:hAnsi="ITC Avant Garde"/>
          <w:sz w:val="22"/>
          <w:szCs w:val="22"/>
          <w:lang w:val="es-ES"/>
        </w:rPr>
        <w:t>a consulta pública el</w:t>
      </w:r>
      <w:r w:rsidR="00F5206A" w:rsidRPr="00172EE5">
        <w:rPr>
          <w:rFonts w:ascii="ITC Avant Garde" w:hAnsi="ITC Avant Garde"/>
          <w:sz w:val="22"/>
          <w:szCs w:val="22"/>
          <w:lang w:val="es-ES"/>
        </w:rPr>
        <w:t xml:space="preserve"> </w:t>
      </w:r>
      <w:r w:rsidR="00172EE5" w:rsidRPr="00172EE5">
        <w:rPr>
          <w:rFonts w:ascii="ITC Avant Garde" w:hAnsi="ITC Avant Garde" w:cs="Tahoma"/>
          <w:bCs/>
          <w:color w:val="000000"/>
          <w:sz w:val="22"/>
          <w:szCs w:val="22"/>
        </w:rPr>
        <w:t xml:space="preserve">“ANTEPROYECTO DE DISPOSICIÓN TÉCNICA IFT-012-2016: ESPECIFICACIONES </w:t>
      </w:r>
      <w:r w:rsidR="00172EE5" w:rsidRPr="00172EE5">
        <w:rPr>
          <w:rFonts w:ascii="ITC Avant Garde" w:hAnsi="ITC Avant Garde" w:cs="Tahoma"/>
          <w:bCs/>
          <w:color w:val="000000"/>
          <w:sz w:val="22"/>
          <w:szCs w:val="22"/>
        </w:rPr>
        <w:lastRenderedPageBreak/>
        <w:t>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r w:rsidR="00172EE5">
        <w:rPr>
          <w:rFonts w:ascii="ITC Avant Garde" w:hAnsi="ITC Avant Garde" w:cs="Tahoma"/>
          <w:bCs/>
          <w:color w:val="000000"/>
          <w:sz w:val="22"/>
          <w:szCs w:val="22"/>
        </w:rPr>
        <w:t xml:space="preserve">, </w:t>
      </w:r>
      <w:r w:rsidR="00172EE5" w:rsidRPr="0070085A">
        <w:rPr>
          <w:rFonts w:ascii="ITC Avant Garde" w:hAnsi="ITC Avant Garde" w:cs="Arial"/>
          <w:sz w:val="22"/>
          <w:szCs w:val="22"/>
        </w:rPr>
        <w:t xml:space="preserve">(en lo sucesivo, el “Acuerdo”), por un periodo de </w:t>
      </w:r>
      <w:r w:rsidR="00172EE5" w:rsidRPr="00A1405F">
        <w:rPr>
          <w:rFonts w:ascii="ITC Avant Garde" w:hAnsi="ITC Avant Garde"/>
          <w:sz w:val="22"/>
          <w:szCs w:val="22"/>
        </w:rPr>
        <w:t>cuarenta días hábiles</w:t>
      </w:r>
      <w:r w:rsidR="00172EE5" w:rsidRPr="0070085A">
        <w:rPr>
          <w:rFonts w:ascii="ITC Avant Garde" w:hAnsi="ITC Avant Garde" w:cs="Arial"/>
          <w:sz w:val="22"/>
          <w:szCs w:val="22"/>
        </w:rPr>
        <w:t>.</w:t>
      </w:r>
    </w:p>
    <w:p w:rsidR="0070085A" w:rsidRPr="00172EE5" w:rsidRDefault="0070085A" w:rsidP="00172EE5">
      <w:pPr>
        <w:spacing w:line="276" w:lineRule="auto"/>
        <w:rPr>
          <w:rFonts w:ascii="ITC Avant Garde" w:hAnsi="ITC Avant Garde"/>
          <w:sz w:val="22"/>
          <w:szCs w:val="22"/>
          <w:lang w:val="es-ES"/>
        </w:rPr>
      </w:pPr>
    </w:p>
    <w:p w:rsidR="00F04177" w:rsidRPr="0070085A" w:rsidRDefault="00F04177" w:rsidP="0087085E">
      <w:pPr>
        <w:pStyle w:val="Prrafodelista"/>
        <w:numPr>
          <w:ilvl w:val="0"/>
          <w:numId w:val="12"/>
        </w:numPr>
        <w:spacing w:line="276" w:lineRule="auto"/>
        <w:jc w:val="both"/>
        <w:rPr>
          <w:rFonts w:ascii="ITC Avant Garde" w:hAnsi="ITC Avant Garde"/>
          <w:sz w:val="22"/>
          <w:szCs w:val="22"/>
          <w:lang w:val="es-ES"/>
        </w:rPr>
      </w:pPr>
      <w:r w:rsidRPr="0070085A">
        <w:rPr>
          <w:rFonts w:ascii="ITC Avant Garde" w:hAnsi="ITC Avant Garde" w:cs="Arial"/>
          <w:sz w:val="22"/>
          <w:szCs w:val="22"/>
        </w:rPr>
        <w:t>El 1</w:t>
      </w:r>
      <w:r w:rsidR="00172EE5">
        <w:rPr>
          <w:rFonts w:ascii="ITC Avant Garde" w:hAnsi="ITC Avant Garde" w:cs="Arial"/>
          <w:sz w:val="22"/>
          <w:szCs w:val="22"/>
        </w:rPr>
        <w:t>4</w:t>
      </w:r>
      <w:r w:rsidRPr="0070085A">
        <w:rPr>
          <w:rFonts w:ascii="ITC Avant Garde" w:hAnsi="ITC Avant Garde" w:cs="Arial"/>
          <w:sz w:val="22"/>
          <w:szCs w:val="22"/>
        </w:rPr>
        <w:t xml:space="preserve"> de </w:t>
      </w:r>
      <w:r w:rsidR="00172EE5">
        <w:rPr>
          <w:rFonts w:ascii="ITC Avant Garde" w:hAnsi="ITC Avant Garde" w:cs="Arial"/>
          <w:sz w:val="22"/>
          <w:szCs w:val="22"/>
        </w:rPr>
        <w:t>febrero</w:t>
      </w:r>
      <w:r w:rsidRPr="0070085A">
        <w:rPr>
          <w:rFonts w:ascii="ITC Avant Garde" w:hAnsi="ITC Avant Garde" w:cs="Arial"/>
          <w:sz w:val="22"/>
          <w:szCs w:val="22"/>
        </w:rPr>
        <w:t xml:space="preserve"> de 2017, </w:t>
      </w:r>
      <w:r w:rsidRPr="0070085A">
        <w:rPr>
          <w:rFonts w:ascii="ITC Avant Garde" w:eastAsia="MS Mincho" w:hAnsi="ITC Avant Garde"/>
          <w:bCs/>
          <w:color w:val="000000"/>
          <w:sz w:val="22"/>
          <w:szCs w:val="22"/>
          <w:lang w:val="es-ES_tradnl" w:eastAsia="es-MX"/>
        </w:rPr>
        <w:t xml:space="preserve">la </w:t>
      </w:r>
      <w:r w:rsidR="00172EE5">
        <w:rPr>
          <w:rFonts w:ascii="ITC Avant Garde" w:eastAsia="MS Mincho" w:hAnsi="ITC Avant Garde"/>
          <w:bCs/>
          <w:color w:val="000000"/>
          <w:sz w:val="22"/>
          <w:szCs w:val="22"/>
          <w:lang w:val="es-ES_tradnl" w:eastAsia="es-MX"/>
        </w:rPr>
        <w:t>Asociación Nacional de Telecomunicaciones (ANATEL)</w:t>
      </w:r>
      <w:r w:rsidRPr="0070085A">
        <w:rPr>
          <w:rFonts w:ascii="ITC Avant Garde" w:eastAsia="MS Mincho" w:hAnsi="ITC Avant Garde"/>
          <w:bCs/>
          <w:color w:val="000000"/>
          <w:sz w:val="22"/>
          <w:szCs w:val="22"/>
          <w:lang w:val="es-ES_tradnl" w:eastAsia="es-MX"/>
        </w:rPr>
        <w:t xml:space="preserve"> a través de</w:t>
      </w:r>
      <w:r w:rsidR="004706DF">
        <w:rPr>
          <w:rFonts w:ascii="ITC Avant Garde" w:eastAsia="MS Mincho" w:hAnsi="ITC Avant Garde"/>
          <w:bCs/>
          <w:color w:val="000000"/>
          <w:sz w:val="22"/>
          <w:szCs w:val="22"/>
          <w:lang w:val="es-ES_tradnl" w:eastAsia="es-MX"/>
        </w:rPr>
        <w:t xml:space="preserve"> su</w:t>
      </w:r>
      <w:r w:rsidRPr="0070085A">
        <w:rPr>
          <w:rFonts w:ascii="ITC Avant Garde" w:eastAsia="MS Mincho" w:hAnsi="ITC Avant Garde"/>
          <w:bCs/>
          <w:color w:val="000000"/>
          <w:sz w:val="22"/>
          <w:szCs w:val="22"/>
          <w:lang w:val="es-ES_tradnl" w:eastAsia="es-MX"/>
        </w:rPr>
        <w:t xml:space="preserve"> </w:t>
      </w:r>
      <w:r w:rsidR="00D574F5">
        <w:rPr>
          <w:rFonts w:ascii="ITC Avant Garde" w:eastAsia="MS Mincho" w:hAnsi="ITC Avant Garde"/>
          <w:bCs/>
          <w:color w:val="000000"/>
          <w:sz w:val="22"/>
          <w:szCs w:val="22"/>
          <w:lang w:val="es-ES_tradnl" w:eastAsia="es-MX"/>
        </w:rPr>
        <w:t>Director G</w:t>
      </w:r>
      <w:r w:rsidR="00172EE5">
        <w:rPr>
          <w:rFonts w:ascii="ITC Avant Garde" w:eastAsia="MS Mincho" w:hAnsi="ITC Avant Garde"/>
          <w:bCs/>
          <w:color w:val="000000"/>
          <w:sz w:val="22"/>
          <w:szCs w:val="22"/>
          <w:lang w:val="es-ES_tradnl" w:eastAsia="es-MX"/>
        </w:rPr>
        <w:t>eneral</w:t>
      </w:r>
      <w:r w:rsidRPr="0070085A">
        <w:rPr>
          <w:rFonts w:ascii="ITC Avant Garde" w:eastAsia="MS Mincho" w:hAnsi="ITC Avant Garde"/>
          <w:bCs/>
          <w:color w:val="000000"/>
          <w:sz w:val="22"/>
          <w:szCs w:val="22"/>
          <w:lang w:val="es-ES_tradnl" w:eastAsia="es-MX"/>
        </w:rPr>
        <w:t xml:space="preserve">, solicitó al Pleno del Instituto Federal de Telecomunicaciones, la extensión del plazo de consulta pública por al menos </w:t>
      </w:r>
      <w:r w:rsidR="00172EE5">
        <w:rPr>
          <w:rFonts w:ascii="ITC Avant Garde" w:eastAsia="MS Mincho" w:hAnsi="ITC Avant Garde"/>
          <w:bCs/>
          <w:color w:val="000000"/>
          <w:sz w:val="22"/>
          <w:szCs w:val="22"/>
          <w:lang w:val="es-ES_tradnl" w:eastAsia="es-MX"/>
        </w:rPr>
        <w:t>30</w:t>
      </w:r>
      <w:r w:rsidRPr="0070085A">
        <w:rPr>
          <w:rFonts w:ascii="ITC Avant Garde" w:eastAsia="MS Mincho" w:hAnsi="ITC Avant Garde"/>
          <w:bCs/>
          <w:color w:val="000000"/>
          <w:sz w:val="22"/>
          <w:szCs w:val="22"/>
          <w:lang w:val="es-ES_tradnl" w:eastAsia="es-MX"/>
        </w:rPr>
        <w:t xml:space="preserve"> días </w:t>
      </w:r>
      <w:r w:rsidR="00B07A8F">
        <w:rPr>
          <w:rFonts w:ascii="ITC Avant Garde" w:eastAsia="MS Mincho" w:hAnsi="ITC Avant Garde"/>
          <w:bCs/>
          <w:color w:val="000000"/>
          <w:sz w:val="22"/>
          <w:szCs w:val="22"/>
          <w:lang w:val="es-ES_tradnl" w:eastAsia="es-MX"/>
        </w:rPr>
        <w:t>naturales</w:t>
      </w:r>
      <w:r w:rsidRPr="0070085A">
        <w:rPr>
          <w:rFonts w:ascii="ITC Avant Garde" w:eastAsia="MS Mincho" w:hAnsi="ITC Avant Garde"/>
          <w:bCs/>
          <w:color w:val="000000"/>
          <w:sz w:val="22"/>
          <w:szCs w:val="22"/>
          <w:lang w:val="es-ES_tradnl" w:eastAsia="es-MX"/>
        </w:rPr>
        <w:t>.</w:t>
      </w:r>
    </w:p>
    <w:p w:rsidR="008A4AF1" w:rsidRPr="0070085A" w:rsidRDefault="008A4AF1" w:rsidP="0087085E">
      <w:pPr>
        <w:spacing w:line="276" w:lineRule="auto"/>
        <w:jc w:val="both"/>
        <w:rPr>
          <w:rFonts w:ascii="ITC Avant Garde" w:hAnsi="ITC Avant Garde"/>
          <w:sz w:val="22"/>
          <w:szCs w:val="22"/>
        </w:rPr>
      </w:pPr>
    </w:p>
    <w:p w:rsidR="001211C1" w:rsidRPr="0070085A" w:rsidRDefault="00D00E71" w:rsidP="0087085E">
      <w:pPr>
        <w:pStyle w:val="Default"/>
        <w:tabs>
          <w:tab w:val="left" w:pos="0"/>
        </w:tabs>
        <w:spacing w:line="276" w:lineRule="auto"/>
        <w:rPr>
          <w:rFonts w:ascii="ITC Avant Garde" w:eastAsia="Times New Roman" w:hAnsi="ITC Avant Garde"/>
          <w:color w:val="auto"/>
          <w:sz w:val="22"/>
          <w:szCs w:val="22"/>
          <w:lang w:val="es-ES" w:eastAsia="es-ES"/>
        </w:rPr>
      </w:pPr>
      <w:r w:rsidRPr="0070085A">
        <w:rPr>
          <w:rFonts w:ascii="ITC Avant Garde" w:eastAsia="Times New Roman" w:hAnsi="ITC Avant Garde"/>
          <w:color w:val="auto"/>
          <w:sz w:val="22"/>
          <w:szCs w:val="22"/>
          <w:lang w:val="es-ES" w:eastAsia="es-ES"/>
        </w:rPr>
        <w:t xml:space="preserve">En atención a los </w:t>
      </w:r>
      <w:r w:rsidR="001211C1" w:rsidRPr="0070085A">
        <w:rPr>
          <w:rFonts w:ascii="ITC Avant Garde" w:eastAsia="Times New Roman" w:hAnsi="ITC Avant Garde"/>
          <w:color w:val="auto"/>
          <w:sz w:val="22"/>
          <w:szCs w:val="22"/>
          <w:lang w:val="es-ES" w:eastAsia="es-ES"/>
        </w:rPr>
        <w:t xml:space="preserve">antecedentes anteriores y, </w:t>
      </w:r>
    </w:p>
    <w:p w:rsidR="0070085A" w:rsidRDefault="0070085A" w:rsidP="0087085E">
      <w:pPr>
        <w:pStyle w:val="ANOTACION"/>
        <w:spacing w:before="0" w:after="0" w:line="276" w:lineRule="auto"/>
        <w:rPr>
          <w:rFonts w:ascii="ITC Avant Garde" w:hAnsi="ITC Avant Garde"/>
          <w:bCs/>
          <w:sz w:val="22"/>
          <w:szCs w:val="22"/>
          <w:lang w:eastAsia="es-MX"/>
        </w:rPr>
      </w:pPr>
    </w:p>
    <w:p w:rsidR="0087085E" w:rsidRDefault="0087085E" w:rsidP="0087085E">
      <w:pPr>
        <w:pStyle w:val="ANOTACION"/>
        <w:spacing w:before="0" w:after="0" w:line="276" w:lineRule="auto"/>
        <w:rPr>
          <w:rFonts w:ascii="ITC Avant Garde" w:hAnsi="ITC Avant Garde"/>
          <w:bCs/>
          <w:sz w:val="22"/>
          <w:szCs w:val="22"/>
          <w:lang w:eastAsia="es-MX"/>
        </w:rPr>
      </w:pPr>
    </w:p>
    <w:p w:rsidR="00924503" w:rsidRPr="0070085A" w:rsidRDefault="0070085A" w:rsidP="0087085E">
      <w:pPr>
        <w:pStyle w:val="ANOTACION"/>
        <w:spacing w:before="0" w:after="0" w:line="276" w:lineRule="auto"/>
        <w:rPr>
          <w:rFonts w:ascii="ITC Avant Garde" w:hAnsi="ITC Avant Garde" w:cs="Arial"/>
          <w:bCs/>
          <w:sz w:val="22"/>
          <w:szCs w:val="22"/>
          <w:lang w:eastAsia="es-MX"/>
        </w:rPr>
      </w:pPr>
      <w:r w:rsidRPr="0070085A">
        <w:rPr>
          <w:rFonts w:ascii="ITC Avant Garde" w:hAnsi="ITC Avant Garde" w:cs="Arial"/>
          <w:bCs/>
          <w:sz w:val="22"/>
          <w:szCs w:val="22"/>
          <w:lang w:eastAsia="es-MX"/>
        </w:rPr>
        <w:t>C</w:t>
      </w:r>
      <w:r w:rsidR="00924503" w:rsidRPr="0070085A">
        <w:rPr>
          <w:rFonts w:ascii="ITC Avant Garde" w:hAnsi="ITC Avant Garde" w:cs="Arial"/>
          <w:bCs/>
          <w:sz w:val="22"/>
          <w:szCs w:val="22"/>
          <w:lang w:eastAsia="es-MX"/>
        </w:rPr>
        <w:t xml:space="preserve">ONSIDERANDO </w:t>
      </w:r>
    </w:p>
    <w:p w:rsidR="0070085A" w:rsidRDefault="0070085A" w:rsidP="0087085E">
      <w:pPr>
        <w:pStyle w:val="ANOTACION"/>
        <w:spacing w:before="0" w:after="0" w:line="276" w:lineRule="auto"/>
        <w:rPr>
          <w:rFonts w:ascii="ITC Avant Garde" w:hAnsi="ITC Avant Garde" w:cs="Arial"/>
          <w:bCs/>
          <w:sz w:val="22"/>
          <w:szCs w:val="22"/>
          <w:lang w:eastAsia="es-MX"/>
        </w:rPr>
      </w:pPr>
    </w:p>
    <w:p w:rsidR="00110A96" w:rsidRPr="0070085A" w:rsidRDefault="00662D3C" w:rsidP="0087085E">
      <w:pPr>
        <w:spacing w:line="276" w:lineRule="auto"/>
        <w:jc w:val="both"/>
        <w:rPr>
          <w:rFonts w:ascii="ITC Avant Garde" w:hAnsi="ITC Avant Garde" w:cs="Arial"/>
          <w:sz w:val="22"/>
          <w:szCs w:val="22"/>
        </w:rPr>
      </w:pPr>
      <w:r w:rsidRPr="0070085A">
        <w:rPr>
          <w:rFonts w:ascii="ITC Avant Garde" w:hAnsi="ITC Avant Garde"/>
          <w:b/>
          <w:bCs/>
          <w:sz w:val="22"/>
          <w:szCs w:val="22"/>
          <w:lang w:val="es-ES_tradnl" w:eastAsia="es-MX"/>
        </w:rPr>
        <w:t>PRIMERO</w:t>
      </w:r>
      <w:r w:rsidR="00AD55DE" w:rsidRPr="0070085A">
        <w:rPr>
          <w:rFonts w:ascii="ITC Avant Garde" w:hAnsi="ITC Avant Garde"/>
          <w:b/>
          <w:bCs/>
          <w:sz w:val="22"/>
          <w:szCs w:val="22"/>
          <w:lang w:val="es-ES_tradnl" w:eastAsia="es-MX"/>
        </w:rPr>
        <w:t xml:space="preserve">.- Competencia del Instituto. </w:t>
      </w:r>
      <w:r w:rsidR="00224DFC" w:rsidRPr="0070085A">
        <w:rPr>
          <w:rFonts w:ascii="ITC Avant Garde" w:hAnsi="ITC Avant Garde" w:cs="Arial"/>
          <w:sz w:val="22"/>
          <w:szCs w:val="22"/>
        </w:rPr>
        <w:t>Que d</w:t>
      </w:r>
      <w:r w:rsidR="00110A96" w:rsidRPr="0070085A">
        <w:rPr>
          <w:rFonts w:ascii="ITC Avant Garde" w:hAnsi="ITC Avant Garde" w:cs="Arial"/>
          <w:sz w:val="22"/>
          <w:szCs w:val="22"/>
        </w:rPr>
        <w:t xml:space="preserve">e conformidad con lo establecido en los artículos 28, párrafo décimo quinto de la Constitución Política de los Estados Unidos Mexicanos (en lo sucesivo, la “Constitución”), así como en los diversos 1, 2, 7 de la Ley Federal de Telecomunicaciones y Radiodifusión (en lo sucesivo, </w:t>
      </w:r>
      <w:r w:rsidR="0003078E" w:rsidRPr="0070085A">
        <w:rPr>
          <w:rFonts w:ascii="ITC Avant Garde" w:hAnsi="ITC Avant Garde" w:cs="Arial"/>
          <w:sz w:val="22"/>
          <w:szCs w:val="22"/>
        </w:rPr>
        <w:t xml:space="preserve">la </w:t>
      </w:r>
      <w:r w:rsidR="00110A96" w:rsidRPr="0070085A">
        <w:rPr>
          <w:rFonts w:ascii="ITC Avant Garde" w:hAnsi="ITC Avant Garde" w:cs="Arial"/>
          <w:sz w:val="22"/>
          <w:szCs w:val="22"/>
        </w:rPr>
        <w:t xml:space="preserve">“LFTR”),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rsidR="00900463" w:rsidRPr="0070085A" w:rsidRDefault="00900463" w:rsidP="0087085E">
      <w:pPr>
        <w:spacing w:line="276" w:lineRule="auto"/>
        <w:jc w:val="both"/>
        <w:rPr>
          <w:rFonts w:ascii="ITC Avant Garde" w:hAnsi="ITC Avant Garde" w:cs="Arial"/>
          <w:sz w:val="22"/>
          <w:szCs w:val="22"/>
        </w:rPr>
      </w:pPr>
    </w:p>
    <w:p w:rsidR="00900463" w:rsidRPr="0070085A" w:rsidRDefault="00A85CD9" w:rsidP="0087085E">
      <w:pPr>
        <w:spacing w:line="276" w:lineRule="auto"/>
        <w:jc w:val="both"/>
        <w:rPr>
          <w:rFonts w:ascii="ITC Avant Garde" w:hAnsi="ITC Avant Garde" w:cs="Arial"/>
          <w:sz w:val="22"/>
          <w:szCs w:val="22"/>
        </w:rPr>
      </w:pPr>
      <w:r w:rsidRPr="0070085A">
        <w:rPr>
          <w:rFonts w:ascii="ITC Avant Garde" w:hAnsi="ITC Avant Garde" w:cs="Arial"/>
          <w:sz w:val="22"/>
          <w:szCs w:val="22"/>
        </w:rPr>
        <w:t>D</w:t>
      </w:r>
      <w:r w:rsidR="00900463" w:rsidRPr="0070085A">
        <w:rPr>
          <w:rFonts w:ascii="ITC Avant Garde" w:hAnsi="ITC Avant Garde" w:cs="Arial"/>
          <w:sz w:val="22"/>
          <w:szCs w:val="22"/>
        </w:rPr>
        <w:t xml:space="preserve">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rsidR="008A4AF1" w:rsidRPr="0070085A" w:rsidRDefault="008A4AF1" w:rsidP="0087085E">
      <w:pPr>
        <w:spacing w:line="276" w:lineRule="auto"/>
        <w:jc w:val="both"/>
        <w:rPr>
          <w:rFonts w:ascii="ITC Avant Garde" w:hAnsi="ITC Avant Garde" w:cs="Arial"/>
          <w:sz w:val="22"/>
          <w:szCs w:val="22"/>
        </w:rPr>
      </w:pPr>
    </w:p>
    <w:p w:rsidR="00DC1A4C" w:rsidRPr="0070085A" w:rsidRDefault="00DC1A4C" w:rsidP="0087085E">
      <w:pPr>
        <w:spacing w:line="276" w:lineRule="auto"/>
        <w:jc w:val="both"/>
        <w:rPr>
          <w:rFonts w:ascii="ITC Avant Garde" w:hAnsi="ITC Avant Garde" w:cs="Arial"/>
          <w:bCs/>
          <w:sz w:val="22"/>
          <w:szCs w:val="22"/>
        </w:rPr>
      </w:pPr>
      <w:r w:rsidRPr="0070085A">
        <w:rPr>
          <w:rFonts w:ascii="ITC Avant Garde" w:hAnsi="ITC Avant Garde" w:cs="Arial"/>
          <w:bCs/>
          <w:sz w:val="22"/>
          <w:szCs w:val="22"/>
        </w:rPr>
        <w:lastRenderedPageBreak/>
        <w:t>Por otra parte, los artículos 15 fracción XL y 51 de la LFTR, establecen que el Pleno del Instituto podrá realizar consultas públicas en cualquier caso que así lo determine, y estas deberán llevarse a cabo bajo los principios de transparencia y participación ciudadana.</w:t>
      </w:r>
    </w:p>
    <w:p w:rsidR="00A85CD9" w:rsidRDefault="00A85CD9" w:rsidP="0087085E">
      <w:pPr>
        <w:pStyle w:val="Default"/>
        <w:tabs>
          <w:tab w:val="left" w:pos="0"/>
        </w:tabs>
        <w:spacing w:line="276" w:lineRule="auto"/>
        <w:jc w:val="both"/>
        <w:rPr>
          <w:rFonts w:ascii="ITC Avant Garde" w:hAnsi="ITC Avant Garde"/>
          <w:bCs/>
          <w:sz w:val="22"/>
          <w:szCs w:val="22"/>
          <w:lang w:val="es-ES_tradnl"/>
        </w:rPr>
      </w:pPr>
    </w:p>
    <w:p w:rsidR="00A85CD9" w:rsidRPr="0070085A" w:rsidRDefault="00A85CD9" w:rsidP="0087085E">
      <w:pPr>
        <w:spacing w:line="276" w:lineRule="auto"/>
        <w:jc w:val="both"/>
        <w:rPr>
          <w:rFonts w:ascii="ITC Avant Garde" w:hAnsi="ITC Avant Garde" w:cs="Arial"/>
          <w:sz w:val="22"/>
          <w:szCs w:val="22"/>
        </w:rPr>
      </w:pPr>
      <w:r w:rsidRPr="0070085A">
        <w:rPr>
          <w:rFonts w:ascii="ITC Avant Garde" w:eastAsia="MS Mincho" w:hAnsi="ITC Avant Garde"/>
          <w:bCs/>
          <w:color w:val="000000"/>
          <w:sz w:val="22"/>
          <w:szCs w:val="22"/>
          <w:lang w:val="es-ES_tradnl" w:eastAsia="es-MX"/>
        </w:rPr>
        <w:t xml:space="preserve">Por lo anterior, el Instituto determinó someter a consulta el </w:t>
      </w:r>
      <w:r w:rsidRPr="0070085A">
        <w:rPr>
          <w:rFonts w:ascii="ITC Avant Garde" w:hAnsi="ITC Avant Garde" w:cs="Arial"/>
          <w:sz w:val="22"/>
          <w:szCs w:val="22"/>
        </w:rPr>
        <w:t>“</w:t>
      </w:r>
      <w:r w:rsidR="006D329B" w:rsidRPr="00A1405F">
        <w:rPr>
          <w:rFonts w:ascii="ITC Avant Garde" w:hAnsi="ITC Avant Garde"/>
          <w:sz w:val="22"/>
          <w:szCs w:val="22"/>
        </w:rPr>
        <w:t>ANTEPROYECTO</w:t>
      </w:r>
      <w:r w:rsidR="006D329B">
        <w:rPr>
          <w:rFonts w:ascii="ITC Avant Garde" w:hAnsi="ITC Avant Garde"/>
          <w:sz w:val="22"/>
          <w:szCs w:val="22"/>
        </w:rPr>
        <w:t xml:space="preserve"> DE</w:t>
      </w:r>
      <w:r w:rsidR="00172EE5" w:rsidRPr="00A1405F">
        <w:rPr>
          <w:rFonts w:ascii="ITC Avant Garde" w:hAnsi="ITC Avant Garde"/>
          <w:sz w:val="22"/>
          <w:szCs w:val="22"/>
        </w:rPr>
        <w:t xml:space="preserve"> DISPOSICIÓN TÉCNICA IFT-012-2016: ESPECIFICACIONES TÉCNICAS PARA EL CUMPLIMIENTO DE LOS LÍMITES MÁXIMOS DE RADIACIONES NO IONIZANTES DE LOS PRODUCTOS, EQUIPOS, DISPOSITIVOS O APARATOS DESTINADOS A TELECOMUNICACIONES QUE PUEDEN SER CONECTADOS A UNA RED DE TELECOMUNICACIONES Y/O HACER USO DEL ESPECTRO RADIOELÉCTRICO. ÍNDICE DE ABSORCIÓN ESPECÍFICA (SAR)</w:t>
      </w:r>
      <w:r w:rsidRPr="0070085A">
        <w:rPr>
          <w:rFonts w:ascii="ITC Avant Garde" w:hAnsi="ITC Avant Garde" w:cs="Arial"/>
          <w:sz w:val="22"/>
          <w:szCs w:val="22"/>
        </w:rPr>
        <w:t xml:space="preserve">, propuesto por la Unidad de Política Regulatoria, conforme las atribuciones conferidas </w:t>
      </w:r>
      <w:r w:rsidRPr="0070085A">
        <w:rPr>
          <w:rFonts w:ascii="ITC Avant Garde" w:hAnsi="ITC Avant Garde"/>
          <w:bCs/>
          <w:sz w:val="22"/>
          <w:szCs w:val="22"/>
        </w:rPr>
        <w:t>en los artículos 21 y 23 del</w:t>
      </w:r>
      <w:r w:rsidRPr="0070085A">
        <w:rPr>
          <w:rFonts w:ascii="ITC Avant Garde" w:hAnsi="ITC Avant Garde" w:cs="Arial"/>
          <w:sz w:val="22"/>
          <w:szCs w:val="22"/>
        </w:rPr>
        <w:t xml:space="preserve"> Estatuto Orgánico del Instituto</w:t>
      </w:r>
      <w:r w:rsidR="00224DFC" w:rsidRPr="0070085A">
        <w:rPr>
          <w:rFonts w:ascii="ITC Avant Garde" w:hAnsi="ITC Avant Garde" w:cs="Arial"/>
          <w:sz w:val="22"/>
          <w:szCs w:val="22"/>
        </w:rPr>
        <w:t>;</w:t>
      </w:r>
      <w:r w:rsidRPr="0070085A">
        <w:rPr>
          <w:rFonts w:ascii="ITC Avant Garde" w:hAnsi="ITC Avant Garde" w:cs="Arial"/>
          <w:sz w:val="22"/>
          <w:szCs w:val="22"/>
        </w:rPr>
        <w:t xml:space="preserve"> con la finalidad de recabar comentarios de los concesionarios, permisionarios, especialistas en la materia y del público en general, que permitan nutrir la determinación que tome sobre dicha disposición.</w:t>
      </w:r>
    </w:p>
    <w:p w:rsidR="00A85CD9" w:rsidRPr="0070085A" w:rsidRDefault="00A85CD9" w:rsidP="0087085E">
      <w:pPr>
        <w:spacing w:line="276" w:lineRule="auto"/>
        <w:jc w:val="both"/>
        <w:rPr>
          <w:rFonts w:ascii="ITC Avant Garde" w:hAnsi="ITC Avant Garde"/>
          <w:sz w:val="22"/>
          <w:szCs w:val="22"/>
          <w:lang w:val="es-ES"/>
        </w:rPr>
      </w:pPr>
    </w:p>
    <w:p w:rsidR="00A85CD9" w:rsidRPr="0070085A" w:rsidRDefault="00A85CD9"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Cs/>
          <w:sz w:val="22"/>
          <w:szCs w:val="22"/>
        </w:rPr>
        <w:t xml:space="preserve">Para estos efectos, se determinó un plazo de </w:t>
      </w:r>
      <w:r w:rsidR="003476AD">
        <w:rPr>
          <w:rFonts w:ascii="ITC Avant Garde" w:hAnsi="ITC Avant Garde"/>
          <w:bCs/>
          <w:sz w:val="22"/>
          <w:szCs w:val="22"/>
        </w:rPr>
        <w:t>40</w:t>
      </w:r>
      <w:r w:rsidRPr="0070085A">
        <w:rPr>
          <w:rFonts w:ascii="ITC Avant Garde" w:hAnsi="ITC Avant Garde"/>
          <w:bCs/>
          <w:sz w:val="22"/>
          <w:szCs w:val="22"/>
        </w:rPr>
        <w:t xml:space="preserve"> (</w:t>
      </w:r>
      <w:r w:rsidR="003476AD">
        <w:rPr>
          <w:rFonts w:ascii="ITC Avant Garde" w:hAnsi="ITC Avant Garde"/>
          <w:bCs/>
          <w:sz w:val="22"/>
          <w:szCs w:val="22"/>
        </w:rPr>
        <w:t>cuarenta</w:t>
      </w:r>
      <w:r w:rsidRPr="0070085A">
        <w:rPr>
          <w:rFonts w:ascii="ITC Avant Garde" w:hAnsi="ITC Avant Garde"/>
          <w:bCs/>
          <w:sz w:val="22"/>
          <w:szCs w:val="22"/>
        </w:rPr>
        <w:t xml:space="preserve"> días) hábiles de consulta pública que comprende del periodo del 13 de diciembre de 2016 al 2</w:t>
      </w:r>
      <w:r w:rsidR="003476AD">
        <w:rPr>
          <w:rFonts w:ascii="ITC Avant Garde" w:hAnsi="ITC Avant Garde"/>
          <w:bCs/>
          <w:sz w:val="22"/>
          <w:szCs w:val="22"/>
        </w:rPr>
        <w:t>1</w:t>
      </w:r>
      <w:r w:rsidRPr="0070085A">
        <w:rPr>
          <w:rFonts w:ascii="ITC Avant Garde" w:hAnsi="ITC Avant Garde"/>
          <w:bCs/>
          <w:sz w:val="22"/>
          <w:szCs w:val="22"/>
        </w:rPr>
        <w:t xml:space="preserve"> de </w:t>
      </w:r>
      <w:r w:rsidR="003476AD">
        <w:rPr>
          <w:rFonts w:ascii="ITC Avant Garde" w:hAnsi="ITC Avant Garde"/>
          <w:bCs/>
          <w:sz w:val="22"/>
          <w:szCs w:val="22"/>
        </w:rPr>
        <w:t>febrero</w:t>
      </w:r>
      <w:r w:rsidRPr="0070085A">
        <w:rPr>
          <w:rFonts w:ascii="ITC Avant Garde" w:hAnsi="ITC Avant Garde"/>
          <w:bCs/>
          <w:sz w:val="22"/>
          <w:szCs w:val="22"/>
        </w:rPr>
        <w:t xml:space="preserve"> de 2017</w:t>
      </w:r>
      <w:r w:rsidR="00224DFC" w:rsidRPr="0070085A">
        <w:rPr>
          <w:rFonts w:ascii="ITC Avant Garde" w:hAnsi="ITC Avant Garde"/>
          <w:bCs/>
          <w:sz w:val="22"/>
          <w:szCs w:val="22"/>
        </w:rPr>
        <w:t>.</w:t>
      </w:r>
    </w:p>
    <w:p w:rsidR="002808A8" w:rsidRPr="0070085A" w:rsidRDefault="002808A8" w:rsidP="0087085E">
      <w:pPr>
        <w:spacing w:line="276" w:lineRule="auto"/>
        <w:jc w:val="both"/>
        <w:rPr>
          <w:rFonts w:ascii="ITC Avant Garde" w:hAnsi="ITC Avant Garde" w:cs="Arial"/>
          <w:b/>
          <w:sz w:val="22"/>
          <w:szCs w:val="22"/>
        </w:rPr>
      </w:pPr>
    </w:p>
    <w:p w:rsidR="00075D68" w:rsidRPr="0070085A" w:rsidRDefault="00662D3C" w:rsidP="0087085E">
      <w:pPr>
        <w:spacing w:line="276" w:lineRule="auto"/>
        <w:jc w:val="both"/>
        <w:rPr>
          <w:rFonts w:ascii="ITC Avant Garde" w:eastAsia="MS Mincho" w:hAnsi="ITC Avant Garde"/>
          <w:bCs/>
          <w:color w:val="000000"/>
          <w:sz w:val="22"/>
          <w:szCs w:val="22"/>
          <w:lang w:val="es-ES_tradnl" w:eastAsia="es-MX"/>
        </w:rPr>
      </w:pPr>
      <w:r w:rsidRPr="0070085A">
        <w:rPr>
          <w:rFonts w:ascii="ITC Avant Garde" w:hAnsi="ITC Avant Garde" w:cs="Arial"/>
          <w:b/>
          <w:sz w:val="22"/>
          <w:szCs w:val="22"/>
        </w:rPr>
        <w:t>SEGUNDO</w:t>
      </w:r>
      <w:r w:rsidR="00C95170" w:rsidRPr="0070085A">
        <w:rPr>
          <w:rFonts w:ascii="ITC Avant Garde" w:hAnsi="ITC Avant Garde" w:cs="Arial"/>
          <w:sz w:val="22"/>
          <w:szCs w:val="22"/>
        </w:rPr>
        <w:t>.-</w:t>
      </w:r>
      <w:r w:rsidRPr="0070085A">
        <w:rPr>
          <w:rFonts w:ascii="ITC Avant Garde" w:hAnsi="ITC Avant Garde" w:cs="Arial"/>
          <w:sz w:val="22"/>
          <w:szCs w:val="22"/>
        </w:rPr>
        <w:t xml:space="preserve"> </w:t>
      </w:r>
      <w:r w:rsidRPr="0070085A">
        <w:rPr>
          <w:rFonts w:ascii="ITC Avant Garde" w:hAnsi="ITC Avant Garde" w:cs="Arial"/>
          <w:b/>
          <w:sz w:val="22"/>
          <w:szCs w:val="22"/>
        </w:rPr>
        <w:t>Solicitud de extensión de plazo</w:t>
      </w:r>
      <w:r w:rsidR="00622F1D" w:rsidRPr="0070085A">
        <w:rPr>
          <w:rFonts w:ascii="ITC Avant Garde" w:eastAsia="MS Mincho" w:hAnsi="ITC Avant Garde"/>
          <w:bCs/>
          <w:color w:val="000000"/>
          <w:sz w:val="22"/>
          <w:szCs w:val="22"/>
          <w:lang w:val="es-ES_tradnl" w:eastAsia="es-MX"/>
        </w:rPr>
        <w:t>.</w:t>
      </w:r>
      <w:r w:rsidR="00F90030" w:rsidRPr="0070085A">
        <w:rPr>
          <w:rFonts w:ascii="ITC Avant Garde" w:eastAsia="MS Mincho" w:hAnsi="ITC Avant Garde"/>
          <w:bCs/>
          <w:color w:val="000000"/>
          <w:sz w:val="22"/>
          <w:szCs w:val="22"/>
          <w:lang w:val="es-ES_tradnl" w:eastAsia="es-MX"/>
        </w:rPr>
        <w:t xml:space="preserve"> </w:t>
      </w:r>
      <w:r w:rsidR="00224DFC" w:rsidRPr="0070085A">
        <w:rPr>
          <w:rFonts w:ascii="ITC Avant Garde" w:eastAsia="MS Mincho" w:hAnsi="ITC Avant Garde"/>
          <w:bCs/>
          <w:color w:val="000000"/>
          <w:sz w:val="22"/>
          <w:szCs w:val="22"/>
          <w:lang w:val="es-ES_tradnl" w:eastAsia="es-MX"/>
        </w:rPr>
        <w:t>Que como parte del proceso</w:t>
      </w:r>
      <w:r w:rsidR="00A14184" w:rsidRPr="0070085A">
        <w:rPr>
          <w:rFonts w:ascii="ITC Avant Garde" w:eastAsia="MS Mincho" w:hAnsi="ITC Avant Garde"/>
          <w:bCs/>
          <w:color w:val="000000"/>
          <w:sz w:val="22"/>
          <w:szCs w:val="22"/>
          <w:lang w:val="es-ES_tradnl" w:eastAsia="es-MX"/>
        </w:rPr>
        <w:t xml:space="preserve"> de consulta pública del </w:t>
      </w:r>
      <w:r w:rsidR="00A85CD9" w:rsidRPr="0070085A">
        <w:rPr>
          <w:rFonts w:ascii="ITC Avant Garde" w:eastAsia="MS Mincho" w:hAnsi="ITC Avant Garde"/>
          <w:bCs/>
          <w:color w:val="000000"/>
          <w:sz w:val="22"/>
          <w:szCs w:val="22"/>
          <w:lang w:val="es-ES_tradnl" w:eastAsia="es-MX"/>
        </w:rPr>
        <w:t>Anteproyecto</w:t>
      </w:r>
      <w:r w:rsidR="00530E9B" w:rsidRPr="0070085A">
        <w:rPr>
          <w:rFonts w:ascii="ITC Avant Garde" w:eastAsia="MS Mincho" w:hAnsi="ITC Avant Garde"/>
          <w:bCs/>
          <w:color w:val="000000"/>
          <w:sz w:val="22"/>
          <w:szCs w:val="22"/>
          <w:lang w:val="es-ES_tradnl" w:eastAsia="es-MX"/>
        </w:rPr>
        <w:t xml:space="preserve">, </w:t>
      </w:r>
      <w:r w:rsidR="00106602" w:rsidRPr="0070085A">
        <w:rPr>
          <w:rFonts w:ascii="ITC Avant Garde" w:eastAsia="MS Mincho" w:hAnsi="ITC Avant Garde"/>
          <w:bCs/>
          <w:color w:val="000000"/>
          <w:sz w:val="22"/>
          <w:szCs w:val="22"/>
          <w:lang w:val="es-ES_tradnl" w:eastAsia="es-MX"/>
        </w:rPr>
        <w:t xml:space="preserve">la </w:t>
      </w:r>
      <w:r w:rsidR="003476AD">
        <w:rPr>
          <w:rFonts w:ascii="ITC Avant Garde" w:eastAsia="MS Mincho" w:hAnsi="ITC Avant Garde"/>
          <w:bCs/>
          <w:color w:val="000000"/>
          <w:sz w:val="22"/>
          <w:szCs w:val="22"/>
          <w:lang w:val="es-ES_tradnl" w:eastAsia="es-MX"/>
        </w:rPr>
        <w:t>ANATEL</w:t>
      </w:r>
      <w:r w:rsidR="00106602" w:rsidRPr="0070085A">
        <w:rPr>
          <w:rFonts w:ascii="ITC Avant Garde" w:eastAsia="MS Mincho" w:hAnsi="ITC Avant Garde"/>
          <w:bCs/>
          <w:color w:val="000000"/>
          <w:sz w:val="22"/>
          <w:szCs w:val="22"/>
          <w:lang w:val="es-ES_tradnl" w:eastAsia="es-MX"/>
        </w:rPr>
        <w:t xml:space="preserve"> </w:t>
      </w:r>
      <w:r w:rsidR="00FD0552">
        <w:rPr>
          <w:rFonts w:ascii="ITC Avant Garde" w:eastAsia="MS Mincho" w:hAnsi="ITC Avant Garde"/>
          <w:bCs/>
          <w:color w:val="000000"/>
          <w:sz w:val="22"/>
          <w:szCs w:val="22"/>
          <w:lang w:val="es-ES_tradnl" w:eastAsia="es-MX"/>
        </w:rPr>
        <w:t xml:space="preserve">cuyo objeto es </w:t>
      </w:r>
      <w:r w:rsidR="00FD0552" w:rsidRPr="00FD0552">
        <w:rPr>
          <w:rFonts w:ascii="ITC Avant Garde" w:eastAsia="MS Mincho" w:hAnsi="ITC Avant Garde"/>
          <w:bCs/>
          <w:color w:val="000000"/>
          <w:sz w:val="22"/>
          <w:szCs w:val="22"/>
          <w:lang w:val="es-ES_tradnl" w:eastAsia="es-MX"/>
        </w:rPr>
        <w:t xml:space="preserve"> </w:t>
      </w:r>
      <w:r w:rsidR="00754D17">
        <w:rPr>
          <w:rFonts w:ascii="ITC Avant Garde" w:eastAsia="MS Mincho" w:hAnsi="ITC Avant Garde"/>
          <w:bCs/>
          <w:color w:val="000000"/>
          <w:sz w:val="22"/>
          <w:szCs w:val="22"/>
          <w:lang w:val="es-ES_tradnl" w:eastAsia="es-MX"/>
        </w:rPr>
        <w:t xml:space="preserve">el </w:t>
      </w:r>
      <w:r w:rsidR="00FD0552" w:rsidRPr="00FD0552">
        <w:rPr>
          <w:rFonts w:ascii="ITC Avant Garde" w:eastAsia="MS Mincho" w:hAnsi="ITC Avant Garde"/>
          <w:bCs/>
          <w:color w:val="000000"/>
          <w:sz w:val="22"/>
          <w:szCs w:val="22"/>
          <w:lang w:val="es-ES_tradnl" w:eastAsia="es-MX"/>
        </w:rPr>
        <w:t xml:space="preserve">de </w:t>
      </w:r>
      <w:r w:rsidR="00754D17">
        <w:rPr>
          <w:rFonts w:ascii="ITC Avant Garde" w:eastAsia="MS Mincho" w:hAnsi="ITC Avant Garde"/>
          <w:bCs/>
          <w:color w:val="000000"/>
          <w:sz w:val="22"/>
          <w:szCs w:val="22"/>
          <w:lang w:val="es-ES_tradnl" w:eastAsia="es-MX"/>
        </w:rPr>
        <w:t>“</w:t>
      </w:r>
      <w:r w:rsidR="00FD0552" w:rsidRPr="00754D17">
        <w:rPr>
          <w:rFonts w:ascii="ITC Avant Garde" w:eastAsia="MS Mincho" w:hAnsi="ITC Avant Garde"/>
          <w:bCs/>
          <w:i/>
          <w:color w:val="000000"/>
          <w:sz w:val="22"/>
          <w:szCs w:val="22"/>
          <w:lang w:val="es-ES_tradnl" w:eastAsia="es-MX"/>
        </w:rPr>
        <w:t>representar ante las autoridades a las empresas de telefonía móvil e Internet, a los fabricantes de redes y equipos móviles líderes en la industria, distribuidores, integradores, consultores, organismos de certificación, laboratorios de pruebas, y otras unidades de la cadena productiva</w:t>
      </w:r>
      <w:r w:rsidR="00754D17">
        <w:rPr>
          <w:rStyle w:val="Refdenotaalpie"/>
          <w:rFonts w:ascii="ITC Avant Garde" w:eastAsia="MS Mincho" w:hAnsi="ITC Avant Garde"/>
          <w:bCs/>
          <w:color w:val="000000"/>
          <w:sz w:val="22"/>
          <w:szCs w:val="22"/>
          <w:lang w:val="es-ES_tradnl" w:eastAsia="es-MX"/>
        </w:rPr>
        <w:footnoteReference w:id="1"/>
      </w:r>
      <w:r w:rsidR="00754D17">
        <w:rPr>
          <w:rFonts w:ascii="ITC Avant Garde" w:eastAsia="MS Mincho" w:hAnsi="ITC Avant Garde"/>
          <w:bCs/>
          <w:color w:val="000000"/>
          <w:sz w:val="22"/>
          <w:szCs w:val="22"/>
          <w:lang w:val="es-ES_tradnl" w:eastAsia="es-MX"/>
        </w:rPr>
        <w:t>”</w:t>
      </w:r>
      <w:r w:rsidR="00FD0552" w:rsidRPr="00FD0552">
        <w:rPr>
          <w:rFonts w:ascii="ITC Avant Garde" w:eastAsia="MS Mincho" w:hAnsi="ITC Avant Garde"/>
          <w:bCs/>
          <w:color w:val="000000"/>
          <w:sz w:val="22"/>
          <w:szCs w:val="22"/>
          <w:lang w:val="es-ES_tradnl" w:eastAsia="es-MX"/>
        </w:rPr>
        <w:t>.</w:t>
      </w:r>
      <w:r w:rsidR="003476AD">
        <w:rPr>
          <w:rFonts w:ascii="ITC Avant Garde" w:eastAsia="MS Mincho" w:hAnsi="ITC Avant Garde"/>
          <w:bCs/>
          <w:color w:val="000000"/>
          <w:sz w:val="22"/>
          <w:szCs w:val="22"/>
          <w:lang w:val="es-ES_tradnl" w:eastAsia="es-MX"/>
        </w:rPr>
        <w:t xml:space="preserve">, </w:t>
      </w:r>
      <w:r w:rsidR="00754D17">
        <w:rPr>
          <w:rFonts w:ascii="ITC Avant Garde" w:eastAsia="MS Mincho" w:hAnsi="ITC Avant Garde"/>
          <w:bCs/>
          <w:color w:val="000000"/>
          <w:sz w:val="22"/>
          <w:szCs w:val="22"/>
          <w:lang w:val="es-ES_tradnl" w:eastAsia="es-MX"/>
        </w:rPr>
        <w:t xml:space="preserve">mediante escrito recibido electrónicamente </w:t>
      </w:r>
      <w:r w:rsidR="00224DFC" w:rsidRPr="0070085A">
        <w:rPr>
          <w:rFonts w:ascii="ITC Avant Garde" w:eastAsia="MS Mincho" w:hAnsi="ITC Avant Garde"/>
          <w:bCs/>
          <w:color w:val="000000"/>
          <w:sz w:val="22"/>
          <w:szCs w:val="22"/>
          <w:lang w:val="es-ES_tradnl" w:eastAsia="es-MX"/>
        </w:rPr>
        <w:t>el 1</w:t>
      </w:r>
      <w:r w:rsidR="003476AD">
        <w:rPr>
          <w:rFonts w:ascii="ITC Avant Garde" w:eastAsia="MS Mincho" w:hAnsi="ITC Avant Garde"/>
          <w:bCs/>
          <w:color w:val="000000"/>
          <w:sz w:val="22"/>
          <w:szCs w:val="22"/>
          <w:lang w:val="es-ES_tradnl" w:eastAsia="es-MX"/>
        </w:rPr>
        <w:t>4</w:t>
      </w:r>
      <w:r w:rsidR="00224DFC" w:rsidRPr="0070085A">
        <w:rPr>
          <w:rFonts w:ascii="ITC Avant Garde" w:eastAsia="MS Mincho" w:hAnsi="ITC Avant Garde"/>
          <w:bCs/>
          <w:color w:val="000000"/>
          <w:sz w:val="22"/>
          <w:szCs w:val="22"/>
          <w:lang w:val="es-ES_tradnl" w:eastAsia="es-MX"/>
        </w:rPr>
        <w:t xml:space="preserve"> de </w:t>
      </w:r>
      <w:r w:rsidR="003476AD">
        <w:rPr>
          <w:rFonts w:ascii="ITC Avant Garde" w:eastAsia="MS Mincho" w:hAnsi="ITC Avant Garde"/>
          <w:bCs/>
          <w:color w:val="000000"/>
          <w:sz w:val="22"/>
          <w:szCs w:val="22"/>
          <w:lang w:val="es-ES_tradnl" w:eastAsia="es-MX"/>
        </w:rPr>
        <w:t>febrero</w:t>
      </w:r>
      <w:r w:rsidR="00224DFC" w:rsidRPr="0070085A">
        <w:rPr>
          <w:rFonts w:ascii="ITC Avant Garde" w:eastAsia="MS Mincho" w:hAnsi="ITC Avant Garde"/>
          <w:bCs/>
          <w:color w:val="000000"/>
          <w:sz w:val="22"/>
          <w:szCs w:val="22"/>
          <w:lang w:val="es-ES_tradnl" w:eastAsia="es-MX"/>
        </w:rPr>
        <w:t xml:space="preserve"> del 2017, solicitó </w:t>
      </w:r>
      <w:r w:rsidR="00754D17">
        <w:rPr>
          <w:rFonts w:ascii="ITC Avant Garde" w:eastAsia="MS Mincho" w:hAnsi="ITC Avant Garde"/>
          <w:bCs/>
          <w:color w:val="000000"/>
          <w:sz w:val="22"/>
          <w:szCs w:val="22"/>
          <w:lang w:val="es-ES_tradnl" w:eastAsia="es-MX"/>
        </w:rPr>
        <w:t xml:space="preserve">a los Comisionados </w:t>
      </w:r>
      <w:r w:rsidR="00075D68" w:rsidRPr="0070085A">
        <w:rPr>
          <w:rFonts w:ascii="ITC Avant Garde" w:eastAsia="MS Mincho" w:hAnsi="ITC Avant Garde"/>
          <w:bCs/>
          <w:color w:val="000000"/>
          <w:sz w:val="22"/>
          <w:szCs w:val="22"/>
          <w:lang w:val="es-ES_tradnl" w:eastAsia="es-MX"/>
        </w:rPr>
        <w:t>del Instituto Federal de Telecomunicaciones</w:t>
      </w:r>
      <w:r w:rsidR="00B455AE" w:rsidRPr="0070085A">
        <w:rPr>
          <w:rFonts w:ascii="ITC Avant Garde" w:eastAsia="MS Mincho" w:hAnsi="ITC Avant Garde"/>
          <w:bCs/>
          <w:color w:val="000000"/>
          <w:sz w:val="22"/>
          <w:szCs w:val="22"/>
          <w:lang w:val="es-ES_tradnl" w:eastAsia="es-MX"/>
        </w:rPr>
        <w:t>,</w:t>
      </w:r>
      <w:r w:rsidR="00075D68" w:rsidRPr="0070085A">
        <w:rPr>
          <w:rFonts w:ascii="ITC Avant Garde" w:eastAsia="MS Mincho" w:hAnsi="ITC Avant Garde"/>
          <w:bCs/>
          <w:color w:val="000000"/>
          <w:sz w:val="22"/>
          <w:szCs w:val="22"/>
          <w:lang w:val="es-ES_tradnl" w:eastAsia="es-MX"/>
        </w:rPr>
        <w:t xml:space="preserve"> la </w:t>
      </w:r>
      <w:r w:rsidR="00754D17">
        <w:rPr>
          <w:rFonts w:ascii="ITC Avant Garde" w:eastAsia="MS Mincho" w:hAnsi="ITC Avant Garde"/>
          <w:bCs/>
          <w:color w:val="000000"/>
          <w:sz w:val="22"/>
          <w:szCs w:val="22"/>
          <w:lang w:val="es-ES_tradnl" w:eastAsia="es-MX"/>
        </w:rPr>
        <w:t>ampliaci</w:t>
      </w:r>
      <w:r w:rsidR="00075D68" w:rsidRPr="0070085A">
        <w:rPr>
          <w:rFonts w:ascii="ITC Avant Garde" w:eastAsia="MS Mincho" w:hAnsi="ITC Avant Garde"/>
          <w:bCs/>
          <w:color w:val="000000"/>
          <w:sz w:val="22"/>
          <w:szCs w:val="22"/>
          <w:lang w:val="es-ES_tradnl" w:eastAsia="es-MX"/>
        </w:rPr>
        <w:t>ón del plazo de consulta pública por al m</w:t>
      </w:r>
      <w:r w:rsidR="00A85CD9" w:rsidRPr="0070085A">
        <w:rPr>
          <w:rFonts w:ascii="ITC Avant Garde" w:eastAsia="MS Mincho" w:hAnsi="ITC Avant Garde"/>
          <w:bCs/>
          <w:color w:val="000000"/>
          <w:sz w:val="22"/>
          <w:szCs w:val="22"/>
          <w:lang w:val="es-ES_tradnl" w:eastAsia="es-MX"/>
        </w:rPr>
        <w:t xml:space="preserve">enos </w:t>
      </w:r>
      <w:r w:rsidR="003476AD">
        <w:rPr>
          <w:rFonts w:ascii="ITC Avant Garde" w:eastAsia="MS Mincho" w:hAnsi="ITC Avant Garde"/>
          <w:bCs/>
          <w:color w:val="000000"/>
          <w:sz w:val="22"/>
          <w:szCs w:val="22"/>
          <w:lang w:val="es-ES_tradnl" w:eastAsia="es-MX"/>
        </w:rPr>
        <w:t>30</w:t>
      </w:r>
      <w:r w:rsidR="00A85CD9" w:rsidRPr="0070085A">
        <w:rPr>
          <w:rFonts w:ascii="ITC Avant Garde" w:eastAsia="MS Mincho" w:hAnsi="ITC Avant Garde"/>
          <w:bCs/>
          <w:color w:val="000000"/>
          <w:sz w:val="22"/>
          <w:szCs w:val="22"/>
          <w:lang w:val="es-ES_tradnl" w:eastAsia="es-MX"/>
        </w:rPr>
        <w:t xml:space="preserve"> días </w:t>
      </w:r>
      <w:r w:rsidR="00801B6A">
        <w:rPr>
          <w:rFonts w:ascii="ITC Avant Garde" w:eastAsia="MS Mincho" w:hAnsi="ITC Avant Garde"/>
          <w:bCs/>
          <w:color w:val="000000"/>
          <w:sz w:val="22"/>
          <w:szCs w:val="22"/>
          <w:lang w:val="es-ES_tradnl" w:eastAsia="es-MX"/>
        </w:rPr>
        <w:t>naturales</w:t>
      </w:r>
      <w:r w:rsidR="00A85CD9" w:rsidRPr="0070085A">
        <w:rPr>
          <w:rFonts w:ascii="ITC Avant Garde" w:eastAsia="MS Mincho" w:hAnsi="ITC Avant Garde"/>
          <w:bCs/>
          <w:color w:val="000000"/>
          <w:sz w:val="22"/>
          <w:szCs w:val="22"/>
          <w:lang w:val="es-ES_tradnl" w:eastAsia="es-MX"/>
        </w:rPr>
        <w:t xml:space="preserve">, </w:t>
      </w:r>
      <w:r w:rsidR="00D37FE5">
        <w:rPr>
          <w:rFonts w:ascii="ITC Avant Garde" w:eastAsia="MS Mincho" w:hAnsi="ITC Avant Garde"/>
          <w:bCs/>
          <w:color w:val="000000"/>
          <w:sz w:val="22"/>
          <w:szCs w:val="22"/>
          <w:lang w:val="es-ES_tradnl" w:eastAsia="es-MX"/>
        </w:rPr>
        <w:t>“</w:t>
      </w:r>
      <w:r w:rsidR="00754D17" w:rsidRPr="00D37FE5">
        <w:rPr>
          <w:rFonts w:ascii="ITC Avant Garde" w:eastAsia="MS Mincho" w:hAnsi="ITC Avant Garde"/>
          <w:bCs/>
          <w:i/>
          <w:color w:val="000000"/>
          <w:sz w:val="22"/>
          <w:szCs w:val="22"/>
          <w:lang w:val="es-ES_tradnl" w:eastAsia="es-MX"/>
        </w:rPr>
        <w:t xml:space="preserve">considerando la complejidad, relevancia y el análisis detallado que merecen los comentarios que se presentarán y, sobre todo, a fin de asegurar que dichos comentarios sean exhaustivos </w:t>
      </w:r>
      <w:r w:rsidR="00D37FE5" w:rsidRPr="00D37FE5">
        <w:rPr>
          <w:rFonts w:ascii="ITC Avant Garde" w:eastAsia="MS Mincho" w:hAnsi="ITC Avant Garde"/>
          <w:bCs/>
          <w:i/>
          <w:color w:val="000000"/>
          <w:sz w:val="22"/>
          <w:szCs w:val="22"/>
          <w:lang w:val="es-ES_tradnl" w:eastAsia="es-MX"/>
        </w:rPr>
        <w:t>y en abono a la mejor actividad de regulación que tiene encomendada el Instituto.</w:t>
      </w:r>
      <w:r w:rsidR="00D37FE5">
        <w:rPr>
          <w:rFonts w:ascii="ITC Avant Garde" w:eastAsia="MS Mincho" w:hAnsi="ITC Avant Garde"/>
          <w:bCs/>
          <w:color w:val="000000"/>
          <w:sz w:val="22"/>
          <w:szCs w:val="22"/>
          <w:lang w:val="es-ES_tradnl" w:eastAsia="es-MX"/>
        </w:rPr>
        <w:t>”</w:t>
      </w:r>
      <w:r w:rsidR="00075D68" w:rsidRPr="0070085A">
        <w:rPr>
          <w:rFonts w:ascii="ITC Avant Garde" w:eastAsia="MS Mincho" w:hAnsi="ITC Avant Garde"/>
          <w:bCs/>
          <w:color w:val="000000"/>
          <w:sz w:val="22"/>
          <w:szCs w:val="22"/>
          <w:lang w:val="es-ES_tradnl" w:eastAsia="es-MX"/>
        </w:rPr>
        <w:t>.</w:t>
      </w:r>
    </w:p>
    <w:p w:rsidR="0070085A" w:rsidRPr="0070085A" w:rsidRDefault="0070085A" w:rsidP="0087085E">
      <w:pPr>
        <w:spacing w:line="276" w:lineRule="auto"/>
        <w:jc w:val="both"/>
        <w:rPr>
          <w:rFonts w:ascii="ITC Avant Garde" w:eastAsia="MS Mincho" w:hAnsi="ITC Avant Garde"/>
          <w:bCs/>
          <w:color w:val="000000"/>
          <w:sz w:val="22"/>
          <w:szCs w:val="22"/>
          <w:lang w:val="es-ES_tradnl" w:eastAsia="es-MX"/>
        </w:rPr>
      </w:pPr>
    </w:p>
    <w:p w:rsidR="004C47D5" w:rsidRPr="0070085A" w:rsidRDefault="004C47D5"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
          <w:sz w:val="22"/>
          <w:szCs w:val="22"/>
          <w:lang w:val="es-ES_tradnl"/>
        </w:rPr>
        <w:t>TERCERO.- Consulta Pública.</w:t>
      </w:r>
      <w:r w:rsidRPr="0070085A">
        <w:rPr>
          <w:rFonts w:ascii="ITC Avant Garde" w:hAnsi="ITC Avant Garde"/>
          <w:sz w:val="22"/>
          <w:szCs w:val="22"/>
          <w:lang w:val="es-ES_tradnl"/>
        </w:rPr>
        <w:t xml:space="preserve"> </w:t>
      </w:r>
      <w:r w:rsidRPr="0070085A">
        <w:rPr>
          <w:rFonts w:ascii="ITC Avant Garde" w:hAnsi="ITC Avant Garde"/>
          <w:bCs/>
          <w:sz w:val="22"/>
          <w:szCs w:val="22"/>
          <w:lang w:val="es-ES_tradnl"/>
        </w:rPr>
        <w:t>Que los procesos de consulta pública realizados por el Instituto le han permitido asegurar plena transparencia en el proceso de elaboración de nuevas regulaciones, el mejoramiento de sus instrumentos regulatorios, una mayor participación y sociabilización de los temas de su interés con los ciudadanos y agentes regulados, así como un mejor entendimiento sobre los posibles impactos que se pueden desprender a razón de la entrada en vigor de las medidas regulatorias que propone.</w:t>
      </w:r>
    </w:p>
    <w:p w:rsidR="0087085E" w:rsidRPr="008A4AF1" w:rsidRDefault="0087085E" w:rsidP="0087085E">
      <w:pPr>
        <w:pStyle w:val="Default"/>
        <w:tabs>
          <w:tab w:val="left" w:pos="0"/>
        </w:tabs>
        <w:spacing w:line="276" w:lineRule="auto"/>
        <w:jc w:val="both"/>
        <w:rPr>
          <w:rFonts w:ascii="ITC Avant Garde" w:hAnsi="ITC Avant Garde"/>
          <w:bCs/>
          <w:sz w:val="18"/>
          <w:szCs w:val="22"/>
          <w:lang w:val="es-ES_tradnl"/>
        </w:rPr>
      </w:pPr>
    </w:p>
    <w:p w:rsidR="004C47D5" w:rsidRPr="0070085A" w:rsidRDefault="00155F57" w:rsidP="0087085E">
      <w:pPr>
        <w:pStyle w:val="Default"/>
        <w:tabs>
          <w:tab w:val="left" w:pos="0"/>
        </w:tabs>
        <w:spacing w:line="276" w:lineRule="auto"/>
        <w:jc w:val="both"/>
        <w:rPr>
          <w:rFonts w:ascii="ITC Avant Garde" w:hAnsi="ITC Avant Garde"/>
          <w:color w:val="auto"/>
          <w:sz w:val="22"/>
          <w:szCs w:val="22"/>
        </w:rPr>
      </w:pPr>
      <w:r w:rsidRPr="0070085A">
        <w:rPr>
          <w:rFonts w:ascii="ITC Avant Garde" w:hAnsi="ITC Avant Garde"/>
          <w:sz w:val="22"/>
          <w:szCs w:val="22"/>
          <w:lang w:val="es-ES_tradnl"/>
        </w:rPr>
        <w:t>En este tenor, e</w:t>
      </w:r>
      <w:r w:rsidR="004C47D5" w:rsidRPr="0070085A">
        <w:rPr>
          <w:rFonts w:ascii="ITC Avant Garde" w:hAnsi="ITC Avant Garde"/>
          <w:sz w:val="22"/>
          <w:szCs w:val="22"/>
          <w:lang w:val="es-ES_tradnl"/>
        </w:rPr>
        <w:t xml:space="preserve">l Resolutivo Primero del Acuerdo establece someter a consulta pública el </w:t>
      </w:r>
      <w:r w:rsidR="00D77D4E" w:rsidRPr="007D7B8E">
        <w:rPr>
          <w:rFonts w:ascii="ITC Avant Garde" w:hAnsi="ITC Avant Garde" w:cs="Tahoma"/>
          <w:bCs/>
          <w:sz w:val="22"/>
          <w:szCs w:val="22"/>
          <w:lang w:val="es-ES_tradnl"/>
        </w:rPr>
        <w:t>“ANTEPROYECTO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r w:rsidR="004C47D5" w:rsidRPr="0070085A">
        <w:rPr>
          <w:rFonts w:ascii="ITC Avant Garde" w:hAnsi="ITC Avant Garde"/>
          <w:sz w:val="22"/>
          <w:szCs w:val="22"/>
          <w:lang w:val="es-ES_tradnl"/>
        </w:rPr>
        <w:t xml:space="preserve">, por un plazo de </w:t>
      </w:r>
      <w:r w:rsidR="00D77D4E">
        <w:rPr>
          <w:rFonts w:ascii="ITC Avant Garde" w:hAnsi="ITC Avant Garde"/>
          <w:sz w:val="22"/>
          <w:szCs w:val="22"/>
          <w:lang w:val="es-ES_tradnl"/>
        </w:rPr>
        <w:t>40</w:t>
      </w:r>
      <w:r w:rsidR="004C47D5" w:rsidRPr="0070085A">
        <w:rPr>
          <w:rFonts w:ascii="ITC Avant Garde" w:hAnsi="ITC Avant Garde"/>
          <w:sz w:val="22"/>
          <w:szCs w:val="22"/>
          <w:lang w:val="es-ES_tradnl"/>
        </w:rPr>
        <w:t xml:space="preserve"> días hábiles</w:t>
      </w:r>
      <w:r w:rsidR="00E3442C" w:rsidRPr="0070085A">
        <w:rPr>
          <w:rFonts w:ascii="ITC Avant Garde" w:hAnsi="ITC Avant Garde"/>
          <w:sz w:val="22"/>
          <w:szCs w:val="22"/>
          <w:lang w:val="es-ES_tradnl"/>
        </w:rPr>
        <w:t xml:space="preserve"> contados a partir de su publicación en el portal de Internet del Instituto</w:t>
      </w:r>
      <w:r w:rsidR="004C47D5" w:rsidRPr="0070085A">
        <w:rPr>
          <w:rFonts w:ascii="ITC Avant Garde" w:hAnsi="ITC Avant Garde"/>
          <w:sz w:val="22"/>
          <w:szCs w:val="22"/>
          <w:lang w:val="es-ES_tradnl"/>
        </w:rPr>
        <w:t xml:space="preserve">, esto es, del </w:t>
      </w:r>
      <w:r w:rsidR="00E3442C" w:rsidRPr="0070085A">
        <w:rPr>
          <w:rFonts w:ascii="ITC Avant Garde" w:hAnsi="ITC Avant Garde"/>
          <w:color w:val="auto"/>
          <w:sz w:val="22"/>
          <w:szCs w:val="22"/>
        </w:rPr>
        <w:t>13 de diciembre de 2016 al 2</w:t>
      </w:r>
      <w:r w:rsidR="00D77D4E">
        <w:rPr>
          <w:rFonts w:ascii="ITC Avant Garde" w:hAnsi="ITC Avant Garde"/>
          <w:color w:val="auto"/>
          <w:sz w:val="22"/>
          <w:szCs w:val="22"/>
        </w:rPr>
        <w:t>1</w:t>
      </w:r>
      <w:r w:rsidR="00E3442C" w:rsidRPr="0070085A">
        <w:rPr>
          <w:rFonts w:ascii="ITC Avant Garde" w:hAnsi="ITC Avant Garde"/>
          <w:color w:val="auto"/>
          <w:sz w:val="22"/>
          <w:szCs w:val="22"/>
        </w:rPr>
        <w:t xml:space="preserve"> de </w:t>
      </w:r>
      <w:r w:rsidR="00D77D4E">
        <w:rPr>
          <w:rFonts w:ascii="ITC Avant Garde" w:hAnsi="ITC Avant Garde"/>
          <w:color w:val="auto"/>
          <w:sz w:val="22"/>
          <w:szCs w:val="22"/>
        </w:rPr>
        <w:t>febrero</w:t>
      </w:r>
      <w:r w:rsidR="00E3442C" w:rsidRPr="0070085A">
        <w:rPr>
          <w:rFonts w:ascii="ITC Avant Garde" w:hAnsi="ITC Avant Garde"/>
          <w:color w:val="auto"/>
          <w:sz w:val="22"/>
          <w:szCs w:val="22"/>
        </w:rPr>
        <w:t xml:space="preserve"> de </w:t>
      </w:r>
      <w:r w:rsidR="004C47D5" w:rsidRPr="0070085A">
        <w:rPr>
          <w:rFonts w:ascii="ITC Avant Garde" w:hAnsi="ITC Avant Garde"/>
          <w:color w:val="auto"/>
          <w:sz w:val="22"/>
          <w:szCs w:val="22"/>
        </w:rPr>
        <w:t>201</w:t>
      </w:r>
      <w:r w:rsidR="00E3442C" w:rsidRPr="0070085A">
        <w:rPr>
          <w:rFonts w:ascii="ITC Avant Garde" w:hAnsi="ITC Avant Garde"/>
          <w:color w:val="auto"/>
          <w:sz w:val="22"/>
          <w:szCs w:val="22"/>
        </w:rPr>
        <w:t>7</w:t>
      </w:r>
      <w:r w:rsidR="004C47D5" w:rsidRPr="0070085A">
        <w:rPr>
          <w:rFonts w:ascii="ITC Avant Garde" w:hAnsi="ITC Avant Garde"/>
          <w:color w:val="auto"/>
          <w:sz w:val="22"/>
          <w:szCs w:val="22"/>
        </w:rPr>
        <w:t>.</w:t>
      </w:r>
    </w:p>
    <w:p w:rsidR="00193ACE" w:rsidRPr="0070085A" w:rsidRDefault="00193ACE" w:rsidP="0087085E">
      <w:pPr>
        <w:pStyle w:val="Default"/>
        <w:tabs>
          <w:tab w:val="left" w:pos="0"/>
        </w:tabs>
        <w:spacing w:line="276" w:lineRule="auto"/>
        <w:jc w:val="both"/>
        <w:rPr>
          <w:rFonts w:ascii="ITC Avant Garde" w:hAnsi="ITC Avant Garde"/>
          <w:color w:val="auto"/>
          <w:sz w:val="22"/>
          <w:szCs w:val="22"/>
        </w:rPr>
      </w:pPr>
    </w:p>
    <w:p w:rsidR="00E3442C" w:rsidRPr="0070085A" w:rsidRDefault="00E3442C"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 xml:space="preserve">Dada la </w:t>
      </w:r>
      <w:r w:rsidR="00295E0F" w:rsidRPr="0070085A">
        <w:rPr>
          <w:rFonts w:ascii="ITC Avant Garde" w:hAnsi="ITC Avant Garde"/>
          <w:bCs/>
          <w:sz w:val="22"/>
          <w:szCs w:val="22"/>
          <w:lang w:val="es-ES_tradnl"/>
        </w:rPr>
        <w:t>importan</w:t>
      </w:r>
      <w:r w:rsidR="00625659" w:rsidRPr="0070085A">
        <w:rPr>
          <w:rFonts w:ascii="ITC Avant Garde" w:hAnsi="ITC Avant Garde"/>
          <w:bCs/>
          <w:sz w:val="22"/>
          <w:szCs w:val="22"/>
          <w:lang w:val="es-ES_tradnl"/>
        </w:rPr>
        <w:t>cia de los comentarios que pudiera</w:t>
      </w:r>
      <w:r w:rsidR="00295E0F" w:rsidRPr="0070085A">
        <w:rPr>
          <w:rFonts w:ascii="ITC Avant Garde" w:hAnsi="ITC Avant Garde"/>
          <w:bCs/>
          <w:sz w:val="22"/>
          <w:szCs w:val="22"/>
          <w:lang w:val="es-ES_tradnl"/>
        </w:rPr>
        <w:t xml:space="preserve"> aportar la </w:t>
      </w:r>
      <w:r w:rsidR="003476AD">
        <w:rPr>
          <w:rFonts w:ascii="ITC Avant Garde" w:hAnsi="ITC Avant Garde"/>
          <w:bCs/>
          <w:sz w:val="22"/>
          <w:szCs w:val="22"/>
          <w:lang w:val="es-ES_tradnl"/>
        </w:rPr>
        <w:t>ANATEL</w:t>
      </w:r>
      <w:r w:rsidR="00295E0F" w:rsidRPr="0070085A">
        <w:rPr>
          <w:rFonts w:ascii="ITC Avant Garde" w:hAnsi="ITC Avant Garde"/>
          <w:bCs/>
          <w:sz w:val="22"/>
          <w:szCs w:val="22"/>
          <w:lang w:val="es-ES_tradnl"/>
        </w:rPr>
        <w:t xml:space="preserve"> sobre los temas contemplados en el Acuerdo, e</w:t>
      </w:r>
      <w:r w:rsidRPr="0070085A">
        <w:rPr>
          <w:rFonts w:ascii="ITC Avant Garde" w:hAnsi="ITC Avant Garde"/>
          <w:bCs/>
          <w:sz w:val="22"/>
          <w:szCs w:val="22"/>
          <w:lang w:val="es-ES_tradnl"/>
        </w:rPr>
        <w:t xml:space="preserve">l Pleno del Instituto ha considerado oportuno y conveniente </w:t>
      </w:r>
      <w:r w:rsidRPr="004234BF">
        <w:rPr>
          <w:rFonts w:ascii="ITC Avant Garde" w:hAnsi="ITC Avant Garde"/>
          <w:bCs/>
          <w:sz w:val="22"/>
          <w:szCs w:val="22"/>
          <w:lang w:val="es-ES_tradnl"/>
        </w:rPr>
        <w:t xml:space="preserve">ampliar </w:t>
      </w:r>
      <w:r w:rsidR="0029747E" w:rsidRPr="004234BF">
        <w:rPr>
          <w:rFonts w:ascii="ITC Avant Garde" w:hAnsi="ITC Avant Garde"/>
          <w:bCs/>
          <w:sz w:val="22"/>
          <w:szCs w:val="22"/>
          <w:lang w:val="es-ES_tradnl"/>
        </w:rPr>
        <w:t xml:space="preserve">por única ocasión </w:t>
      </w:r>
      <w:r w:rsidRPr="004234BF">
        <w:rPr>
          <w:rFonts w:ascii="ITC Avant Garde" w:hAnsi="ITC Avant Garde"/>
          <w:bCs/>
          <w:sz w:val="22"/>
          <w:szCs w:val="22"/>
          <w:lang w:val="es-ES_tradnl"/>
        </w:rPr>
        <w:t>el plazo</w:t>
      </w:r>
      <w:r w:rsidRPr="0070085A">
        <w:rPr>
          <w:rFonts w:ascii="ITC Avant Garde" w:hAnsi="ITC Avant Garde"/>
          <w:bCs/>
          <w:sz w:val="22"/>
          <w:szCs w:val="22"/>
          <w:lang w:val="es-ES_tradnl"/>
        </w:rPr>
        <w:t xml:space="preserve"> de dicha consulta pública a efecto de permitir a todos los interesados un mayor periodo de tiempo para el análisis de las medidas propuestas por el Instituto, así como en la formulación de comentarios, opiniones y aportaciones a propósito de esos temas.</w:t>
      </w:r>
    </w:p>
    <w:p w:rsidR="001640FC" w:rsidRPr="0070085A" w:rsidRDefault="001640FC" w:rsidP="0087085E">
      <w:pPr>
        <w:pStyle w:val="Default"/>
        <w:tabs>
          <w:tab w:val="left" w:pos="0"/>
        </w:tabs>
        <w:spacing w:line="276" w:lineRule="auto"/>
        <w:jc w:val="both"/>
        <w:rPr>
          <w:rFonts w:ascii="ITC Avant Garde" w:hAnsi="ITC Avant Garde"/>
          <w:bCs/>
          <w:sz w:val="22"/>
          <w:szCs w:val="22"/>
          <w:lang w:val="es-ES_tradnl"/>
        </w:rPr>
      </w:pPr>
    </w:p>
    <w:p w:rsidR="00E3442C" w:rsidRPr="0070085A" w:rsidRDefault="00E3442C"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 xml:space="preserve">En virtud de lo anteriormente expuesto, el Pleno del Instituto ha considerado procedente prorrogar por un término de </w:t>
      </w:r>
      <w:r w:rsidR="003476AD">
        <w:rPr>
          <w:rFonts w:ascii="ITC Avant Garde" w:hAnsi="ITC Avant Garde"/>
          <w:bCs/>
          <w:sz w:val="22"/>
          <w:szCs w:val="22"/>
          <w:lang w:val="es-ES_tradnl"/>
        </w:rPr>
        <w:t>30</w:t>
      </w:r>
      <w:r w:rsidRPr="0070085A">
        <w:rPr>
          <w:rFonts w:ascii="ITC Avant Garde" w:hAnsi="ITC Avant Garde"/>
          <w:bCs/>
          <w:sz w:val="22"/>
          <w:szCs w:val="22"/>
          <w:lang w:val="es-ES_tradnl"/>
        </w:rPr>
        <w:t xml:space="preserve"> días </w:t>
      </w:r>
      <w:r w:rsidR="00801B6A">
        <w:rPr>
          <w:rFonts w:ascii="ITC Avant Garde" w:hAnsi="ITC Avant Garde"/>
          <w:bCs/>
          <w:sz w:val="22"/>
          <w:szCs w:val="22"/>
          <w:lang w:val="es-ES_tradnl"/>
        </w:rPr>
        <w:t>naturales</w:t>
      </w:r>
      <w:r w:rsidRPr="0070085A">
        <w:rPr>
          <w:rFonts w:ascii="ITC Avant Garde" w:hAnsi="ITC Avant Garde"/>
          <w:bCs/>
          <w:sz w:val="22"/>
          <w:szCs w:val="22"/>
          <w:lang w:val="es-ES_tradnl"/>
        </w:rPr>
        <w:t xml:space="preserve"> el plazo de la consulta pública en comento, ello, a través de la modificación del plazo originalmente otorgado, previsto en el Resolutivo Primero del A</w:t>
      </w:r>
      <w:r w:rsidR="00295E0F" w:rsidRPr="0070085A">
        <w:rPr>
          <w:rFonts w:ascii="ITC Avant Garde" w:hAnsi="ITC Avant Garde"/>
          <w:bCs/>
          <w:sz w:val="22"/>
          <w:szCs w:val="22"/>
          <w:lang w:val="es-ES_tradnl"/>
        </w:rPr>
        <w:t>cuerdo</w:t>
      </w:r>
      <w:r w:rsidRPr="0070085A">
        <w:rPr>
          <w:rFonts w:ascii="ITC Avant Garde" w:hAnsi="ITC Avant Garde"/>
          <w:bCs/>
          <w:sz w:val="22"/>
          <w:szCs w:val="22"/>
          <w:lang w:val="es-ES_tradnl"/>
        </w:rPr>
        <w:t>.</w:t>
      </w:r>
    </w:p>
    <w:p w:rsidR="004C47D5" w:rsidRPr="0070085A" w:rsidRDefault="004C47D5" w:rsidP="0087085E">
      <w:pPr>
        <w:spacing w:line="276" w:lineRule="auto"/>
        <w:jc w:val="both"/>
        <w:rPr>
          <w:rFonts w:ascii="ITC Avant Garde" w:hAnsi="ITC Avant Garde"/>
          <w:b/>
          <w:sz w:val="22"/>
          <w:szCs w:val="22"/>
        </w:rPr>
      </w:pPr>
    </w:p>
    <w:p w:rsidR="00E3442C" w:rsidRPr="0070085A" w:rsidRDefault="00E3442C"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Por lo que, el Pleno del Instituto Federal de Telecomunicaciones con fundamento en lo dispuesto por los artículos 28, párrafo</w:t>
      </w:r>
      <w:r w:rsidRPr="0070085A">
        <w:rPr>
          <w:rFonts w:ascii="ITC Avant Garde" w:hAnsi="ITC Avant Garde" w:cs="Arial"/>
          <w:sz w:val="22"/>
          <w:szCs w:val="22"/>
        </w:rPr>
        <w:t xml:space="preserve"> décimo quinto</w:t>
      </w:r>
      <w:r w:rsidRPr="0070085A">
        <w:rPr>
          <w:rFonts w:ascii="ITC Avant Garde" w:hAnsi="ITC Avant Garde"/>
          <w:bCs/>
          <w:sz w:val="22"/>
          <w:szCs w:val="22"/>
          <w:lang w:val="es-ES_tradnl"/>
        </w:rPr>
        <w:t xml:space="preserve"> de la Constitución Política de los Estados Unidos Mexicanos;</w:t>
      </w:r>
      <w:r w:rsidR="007F15DA" w:rsidRPr="0070085A">
        <w:rPr>
          <w:rFonts w:ascii="ITC Avant Garde" w:hAnsi="ITC Avant Garde"/>
          <w:bCs/>
          <w:sz w:val="22"/>
          <w:szCs w:val="22"/>
          <w:lang w:val="es-ES_tradnl"/>
        </w:rPr>
        <w:t xml:space="preserve"> </w:t>
      </w:r>
      <w:r w:rsidR="00DC1A4C" w:rsidRPr="0070085A">
        <w:rPr>
          <w:rFonts w:ascii="ITC Avant Garde" w:hAnsi="ITC Avant Garde"/>
          <w:bCs/>
          <w:sz w:val="22"/>
          <w:szCs w:val="22"/>
          <w:lang w:val="es-ES_tradnl"/>
        </w:rPr>
        <w:t>1, 2, 6, 7, 15 fracción XL</w:t>
      </w:r>
      <w:r w:rsidRPr="0070085A">
        <w:rPr>
          <w:rFonts w:ascii="ITC Avant Garde" w:hAnsi="ITC Avant Garde"/>
          <w:bCs/>
          <w:sz w:val="22"/>
          <w:szCs w:val="22"/>
          <w:lang w:val="es-ES_tradnl"/>
        </w:rPr>
        <w:t xml:space="preserve">, </w:t>
      </w:r>
      <w:r w:rsidR="00DC1A4C" w:rsidRPr="0070085A">
        <w:rPr>
          <w:rFonts w:ascii="ITC Avant Garde" w:hAnsi="ITC Avant Garde"/>
          <w:bCs/>
          <w:sz w:val="22"/>
          <w:szCs w:val="22"/>
          <w:lang w:val="es-ES_tradnl"/>
        </w:rPr>
        <w:t>51</w:t>
      </w:r>
      <w:r w:rsidR="004706DF">
        <w:rPr>
          <w:rFonts w:ascii="ITC Avant Garde" w:hAnsi="ITC Avant Garde"/>
          <w:bCs/>
          <w:sz w:val="22"/>
          <w:szCs w:val="22"/>
          <w:lang w:val="es-ES_tradnl"/>
        </w:rPr>
        <w:t>y 54</w:t>
      </w:r>
      <w:r w:rsidR="00DC1A4C" w:rsidRPr="0070085A">
        <w:rPr>
          <w:rFonts w:ascii="ITC Avant Garde" w:hAnsi="ITC Avant Garde"/>
          <w:bCs/>
          <w:sz w:val="22"/>
          <w:szCs w:val="22"/>
          <w:lang w:val="es-ES_tradnl"/>
        </w:rPr>
        <w:t xml:space="preserve"> </w:t>
      </w:r>
      <w:r w:rsidRPr="0070085A">
        <w:rPr>
          <w:rFonts w:ascii="ITC Avant Garde" w:hAnsi="ITC Avant Garde"/>
          <w:bCs/>
          <w:sz w:val="22"/>
          <w:szCs w:val="22"/>
          <w:lang w:val="es-ES_tradnl"/>
        </w:rPr>
        <w:t xml:space="preserve">de la Ley Federal de Telecomunicaciones y Radiodifusión; así como 1, 22 y 23 </w:t>
      </w:r>
      <w:r w:rsidRPr="0070085A">
        <w:rPr>
          <w:rFonts w:ascii="ITC Avant Garde" w:hAnsi="ITC Avant Garde"/>
          <w:bCs/>
          <w:color w:val="auto"/>
          <w:sz w:val="22"/>
          <w:szCs w:val="22"/>
          <w:lang w:val="es-ES_tradnl"/>
        </w:rPr>
        <w:t xml:space="preserve">del Estatuto </w:t>
      </w:r>
      <w:r w:rsidRPr="0070085A">
        <w:rPr>
          <w:rFonts w:ascii="ITC Avant Garde" w:hAnsi="ITC Avant Garde"/>
          <w:bCs/>
          <w:sz w:val="22"/>
          <w:szCs w:val="22"/>
          <w:lang w:val="es-ES_tradnl"/>
        </w:rPr>
        <w:t>Orgánico del Instituto Federal de Telecomunicaciones, expide el siguiente:</w:t>
      </w:r>
    </w:p>
    <w:p w:rsidR="00224DFC" w:rsidRPr="0070085A" w:rsidRDefault="00224DFC" w:rsidP="0087085E">
      <w:pPr>
        <w:pStyle w:val="Default"/>
        <w:tabs>
          <w:tab w:val="left" w:pos="0"/>
        </w:tabs>
        <w:spacing w:line="276" w:lineRule="auto"/>
        <w:jc w:val="both"/>
        <w:rPr>
          <w:rFonts w:ascii="ITC Avant Garde" w:hAnsi="ITC Avant Garde"/>
          <w:bCs/>
          <w:sz w:val="22"/>
          <w:szCs w:val="22"/>
          <w:lang w:val="es-ES_tradnl"/>
        </w:rPr>
      </w:pPr>
    </w:p>
    <w:p w:rsidR="00E3442C" w:rsidRPr="0070085A" w:rsidRDefault="00E3442C" w:rsidP="0087085E">
      <w:pPr>
        <w:autoSpaceDE w:val="0"/>
        <w:autoSpaceDN w:val="0"/>
        <w:adjustRightInd w:val="0"/>
        <w:spacing w:line="276" w:lineRule="auto"/>
        <w:jc w:val="center"/>
        <w:rPr>
          <w:rFonts w:ascii="ITC Avant Garde" w:hAnsi="ITC Avant Garde" w:cs="Tahoma"/>
          <w:b/>
          <w:bCs/>
          <w:color w:val="000000"/>
          <w:sz w:val="22"/>
          <w:szCs w:val="22"/>
          <w:lang w:eastAsia="es-MX"/>
        </w:rPr>
      </w:pPr>
      <w:r w:rsidRPr="0070085A">
        <w:rPr>
          <w:rFonts w:ascii="ITC Avant Garde" w:hAnsi="ITC Avant Garde" w:cs="Tahoma"/>
          <w:b/>
          <w:bCs/>
          <w:color w:val="000000"/>
          <w:sz w:val="22"/>
          <w:szCs w:val="22"/>
          <w:lang w:eastAsia="es-MX"/>
        </w:rPr>
        <w:t>ACUERDO</w:t>
      </w:r>
    </w:p>
    <w:p w:rsidR="00E3442C" w:rsidRPr="0070085A" w:rsidRDefault="00E3442C" w:rsidP="0087085E">
      <w:pPr>
        <w:autoSpaceDE w:val="0"/>
        <w:autoSpaceDN w:val="0"/>
        <w:adjustRightInd w:val="0"/>
        <w:spacing w:line="276" w:lineRule="auto"/>
        <w:jc w:val="both"/>
        <w:rPr>
          <w:rFonts w:ascii="ITC Avant Garde" w:hAnsi="ITC Avant Garde" w:cs="Tahoma"/>
          <w:bCs/>
          <w:color w:val="000000"/>
          <w:sz w:val="22"/>
          <w:szCs w:val="22"/>
          <w:lang w:eastAsia="es-MX"/>
        </w:rPr>
      </w:pPr>
    </w:p>
    <w:p w:rsidR="007F15DA" w:rsidRPr="00D77D4E" w:rsidRDefault="00E3442C" w:rsidP="00D77D4E">
      <w:pPr>
        <w:tabs>
          <w:tab w:val="left" w:pos="720"/>
          <w:tab w:val="left" w:pos="1134"/>
        </w:tabs>
        <w:spacing w:line="276" w:lineRule="auto"/>
        <w:jc w:val="both"/>
        <w:rPr>
          <w:rFonts w:ascii="ITC Avant Garde" w:hAnsi="ITC Avant Garde"/>
          <w:sz w:val="22"/>
          <w:szCs w:val="22"/>
        </w:rPr>
      </w:pPr>
      <w:r w:rsidRPr="0070085A">
        <w:rPr>
          <w:rFonts w:ascii="ITC Avant Garde" w:hAnsi="ITC Avant Garde" w:cs="Tahoma"/>
          <w:b/>
          <w:bCs/>
          <w:color w:val="000000"/>
          <w:sz w:val="22"/>
          <w:szCs w:val="22"/>
          <w:lang w:eastAsia="es-MX"/>
        </w:rPr>
        <w:t>PRIMERO</w:t>
      </w:r>
      <w:r w:rsidRPr="0070085A">
        <w:rPr>
          <w:rFonts w:ascii="ITC Avant Garde" w:hAnsi="ITC Avant Garde" w:cs="Tahoma"/>
          <w:bCs/>
          <w:color w:val="000000"/>
          <w:sz w:val="22"/>
          <w:szCs w:val="22"/>
          <w:lang w:eastAsia="es-MX"/>
        </w:rPr>
        <w:t xml:space="preserve">.- </w:t>
      </w:r>
      <w:r w:rsidR="00FA1F22" w:rsidRPr="0070085A">
        <w:rPr>
          <w:rFonts w:ascii="ITC Avant Garde" w:hAnsi="ITC Avant Garde" w:cs="Arial"/>
          <w:bCs/>
          <w:sz w:val="22"/>
          <w:szCs w:val="22"/>
        </w:rPr>
        <w:t xml:space="preserve">Se amplía </w:t>
      </w:r>
      <w:r w:rsidR="003476AD">
        <w:rPr>
          <w:rFonts w:ascii="ITC Avant Garde" w:hAnsi="ITC Avant Garde" w:cs="Arial"/>
          <w:bCs/>
          <w:sz w:val="22"/>
          <w:szCs w:val="22"/>
        </w:rPr>
        <w:t>30 (treinta</w:t>
      </w:r>
      <w:r w:rsidR="00FA1F22" w:rsidRPr="0070085A">
        <w:rPr>
          <w:rFonts w:ascii="ITC Avant Garde" w:hAnsi="ITC Avant Garde" w:cs="Arial"/>
          <w:bCs/>
          <w:sz w:val="22"/>
          <w:szCs w:val="22"/>
        </w:rPr>
        <w:t xml:space="preserve">) días </w:t>
      </w:r>
      <w:r w:rsidR="00801B6A">
        <w:rPr>
          <w:rFonts w:ascii="ITC Avant Garde" w:hAnsi="ITC Avant Garde" w:cs="Arial"/>
          <w:bCs/>
          <w:sz w:val="22"/>
          <w:szCs w:val="22"/>
        </w:rPr>
        <w:t>naturales</w:t>
      </w:r>
      <w:r w:rsidR="00FA1F22" w:rsidRPr="0070085A">
        <w:rPr>
          <w:rFonts w:ascii="ITC Avant Garde" w:hAnsi="ITC Avant Garde" w:cs="Arial"/>
          <w:bCs/>
          <w:sz w:val="22"/>
          <w:szCs w:val="22"/>
        </w:rPr>
        <w:t xml:space="preserve"> el plazo de la consulta pública establecido originalmente en el </w:t>
      </w:r>
      <w:r w:rsidR="00D77D4E" w:rsidRPr="007D7B8E">
        <w:rPr>
          <w:rFonts w:ascii="ITC Avant Garde" w:hAnsi="ITC Avant Garde" w:cs="Tahoma"/>
          <w:bCs/>
          <w:color w:val="000000"/>
          <w:sz w:val="22"/>
          <w:szCs w:val="22"/>
          <w:lang w:val="es-ES_tradnl" w:eastAsia="es-MX"/>
        </w:rPr>
        <w:t>ACUERDO MEDIANTE EL CUAL EL PLENO DEL INSTITUTO FEDERAL DE TELECOMUNICACIONES DETERMINA SOMETER A CONSULTA PÚBLICA EL “ANTEPROYECTO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r w:rsidR="00155F57" w:rsidRPr="0070085A">
        <w:rPr>
          <w:rFonts w:ascii="ITC Avant Garde" w:hAnsi="ITC Avant Garde" w:cs="Tahoma"/>
          <w:bCs/>
          <w:color w:val="000000"/>
          <w:sz w:val="22"/>
          <w:szCs w:val="22"/>
        </w:rPr>
        <w:t>,</w:t>
      </w:r>
      <w:r w:rsidR="00FA1F22" w:rsidRPr="0070085A">
        <w:rPr>
          <w:rFonts w:ascii="ITC Avant Garde" w:hAnsi="ITC Avant Garde" w:cs="Arial"/>
          <w:bCs/>
          <w:sz w:val="22"/>
          <w:szCs w:val="22"/>
        </w:rPr>
        <w:t xml:space="preserve"> mismo que finalizará el </w:t>
      </w:r>
      <w:r w:rsidR="00FA4770">
        <w:rPr>
          <w:rFonts w:ascii="ITC Avant Garde" w:hAnsi="ITC Avant Garde" w:cs="Arial"/>
          <w:bCs/>
          <w:sz w:val="22"/>
          <w:szCs w:val="22"/>
        </w:rPr>
        <w:t>23</w:t>
      </w:r>
      <w:r w:rsidR="00772D3E">
        <w:rPr>
          <w:rFonts w:ascii="ITC Avant Garde" w:hAnsi="ITC Avant Garde" w:cs="Arial"/>
          <w:bCs/>
          <w:sz w:val="22"/>
          <w:szCs w:val="22"/>
        </w:rPr>
        <w:t xml:space="preserve"> de </w:t>
      </w:r>
      <w:r w:rsidR="00801B6A">
        <w:rPr>
          <w:rFonts w:ascii="ITC Avant Garde" w:hAnsi="ITC Avant Garde" w:cs="Arial"/>
          <w:bCs/>
          <w:sz w:val="22"/>
          <w:szCs w:val="22"/>
        </w:rPr>
        <w:t>marzo</w:t>
      </w:r>
      <w:r w:rsidR="00FA1F22" w:rsidRPr="0070085A">
        <w:rPr>
          <w:rFonts w:ascii="ITC Avant Garde" w:hAnsi="ITC Avant Garde" w:cs="Arial"/>
          <w:bCs/>
          <w:sz w:val="22"/>
          <w:szCs w:val="22"/>
        </w:rPr>
        <w:t xml:space="preserve"> de 2017.</w:t>
      </w:r>
    </w:p>
    <w:p w:rsidR="002808A8" w:rsidRPr="00865D8E" w:rsidRDefault="00193ACE" w:rsidP="0087085E">
      <w:pPr>
        <w:spacing w:line="276" w:lineRule="auto"/>
        <w:jc w:val="both"/>
        <w:rPr>
          <w:rFonts w:ascii="ITC Avant Garde" w:hAnsi="ITC Avant Garde" w:cs="Arial"/>
          <w:sz w:val="22"/>
          <w:szCs w:val="22"/>
        </w:rPr>
      </w:pPr>
      <w:r w:rsidRPr="00865D8E">
        <w:rPr>
          <w:rFonts w:ascii="ITC Avant Garde" w:hAnsi="ITC Avant Garde" w:cs="Tahoma"/>
          <w:b/>
          <w:bCs/>
          <w:sz w:val="22"/>
          <w:szCs w:val="22"/>
          <w:lang w:eastAsia="es-MX"/>
        </w:rPr>
        <w:t>SEGUNDO.</w:t>
      </w:r>
      <w:r w:rsidRPr="00865D8E">
        <w:rPr>
          <w:rFonts w:ascii="ITC Avant Garde" w:hAnsi="ITC Avant Garde" w:cs="Tahoma"/>
          <w:bCs/>
          <w:sz w:val="22"/>
          <w:szCs w:val="22"/>
          <w:lang w:eastAsia="es-MX"/>
        </w:rPr>
        <w:t xml:space="preserve">- </w:t>
      </w:r>
      <w:r w:rsidRPr="00865D8E">
        <w:rPr>
          <w:rFonts w:ascii="ITC Avant Garde" w:hAnsi="ITC Avant Garde" w:cs="Arial"/>
          <w:sz w:val="22"/>
          <w:szCs w:val="22"/>
        </w:rPr>
        <w:t xml:space="preserve">Se </w:t>
      </w:r>
      <w:r w:rsidR="004234BF" w:rsidRPr="00865D8E">
        <w:rPr>
          <w:rFonts w:ascii="ITC Avant Garde" w:hAnsi="ITC Avant Garde" w:cs="Arial"/>
          <w:sz w:val="22"/>
          <w:szCs w:val="22"/>
        </w:rPr>
        <w:t xml:space="preserve">instruye a la </w:t>
      </w:r>
      <w:bookmarkStart w:id="0" w:name="_GoBack"/>
      <w:bookmarkEnd w:id="0"/>
      <w:r w:rsidR="004234BF" w:rsidRPr="00865D8E">
        <w:rPr>
          <w:rFonts w:ascii="ITC Avant Garde" w:hAnsi="ITC Avant Garde" w:cs="Arial"/>
          <w:sz w:val="22"/>
          <w:szCs w:val="22"/>
        </w:rPr>
        <w:t xml:space="preserve">Coordinación </w:t>
      </w:r>
      <w:r w:rsidRPr="00865D8E">
        <w:rPr>
          <w:rFonts w:ascii="ITC Avant Garde" w:hAnsi="ITC Avant Garde" w:cs="Arial"/>
          <w:sz w:val="22"/>
          <w:szCs w:val="22"/>
        </w:rPr>
        <w:t>General de Mejora Regulatoria a realizar los ajustes y adecuaciones que correspondan en el portal de Internet, a fin de actualizar el plazo originalmente previsto en la consulta pública referida en el numeral que antecede.</w:t>
      </w:r>
    </w:p>
    <w:p w:rsidR="0087085E" w:rsidRPr="00865D8E" w:rsidRDefault="0087085E" w:rsidP="0087085E">
      <w:pPr>
        <w:spacing w:line="276" w:lineRule="auto"/>
        <w:jc w:val="both"/>
        <w:rPr>
          <w:rFonts w:ascii="ITC Avant Garde" w:hAnsi="ITC Avant Garde" w:cs="Tahoma"/>
          <w:bCs/>
          <w:sz w:val="22"/>
          <w:szCs w:val="22"/>
          <w:lang w:eastAsia="es-MX"/>
        </w:rPr>
      </w:pPr>
    </w:p>
    <w:p w:rsidR="00F64A29" w:rsidRPr="00865D8E" w:rsidRDefault="00F51400" w:rsidP="0087085E">
      <w:pPr>
        <w:autoSpaceDE w:val="0"/>
        <w:autoSpaceDN w:val="0"/>
        <w:adjustRightInd w:val="0"/>
        <w:spacing w:line="276" w:lineRule="auto"/>
        <w:jc w:val="both"/>
        <w:rPr>
          <w:rFonts w:ascii="ITC Avant Garde" w:hAnsi="ITC Avant Garde" w:cs="Arial"/>
          <w:sz w:val="22"/>
          <w:szCs w:val="22"/>
        </w:rPr>
      </w:pPr>
      <w:r w:rsidRPr="00865D8E">
        <w:rPr>
          <w:rFonts w:ascii="ITC Avant Garde" w:hAnsi="ITC Avant Garde" w:cs="Arial"/>
          <w:b/>
          <w:sz w:val="22"/>
          <w:szCs w:val="22"/>
        </w:rPr>
        <w:t xml:space="preserve">TERCERO.- </w:t>
      </w:r>
      <w:r w:rsidR="00AD55DE" w:rsidRPr="00865D8E">
        <w:rPr>
          <w:rFonts w:ascii="ITC Avant Garde" w:hAnsi="ITC Avant Garde" w:cs="Arial"/>
          <w:sz w:val="22"/>
          <w:szCs w:val="22"/>
        </w:rPr>
        <w:t xml:space="preserve">Publíquese </w:t>
      </w:r>
      <w:r w:rsidR="002367EE" w:rsidRPr="00865D8E">
        <w:rPr>
          <w:rFonts w:ascii="ITC Avant Garde" w:hAnsi="ITC Avant Garde" w:cs="Arial"/>
          <w:sz w:val="22"/>
          <w:szCs w:val="22"/>
        </w:rPr>
        <w:t xml:space="preserve">en la página de Internet </w:t>
      </w:r>
      <w:r w:rsidRPr="00865D8E">
        <w:rPr>
          <w:rFonts w:ascii="ITC Avant Garde" w:hAnsi="ITC Avant Garde" w:cs="Arial"/>
          <w:sz w:val="22"/>
          <w:szCs w:val="22"/>
        </w:rPr>
        <w:t>del Instituto Federal de Telecomunicaciones.</w:t>
      </w:r>
    </w:p>
    <w:p w:rsidR="00F64A29" w:rsidRPr="00865D8E" w:rsidRDefault="00F64A29" w:rsidP="0087085E">
      <w:pPr>
        <w:spacing w:line="276" w:lineRule="auto"/>
        <w:rPr>
          <w:rFonts w:ascii="ITC Avant Garde" w:hAnsi="ITC Avant Garde"/>
          <w:sz w:val="22"/>
          <w:szCs w:val="22"/>
        </w:rPr>
      </w:pPr>
    </w:p>
    <w:p w:rsidR="00F529BA" w:rsidRPr="00865D8E" w:rsidRDefault="00F529BA"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865D8E" w:rsidRDefault="004234BF" w:rsidP="004234BF">
      <w:pPr>
        <w:ind w:right="-661"/>
        <w:jc w:val="center"/>
        <w:rPr>
          <w:rFonts w:ascii="ITC Avant Garde" w:hAnsi="ITC Avant Garde"/>
          <w:b/>
        </w:rPr>
      </w:pPr>
      <w:r w:rsidRPr="00865D8E">
        <w:rPr>
          <w:rFonts w:ascii="ITC Avant Garde" w:hAnsi="ITC Avant Garde"/>
          <w:b/>
        </w:rPr>
        <w:t>Gabriel Oswaldo Contreras Saldívar</w:t>
      </w:r>
    </w:p>
    <w:p w:rsidR="004234BF" w:rsidRPr="00865D8E" w:rsidRDefault="004234BF" w:rsidP="004234BF">
      <w:pPr>
        <w:ind w:right="-661"/>
        <w:jc w:val="center"/>
        <w:rPr>
          <w:rFonts w:ascii="ITC Avant Garde" w:hAnsi="ITC Avant Garde"/>
          <w:b/>
        </w:rPr>
      </w:pPr>
      <w:r w:rsidRPr="00865D8E">
        <w:rPr>
          <w:rFonts w:ascii="ITC Avant Garde" w:hAnsi="ITC Avant Garde"/>
          <w:b/>
        </w:rPr>
        <w:t>Comisionado Presidente</w:t>
      </w:r>
    </w:p>
    <w:p w:rsidR="004234BF" w:rsidRPr="00865D8E" w:rsidRDefault="004234BF" w:rsidP="004234BF">
      <w:pPr>
        <w:ind w:right="-661"/>
        <w:jc w:val="center"/>
        <w:rPr>
          <w:rFonts w:ascii="ITC Avant Garde" w:hAnsi="ITC Avant Garde"/>
          <w:b/>
        </w:rPr>
      </w:pPr>
    </w:p>
    <w:p w:rsidR="004234BF" w:rsidRPr="00865D8E" w:rsidRDefault="004234BF" w:rsidP="004234BF">
      <w:pPr>
        <w:ind w:right="-661"/>
        <w:jc w:val="center"/>
        <w:rPr>
          <w:rFonts w:ascii="ITC Avant Garde" w:hAnsi="ITC Avant Garde"/>
          <w:b/>
        </w:rPr>
      </w:pPr>
    </w:p>
    <w:p w:rsidR="004234BF" w:rsidRPr="00865D8E" w:rsidRDefault="004234BF" w:rsidP="004234BF">
      <w:pPr>
        <w:ind w:right="-661"/>
        <w:jc w:val="center"/>
        <w:rPr>
          <w:rFonts w:ascii="ITC Avant Garde" w:hAnsi="ITC Avant Garde"/>
          <w:b/>
        </w:rPr>
      </w:pPr>
    </w:p>
    <w:p w:rsidR="004234BF" w:rsidRPr="00865D8E" w:rsidRDefault="004234BF" w:rsidP="004234BF">
      <w:pPr>
        <w:ind w:right="-661"/>
        <w:jc w:val="center"/>
        <w:rPr>
          <w:rFonts w:ascii="ITC Avant Garde" w:hAnsi="ITC Avant Garde"/>
          <w:b/>
        </w:rPr>
      </w:pPr>
    </w:p>
    <w:tbl>
      <w:tblPr>
        <w:tblW w:w="5000" w:type="pct"/>
        <w:jc w:val="center"/>
        <w:tblCellMar>
          <w:left w:w="70" w:type="dxa"/>
          <w:right w:w="70" w:type="dxa"/>
        </w:tblCellMar>
        <w:tblLook w:val="04A0" w:firstRow="1" w:lastRow="0" w:firstColumn="1" w:lastColumn="0" w:noHBand="0" w:noVBand="1"/>
      </w:tblPr>
      <w:tblGrid>
        <w:gridCol w:w="4023"/>
        <w:gridCol w:w="316"/>
        <w:gridCol w:w="5065"/>
      </w:tblGrid>
      <w:tr w:rsidR="00865D8E" w:rsidRPr="00865D8E" w:rsidTr="003D7F33">
        <w:trPr>
          <w:trHeight w:val="1653"/>
          <w:jc w:val="center"/>
        </w:trPr>
        <w:tc>
          <w:tcPr>
            <w:tcW w:w="2139" w:type="pct"/>
            <w:hideMark/>
          </w:tcPr>
          <w:p w:rsidR="004234BF" w:rsidRPr="00865D8E" w:rsidRDefault="004234BF" w:rsidP="003D7F33">
            <w:pPr>
              <w:ind w:right="-661"/>
              <w:jc w:val="center"/>
              <w:rPr>
                <w:rFonts w:ascii="ITC Avant Garde" w:hAnsi="ITC Avant Garde"/>
                <w:b/>
              </w:rPr>
            </w:pPr>
            <w:r w:rsidRPr="00865D8E">
              <w:rPr>
                <w:rFonts w:ascii="ITC Avant Garde" w:hAnsi="ITC Avant Garde"/>
                <w:b/>
              </w:rPr>
              <w:t>Ernesto Estrada González</w:t>
            </w:r>
          </w:p>
          <w:p w:rsidR="004234BF" w:rsidRPr="00865D8E" w:rsidRDefault="004234BF" w:rsidP="003D7F33">
            <w:pPr>
              <w:ind w:right="-661"/>
              <w:jc w:val="center"/>
              <w:rPr>
                <w:rFonts w:ascii="ITC Avant Garde" w:hAnsi="ITC Avant Garde"/>
                <w:b/>
              </w:rPr>
            </w:pPr>
            <w:r w:rsidRPr="00865D8E">
              <w:rPr>
                <w:rFonts w:ascii="ITC Avant Garde" w:hAnsi="ITC Avant Garde"/>
                <w:b/>
              </w:rPr>
              <w:t>Comisionado</w:t>
            </w:r>
          </w:p>
        </w:tc>
        <w:tc>
          <w:tcPr>
            <w:tcW w:w="168" w:type="pct"/>
          </w:tcPr>
          <w:p w:rsidR="004234BF" w:rsidRPr="00865D8E" w:rsidRDefault="004234BF" w:rsidP="003D7F33">
            <w:pPr>
              <w:ind w:right="-661"/>
              <w:jc w:val="center"/>
              <w:rPr>
                <w:rFonts w:ascii="ITC Avant Garde" w:hAnsi="ITC Avant Garde"/>
                <w:b/>
              </w:rPr>
            </w:pPr>
          </w:p>
        </w:tc>
        <w:tc>
          <w:tcPr>
            <w:tcW w:w="2693" w:type="pct"/>
          </w:tcPr>
          <w:p w:rsidR="004234BF" w:rsidRPr="00865D8E" w:rsidRDefault="004234BF" w:rsidP="003D7F33">
            <w:pPr>
              <w:ind w:right="-661"/>
              <w:jc w:val="center"/>
              <w:rPr>
                <w:rFonts w:ascii="ITC Avant Garde" w:hAnsi="ITC Avant Garde"/>
                <w:b/>
              </w:rPr>
            </w:pPr>
            <w:r w:rsidRPr="00865D8E">
              <w:rPr>
                <w:rFonts w:ascii="ITC Avant Garde" w:hAnsi="ITC Avant Garde"/>
                <w:b/>
              </w:rPr>
              <w:t>Adriana Sofía Labardini Inzunza</w:t>
            </w:r>
          </w:p>
          <w:p w:rsidR="004234BF" w:rsidRPr="00865D8E" w:rsidRDefault="004234BF" w:rsidP="003D7F33">
            <w:pPr>
              <w:ind w:right="-661"/>
              <w:jc w:val="center"/>
              <w:rPr>
                <w:rFonts w:ascii="ITC Avant Garde" w:hAnsi="ITC Avant Garde"/>
                <w:b/>
              </w:rPr>
            </w:pPr>
            <w:r w:rsidRPr="00865D8E">
              <w:rPr>
                <w:rFonts w:ascii="ITC Avant Garde" w:hAnsi="ITC Avant Garde"/>
                <w:b/>
              </w:rPr>
              <w:t>Comisionada</w:t>
            </w:r>
          </w:p>
        </w:tc>
      </w:tr>
      <w:tr w:rsidR="00865D8E" w:rsidRPr="00865D8E" w:rsidTr="003D7F33">
        <w:trPr>
          <w:trHeight w:val="1425"/>
          <w:jc w:val="center"/>
        </w:trPr>
        <w:tc>
          <w:tcPr>
            <w:tcW w:w="2139" w:type="pct"/>
          </w:tcPr>
          <w:p w:rsidR="004234BF" w:rsidRPr="00865D8E" w:rsidRDefault="004234BF" w:rsidP="003D7F33">
            <w:pPr>
              <w:ind w:right="-661"/>
              <w:jc w:val="center"/>
              <w:rPr>
                <w:rFonts w:ascii="ITC Avant Garde" w:hAnsi="ITC Avant Garde"/>
                <w:b/>
              </w:rPr>
            </w:pPr>
            <w:r w:rsidRPr="00865D8E">
              <w:rPr>
                <w:rFonts w:ascii="ITC Avant Garde" w:hAnsi="ITC Avant Garde"/>
                <w:b/>
              </w:rPr>
              <w:t>María Elena Estavillo Flores</w:t>
            </w:r>
          </w:p>
          <w:p w:rsidR="004234BF" w:rsidRPr="00865D8E" w:rsidRDefault="004234BF" w:rsidP="003D7F33">
            <w:pPr>
              <w:ind w:right="-661"/>
              <w:jc w:val="center"/>
              <w:rPr>
                <w:rFonts w:ascii="ITC Avant Garde" w:hAnsi="ITC Avant Garde"/>
                <w:b/>
              </w:rPr>
            </w:pPr>
            <w:r w:rsidRPr="00865D8E">
              <w:rPr>
                <w:rFonts w:ascii="ITC Avant Garde" w:hAnsi="ITC Avant Garde"/>
                <w:b/>
              </w:rPr>
              <w:t>Comisionada</w:t>
            </w:r>
          </w:p>
        </w:tc>
        <w:tc>
          <w:tcPr>
            <w:tcW w:w="168" w:type="pct"/>
          </w:tcPr>
          <w:p w:rsidR="004234BF" w:rsidRPr="00865D8E" w:rsidRDefault="004234BF" w:rsidP="003D7F33">
            <w:pPr>
              <w:ind w:right="-661"/>
              <w:jc w:val="center"/>
              <w:rPr>
                <w:rFonts w:ascii="ITC Avant Garde" w:hAnsi="ITC Avant Garde"/>
                <w:b/>
              </w:rPr>
            </w:pPr>
          </w:p>
        </w:tc>
        <w:tc>
          <w:tcPr>
            <w:tcW w:w="2693" w:type="pct"/>
          </w:tcPr>
          <w:p w:rsidR="004234BF" w:rsidRPr="00865D8E" w:rsidRDefault="004234BF" w:rsidP="003D7F33">
            <w:pPr>
              <w:ind w:right="-661"/>
              <w:jc w:val="center"/>
              <w:rPr>
                <w:rFonts w:ascii="ITC Avant Garde" w:hAnsi="ITC Avant Garde"/>
                <w:b/>
              </w:rPr>
            </w:pPr>
            <w:r w:rsidRPr="00865D8E">
              <w:rPr>
                <w:rFonts w:ascii="ITC Avant Garde" w:hAnsi="ITC Avant Garde"/>
                <w:b/>
              </w:rPr>
              <w:t>Mario Germán Fromow Rangel</w:t>
            </w:r>
          </w:p>
          <w:p w:rsidR="004234BF" w:rsidRPr="00865D8E" w:rsidRDefault="004234BF" w:rsidP="003D7F33">
            <w:pPr>
              <w:ind w:right="-661"/>
              <w:jc w:val="center"/>
              <w:rPr>
                <w:rFonts w:ascii="ITC Avant Garde" w:hAnsi="ITC Avant Garde"/>
                <w:b/>
              </w:rPr>
            </w:pPr>
            <w:r w:rsidRPr="00865D8E">
              <w:rPr>
                <w:rFonts w:ascii="ITC Avant Garde" w:hAnsi="ITC Avant Garde"/>
                <w:b/>
              </w:rPr>
              <w:t>Comisionado</w:t>
            </w:r>
          </w:p>
          <w:p w:rsidR="004234BF" w:rsidRPr="00865D8E" w:rsidRDefault="004234BF" w:rsidP="003D7F33">
            <w:pPr>
              <w:ind w:right="-661"/>
              <w:jc w:val="center"/>
              <w:rPr>
                <w:rFonts w:ascii="ITC Avant Garde" w:hAnsi="ITC Avant Garde"/>
                <w:b/>
              </w:rPr>
            </w:pPr>
          </w:p>
          <w:p w:rsidR="004234BF" w:rsidRPr="00865D8E" w:rsidRDefault="004234BF" w:rsidP="003D7F33">
            <w:pPr>
              <w:ind w:right="-661"/>
              <w:jc w:val="center"/>
              <w:rPr>
                <w:rFonts w:ascii="ITC Avant Garde" w:hAnsi="ITC Avant Garde"/>
                <w:b/>
              </w:rPr>
            </w:pPr>
          </w:p>
          <w:p w:rsidR="004234BF" w:rsidRPr="00865D8E" w:rsidRDefault="004234BF" w:rsidP="003D7F33">
            <w:pPr>
              <w:ind w:right="-661"/>
              <w:jc w:val="center"/>
              <w:rPr>
                <w:rFonts w:ascii="ITC Avant Garde" w:hAnsi="ITC Avant Garde"/>
                <w:b/>
              </w:rPr>
            </w:pPr>
          </w:p>
          <w:p w:rsidR="004234BF" w:rsidRPr="00865D8E" w:rsidRDefault="004234BF" w:rsidP="003D7F33">
            <w:pPr>
              <w:ind w:right="-661"/>
              <w:jc w:val="center"/>
              <w:rPr>
                <w:rFonts w:ascii="ITC Avant Garde" w:hAnsi="ITC Avant Garde"/>
                <w:b/>
              </w:rPr>
            </w:pPr>
          </w:p>
        </w:tc>
      </w:tr>
      <w:tr w:rsidR="004234BF" w:rsidRPr="00865D8E" w:rsidTr="003D7F33">
        <w:trPr>
          <w:trHeight w:val="470"/>
          <w:jc w:val="center"/>
        </w:trPr>
        <w:tc>
          <w:tcPr>
            <w:tcW w:w="2139" w:type="pct"/>
            <w:hideMark/>
          </w:tcPr>
          <w:p w:rsidR="004234BF" w:rsidRPr="00865D8E" w:rsidRDefault="004234BF" w:rsidP="003D7F33">
            <w:pPr>
              <w:ind w:right="-661"/>
              <w:jc w:val="center"/>
              <w:rPr>
                <w:rFonts w:ascii="ITC Avant Garde" w:hAnsi="ITC Avant Garde"/>
                <w:b/>
              </w:rPr>
            </w:pPr>
            <w:r w:rsidRPr="00865D8E">
              <w:rPr>
                <w:rFonts w:ascii="ITC Avant Garde" w:hAnsi="ITC Avant Garde"/>
                <w:b/>
              </w:rPr>
              <w:t>Adolfo Cuevas Teja</w:t>
            </w:r>
          </w:p>
          <w:p w:rsidR="004234BF" w:rsidRPr="00865D8E" w:rsidRDefault="004234BF" w:rsidP="003D7F33">
            <w:pPr>
              <w:ind w:right="-661"/>
              <w:jc w:val="center"/>
              <w:rPr>
                <w:rFonts w:ascii="ITC Avant Garde" w:hAnsi="ITC Avant Garde"/>
                <w:b/>
              </w:rPr>
            </w:pPr>
            <w:r w:rsidRPr="00865D8E">
              <w:rPr>
                <w:rFonts w:ascii="ITC Avant Garde" w:hAnsi="ITC Avant Garde"/>
                <w:b/>
              </w:rPr>
              <w:t>Comisionado</w:t>
            </w:r>
          </w:p>
        </w:tc>
        <w:tc>
          <w:tcPr>
            <w:tcW w:w="168" w:type="pct"/>
          </w:tcPr>
          <w:p w:rsidR="004234BF" w:rsidRPr="00865D8E" w:rsidRDefault="004234BF" w:rsidP="003D7F33">
            <w:pPr>
              <w:ind w:right="-661"/>
              <w:jc w:val="center"/>
              <w:rPr>
                <w:rFonts w:ascii="ITC Avant Garde" w:hAnsi="ITC Avant Garde"/>
                <w:b/>
              </w:rPr>
            </w:pPr>
          </w:p>
        </w:tc>
        <w:tc>
          <w:tcPr>
            <w:tcW w:w="2693" w:type="pct"/>
            <w:hideMark/>
          </w:tcPr>
          <w:p w:rsidR="004234BF" w:rsidRPr="00865D8E" w:rsidRDefault="004234BF" w:rsidP="003D7F33">
            <w:pPr>
              <w:ind w:right="-661"/>
              <w:jc w:val="center"/>
              <w:rPr>
                <w:rFonts w:ascii="ITC Avant Garde" w:hAnsi="ITC Avant Garde"/>
                <w:b/>
              </w:rPr>
            </w:pPr>
            <w:r w:rsidRPr="00865D8E">
              <w:rPr>
                <w:rFonts w:ascii="ITC Avant Garde" w:hAnsi="ITC Avant Garde"/>
                <w:b/>
              </w:rPr>
              <w:t>Javier Juárez Mojica</w:t>
            </w:r>
          </w:p>
          <w:p w:rsidR="004234BF" w:rsidRPr="00865D8E" w:rsidRDefault="004234BF" w:rsidP="003D7F33">
            <w:pPr>
              <w:ind w:right="-661"/>
              <w:jc w:val="center"/>
              <w:rPr>
                <w:rFonts w:ascii="ITC Avant Garde" w:hAnsi="ITC Avant Garde"/>
                <w:b/>
              </w:rPr>
            </w:pPr>
            <w:r w:rsidRPr="00865D8E">
              <w:rPr>
                <w:rFonts w:ascii="ITC Avant Garde" w:hAnsi="ITC Avant Garde"/>
                <w:b/>
              </w:rPr>
              <w:t>Comisionado</w:t>
            </w:r>
          </w:p>
          <w:p w:rsidR="004234BF" w:rsidRPr="00865D8E" w:rsidRDefault="004234BF" w:rsidP="003D7F33">
            <w:pPr>
              <w:ind w:right="-661"/>
              <w:jc w:val="center"/>
              <w:rPr>
                <w:rFonts w:ascii="ITC Avant Garde" w:hAnsi="ITC Avant Garde"/>
                <w:b/>
              </w:rPr>
            </w:pPr>
          </w:p>
        </w:tc>
      </w:tr>
    </w:tbl>
    <w:p w:rsidR="004234BF" w:rsidRPr="00865D8E" w:rsidRDefault="004234BF" w:rsidP="0087085E">
      <w:pPr>
        <w:spacing w:line="276" w:lineRule="auto"/>
        <w:rPr>
          <w:rFonts w:ascii="ITC Avant Garde" w:hAnsi="ITC Avant Garde"/>
          <w:sz w:val="22"/>
          <w:szCs w:val="22"/>
        </w:rPr>
      </w:pPr>
    </w:p>
    <w:p w:rsidR="00310DB8" w:rsidRPr="00865D8E" w:rsidRDefault="00310DB8" w:rsidP="00310DB8">
      <w:pPr>
        <w:pStyle w:val="Prrafodelista"/>
        <w:ind w:left="0"/>
        <w:jc w:val="both"/>
        <w:rPr>
          <w:rFonts w:ascii="ITC Avant Garde" w:hAnsi="ITC Avant Garde"/>
          <w:sz w:val="14"/>
        </w:rPr>
      </w:pPr>
    </w:p>
    <w:p w:rsidR="00310DB8" w:rsidRDefault="00310DB8" w:rsidP="00310DB8">
      <w:pPr>
        <w:pStyle w:val="Prrafodelista"/>
        <w:ind w:left="0"/>
        <w:jc w:val="both"/>
        <w:rPr>
          <w:rFonts w:ascii="ITC Avant Garde" w:hAnsi="ITC Avant Garde"/>
          <w:sz w:val="14"/>
        </w:rPr>
      </w:pPr>
    </w:p>
    <w:p w:rsidR="00310DB8" w:rsidRDefault="00310DB8" w:rsidP="00310DB8">
      <w:pPr>
        <w:pStyle w:val="Prrafodelista"/>
        <w:ind w:left="0"/>
        <w:jc w:val="both"/>
        <w:rPr>
          <w:rFonts w:ascii="ITC Avant Garde" w:hAnsi="ITC Avant Garde"/>
          <w:sz w:val="14"/>
        </w:rPr>
      </w:pPr>
    </w:p>
    <w:p w:rsidR="00310DB8" w:rsidRPr="00310DB8" w:rsidRDefault="00310DB8" w:rsidP="00310DB8">
      <w:pPr>
        <w:pStyle w:val="Prrafodelista"/>
        <w:ind w:left="0"/>
        <w:jc w:val="both"/>
        <w:rPr>
          <w:rFonts w:ascii="ITC Avant Garde" w:hAnsi="ITC Avant Garde"/>
          <w:sz w:val="12"/>
          <w:szCs w:val="22"/>
        </w:rPr>
      </w:pPr>
      <w:r w:rsidRPr="00310DB8">
        <w:rPr>
          <w:rFonts w:ascii="ITC Avant Garde" w:hAnsi="ITC Avant Garde"/>
          <w:sz w:val="14"/>
        </w:rPr>
        <w:t xml:space="preserve">El presente Acuerdo fue aprobado por el Pleno del Instituto Federal de Telecomunicaciones en su VI Sesión Ordinaria celebrada el 15 de febrero de 2017, por </w:t>
      </w:r>
      <w:r w:rsidRPr="00310DB8">
        <w:rPr>
          <w:rFonts w:ascii="ITC Avant Garde" w:hAnsi="ITC Avant Garde"/>
          <w:bCs/>
          <w:sz w:val="14"/>
        </w:rPr>
        <w:t>unanimidad</w:t>
      </w:r>
      <w:r w:rsidRPr="00310DB8">
        <w:rPr>
          <w:rFonts w:ascii="ITC Avant Garde" w:hAnsi="ITC Avant Garde"/>
          <w:sz w:val="14"/>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P/IFT/150217/87.</w:t>
      </w:r>
    </w:p>
    <w:p w:rsidR="00310DB8" w:rsidRDefault="00310DB8" w:rsidP="0087085E">
      <w:pPr>
        <w:spacing w:line="276" w:lineRule="auto"/>
        <w:rPr>
          <w:rFonts w:ascii="ITC Avant Garde" w:hAnsi="ITC Avant Garde"/>
          <w:sz w:val="22"/>
          <w:szCs w:val="22"/>
        </w:rPr>
      </w:pPr>
    </w:p>
    <w:sectPr w:rsidR="00310DB8" w:rsidSect="004234BF">
      <w:footerReference w:type="default" r:id="rId8"/>
      <w:pgSz w:w="12240" w:h="15840"/>
      <w:pgMar w:top="1985" w:right="1418" w:bottom="1191" w:left="1418" w:header="709" w:footer="56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2A6" w:rsidRDefault="00A642A6">
      <w:r>
        <w:separator/>
      </w:r>
    </w:p>
  </w:endnote>
  <w:endnote w:type="continuationSeparator" w:id="0">
    <w:p w:rsidR="00A642A6" w:rsidRDefault="00A6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758902"/>
      <w:docPartObj>
        <w:docPartGallery w:val="Page Numbers (Bottom of Page)"/>
        <w:docPartUnique/>
      </w:docPartObj>
    </w:sdtPr>
    <w:sdtEndPr>
      <w:rPr>
        <w:rFonts w:ascii="ITC Avant Garde" w:hAnsi="ITC Avant Garde"/>
        <w:sz w:val="20"/>
        <w:szCs w:val="20"/>
      </w:rPr>
    </w:sdtEndPr>
    <w:sdtContent>
      <w:p w:rsidR="00F529BA" w:rsidRPr="00F529BA" w:rsidRDefault="00F529BA">
        <w:pPr>
          <w:pStyle w:val="Piedepgina"/>
          <w:jc w:val="center"/>
          <w:rPr>
            <w:rFonts w:ascii="ITC Avant Garde" w:hAnsi="ITC Avant Garde"/>
            <w:sz w:val="20"/>
            <w:szCs w:val="20"/>
          </w:rPr>
        </w:pPr>
        <w:r w:rsidRPr="00F529BA">
          <w:rPr>
            <w:rFonts w:ascii="ITC Avant Garde" w:hAnsi="ITC Avant Garde"/>
            <w:sz w:val="20"/>
            <w:szCs w:val="20"/>
          </w:rPr>
          <w:fldChar w:fldCharType="begin"/>
        </w:r>
        <w:r w:rsidRPr="00F529BA">
          <w:rPr>
            <w:rFonts w:ascii="ITC Avant Garde" w:hAnsi="ITC Avant Garde"/>
            <w:sz w:val="20"/>
            <w:szCs w:val="20"/>
          </w:rPr>
          <w:instrText>PAGE   \* MERGEFORMAT</w:instrText>
        </w:r>
        <w:r w:rsidRPr="00F529BA">
          <w:rPr>
            <w:rFonts w:ascii="ITC Avant Garde" w:hAnsi="ITC Avant Garde"/>
            <w:sz w:val="20"/>
            <w:szCs w:val="20"/>
          </w:rPr>
          <w:fldChar w:fldCharType="separate"/>
        </w:r>
        <w:r w:rsidR="00865D8E" w:rsidRPr="00865D8E">
          <w:rPr>
            <w:rFonts w:ascii="ITC Avant Garde" w:hAnsi="ITC Avant Garde"/>
            <w:noProof/>
            <w:sz w:val="20"/>
            <w:szCs w:val="20"/>
            <w:lang w:val="es-ES"/>
          </w:rPr>
          <w:t>4</w:t>
        </w:r>
        <w:r w:rsidRPr="00F529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2A6" w:rsidRDefault="00A642A6">
      <w:r>
        <w:separator/>
      </w:r>
    </w:p>
  </w:footnote>
  <w:footnote w:type="continuationSeparator" w:id="0">
    <w:p w:rsidR="00A642A6" w:rsidRDefault="00A642A6">
      <w:r>
        <w:continuationSeparator/>
      </w:r>
    </w:p>
  </w:footnote>
  <w:footnote w:id="1">
    <w:p w:rsidR="00754D17" w:rsidRDefault="00754D17">
      <w:pPr>
        <w:pStyle w:val="Textonotapie"/>
      </w:pPr>
      <w:r>
        <w:rPr>
          <w:rStyle w:val="Refdenotaalpie"/>
        </w:rPr>
        <w:footnoteRef/>
      </w:r>
      <w:r>
        <w:t xml:space="preserve"> </w:t>
      </w:r>
      <w:hyperlink r:id="rId1" w:history="1">
        <w:r w:rsidRPr="00E41004">
          <w:rPr>
            <w:rStyle w:val="Hipervnculo"/>
          </w:rPr>
          <w:t>http://www.anatel.org.mx/quienes.php</w:t>
        </w:r>
      </w:hyperlink>
    </w:p>
    <w:p w:rsidR="00754D17" w:rsidRDefault="00754D17">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15F75"/>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63C3239"/>
    <w:multiLevelType w:val="hybridMultilevel"/>
    <w:tmpl w:val="8648DFD0"/>
    <w:lvl w:ilvl="0" w:tplc="080A0017">
      <w:start w:val="1"/>
      <w:numFmt w:val="lowerLetter"/>
      <w:lvlText w:val="%1)"/>
      <w:lvlJc w:val="left"/>
      <w:pPr>
        <w:ind w:left="720" w:hanging="360"/>
      </w:pPr>
      <w:rPr>
        <w:rFonts w:cs="Times New Roman" w:hint="default"/>
        <w:b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232228"/>
    <w:multiLevelType w:val="hybridMultilevel"/>
    <w:tmpl w:val="E0C80E00"/>
    <w:lvl w:ilvl="0" w:tplc="8C12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1"/>
  </w:num>
  <w:num w:numId="5">
    <w:abstractNumId w:val="5"/>
  </w:num>
  <w:num w:numId="6">
    <w:abstractNumId w:val="12"/>
  </w:num>
  <w:num w:numId="7">
    <w:abstractNumId w:val="10"/>
  </w:num>
  <w:num w:numId="8">
    <w:abstractNumId w:val="9"/>
  </w:num>
  <w:num w:numId="9">
    <w:abstractNumId w:val="13"/>
  </w:num>
  <w:num w:numId="10">
    <w:abstractNumId w:val="0"/>
  </w:num>
  <w:num w:numId="11">
    <w:abstractNumId w:val="2"/>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2B11"/>
    <w:rsid w:val="00004C94"/>
    <w:rsid w:val="00005B2B"/>
    <w:rsid w:val="00014BB7"/>
    <w:rsid w:val="00020680"/>
    <w:rsid w:val="00025B73"/>
    <w:rsid w:val="0003078E"/>
    <w:rsid w:val="00032CE8"/>
    <w:rsid w:val="00051C56"/>
    <w:rsid w:val="0005421F"/>
    <w:rsid w:val="000553EF"/>
    <w:rsid w:val="000727A5"/>
    <w:rsid w:val="00075D68"/>
    <w:rsid w:val="000A7D43"/>
    <w:rsid w:val="000B2E4B"/>
    <w:rsid w:val="000D51BE"/>
    <w:rsid w:val="000E45A5"/>
    <w:rsid w:val="000F136B"/>
    <w:rsid w:val="000F6509"/>
    <w:rsid w:val="000F6AF4"/>
    <w:rsid w:val="000F70A1"/>
    <w:rsid w:val="000F7B64"/>
    <w:rsid w:val="00106602"/>
    <w:rsid w:val="00110A96"/>
    <w:rsid w:val="001211C1"/>
    <w:rsid w:val="00121FDF"/>
    <w:rsid w:val="00122663"/>
    <w:rsid w:val="00137D65"/>
    <w:rsid w:val="0014291C"/>
    <w:rsid w:val="00143654"/>
    <w:rsid w:val="00151463"/>
    <w:rsid w:val="00155F57"/>
    <w:rsid w:val="00161065"/>
    <w:rsid w:val="001640FC"/>
    <w:rsid w:val="00170158"/>
    <w:rsid w:val="001728A7"/>
    <w:rsid w:val="00172EE5"/>
    <w:rsid w:val="00175246"/>
    <w:rsid w:val="00177A17"/>
    <w:rsid w:val="00183EBB"/>
    <w:rsid w:val="00193ACE"/>
    <w:rsid w:val="001A4ACD"/>
    <w:rsid w:val="001A621F"/>
    <w:rsid w:val="001A6D56"/>
    <w:rsid w:val="001C31F6"/>
    <w:rsid w:val="001D206B"/>
    <w:rsid w:val="001D3E86"/>
    <w:rsid w:val="001E26AF"/>
    <w:rsid w:val="001E272C"/>
    <w:rsid w:val="001E2765"/>
    <w:rsid w:val="001E446E"/>
    <w:rsid w:val="001E7E83"/>
    <w:rsid w:val="001F028B"/>
    <w:rsid w:val="001F18DD"/>
    <w:rsid w:val="00220DA4"/>
    <w:rsid w:val="00224DFC"/>
    <w:rsid w:val="002367EE"/>
    <w:rsid w:val="00245EB0"/>
    <w:rsid w:val="002517B0"/>
    <w:rsid w:val="0025760B"/>
    <w:rsid w:val="00266B27"/>
    <w:rsid w:val="002808A8"/>
    <w:rsid w:val="00282A20"/>
    <w:rsid w:val="00286C0F"/>
    <w:rsid w:val="00295E0F"/>
    <w:rsid w:val="0029702A"/>
    <w:rsid w:val="0029747E"/>
    <w:rsid w:val="002B0CE5"/>
    <w:rsid w:val="002B2594"/>
    <w:rsid w:val="002B336B"/>
    <w:rsid w:val="002C3821"/>
    <w:rsid w:val="002C3AAE"/>
    <w:rsid w:val="002C4704"/>
    <w:rsid w:val="002D22E7"/>
    <w:rsid w:val="002F5676"/>
    <w:rsid w:val="00310DB8"/>
    <w:rsid w:val="00317CE8"/>
    <w:rsid w:val="00321952"/>
    <w:rsid w:val="003274A9"/>
    <w:rsid w:val="00340DDC"/>
    <w:rsid w:val="003476AD"/>
    <w:rsid w:val="003605C6"/>
    <w:rsid w:val="0036170F"/>
    <w:rsid w:val="00367CE9"/>
    <w:rsid w:val="003A41B1"/>
    <w:rsid w:val="003B1B1B"/>
    <w:rsid w:val="003B26EE"/>
    <w:rsid w:val="003C0915"/>
    <w:rsid w:val="003D7511"/>
    <w:rsid w:val="003E25F3"/>
    <w:rsid w:val="003F0842"/>
    <w:rsid w:val="003F1808"/>
    <w:rsid w:val="00402396"/>
    <w:rsid w:val="00412C90"/>
    <w:rsid w:val="004234BF"/>
    <w:rsid w:val="00427E5C"/>
    <w:rsid w:val="00437E5E"/>
    <w:rsid w:val="00441B6D"/>
    <w:rsid w:val="00443596"/>
    <w:rsid w:val="004475AB"/>
    <w:rsid w:val="004625B3"/>
    <w:rsid w:val="004706DF"/>
    <w:rsid w:val="00471C79"/>
    <w:rsid w:val="004813C6"/>
    <w:rsid w:val="004978D9"/>
    <w:rsid w:val="004C47D5"/>
    <w:rsid w:val="004D176E"/>
    <w:rsid w:val="004E45C3"/>
    <w:rsid w:val="005055E1"/>
    <w:rsid w:val="005302B4"/>
    <w:rsid w:val="00530E9B"/>
    <w:rsid w:val="00531DEE"/>
    <w:rsid w:val="00546892"/>
    <w:rsid w:val="0054691A"/>
    <w:rsid w:val="00553DC3"/>
    <w:rsid w:val="00562D98"/>
    <w:rsid w:val="00565825"/>
    <w:rsid w:val="00565E88"/>
    <w:rsid w:val="005810AF"/>
    <w:rsid w:val="00587EC5"/>
    <w:rsid w:val="00592EE7"/>
    <w:rsid w:val="005A62AA"/>
    <w:rsid w:val="005D387D"/>
    <w:rsid w:val="005E5830"/>
    <w:rsid w:val="005E6F56"/>
    <w:rsid w:val="005E7BEB"/>
    <w:rsid w:val="005F051C"/>
    <w:rsid w:val="00622F1D"/>
    <w:rsid w:val="00625659"/>
    <w:rsid w:val="00633649"/>
    <w:rsid w:val="00634AC4"/>
    <w:rsid w:val="0064104D"/>
    <w:rsid w:val="00644117"/>
    <w:rsid w:val="006520A1"/>
    <w:rsid w:val="00660800"/>
    <w:rsid w:val="00662D3C"/>
    <w:rsid w:val="006659C0"/>
    <w:rsid w:val="006909B8"/>
    <w:rsid w:val="006948E9"/>
    <w:rsid w:val="006C0C52"/>
    <w:rsid w:val="006C1BAE"/>
    <w:rsid w:val="006D329B"/>
    <w:rsid w:val="006E0437"/>
    <w:rsid w:val="0070085A"/>
    <w:rsid w:val="00714224"/>
    <w:rsid w:val="00722C39"/>
    <w:rsid w:val="00744EC1"/>
    <w:rsid w:val="00751213"/>
    <w:rsid w:val="00752ABB"/>
    <w:rsid w:val="00754D17"/>
    <w:rsid w:val="0077173D"/>
    <w:rsid w:val="00772D3E"/>
    <w:rsid w:val="00773B55"/>
    <w:rsid w:val="007816F1"/>
    <w:rsid w:val="00784F2B"/>
    <w:rsid w:val="0079037D"/>
    <w:rsid w:val="007B578D"/>
    <w:rsid w:val="007D0DA8"/>
    <w:rsid w:val="007E04F7"/>
    <w:rsid w:val="007F15DA"/>
    <w:rsid w:val="00801B6A"/>
    <w:rsid w:val="00807195"/>
    <w:rsid w:val="0082434B"/>
    <w:rsid w:val="00825E44"/>
    <w:rsid w:val="00852002"/>
    <w:rsid w:val="008620AC"/>
    <w:rsid w:val="00865D8E"/>
    <w:rsid w:val="0086699E"/>
    <w:rsid w:val="0087085E"/>
    <w:rsid w:val="008808B5"/>
    <w:rsid w:val="00882E9E"/>
    <w:rsid w:val="00891385"/>
    <w:rsid w:val="00892701"/>
    <w:rsid w:val="008A4AF1"/>
    <w:rsid w:val="008A5F01"/>
    <w:rsid w:val="008B1A87"/>
    <w:rsid w:val="008B54F1"/>
    <w:rsid w:val="008B6CD1"/>
    <w:rsid w:val="008C5731"/>
    <w:rsid w:val="008C6C31"/>
    <w:rsid w:val="008C721F"/>
    <w:rsid w:val="008D1966"/>
    <w:rsid w:val="008D39C8"/>
    <w:rsid w:val="008F3699"/>
    <w:rsid w:val="00900463"/>
    <w:rsid w:val="009026F6"/>
    <w:rsid w:val="0090463B"/>
    <w:rsid w:val="00910588"/>
    <w:rsid w:val="00924503"/>
    <w:rsid w:val="0092600B"/>
    <w:rsid w:val="00935532"/>
    <w:rsid w:val="0096647C"/>
    <w:rsid w:val="00972901"/>
    <w:rsid w:val="00985C0F"/>
    <w:rsid w:val="00990EF3"/>
    <w:rsid w:val="009B3271"/>
    <w:rsid w:val="009C7F55"/>
    <w:rsid w:val="009D6690"/>
    <w:rsid w:val="009E2906"/>
    <w:rsid w:val="009E74B3"/>
    <w:rsid w:val="009F53ED"/>
    <w:rsid w:val="00A06EBB"/>
    <w:rsid w:val="00A14184"/>
    <w:rsid w:val="00A15D79"/>
    <w:rsid w:val="00A25594"/>
    <w:rsid w:val="00A27745"/>
    <w:rsid w:val="00A43B8E"/>
    <w:rsid w:val="00A474E0"/>
    <w:rsid w:val="00A642A6"/>
    <w:rsid w:val="00A72ADE"/>
    <w:rsid w:val="00A80479"/>
    <w:rsid w:val="00A808EF"/>
    <w:rsid w:val="00A809F7"/>
    <w:rsid w:val="00A8223F"/>
    <w:rsid w:val="00A84A8A"/>
    <w:rsid w:val="00A85CD9"/>
    <w:rsid w:val="00A9437E"/>
    <w:rsid w:val="00A9602A"/>
    <w:rsid w:val="00AA4061"/>
    <w:rsid w:val="00AC1CAC"/>
    <w:rsid w:val="00AC56A0"/>
    <w:rsid w:val="00AD486C"/>
    <w:rsid w:val="00AD55DE"/>
    <w:rsid w:val="00AD676E"/>
    <w:rsid w:val="00AE1C09"/>
    <w:rsid w:val="00AF3ACD"/>
    <w:rsid w:val="00AF50FF"/>
    <w:rsid w:val="00B004CA"/>
    <w:rsid w:val="00B02B73"/>
    <w:rsid w:val="00B07204"/>
    <w:rsid w:val="00B07A8F"/>
    <w:rsid w:val="00B12B31"/>
    <w:rsid w:val="00B13FB0"/>
    <w:rsid w:val="00B173DF"/>
    <w:rsid w:val="00B41E4D"/>
    <w:rsid w:val="00B455AE"/>
    <w:rsid w:val="00B60197"/>
    <w:rsid w:val="00B76DDC"/>
    <w:rsid w:val="00B97833"/>
    <w:rsid w:val="00BA6FE5"/>
    <w:rsid w:val="00BA7259"/>
    <w:rsid w:val="00BA7D20"/>
    <w:rsid w:val="00BC1BA3"/>
    <w:rsid w:val="00BC3F88"/>
    <w:rsid w:val="00BC64C2"/>
    <w:rsid w:val="00BD1096"/>
    <w:rsid w:val="00BD4430"/>
    <w:rsid w:val="00BD5B2E"/>
    <w:rsid w:val="00BF4B40"/>
    <w:rsid w:val="00C03BCE"/>
    <w:rsid w:val="00C05ABA"/>
    <w:rsid w:val="00C26F2C"/>
    <w:rsid w:val="00C27136"/>
    <w:rsid w:val="00C30790"/>
    <w:rsid w:val="00C35C3C"/>
    <w:rsid w:val="00C445DE"/>
    <w:rsid w:val="00C52E5B"/>
    <w:rsid w:val="00C540F7"/>
    <w:rsid w:val="00C56CFD"/>
    <w:rsid w:val="00C609FE"/>
    <w:rsid w:val="00C67095"/>
    <w:rsid w:val="00C72DC1"/>
    <w:rsid w:val="00C75AEB"/>
    <w:rsid w:val="00C90116"/>
    <w:rsid w:val="00C92004"/>
    <w:rsid w:val="00C933B7"/>
    <w:rsid w:val="00C95170"/>
    <w:rsid w:val="00CC6ED5"/>
    <w:rsid w:val="00CE0202"/>
    <w:rsid w:val="00CE1854"/>
    <w:rsid w:val="00CE52D1"/>
    <w:rsid w:val="00CF3F00"/>
    <w:rsid w:val="00D00E71"/>
    <w:rsid w:val="00D259BD"/>
    <w:rsid w:val="00D32E38"/>
    <w:rsid w:val="00D37FE5"/>
    <w:rsid w:val="00D54247"/>
    <w:rsid w:val="00D574F5"/>
    <w:rsid w:val="00D661D2"/>
    <w:rsid w:val="00D77D4E"/>
    <w:rsid w:val="00D803B2"/>
    <w:rsid w:val="00D9006E"/>
    <w:rsid w:val="00DA38A4"/>
    <w:rsid w:val="00DA5C47"/>
    <w:rsid w:val="00DA660C"/>
    <w:rsid w:val="00DA6931"/>
    <w:rsid w:val="00DC1A4C"/>
    <w:rsid w:val="00DD0FD4"/>
    <w:rsid w:val="00DD2AA8"/>
    <w:rsid w:val="00DD4071"/>
    <w:rsid w:val="00DE1315"/>
    <w:rsid w:val="00DF3236"/>
    <w:rsid w:val="00DF3748"/>
    <w:rsid w:val="00E11CB5"/>
    <w:rsid w:val="00E14990"/>
    <w:rsid w:val="00E3442C"/>
    <w:rsid w:val="00E3650A"/>
    <w:rsid w:val="00E42B4D"/>
    <w:rsid w:val="00E55F50"/>
    <w:rsid w:val="00E64777"/>
    <w:rsid w:val="00E729A4"/>
    <w:rsid w:val="00E72CD9"/>
    <w:rsid w:val="00E803F7"/>
    <w:rsid w:val="00E84CAC"/>
    <w:rsid w:val="00E924EE"/>
    <w:rsid w:val="00E92887"/>
    <w:rsid w:val="00E92F0A"/>
    <w:rsid w:val="00E966D5"/>
    <w:rsid w:val="00E97105"/>
    <w:rsid w:val="00EB228E"/>
    <w:rsid w:val="00EB2308"/>
    <w:rsid w:val="00EC14B1"/>
    <w:rsid w:val="00EC6A45"/>
    <w:rsid w:val="00EC7633"/>
    <w:rsid w:val="00ED0332"/>
    <w:rsid w:val="00EF2324"/>
    <w:rsid w:val="00EF3852"/>
    <w:rsid w:val="00EF7305"/>
    <w:rsid w:val="00F04177"/>
    <w:rsid w:val="00F05404"/>
    <w:rsid w:val="00F06518"/>
    <w:rsid w:val="00F1280F"/>
    <w:rsid w:val="00F26F62"/>
    <w:rsid w:val="00F33F91"/>
    <w:rsid w:val="00F4282C"/>
    <w:rsid w:val="00F51400"/>
    <w:rsid w:val="00F51A9F"/>
    <w:rsid w:val="00F5206A"/>
    <w:rsid w:val="00F529BA"/>
    <w:rsid w:val="00F63269"/>
    <w:rsid w:val="00F64A29"/>
    <w:rsid w:val="00F669BE"/>
    <w:rsid w:val="00F71D0E"/>
    <w:rsid w:val="00F7525F"/>
    <w:rsid w:val="00F75521"/>
    <w:rsid w:val="00F80866"/>
    <w:rsid w:val="00F8432C"/>
    <w:rsid w:val="00F86A8E"/>
    <w:rsid w:val="00F90030"/>
    <w:rsid w:val="00F958D2"/>
    <w:rsid w:val="00F95C41"/>
    <w:rsid w:val="00F96725"/>
    <w:rsid w:val="00FA1F22"/>
    <w:rsid w:val="00FA4770"/>
    <w:rsid w:val="00FC74CA"/>
    <w:rsid w:val="00FD0552"/>
    <w:rsid w:val="00FD0F65"/>
    <w:rsid w:val="00FE29E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08244D1D-C6ED-4CC2-BC01-2D8A7861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nhideWhenUsed/>
    <w:rsid w:val="00A809F7"/>
    <w:rPr>
      <w:sz w:val="16"/>
      <w:szCs w:val="16"/>
    </w:rPr>
  </w:style>
  <w:style w:type="paragraph" w:styleId="Textocomentario">
    <w:name w:val="annotation text"/>
    <w:basedOn w:val="Normal"/>
    <w:link w:val="TextocomentarioCar"/>
    <w:unhideWhenUsed/>
    <w:rsid w:val="00A809F7"/>
    <w:rPr>
      <w:sz w:val="20"/>
      <w:szCs w:val="20"/>
    </w:rPr>
  </w:style>
  <w:style w:type="character" w:customStyle="1" w:styleId="TextocomentarioCar">
    <w:name w:val="Texto comentario Car"/>
    <w:basedOn w:val="Fuentedeprrafopredeter"/>
    <w:link w:val="Textocomentario"/>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 w:type="paragraph" w:styleId="Textonotapie">
    <w:name w:val="footnote text"/>
    <w:basedOn w:val="Normal"/>
    <w:link w:val="TextonotapieCar"/>
    <w:uiPriority w:val="99"/>
    <w:semiHidden/>
    <w:unhideWhenUsed/>
    <w:rsid w:val="00754D17"/>
    <w:rPr>
      <w:sz w:val="20"/>
      <w:szCs w:val="20"/>
    </w:rPr>
  </w:style>
  <w:style w:type="character" w:customStyle="1" w:styleId="TextonotapieCar">
    <w:name w:val="Texto nota pie Car"/>
    <w:basedOn w:val="Fuentedeprrafopredeter"/>
    <w:link w:val="Textonotapie"/>
    <w:uiPriority w:val="99"/>
    <w:semiHidden/>
    <w:rsid w:val="00754D1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754D17"/>
    <w:rPr>
      <w:vertAlign w:val="superscript"/>
    </w:rPr>
  </w:style>
  <w:style w:type="character" w:styleId="Hipervnculo">
    <w:name w:val="Hyperlink"/>
    <w:basedOn w:val="Fuentedeprrafopredeter"/>
    <w:uiPriority w:val="99"/>
    <w:unhideWhenUsed/>
    <w:rsid w:val="00754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522210871">
      <w:bodyDiv w:val="1"/>
      <w:marLeft w:val="0"/>
      <w:marRight w:val="0"/>
      <w:marTop w:val="0"/>
      <w:marBottom w:val="0"/>
      <w:divBdr>
        <w:top w:val="none" w:sz="0" w:space="0" w:color="auto"/>
        <w:left w:val="none" w:sz="0" w:space="0" w:color="auto"/>
        <w:bottom w:val="none" w:sz="0" w:space="0" w:color="auto"/>
        <w:right w:val="none" w:sz="0" w:space="0" w:color="auto"/>
      </w:divBdr>
    </w:div>
    <w:div w:id="740564189">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469012766">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natel.org.mx/quiene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536BC597-D24F-4916-82A0-EB243B77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1716</Words>
  <Characters>9439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Maria Almendra Abarca Flores</cp:lastModifiedBy>
  <cp:revision>6</cp:revision>
  <cp:lastPrinted>2017-02-15T19:33:00Z</cp:lastPrinted>
  <dcterms:created xsi:type="dcterms:W3CDTF">2017-02-15T18:28:00Z</dcterms:created>
  <dcterms:modified xsi:type="dcterms:W3CDTF">2017-02-15T19:41:00Z</dcterms:modified>
</cp:coreProperties>
</file>