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8828" w:type="dxa"/>
        <w:tblLayout w:type="fixed"/>
        <w:tblLook w:val="04A0" w:firstRow="1" w:lastRow="0" w:firstColumn="1" w:lastColumn="0" w:noHBand="0" w:noVBand="1"/>
      </w:tblPr>
      <w:tblGrid>
        <w:gridCol w:w="3681"/>
        <w:gridCol w:w="2268"/>
        <w:gridCol w:w="2879"/>
      </w:tblGrid>
      <w:tr w:rsidR="00501ADF" w:rsidRPr="006A010C" w14:paraId="1FB312DF" w14:textId="77777777" w:rsidTr="0087236C">
        <w:trPr>
          <w:trHeight w:val="816"/>
        </w:trPr>
        <w:tc>
          <w:tcPr>
            <w:tcW w:w="3681" w:type="dxa"/>
            <w:shd w:val="clear" w:color="auto" w:fill="DBDBDB" w:themeFill="accent3" w:themeFillTint="66"/>
          </w:tcPr>
          <w:p w14:paraId="08228A2B" w14:textId="77777777" w:rsidR="00501ADF" w:rsidRPr="006A010C" w:rsidRDefault="48ECE0BD" w:rsidP="0087236C">
            <w:pPr>
              <w:spacing w:line="276" w:lineRule="auto"/>
              <w:rPr>
                <w:rFonts w:eastAsia="ITC Avant Garde" w:cs="ITC Avant Garde"/>
                <w:b/>
                <w:bCs/>
              </w:rPr>
            </w:pPr>
            <w:r w:rsidRPr="006A010C">
              <w:rPr>
                <w:rFonts w:eastAsia="ITC Avant Garde" w:cs="ITC Avant Garde"/>
                <w:b/>
                <w:bCs/>
              </w:rPr>
              <w:t>Unidad administrativa:</w:t>
            </w:r>
          </w:p>
          <w:p w14:paraId="301B515D" w14:textId="77777777" w:rsidR="0068307E" w:rsidRPr="006A010C" w:rsidRDefault="48ECE0BD" w:rsidP="0087236C">
            <w:pPr>
              <w:spacing w:line="276" w:lineRule="auto"/>
              <w:rPr>
                <w:rFonts w:eastAsia="ITC Avant Garde" w:cs="ITC Avant Garde"/>
              </w:rPr>
            </w:pPr>
            <w:r w:rsidRPr="006A010C">
              <w:rPr>
                <w:rFonts w:eastAsia="ITC Avant Garde" w:cs="ITC Avant Garde"/>
              </w:rPr>
              <w:t>Unidad de Política Regulatoria</w:t>
            </w:r>
          </w:p>
        </w:tc>
        <w:tc>
          <w:tcPr>
            <w:tcW w:w="5147" w:type="dxa"/>
            <w:gridSpan w:val="2"/>
            <w:shd w:val="clear" w:color="auto" w:fill="DBDBDB" w:themeFill="accent3" w:themeFillTint="66"/>
          </w:tcPr>
          <w:p w14:paraId="230D2A0A" w14:textId="77777777" w:rsidR="004331D9" w:rsidRPr="006A010C" w:rsidRDefault="26EF7CAD" w:rsidP="0087236C">
            <w:pPr>
              <w:spacing w:line="276" w:lineRule="auto"/>
              <w:rPr>
                <w:rFonts w:eastAsia="ITC Avant Garde" w:cs="ITC Avant Garde"/>
                <w:b/>
                <w:bCs/>
              </w:rPr>
            </w:pPr>
            <w:r w:rsidRPr="006A010C">
              <w:rPr>
                <w:rFonts w:eastAsia="ITC Avant Garde" w:cs="ITC Avant Garde"/>
                <w:b/>
                <w:bCs/>
              </w:rPr>
              <w:t>Título del anteproyecto de regulación:</w:t>
            </w:r>
          </w:p>
          <w:p w14:paraId="4B127F86" w14:textId="1E5C39C5" w:rsidR="0068307E" w:rsidRPr="003D47F5" w:rsidRDefault="00153D35" w:rsidP="00490B44">
            <w:pPr>
              <w:spacing w:line="276" w:lineRule="auto"/>
              <w:jc w:val="both"/>
              <w:rPr>
                <w:rFonts w:eastAsia="ITC Avant Garde" w:cs="ITC Avant Garde"/>
              </w:rPr>
            </w:pPr>
            <w:r>
              <w:rPr>
                <w:rFonts w:eastAsia="ITC Avant Garde" w:cs="ITC Avant Garde"/>
              </w:rPr>
              <w:t>D</w:t>
            </w:r>
            <w:r w:rsidRPr="00153D35">
              <w:rPr>
                <w:rFonts w:eastAsia="ITC Avant Garde" w:cs="ITC Avant Garde"/>
              </w:rPr>
              <w:t xml:space="preserve">isposición </w:t>
            </w:r>
            <w:r>
              <w:rPr>
                <w:rFonts w:eastAsia="ITC Avant Garde" w:cs="ITC Avant Garde"/>
              </w:rPr>
              <w:t>T</w:t>
            </w:r>
            <w:r w:rsidRPr="00153D35">
              <w:rPr>
                <w:rFonts w:eastAsia="ITC Avant Garde" w:cs="ITC Avant Garde"/>
              </w:rPr>
              <w:t>écnica IFT-012-201</w:t>
            </w:r>
            <w:r w:rsidR="00490B44">
              <w:rPr>
                <w:rFonts w:eastAsia="ITC Avant Garde" w:cs="ITC Avant Garde"/>
              </w:rPr>
              <w:t>9</w:t>
            </w:r>
            <w:r w:rsidRPr="00153D35">
              <w:rPr>
                <w:rFonts w:eastAsia="ITC Avant Garde" w:cs="ITC Avant Garde"/>
              </w:rPr>
              <w:t xml:space="preserve">: </w:t>
            </w:r>
            <w:r>
              <w:rPr>
                <w:rFonts w:eastAsia="ITC Avant Garde" w:cs="ITC Avant Garde"/>
              </w:rPr>
              <w:t>E</w:t>
            </w:r>
            <w:r w:rsidRPr="00153D35">
              <w:rPr>
                <w:rFonts w:eastAsia="ITC Avant Garde" w:cs="ITC Avant Garde"/>
              </w:rPr>
              <w:t xml:space="preserve">specificaciones técnicas para el cumplimiento de los límites máximos de radiaciones electromagnéticas de radiofrecuencia no ionizantes de los productos, equipos, dispositivos o aparatos destinados a telecomunicaciones que pueden ser conectados a una red de telecomunicaciones y/o hacer uso del espectro radioeléctrico. </w:t>
            </w:r>
            <w:r>
              <w:rPr>
                <w:rFonts w:eastAsia="ITC Avant Garde" w:cs="ITC Avant Garde"/>
              </w:rPr>
              <w:t>Í</w:t>
            </w:r>
            <w:r w:rsidRPr="00153D35">
              <w:rPr>
                <w:rFonts w:eastAsia="ITC Avant Garde" w:cs="ITC Avant Garde"/>
              </w:rPr>
              <w:t>ndice de absorción específica (SAR).</w:t>
            </w:r>
          </w:p>
        </w:tc>
      </w:tr>
      <w:tr w:rsidR="0068307E" w:rsidRPr="006A010C" w14:paraId="78D192B8" w14:textId="77777777" w:rsidTr="0087236C">
        <w:tc>
          <w:tcPr>
            <w:tcW w:w="3681" w:type="dxa"/>
            <w:vMerge w:val="restart"/>
            <w:shd w:val="clear" w:color="auto" w:fill="DBDBDB" w:themeFill="accent3" w:themeFillTint="66"/>
          </w:tcPr>
          <w:p w14:paraId="33E7AAA9" w14:textId="77777777" w:rsidR="0068307E" w:rsidRPr="006A010C" w:rsidRDefault="48ECE0BD" w:rsidP="0087236C">
            <w:pPr>
              <w:spacing w:line="276" w:lineRule="auto"/>
              <w:rPr>
                <w:rFonts w:eastAsia="ITC Avant Garde" w:cs="ITC Avant Garde"/>
                <w:b/>
                <w:bCs/>
              </w:rPr>
            </w:pPr>
            <w:r w:rsidRPr="006A010C">
              <w:rPr>
                <w:rFonts w:eastAsia="ITC Avant Garde" w:cs="ITC Avant Garde"/>
                <w:b/>
                <w:bCs/>
              </w:rPr>
              <w:t>Datos de contacto:</w:t>
            </w:r>
          </w:p>
          <w:p w14:paraId="598AF155" w14:textId="77777777" w:rsidR="00C453E7" w:rsidRPr="00C453E7" w:rsidRDefault="00C453E7" w:rsidP="0087236C">
            <w:pPr>
              <w:spacing w:line="276" w:lineRule="auto"/>
              <w:rPr>
                <w:b/>
              </w:rPr>
            </w:pPr>
          </w:p>
          <w:p w14:paraId="700143EB" w14:textId="77777777" w:rsidR="00C453E7" w:rsidRPr="0087236C" w:rsidRDefault="00C453E7" w:rsidP="0087236C">
            <w:pPr>
              <w:spacing w:line="276" w:lineRule="auto"/>
            </w:pPr>
            <w:r w:rsidRPr="0087236C">
              <w:t>Ing. Horacio Villalobos Tlatempa</w:t>
            </w:r>
          </w:p>
          <w:p w14:paraId="7B978D72" w14:textId="687110C4" w:rsidR="00C453E7" w:rsidRPr="0087236C" w:rsidRDefault="00C453E7" w:rsidP="0087236C">
            <w:pPr>
              <w:spacing w:line="276" w:lineRule="auto"/>
            </w:pPr>
            <w:r w:rsidRPr="0087236C">
              <w:t xml:space="preserve">Teléfono: </w:t>
            </w:r>
            <w:r w:rsidR="000B1040">
              <w:t xml:space="preserve">55 </w:t>
            </w:r>
            <w:r w:rsidRPr="0087236C">
              <w:t>5015-4</w:t>
            </w:r>
            <w:r w:rsidR="000B1040">
              <w:t>042</w:t>
            </w:r>
          </w:p>
          <w:p w14:paraId="001A5105" w14:textId="77777777" w:rsidR="00C453E7" w:rsidRPr="0087236C" w:rsidRDefault="00C453E7" w:rsidP="0087236C">
            <w:pPr>
              <w:spacing w:line="276" w:lineRule="auto"/>
            </w:pPr>
            <w:r w:rsidRPr="00F44E36">
              <w:rPr>
                <w:u w:val="single"/>
              </w:rPr>
              <w:t>Correo electrónico</w:t>
            </w:r>
            <w:r w:rsidRPr="0087236C">
              <w:t>:</w:t>
            </w:r>
          </w:p>
          <w:p w14:paraId="5D39094D" w14:textId="77777777" w:rsidR="0068307E" w:rsidRPr="00F44E36" w:rsidRDefault="00F54526" w:rsidP="0087236C">
            <w:pPr>
              <w:spacing w:line="276" w:lineRule="auto"/>
            </w:pPr>
            <w:hyperlink r:id="rId9" w:history="1">
              <w:r w:rsidR="00C453E7" w:rsidRPr="00F44E36">
                <w:rPr>
                  <w:rStyle w:val="Hipervnculo"/>
                </w:rPr>
                <w:t>horacio.villalobos@ift.org.mx</w:t>
              </w:r>
            </w:hyperlink>
            <w:r w:rsidR="00C453E7" w:rsidRPr="00F44E36">
              <w:t xml:space="preserve"> </w:t>
            </w:r>
          </w:p>
          <w:p w14:paraId="7026B371" w14:textId="77777777" w:rsidR="0068307E" w:rsidRPr="006A010C" w:rsidRDefault="0068307E" w:rsidP="0087236C">
            <w:pPr>
              <w:spacing w:line="276" w:lineRule="auto"/>
              <w:rPr>
                <w:rFonts w:eastAsia="ITC Avant Garde" w:cs="ITC Avant Garde"/>
                <w:b/>
                <w:bCs/>
              </w:rPr>
            </w:pPr>
          </w:p>
        </w:tc>
        <w:tc>
          <w:tcPr>
            <w:tcW w:w="2268" w:type="dxa"/>
            <w:shd w:val="clear" w:color="auto" w:fill="DBDBDB" w:themeFill="accent3" w:themeFillTint="66"/>
          </w:tcPr>
          <w:p w14:paraId="17BED6DC" w14:textId="77777777" w:rsidR="0068307E" w:rsidRPr="006A010C" w:rsidRDefault="48ECE0BD" w:rsidP="0087236C">
            <w:pPr>
              <w:spacing w:line="276" w:lineRule="auto"/>
              <w:rPr>
                <w:rFonts w:eastAsia="ITC Avant Garde" w:cs="ITC Avant Garde"/>
                <w:b/>
                <w:bCs/>
              </w:rPr>
            </w:pPr>
            <w:r w:rsidRPr="006A010C">
              <w:rPr>
                <w:rFonts w:eastAsia="ITC Avant Garde" w:cs="ITC Avant Garde"/>
                <w:b/>
                <w:bCs/>
              </w:rPr>
              <w:t>Fecha de elaboración:</w:t>
            </w:r>
          </w:p>
        </w:tc>
        <w:tc>
          <w:tcPr>
            <w:tcW w:w="2879" w:type="dxa"/>
            <w:shd w:val="clear" w:color="auto" w:fill="DBDBDB" w:themeFill="accent3" w:themeFillTint="66"/>
          </w:tcPr>
          <w:p w14:paraId="0F45837A" w14:textId="4D0208C1" w:rsidR="0068307E" w:rsidRPr="006A010C" w:rsidRDefault="00786C15" w:rsidP="00786C15">
            <w:pPr>
              <w:spacing w:line="276" w:lineRule="auto"/>
              <w:jc w:val="center"/>
              <w:rPr>
                <w:rFonts w:eastAsia="ITC Avant Garde" w:cs="ITC Avant Garde"/>
              </w:rPr>
            </w:pPr>
            <w:r>
              <w:rPr>
                <w:rFonts w:eastAsia="ITC Avant Garde" w:cs="ITC Avant Garde"/>
                <w:noProof/>
              </w:rPr>
              <w:t>22</w:t>
            </w:r>
            <w:r w:rsidR="00AA1763">
              <w:rPr>
                <w:rFonts w:eastAsia="ITC Avant Garde" w:cs="ITC Avant Garde"/>
                <w:noProof/>
              </w:rPr>
              <w:t>/</w:t>
            </w:r>
            <w:r>
              <w:rPr>
                <w:rFonts w:eastAsia="ITC Avant Garde" w:cs="ITC Avant Garde"/>
                <w:noProof/>
              </w:rPr>
              <w:t>1</w:t>
            </w:r>
            <w:r w:rsidR="00AA1763">
              <w:rPr>
                <w:rFonts w:eastAsia="ITC Avant Garde" w:cs="ITC Avant Garde"/>
                <w:noProof/>
              </w:rPr>
              <w:t>0/</w:t>
            </w:r>
            <w:r>
              <w:rPr>
                <w:rFonts w:eastAsia="ITC Avant Garde" w:cs="ITC Avant Garde"/>
                <w:noProof/>
              </w:rPr>
              <w:t>2019</w:t>
            </w:r>
          </w:p>
        </w:tc>
      </w:tr>
      <w:tr w:rsidR="0068307E" w:rsidRPr="006A010C" w14:paraId="5CA2CDC4" w14:textId="77777777" w:rsidTr="0087236C">
        <w:trPr>
          <w:trHeight w:val="390"/>
        </w:trPr>
        <w:tc>
          <w:tcPr>
            <w:tcW w:w="3681" w:type="dxa"/>
            <w:vMerge/>
            <w:shd w:val="clear" w:color="auto" w:fill="DBDBDB" w:themeFill="accent3" w:themeFillTint="66"/>
            <w:vAlign w:val="center"/>
          </w:tcPr>
          <w:p w14:paraId="1AF68DEA" w14:textId="77777777" w:rsidR="0068307E" w:rsidRPr="006A010C" w:rsidRDefault="0068307E" w:rsidP="004A24C7">
            <w:pPr>
              <w:spacing w:line="276" w:lineRule="auto"/>
              <w:jc w:val="center"/>
            </w:pPr>
          </w:p>
        </w:tc>
        <w:tc>
          <w:tcPr>
            <w:tcW w:w="2268" w:type="dxa"/>
            <w:shd w:val="clear" w:color="auto" w:fill="DBDBDB" w:themeFill="accent3" w:themeFillTint="66"/>
          </w:tcPr>
          <w:p w14:paraId="7FAF013A" w14:textId="77777777" w:rsidR="0068307E" w:rsidRPr="006A010C" w:rsidRDefault="48ECE0BD" w:rsidP="0087236C">
            <w:pPr>
              <w:spacing w:line="276" w:lineRule="auto"/>
              <w:rPr>
                <w:rFonts w:eastAsia="ITC Avant Garde" w:cs="ITC Avant Garde"/>
                <w:b/>
                <w:bCs/>
              </w:rPr>
            </w:pPr>
            <w:r w:rsidRPr="006A010C">
              <w:rPr>
                <w:rFonts w:eastAsia="ITC Avant Garde" w:cs="ITC Avant Garde"/>
                <w:b/>
                <w:bCs/>
              </w:rPr>
              <w:t>Fecha de inicio de la consulta pública:</w:t>
            </w:r>
          </w:p>
        </w:tc>
        <w:tc>
          <w:tcPr>
            <w:tcW w:w="2879" w:type="dxa"/>
            <w:shd w:val="clear" w:color="auto" w:fill="DBDBDB" w:themeFill="accent3" w:themeFillTint="66"/>
          </w:tcPr>
          <w:p w14:paraId="77CF0940" w14:textId="77777777" w:rsidR="0068307E" w:rsidRPr="006A010C" w:rsidRDefault="00762CA1" w:rsidP="0008427E">
            <w:pPr>
              <w:spacing w:line="276" w:lineRule="auto"/>
              <w:jc w:val="center"/>
              <w:rPr>
                <w:rFonts w:eastAsia="ITC Avant Garde" w:cs="ITC Avant Garde"/>
              </w:rPr>
            </w:pPr>
            <w:r>
              <w:rPr>
                <w:rFonts w:eastAsia="ITC Avant Garde" w:cs="ITC Avant Garde"/>
              </w:rPr>
              <w:t>13/12/2016</w:t>
            </w:r>
          </w:p>
        </w:tc>
      </w:tr>
      <w:tr w:rsidR="0068307E" w:rsidRPr="006A010C" w14:paraId="60AA2105" w14:textId="77777777" w:rsidTr="0087236C">
        <w:tc>
          <w:tcPr>
            <w:tcW w:w="3681" w:type="dxa"/>
            <w:vMerge/>
            <w:shd w:val="clear" w:color="auto" w:fill="DBDBDB" w:themeFill="accent3" w:themeFillTint="66"/>
            <w:vAlign w:val="center"/>
          </w:tcPr>
          <w:p w14:paraId="6CBCB93C" w14:textId="77777777" w:rsidR="0068307E" w:rsidRPr="006A010C" w:rsidRDefault="0068307E" w:rsidP="004A24C7">
            <w:pPr>
              <w:spacing w:line="276" w:lineRule="auto"/>
              <w:jc w:val="center"/>
            </w:pPr>
          </w:p>
        </w:tc>
        <w:tc>
          <w:tcPr>
            <w:tcW w:w="2268" w:type="dxa"/>
            <w:shd w:val="clear" w:color="auto" w:fill="DBDBDB" w:themeFill="accent3" w:themeFillTint="66"/>
          </w:tcPr>
          <w:p w14:paraId="1F1B1541" w14:textId="77777777" w:rsidR="0068307E" w:rsidRPr="006A010C" w:rsidRDefault="48ECE0BD" w:rsidP="0087236C">
            <w:pPr>
              <w:spacing w:line="276" w:lineRule="auto"/>
              <w:rPr>
                <w:rFonts w:eastAsia="ITC Avant Garde" w:cs="ITC Avant Garde"/>
                <w:b/>
                <w:bCs/>
              </w:rPr>
            </w:pPr>
            <w:r w:rsidRPr="006A010C">
              <w:rPr>
                <w:rFonts w:eastAsia="ITC Avant Garde" w:cs="ITC Avant Garde"/>
                <w:b/>
                <w:bCs/>
              </w:rPr>
              <w:t>Fecha de conclusión de la consulta pública:</w:t>
            </w:r>
          </w:p>
        </w:tc>
        <w:tc>
          <w:tcPr>
            <w:tcW w:w="2879" w:type="dxa"/>
            <w:shd w:val="clear" w:color="auto" w:fill="DBDBDB" w:themeFill="accent3" w:themeFillTint="66"/>
          </w:tcPr>
          <w:p w14:paraId="6D0B2C29" w14:textId="77777777" w:rsidR="0068307E" w:rsidRPr="006A010C" w:rsidRDefault="00762CA1" w:rsidP="0008427E">
            <w:pPr>
              <w:spacing w:line="276" w:lineRule="auto"/>
              <w:jc w:val="center"/>
              <w:rPr>
                <w:rFonts w:eastAsia="ITC Avant Garde" w:cs="ITC Avant Garde"/>
              </w:rPr>
            </w:pPr>
            <w:r>
              <w:rPr>
                <w:rFonts w:eastAsia="ITC Avant Garde" w:cs="ITC Avant Garde"/>
              </w:rPr>
              <w:t>24/03/2017</w:t>
            </w:r>
          </w:p>
        </w:tc>
      </w:tr>
    </w:tbl>
    <w:p w14:paraId="79C1AE08" w14:textId="77777777" w:rsidR="00501ADF" w:rsidRPr="006A010C" w:rsidRDefault="00501ADF" w:rsidP="00F62E5F">
      <w:pPr>
        <w:spacing w:line="276" w:lineRule="auto"/>
        <w:jc w:val="both"/>
      </w:pPr>
    </w:p>
    <w:p w14:paraId="163E545B" w14:textId="77777777" w:rsidR="001932FC" w:rsidRPr="00F33B67" w:rsidRDefault="48ECE0BD" w:rsidP="0087236C">
      <w:pPr>
        <w:pStyle w:val="Ttulo1"/>
      </w:pPr>
      <w:r w:rsidRPr="00F33B67">
        <w:t>I. DEFINICIÓN DEL PROBLEMA Y OBJETIVOS GENERALES DE LA REGULACIÓN.</w:t>
      </w:r>
    </w:p>
    <w:tbl>
      <w:tblPr>
        <w:tblStyle w:val="Tablaconcuadrcula"/>
        <w:tblW w:w="0" w:type="dxa"/>
        <w:shd w:val="clear" w:color="auto" w:fill="FFFFFF" w:themeFill="background1"/>
        <w:tblLook w:val="04A0" w:firstRow="1" w:lastRow="0" w:firstColumn="1" w:lastColumn="0" w:noHBand="0" w:noVBand="1"/>
      </w:tblPr>
      <w:tblGrid>
        <w:gridCol w:w="8828"/>
      </w:tblGrid>
      <w:tr w:rsidR="001932FC" w:rsidRPr="006A010C" w14:paraId="4D1DB8B2" w14:textId="77777777" w:rsidTr="00DC27CC">
        <w:tc>
          <w:tcPr>
            <w:tcW w:w="8828" w:type="dxa"/>
            <w:shd w:val="clear" w:color="auto" w:fill="auto"/>
          </w:tcPr>
          <w:p w14:paraId="7036ECD0" w14:textId="71FB5B99" w:rsidR="001932FC" w:rsidRPr="006A010C" w:rsidRDefault="48ECE0BD" w:rsidP="00DC27CC">
            <w:pPr>
              <w:spacing w:line="276" w:lineRule="auto"/>
              <w:jc w:val="both"/>
              <w:rPr>
                <w:rFonts w:eastAsia="ITC Avant Garde" w:cs="ITC Avant Garde"/>
                <w:b/>
                <w:bCs/>
              </w:rPr>
            </w:pPr>
            <w:r w:rsidRPr="006A010C">
              <w:rPr>
                <w:rFonts w:eastAsia="ITC Avant Garde" w:cs="ITC Avant Garde"/>
                <w:b/>
                <w:bCs/>
              </w:rPr>
              <w:t xml:space="preserve">1.- Describa los objetivos generales del </w:t>
            </w:r>
            <w:r w:rsidR="007E2E1A">
              <w:rPr>
                <w:rFonts w:eastAsia="ITC Avant Garde" w:cs="ITC Avant Garde"/>
                <w:b/>
                <w:bCs/>
              </w:rPr>
              <w:t>A</w:t>
            </w:r>
            <w:r w:rsidRPr="006A010C">
              <w:rPr>
                <w:rFonts w:eastAsia="ITC Avant Garde" w:cs="ITC Avant Garde"/>
                <w:b/>
                <w:bCs/>
              </w:rPr>
              <w:t>nteproyecto de regulación propuesto:</w:t>
            </w:r>
          </w:p>
          <w:p w14:paraId="0627EBE4" w14:textId="77777777" w:rsidR="004331D9" w:rsidRDefault="004331D9" w:rsidP="00DC27CC">
            <w:pPr>
              <w:spacing w:line="276" w:lineRule="auto"/>
              <w:jc w:val="both"/>
              <w:rPr>
                <w:rFonts w:eastAsia="ITC Avant Garde" w:cs="ITC Avant Garde"/>
              </w:rPr>
            </w:pPr>
          </w:p>
          <w:p w14:paraId="449134E9" w14:textId="28EF4B72" w:rsidR="00B32CEF" w:rsidRPr="007948E7" w:rsidRDefault="001518BD" w:rsidP="00E73C5F">
            <w:pPr>
              <w:spacing w:line="276" w:lineRule="auto"/>
              <w:jc w:val="both"/>
            </w:pPr>
            <w:r>
              <w:t>El</w:t>
            </w:r>
            <w:r w:rsidR="00B32CEF" w:rsidRPr="007948E7">
              <w:t xml:space="preserve"> </w:t>
            </w:r>
            <w:r w:rsidR="00514948">
              <w:t xml:space="preserve">objeto del </w:t>
            </w:r>
            <w:r w:rsidR="00B32CEF" w:rsidRPr="007948E7">
              <w:t xml:space="preserve">presente </w:t>
            </w:r>
            <w:r>
              <w:t xml:space="preserve">Anteproyecto de </w:t>
            </w:r>
            <w:r w:rsidR="00B32CEF" w:rsidRPr="007948E7">
              <w:t xml:space="preserve">Disposición Técnica </w:t>
            </w:r>
            <w:r>
              <w:t xml:space="preserve">(en </w:t>
            </w:r>
            <w:r w:rsidR="00EC11A3">
              <w:t>lo sucesivo</w:t>
            </w:r>
            <w:r>
              <w:t xml:space="preserve">, el “Anteproyecto”) </w:t>
            </w:r>
            <w:r w:rsidR="00514948">
              <w:t>es</w:t>
            </w:r>
            <w:r>
              <w:t xml:space="preserve"> </w:t>
            </w:r>
            <w:r w:rsidR="00B32CEF" w:rsidRPr="007948E7">
              <w:t>establece</w:t>
            </w:r>
            <w:r>
              <w:t>r</w:t>
            </w:r>
            <w:r w:rsidR="00B32CEF" w:rsidRPr="007948E7">
              <w:t xml:space="preserve"> las especificaciones técnicas para el cumplimiento de los límites máximos </w:t>
            </w:r>
            <w:r w:rsidR="006E2118">
              <w:t>para seres humanos a</w:t>
            </w:r>
            <w:r w:rsidR="00B32CEF" w:rsidRPr="007948E7">
              <w:t xml:space="preserve"> </w:t>
            </w:r>
            <w:r w:rsidR="00C459BB" w:rsidRPr="00C459BB">
              <w:t xml:space="preserve">radiaciones electromagnéticas de radiofrecuencia no ionizantes </w:t>
            </w:r>
            <w:r w:rsidR="00B32CEF" w:rsidRPr="007948E7">
              <w:t>de los productos, equipos, dispositivos o aparatos destinados a telecomunicaciones que pueden ser conectados a una red de telecomunicaciones o hacer uso del espectro radioeléctrico, medidos en la proximidad del cuerpo humano, mediante el índice de absorción específica (</w:t>
            </w:r>
            <w:r w:rsidR="005E61F3">
              <w:t>en adelante, “</w:t>
            </w:r>
            <w:r w:rsidR="00B32CEF" w:rsidRPr="007948E7">
              <w:t>SAR</w:t>
            </w:r>
            <w:r w:rsidR="005E61F3">
              <w:t>”</w:t>
            </w:r>
            <w:r w:rsidR="00B32CEF" w:rsidRPr="007948E7">
              <w:t>) en el intervalo de 30 MHz a 6 GHz.</w:t>
            </w:r>
            <w:r w:rsidR="00514948">
              <w:t xml:space="preserve"> Lo anterior a efectos de </w:t>
            </w:r>
            <w:r w:rsidR="00B32CEF" w:rsidRPr="007948E7">
              <w:t>garantizar que:</w:t>
            </w:r>
          </w:p>
          <w:p w14:paraId="11A7B97F" w14:textId="77777777" w:rsidR="00B32CEF" w:rsidRPr="007948E7" w:rsidRDefault="00B32CEF" w:rsidP="0087236C">
            <w:pPr>
              <w:spacing w:line="276" w:lineRule="auto"/>
              <w:ind w:left="567" w:hanging="567"/>
              <w:jc w:val="both"/>
            </w:pPr>
          </w:p>
          <w:p w14:paraId="6A83F15C" w14:textId="06B0071A" w:rsidR="00B32CEF" w:rsidRPr="00290A6D" w:rsidRDefault="00B32CEF" w:rsidP="00C459BB">
            <w:pPr>
              <w:pStyle w:val="Prrafodelista"/>
              <w:numPr>
                <w:ilvl w:val="0"/>
                <w:numId w:val="2"/>
              </w:numPr>
              <w:spacing w:line="276" w:lineRule="auto"/>
              <w:jc w:val="both"/>
            </w:pPr>
            <w:r w:rsidRPr="007948E7">
              <w:t xml:space="preserve">Los productos, equipos, dispositivos o aparatos destinados a telecomunicaciones que pueden ser conectados a una red de telecomunicaciones o hacer uso del espectro radioeléctrico, </w:t>
            </w:r>
            <w:r w:rsidRPr="00290A6D">
              <w:t xml:space="preserve">que se </w:t>
            </w:r>
            <w:r w:rsidRPr="00290A6D">
              <w:lastRenderedPageBreak/>
              <w:t xml:space="preserve">utilicen cerca de la cabeza, particularmente cerca del oído, cumplan con los límites básicos de exposición </w:t>
            </w:r>
            <w:r w:rsidR="006E2118" w:rsidRPr="00290A6D">
              <w:t>a</w:t>
            </w:r>
            <w:r w:rsidRPr="00290A6D">
              <w:t xml:space="preserve"> </w:t>
            </w:r>
            <w:r w:rsidR="00C459BB" w:rsidRPr="00290A6D">
              <w:t xml:space="preserve">radiaciones electromagnéticas de radiofrecuencia no ionizantes </w:t>
            </w:r>
            <w:r w:rsidRPr="00290A6D">
              <w:t>en el</w:t>
            </w:r>
            <w:r w:rsidR="00495058" w:rsidRPr="00290A6D">
              <w:t xml:space="preserve"> intervalo de frecuencias de 30</w:t>
            </w:r>
            <w:r w:rsidR="00D0184E" w:rsidRPr="00290A6D">
              <w:t>0</w:t>
            </w:r>
            <w:r w:rsidRPr="00290A6D">
              <w:t xml:space="preserve"> MHz a 6 GHz;</w:t>
            </w:r>
          </w:p>
          <w:p w14:paraId="62CF4769" w14:textId="5309BA19" w:rsidR="00B32CEF" w:rsidRPr="00630C99" w:rsidRDefault="00B32CEF" w:rsidP="00C459BB">
            <w:pPr>
              <w:pStyle w:val="Prrafodelista"/>
              <w:numPr>
                <w:ilvl w:val="0"/>
                <w:numId w:val="2"/>
              </w:numPr>
              <w:spacing w:line="276" w:lineRule="auto"/>
              <w:jc w:val="both"/>
              <w:rPr>
                <w:rFonts w:eastAsia="ITC Avant Garde" w:cs="ITC Avant Garde"/>
              </w:rPr>
            </w:pPr>
            <w:r w:rsidRPr="00290A6D">
              <w:t xml:space="preserve">Los productos, equipos, dispositivos o aparatos destinados a telecomunicaciones que pueden ser conectados a una red de telecomunicaciones o hacer uso del espectro radioeléctrico, que se utilicen a una distancia menor o igual a 200 mm del cuerpo humano, cumplan con los límites básicos de exposición de </w:t>
            </w:r>
            <w:r w:rsidR="00C459BB" w:rsidRPr="00290A6D">
              <w:t xml:space="preserve">radiaciones electromagnéticas de radiofrecuencia no ionizantes </w:t>
            </w:r>
            <w:r w:rsidRPr="00290A6D">
              <w:t>en el intervalo d</w:t>
            </w:r>
            <w:r w:rsidRPr="00630C99">
              <w:t>e frecuencias 30 MHz a 6 GHz.</w:t>
            </w:r>
          </w:p>
          <w:p w14:paraId="44F3840D" w14:textId="77777777" w:rsidR="00583DE6" w:rsidRPr="0087236C" w:rsidRDefault="00583DE6" w:rsidP="0087236C">
            <w:pPr>
              <w:spacing w:line="276" w:lineRule="auto"/>
              <w:jc w:val="both"/>
              <w:rPr>
                <w:rFonts w:eastAsia="ITC Avant Garde" w:cs="ITC Avant Garde"/>
              </w:rPr>
            </w:pPr>
          </w:p>
        </w:tc>
      </w:tr>
    </w:tbl>
    <w:p w14:paraId="08435391" w14:textId="77777777" w:rsidR="001932FC" w:rsidRPr="006A010C" w:rsidRDefault="001932FC" w:rsidP="00E0436C">
      <w:pPr>
        <w:spacing w:line="276" w:lineRule="auto"/>
        <w:jc w:val="both"/>
      </w:pPr>
    </w:p>
    <w:tbl>
      <w:tblPr>
        <w:tblStyle w:val="Tablaconcuadrcula"/>
        <w:tblW w:w="0" w:type="dxa"/>
        <w:shd w:val="clear" w:color="auto" w:fill="FFFFFF" w:themeFill="background1"/>
        <w:tblLook w:val="04A0" w:firstRow="1" w:lastRow="0" w:firstColumn="1" w:lastColumn="0" w:noHBand="0" w:noVBand="1"/>
      </w:tblPr>
      <w:tblGrid>
        <w:gridCol w:w="8828"/>
      </w:tblGrid>
      <w:tr w:rsidR="001932FC" w:rsidRPr="006A010C" w14:paraId="42133CBE" w14:textId="77777777" w:rsidTr="00DC27CC">
        <w:tc>
          <w:tcPr>
            <w:tcW w:w="8828" w:type="dxa"/>
            <w:shd w:val="clear" w:color="auto" w:fill="auto"/>
          </w:tcPr>
          <w:p w14:paraId="19E99F6B" w14:textId="09AD6108" w:rsidR="001932FC" w:rsidRPr="006A010C" w:rsidRDefault="48ECE0BD" w:rsidP="00E0436C">
            <w:pPr>
              <w:spacing w:line="276" w:lineRule="auto"/>
              <w:jc w:val="both"/>
              <w:rPr>
                <w:rFonts w:eastAsia="ITC Avant Garde" w:cs="ITC Avant Garde"/>
                <w:b/>
                <w:bCs/>
              </w:rPr>
            </w:pPr>
            <w:r w:rsidRPr="006A010C">
              <w:rPr>
                <w:rFonts w:eastAsia="ITC Avant Garde" w:cs="ITC Avant Garde"/>
                <w:b/>
                <w:bCs/>
              </w:rPr>
              <w:t xml:space="preserve">2.- Describa la problemática o situación que da origen al </w:t>
            </w:r>
            <w:r w:rsidR="007E2E1A">
              <w:rPr>
                <w:rFonts w:eastAsia="ITC Avant Garde" w:cs="ITC Avant Garde"/>
                <w:b/>
                <w:bCs/>
              </w:rPr>
              <w:t>A</w:t>
            </w:r>
            <w:r w:rsidRPr="006A010C">
              <w:rPr>
                <w:rFonts w:eastAsia="ITC Avant Garde" w:cs="ITC Avant Garde"/>
                <w:b/>
                <w:bCs/>
              </w:rPr>
              <w:t>nteproyecto de regulación:</w:t>
            </w:r>
          </w:p>
          <w:p w14:paraId="32959920" w14:textId="77777777" w:rsidR="001932FC" w:rsidRDefault="001932FC" w:rsidP="00E0436C">
            <w:pPr>
              <w:spacing w:line="276" w:lineRule="auto"/>
              <w:jc w:val="both"/>
              <w:rPr>
                <w:rFonts w:eastAsia="ITC Avant Garde" w:cs="ITC Avant Garde"/>
              </w:rPr>
            </w:pPr>
          </w:p>
          <w:p w14:paraId="30201E84" w14:textId="41E3CEA3" w:rsidR="00BA4016" w:rsidRDefault="001518BD" w:rsidP="00244662">
            <w:pPr>
              <w:spacing w:line="276" w:lineRule="auto"/>
              <w:jc w:val="both"/>
              <w:rPr>
                <w:rFonts w:eastAsia="ITC Avant Garde" w:cs="ITC Avant Garde"/>
              </w:rPr>
            </w:pPr>
            <w:r w:rsidRPr="001518BD">
              <w:rPr>
                <w:rFonts w:eastAsia="ITC Avant Garde" w:cs="ITC Avant Garde"/>
              </w:rPr>
              <w:t xml:space="preserve">El Anteproyecto </w:t>
            </w:r>
            <w:r w:rsidR="00BA4016">
              <w:rPr>
                <w:rFonts w:eastAsia="ITC Avant Garde" w:cs="ITC Avant Garde"/>
              </w:rPr>
              <w:t xml:space="preserve">de mérito </w:t>
            </w:r>
            <w:r w:rsidR="005E61F3">
              <w:rPr>
                <w:rFonts w:eastAsia="ITC Avant Garde" w:cs="ITC Avant Garde"/>
              </w:rPr>
              <w:t xml:space="preserve">responde a la necesidad de </w:t>
            </w:r>
            <w:r w:rsidR="00514948">
              <w:rPr>
                <w:rFonts w:eastAsia="ITC Avant Garde" w:cs="ITC Avant Garde"/>
              </w:rPr>
              <w:t xml:space="preserve">que los </w:t>
            </w:r>
            <w:r w:rsidR="00514948" w:rsidRPr="00514948">
              <w:rPr>
                <w:rFonts w:eastAsia="ITC Avant Garde" w:cs="ITC Avant Garde"/>
              </w:rPr>
              <w:t xml:space="preserve">productos, equipos, dispositivos o aparatos </w:t>
            </w:r>
            <w:r w:rsidR="00BA4016" w:rsidRPr="00BA4016">
              <w:rPr>
                <w:rFonts w:eastAsia="ITC Avant Garde" w:cs="ITC Avant Garde"/>
              </w:rPr>
              <w:t>que pueden ser conectados a una red de telecomunicaciones o hacer uso del espectro radioeléctrico</w:t>
            </w:r>
            <w:r w:rsidR="00BA4016">
              <w:rPr>
                <w:rFonts w:eastAsia="ITC Avant Garde" w:cs="ITC Avant Garde"/>
              </w:rPr>
              <w:t xml:space="preserve">, </w:t>
            </w:r>
            <w:r w:rsidR="00BA4016" w:rsidRPr="00BA4016">
              <w:rPr>
                <w:rFonts w:eastAsia="ITC Avant Garde" w:cs="ITC Avant Garde"/>
              </w:rPr>
              <w:t xml:space="preserve">que se utilicen particularmente cerca del oído </w:t>
            </w:r>
            <w:r w:rsidR="00BA4016">
              <w:rPr>
                <w:rFonts w:eastAsia="ITC Avant Garde" w:cs="ITC Avant Garde"/>
              </w:rPr>
              <w:t xml:space="preserve">y/o </w:t>
            </w:r>
            <w:r w:rsidR="00BA4016" w:rsidRPr="00BA4016">
              <w:rPr>
                <w:rFonts w:eastAsia="ITC Avant Garde" w:cs="ITC Avant Garde"/>
              </w:rPr>
              <w:t>que se utilicen a una distancia menor o igual a 200 mm del cuerpo humano</w:t>
            </w:r>
            <w:r w:rsidR="00BA4016">
              <w:rPr>
                <w:rFonts w:eastAsia="ITC Avant Garde" w:cs="ITC Avant Garde"/>
              </w:rPr>
              <w:t>,</w:t>
            </w:r>
            <w:r w:rsidR="00BA4016" w:rsidRPr="00BA4016">
              <w:rPr>
                <w:rFonts w:eastAsia="ITC Avant Garde" w:cs="ITC Avant Garde"/>
              </w:rPr>
              <w:t xml:space="preserve"> </w:t>
            </w:r>
            <w:r w:rsidR="00514948">
              <w:rPr>
                <w:rFonts w:eastAsia="ITC Avant Garde" w:cs="ITC Avant Garde"/>
              </w:rPr>
              <w:t>cumplan con los límites</w:t>
            </w:r>
            <w:r w:rsidR="005E61F3">
              <w:rPr>
                <w:rFonts w:eastAsia="ITC Avant Garde" w:cs="ITC Avant Garde"/>
              </w:rPr>
              <w:t xml:space="preserve"> </w:t>
            </w:r>
            <w:r w:rsidR="00EC11A3">
              <w:rPr>
                <w:rFonts w:eastAsia="ITC Avant Garde" w:cs="ITC Avant Garde"/>
              </w:rPr>
              <w:t>de exposici</w:t>
            </w:r>
            <w:r w:rsidR="00D84995">
              <w:rPr>
                <w:rFonts w:eastAsia="ITC Avant Garde" w:cs="ITC Avant Garde"/>
              </w:rPr>
              <w:t>ón</w:t>
            </w:r>
            <w:r w:rsidR="00EC11A3">
              <w:rPr>
                <w:rFonts w:eastAsia="ITC Avant Garde" w:cs="ITC Avant Garde"/>
              </w:rPr>
              <w:t xml:space="preserve"> máxima para seres humanos a radiaciones electromagnéticas de radiofrecuencia no ionizantes</w:t>
            </w:r>
            <w:r w:rsidR="00EC11A3" w:rsidRPr="000775FE">
              <w:rPr>
                <w:rFonts w:eastAsia="ITC Avant Garde" w:cs="ITC Avant Garde"/>
              </w:rPr>
              <w:t xml:space="preserve">, </w:t>
            </w:r>
            <w:r w:rsidR="00514948">
              <w:rPr>
                <w:rFonts w:eastAsia="ITC Avant Garde" w:cs="ITC Avant Garde"/>
              </w:rPr>
              <w:t>establecidos por el Instituto</w:t>
            </w:r>
            <w:r w:rsidR="00BA4016">
              <w:rPr>
                <w:rFonts w:eastAsia="ITC Avant Garde" w:cs="ITC Avant Garde"/>
              </w:rPr>
              <w:t>. Lo anterior,</w:t>
            </w:r>
            <w:r w:rsidR="00514948">
              <w:rPr>
                <w:rFonts w:eastAsia="ITC Avant Garde" w:cs="ITC Avant Garde"/>
              </w:rPr>
              <w:t xml:space="preserve"> conforme a lo mandatado en el artículo 65 de la Ley F</w:t>
            </w:r>
            <w:r w:rsidR="00EC11A3">
              <w:rPr>
                <w:rFonts w:eastAsia="ITC Avant Garde" w:cs="ITC Avant Garde"/>
              </w:rPr>
              <w:t>ederal de Telecomunicaciones y R</w:t>
            </w:r>
            <w:r w:rsidR="00514948">
              <w:rPr>
                <w:rFonts w:eastAsia="ITC Avant Garde" w:cs="ITC Avant Garde"/>
              </w:rPr>
              <w:t>adiodifusión</w:t>
            </w:r>
            <w:r w:rsidR="008B119D">
              <w:rPr>
                <w:rFonts w:eastAsia="ITC Avant Garde" w:cs="ITC Avant Garde"/>
              </w:rPr>
              <w:t xml:space="preserve"> </w:t>
            </w:r>
            <w:r w:rsidR="00D84995">
              <w:rPr>
                <w:rFonts w:eastAsia="ITC Avant Garde" w:cs="ITC Avant Garde"/>
              </w:rPr>
              <w:t>(en lo sucesivo, LFTR)</w:t>
            </w:r>
            <w:r w:rsidR="006A19A2">
              <w:rPr>
                <w:rFonts w:eastAsia="ITC Avant Garde" w:cs="ITC Avant Garde"/>
              </w:rPr>
              <w:t xml:space="preserve">. </w:t>
            </w:r>
            <w:r w:rsidR="00C43D61">
              <w:rPr>
                <w:rFonts w:eastAsia="ITC Avant Garde" w:cs="ITC Avant Garde"/>
              </w:rPr>
              <w:t>Actualmente no existe normativa en México relativa a la evaluación de la conformidad respecto de dichos límites.</w:t>
            </w:r>
          </w:p>
          <w:p w14:paraId="5B3F8924" w14:textId="77777777" w:rsidR="008C6B8F" w:rsidRDefault="008C6B8F" w:rsidP="00244662">
            <w:pPr>
              <w:spacing w:line="276" w:lineRule="auto"/>
              <w:jc w:val="both"/>
              <w:rPr>
                <w:rFonts w:eastAsia="ITC Avant Garde" w:cs="ITC Avant Garde"/>
              </w:rPr>
            </w:pPr>
          </w:p>
          <w:p w14:paraId="2F7D0617" w14:textId="50FDDCF0" w:rsidR="00C04927" w:rsidRDefault="00C459BB" w:rsidP="00244662">
            <w:pPr>
              <w:spacing w:line="276" w:lineRule="auto"/>
              <w:jc w:val="both"/>
              <w:rPr>
                <w:rFonts w:eastAsia="ITC Avant Garde" w:cs="ITC Avant Garde"/>
              </w:rPr>
            </w:pPr>
            <w:r>
              <w:rPr>
                <w:rFonts w:eastAsia="ITC Avant Garde" w:cs="ITC Avant Garde"/>
              </w:rPr>
              <w:t>L</w:t>
            </w:r>
            <w:r w:rsidR="008C6B8F">
              <w:rPr>
                <w:rFonts w:eastAsia="ITC Avant Garde" w:cs="ITC Avant Garde"/>
              </w:rPr>
              <w:t xml:space="preserve">a evaluación de exposición a </w:t>
            </w:r>
            <w:r w:rsidR="00AD12C6">
              <w:rPr>
                <w:rFonts w:eastAsia="ITC Avant Garde" w:cs="ITC Avant Garde"/>
              </w:rPr>
              <w:t>radiaciones electromagnéticas de radiofrecuencia no ionizantes</w:t>
            </w:r>
            <w:r w:rsidR="00AD12C6" w:rsidRPr="000775FE">
              <w:rPr>
                <w:rFonts w:eastAsia="ITC Avant Garde" w:cs="ITC Avant Garde"/>
              </w:rPr>
              <w:t>,</w:t>
            </w:r>
            <w:r w:rsidR="006223BE">
              <w:rPr>
                <w:rFonts w:eastAsia="ITC Avant Garde" w:cs="ITC Avant Garde"/>
              </w:rPr>
              <w:t xml:space="preserve"> </w:t>
            </w:r>
            <w:r w:rsidRPr="00C459BB">
              <w:rPr>
                <w:rFonts w:eastAsia="ITC Avant Garde" w:cs="ITC Avant Garde"/>
              </w:rPr>
              <w:t xml:space="preserve">se realiza </w:t>
            </w:r>
            <w:r w:rsidR="008B119D">
              <w:rPr>
                <w:rFonts w:eastAsia="ITC Avant Garde" w:cs="ITC Avant Garde"/>
              </w:rPr>
              <w:t>mediante</w:t>
            </w:r>
            <w:r w:rsidRPr="00C459BB">
              <w:rPr>
                <w:rFonts w:eastAsia="ITC Avant Garde" w:cs="ITC Avant Garde"/>
              </w:rPr>
              <w:t xml:space="preserve"> </w:t>
            </w:r>
            <w:r w:rsidR="008C6B8F">
              <w:rPr>
                <w:rFonts w:eastAsia="ITC Avant Garde" w:cs="ITC Avant Garde"/>
              </w:rPr>
              <w:t>la medición del Índice de Absorción Específica (</w:t>
            </w:r>
            <w:r w:rsidR="008C6B8F" w:rsidRPr="008C6B8F">
              <w:rPr>
                <w:rFonts w:eastAsia="ITC Avant Garde" w:cs="ITC Avant Garde"/>
                <w:i/>
              </w:rPr>
              <w:t>Specific Absorption Rate</w:t>
            </w:r>
            <w:r w:rsidR="008C6B8F">
              <w:rPr>
                <w:rFonts w:eastAsia="ITC Avant Garde" w:cs="ITC Avant Garde"/>
              </w:rPr>
              <w:t>, “SAR” por sus siglas en inglés)</w:t>
            </w:r>
            <w:r w:rsidR="008B119D">
              <w:rPr>
                <w:rFonts w:eastAsia="ITC Avant Garde" w:cs="ITC Avant Garde"/>
              </w:rPr>
              <w:t xml:space="preserve"> en el rango de 100 kHz a 100 GHz. </w:t>
            </w:r>
            <w:r w:rsidR="00665784" w:rsidRPr="00665784">
              <w:rPr>
                <w:rFonts w:eastAsia="ITC Avant Garde" w:cs="ITC Avant Garde"/>
              </w:rPr>
              <w:t xml:space="preserve">El SAR </w:t>
            </w:r>
            <w:r w:rsidR="00F44E36">
              <w:rPr>
                <w:rFonts w:eastAsia="ITC Avant Garde" w:cs="ITC Avant Garde"/>
              </w:rPr>
              <w:t xml:space="preserve">indica </w:t>
            </w:r>
            <w:r w:rsidR="00665784" w:rsidRPr="00665784">
              <w:rPr>
                <w:rFonts w:eastAsia="ITC Avant Garde" w:cs="ITC Avant Garde"/>
              </w:rPr>
              <w:t xml:space="preserve">la </w:t>
            </w:r>
            <w:r w:rsidR="00F44E36">
              <w:rPr>
                <w:rFonts w:eastAsia="ITC Avant Garde" w:cs="ITC Avant Garde"/>
              </w:rPr>
              <w:t xml:space="preserve">cantidad de </w:t>
            </w:r>
            <w:r w:rsidR="00665784" w:rsidRPr="00665784">
              <w:rPr>
                <w:rFonts w:eastAsia="ITC Avant Garde" w:cs="ITC Avant Garde"/>
              </w:rPr>
              <w:t xml:space="preserve">energía electromagnética </w:t>
            </w:r>
            <w:r w:rsidR="00F44E36">
              <w:rPr>
                <w:rFonts w:eastAsia="ITC Avant Garde" w:cs="ITC Avant Garde"/>
              </w:rPr>
              <w:t>que es</w:t>
            </w:r>
            <w:r w:rsidR="00665784" w:rsidRPr="00665784">
              <w:rPr>
                <w:rFonts w:eastAsia="ITC Avant Garde" w:cs="ITC Avant Garde"/>
              </w:rPr>
              <w:t xml:space="preserve"> absorb</w:t>
            </w:r>
            <w:r w:rsidR="00F44E36">
              <w:rPr>
                <w:rFonts w:eastAsia="ITC Avant Garde" w:cs="ITC Avant Garde"/>
              </w:rPr>
              <w:t>ida por</w:t>
            </w:r>
            <w:r w:rsidR="00665784" w:rsidRPr="00665784">
              <w:rPr>
                <w:rFonts w:eastAsia="ITC Avant Garde" w:cs="ITC Avant Garde"/>
              </w:rPr>
              <w:t xml:space="preserve"> los tejidos del cuerpo </w:t>
            </w:r>
            <w:r w:rsidR="006223BE">
              <w:rPr>
                <w:rFonts w:eastAsia="ITC Avant Garde" w:cs="ITC Avant Garde"/>
              </w:rPr>
              <w:t>humano</w:t>
            </w:r>
            <w:r w:rsidR="008B119D">
              <w:rPr>
                <w:rFonts w:eastAsia="ITC Avant Garde" w:cs="ITC Avant Garde"/>
              </w:rPr>
              <w:t xml:space="preserve"> </w:t>
            </w:r>
            <w:r w:rsidR="00665784" w:rsidRPr="00665784">
              <w:rPr>
                <w:rFonts w:eastAsia="ITC Avant Garde" w:cs="ITC Avant Garde"/>
              </w:rPr>
              <w:t>en Watts por kilogramo [W/kg]</w:t>
            </w:r>
            <w:r>
              <w:rPr>
                <w:rStyle w:val="Refdenotaalpie"/>
                <w:rFonts w:eastAsia="ITC Avant Garde" w:cs="ITC Avant Garde"/>
              </w:rPr>
              <w:footnoteReference w:id="2"/>
            </w:r>
            <w:r w:rsidR="008B119D">
              <w:rPr>
                <w:rFonts w:eastAsia="ITC Avant Garde" w:cs="ITC Avant Garde"/>
              </w:rPr>
              <w:t>. El límite máximo recomendado por</w:t>
            </w:r>
            <w:r>
              <w:rPr>
                <w:rFonts w:eastAsia="ITC Avant Garde" w:cs="ITC Avant Garde"/>
              </w:rPr>
              <w:t xml:space="preserve"> la </w:t>
            </w:r>
            <w:r w:rsidRPr="00E32395">
              <w:rPr>
                <w:rFonts w:eastAsia="ITC Avant Garde" w:cs="ITC Avant Garde"/>
              </w:rPr>
              <w:t>Comisión Internacional de Protección contra las Radiaciones No Ionizantes (</w:t>
            </w:r>
            <w:r>
              <w:rPr>
                <w:rFonts w:eastAsia="ITC Avant Garde" w:cs="ITC Avant Garde"/>
              </w:rPr>
              <w:t xml:space="preserve">en lo sucesivo, </w:t>
            </w:r>
            <w:r>
              <w:rPr>
                <w:rFonts w:eastAsia="ITC Avant Garde" w:cs="ITC Avant Garde"/>
              </w:rPr>
              <w:lastRenderedPageBreak/>
              <w:t>“ICNIRP” por sus siglas en</w:t>
            </w:r>
            <w:r w:rsidRPr="00E32395">
              <w:rPr>
                <w:rFonts w:eastAsia="ITC Avant Garde" w:cs="ITC Avant Garde"/>
              </w:rPr>
              <w:t xml:space="preserve"> inglés)</w:t>
            </w:r>
            <w:r w:rsidR="00CE5C73">
              <w:rPr>
                <w:rFonts w:eastAsia="ITC Avant Garde" w:cs="ITC Avant Garde"/>
              </w:rPr>
              <w:t>,</w:t>
            </w:r>
            <w:r w:rsidR="008B119D">
              <w:rPr>
                <w:rFonts w:eastAsia="ITC Avant Garde" w:cs="ITC Avant Garde"/>
              </w:rPr>
              <w:t xml:space="preserve"> </w:t>
            </w:r>
            <w:r w:rsidR="00CE5C73" w:rsidRPr="00CE5C73">
              <w:rPr>
                <w:rFonts w:eastAsia="ITC Avant Garde" w:cs="ITC Avant Garde"/>
              </w:rPr>
              <w:t>organización científica independiente no gubernamental  y reconocida por la O</w:t>
            </w:r>
            <w:r w:rsidR="00CE5C73">
              <w:rPr>
                <w:rFonts w:eastAsia="ITC Avant Garde" w:cs="ITC Avant Garde"/>
              </w:rPr>
              <w:t xml:space="preserve">rganización Mundial de la Salud, </w:t>
            </w:r>
            <w:r w:rsidR="008B119D">
              <w:rPr>
                <w:rFonts w:eastAsia="ITC Avant Garde" w:cs="ITC Avant Garde"/>
              </w:rPr>
              <w:t xml:space="preserve">es </w:t>
            </w:r>
            <w:r>
              <w:rPr>
                <w:rFonts w:eastAsia="ITC Avant Garde" w:cs="ITC Avant Garde"/>
              </w:rPr>
              <w:t>de 2</w:t>
            </w:r>
            <w:r w:rsidR="00FC7AF4">
              <w:rPr>
                <w:rFonts w:eastAsia="ITC Avant Garde" w:cs="ITC Avant Garde"/>
              </w:rPr>
              <w:t> </w:t>
            </w:r>
            <w:r>
              <w:rPr>
                <w:rFonts w:eastAsia="ITC Avant Garde" w:cs="ITC Avant Garde"/>
              </w:rPr>
              <w:t>W/kg</w:t>
            </w:r>
            <w:r w:rsidR="00E32395">
              <w:rPr>
                <w:rStyle w:val="Refdenotaalpie"/>
                <w:rFonts w:eastAsia="ITC Avant Garde" w:cs="ITC Avant Garde"/>
              </w:rPr>
              <w:footnoteReference w:id="3"/>
            </w:r>
            <w:r w:rsidR="00C5759B">
              <w:rPr>
                <w:rFonts w:eastAsia="ITC Avant Garde" w:cs="ITC Avant Garde"/>
              </w:rPr>
              <w:t xml:space="preserve">, límite considerado por el Instituto </w:t>
            </w:r>
            <w:r w:rsidR="00F21F97">
              <w:rPr>
                <w:rFonts w:eastAsia="ITC Avant Garde" w:cs="ITC Avant Garde"/>
              </w:rPr>
              <w:t>para el presente Anteproyecto</w:t>
            </w:r>
            <w:r w:rsidR="00C5759B">
              <w:rPr>
                <w:rFonts w:eastAsia="ITC Avant Garde" w:cs="ITC Avant Garde"/>
              </w:rPr>
              <w:t>.</w:t>
            </w:r>
          </w:p>
          <w:p w14:paraId="6A5F7C4A" w14:textId="77777777" w:rsidR="006223BE" w:rsidRDefault="006223BE" w:rsidP="00244662">
            <w:pPr>
              <w:spacing w:line="276" w:lineRule="auto"/>
              <w:jc w:val="both"/>
              <w:rPr>
                <w:rFonts w:eastAsia="ITC Avant Garde" w:cs="ITC Avant Garde"/>
              </w:rPr>
            </w:pPr>
          </w:p>
          <w:p w14:paraId="6C301E36" w14:textId="4550FC59" w:rsidR="006223BE" w:rsidRDefault="00C459BB" w:rsidP="00244662">
            <w:pPr>
              <w:spacing w:line="276" w:lineRule="auto"/>
              <w:jc w:val="both"/>
            </w:pPr>
            <w:r w:rsidRPr="00C459BB">
              <w:rPr>
                <w:rFonts w:eastAsia="ITC Avant Garde" w:cs="ITC Avant Garde"/>
              </w:rPr>
              <w:t xml:space="preserve">Debido a que el </w:t>
            </w:r>
            <w:r w:rsidR="006223BE">
              <w:rPr>
                <w:rFonts w:eastAsia="ITC Avant Garde" w:cs="ITC Avant Garde"/>
              </w:rPr>
              <w:t xml:space="preserve">valor del SAR </w:t>
            </w:r>
            <w:r w:rsidRPr="00C459BB">
              <w:rPr>
                <w:rFonts w:eastAsia="ITC Avant Garde" w:cs="ITC Avant Garde"/>
              </w:rPr>
              <w:t xml:space="preserve">no es uniforme y </w:t>
            </w:r>
            <w:r w:rsidR="00CE5C73" w:rsidRPr="00CE5C73">
              <w:rPr>
                <w:rFonts w:eastAsia="ITC Avant Garde" w:cs="ITC Avant Garde"/>
              </w:rPr>
              <w:t>varía</w:t>
            </w:r>
            <w:r w:rsidR="00CE5C73">
              <w:rPr>
                <w:rFonts w:eastAsia="ITC Avant Garde" w:cs="ITC Avant Garde"/>
              </w:rPr>
              <w:t xml:space="preserve"> conforme </w:t>
            </w:r>
            <w:r w:rsidRPr="00C459BB">
              <w:rPr>
                <w:rFonts w:eastAsia="ITC Avant Garde" w:cs="ITC Avant Garde"/>
              </w:rPr>
              <w:t xml:space="preserve">la forma y distancia de los tejidos expuestos a la fuente de </w:t>
            </w:r>
            <w:r w:rsidR="00AD12C6">
              <w:rPr>
                <w:rFonts w:eastAsia="ITC Avant Garde" w:cs="ITC Avant Garde"/>
              </w:rPr>
              <w:t>radiaciones electromagnéticas de radiofrecuencia no ionizantes</w:t>
            </w:r>
            <w:r w:rsidR="00AD12C6" w:rsidRPr="000775FE">
              <w:rPr>
                <w:rFonts w:eastAsia="ITC Avant Garde" w:cs="ITC Avant Garde"/>
              </w:rPr>
              <w:t>,</w:t>
            </w:r>
            <w:r w:rsidRPr="00C459BB">
              <w:rPr>
                <w:rFonts w:eastAsia="ITC Avant Garde" w:cs="ITC Avant Garde"/>
              </w:rPr>
              <w:t xml:space="preserve"> </w:t>
            </w:r>
            <w:r w:rsidR="00BA4016">
              <w:rPr>
                <w:rFonts w:eastAsia="ITC Avant Garde" w:cs="ITC Avant Garde"/>
              </w:rPr>
              <w:t>se considera necesario realizar</w:t>
            </w:r>
            <w:r w:rsidR="006223BE">
              <w:rPr>
                <w:rFonts w:eastAsia="ITC Avant Garde" w:cs="ITC Avant Garde"/>
              </w:rPr>
              <w:t xml:space="preserve"> </w:t>
            </w:r>
            <w:r w:rsidR="00BA4016">
              <w:rPr>
                <w:rFonts w:eastAsia="ITC Avant Garde" w:cs="ITC Avant Garde"/>
              </w:rPr>
              <w:t>métodos de prueba</w:t>
            </w:r>
            <w:r w:rsidR="006223BE">
              <w:rPr>
                <w:rFonts w:eastAsia="ITC Avant Garde" w:cs="ITC Avant Garde"/>
              </w:rPr>
              <w:t xml:space="preserve"> con cada fuente específica y en la posición de uso más habitual</w:t>
            </w:r>
            <w:r>
              <w:rPr>
                <w:rFonts w:eastAsia="ITC Avant Garde" w:cs="ITC Avant Garde"/>
              </w:rPr>
              <w:t xml:space="preserve"> </w:t>
            </w:r>
            <w:r w:rsidRPr="00C459BB">
              <w:rPr>
                <w:rFonts w:eastAsia="ITC Avant Garde" w:cs="ITC Avant Garde"/>
              </w:rPr>
              <w:t>(</w:t>
            </w:r>
            <w:r w:rsidR="00CE5C73">
              <w:rPr>
                <w:rFonts w:eastAsia="ITC Avant Garde" w:cs="ITC Avant Garde"/>
              </w:rPr>
              <w:t xml:space="preserve">ej. </w:t>
            </w:r>
            <w:r w:rsidRPr="00C459BB">
              <w:rPr>
                <w:rFonts w:eastAsia="ITC Avant Garde" w:cs="ITC Avant Garde"/>
              </w:rPr>
              <w:t xml:space="preserve">dispositivo cerca de la cabeza, particularmente cerca del oído </w:t>
            </w:r>
            <w:r w:rsidR="00CE5C73">
              <w:rPr>
                <w:rFonts w:eastAsia="ITC Avant Garde" w:cs="ITC Avant Garde"/>
              </w:rPr>
              <w:t>y/</w:t>
            </w:r>
            <w:r w:rsidRPr="00C459BB">
              <w:rPr>
                <w:rFonts w:eastAsia="ITC Avant Garde" w:cs="ITC Avant Garde"/>
              </w:rPr>
              <w:t>o a una distancia menor o igual a 200 mm del cuerpo humano)</w:t>
            </w:r>
            <w:r w:rsidR="006223BE">
              <w:rPr>
                <w:rFonts w:eastAsia="ITC Avant Garde" w:cs="ITC Avant Garde"/>
              </w:rPr>
              <w:t xml:space="preserve">. El valor </w:t>
            </w:r>
            <w:r w:rsidRPr="00C459BB">
              <w:rPr>
                <w:rFonts w:eastAsia="ITC Avant Garde" w:cs="ITC Avant Garde"/>
              </w:rPr>
              <w:t xml:space="preserve">resultante de estas mediciones </w:t>
            </w:r>
            <w:r w:rsidR="006223BE" w:rsidRPr="0080539F">
              <w:t>es el nivel máximo medido en la parte del cuerpo estudiada.</w:t>
            </w:r>
            <w:r w:rsidR="00A72048">
              <w:t xml:space="preserve"> </w:t>
            </w:r>
            <w:r>
              <w:t xml:space="preserve">Lo anterior en concordancia a las normas internaciones de la Comisión </w:t>
            </w:r>
            <w:r w:rsidR="00FC7AF4">
              <w:t xml:space="preserve">Electrotécnica </w:t>
            </w:r>
            <w:r>
              <w:t>Internacional (en adelante, “IEC” por sus siglas en inglés), en específico: IEC 62209-1:2016</w:t>
            </w:r>
            <w:r>
              <w:rPr>
                <w:rStyle w:val="Refdenotaalpie"/>
              </w:rPr>
              <w:footnoteReference w:id="4"/>
            </w:r>
            <w:r>
              <w:t xml:space="preserve"> e IEC 62209-2:2010</w:t>
            </w:r>
            <w:r>
              <w:rPr>
                <w:rStyle w:val="Refdenotaalpie"/>
              </w:rPr>
              <w:footnoteReference w:id="5"/>
            </w:r>
            <w:r w:rsidR="00CE5C73">
              <w:t>, en las cuales se basa el Anteproyecto de mérito.</w:t>
            </w:r>
          </w:p>
          <w:p w14:paraId="0D03FD13" w14:textId="77777777" w:rsidR="00665784" w:rsidRDefault="00665784" w:rsidP="00244662">
            <w:pPr>
              <w:spacing w:line="276" w:lineRule="auto"/>
              <w:jc w:val="both"/>
              <w:rPr>
                <w:rFonts w:eastAsia="ITC Avant Garde" w:cs="ITC Avant Garde"/>
              </w:rPr>
            </w:pPr>
          </w:p>
          <w:p w14:paraId="6D107454" w14:textId="77777777" w:rsidR="00244662" w:rsidRPr="00244662" w:rsidRDefault="00DF08ED" w:rsidP="00244662">
            <w:pPr>
              <w:spacing w:line="276" w:lineRule="auto"/>
              <w:jc w:val="both"/>
              <w:rPr>
                <w:rFonts w:eastAsia="ITC Avant Garde" w:cs="ITC Avant Garde"/>
              </w:rPr>
            </w:pPr>
            <w:r>
              <w:rPr>
                <w:rFonts w:eastAsia="ITC Avant Garde" w:cs="ITC Avant Garde"/>
              </w:rPr>
              <w:t xml:space="preserve">Por otro lado, </w:t>
            </w:r>
            <w:r w:rsidR="00244662" w:rsidRPr="00244662">
              <w:rPr>
                <w:rFonts w:eastAsia="ITC Avant Garde" w:cs="ITC Avant Garde"/>
              </w:rPr>
              <w:t xml:space="preserve">el artículo 54 de la </w:t>
            </w:r>
            <w:r w:rsidR="00D84995">
              <w:rPr>
                <w:rFonts w:eastAsia="ITC Avant Garde" w:cs="ITC Avant Garde"/>
              </w:rPr>
              <w:t>LFTR establece lo siguiente</w:t>
            </w:r>
            <w:r w:rsidR="00244662" w:rsidRPr="00244662">
              <w:rPr>
                <w:rFonts w:eastAsia="ITC Avant Garde" w:cs="ITC Avant Garde"/>
              </w:rPr>
              <w:t xml:space="preserve">: </w:t>
            </w:r>
          </w:p>
          <w:p w14:paraId="2B4B9DB9" w14:textId="77777777" w:rsidR="00244662" w:rsidRPr="00244662" w:rsidRDefault="00244662" w:rsidP="00244662">
            <w:pPr>
              <w:spacing w:line="276" w:lineRule="auto"/>
              <w:jc w:val="both"/>
              <w:rPr>
                <w:rFonts w:eastAsia="ITC Avant Garde" w:cs="ITC Avant Garde"/>
              </w:rPr>
            </w:pPr>
          </w:p>
          <w:p w14:paraId="0EEE8891" w14:textId="77777777" w:rsidR="00244662" w:rsidRPr="00244662" w:rsidRDefault="00244662" w:rsidP="00244662">
            <w:pPr>
              <w:spacing w:line="276" w:lineRule="auto"/>
              <w:ind w:left="708"/>
              <w:jc w:val="both"/>
              <w:rPr>
                <w:rFonts w:eastAsia="ITC Avant Garde" w:cs="ITC Avant Garde"/>
                <w:i/>
              </w:rPr>
            </w:pPr>
            <w:r w:rsidRPr="00244662">
              <w:rPr>
                <w:rFonts w:eastAsia="ITC Avant Garde" w:cs="ITC Avant Garde"/>
                <w:i/>
              </w:rPr>
              <w:t>“…El espectro radioeléctrico y los recursos orbitales son bienes del dominio público de la Nación, cuya titularidad y administración corresponde al Estado, dicha administración se ejercerá por el Instituto en el ejercicio de sus funciones según lo dispuesto por la Constitución, en la LFTR, en los tratados y acuerdos internacionales</w:t>
            </w:r>
            <w:r w:rsidR="00DF08ED">
              <w:rPr>
                <w:rFonts w:eastAsia="ITC Avant Garde" w:cs="ITC Avant Garde"/>
                <w:i/>
              </w:rPr>
              <w:t xml:space="preserve"> </w:t>
            </w:r>
            <w:r w:rsidRPr="00244662">
              <w:rPr>
                <w:rFonts w:eastAsia="ITC Avant Garde" w:cs="ITC Avant Garde"/>
                <w:i/>
              </w:rPr>
              <w:t>firmados por México, y en lo aplicable, siguiendo las recomendaciones</w:t>
            </w:r>
            <w:r w:rsidR="00DF08ED">
              <w:rPr>
                <w:rFonts w:eastAsia="ITC Avant Garde" w:cs="ITC Avant Garde"/>
                <w:i/>
              </w:rPr>
              <w:t xml:space="preserve"> </w:t>
            </w:r>
            <w:r w:rsidRPr="00244662">
              <w:rPr>
                <w:rFonts w:eastAsia="ITC Avant Garde" w:cs="ITC Avant Garde"/>
                <w:i/>
              </w:rPr>
              <w:t xml:space="preserve">de la Unión Internacional de Telecomunicaciones y otros organismos internacionales. </w:t>
            </w:r>
          </w:p>
          <w:p w14:paraId="6FF9EBA7" w14:textId="77777777" w:rsidR="00244662" w:rsidRPr="00244662" w:rsidRDefault="00244662" w:rsidP="00244662">
            <w:pPr>
              <w:spacing w:line="276" w:lineRule="auto"/>
              <w:ind w:left="708"/>
              <w:jc w:val="both"/>
              <w:rPr>
                <w:rFonts w:eastAsia="ITC Avant Garde" w:cs="ITC Avant Garde"/>
                <w:i/>
              </w:rPr>
            </w:pPr>
          </w:p>
          <w:p w14:paraId="61D262B9" w14:textId="77777777" w:rsidR="00244662" w:rsidRPr="00244662" w:rsidRDefault="00244662" w:rsidP="00244662">
            <w:pPr>
              <w:spacing w:line="276" w:lineRule="auto"/>
              <w:ind w:left="708"/>
              <w:jc w:val="both"/>
              <w:rPr>
                <w:rFonts w:eastAsia="ITC Avant Garde" w:cs="ITC Avant Garde"/>
                <w:i/>
              </w:rPr>
            </w:pPr>
            <w:r w:rsidRPr="00244662">
              <w:rPr>
                <w:rFonts w:eastAsia="ITC Avant Garde" w:cs="ITC Avant Garde"/>
                <w:i/>
              </w:rPr>
              <w:t xml:space="preserve">La Administración incluye la elaboración y aprobación de planes y programas de uso, el establecimiento de las condiciones para la atribución de una banda de frecuencias, el otorgamiento de las concesiones, </w:t>
            </w:r>
            <w:r w:rsidRPr="00A574B0">
              <w:rPr>
                <w:rFonts w:eastAsia="ITC Avant Garde" w:cs="ITC Avant Garde"/>
                <w:b/>
                <w:i/>
              </w:rPr>
              <w:t>la supervisión de las emisiones radioeléctricas</w:t>
            </w:r>
            <w:r w:rsidRPr="00244662">
              <w:rPr>
                <w:rFonts w:eastAsia="ITC Avant Garde" w:cs="ITC Avant Garde"/>
                <w:i/>
              </w:rPr>
              <w:t xml:space="preserve"> y la aplicación del régimen de sanciones, sin menoscabo</w:t>
            </w:r>
            <w:r w:rsidR="00DF08ED">
              <w:rPr>
                <w:rFonts w:eastAsia="ITC Avant Garde" w:cs="ITC Avant Garde"/>
                <w:i/>
              </w:rPr>
              <w:t xml:space="preserve"> </w:t>
            </w:r>
            <w:r w:rsidRPr="00244662">
              <w:rPr>
                <w:rFonts w:eastAsia="ITC Avant Garde" w:cs="ITC Avant Garde"/>
                <w:i/>
              </w:rPr>
              <w:t>de las atribuciones</w:t>
            </w:r>
            <w:r w:rsidR="00DF08ED">
              <w:rPr>
                <w:rFonts w:eastAsia="ITC Avant Garde" w:cs="ITC Avant Garde"/>
                <w:i/>
              </w:rPr>
              <w:t xml:space="preserve"> </w:t>
            </w:r>
            <w:r w:rsidRPr="00244662">
              <w:rPr>
                <w:rFonts w:eastAsia="ITC Avant Garde" w:cs="ITC Avant Garde"/>
                <w:i/>
              </w:rPr>
              <w:t>que correspondan al Ejecutivo Federal.</w:t>
            </w:r>
          </w:p>
          <w:p w14:paraId="5F223330" w14:textId="77777777" w:rsidR="00244662" w:rsidRPr="00244662" w:rsidRDefault="00244662" w:rsidP="00244662">
            <w:pPr>
              <w:spacing w:line="276" w:lineRule="auto"/>
              <w:ind w:left="708"/>
              <w:jc w:val="both"/>
              <w:rPr>
                <w:rFonts w:eastAsia="ITC Avant Garde" w:cs="ITC Avant Garde"/>
                <w:i/>
              </w:rPr>
            </w:pPr>
          </w:p>
          <w:p w14:paraId="3E12AC6D" w14:textId="77777777" w:rsidR="00244662" w:rsidRPr="00244662" w:rsidRDefault="00244662" w:rsidP="00244662">
            <w:pPr>
              <w:spacing w:line="276" w:lineRule="auto"/>
              <w:ind w:left="708"/>
              <w:jc w:val="both"/>
              <w:rPr>
                <w:rFonts w:eastAsia="ITC Avant Garde" w:cs="ITC Avant Garde"/>
                <w:i/>
              </w:rPr>
            </w:pPr>
            <w:r w:rsidRPr="00244662">
              <w:rPr>
                <w:rFonts w:eastAsia="ITC Avant Garde" w:cs="ITC Avant Garde"/>
                <w:i/>
              </w:rPr>
              <w:t>Al administrar el espectro, el Instituto perseguirá los siguientes objetivos generales en beneficio de los usuarios:</w:t>
            </w:r>
          </w:p>
          <w:p w14:paraId="6D6DB254" w14:textId="77777777" w:rsidR="00244662" w:rsidRPr="00244662" w:rsidRDefault="00244662" w:rsidP="00244662">
            <w:pPr>
              <w:spacing w:line="276" w:lineRule="auto"/>
              <w:ind w:left="708"/>
              <w:jc w:val="both"/>
              <w:rPr>
                <w:rFonts w:eastAsia="ITC Avant Garde" w:cs="ITC Avant Garde"/>
                <w:b/>
                <w:i/>
              </w:rPr>
            </w:pPr>
            <w:r w:rsidRPr="00244662">
              <w:rPr>
                <w:rFonts w:eastAsia="ITC Avant Garde" w:cs="ITC Avant Garde"/>
                <w:b/>
                <w:i/>
              </w:rPr>
              <w:t xml:space="preserve">I. La seguridad de la vida; </w:t>
            </w:r>
          </w:p>
          <w:p w14:paraId="245F2D77" w14:textId="77777777" w:rsidR="00244662" w:rsidRPr="00244662" w:rsidRDefault="00244662" w:rsidP="00244662">
            <w:pPr>
              <w:spacing w:line="276" w:lineRule="auto"/>
              <w:ind w:left="708"/>
              <w:jc w:val="both"/>
              <w:rPr>
                <w:rFonts w:eastAsia="ITC Avant Garde" w:cs="ITC Avant Garde"/>
                <w:i/>
              </w:rPr>
            </w:pPr>
            <w:r w:rsidRPr="00244662">
              <w:rPr>
                <w:rFonts w:eastAsia="ITC Avant Garde" w:cs="ITC Avant Garde"/>
                <w:i/>
              </w:rPr>
              <w:t>II. La promoción de la cohesión social, regional o territorial;</w:t>
            </w:r>
          </w:p>
          <w:p w14:paraId="725FE5E6" w14:textId="77777777" w:rsidR="00244662" w:rsidRPr="00244662" w:rsidRDefault="00244662" w:rsidP="00244662">
            <w:pPr>
              <w:spacing w:line="276" w:lineRule="auto"/>
              <w:ind w:left="708"/>
              <w:jc w:val="both"/>
              <w:rPr>
                <w:rFonts w:eastAsia="ITC Avant Garde" w:cs="ITC Avant Garde"/>
                <w:b/>
                <w:i/>
              </w:rPr>
            </w:pPr>
            <w:r w:rsidRPr="00244662">
              <w:rPr>
                <w:rFonts w:eastAsia="ITC Avant Garde" w:cs="ITC Avant Garde"/>
                <w:b/>
                <w:i/>
              </w:rPr>
              <w:t>III. La competencia efectiva en los mercados convergentes de los sectores</w:t>
            </w:r>
            <w:r w:rsidR="00DF08ED">
              <w:rPr>
                <w:rFonts w:eastAsia="ITC Avant Garde" w:cs="ITC Avant Garde"/>
                <w:b/>
                <w:i/>
              </w:rPr>
              <w:t xml:space="preserve"> </w:t>
            </w:r>
            <w:r w:rsidRPr="00244662">
              <w:rPr>
                <w:rFonts w:eastAsia="ITC Avant Garde" w:cs="ITC Avant Garde"/>
                <w:b/>
                <w:i/>
              </w:rPr>
              <w:t>de telecomunicaciones y radiodifusión;</w:t>
            </w:r>
          </w:p>
          <w:p w14:paraId="6403A72E" w14:textId="77777777" w:rsidR="00244662" w:rsidRPr="00E86B08" w:rsidRDefault="00244662" w:rsidP="00244662">
            <w:pPr>
              <w:spacing w:line="276" w:lineRule="auto"/>
              <w:ind w:left="708"/>
              <w:jc w:val="both"/>
              <w:rPr>
                <w:rFonts w:eastAsia="ITC Avant Garde" w:cs="ITC Avant Garde"/>
                <w:b/>
                <w:i/>
              </w:rPr>
            </w:pPr>
            <w:r w:rsidRPr="00E86B08">
              <w:rPr>
                <w:rFonts w:eastAsia="ITC Avant Garde" w:cs="ITC Avant Garde"/>
                <w:b/>
                <w:i/>
              </w:rPr>
              <w:t>IV. El uso eficaz del espectro y su protección;</w:t>
            </w:r>
            <w:r w:rsidR="00DF08ED" w:rsidRPr="00E86B08">
              <w:rPr>
                <w:rFonts w:eastAsia="ITC Avant Garde" w:cs="ITC Avant Garde"/>
                <w:b/>
                <w:i/>
              </w:rPr>
              <w:t xml:space="preserve"> </w:t>
            </w:r>
          </w:p>
          <w:p w14:paraId="7B318F03" w14:textId="77777777" w:rsidR="00244662" w:rsidRPr="00244662" w:rsidRDefault="00244662" w:rsidP="00244662">
            <w:pPr>
              <w:spacing w:line="276" w:lineRule="auto"/>
              <w:ind w:left="708"/>
              <w:jc w:val="both"/>
              <w:rPr>
                <w:rFonts w:eastAsia="ITC Avant Garde" w:cs="ITC Avant Garde"/>
              </w:rPr>
            </w:pPr>
            <w:r w:rsidRPr="00244662">
              <w:rPr>
                <w:rFonts w:eastAsia="ITC Avant Garde" w:cs="ITC Avant Garde"/>
                <w:i/>
              </w:rPr>
              <w:t>….”.</w:t>
            </w:r>
          </w:p>
          <w:p w14:paraId="3748573C" w14:textId="77777777" w:rsidR="00244662" w:rsidRDefault="00244662" w:rsidP="00A574B0">
            <w:pPr>
              <w:spacing w:line="276" w:lineRule="auto"/>
              <w:jc w:val="right"/>
              <w:rPr>
                <w:rFonts w:eastAsia="ITC Avant Garde" w:cs="ITC Avant Garde"/>
                <w:b/>
              </w:rPr>
            </w:pPr>
            <w:r w:rsidRPr="00A574B0">
              <w:rPr>
                <w:rFonts w:eastAsia="ITC Avant Garde" w:cs="ITC Avant Garde"/>
                <w:b/>
              </w:rPr>
              <w:t>(Énfasis añadido)</w:t>
            </w:r>
          </w:p>
          <w:p w14:paraId="6D47570F" w14:textId="77777777" w:rsidR="00C5759B" w:rsidRPr="00A574B0" w:rsidRDefault="00C5759B" w:rsidP="00A574B0">
            <w:pPr>
              <w:spacing w:line="276" w:lineRule="auto"/>
              <w:jc w:val="right"/>
              <w:rPr>
                <w:rFonts w:eastAsia="ITC Avant Garde" w:cs="ITC Avant Garde"/>
                <w:b/>
              </w:rPr>
            </w:pPr>
          </w:p>
          <w:p w14:paraId="64E3D87A" w14:textId="07314F94" w:rsidR="00F477E7" w:rsidRDefault="00D84995" w:rsidP="00E0436C">
            <w:pPr>
              <w:spacing w:line="276" w:lineRule="auto"/>
              <w:jc w:val="both"/>
              <w:rPr>
                <w:rFonts w:eastAsia="ITC Avant Garde" w:cs="ITC Avant Garde"/>
              </w:rPr>
            </w:pPr>
            <w:r>
              <w:rPr>
                <w:rFonts w:eastAsia="ITC Avant Garde" w:cs="ITC Avant Garde"/>
              </w:rPr>
              <w:t>Mientras que</w:t>
            </w:r>
            <w:r w:rsidR="00F477E7">
              <w:rPr>
                <w:rFonts w:eastAsia="ITC Avant Garde" w:cs="ITC Avant Garde"/>
              </w:rPr>
              <w:t xml:space="preserve"> </w:t>
            </w:r>
            <w:r w:rsidR="00F477E7" w:rsidRPr="00A574B0">
              <w:rPr>
                <w:rFonts w:eastAsia="ITC Avant Garde" w:cs="ITC Avant Garde"/>
              </w:rPr>
              <w:t xml:space="preserve">el artículo 289 de la LFTR establece que los productos, equipos, dispositivos o aparatos destinados a telecomunicaciones o radiodifusión que puedan ser conectados a una red de telecomunicaciones o hacer uso del espectro radioeléctrico deberán </w:t>
            </w:r>
            <w:r w:rsidR="00C945ED">
              <w:rPr>
                <w:rFonts w:eastAsia="ITC Avant Garde" w:cs="ITC Avant Garde"/>
              </w:rPr>
              <w:t xml:space="preserve">certificarse </w:t>
            </w:r>
            <w:r w:rsidR="00F477E7" w:rsidRPr="00A574B0">
              <w:rPr>
                <w:rFonts w:eastAsia="ITC Avant Garde" w:cs="ITC Avant Garde"/>
              </w:rPr>
              <w:t xml:space="preserve">conforme </w:t>
            </w:r>
            <w:r w:rsidR="00FC7AF4">
              <w:rPr>
                <w:rFonts w:eastAsia="ITC Avant Garde" w:cs="ITC Avant Garde"/>
              </w:rPr>
              <w:t xml:space="preserve">a las </w:t>
            </w:r>
            <w:r w:rsidR="00FC7AF4" w:rsidRPr="00FC7AF4">
              <w:rPr>
                <w:rFonts w:eastAsia="ITC Avant Garde" w:cs="ITC Avant Garde"/>
              </w:rPr>
              <w:t>Disposiciones Técnicas, en los términos de la LFTR y de lo que a este efecto emita el Instituto, y a las Normas Oficiales Mexicanas que le sean aplicables, de conformidad con lo establecido en la Ley Federal sobre Metrología y Normalización</w:t>
            </w:r>
            <w:r w:rsidR="007D18A8">
              <w:rPr>
                <w:rFonts w:eastAsia="ITC Avant Garde" w:cs="ITC Avant Garde"/>
              </w:rPr>
              <w:t>.</w:t>
            </w:r>
          </w:p>
          <w:p w14:paraId="13F4AE3E" w14:textId="77777777" w:rsidR="00A574B0" w:rsidRDefault="00A574B0" w:rsidP="00E0436C">
            <w:pPr>
              <w:spacing w:line="276" w:lineRule="auto"/>
              <w:jc w:val="both"/>
              <w:rPr>
                <w:rFonts w:eastAsia="ITC Avant Garde" w:cs="ITC Avant Garde"/>
              </w:rPr>
            </w:pPr>
          </w:p>
          <w:p w14:paraId="2CCD45E9" w14:textId="54C7063F" w:rsidR="00A574B0" w:rsidRPr="006A010C" w:rsidRDefault="00A44DA7" w:rsidP="00E0436C">
            <w:pPr>
              <w:spacing w:line="276" w:lineRule="auto"/>
              <w:jc w:val="both"/>
              <w:rPr>
                <w:rFonts w:eastAsia="ITC Avant Garde" w:cs="ITC Avant Garde"/>
              </w:rPr>
            </w:pPr>
            <w:r>
              <w:rPr>
                <w:rFonts w:eastAsia="ITC Avant Garde" w:cs="ITC Avant Garde"/>
              </w:rPr>
              <w:t>L</w:t>
            </w:r>
            <w:r w:rsidR="00A574B0" w:rsidRPr="00A574B0">
              <w:rPr>
                <w:rFonts w:eastAsia="ITC Avant Garde" w:cs="ITC Avant Garde"/>
              </w:rPr>
              <w:t>o</w:t>
            </w:r>
            <w:r w:rsidR="00DF08ED">
              <w:rPr>
                <w:rFonts w:eastAsia="ITC Avant Garde" w:cs="ITC Avant Garde"/>
              </w:rPr>
              <w:t xml:space="preserve"> </w:t>
            </w:r>
            <w:r w:rsidR="00A574B0" w:rsidRPr="00A574B0">
              <w:rPr>
                <w:rFonts w:eastAsia="ITC Avant Garde" w:cs="ITC Avant Garde"/>
              </w:rPr>
              <w:t xml:space="preserve">expuesto </w:t>
            </w:r>
            <w:r>
              <w:rPr>
                <w:rFonts w:eastAsia="ITC Avant Garde" w:cs="ITC Avant Garde"/>
              </w:rPr>
              <w:t>anteriormente ha motivado la emisió</w:t>
            </w:r>
            <w:r w:rsidR="00F11519">
              <w:rPr>
                <w:rFonts w:eastAsia="ITC Avant Garde" w:cs="ITC Avant Garde"/>
              </w:rPr>
              <w:t xml:space="preserve">n del </w:t>
            </w:r>
            <w:r>
              <w:rPr>
                <w:rFonts w:eastAsia="ITC Avant Garde" w:cs="ITC Avant Garde"/>
              </w:rPr>
              <w:t xml:space="preserve">presente </w:t>
            </w:r>
            <w:r w:rsidR="0008427E">
              <w:rPr>
                <w:rFonts w:eastAsia="ITC Avant Garde" w:cs="ITC Avant Garde"/>
              </w:rPr>
              <w:t>Anteproyecto</w:t>
            </w:r>
            <w:r w:rsidR="00E32395">
              <w:rPr>
                <w:rFonts w:eastAsia="ITC Avant Garde" w:cs="ITC Avant Garde"/>
              </w:rPr>
              <w:t>,</w:t>
            </w:r>
            <w:r w:rsidR="00A574B0" w:rsidRPr="00A574B0">
              <w:rPr>
                <w:rFonts w:eastAsia="ITC Avant Garde" w:cs="ITC Avant Garde"/>
              </w:rPr>
              <w:t xml:space="preserve"> </w:t>
            </w:r>
            <w:r w:rsidR="00C459BB" w:rsidRPr="00C459BB">
              <w:rPr>
                <w:rFonts w:eastAsia="ITC Avant Garde" w:cs="ITC Avant Garde"/>
              </w:rPr>
              <w:t xml:space="preserve">el cual retoma los límites establecidos </w:t>
            </w:r>
            <w:r w:rsidR="00F21F97">
              <w:rPr>
                <w:rFonts w:eastAsia="ITC Avant Garde" w:cs="ITC Avant Garde"/>
              </w:rPr>
              <w:t>por la ICNIRP</w:t>
            </w:r>
            <w:r w:rsidR="00F11519">
              <w:rPr>
                <w:rFonts w:eastAsia="ITC Avant Garde" w:cs="ITC Avant Garde"/>
              </w:rPr>
              <w:t xml:space="preserve">, </w:t>
            </w:r>
            <w:r w:rsidR="00A574B0" w:rsidRPr="00A574B0">
              <w:rPr>
                <w:rFonts w:eastAsia="ITC Avant Garde" w:cs="ITC Avant Garde"/>
              </w:rPr>
              <w:t xml:space="preserve">y de esta manera coadyuvar en materia de supervisión con respecto a las </w:t>
            </w:r>
            <w:r w:rsidR="00C3744C" w:rsidRPr="00C3744C">
              <w:rPr>
                <w:rFonts w:eastAsia="ITC Avant Garde" w:cs="ITC Avant Garde"/>
              </w:rPr>
              <w:t xml:space="preserve">radiaciones electromagnéticas de radiofrecuencia no ionizantes </w:t>
            </w:r>
            <w:r w:rsidR="00A574B0" w:rsidRPr="00A574B0">
              <w:rPr>
                <w:rFonts w:eastAsia="ITC Avant Garde" w:cs="ITC Avant Garde"/>
              </w:rPr>
              <w:t xml:space="preserve">a través del procedimiento de </w:t>
            </w:r>
            <w:r w:rsidR="00F02B0E">
              <w:rPr>
                <w:rFonts w:eastAsia="ITC Avant Garde" w:cs="ITC Avant Garde"/>
              </w:rPr>
              <w:t>certificación</w:t>
            </w:r>
            <w:r w:rsidR="00A574B0" w:rsidRPr="00A574B0">
              <w:rPr>
                <w:rFonts w:eastAsia="ITC Avant Garde" w:cs="ITC Avant Garde"/>
              </w:rPr>
              <w:t xml:space="preserve"> de los productos, equipos, dispositivos o aparatos destinados a telecomunicaciones que hagan uso del espectro radioeléctrico, en apego a las facultades del Instituto referente a la administración del espectro radioeléctrico</w:t>
            </w:r>
            <w:r w:rsidR="00F11519">
              <w:rPr>
                <w:rFonts w:eastAsia="ITC Avant Garde" w:cs="ITC Avant Garde"/>
              </w:rPr>
              <w:t>,</w:t>
            </w:r>
            <w:r w:rsidR="00A574B0" w:rsidRPr="00A574B0">
              <w:rPr>
                <w:rFonts w:eastAsia="ITC Avant Garde" w:cs="ITC Avant Garde"/>
              </w:rPr>
              <w:t xml:space="preserve"> en beneficio de la seguridad de la vida de los usuarios y al fomento de la competencia efectiva en los mercados convergentes de los sectores</w:t>
            </w:r>
            <w:r w:rsidR="00DF08ED">
              <w:rPr>
                <w:rFonts w:eastAsia="ITC Avant Garde" w:cs="ITC Avant Garde"/>
              </w:rPr>
              <w:t xml:space="preserve"> </w:t>
            </w:r>
            <w:r w:rsidR="00A574B0" w:rsidRPr="00A574B0">
              <w:rPr>
                <w:rFonts w:eastAsia="ITC Avant Garde" w:cs="ITC Avant Garde"/>
              </w:rPr>
              <w:t>de telecomunicaciones y radiodifusión.</w:t>
            </w:r>
          </w:p>
          <w:p w14:paraId="59FFB6C3" w14:textId="77777777" w:rsidR="00474DCA" w:rsidRPr="006A010C" w:rsidRDefault="00474DCA" w:rsidP="00285467">
            <w:pPr>
              <w:spacing w:line="276" w:lineRule="auto"/>
              <w:jc w:val="both"/>
              <w:rPr>
                <w:rFonts w:eastAsia="ITC Avant Garde" w:cs="ITC Avant Garde"/>
              </w:rPr>
            </w:pPr>
          </w:p>
        </w:tc>
      </w:tr>
    </w:tbl>
    <w:p w14:paraId="770E200F" w14:textId="77777777" w:rsidR="001932FC" w:rsidRPr="006A010C" w:rsidRDefault="001932FC" w:rsidP="00062513">
      <w:pPr>
        <w:spacing w:line="276" w:lineRule="auto"/>
        <w:jc w:val="both"/>
      </w:pPr>
    </w:p>
    <w:tbl>
      <w:tblPr>
        <w:tblStyle w:val="Tablaconcuadrcula"/>
        <w:tblW w:w="0" w:type="dxa"/>
        <w:tblLook w:val="04A0" w:firstRow="1" w:lastRow="0" w:firstColumn="1" w:lastColumn="0" w:noHBand="0" w:noVBand="1"/>
      </w:tblPr>
      <w:tblGrid>
        <w:gridCol w:w="8828"/>
      </w:tblGrid>
      <w:tr w:rsidR="001932FC" w:rsidRPr="006A010C" w14:paraId="4635D8E6" w14:textId="77777777" w:rsidTr="26EF7CAD">
        <w:tc>
          <w:tcPr>
            <w:tcW w:w="8828" w:type="dxa"/>
          </w:tcPr>
          <w:p w14:paraId="73F0D3E3" w14:textId="4960F1A3" w:rsidR="001932FC" w:rsidRPr="006A010C" w:rsidRDefault="48ECE0BD" w:rsidP="00062513">
            <w:pPr>
              <w:spacing w:line="276" w:lineRule="auto"/>
              <w:jc w:val="both"/>
              <w:rPr>
                <w:rFonts w:eastAsia="ITC Avant Garde" w:cs="ITC Avant Garde"/>
                <w:b/>
                <w:bCs/>
              </w:rPr>
            </w:pPr>
            <w:r w:rsidRPr="006A010C">
              <w:rPr>
                <w:rFonts w:eastAsia="ITC Avant Garde" w:cs="ITC Avant Garde"/>
                <w:b/>
                <w:bCs/>
              </w:rPr>
              <w:t xml:space="preserve">3.- Indique el tipo de ordenamiento jurídico propuesto. Asimismo, señale si existen disposiciones jurídicas vigentes directamente aplicables a la problemática materia del </w:t>
            </w:r>
            <w:r w:rsidR="007E2E1A">
              <w:rPr>
                <w:rFonts w:eastAsia="ITC Avant Garde" w:cs="ITC Avant Garde"/>
                <w:b/>
                <w:bCs/>
              </w:rPr>
              <w:t>A</w:t>
            </w:r>
            <w:r w:rsidRPr="006A010C">
              <w:rPr>
                <w:rFonts w:eastAsia="ITC Avant Garde" w:cs="ITC Avant Garde"/>
                <w:b/>
                <w:bCs/>
              </w:rPr>
              <w:t>nteproyecto de regulación, enumérelas y explique porque son insuficientes cada una de ellas para atender la problemática identificada:</w:t>
            </w:r>
          </w:p>
          <w:p w14:paraId="78FD8FCA" w14:textId="77777777" w:rsidR="008A48B0" w:rsidRDefault="008A48B0" w:rsidP="00062513">
            <w:pPr>
              <w:spacing w:line="276" w:lineRule="auto"/>
              <w:jc w:val="both"/>
            </w:pPr>
          </w:p>
          <w:p w14:paraId="328240FA" w14:textId="0CC47686" w:rsidR="00CA7FDB" w:rsidRPr="00CA7FDB" w:rsidRDefault="000551AA" w:rsidP="00CA7FDB">
            <w:pPr>
              <w:spacing w:line="276" w:lineRule="auto"/>
              <w:jc w:val="both"/>
            </w:pPr>
            <w:r>
              <w:t xml:space="preserve">El ordenamiento jurídico que se propone es una disposición </w:t>
            </w:r>
            <w:r w:rsidR="00CA7FDB">
              <w:t>administrativa</w:t>
            </w:r>
            <w:r>
              <w:t xml:space="preserve"> </w:t>
            </w:r>
            <w:r w:rsidR="00E52F80">
              <w:t xml:space="preserve">de carácter general </w:t>
            </w:r>
            <w:r>
              <w:t>denominada “</w:t>
            </w:r>
            <w:r w:rsidR="00153D35">
              <w:rPr>
                <w:b/>
              </w:rPr>
              <w:t>D</w:t>
            </w:r>
            <w:r w:rsidR="00153D35" w:rsidRPr="00153D35">
              <w:rPr>
                <w:b/>
              </w:rPr>
              <w:t xml:space="preserve">isposición </w:t>
            </w:r>
            <w:r w:rsidR="00153D35">
              <w:rPr>
                <w:b/>
              </w:rPr>
              <w:t>T</w:t>
            </w:r>
            <w:r w:rsidR="00153D35" w:rsidRPr="00153D35">
              <w:rPr>
                <w:b/>
              </w:rPr>
              <w:t>écnica IFT-012-201</w:t>
            </w:r>
            <w:r w:rsidR="00490B44">
              <w:rPr>
                <w:b/>
              </w:rPr>
              <w:t>9</w:t>
            </w:r>
            <w:r w:rsidR="00153D35" w:rsidRPr="00153D35">
              <w:rPr>
                <w:b/>
              </w:rPr>
              <w:t xml:space="preserve">: </w:t>
            </w:r>
            <w:r w:rsidR="00153D35" w:rsidRPr="00153D35">
              <w:rPr>
                <w:b/>
              </w:rPr>
              <w:lastRenderedPageBreak/>
              <w:t>Especificaciones técnicas para el cumplimiento de los límites máximos de radiaciones electromagnéticas de radiofrecuencia no ionizantes de los productos, equipos, dispositivos o aparatos destinados a telecomunicaciones que pueden ser conectados a una red de telecomunicaciones o hacer uso del espectro radioeléctrico. índice de absorción específica (SAR).</w:t>
            </w:r>
            <w:r w:rsidRPr="00F11519">
              <w:rPr>
                <w:i/>
              </w:rPr>
              <w:t>”</w:t>
            </w:r>
            <w:r w:rsidR="00CA7FDB" w:rsidRPr="00F11519">
              <w:t xml:space="preserve">, </w:t>
            </w:r>
            <w:r w:rsidR="00CA7FDB" w:rsidRPr="00CA7FDB">
              <w:t xml:space="preserve">la cual </w:t>
            </w:r>
            <w:r w:rsidR="006933C8" w:rsidRPr="00C459BB">
              <w:rPr>
                <w:rFonts w:eastAsia="ITC Avant Garde" w:cs="ITC Avant Garde"/>
              </w:rPr>
              <w:t xml:space="preserve">retoma los </w:t>
            </w:r>
            <w:r w:rsidR="006933C8" w:rsidRPr="006933C8">
              <w:rPr>
                <w:rFonts w:eastAsia="ITC Avant Garde" w:cs="ITC Avant Garde"/>
              </w:rPr>
              <w:t xml:space="preserve">límites básicos de exposición máxima a </w:t>
            </w:r>
            <w:r w:rsidR="00153D35" w:rsidRPr="00153D35">
              <w:rPr>
                <w:rFonts w:eastAsia="ITC Avant Garde" w:cs="ITC Avant Garde"/>
              </w:rPr>
              <w:t xml:space="preserve">radiaciones electromagnéticas de radiofrecuencia no ionizantes </w:t>
            </w:r>
            <w:r w:rsidR="006933C8" w:rsidRPr="006933C8">
              <w:rPr>
                <w:rFonts w:eastAsia="ITC Avant Garde" w:cs="ITC Avant Garde"/>
              </w:rPr>
              <w:t xml:space="preserve">establecidos </w:t>
            </w:r>
            <w:r w:rsidR="00006BEC">
              <w:rPr>
                <w:rFonts w:eastAsia="ITC Avant Garde" w:cs="ITC Avant Garde"/>
              </w:rPr>
              <w:t>por la ICNIRP</w:t>
            </w:r>
            <w:r w:rsidR="006933C8">
              <w:rPr>
                <w:rFonts w:eastAsia="ITC Avant Garde" w:cs="ITC Avant Garde"/>
              </w:rPr>
              <w:t xml:space="preserve">, y </w:t>
            </w:r>
            <w:r w:rsidR="00CA7FDB" w:rsidRPr="00CA7FDB">
              <w:t xml:space="preserve">establece los </w:t>
            </w:r>
            <w:r w:rsidR="00DC59CD">
              <w:t xml:space="preserve">métodos de prueba a efectos de evaluar la conformidad respecto a los </w:t>
            </w:r>
            <w:r w:rsidR="006933C8">
              <w:t xml:space="preserve">referidos </w:t>
            </w:r>
            <w:r w:rsidR="00DC59CD">
              <w:t xml:space="preserve">límites máximos de exposición a radiaciones no ionizantes de </w:t>
            </w:r>
            <w:r w:rsidR="00CA7FDB">
              <w:t>l</w:t>
            </w:r>
            <w:r w:rsidR="00CA7FDB" w:rsidRPr="00CA7FDB">
              <w:t xml:space="preserve">os productos, equipos, dispositivos o aparatos que tengan un transmisor o transceptor de radiofrecuencia, </w:t>
            </w:r>
            <w:r w:rsidR="00FC7AF4">
              <w:t xml:space="preserve">que </w:t>
            </w:r>
            <w:r w:rsidR="00CA7FDB" w:rsidRPr="00CA7FDB">
              <w:t>hagan uso del espectro radioeléctrico o se conecten a una red de telecomunicaciones</w:t>
            </w:r>
            <w:r w:rsidR="007B23EA">
              <w:t>:</w:t>
            </w:r>
          </w:p>
          <w:p w14:paraId="4A0395C1" w14:textId="77777777" w:rsidR="00CA7FDB" w:rsidRPr="00CA7FDB" w:rsidRDefault="00CA7FDB" w:rsidP="00CA7FDB">
            <w:pPr>
              <w:spacing w:line="276" w:lineRule="auto"/>
              <w:jc w:val="both"/>
            </w:pPr>
          </w:p>
          <w:p w14:paraId="0694EC47" w14:textId="63AB691E" w:rsidR="00CA7FDB" w:rsidRPr="00CA7FDB" w:rsidRDefault="00FC7AF4" w:rsidP="0062677D">
            <w:pPr>
              <w:pStyle w:val="Prrafodelista"/>
              <w:numPr>
                <w:ilvl w:val="0"/>
                <w:numId w:val="5"/>
              </w:numPr>
              <w:spacing w:line="276" w:lineRule="auto"/>
              <w:jc w:val="both"/>
            </w:pPr>
            <w:r>
              <w:t>En el intervalo de 300 MHz a 6 GHz si se emplean cerca de la cabeza</w:t>
            </w:r>
            <w:r w:rsidR="00CA0FFD">
              <w:t>,</w:t>
            </w:r>
            <w:r>
              <w:t xml:space="preserve"> p</w:t>
            </w:r>
            <w:r w:rsidR="00CA7FDB" w:rsidRPr="00CA7FDB">
              <w:t>articularmente cerca del oído, y/o</w:t>
            </w:r>
          </w:p>
          <w:p w14:paraId="1A390722" w14:textId="4BADABBF" w:rsidR="00CA7FDB" w:rsidRPr="00CA7FDB" w:rsidRDefault="007B23EA" w:rsidP="0062677D">
            <w:pPr>
              <w:pStyle w:val="Prrafodelista"/>
              <w:numPr>
                <w:ilvl w:val="0"/>
                <w:numId w:val="5"/>
              </w:numPr>
              <w:spacing w:line="276" w:lineRule="auto"/>
              <w:jc w:val="both"/>
            </w:pPr>
            <w:r>
              <w:t>En el intervalo de 30 MHz a 6 GHz si se emplean a</w:t>
            </w:r>
            <w:r w:rsidR="00CA7FDB" w:rsidRPr="00CA7FDB">
              <w:t xml:space="preserve"> una distancia menor o igual a 200 mm del cuerpo humano.</w:t>
            </w:r>
          </w:p>
          <w:p w14:paraId="18D364B1" w14:textId="77777777" w:rsidR="00AA3EB4" w:rsidRDefault="00AA3EB4" w:rsidP="00062513">
            <w:pPr>
              <w:spacing w:line="276" w:lineRule="auto"/>
              <w:jc w:val="both"/>
            </w:pPr>
          </w:p>
          <w:p w14:paraId="00CA9CC4" w14:textId="06695B57" w:rsidR="00A72048" w:rsidRDefault="00A72048" w:rsidP="00062513">
            <w:pPr>
              <w:spacing w:line="276" w:lineRule="auto"/>
              <w:jc w:val="both"/>
            </w:pPr>
            <w:r w:rsidRPr="00A72048">
              <w:t xml:space="preserve">Lo anterior en concordancia a las normas internaciones </w:t>
            </w:r>
            <w:r w:rsidR="00655450" w:rsidRPr="00655450">
              <w:t>IEC 62209-1</w:t>
            </w:r>
            <w:r w:rsidR="00D71E6C">
              <w:t xml:space="preserve"> </w:t>
            </w:r>
            <w:r w:rsidR="00655450" w:rsidRPr="00655450">
              <w:t>y IEC 62209</w:t>
            </w:r>
            <w:r w:rsidR="007B23EA">
              <w:noBreakHyphen/>
            </w:r>
            <w:r w:rsidR="00655450" w:rsidRPr="00655450">
              <w:t>2.</w:t>
            </w:r>
          </w:p>
          <w:p w14:paraId="77ECC319" w14:textId="77777777" w:rsidR="00A72048" w:rsidRDefault="00A72048" w:rsidP="00062513">
            <w:pPr>
              <w:spacing w:line="276" w:lineRule="auto"/>
              <w:jc w:val="both"/>
            </w:pPr>
          </w:p>
          <w:p w14:paraId="51058341" w14:textId="2E4CF248" w:rsidR="00497169" w:rsidRDefault="0076022A" w:rsidP="00062513">
            <w:pPr>
              <w:spacing w:line="276" w:lineRule="auto"/>
              <w:jc w:val="both"/>
            </w:pPr>
            <w:r w:rsidRPr="0076022A">
              <w:t xml:space="preserve">Actualmente no existe normativa en México relativa </w:t>
            </w:r>
            <w:r w:rsidR="00497169">
              <w:t>a</w:t>
            </w:r>
            <w:r w:rsidRPr="0076022A">
              <w:t xml:space="preserve"> dichos límites</w:t>
            </w:r>
            <w:r>
              <w:t xml:space="preserve"> </w:t>
            </w:r>
            <w:r w:rsidR="000B7C30">
              <w:t>en los</w:t>
            </w:r>
            <w:r w:rsidR="00497169">
              <w:t xml:space="preserve"> </w:t>
            </w:r>
            <w:r>
              <w:t xml:space="preserve">productos </w:t>
            </w:r>
            <w:r w:rsidR="00497169" w:rsidRPr="00CA7FDB">
              <w:t>equipos, dispositivos o aparatos que tengan un transmisor o transceptor de radiofrecuencia</w:t>
            </w:r>
            <w:r w:rsidR="00497169">
              <w:t xml:space="preserve"> en materia </w:t>
            </w:r>
            <w:r>
              <w:t>de telecomunicaciones</w:t>
            </w:r>
            <w:r w:rsidR="007B23EA">
              <w:t xml:space="preserve"> y radiodifusión</w:t>
            </w:r>
            <w:r w:rsidRPr="0076022A">
              <w:t>.</w:t>
            </w:r>
            <w:r w:rsidR="00CA7FDB" w:rsidRPr="00CA7FDB">
              <w:t xml:space="preserve"> </w:t>
            </w:r>
          </w:p>
          <w:p w14:paraId="5B892CA7" w14:textId="77777777" w:rsidR="00497169" w:rsidRDefault="00497169" w:rsidP="00062513">
            <w:pPr>
              <w:spacing w:line="276" w:lineRule="auto"/>
              <w:jc w:val="both"/>
            </w:pPr>
          </w:p>
          <w:p w14:paraId="3882ECEB" w14:textId="77777777" w:rsidR="00CA7FDB" w:rsidRDefault="0076022A" w:rsidP="00062513">
            <w:pPr>
              <w:spacing w:line="276" w:lineRule="auto"/>
              <w:jc w:val="both"/>
            </w:pPr>
            <w:r>
              <w:t>E</w:t>
            </w:r>
            <w:r w:rsidR="00CA7FDB" w:rsidRPr="00CA7FDB">
              <w:t>xiste la Norma Oficial Mexicana NOM-013-STPS-1993</w:t>
            </w:r>
            <w:r w:rsidR="00CA7FDB">
              <w:rPr>
                <w:rStyle w:val="Refdenotaalpie"/>
              </w:rPr>
              <w:footnoteReference w:id="6"/>
            </w:r>
            <w:r w:rsidR="003D16EB">
              <w:t xml:space="preserve">, </w:t>
            </w:r>
            <w:r w:rsidR="00CA7FDB" w:rsidRPr="00CA7FDB">
              <w:t>e</w:t>
            </w:r>
            <w:r w:rsidR="003D16EB">
              <w:t>mitida</w:t>
            </w:r>
            <w:r w:rsidR="00CA7FDB" w:rsidRPr="00CA7FDB">
              <w:t xml:space="preserve"> por la Secretaria de Trabajo y Previsión Social, cuyo objetivo es establecer las medidas preventivas y de control </w:t>
            </w:r>
            <w:r w:rsidR="00CA7FDB" w:rsidRPr="00DC59CD">
              <w:rPr>
                <w:u w:val="single"/>
              </w:rPr>
              <w:t>en los centros de trabajo</w:t>
            </w:r>
            <w:r w:rsidR="00CA7FDB" w:rsidRPr="003D16EB">
              <w:t xml:space="preserve"> donde se generen radiaciones electromagnéticas no ionizantes</w:t>
            </w:r>
            <w:r w:rsidR="00CA7FDB" w:rsidRPr="00CA7FDB">
              <w:t>, para prevenir los riesgos a la salud de los trabajadores a la exposición de dichas radiaciones.</w:t>
            </w:r>
          </w:p>
          <w:p w14:paraId="11C7BC94" w14:textId="77777777" w:rsidR="00CA7FDB" w:rsidRDefault="00CA7FDB" w:rsidP="00062513">
            <w:pPr>
              <w:spacing w:line="276" w:lineRule="auto"/>
              <w:jc w:val="both"/>
            </w:pPr>
          </w:p>
          <w:p w14:paraId="369A3F00" w14:textId="30F43D99" w:rsidR="00CA7FDB" w:rsidRDefault="00CA7FDB" w:rsidP="00062513">
            <w:pPr>
              <w:spacing w:line="276" w:lineRule="auto"/>
              <w:jc w:val="both"/>
            </w:pPr>
            <w:r w:rsidRPr="00CA7FDB">
              <w:t xml:space="preserve">La NOM en comento establece los límites de densidad de potencia, densidad de energía, campo magnético y eléctrico máximos para exposición a radiación de radio y microondas. Esto, sin embargo, resulta insuficiente ya que </w:t>
            </w:r>
            <w:r w:rsidRPr="0093726F">
              <w:t>el objetivo y campo de aplicación de la misma</w:t>
            </w:r>
            <w:r w:rsidR="00D50AB8" w:rsidRPr="0093726F">
              <w:t>,</w:t>
            </w:r>
            <w:r w:rsidRPr="0093726F">
              <w:t xml:space="preserve"> está limitado a centros de trabajo donde</w:t>
            </w:r>
            <w:r w:rsidRPr="00CA7FDB">
              <w:t xml:space="preserve"> se generen radiaciones electromagnéticas no ionizantes, no se establecen </w:t>
            </w:r>
            <w:r w:rsidR="00497169">
              <w:lastRenderedPageBreak/>
              <w:t>métodos de prueba</w:t>
            </w:r>
            <w:r w:rsidRPr="00CA7FDB">
              <w:t xml:space="preserve"> </w:t>
            </w:r>
            <w:r w:rsidR="00C3744C">
              <w:t>para realizar la</w:t>
            </w:r>
            <w:r w:rsidRPr="00CA7FDB">
              <w:t xml:space="preserve"> evaluación de la conformidad de dichos límites y tampoco se definen claramente cuáles serán los intervalos de frecuencia </w:t>
            </w:r>
            <w:r w:rsidR="00E138FD">
              <w:t xml:space="preserve">de operación </w:t>
            </w:r>
            <w:r w:rsidRPr="00CA7FDB">
              <w:t xml:space="preserve">en los que se medirán </w:t>
            </w:r>
            <w:r w:rsidR="00497169">
              <w:t>los referidos</w:t>
            </w:r>
            <w:r w:rsidR="00497169" w:rsidRPr="00CA7FDB">
              <w:t xml:space="preserve"> </w:t>
            </w:r>
            <w:r w:rsidRPr="00CA7FDB">
              <w:t>límites.</w:t>
            </w:r>
          </w:p>
          <w:p w14:paraId="2821503B" w14:textId="77777777" w:rsidR="007E4D9F" w:rsidRDefault="007E4D9F" w:rsidP="00314C55"/>
          <w:p w14:paraId="7311FC23" w14:textId="5A65B815" w:rsidR="003C64F7" w:rsidRPr="003C64F7" w:rsidRDefault="0004377B" w:rsidP="00D71E6C">
            <w:pPr>
              <w:pStyle w:val="Prrafodelista"/>
              <w:spacing w:line="276" w:lineRule="auto"/>
              <w:ind w:left="29"/>
              <w:jc w:val="both"/>
            </w:pPr>
            <w:r>
              <w:t xml:space="preserve">Por consiguiente, es </w:t>
            </w:r>
            <w:r w:rsidR="007E4D9F" w:rsidRPr="007E4D9F">
              <w:t xml:space="preserve">necesaria la emisión de la </w:t>
            </w:r>
            <w:r w:rsidR="007E4D9F" w:rsidRPr="00497169">
              <w:t xml:space="preserve">Disposición Técnica </w:t>
            </w:r>
            <w:r w:rsidR="00497169">
              <w:t xml:space="preserve">propuesta </w:t>
            </w:r>
            <w:r w:rsidR="003C64F7">
              <w:t xml:space="preserve">la cual </w:t>
            </w:r>
            <w:r w:rsidR="003C64F7" w:rsidRPr="00C459BB">
              <w:rPr>
                <w:rFonts w:eastAsia="ITC Avant Garde" w:cs="ITC Avant Garde"/>
              </w:rPr>
              <w:t xml:space="preserve">retoma los </w:t>
            </w:r>
            <w:r w:rsidR="003C64F7" w:rsidRPr="006933C8">
              <w:rPr>
                <w:rFonts w:eastAsia="ITC Avant Garde" w:cs="ITC Avant Garde"/>
              </w:rPr>
              <w:t xml:space="preserve">límites básicos de exposición máxima a </w:t>
            </w:r>
            <w:r w:rsidR="00153D35" w:rsidRPr="00153D35">
              <w:rPr>
                <w:rFonts w:eastAsia="ITC Avant Garde" w:cs="ITC Avant Garde"/>
              </w:rPr>
              <w:t xml:space="preserve">radiaciones electromagnéticas de radiofrecuencia no ionizantes </w:t>
            </w:r>
            <w:r w:rsidR="003C64F7" w:rsidRPr="006933C8">
              <w:rPr>
                <w:rFonts w:eastAsia="ITC Avant Garde" w:cs="ITC Avant Garde"/>
              </w:rPr>
              <w:t xml:space="preserve">establecidos </w:t>
            </w:r>
            <w:r w:rsidR="00314C55">
              <w:rPr>
                <w:rFonts w:eastAsia="ITC Avant Garde" w:cs="ITC Avant Garde"/>
              </w:rPr>
              <w:t>por la ICNIRP</w:t>
            </w:r>
            <w:r w:rsidR="003C64F7">
              <w:rPr>
                <w:rFonts w:eastAsia="ITC Avant Garde" w:cs="ITC Avant Garde"/>
              </w:rPr>
              <w:t xml:space="preserve"> y </w:t>
            </w:r>
            <w:r w:rsidR="007E4D9F" w:rsidRPr="00497169">
              <w:t xml:space="preserve">que </w:t>
            </w:r>
            <w:r w:rsidR="00C3744C" w:rsidRPr="00497169">
              <w:t>establece</w:t>
            </w:r>
            <w:r w:rsidR="000B7C30">
              <w:t xml:space="preserve"> </w:t>
            </w:r>
            <w:r w:rsidR="003C64F7" w:rsidRPr="00CA7FDB">
              <w:t xml:space="preserve">los </w:t>
            </w:r>
            <w:r w:rsidR="003C64F7">
              <w:t>métodos de prueba a efectos</w:t>
            </w:r>
            <w:r w:rsidR="003C64F7" w:rsidRPr="00497169">
              <w:t xml:space="preserve"> </w:t>
            </w:r>
            <w:r w:rsidR="00C3744C" w:rsidRPr="00497169">
              <w:t>de evalua</w:t>
            </w:r>
            <w:r w:rsidR="003C64F7">
              <w:t>r</w:t>
            </w:r>
            <w:r w:rsidR="00C3744C" w:rsidRPr="00497169">
              <w:t xml:space="preserve"> la conformidad para comprobar el cumplimiento de los límites de radiaciones electromagnéticas de radiofrecuencia no ionizantes </w:t>
            </w:r>
            <w:r w:rsidR="003D756F" w:rsidRPr="00497169">
              <w:t>en</w:t>
            </w:r>
            <w:r w:rsidR="00C3744C" w:rsidRPr="00497169">
              <w:t xml:space="preserve"> </w:t>
            </w:r>
            <w:r w:rsidR="007E4D9F" w:rsidRPr="00497169">
              <w:t>productos, equipos, dispositivos o aparatos que tengan un transmisor o transceptor de radiofrecuencia, hagan uso del espectro radioeléctrico o se conecten a una red de telecomunicaciones en el intervalo de frecuencias de 30 MHz a 6 GHz</w:t>
            </w:r>
            <w:r w:rsidR="00C43D61" w:rsidRPr="00497169">
              <w:t xml:space="preserve"> y que se utilicen particularmente cerca del oído y/o que se utilicen a una distancia menor o igual a 200 mm del cuerpo humano.</w:t>
            </w:r>
            <w:r w:rsidR="00E03348" w:rsidRPr="00497169">
              <w:t xml:space="preserve"> Lo anterior en concordancia </w:t>
            </w:r>
            <w:r w:rsidR="003C64F7">
              <w:t>con</w:t>
            </w:r>
            <w:r w:rsidR="003C64F7" w:rsidRPr="00497169">
              <w:t xml:space="preserve"> </w:t>
            </w:r>
            <w:r w:rsidR="00E03348" w:rsidRPr="00497169">
              <w:t xml:space="preserve">las normas internaciones </w:t>
            </w:r>
            <w:r w:rsidR="00655450" w:rsidRPr="00497169">
              <w:t>IEC 62209-1</w:t>
            </w:r>
            <w:r w:rsidR="007B23EA">
              <w:t xml:space="preserve"> </w:t>
            </w:r>
            <w:r w:rsidR="00655450" w:rsidRPr="00497169">
              <w:t>y IEC 62209-2.</w:t>
            </w:r>
          </w:p>
          <w:p w14:paraId="1402B065" w14:textId="77777777" w:rsidR="002372DD" w:rsidRPr="006A010C" w:rsidRDefault="002372DD" w:rsidP="0087236C">
            <w:pPr>
              <w:pStyle w:val="Prrafodelista"/>
              <w:spacing w:line="276" w:lineRule="auto"/>
              <w:ind w:left="29"/>
              <w:jc w:val="both"/>
              <w:rPr>
                <w:rFonts w:eastAsia="ITC Avant Garde" w:cs="ITC Avant Garde"/>
              </w:rPr>
            </w:pPr>
          </w:p>
        </w:tc>
      </w:tr>
    </w:tbl>
    <w:p w14:paraId="1ACED0F7" w14:textId="77777777" w:rsidR="001932FC" w:rsidRPr="006A010C" w:rsidRDefault="001932FC" w:rsidP="00062513">
      <w:pPr>
        <w:spacing w:line="276" w:lineRule="auto"/>
        <w:jc w:val="both"/>
      </w:pPr>
    </w:p>
    <w:p w14:paraId="0B334C4E" w14:textId="77777777" w:rsidR="001932FC" w:rsidRPr="006A010C" w:rsidRDefault="48ECE0BD" w:rsidP="0087236C">
      <w:pPr>
        <w:pStyle w:val="Ttulo1"/>
      </w:pPr>
      <w:r w:rsidRPr="006A010C">
        <w:t>II. IDENTIFICACIÓN DE LAS POSIBLES ALTERNATIVAS A LA REGULACIÓN.</w:t>
      </w:r>
    </w:p>
    <w:tbl>
      <w:tblPr>
        <w:tblStyle w:val="Tablaconcuadrcula"/>
        <w:tblW w:w="0" w:type="dxa"/>
        <w:tblLook w:val="04A0" w:firstRow="1" w:lastRow="0" w:firstColumn="1" w:lastColumn="0" w:noHBand="0" w:noVBand="1"/>
      </w:tblPr>
      <w:tblGrid>
        <w:gridCol w:w="8828"/>
      </w:tblGrid>
      <w:tr w:rsidR="00E6080B" w:rsidRPr="006A010C" w14:paraId="15AD430C" w14:textId="77777777" w:rsidTr="5D1AF574">
        <w:tc>
          <w:tcPr>
            <w:tcW w:w="8828" w:type="dxa"/>
          </w:tcPr>
          <w:p w14:paraId="4A030522" w14:textId="0542F1AF" w:rsidR="00801FED" w:rsidRPr="003C64F7" w:rsidRDefault="48ECE0BD" w:rsidP="00062513">
            <w:pPr>
              <w:spacing w:line="276" w:lineRule="auto"/>
              <w:jc w:val="both"/>
              <w:rPr>
                <w:b/>
              </w:rPr>
            </w:pPr>
            <w:r w:rsidRPr="003C64F7">
              <w:rPr>
                <w:b/>
              </w:rPr>
              <w:t xml:space="preserve">4.- Señale y compare las alternativas con que se podría resolver la problemática detectada que fueron evaluadas, incluyendo la opción de no emitir el </w:t>
            </w:r>
            <w:r w:rsidR="007E2E1A">
              <w:rPr>
                <w:b/>
              </w:rPr>
              <w:t>A</w:t>
            </w:r>
            <w:r w:rsidRPr="003C64F7">
              <w:rPr>
                <w:b/>
              </w:rPr>
              <w:t>nteproyecto de regulación. Asimismo, indique para cada una de las alternativas que fueron consideradas una estimación de los costos y beneficios que implicaría su instrumentación:</w:t>
            </w:r>
          </w:p>
          <w:p w14:paraId="70E8B70D" w14:textId="77777777" w:rsidR="00801FED" w:rsidRDefault="00801FED" w:rsidP="00062513">
            <w:pPr>
              <w:spacing w:line="276" w:lineRule="auto"/>
              <w:jc w:val="both"/>
            </w:pPr>
          </w:p>
          <w:p w14:paraId="2AC3556D" w14:textId="77777777" w:rsidR="001518BD" w:rsidRPr="00D71E6C" w:rsidRDefault="001518BD" w:rsidP="00D71E6C">
            <w:pPr>
              <w:spacing w:line="276" w:lineRule="auto"/>
              <w:ind w:left="22"/>
              <w:jc w:val="both"/>
              <w:rPr>
                <w:u w:val="single"/>
              </w:rPr>
            </w:pPr>
            <w:r w:rsidRPr="00D71E6C">
              <w:rPr>
                <w:u w:val="single"/>
              </w:rPr>
              <w:t>No emitir regulación.</w:t>
            </w:r>
          </w:p>
          <w:p w14:paraId="7A4F92B5" w14:textId="31122C39" w:rsidR="001518BD" w:rsidRPr="001518BD" w:rsidRDefault="001518BD" w:rsidP="001518BD">
            <w:pPr>
              <w:spacing w:line="276" w:lineRule="auto"/>
              <w:jc w:val="both"/>
            </w:pPr>
            <w:r w:rsidRPr="001518BD">
              <w:t>En caso de no emitir el Anteproyecto, no se estaría dando cabal cumplimiento a lo establecido en el artículo 5</w:t>
            </w:r>
            <w:r w:rsidR="002060A9">
              <w:t>4</w:t>
            </w:r>
            <w:r w:rsidRPr="001518BD">
              <w:t xml:space="preserve"> de la LFTR. Como consecuencia, no </w:t>
            </w:r>
            <w:r w:rsidR="00703535">
              <w:t>se contaría</w:t>
            </w:r>
            <w:r w:rsidR="003C64F7">
              <w:t xml:space="preserve"> con</w:t>
            </w:r>
            <w:r w:rsidR="003C64F7" w:rsidRPr="001518BD">
              <w:t xml:space="preserve"> </w:t>
            </w:r>
            <w:r w:rsidRPr="001518BD">
              <w:t xml:space="preserve">un </w:t>
            </w:r>
            <w:r w:rsidR="00922C8B">
              <w:t xml:space="preserve">instrumento normativo </w:t>
            </w:r>
            <w:r w:rsidR="000F4302">
              <w:t xml:space="preserve">que diera certeza jurídica al público en general sobre los límites y especificaciones técnicas de los </w:t>
            </w:r>
            <w:r w:rsidR="000D3AF7" w:rsidRPr="007948E7">
              <w:t xml:space="preserve">productos, equipos, dispositivos o aparatos </w:t>
            </w:r>
            <w:r w:rsidR="003E2798">
              <w:t>destinados a telecomunicaciones</w:t>
            </w:r>
            <w:r w:rsidR="00AC05C8">
              <w:t xml:space="preserve"> que deben cumplir con límites específicos de radiación electromagnética</w:t>
            </w:r>
            <w:r w:rsidR="003C64F7">
              <w:t xml:space="preserve">, específicamente lo relacionado </w:t>
            </w:r>
            <w:r w:rsidR="000F4302">
              <w:t xml:space="preserve"> con el SAR</w:t>
            </w:r>
            <w:r w:rsidR="00420EDB">
              <w:t>.</w:t>
            </w:r>
          </w:p>
          <w:p w14:paraId="1FC84E9A" w14:textId="77777777" w:rsidR="00DF08ED" w:rsidRPr="001518BD" w:rsidRDefault="00DF08ED" w:rsidP="001518BD">
            <w:pPr>
              <w:spacing w:line="276" w:lineRule="auto"/>
              <w:jc w:val="both"/>
            </w:pPr>
          </w:p>
          <w:p w14:paraId="627C2EE1" w14:textId="77777777" w:rsidR="001518BD" w:rsidRPr="00D71E6C" w:rsidRDefault="001518BD" w:rsidP="00D71E6C">
            <w:pPr>
              <w:spacing w:line="276" w:lineRule="auto"/>
              <w:jc w:val="both"/>
              <w:rPr>
                <w:u w:val="single"/>
              </w:rPr>
            </w:pPr>
            <w:r w:rsidRPr="00D71E6C">
              <w:rPr>
                <w:u w:val="single"/>
              </w:rPr>
              <w:t>Autorregulación.</w:t>
            </w:r>
          </w:p>
          <w:p w14:paraId="38AAC332" w14:textId="275722F4" w:rsidR="001518BD" w:rsidRDefault="001518BD" w:rsidP="001518BD">
            <w:pPr>
              <w:spacing w:line="276" w:lineRule="auto"/>
              <w:jc w:val="both"/>
            </w:pPr>
            <w:r w:rsidRPr="001518BD">
              <w:t xml:space="preserve">Se reconoce que existe la voluntad de algunos </w:t>
            </w:r>
            <w:r w:rsidR="00DF08ED">
              <w:t xml:space="preserve">fabricantes, importadores y/o </w:t>
            </w:r>
            <w:r w:rsidRPr="001518BD">
              <w:t xml:space="preserve">concesionarios por demostrar ante la ciudadanía que sus </w:t>
            </w:r>
            <w:r w:rsidR="00DF08ED">
              <w:t>productos</w:t>
            </w:r>
            <w:r w:rsidRPr="001518BD">
              <w:t xml:space="preserve"> cumplen </w:t>
            </w:r>
            <w:r w:rsidRPr="001518BD">
              <w:lastRenderedPageBreak/>
              <w:t xml:space="preserve">con los límites de exposición a </w:t>
            </w:r>
            <w:r w:rsidR="003C64F7">
              <w:t>r</w:t>
            </w:r>
            <w:r w:rsidRPr="001518BD">
              <w:t xml:space="preserve">adiaciones </w:t>
            </w:r>
            <w:r w:rsidR="003C64F7">
              <w:t>n</w:t>
            </w:r>
            <w:r w:rsidRPr="001518BD">
              <w:t xml:space="preserve">o </w:t>
            </w:r>
            <w:r w:rsidR="003C64F7">
              <w:t>i</w:t>
            </w:r>
            <w:r w:rsidRPr="001518BD">
              <w:t xml:space="preserve">onizantes. Sin embargo, se requiere de un </w:t>
            </w:r>
            <w:r w:rsidR="00922C8B">
              <w:t>instrumento regula</w:t>
            </w:r>
            <w:r w:rsidR="003A5AFE">
              <w:t>torio</w:t>
            </w:r>
            <w:r w:rsidRPr="001518BD">
              <w:t xml:space="preserve"> que </w:t>
            </w:r>
            <w:r w:rsidR="003A5AFE">
              <w:t xml:space="preserve">homologue </w:t>
            </w:r>
            <w:r w:rsidR="003C64F7">
              <w:t>los métodos</w:t>
            </w:r>
            <w:r w:rsidRPr="001518BD">
              <w:t xml:space="preserve"> </w:t>
            </w:r>
            <w:r w:rsidR="003E2798">
              <w:t xml:space="preserve">de prueba </w:t>
            </w:r>
            <w:r w:rsidRPr="001518BD">
              <w:t>a seguir para comprobar dicho cumplimiento.</w:t>
            </w:r>
            <w:r w:rsidR="00AA3E98">
              <w:t xml:space="preserve"> </w:t>
            </w:r>
          </w:p>
          <w:p w14:paraId="0A0F2DF5" w14:textId="77777777" w:rsidR="00AF607E" w:rsidRDefault="00AF607E" w:rsidP="00B27763">
            <w:pPr>
              <w:autoSpaceDE w:val="0"/>
              <w:autoSpaceDN w:val="0"/>
              <w:adjustRightInd w:val="0"/>
              <w:jc w:val="both"/>
            </w:pPr>
          </w:p>
          <w:p w14:paraId="0362CCDA" w14:textId="32DC2D23" w:rsidR="000F4302" w:rsidRDefault="003C64F7" w:rsidP="00D71E6C">
            <w:pPr>
              <w:spacing w:line="276" w:lineRule="auto"/>
              <w:jc w:val="both"/>
            </w:pPr>
            <w:r>
              <w:t>Con la autorregulación</w:t>
            </w:r>
            <w:r w:rsidR="001518BD" w:rsidRPr="001518BD">
              <w:t xml:space="preserve">, los </w:t>
            </w:r>
            <w:r>
              <w:t xml:space="preserve">referidos </w:t>
            </w:r>
            <w:r w:rsidR="001518BD" w:rsidRPr="001518BD">
              <w:t xml:space="preserve">métodos </w:t>
            </w:r>
            <w:r>
              <w:t xml:space="preserve">de prueba </w:t>
            </w:r>
            <w:r w:rsidR="001518BD" w:rsidRPr="001518BD">
              <w:t xml:space="preserve">a </w:t>
            </w:r>
            <w:r>
              <w:t xml:space="preserve">ser utilizados </w:t>
            </w:r>
            <w:r w:rsidR="001518BD" w:rsidRPr="001518BD">
              <w:t>podrían variar significativamente</w:t>
            </w:r>
            <w:r>
              <w:t xml:space="preserve"> uno de otro;</w:t>
            </w:r>
            <w:r w:rsidR="001518BD" w:rsidRPr="001518BD">
              <w:t xml:space="preserve"> por lo que</w:t>
            </w:r>
            <w:r w:rsidR="00922C8B">
              <w:t>,</w:t>
            </w:r>
            <w:r w:rsidR="001518BD" w:rsidRPr="001518BD">
              <w:t xml:space="preserve"> </w:t>
            </w:r>
            <w:r w:rsidR="00922C8B" w:rsidRPr="00922C8B">
              <w:t>es necesario contar con un</w:t>
            </w:r>
            <w:r>
              <w:t xml:space="preserve"> método de prueba y su correspondiente </w:t>
            </w:r>
            <w:r w:rsidR="00922C8B" w:rsidRPr="00922C8B">
              <w:t xml:space="preserve">procedimiento de evaluación de la conformidad donde </w:t>
            </w:r>
            <w:r w:rsidR="00D71E6C">
              <w:t>o</w:t>
            </w:r>
            <w:r w:rsidR="00922C8B" w:rsidRPr="00922C8B">
              <w:t xml:space="preserve">rganismos de </w:t>
            </w:r>
            <w:r w:rsidR="00D71E6C">
              <w:t>e</w:t>
            </w:r>
            <w:r w:rsidR="00922C8B" w:rsidRPr="00922C8B">
              <w:t xml:space="preserve">valuación de la </w:t>
            </w:r>
            <w:r w:rsidR="00D71E6C">
              <w:t>c</w:t>
            </w:r>
            <w:r w:rsidR="00922C8B" w:rsidRPr="00922C8B">
              <w:t xml:space="preserve">onformidad de tercera parte, debidamente acreditados y autorizados por el Instituto, constaten que </w:t>
            </w:r>
            <w:r w:rsidR="00AA3E98">
              <w:t xml:space="preserve">lo establecido en la </w:t>
            </w:r>
            <w:r w:rsidR="00922C8B" w:rsidRPr="00922C8B">
              <w:t xml:space="preserve">Disposición Técnica </w:t>
            </w:r>
            <w:r w:rsidR="00AA3E98">
              <w:t xml:space="preserve">de mérito </w:t>
            </w:r>
            <w:r w:rsidR="00922C8B" w:rsidRPr="00922C8B">
              <w:t>se cumpla; por lo que un esquema de autorregulación resultaría insuficiente.</w:t>
            </w:r>
          </w:p>
          <w:p w14:paraId="00596732" w14:textId="77777777" w:rsidR="00AF607E" w:rsidRDefault="00AF607E" w:rsidP="00AF607E">
            <w:pPr>
              <w:autoSpaceDE w:val="0"/>
              <w:autoSpaceDN w:val="0"/>
              <w:adjustRightInd w:val="0"/>
              <w:jc w:val="both"/>
            </w:pPr>
          </w:p>
          <w:p w14:paraId="00D88BC9" w14:textId="3AF1B843" w:rsidR="007141FE" w:rsidRPr="00D71E6C" w:rsidRDefault="007141FE" w:rsidP="00D71E6C">
            <w:pPr>
              <w:spacing w:line="276" w:lineRule="auto"/>
              <w:jc w:val="both"/>
              <w:rPr>
                <w:u w:val="single"/>
              </w:rPr>
            </w:pPr>
            <w:r w:rsidRPr="00D71E6C">
              <w:rPr>
                <w:u w:val="single"/>
              </w:rPr>
              <w:t>Norma Mexicana</w:t>
            </w:r>
            <w:r w:rsidR="00D71E6C">
              <w:rPr>
                <w:u w:val="single"/>
              </w:rPr>
              <w:t xml:space="preserve"> (NMX)</w:t>
            </w:r>
            <w:r w:rsidRPr="00D71E6C">
              <w:rPr>
                <w:u w:val="single"/>
              </w:rPr>
              <w:t>.</w:t>
            </w:r>
          </w:p>
          <w:p w14:paraId="12059A9E" w14:textId="1CE43BD0" w:rsidR="007141FE" w:rsidRPr="007141FE" w:rsidRDefault="007141FE" w:rsidP="007141FE">
            <w:pPr>
              <w:spacing w:line="276" w:lineRule="auto"/>
              <w:jc w:val="both"/>
            </w:pPr>
            <w:r w:rsidRPr="007141FE">
              <w:t xml:space="preserve">La adopción de una Norma Mexicana no generaría la observancia obligatoria y el cumplimiento de la misma, que se requiere. </w:t>
            </w:r>
            <w:r w:rsidR="00B27763">
              <w:t xml:space="preserve">Asimismo, es importante mencionar que el Instituto no se encuentra facultado para expedir </w:t>
            </w:r>
            <w:r w:rsidR="003C64F7">
              <w:t xml:space="preserve">dichas </w:t>
            </w:r>
            <w:r w:rsidR="00B27763">
              <w:t>Normas Mexicanas</w:t>
            </w:r>
            <w:r w:rsidR="003C64F7">
              <w:t>. S</w:t>
            </w:r>
            <w:r w:rsidR="00B27763">
              <w:t xml:space="preserve">in embargo, </w:t>
            </w:r>
            <w:r w:rsidR="00D71E6C">
              <w:t xml:space="preserve">el Instituto </w:t>
            </w:r>
            <w:r w:rsidR="00B27763">
              <w:t xml:space="preserve">es el único órgano con atribuciones para expedir disposiciones </w:t>
            </w:r>
            <w:r w:rsidR="007B23EA">
              <w:t xml:space="preserve">administrativas de carácter general </w:t>
            </w:r>
            <w:r w:rsidR="00B27763">
              <w:t xml:space="preserve">relativas a los </w:t>
            </w:r>
            <w:r w:rsidR="00B27763" w:rsidRPr="00B27763">
              <w:t>productos, equipos, dispositivos o aparatos destinados a telecomunicaciones que pueden ser conectados a una red de telecomunicaciones y/o hacer uso del espectro radioeléctrico</w:t>
            </w:r>
            <w:r w:rsidR="00B27763">
              <w:t>; por lo que no se prevé la existencia de una Norma Mexicana en este ámbito.</w:t>
            </w:r>
          </w:p>
          <w:p w14:paraId="7C0955DE" w14:textId="77777777" w:rsidR="007141FE" w:rsidRPr="007141FE" w:rsidRDefault="007141FE" w:rsidP="007141FE">
            <w:pPr>
              <w:spacing w:line="276" w:lineRule="auto"/>
              <w:jc w:val="both"/>
            </w:pPr>
          </w:p>
          <w:p w14:paraId="0D3027E1" w14:textId="77777777" w:rsidR="007141FE" w:rsidRPr="00D71E6C" w:rsidRDefault="007141FE" w:rsidP="00D71E6C">
            <w:pPr>
              <w:spacing w:line="276" w:lineRule="auto"/>
              <w:jc w:val="both"/>
              <w:rPr>
                <w:u w:val="single"/>
              </w:rPr>
            </w:pPr>
            <w:r w:rsidRPr="00D71E6C">
              <w:rPr>
                <w:u w:val="single"/>
              </w:rPr>
              <w:t>Programa para mejorar el cumplimiento de regulaciones existentes.</w:t>
            </w:r>
          </w:p>
          <w:p w14:paraId="5DAD21D3" w14:textId="4FDD011C" w:rsidR="007141FE" w:rsidRDefault="007141FE" w:rsidP="007141FE">
            <w:pPr>
              <w:spacing w:line="276" w:lineRule="auto"/>
              <w:jc w:val="both"/>
            </w:pPr>
            <w:r w:rsidRPr="007141FE">
              <w:t>Se considera que un programa para mejorar el cumplimiento de las regulaciones existentes resulta insuficiente en virtud de que</w:t>
            </w:r>
            <w:r w:rsidR="00C35EA5">
              <w:t>,</w:t>
            </w:r>
            <w:r w:rsidRPr="007141FE">
              <w:t xml:space="preserve"> como se ha mencionado</w:t>
            </w:r>
            <w:r w:rsidR="00C35EA5">
              <w:t>,</w:t>
            </w:r>
            <w:r w:rsidRPr="007141FE">
              <w:t xml:space="preserve"> no existe normativa nacional que regule o establezca </w:t>
            </w:r>
            <w:r w:rsidR="003C64F7">
              <w:t xml:space="preserve">parámetros técnicos, métodos de prueba y la correspondiente </w:t>
            </w:r>
            <w:r w:rsidR="00B27763">
              <w:t>evaluación de la conformidad</w:t>
            </w:r>
            <w:r w:rsidRPr="007141FE">
              <w:t xml:space="preserve"> relativa al </w:t>
            </w:r>
            <w:r w:rsidR="00420EDB">
              <w:t xml:space="preserve">SAR para </w:t>
            </w:r>
            <w:r w:rsidR="00420EDB" w:rsidRPr="007948E7">
              <w:t>productos, equipos, dispositivos o aparatos destinados a telecomunicaciones que pueden ser conectados a una red de telecomunicaciones o hacer uso del espectro radioeléctrico</w:t>
            </w:r>
            <w:r w:rsidR="00420EDB">
              <w:t>.</w:t>
            </w:r>
          </w:p>
          <w:p w14:paraId="55F7921D" w14:textId="77777777" w:rsidR="00F35918" w:rsidRPr="00922C8B" w:rsidRDefault="00F35918">
            <w:pPr>
              <w:spacing w:line="276" w:lineRule="auto"/>
              <w:jc w:val="both"/>
            </w:pPr>
          </w:p>
        </w:tc>
      </w:tr>
    </w:tbl>
    <w:p w14:paraId="32F1D50A" w14:textId="77777777" w:rsidR="001932FC" w:rsidRPr="006A010C" w:rsidRDefault="001932FC" w:rsidP="00C25D12">
      <w:pPr>
        <w:spacing w:line="276" w:lineRule="auto"/>
        <w:jc w:val="both"/>
      </w:pPr>
    </w:p>
    <w:tbl>
      <w:tblPr>
        <w:tblStyle w:val="Tablaconcuadrcula"/>
        <w:tblW w:w="0" w:type="dxa"/>
        <w:tblBorders>
          <w:insideH w:val="none" w:sz="0" w:space="0" w:color="auto"/>
          <w:insideV w:val="none" w:sz="0" w:space="0" w:color="auto"/>
        </w:tblBorders>
        <w:tblLook w:val="04A0" w:firstRow="1" w:lastRow="0" w:firstColumn="1" w:lastColumn="0" w:noHBand="0" w:noVBand="1"/>
        <w:tblCaption w:val=""/>
        <w:tblDescription w:val=""/>
      </w:tblPr>
      <w:tblGrid>
        <w:gridCol w:w="8828"/>
      </w:tblGrid>
      <w:tr w:rsidR="00801FED" w:rsidRPr="006A010C" w14:paraId="66334939" w14:textId="77777777" w:rsidTr="5D1AF574">
        <w:tc>
          <w:tcPr>
            <w:tcW w:w="8828" w:type="dxa"/>
          </w:tcPr>
          <w:p w14:paraId="0286A486" w14:textId="19BAF899" w:rsidR="00801FED" w:rsidRPr="006A010C" w:rsidRDefault="48ECE0BD" w:rsidP="00C25D12">
            <w:pPr>
              <w:spacing w:line="276" w:lineRule="auto"/>
              <w:jc w:val="both"/>
              <w:rPr>
                <w:rFonts w:eastAsia="ITC Avant Garde" w:cs="ITC Avant Garde"/>
                <w:b/>
                <w:bCs/>
              </w:rPr>
            </w:pPr>
            <w:r w:rsidRPr="006A010C">
              <w:rPr>
                <w:rFonts w:eastAsia="ITC Avant Garde" w:cs="ITC Avant Garde"/>
                <w:b/>
                <w:bCs/>
              </w:rPr>
              <w:t xml:space="preserve">5.- Justifique las razones por las que el </w:t>
            </w:r>
            <w:r w:rsidR="007E2E1A">
              <w:rPr>
                <w:rFonts w:eastAsia="ITC Avant Garde" w:cs="ITC Avant Garde"/>
                <w:b/>
                <w:bCs/>
              </w:rPr>
              <w:t>A</w:t>
            </w:r>
            <w:r w:rsidRPr="006A010C">
              <w:rPr>
                <w:rFonts w:eastAsia="ITC Avant Garde" w:cs="ITC Avant Garde"/>
                <w:b/>
                <w:bCs/>
              </w:rPr>
              <w:t>nteproyecto de regulación propuesto es considerado la mejor opción para atender la problemática detectada:</w:t>
            </w:r>
          </w:p>
          <w:p w14:paraId="02624B87" w14:textId="77777777" w:rsidR="00704978" w:rsidRDefault="00704978" w:rsidP="00C25D12">
            <w:pPr>
              <w:spacing w:line="276" w:lineRule="auto"/>
              <w:jc w:val="both"/>
            </w:pPr>
          </w:p>
          <w:p w14:paraId="0FF818EB" w14:textId="77777777" w:rsidR="00FE08F5" w:rsidRDefault="00FE08F5" w:rsidP="00FE08F5">
            <w:pPr>
              <w:spacing w:line="276" w:lineRule="auto"/>
              <w:jc w:val="both"/>
            </w:pPr>
            <w:r w:rsidRPr="00FE08F5">
              <w:t>Se considera que el presente Anteproyecto es la mejor opción regulatoria para atender la problemática planteada en el numeral 2, ya que:</w:t>
            </w:r>
          </w:p>
          <w:p w14:paraId="3BE0B38D" w14:textId="77777777" w:rsidR="00FE08F5" w:rsidRPr="00E022BD" w:rsidRDefault="00FE08F5" w:rsidP="0062677D">
            <w:pPr>
              <w:pStyle w:val="Prrafodelista"/>
              <w:numPr>
                <w:ilvl w:val="0"/>
                <w:numId w:val="3"/>
              </w:numPr>
              <w:spacing w:line="276" w:lineRule="auto"/>
              <w:jc w:val="both"/>
            </w:pPr>
            <w:r w:rsidRPr="00E022BD">
              <w:lastRenderedPageBreak/>
              <w:t>La emisión de una disposición administrativa de carácter general dará certeza jurídica a todos los involucrados.</w:t>
            </w:r>
          </w:p>
          <w:p w14:paraId="365505AE" w14:textId="11E9FF12" w:rsidR="007F0338" w:rsidRDefault="00E661D9" w:rsidP="007F0338">
            <w:pPr>
              <w:pStyle w:val="Prrafodelista"/>
              <w:numPr>
                <w:ilvl w:val="0"/>
                <w:numId w:val="3"/>
              </w:numPr>
              <w:spacing w:line="276" w:lineRule="auto"/>
              <w:jc w:val="both"/>
            </w:pPr>
            <w:r>
              <w:t>Coadyuvará a g</w:t>
            </w:r>
            <w:r w:rsidR="00C35EA5" w:rsidRPr="00C35EA5">
              <w:t xml:space="preserve">arantizar que los productos, equipos, dispositivos o aparatos destinados a telecomunicaciones que pueden ser conectados a una red de telecomunicaciones o hacer uso del espectro </w:t>
            </w:r>
            <w:r w:rsidR="00C35EA5" w:rsidRPr="003D756F">
              <w:t>radioeléctrico</w:t>
            </w:r>
            <w:r w:rsidRPr="003D756F">
              <w:t>,</w:t>
            </w:r>
            <w:r w:rsidR="00C35EA5" w:rsidRPr="003D756F">
              <w:t xml:space="preserve"> cumplen con los límites máximos de radiaciones no ionizantes.</w:t>
            </w:r>
          </w:p>
          <w:p w14:paraId="76C7A339" w14:textId="77CD18D7" w:rsidR="003E2798" w:rsidRPr="007F0338" w:rsidRDefault="003E2798" w:rsidP="007F0338">
            <w:pPr>
              <w:pStyle w:val="Prrafodelista"/>
              <w:numPr>
                <w:ilvl w:val="0"/>
                <w:numId w:val="3"/>
              </w:numPr>
              <w:spacing w:line="276" w:lineRule="auto"/>
              <w:jc w:val="both"/>
            </w:pPr>
            <w:r w:rsidRPr="007F0338">
              <w:t>Establecerá l</w:t>
            </w:r>
            <w:r w:rsidR="00F6495F">
              <w:t xml:space="preserve">os métodos </w:t>
            </w:r>
            <w:r w:rsidRPr="007F0338">
              <w:t>de pruebas para</w:t>
            </w:r>
            <w:r w:rsidR="00703535">
              <w:t xml:space="preserve"> evaluar</w:t>
            </w:r>
            <w:r w:rsidRPr="007F0338">
              <w:t xml:space="preserve"> el cumplimiento de los límites máximos del SAR emitidos por los productos, equipos, dispositivos o aparatos destinados a telecomunicaciones que pueden ser conectados a una red de telecomunicaciones o hacer uso del espectro radioeléctrico</w:t>
            </w:r>
            <w:r w:rsidR="00A72048" w:rsidRPr="007F0338">
              <w:t xml:space="preserve"> </w:t>
            </w:r>
            <w:r w:rsidR="00F6495F">
              <w:t>en concordancia con</w:t>
            </w:r>
            <w:r w:rsidR="00F6495F" w:rsidRPr="007F0338">
              <w:t xml:space="preserve"> </w:t>
            </w:r>
            <w:r w:rsidR="00A72048" w:rsidRPr="007F0338">
              <w:t xml:space="preserve">las normas internaciones </w:t>
            </w:r>
            <w:r w:rsidR="00C3744C" w:rsidRPr="007F0338">
              <w:t>IEC 62209</w:t>
            </w:r>
            <w:r w:rsidR="00650078">
              <w:noBreakHyphen/>
            </w:r>
            <w:r w:rsidR="00C3744C" w:rsidRPr="007F0338">
              <w:t>1</w:t>
            </w:r>
            <w:r w:rsidR="00650078">
              <w:t xml:space="preserve"> y IEC 62209</w:t>
            </w:r>
            <w:r w:rsidR="00650078">
              <w:noBreakHyphen/>
            </w:r>
            <w:r w:rsidR="00C3744C" w:rsidRPr="007F0338">
              <w:t>2.</w:t>
            </w:r>
          </w:p>
          <w:p w14:paraId="63CDB8B1" w14:textId="77777777" w:rsidR="00801FED" w:rsidRPr="006A010C" w:rsidRDefault="00801FED" w:rsidP="00FE08F5">
            <w:pPr>
              <w:spacing w:line="276" w:lineRule="auto"/>
              <w:jc w:val="both"/>
              <w:rPr>
                <w:rFonts w:eastAsiaTheme="minorEastAsia" w:cstheme="minorEastAsia"/>
              </w:rPr>
            </w:pPr>
          </w:p>
        </w:tc>
      </w:tr>
    </w:tbl>
    <w:p w14:paraId="588CF143" w14:textId="77777777" w:rsidR="00801FED" w:rsidRPr="006A010C" w:rsidRDefault="00801FED" w:rsidP="00C25D12">
      <w:pPr>
        <w:spacing w:line="276" w:lineRule="auto"/>
        <w:jc w:val="both"/>
      </w:pPr>
    </w:p>
    <w:tbl>
      <w:tblPr>
        <w:tblStyle w:val="Tablaconcuadrcula"/>
        <w:tblW w:w="0" w:type="dxa"/>
        <w:tblLook w:val="04A0" w:firstRow="1" w:lastRow="0" w:firstColumn="1" w:lastColumn="0" w:noHBand="0" w:noVBand="1"/>
        <w:tblCaption w:val=""/>
        <w:tblDescription w:val=""/>
      </w:tblPr>
      <w:tblGrid>
        <w:gridCol w:w="8828"/>
      </w:tblGrid>
      <w:tr w:rsidR="006D7A08" w:rsidRPr="006A010C" w14:paraId="0A71D494" w14:textId="77777777" w:rsidTr="00010FB1">
        <w:tc>
          <w:tcPr>
            <w:tcW w:w="8828" w:type="dxa"/>
          </w:tcPr>
          <w:p w14:paraId="32108436" w14:textId="77777777" w:rsidR="006D7A08" w:rsidRPr="00635436" w:rsidRDefault="48ECE0BD" w:rsidP="00C25D12">
            <w:pPr>
              <w:spacing w:line="276" w:lineRule="auto"/>
              <w:jc w:val="both"/>
              <w:rPr>
                <w:rFonts w:eastAsia="ITC Avant Garde" w:cs="ITC Avant Garde"/>
                <w:b/>
                <w:bCs/>
              </w:rPr>
            </w:pPr>
            <w:r w:rsidRPr="00635436">
              <w:rPr>
                <w:rFonts w:eastAsia="ITC Avant Garde" w:cs="ITC Avant Garde"/>
                <w:b/>
                <w:bCs/>
              </w:rPr>
              <w:t>6.- Describa la forma en que la problemática se encuentra regulada en otros países y/o las buenas prácticas internacionales en esa materia:</w:t>
            </w:r>
          </w:p>
          <w:p w14:paraId="3EACE289" w14:textId="77777777" w:rsidR="000163E9" w:rsidRPr="00635436" w:rsidRDefault="000163E9" w:rsidP="000163E9">
            <w:pPr>
              <w:spacing w:line="276" w:lineRule="auto"/>
              <w:jc w:val="both"/>
            </w:pPr>
          </w:p>
          <w:p w14:paraId="097B7039" w14:textId="77777777" w:rsidR="000163E9" w:rsidRPr="00635436" w:rsidRDefault="00082943" w:rsidP="000163E9">
            <w:pPr>
              <w:spacing w:line="276" w:lineRule="auto"/>
              <w:jc w:val="both"/>
              <w:rPr>
                <w:u w:val="single"/>
              </w:rPr>
            </w:pPr>
            <w:r w:rsidRPr="00635436">
              <w:rPr>
                <w:u w:val="single"/>
              </w:rPr>
              <w:t>I.- Estados Unidos</w:t>
            </w:r>
          </w:p>
          <w:p w14:paraId="5F8CF500" w14:textId="69863B1B" w:rsidR="00082943" w:rsidRPr="00635436" w:rsidRDefault="00082943" w:rsidP="000163E9">
            <w:pPr>
              <w:spacing w:line="276" w:lineRule="auto"/>
              <w:jc w:val="both"/>
            </w:pPr>
            <w:r w:rsidRPr="00635436">
              <w:t xml:space="preserve">El límite </w:t>
            </w:r>
            <w:r w:rsidR="003D756F" w:rsidRPr="00635436">
              <w:t>de</w:t>
            </w:r>
            <w:r w:rsidRPr="00635436">
              <w:t xml:space="preserve"> exposición a radiación por teléfonos celulares para el público en general es de 1</w:t>
            </w:r>
            <w:r w:rsidR="002B4DE1">
              <w:t>.</w:t>
            </w:r>
            <w:r w:rsidRPr="00635436">
              <w:t>6 Watt por kilogramo</w:t>
            </w:r>
            <w:r w:rsidR="003D756F" w:rsidRPr="00635436">
              <w:t xml:space="preserve"> establecido por la Comisión Federal de Comunicaciones (en lo sucesivo “FCC”, por sus siglas en inglés) en el Código de Regulación Federal 47 (en lo sucesivo, “CFR”; por sus siglas en inglés)</w:t>
            </w:r>
            <w:r w:rsidR="003D756F" w:rsidRPr="00635436">
              <w:rPr>
                <w:rStyle w:val="Refdenotaalpie"/>
              </w:rPr>
              <w:footnoteReference w:id="7"/>
            </w:r>
            <w:r w:rsidR="00C459BB" w:rsidRPr="00635436">
              <w:t>.</w:t>
            </w:r>
          </w:p>
          <w:p w14:paraId="3D9FE6FA" w14:textId="77777777" w:rsidR="00B1130A" w:rsidRPr="00635436" w:rsidRDefault="00B1130A" w:rsidP="000163E9">
            <w:pPr>
              <w:spacing w:line="276" w:lineRule="auto"/>
              <w:jc w:val="both"/>
            </w:pPr>
          </w:p>
          <w:p w14:paraId="3A6CE6D4" w14:textId="77777777" w:rsidR="00082943" w:rsidRPr="00635436" w:rsidRDefault="00082943" w:rsidP="000163E9">
            <w:pPr>
              <w:spacing w:line="276" w:lineRule="auto"/>
              <w:jc w:val="both"/>
            </w:pPr>
            <w:r w:rsidRPr="00635436">
              <w:t xml:space="preserve">La FCC requiere que los fabricantes de equipos y celulares realicen las pruebas de SAR en </w:t>
            </w:r>
            <w:r w:rsidR="00D430A4" w:rsidRPr="00635436">
              <w:t xml:space="preserve">el </w:t>
            </w:r>
            <w:r w:rsidRPr="00635436">
              <w:t xml:space="preserve">peor </w:t>
            </w:r>
            <w:r w:rsidR="00D430A4" w:rsidRPr="00635436">
              <w:t>escenario</w:t>
            </w:r>
            <w:r w:rsidRPr="00635436">
              <w:t xml:space="preserve"> (</w:t>
            </w:r>
            <w:r w:rsidR="00D430A4" w:rsidRPr="00635436">
              <w:t xml:space="preserve">transmisión a </w:t>
            </w:r>
            <w:r w:rsidRPr="00635436">
              <w:t xml:space="preserve">máxima potencia) </w:t>
            </w:r>
            <w:r w:rsidR="00F83667" w:rsidRPr="00635436">
              <w:t>solo</w:t>
            </w:r>
            <w:r w:rsidRPr="00635436">
              <w:t xml:space="preserve"> para las frecuencias </w:t>
            </w:r>
            <w:r w:rsidR="00A72048" w:rsidRPr="00635436">
              <w:t>de</w:t>
            </w:r>
            <w:r w:rsidRPr="00635436">
              <w:t xml:space="preserve"> opera</w:t>
            </w:r>
            <w:r w:rsidR="00A72048" w:rsidRPr="00635436">
              <w:t>ción</w:t>
            </w:r>
            <w:r w:rsidRPr="00635436">
              <w:t xml:space="preserve"> e</w:t>
            </w:r>
            <w:r w:rsidR="00A72048" w:rsidRPr="00635436">
              <w:t>n</w:t>
            </w:r>
            <w:r w:rsidRPr="00635436">
              <w:t xml:space="preserve"> </w:t>
            </w:r>
            <w:r w:rsidR="00A72048" w:rsidRPr="00635436">
              <w:t xml:space="preserve">su </w:t>
            </w:r>
            <w:r w:rsidR="008365C3" w:rsidRPr="00635436">
              <w:t>territorio.</w:t>
            </w:r>
            <w:r w:rsidR="0095457D" w:rsidRPr="00635436">
              <w:t xml:space="preserve"> Los valores máximos del SAR son mostrados en el certificado emitido por la FCC</w:t>
            </w:r>
            <w:r w:rsidR="009A37ED" w:rsidRPr="00635436">
              <w:t>,</w:t>
            </w:r>
            <w:r w:rsidR="0095457D" w:rsidRPr="00635436">
              <w:t xml:space="preserve"> en una página web dedicada a mostrar esta información</w:t>
            </w:r>
            <w:r w:rsidR="0095457D" w:rsidRPr="00635436">
              <w:rPr>
                <w:rStyle w:val="Refdenotaalpie"/>
              </w:rPr>
              <w:footnoteReference w:id="8"/>
            </w:r>
            <w:r w:rsidR="0095457D" w:rsidRPr="00635436">
              <w:t xml:space="preserve"> y en el manual del dispositivo.</w:t>
            </w:r>
          </w:p>
          <w:p w14:paraId="7EE01CF7" w14:textId="77777777" w:rsidR="00B1130A" w:rsidRPr="00635436" w:rsidRDefault="00B1130A" w:rsidP="000163E9">
            <w:pPr>
              <w:spacing w:line="276" w:lineRule="auto"/>
              <w:jc w:val="both"/>
            </w:pPr>
          </w:p>
          <w:p w14:paraId="76C43AA5" w14:textId="77777777" w:rsidR="0095457D" w:rsidRPr="00635436" w:rsidRDefault="0095457D" w:rsidP="000163E9">
            <w:pPr>
              <w:spacing w:line="276" w:lineRule="auto"/>
              <w:jc w:val="both"/>
            </w:pPr>
            <w:r w:rsidRPr="00635436">
              <w:t xml:space="preserve">Los procedimientos de prueba para la medición del SAR </w:t>
            </w:r>
            <w:r w:rsidR="00400CCA" w:rsidRPr="00635436">
              <w:t>están especificados en el estándar IEEE-1528-2013</w:t>
            </w:r>
            <w:r w:rsidR="00262F3F" w:rsidRPr="00635436">
              <w:t>: “</w:t>
            </w:r>
            <w:r w:rsidR="00262F3F" w:rsidRPr="00635436">
              <w:rPr>
                <w:i/>
              </w:rPr>
              <w:t>Recommended Practice for Determining the Peak Spatial-Average Specific Absorption Rate (SAR) in the Human Head from Wireless Communications Devices: Measurement Techniques</w:t>
            </w:r>
            <w:r w:rsidR="00262F3F" w:rsidRPr="00635436">
              <w:t>”</w:t>
            </w:r>
            <w:r w:rsidR="00400CCA" w:rsidRPr="00635436">
              <w:rPr>
                <w:rStyle w:val="Refdenotaalpie"/>
              </w:rPr>
              <w:footnoteReference w:id="9"/>
            </w:r>
            <w:r w:rsidR="00400CCA" w:rsidRPr="00635436">
              <w:t>.</w:t>
            </w:r>
          </w:p>
          <w:p w14:paraId="610AC327" w14:textId="77777777" w:rsidR="00D430A4" w:rsidRPr="00635436" w:rsidRDefault="00D430A4" w:rsidP="000163E9">
            <w:pPr>
              <w:spacing w:line="276" w:lineRule="auto"/>
              <w:jc w:val="both"/>
            </w:pPr>
          </w:p>
          <w:p w14:paraId="74ED88B4" w14:textId="77777777" w:rsidR="00840DA5" w:rsidRPr="00635436" w:rsidRDefault="00162C0D" w:rsidP="000163E9">
            <w:pPr>
              <w:spacing w:line="276" w:lineRule="auto"/>
              <w:jc w:val="both"/>
              <w:rPr>
                <w:u w:val="single"/>
              </w:rPr>
            </w:pPr>
            <w:r w:rsidRPr="00635436">
              <w:rPr>
                <w:u w:val="single"/>
              </w:rPr>
              <w:t xml:space="preserve">II.- </w:t>
            </w:r>
            <w:r w:rsidR="00840DA5" w:rsidRPr="00635436">
              <w:rPr>
                <w:u w:val="single"/>
              </w:rPr>
              <w:t>Canadá</w:t>
            </w:r>
          </w:p>
          <w:p w14:paraId="57A263EA" w14:textId="1DCD1966" w:rsidR="007454EA" w:rsidRPr="00635436" w:rsidRDefault="007454EA" w:rsidP="000163E9">
            <w:pPr>
              <w:spacing w:line="276" w:lineRule="auto"/>
              <w:jc w:val="both"/>
            </w:pPr>
            <w:r w:rsidRPr="00635436">
              <w:lastRenderedPageBreak/>
              <w:t xml:space="preserve">Los límites de exposición a radiación electromagnética están definidos en la </w:t>
            </w:r>
            <w:r w:rsidR="00586252" w:rsidRPr="00635436">
              <w:t>“</w:t>
            </w:r>
            <w:r w:rsidRPr="00635436">
              <w:t>Especificación de Estándar de Radio 102</w:t>
            </w:r>
            <w:r w:rsidR="00586252" w:rsidRPr="00635436">
              <w:t>”</w:t>
            </w:r>
            <w:r w:rsidRPr="00635436">
              <w:t xml:space="preserve"> (“RSS-102”;</w:t>
            </w:r>
            <w:r w:rsidR="00A27D1C" w:rsidRPr="00635436">
              <w:t>)</w:t>
            </w:r>
            <w:r w:rsidR="00D47866" w:rsidRPr="00635436">
              <w:rPr>
                <w:rStyle w:val="Refdenotaalpie"/>
              </w:rPr>
              <w:footnoteReference w:id="10"/>
            </w:r>
            <w:r w:rsidRPr="00635436">
              <w:t xml:space="preserve">. En él se establecen los requerimientos técnicos y </w:t>
            </w:r>
            <w:r w:rsidR="008365C3" w:rsidRPr="00635436">
              <w:t>mediciones usadas para evaluar radiaciones</w:t>
            </w:r>
            <w:r w:rsidRPr="00635436">
              <w:t xml:space="preserve"> no ionizante</w:t>
            </w:r>
            <w:r w:rsidR="008365C3" w:rsidRPr="00635436">
              <w:t>s</w:t>
            </w:r>
            <w:r w:rsidRPr="00635436">
              <w:t xml:space="preserve"> de </w:t>
            </w:r>
            <w:r w:rsidR="008365C3" w:rsidRPr="00635436">
              <w:t>producto</w:t>
            </w:r>
            <w:r w:rsidRPr="00635436">
              <w:t>s usados en cercanía al cuerpo humano</w:t>
            </w:r>
            <w:r w:rsidR="008365C3" w:rsidRPr="00635436">
              <w:t>, la</w:t>
            </w:r>
            <w:r w:rsidR="00143FDC" w:rsidRPr="00635436">
              <w:t>s cuales son consistentes con la norma IEEE C95.3</w:t>
            </w:r>
            <w:r w:rsidR="00143FDC" w:rsidRPr="00635436">
              <w:rPr>
                <w:rStyle w:val="Refdenotaalpie"/>
              </w:rPr>
              <w:footnoteReference w:id="11"/>
            </w:r>
            <w:r w:rsidRPr="00635436">
              <w:t>.</w:t>
            </w:r>
          </w:p>
          <w:p w14:paraId="0BDFF209" w14:textId="77777777" w:rsidR="00B1130A" w:rsidRPr="00635436" w:rsidRDefault="00B1130A" w:rsidP="000163E9">
            <w:pPr>
              <w:spacing w:line="276" w:lineRule="auto"/>
              <w:jc w:val="both"/>
            </w:pPr>
          </w:p>
          <w:p w14:paraId="2954F792" w14:textId="654D7A74" w:rsidR="00D430A4" w:rsidRPr="00635436" w:rsidRDefault="007454EA" w:rsidP="000163E9">
            <w:pPr>
              <w:spacing w:line="276" w:lineRule="auto"/>
              <w:jc w:val="both"/>
            </w:pPr>
            <w:r w:rsidRPr="00635436">
              <w:t xml:space="preserve">Todos los dispositivos fabricados, importados o vendidos en Canadá deben cumplir con </w:t>
            </w:r>
            <w:r w:rsidR="00D47866" w:rsidRPr="00635436">
              <w:t>el límite de 1</w:t>
            </w:r>
            <w:r w:rsidR="008365C3" w:rsidRPr="00635436">
              <w:t>.</w:t>
            </w:r>
            <w:r w:rsidR="00D47866" w:rsidRPr="00635436">
              <w:t>6 W/kg promediado en 1 gramo de tejido</w:t>
            </w:r>
            <w:r w:rsidRPr="00635436">
              <w:t xml:space="preserve">. </w:t>
            </w:r>
            <w:r w:rsidR="00D47866" w:rsidRPr="00635436">
              <w:t>Al confinar las mediciones de SAR en una muestra pequeña permite tener menor variabilidad, haciendo el límite de SAR más exigente en comparación con l</w:t>
            </w:r>
            <w:r w:rsidR="00A27D1C" w:rsidRPr="00635436">
              <w:t>a</w:t>
            </w:r>
            <w:r w:rsidR="00D47866" w:rsidRPr="00635436">
              <w:t xml:space="preserve">s </w:t>
            </w:r>
            <w:r w:rsidR="00A27D1C" w:rsidRPr="00813EC1">
              <w:t>recomendaciones</w:t>
            </w:r>
            <w:r w:rsidR="0072449A" w:rsidRPr="00E602CC">
              <w:t xml:space="preserve"> de la ICNIRP</w:t>
            </w:r>
            <w:r w:rsidR="00D47866" w:rsidRPr="00813EC1">
              <w:t>.</w:t>
            </w:r>
          </w:p>
          <w:p w14:paraId="3BAA6DA3" w14:textId="77777777" w:rsidR="00B1130A" w:rsidRPr="00635436" w:rsidRDefault="00B1130A" w:rsidP="000163E9">
            <w:pPr>
              <w:spacing w:line="276" w:lineRule="auto"/>
              <w:jc w:val="both"/>
            </w:pPr>
          </w:p>
          <w:p w14:paraId="143CD8A4" w14:textId="46F9FFE1" w:rsidR="0095457D" w:rsidRPr="00635436" w:rsidRDefault="00A42310" w:rsidP="000163E9">
            <w:pPr>
              <w:spacing w:line="276" w:lineRule="auto"/>
              <w:jc w:val="both"/>
            </w:pPr>
            <w:r w:rsidRPr="00635436">
              <w:t>El departamento de Innovación, Ciencia y Desarrollo Económico de Canadá pone a la disposición de la población una página de internet</w:t>
            </w:r>
            <w:r w:rsidR="00FE4E08" w:rsidRPr="00635436">
              <w:rPr>
                <w:rStyle w:val="Refdenotaalpie"/>
              </w:rPr>
              <w:footnoteReference w:id="12"/>
            </w:r>
            <w:r w:rsidRPr="00635436">
              <w:t xml:space="preserve"> en la cual se puede consultar los valores SAR para la mayoría de los dispositivos y equipos móviles</w:t>
            </w:r>
            <w:r w:rsidR="005D1129" w:rsidRPr="00635436">
              <w:t xml:space="preserve"> certificados </w:t>
            </w:r>
            <w:r w:rsidR="003E675B">
              <w:t xml:space="preserve"> y </w:t>
            </w:r>
            <w:r w:rsidRPr="00635436">
              <w:t>comercializados en el país.</w:t>
            </w:r>
          </w:p>
          <w:p w14:paraId="7D4FB78F" w14:textId="77777777" w:rsidR="0095457D" w:rsidRPr="00635436" w:rsidRDefault="0095457D" w:rsidP="000163E9">
            <w:pPr>
              <w:spacing w:line="276" w:lineRule="auto"/>
              <w:jc w:val="both"/>
            </w:pPr>
          </w:p>
          <w:p w14:paraId="7641DAB0" w14:textId="77777777" w:rsidR="00840DA5" w:rsidRPr="00635436" w:rsidRDefault="00FE4E08" w:rsidP="000163E9">
            <w:pPr>
              <w:spacing w:line="276" w:lineRule="auto"/>
              <w:jc w:val="both"/>
              <w:rPr>
                <w:u w:val="single"/>
              </w:rPr>
            </w:pPr>
            <w:r w:rsidRPr="00635436">
              <w:rPr>
                <w:u w:val="single"/>
              </w:rPr>
              <w:t xml:space="preserve">III.- </w:t>
            </w:r>
            <w:r w:rsidR="00840DA5" w:rsidRPr="00635436">
              <w:rPr>
                <w:u w:val="single"/>
              </w:rPr>
              <w:t>Finlandia</w:t>
            </w:r>
          </w:p>
          <w:p w14:paraId="576F87F3" w14:textId="043DF979" w:rsidR="005D1129" w:rsidRPr="00635436" w:rsidRDefault="00957FD1">
            <w:pPr>
              <w:spacing w:line="276" w:lineRule="auto"/>
              <w:jc w:val="both"/>
            </w:pPr>
            <w:r w:rsidRPr="00635436">
              <w:t>Finlandia</w:t>
            </w:r>
            <w:r w:rsidR="00A306CF" w:rsidRPr="00635436">
              <w:t xml:space="preserve"> comenzó la regulación de </w:t>
            </w:r>
            <w:r w:rsidR="000658E8" w:rsidRPr="00635436">
              <w:t>R</w:t>
            </w:r>
            <w:r w:rsidR="00A306CF" w:rsidRPr="00635436">
              <w:t xml:space="preserve">adiaciones </w:t>
            </w:r>
            <w:r w:rsidR="000658E8" w:rsidRPr="00635436">
              <w:t>N</w:t>
            </w:r>
            <w:r w:rsidR="00A306CF" w:rsidRPr="00635436">
              <w:t xml:space="preserve">o </w:t>
            </w:r>
            <w:r w:rsidR="000658E8" w:rsidRPr="00635436">
              <w:t>I</w:t>
            </w:r>
            <w:r w:rsidR="00A306CF" w:rsidRPr="00635436">
              <w:t xml:space="preserve">onizantes </w:t>
            </w:r>
            <w:r w:rsidR="002E0E21" w:rsidRPr="00635436">
              <w:t>en</w:t>
            </w:r>
            <w:r w:rsidR="00A306CF" w:rsidRPr="00635436">
              <w:t xml:space="preserve"> 1985 con la Decisión Ministerial No. 473 </w:t>
            </w:r>
            <w:r w:rsidR="002E0E21" w:rsidRPr="00635436">
              <w:t>“S</w:t>
            </w:r>
            <w:r w:rsidR="00A306CF" w:rsidRPr="00635436">
              <w:t>obre el equipo de alta frecuencia</w:t>
            </w:r>
            <w:r w:rsidR="002E0E21" w:rsidRPr="00635436">
              <w:t xml:space="preserve"> y el control del mismo”</w:t>
            </w:r>
            <w:r w:rsidR="00A306CF" w:rsidRPr="00635436">
              <w:t>, seguido de la Acta de Protección de Radiación de 1991 (No. 592)</w:t>
            </w:r>
            <w:r w:rsidR="00A306CF" w:rsidRPr="00635436">
              <w:rPr>
                <w:rStyle w:val="Refdenotaalpie"/>
              </w:rPr>
              <w:footnoteReference w:id="13"/>
            </w:r>
            <w:r w:rsidR="00FE6E36" w:rsidRPr="00635436">
              <w:t>. Los valores límites de</w:t>
            </w:r>
            <w:r w:rsidR="005D1129" w:rsidRPr="00635436">
              <w:t xml:space="preserve"> exposición a radiaciones no ionizantes están establecidos en concordancia con la regulación europea emitida por el Parlamento Europeo en la </w:t>
            </w:r>
            <w:r w:rsidR="00EF6219" w:rsidRPr="00635436">
              <w:t>Recomendación 1999/519/EC</w:t>
            </w:r>
            <w:r w:rsidR="00EF6219" w:rsidRPr="00E602CC">
              <w:rPr>
                <w:vertAlign w:val="superscript"/>
              </w:rPr>
              <w:footnoteReference w:id="14"/>
            </w:r>
            <w:r w:rsidR="00EF6219" w:rsidRPr="00635436">
              <w:t xml:space="preserve"> y la </w:t>
            </w:r>
            <w:r w:rsidR="005D1129" w:rsidRPr="00E602CC">
              <w:t xml:space="preserve">Directiva </w:t>
            </w:r>
            <w:r w:rsidR="00EF6219" w:rsidRPr="00E602CC">
              <w:t>2013/35/EU</w:t>
            </w:r>
            <w:r w:rsidR="00EF6219" w:rsidRPr="00635436">
              <w:rPr>
                <w:rStyle w:val="Refdenotaalpie"/>
              </w:rPr>
              <w:footnoteReference w:id="15"/>
            </w:r>
            <w:r w:rsidR="005D1129" w:rsidRPr="00635436">
              <w:t xml:space="preserve">. </w:t>
            </w:r>
          </w:p>
          <w:p w14:paraId="6CBF5269" w14:textId="77777777" w:rsidR="00B1130A" w:rsidRPr="00635436" w:rsidRDefault="00B1130A">
            <w:pPr>
              <w:spacing w:line="276" w:lineRule="auto"/>
              <w:jc w:val="both"/>
            </w:pPr>
          </w:p>
          <w:p w14:paraId="02C97DE2" w14:textId="74008445" w:rsidR="00A306CF" w:rsidRPr="00635436" w:rsidRDefault="008365C3">
            <w:pPr>
              <w:spacing w:line="276" w:lineRule="auto"/>
              <w:jc w:val="both"/>
            </w:pPr>
            <w:r w:rsidRPr="00635436">
              <w:t>L</w:t>
            </w:r>
            <w:r w:rsidR="005D1129" w:rsidRPr="00635436">
              <w:t xml:space="preserve">os valores máximos del SAR </w:t>
            </w:r>
            <w:r w:rsidRPr="00635436">
              <w:t xml:space="preserve">para la población en general </w:t>
            </w:r>
            <w:r w:rsidR="005D1129" w:rsidRPr="00635436">
              <w:t>son de 2 W</w:t>
            </w:r>
            <w:r w:rsidR="00EB1392" w:rsidRPr="00635436">
              <w:t>/kg</w:t>
            </w:r>
            <w:r w:rsidR="005D1129" w:rsidRPr="00635436">
              <w:t xml:space="preserve"> promediado sobre 10 gramos de tejido</w:t>
            </w:r>
            <w:r w:rsidR="005D1129" w:rsidRPr="00E602CC">
              <w:t>.</w:t>
            </w:r>
            <w:r w:rsidR="005D1129" w:rsidRPr="00635436">
              <w:t xml:space="preserve"> Las pruebas son realizadas de </w:t>
            </w:r>
            <w:r w:rsidR="005D1129" w:rsidRPr="00E602CC">
              <w:t xml:space="preserve">acuerdo a la </w:t>
            </w:r>
            <w:r w:rsidR="00EF6219" w:rsidRPr="00E602CC">
              <w:t>recomendaciones de</w:t>
            </w:r>
            <w:r w:rsidR="00813EC1" w:rsidRPr="00E602CC">
              <w:t xml:space="preserve"> </w:t>
            </w:r>
            <w:r w:rsidR="005D1129" w:rsidRPr="00E602CC">
              <w:t xml:space="preserve">la </w:t>
            </w:r>
            <w:r w:rsidRPr="00E602CC">
              <w:t>ICNIRP</w:t>
            </w:r>
            <w:r w:rsidRPr="00635436">
              <w:t xml:space="preserve"> </w:t>
            </w:r>
            <w:r w:rsidR="00143FDC" w:rsidRPr="00635436">
              <w:t>y la norma internacional IEC 62209-1:2016.</w:t>
            </w:r>
          </w:p>
          <w:p w14:paraId="06EF04C5" w14:textId="77777777" w:rsidR="00B1130A" w:rsidRPr="00635436" w:rsidRDefault="00B1130A">
            <w:pPr>
              <w:spacing w:line="276" w:lineRule="auto"/>
              <w:jc w:val="both"/>
            </w:pPr>
          </w:p>
          <w:p w14:paraId="1A96BFDB" w14:textId="66A18F78" w:rsidR="005D1129" w:rsidRPr="00635436" w:rsidRDefault="009857D6">
            <w:pPr>
              <w:spacing w:line="276" w:lineRule="auto"/>
              <w:jc w:val="both"/>
            </w:pPr>
            <w:r w:rsidRPr="00635436">
              <w:t>La Autoridad e</w:t>
            </w:r>
            <w:r w:rsidR="008365C3" w:rsidRPr="00635436">
              <w:t>n Radiación y Seguridad Nuclear (STUK)</w:t>
            </w:r>
            <w:r w:rsidRPr="00635436">
              <w:t xml:space="preserve"> es la autoridad regulatoria responsable de realizar el monitoreo de la radiación emitida por dispositivos móviles por medio de pruebas aleatorias</w:t>
            </w:r>
            <w:r w:rsidR="00EF6219" w:rsidRPr="00635436">
              <w:t xml:space="preserve"> a los productos o dispositivos</w:t>
            </w:r>
            <w:r w:rsidRPr="00635436">
              <w:t xml:space="preserve">. Los </w:t>
            </w:r>
            <w:r w:rsidRPr="00635436">
              <w:lastRenderedPageBreak/>
              <w:t xml:space="preserve">fabricantes y/o importadores de dichos dispositivos deben de garantizar la conformidad de su producto antes de ser puestos a la venta y STUK </w:t>
            </w:r>
            <w:r w:rsidR="008365C3" w:rsidRPr="00635436">
              <w:t>publica</w:t>
            </w:r>
            <w:r w:rsidRPr="00635436">
              <w:t xml:space="preserve"> </w:t>
            </w:r>
            <w:r w:rsidR="008365C3" w:rsidRPr="00635436">
              <w:t>la</w:t>
            </w:r>
            <w:r w:rsidRPr="00635436">
              <w:t xml:space="preserve"> lista de </w:t>
            </w:r>
            <w:r w:rsidR="008365C3" w:rsidRPr="00E602CC">
              <w:t>productos</w:t>
            </w:r>
            <w:r w:rsidRPr="00E602CC">
              <w:t xml:space="preserve"> </w:t>
            </w:r>
            <w:r w:rsidR="00EF6219" w:rsidRPr="00E602CC">
              <w:t xml:space="preserve">que han sido medidos </w:t>
            </w:r>
            <w:r w:rsidRPr="00E602CC">
              <w:t xml:space="preserve">junto con el </w:t>
            </w:r>
            <w:r w:rsidR="00EF6219" w:rsidRPr="00E602CC">
              <w:t xml:space="preserve">valor del </w:t>
            </w:r>
            <w:r w:rsidRPr="00E602CC">
              <w:t xml:space="preserve">SAR </w:t>
            </w:r>
            <w:r w:rsidR="00EF6219" w:rsidRPr="00E602CC">
              <w:t xml:space="preserve">obtenido </w:t>
            </w:r>
            <w:r w:rsidRPr="00635436">
              <w:t>en su página web</w:t>
            </w:r>
            <w:r w:rsidRPr="00635436">
              <w:rPr>
                <w:rStyle w:val="Refdenotaalpie"/>
              </w:rPr>
              <w:footnoteReference w:id="16"/>
            </w:r>
            <w:r w:rsidRPr="00635436">
              <w:t>.</w:t>
            </w:r>
          </w:p>
          <w:p w14:paraId="244AE734" w14:textId="77777777" w:rsidR="00124C1B" w:rsidRPr="00635436" w:rsidRDefault="00124C1B" w:rsidP="000163E9">
            <w:pPr>
              <w:spacing w:line="276" w:lineRule="auto"/>
              <w:jc w:val="both"/>
            </w:pPr>
          </w:p>
          <w:p w14:paraId="68947863" w14:textId="7A5DCBB4" w:rsidR="00EF6219" w:rsidRPr="00635436" w:rsidRDefault="00EF6219" w:rsidP="000163E9">
            <w:pPr>
              <w:spacing w:line="276" w:lineRule="auto"/>
              <w:jc w:val="both"/>
            </w:pPr>
            <w:r w:rsidRPr="00635436">
              <w:t xml:space="preserve">El método de prueba aplicado por STUK </w:t>
            </w:r>
            <w:r w:rsidR="003E675B">
              <w:t xml:space="preserve">es concordante con </w:t>
            </w:r>
            <w:r w:rsidR="0093726F">
              <w:t xml:space="preserve">lo </w:t>
            </w:r>
            <w:r w:rsidRPr="00635436">
              <w:t>establecido en la norma internacional IEC 62209-1</w:t>
            </w:r>
            <w:r w:rsidR="00075CE8" w:rsidRPr="00635436">
              <w:t>:2016</w:t>
            </w:r>
            <w:r w:rsidR="003E675B">
              <w:t>;</w:t>
            </w:r>
            <w:r w:rsidRPr="00635436">
              <w:t xml:space="preserve"> </w:t>
            </w:r>
            <w:r w:rsidR="003E675B">
              <w:t xml:space="preserve">sin embargo, en dicho país </w:t>
            </w:r>
            <w:r w:rsidRPr="00635436">
              <w:t>solo se prueban las frecuencias que están en operación</w:t>
            </w:r>
            <w:r w:rsidR="003E675B">
              <w:t>,</w:t>
            </w:r>
            <w:r w:rsidRPr="00635436">
              <w:t xml:space="preserve"> con el dispositivo operando en modo de conversación (modo </w:t>
            </w:r>
            <w:r w:rsidR="00FB6F47" w:rsidRPr="00635436">
              <w:t>transmisión de audio</w:t>
            </w:r>
            <w:r w:rsidRPr="00635436">
              <w:t>).</w:t>
            </w:r>
          </w:p>
          <w:p w14:paraId="22DB62E4" w14:textId="77777777" w:rsidR="00EF6219" w:rsidRPr="00635436" w:rsidRDefault="00EF6219" w:rsidP="000163E9">
            <w:pPr>
              <w:spacing w:line="276" w:lineRule="auto"/>
              <w:jc w:val="both"/>
            </w:pPr>
          </w:p>
          <w:p w14:paraId="556D9CCB" w14:textId="77777777" w:rsidR="007B2B5D" w:rsidRPr="00635436" w:rsidRDefault="00FE4E08" w:rsidP="000163E9">
            <w:pPr>
              <w:spacing w:line="276" w:lineRule="auto"/>
              <w:jc w:val="both"/>
              <w:rPr>
                <w:u w:val="single"/>
              </w:rPr>
            </w:pPr>
            <w:r w:rsidRPr="00635436">
              <w:rPr>
                <w:u w:val="single"/>
              </w:rPr>
              <w:t xml:space="preserve">IV.- </w:t>
            </w:r>
            <w:r w:rsidR="007B2B5D" w:rsidRPr="00635436">
              <w:rPr>
                <w:u w:val="single"/>
              </w:rPr>
              <w:t>Unión Europea</w:t>
            </w:r>
          </w:p>
          <w:p w14:paraId="6924FB06" w14:textId="54C58A05" w:rsidR="007B2B5D" w:rsidRPr="00635436" w:rsidRDefault="00A07DC6" w:rsidP="000163E9">
            <w:pPr>
              <w:spacing w:line="276" w:lineRule="auto"/>
              <w:jc w:val="both"/>
            </w:pPr>
            <w:r w:rsidRPr="00635436">
              <w:t>Los países miembros de la Unión Europea deben de seguir las recomendaciones y guías emitidas por el Parlamento Europeo y el Consejo</w:t>
            </w:r>
            <w:r w:rsidR="00D82268" w:rsidRPr="00635436">
              <w:t>. Los países implementan estas recomendaciones y guías por medio de legislación o regulación</w:t>
            </w:r>
            <w:r w:rsidR="003E675B">
              <w:t xml:space="preserve"> </w:t>
            </w:r>
            <w:r w:rsidR="003E675B" w:rsidRPr="00635436">
              <w:t>nacional</w:t>
            </w:r>
            <w:r w:rsidR="003E675B">
              <w:t xml:space="preserve">, por lo tanto dichos </w:t>
            </w:r>
            <w:r w:rsidR="00D82268" w:rsidRPr="00635436">
              <w:t>países miembros deben de cumplir con los límites máximos de exposición a radiación no ionizante</w:t>
            </w:r>
            <w:r w:rsidR="003E675B">
              <w:t>;</w:t>
            </w:r>
            <w:r w:rsidR="00D82268" w:rsidRPr="00635436">
              <w:t xml:space="preserve"> sin embargo, pueden establecer límites </w:t>
            </w:r>
            <w:r w:rsidR="00E77E3E" w:rsidRPr="00635436">
              <w:t xml:space="preserve">aún </w:t>
            </w:r>
            <w:r w:rsidR="00D82268" w:rsidRPr="00635436">
              <w:t xml:space="preserve">más exigentes en su propia legislación. Estos límites están determinados para el público en general en la </w:t>
            </w:r>
            <w:r w:rsidR="00EF6219" w:rsidRPr="00E602CC">
              <w:t>R</w:t>
            </w:r>
            <w:r w:rsidR="00D82268" w:rsidRPr="00E602CC">
              <w:t>ecomendación 1999/519/EC</w:t>
            </w:r>
            <w:r w:rsidR="00E77E3E" w:rsidRPr="00635436">
              <w:t xml:space="preserve"> y </w:t>
            </w:r>
            <w:r w:rsidR="00EF6219" w:rsidRPr="00635436">
              <w:t xml:space="preserve">los límites </w:t>
            </w:r>
            <w:r w:rsidR="00E77E3E" w:rsidRPr="00635436">
              <w:t xml:space="preserve">para la exposición laboral </w:t>
            </w:r>
            <w:r w:rsidR="00564771" w:rsidRPr="00635436">
              <w:t>en la D</w:t>
            </w:r>
            <w:r w:rsidR="00D82268" w:rsidRPr="00635436">
              <w:t>irectiva 2013/35/EU.</w:t>
            </w:r>
          </w:p>
          <w:p w14:paraId="4ABF08DE" w14:textId="77777777" w:rsidR="00B1130A" w:rsidRPr="00635436" w:rsidRDefault="00B1130A" w:rsidP="000163E9">
            <w:pPr>
              <w:spacing w:line="276" w:lineRule="auto"/>
              <w:jc w:val="both"/>
            </w:pPr>
          </w:p>
          <w:p w14:paraId="1DC417E0" w14:textId="23E19011" w:rsidR="00D82268" w:rsidRPr="00635436" w:rsidRDefault="00D82268" w:rsidP="000163E9">
            <w:pPr>
              <w:spacing w:line="276" w:lineRule="auto"/>
              <w:jc w:val="both"/>
            </w:pPr>
            <w:r w:rsidRPr="00635436">
              <w:t>Los límites de</w:t>
            </w:r>
            <w:r w:rsidR="00564771" w:rsidRPr="00635436">
              <w:t>l SAR y metodologías de prueba consideran</w:t>
            </w:r>
            <w:r w:rsidRPr="00635436">
              <w:t xml:space="preserve"> las recomendaciones emitidas por la ICNIRP</w:t>
            </w:r>
            <w:r w:rsidR="006A1E66" w:rsidRPr="00635436">
              <w:t xml:space="preserve"> y </w:t>
            </w:r>
            <w:r w:rsidR="00564771" w:rsidRPr="00635436">
              <w:t>lo establecido</w:t>
            </w:r>
            <w:r w:rsidR="006A1E66" w:rsidRPr="00635436">
              <w:t xml:space="preserve"> en las normas </w:t>
            </w:r>
            <w:r w:rsidR="00143FDC" w:rsidRPr="00635436">
              <w:t xml:space="preserve">internacionales IEC 62209-1:2016 </w:t>
            </w:r>
            <w:r w:rsidR="003E675B">
              <w:t>e</w:t>
            </w:r>
            <w:r w:rsidR="00143FDC" w:rsidRPr="00635436">
              <w:t xml:space="preserve"> IEC 62209-2:2010</w:t>
            </w:r>
            <w:r w:rsidR="003E675B">
              <w:t>, respectivamente</w:t>
            </w:r>
            <w:r w:rsidR="009A37ED" w:rsidRPr="00635436">
              <w:t>.</w:t>
            </w:r>
          </w:p>
          <w:p w14:paraId="06D49D15" w14:textId="77777777" w:rsidR="00A07DC6" w:rsidRPr="00635436" w:rsidRDefault="00A07DC6" w:rsidP="000163E9">
            <w:pPr>
              <w:spacing w:line="276" w:lineRule="auto"/>
              <w:jc w:val="both"/>
            </w:pPr>
          </w:p>
          <w:p w14:paraId="259AE4A7" w14:textId="77777777" w:rsidR="00840DA5" w:rsidRPr="00635436" w:rsidRDefault="009857D6" w:rsidP="000163E9">
            <w:pPr>
              <w:spacing w:line="276" w:lineRule="auto"/>
              <w:jc w:val="both"/>
              <w:rPr>
                <w:u w:val="single"/>
              </w:rPr>
            </w:pPr>
            <w:r w:rsidRPr="00635436">
              <w:rPr>
                <w:u w:val="single"/>
              </w:rPr>
              <w:t xml:space="preserve">V.- </w:t>
            </w:r>
            <w:r w:rsidR="00840DA5" w:rsidRPr="00635436">
              <w:rPr>
                <w:u w:val="single"/>
              </w:rPr>
              <w:t>Japón</w:t>
            </w:r>
          </w:p>
          <w:p w14:paraId="4242B315" w14:textId="77777777" w:rsidR="00840DA5" w:rsidRPr="00635436" w:rsidRDefault="00FD4B59" w:rsidP="000163E9">
            <w:pPr>
              <w:spacing w:line="276" w:lineRule="auto"/>
              <w:jc w:val="both"/>
            </w:pPr>
            <w:r w:rsidRPr="00635436">
              <w:t xml:space="preserve">El Ministerio de </w:t>
            </w:r>
            <w:r w:rsidR="00371B11" w:rsidRPr="00635436">
              <w:t xml:space="preserve">Asuntos Internos </w:t>
            </w:r>
            <w:r w:rsidRPr="00635436">
              <w:t xml:space="preserve">y </w:t>
            </w:r>
            <w:r w:rsidR="00371B11" w:rsidRPr="00635436">
              <w:t>C</w:t>
            </w:r>
            <w:r w:rsidRPr="00635436">
              <w:t>omunicaciones publicó en 1997 la Guía sobre la Protección de Radiación de Radio para Exposición Humana a Campos Electromagnéticos, la cual ha sido usada para operación</w:t>
            </w:r>
            <w:r w:rsidR="00F609FA" w:rsidRPr="00635436">
              <w:t xml:space="preserve"> e instalación </w:t>
            </w:r>
            <w:r w:rsidRPr="00635436">
              <w:t>de estaciones y fabricación de equipo de radiofrecuencia</w:t>
            </w:r>
            <w:r w:rsidR="00F609FA" w:rsidRPr="00635436">
              <w:t xml:space="preserve"> y telecomunicaciones</w:t>
            </w:r>
            <w:r w:rsidR="00253B37" w:rsidRPr="00635436">
              <w:rPr>
                <w:rStyle w:val="Refdenotaalpie"/>
              </w:rPr>
              <w:footnoteReference w:id="17"/>
            </w:r>
            <w:r w:rsidR="00F609FA" w:rsidRPr="00635436">
              <w:t>. En esta guía se establecen los valores má</w:t>
            </w:r>
            <w:r w:rsidR="00564771" w:rsidRPr="00635436">
              <w:t>ximos del SAR (2 W/kg) que los</w:t>
            </w:r>
            <w:r w:rsidR="00F609FA" w:rsidRPr="00635436">
              <w:t xml:space="preserve"> dispositivos de telecomunicaciones deben de cumplir</w:t>
            </w:r>
            <w:r w:rsidR="00371B11" w:rsidRPr="00635436">
              <w:t xml:space="preserve"> de manera obligatoria</w:t>
            </w:r>
            <w:r w:rsidR="00F609FA" w:rsidRPr="00635436">
              <w:t xml:space="preserve">. Los valores de SAR están alineados con los valores recomendados por </w:t>
            </w:r>
            <w:r w:rsidR="00564771" w:rsidRPr="00635436">
              <w:t xml:space="preserve">la </w:t>
            </w:r>
            <w:r w:rsidR="00F609FA" w:rsidRPr="00635436">
              <w:t>ICNIRP.</w:t>
            </w:r>
          </w:p>
          <w:p w14:paraId="13DD135C" w14:textId="77777777" w:rsidR="00DD6F9D" w:rsidRPr="00635436" w:rsidRDefault="00DD6F9D" w:rsidP="000163E9">
            <w:pPr>
              <w:spacing w:line="276" w:lineRule="auto"/>
              <w:jc w:val="both"/>
            </w:pPr>
          </w:p>
          <w:p w14:paraId="233C6506" w14:textId="77777777" w:rsidR="00F609FA" w:rsidRPr="00635436" w:rsidRDefault="00F609FA" w:rsidP="000163E9">
            <w:pPr>
              <w:spacing w:line="276" w:lineRule="auto"/>
              <w:jc w:val="both"/>
            </w:pPr>
            <w:r w:rsidRPr="00635436">
              <w:t xml:space="preserve">El organismo encargado de evaluar la conformidad de los dispositivos </w:t>
            </w:r>
            <w:r w:rsidR="00564771" w:rsidRPr="00635436">
              <w:t>respecto a los</w:t>
            </w:r>
            <w:r w:rsidRPr="00635436">
              <w:t xml:space="preserve"> límites de SAR es la Asociación de Industrias y Negocios de Radio </w:t>
            </w:r>
            <w:r w:rsidR="00564771" w:rsidRPr="00635436">
              <w:t xml:space="preserve">mediante </w:t>
            </w:r>
            <w:r w:rsidRPr="00635436">
              <w:lastRenderedPageBreak/>
              <w:t>el estándar STD-T56, cuya última versión (3.3) fue publicada el 3 de diciembre de 2015</w:t>
            </w:r>
            <w:r w:rsidR="00253B37" w:rsidRPr="00635436">
              <w:rPr>
                <w:rStyle w:val="Refdenotaalpie"/>
              </w:rPr>
              <w:footnoteReference w:id="18"/>
            </w:r>
            <w:r w:rsidRPr="00635436">
              <w:t>.</w:t>
            </w:r>
          </w:p>
          <w:p w14:paraId="5EFC5E49" w14:textId="77777777" w:rsidR="00B1130A" w:rsidRPr="00635436" w:rsidRDefault="00B1130A" w:rsidP="000163E9">
            <w:pPr>
              <w:spacing w:line="276" w:lineRule="auto"/>
              <w:jc w:val="both"/>
            </w:pPr>
          </w:p>
          <w:p w14:paraId="12B9FED3" w14:textId="77777777" w:rsidR="00F609FA" w:rsidRPr="00635436" w:rsidRDefault="00371B11" w:rsidP="000163E9">
            <w:pPr>
              <w:spacing w:line="276" w:lineRule="auto"/>
              <w:jc w:val="both"/>
            </w:pPr>
            <w:r w:rsidRPr="00635436">
              <w:t>El Ministerio continúa fomentando, desde 1998, la investigación en materia de los efectos de las ondas de radiofrecuencia en el cuerpo humano por medio de un comité multidisciplinario de trabajo compuesto de expertos en medicina, ingeniería y ciencias relacionadas. Este comité tiene como objetivo principal definir los planes de investigación y evaluación de los efectos de los campos electromagnéticos en el cuerpo humano y, promover la cooperación e investigación a nivel internacional en la materia</w:t>
            </w:r>
            <w:r w:rsidR="00DC1235" w:rsidRPr="00635436">
              <w:rPr>
                <w:rStyle w:val="Refdenotaalpie"/>
              </w:rPr>
              <w:footnoteReference w:id="19"/>
            </w:r>
            <w:r w:rsidRPr="00635436">
              <w:t>.</w:t>
            </w:r>
          </w:p>
          <w:p w14:paraId="04719223" w14:textId="77777777" w:rsidR="00A5234B" w:rsidRPr="00635436" w:rsidRDefault="00A5234B" w:rsidP="000163E9">
            <w:pPr>
              <w:spacing w:line="276" w:lineRule="auto"/>
              <w:jc w:val="both"/>
            </w:pPr>
          </w:p>
          <w:p w14:paraId="14000602" w14:textId="77777777" w:rsidR="006E040E" w:rsidRPr="00635436" w:rsidRDefault="006E040E" w:rsidP="000163E9">
            <w:pPr>
              <w:spacing w:line="276" w:lineRule="auto"/>
              <w:jc w:val="both"/>
              <w:rPr>
                <w:u w:val="single"/>
              </w:rPr>
            </w:pPr>
            <w:r w:rsidRPr="00635436">
              <w:rPr>
                <w:u w:val="single"/>
              </w:rPr>
              <w:t>VI.- Australia</w:t>
            </w:r>
          </w:p>
          <w:p w14:paraId="5FF34488" w14:textId="77777777" w:rsidR="006E040E" w:rsidRPr="00635436" w:rsidRDefault="00A9406D" w:rsidP="000163E9">
            <w:pPr>
              <w:spacing w:line="276" w:lineRule="auto"/>
              <w:jc w:val="both"/>
            </w:pPr>
            <w:r w:rsidRPr="00635436">
              <w:t>La Agencia Australiana de Protección de Radiación y Seguridad N</w:t>
            </w:r>
            <w:r w:rsidR="00CE2624" w:rsidRPr="00635436">
              <w:t>uclear (</w:t>
            </w:r>
            <w:r w:rsidRPr="00635436">
              <w:t>ARPANSA)</w:t>
            </w:r>
            <w:r w:rsidR="00852F69" w:rsidRPr="00635436">
              <w:t xml:space="preserve"> publicó, el 7 de mayo de 2002, el </w:t>
            </w:r>
            <w:r w:rsidR="00EE6F3D" w:rsidRPr="00635436">
              <w:t>“</w:t>
            </w:r>
            <w:r w:rsidR="00852F69" w:rsidRPr="00635436">
              <w:t>Estándar de protección de la radiación y niveles máximos de exposición a campos de radiofrecuencia – 3 kHz a 300 GHz</w:t>
            </w:r>
            <w:r w:rsidR="00EE6F3D" w:rsidRPr="00635436">
              <w:t>”</w:t>
            </w:r>
            <w:r w:rsidR="00EE6F3D" w:rsidRPr="00635436">
              <w:rPr>
                <w:rStyle w:val="Refdenotaalpie"/>
              </w:rPr>
              <w:footnoteReference w:id="20"/>
            </w:r>
            <w:r w:rsidR="00852F69" w:rsidRPr="00635436">
              <w:t xml:space="preserve">. Este estándar establece los límites de exposición por seres humanos a campos de electromagnéticos para los casos de exposición laboral y público en general, además de detallar los métodos de medición y evaluación de la conformidad con estos límites. Los límites establecidos por el estándar concordaban con </w:t>
            </w:r>
            <w:r w:rsidR="00EB1392" w:rsidRPr="00635436">
              <w:t>los</w:t>
            </w:r>
            <w:r w:rsidR="00E73C5F" w:rsidRPr="00635436">
              <w:t xml:space="preserve"> </w:t>
            </w:r>
            <w:r w:rsidR="00852F69" w:rsidRPr="00635436">
              <w:t>establecidos por la FCC</w:t>
            </w:r>
            <w:r w:rsidR="00EB1392" w:rsidRPr="00635436">
              <w:t>:</w:t>
            </w:r>
            <w:r w:rsidR="00852F69" w:rsidRPr="00635436">
              <w:t xml:space="preserve"> </w:t>
            </w:r>
            <w:r w:rsidR="00CE2624" w:rsidRPr="00635436">
              <w:t>1.</w:t>
            </w:r>
            <w:r w:rsidR="00852F69" w:rsidRPr="00635436">
              <w:t>6 W/kg.</w:t>
            </w:r>
          </w:p>
          <w:p w14:paraId="1298EC07" w14:textId="77777777" w:rsidR="00B1130A" w:rsidRPr="00635436" w:rsidRDefault="00B1130A" w:rsidP="000163E9">
            <w:pPr>
              <w:spacing w:line="276" w:lineRule="auto"/>
              <w:jc w:val="both"/>
            </w:pPr>
          </w:p>
          <w:p w14:paraId="0FA37B1F" w14:textId="4DAB0AF0" w:rsidR="00852F69" w:rsidRPr="00635436" w:rsidRDefault="003E675B" w:rsidP="000163E9">
            <w:pPr>
              <w:spacing w:line="276" w:lineRule="auto"/>
              <w:jc w:val="both"/>
            </w:pPr>
            <w:r>
              <w:t>Sin embargo, el</w:t>
            </w:r>
            <w:r w:rsidRPr="00635436">
              <w:t xml:space="preserve"> </w:t>
            </w:r>
            <w:r w:rsidR="00EE6F3D" w:rsidRPr="00635436">
              <w:t xml:space="preserve">30 de junio de 2014, la Autoridad Australiana de Comunicaciones y Media emitió el “Estándar de Radiocomunicaciones (Radiación electromagnética – exposición en humanos) 2014”, el cual </w:t>
            </w:r>
            <w:r w:rsidR="00CE2624" w:rsidRPr="00635436">
              <w:t>considera</w:t>
            </w:r>
            <w:r w:rsidR="00EE6F3D" w:rsidRPr="00635436">
              <w:t xml:space="preserve"> las recomendaciones </w:t>
            </w:r>
            <w:r w:rsidR="004A6147" w:rsidRPr="00635436">
              <w:t>de</w:t>
            </w:r>
            <w:r w:rsidR="00EE6F3D" w:rsidRPr="00635436">
              <w:t xml:space="preserve"> la ICNIRP </w:t>
            </w:r>
            <w:r w:rsidR="004A6147" w:rsidRPr="00635436">
              <w:t xml:space="preserve">de </w:t>
            </w:r>
            <w:r w:rsidR="00EE6F3D" w:rsidRPr="00635436">
              <w:t>2 W/kg</w:t>
            </w:r>
            <w:r w:rsidR="00EE6F3D" w:rsidRPr="00635436">
              <w:rPr>
                <w:rStyle w:val="Refdenotaalpie"/>
              </w:rPr>
              <w:footnoteReference w:id="21"/>
            </w:r>
            <w:r w:rsidR="00CC04A0" w:rsidRPr="00635436">
              <w:t xml:space="preserve"> y los métodos de prueba de las normas internacionales IEC 62209-1:2016 </w:t>
            </w:r>
            <w:r w:rsidR="00563C09">
              <w:t>e</w:t>
            </w:r>
            <w:r w:rsidR="00CC04A0" w:rsidRPr="00635436">
              <w:t xml:space="preserve"> IEC 62209-2:2010</w:t>
            </w:r>
            <w:r w:rsidR="00EE6F3D" w:rsidRPr="00635436">
              <w:t>.</w:t>
            </w:r>
            <w:r w:rsidR="00563C09">
              <w:t xml:space="preserve"> Dejando de utilizar como base l</w:t>
            </w:r>
            <w:r w:rsidR="00563C09" w:rsidRPr="00635436">
              <w:t>os límites establecidos por la FCC</w:t>
            </w:r>
            <w:r w:rsidR="00563C09">
              <w:t xml:space="preserve"> de</w:t>
            </w:r>
            <w:r w:rsidR="00563C09" w:rsidRPr="00635436">
              <w:t xml:space="preserve"> 1.6 W/kg.</w:t>
            </w:r>
          </w:p>
          <w:p w14:paraId="0DB71F0B" w14:textId="77777777" w:rsidR="00CA4697" w:rsidRPr="00635436" w:rsidRDefault="00CA4697" w:rsidP="000163E9">
            <w:pPr>
              <w:spacing w:line="276" w:lineRule="auto"/>
              <w:jc w:val="both"/>
            </w:pPr>
          </w:p>
          <w:p w14:paraId="452EA71D" w14:textId="77777777" w:rsidR="00840DA5" w:rsidRPr="00635436" w:rsidRDefault="009857D6" w:rsidP="000163E9">
            <w:pPr>
              <w:spacing w:line="276" w:lineRule="auto"/>
              <w:jc w:val="both"/>
              <w:rPr>
                <w:u w:val="single"/>
              </w:rPr>
            </w:pPr>
            <w:r w:rsidRPr="00635436">
              <w:rPr>
                <w:u w:val="single"/>
              </w:rPr>
              <w:t>VI</w:t>
            </w:r>
            <w:r w:rsidR="006E040E" w:rsidRPr="00635436">
              <w:rPr>
                <w:u w:val="single"/>
              </w:rPr>
              <w:t>I</w:t>
            </w:r>
            <w:r w:rsidRPr="00635436">
              <w:rPr>
                <w:u w:val="single"/>
              </w:rPr>
              <w:t>.- Brasil</w:t>
            </w:r>
          </w:p>
          <w:p w14:paraId="29CDCD44" w14:textId="0F551E58" w:rsidR="00B1130A" w:rsidRPr="00635436" w:rsidRDefault="004E422A" w:rsidP="000163E9">
            <w:pPr>
              <w:spacing w:line="276" w:lineRule="auto"/>
              <w:jc w:val="both"/>
            </w:pPr>
            <w:r w:rsidRPr="00635436">
              <w:t xml:space="preserve">El 5 de mayo de 2009 se emitió la Ley 11.934 donde se establecen los límites </w:t>
            </w:r>
            <w:r w:rsidR="00005FF8" w:rsidRPr="00635436">
              <w:t>de exposición a campos eléctricos magnéticos y electromagnéticos en frecuencias hasta 300 GH</w:t>
            </w:r>
            <w:r w:rsidR="00150DD1">
              <w:t>z</w:t>
            </w:r>
            <w:r w:rsidR="00005FF8" w:rsidRPr="00635436">
              <w:t xml:space="preserve">, </w:t>
            </w:r>
            <w:r w:rsidRPr="00635436">
              <w:t>ocupacional</w:t>
            </w:r>
            <w:r w:rsidR="00563C09">
              <w:t xml:space="preserve"> (ambiente laboral)</w:t>
            </w:r>
            <w:r w:rsidR="006D5B91">
              <w:t xml:space="preserve"> </w:t>
            </w:r>
            <w:r w:rsidRPr="00635436">
              <w:t>y para la población en general</w:t>
            </w:r>
            <w:r w:rsidR="00A55BD6" w:rsidRPr="00635436">
              <w:rPr>
                <w:rStyle w:val="Refdenotaalpie"/>
              </w:rPr>
              <w:footnoteReference w:id="22"/>
            </w:r>
            <w:r w:rsidR="00150DD1">
              <w:t>]</w:t>
            </w:r>
            <w:r w:rsidRPr="00635436">
              <w:t xml:space="preserve">. Esta ley aplica de forma obligatoria para las estaciones transmisoras </w:t>
            </w:r>
            <w:r w:rsidRPr="00635436">
              <w:lastRenderedPageBreak/>
              <w:t>de radiodifusión y telecomunicaciones, terminales</w:t>
            </w:r>
            <w:r w:rsidR="00005FF8" w:rsidRPr="00635436">
              <w:t>,</w:t>
            </w:r>
            <w:r w:rsidRPr="00635436">
              <w:t xml:space="preserve"> equipos de</w:t>
            </w:r>
            <w:r w:rsidR="00005FF8" w:rsidRPr="00635436">
              <w:t xml:space="preserve">stinados al </w:t>
            </w:r>
            <w:r w:rsidRPr="00635436">
              <w:t xml:space="preserve">usuario final y sistemas de energía eléctrica que operan en </w:t>
            </w:r>
            <w:r w:rsidR="00150DD1">
              <w:t>dicho</w:t>
            </w:r>
            <w:r w:rsidR="00150DD1" w:rsidRPr="00635436">
              <w:t xml:space="preserve"> </w:t>
            </w:r>
            <w:r w:rsidR="00563C09">
              <w:t>intervalo</w:t>
            </w:r>
            <w:r w:rsidR="00563C09" w:rsidRPr="00635436">
              <w:t xml:space="preserve"> </w:t>
            </w:r>
            <w:r w:rsidRPr="00635436">
              <w:t>de frecuencias.</w:t>
            </w:r>
          </w:p>
          <w:p w14:paraId="5748795A" w14:textId="77777777" w:rsidR="00B1130A" w:rsidRPr="00635436" w:rsidRDefault="00B1130A" w:rsidP="000163E9">
            <w:pPr>
              <w:spacing w:line="276" w:lineRule="auto"/>
              <w:jc w:val="both"/>
            </w:pPr>
          </w:p>
          <w:p w14:paraId="12644EC2" w14:textId="4500E625" w:rsidR="004E422A" w:rsidRPr="00635436" w:rsidRDefault="004E422A" w:rsidP="000163E9">
            <w:pPr>
              <w:spacing w:line="276" w:lineRule="auto"/>
              <w:jc w:val="both"/>
            </w:pPr>
            <w:r w:rsidRPr="00635436">
              <w:t xml:space="preserve">Los límites de exposición a los </w:t>
            </w:r>
            <w:r w:rsidR="00CE2624" w:rsidRPr="00635436">
              <w:t>CEM</w:t>
            </w:r>
            <w:r w:rsidRPr="00635436">
              <w:t xml:space="preserve"> </w:t>
            </w:r>
            <w:r w:rsidR="00005FF8" w:rsidRPr="00635436">
              <w:t xml:space="preserve">se </w:t>
            </w:r>
            <w:r w:rsidR="00CE2624" w:rsidRPr="00635436">
              <w:t>establecieron</w:t>
            </w:r>
            <w:r w:rsidRPr="00635436">
              <w:t xml:space="preserve"> de conformidad con las </w:t>
            </w:r>
            <w:r w:rsidR="00005FF8" w:rsidRPr="00635436">
              <w:t xml:space="preserve">recomendaciones </w:t>
            </w:r>
            <w:r w:rsidRPr="00635436">
              <w:t>de la ICNIRP</w:t>
            </w:r>
            <w:r w:rsidR="00CC04A0" w:rsidRPr="00635436">
              <w:t xml:space="preserve"> y las normas internacionales IEC 62209-1:2016 </w:t>
            </w:r>
            <w:r w:rsidR="00563C09">
              <w:t>e</w:t>
            </w:r>
            <w:r w:rsidR="00CC04A0" w:rsidRPr="00635436">
              <w:t xml:space="preserve"> IEC 62209-2:2010</w:t>
            </w:r>
            <w:r w:rsidRPr="00635436">
              <w:t xml:space="preserve">. </w:t>
            </w:r>
            <w:r w:rsidR="00005FF8" w:rsidRPr="00635436">
              <w:t xml:space="preserve">Estos </w:t>
            </w:r>
            <w:r w:rsidRPr="00635436">
              <w:t xml:space="preserve">límites son </w:t>
            </w:r>
            <w:r w:rsidR="00150DD1">
              <w:t>verificados</w:t>
            </w:r>
            <w:r w:rsidR="00005FF8" w:rsidRPr="00635436">
              <w:t xml:space="preserve"> por la </w:t>
            </w:r>
            <w:r w:rsidR="00005FF8" w:rsidRPr="00635436">
              <w:rPr>
                <w:i/>
              </w:rPr>
              <w:t>Agência Nacional de Telecomunicações</w:t>
            </w:r>
            <w:r w:rsidR="00005FF8" w:rsidRPr="00635436">
              <w:t xml:space="preserve"> (ANATEL) </w:t>
            </w:r>
            <w:r w:rsidR="001D0B69">
              <w:t xml:space="preserve">mediante Organismos de Evaluación de la Conformidad </w:t>
            </w:r>
            <w:r w:rsidR="00150DD1">
              <w:t>a efectos de</w:t>
            </w:r>
            <w:r w:rsidR="00005FF8" w:rsidRPr="00635436">
              <w:t xml:space="preserve"> </w:t>
            </w:r>
            <w:r w:rsidRPr="00635436">
              <w:t>garantiza</w:t>
            </w:r>
            <w:r w:rsidR="00150DD1">
              <w:t>r</w:t>
            </w:r>
            <w:r w:rsidRPr="00635436">
              <w:t xml:space="preserve"> que los sistemas de radiocomunicación y los dispositivos inalámbricos cumplan con los </w:t>
            </w:r>
            <w:r w:rsidR="00005FF8" w:rsidRPr="00635436">
              <w:t xml:space="preserve">límites de exposición </w:t>
            </w:r>
            <w:r w:rsidRPr="00635436">
              <w:t>electromagnétic</w:t>
            </w:r>
            <w:r w:rsidR="00005FF8" w:rsidRPr="00635436">
              <w:t>a</w:t>
            </w:r>
            <w:r w:rsidR="00150DD1">
              <w:t xml:space="preserve"> mandatados</w:t>
            </w:r>
            <w:r w:rsidRPr="00635436">
              <w:t>.</w:t>
            </w:r>
          </w:p>
          <w:p w14:paraId="6062C9BD" w14:textId="77777777" w:rsidR="001379CC" w:rsidRPr="00635436" w:rsidRDefault="001379CC" w:rsidP="000163E9">
            <w:pPr>
              <w:spacing w:line="276" w:lineRule="auto"/>
              <w:jc w:val="both"/>
            </w:pPr>
          </w:p>
          <w:p w14:paraId="48E235FF" w14:textId="77777777" w:rsidR="009857D6" w:rsidRPr="00635436" w:rsidRDefault="009857D6" w:rsidP="000163E9">
            <w:pPr>
              <w:spacing w:line="276" w:lineRule="auto"/>
              <w:jc w:val="both"/>
              <w:rPr>
                <w:u w:val="single"/>
              </w:rPr>
            </w:pPr>
            <w:r w:rsidRPr="00635436">
              <w:rPr>
                <w:u w:val="single"/>
              </w:rPr>
              <w:t>VII</w:t>
            </w:r>
            <w:r w:rsidR="006E040E" w:rsidRPr="00635436">
              <w:rPr>
                <w:u w:val="single"/>
              </w:rPr>
              <w:t>I</w:t>
            </w:r>
            <w:r w:rsidRPr="00635436">
              <w:rPr>
                <w:u w:val="single"/>
              </w:rPr>
              <w:t>.- Chile</w:t>
            </w:r>
          </w:p>
          <w:p w14:paraId="293E456A" w14:textId="3FBA3A6D" w:rsidR="00246AD0" w:rsidRPr="00635436" w:rsidRDefault="00246AD0" w:rsidP="00246AD0">
            <w:pPr>
              <w:spacing w:line="276" w:lineRule="auto"/>
              <w:jc w:val="both"/>
            </w:pPr>
            <w:r w:rsidRPr="00635436">
              <w:t xml:space="preserve">La </w:t>
            </w:r>
            <w:r w:rsidR="0063090D" w:rsidRPr="00635436">
              <w:t xml:space="preserve">Subsecretaría de Telecomunicaciones (SUBTEL) publico el 5 de mayo de 2002 la Resolución Exenta Nº 505 de 2000 sobre </w:t>
            </w:r>
            <w:r w:rsidR="001D0B69">
              <w:t>“R</w:t>
            </w:r>
            <w:r w:rsidR="0063090D" w:rsidRPr="00635436">
              <w:t>equisitos de seguridad aplicables a las instalaciones de servicios de telecomunicaciones que generan ondas electromagnéticas</w:t>
            </w:r>
            <w:r w:rsidR="001D0B69">
              <w:t>”</w:t>
            </w:r>
            <w:r w:rsidR="0063090D" w:rsidRPr="00635436">
              <w:t xml:space="preserve">, </w:t>
            </w:r>
            <w:r w:rsidRPr="00635436">
              <w:t xml:space="preserve">normativa </w:t>
            </w:r>
            <w:r w:rsidR="0063090D" w:rsidRPr="00635436">
              <w:t xml:space="preserve">que </w:t>
            </w:r>
            <w:r w:rsidRPr="00635436">
              <w:t xml:space="preserve">establece que las concesionarias </w:t>
            </w:r>
            <w:r w:rsidR="0063090D" w:rsidRPr="00635436">
              <w:t xml:space="preserve">de telefonía móvil </w:t>
            </w:r>
            <w:r w:rsidRPr="00635436">
              <w:t>sólo habilitarán en sus redes equipos portátile</w:t>
            </w:r>
            <w:r w:rsidR="004879F9" w:rsidRPr="00635436">
              <w:t>s cuyo SAR</w:t>
            </w:r>
            <w:r w:rsidRPr="00635436">
              <w:t xml:space="preserve"> no exceda los valores máximos establecidos por la </w:t>
            </w:r>
            <w:r w:rsidR="0063090D" w:rsidRPr="00635436">
              <w:t>ICNIRP.</w:t>
            </w:r>
          </w:p>
          <w:p w14:paraId="54F9BBD0" w14:textId="77777777" w:rsidR="00B1130A" w:rsidRPr="00635436" w:rsidRDefault="00B1130A" w:rsidP="00246AD0">
            <w:pPr>
              <w:spacing w:line="276" w:lineRule="auto"/>
              <w:jc w:val="both"/>
            </w:pPr>
          </w:p>
          <w:p w14:paraId="101576E5" w14:textId="3905B671" w:rsidR="00246AD0" w:rsidRPr="00635436" w:rsidRDefault="0063090D" w:rsidP="00246AD0">
            <w:pPr>
              <w:spacing w:line="276" w:lineRule="auto"/>
              <w:jc w:val="both"/>
            </w:pPr>
            <w:r w:rsidRPr="00635436">
              <w:t xml:space="preserve"> </w:t>
            </w:r>
            <w:r w:rsidR="004C5E2A">
              <w:t>L</w:t>
            </w:r>
            <w:r w:rsidRPr="00635436">
              <w:t>a Resolución Exenta N° 403 de 2008</w:t>
            </w:r>
            <w:r w:rsidR="00006CC2" w:rsidRPr="00635436">
              <w:rPr>
                <w:rStyle w:val="Refdenotaalpie"/>
              </w:rPr>
              <w:footnoteReference w:id="23"/>
            </w:r>
            <w:r w:rsidR="00246AD0" w:rsidRPr="00635436">
              <w:t xml:space="preserve"> </w:t>
            </w:r>
            <w:r w:rsidRPr="00635436">
              <w:t>establece los límites de exposición a radiaciones electromagnéticas de radiofrecuencia no ionizantes, los cuales dependen de la cantidad de tejido humano que se considere para su determinación y son los siguientes</w:t>
            </w:r>
            <w:r w:rsidR="00CC04A0" w:rsidRPr="00635436">
              <w:t>:</w:t>
            </w:r>
          </w:p>
          <w:p w14:paraId="227EE704" w14:textId="77777777" w:rsidR="00143FDC" w:rsidRPr="00635436" w:rsidRDefault="00143FDC" w:rsidP="00143FDC">
            <w:pPr>
              <w:numPr>
                <w:ilvl w:val="0"/>
                <w:numId w:val="14"/>
              </w:numPr>
              <w:spacing w:after="160" w:line="276" w:lineRule="auto"/>
              <w:contextualSpacing/>
              <w:jc w:val="both"/>
            </w:pPr>
            <w:r w:rsidRPr="00635436">
              <w:t>1</w:t>
            </w:r>
            <w:r w:rsidR="004879F9" w:rsidRPr="00635436">
              <w:t>.</w:t>
            </w:r>
            <w:r w:rsidRPr="00635436">
              <w:t xml:space="preserve">6 W/kg, sobre 1 gramo de tejido; o </w:t>
            </w:r>
          </w:p>
          <w:p w14:paraId="7971444A" w14:textId="16C9ACEE" w:rsidR="00143FDC" w:rsidRPr="00635436" w:rsidRDefault="00143FDC" w:rsidP="00143FDC">
            <w:pPr>
              <w:numPr>
                <w:ilvl w:val="0"/>
                <w:numId w:val="14"/>
              </w:numPr>
              <w:spacing w:after="160" w:line="276" w:lineRule="auto"/>
              <w:contextualSpacing/>
              <w:jc w:val="both"/>
            </w:pPr>
            <w:r w:rsidRPr="00635436">
              <w:t>2 W/kg, sobre 10 gramos contiguos de tejido</w:t>
            </w:r>
            <w:r w:rsidR="006D5B91">
              <w:t>.</w:t>
            </w:r>
          </w:p>
          <w:p w14:paraId="39F86CC7" w14:textId="68389810" w:rsidR="009F0AFF" w:rsidRPr="00635436" w:rsidRDefault="00246AD0" w:rsidP="00563C09">
            <w:pPr>
              <w:spacing w:line="276" w:lineRule="auto"/>
              <w:jc w:val="both"/>
              <w:rPr>
                <w:rFonts w:eastAsia="ITC Avant Garde" w:cs="ITC Avant Garde"/>
              </w:rPr>
            </w:pPr>
            <w:r w:rsidRPr="00635436">
              <w:t xml:space="preserve">La normativa establece, además, que las concesionarias deberán señalar el valor del SAR de los equipos portátiles que comercialicen o habiliten en sus redes en el manual del equipo. Además, la caja o envoltorio que contenga el equipo para su comercialización deberá tener en un lugar visible </w:t>
            </w:r>
            <w:r w:rsidR="00563C09">
              <w:t>un</w:t>
            </w:r>
            <w:r w:rsidR="0063090D" w:rsidRPr="00635436">
              <w:t xml:space="preserve"> </w:t>
            </w:r>
            <w:r w:rsidR="004879F9" w:rsidRPr="00635436">
              <w:t xml:space="preserve">aviso </w:t>
            </w:r>
            <w:r w:rsidR="00B659DD">
              <w:t>relativo al cumplimiento de dicha</w:t>
            </w:r>
            <w:r w:rsidR="0063090D" w:rsidRPr="00635436">
              <w:t xml:space="preserve"> la resolución</w:t>
            </w:r>
            <w:r w:rsidR="00B659DD">
              <w:t>.</w:t>
            </w:r>
          </w:p>
        </w:tc>
      </w:tr>
    </w:tbl>
    <w:p w14:paraId="4BF4F3C7" w14:textId="77777777" w:rsidR="00F242DE" w:rsidRPr="006A010C" w:rsidRDefault="00F242DE" w:rsidP="007930C3">
      <w:pPr>
        <w:spacing w:line="276" w:lineRule="auto"/>
        <w:jc w:val="both"/>
      </w:pPr>
    </w:p>
    <w:p w14:paraId="0F38F41C" w14:textId="77777777" w:rsidR="001932FC" w:rsidRPr="006A010C" w:rsidRDefault="001932FC" w:rsidP="0087236C">
      <w:pPr>
        <w:pStyle w:val="Ttulo1"/>
      </w:pPr>
      <w:r w:rsidRPr="006A010C">
        <w:t>III. IMPACTO DE LA REGULACIÓN.</w:t>
      </w:r>
    </w:p>
    <w:tbl>
      <w:tblPr>
        <w:tblStyle w:val="Tablaconcuadrcula"/>
        <w:tblW w:w="8828" w:type="dxa"/>
        <w:tblLook w:val="04A0" w:firstRow="1" w:lastRow="0" w:firstColumn="1" w:lastColumn="0" w:noHBand="0" w:noVBand="1"/>
        <w:tblCaption w:val=""/>
        <w:tblDescription w:val=""/>
      </w:tblPr>
      <w:tblGrid>
        <w:gridCol w:w="8828"/>
      </w:tblGrid>
      <w:tr w:rsidR="003039BF" w:rsidRPr="006A010C" w14:paraId="57F24922" w14:textId="77777777" w:rsidTr="00BB4909">
        <w:tc>
          <w:tcPr>
            <w:tcW w:w="8828" w:type="dxa"/>
          </w:tcPr>
          <w:p w14:paraId="16F98F58" w14:textId="3907D50D" w:rsidR="003039BF" w:rsidRPr="006A010C" w:rsidRDefault="48ECE0BD" w:rsidP="007930C3">
            <w:pPr>
              <w:spacing w:line="276" w:lineRule="auto"/>
              <w:jc w:val="both"/>
              <w:rPr>
                <w:rFonts w:eastAsia="ITC Avant Garde" w:cs="ITC Avant Garde"/>
                <w:b/>
                <w:bCs/>
              </w:rPr>
            </w:pPr>
            <w:r w:rsidRPr="006A010C">
              <w:rPr>
                <w:rFonts w:eastAsia="ITC Avant Garde" w:cs="ITC Avant Garde"/>
                <w:b/>
                <w:bCs/>
              </w:rPr>
              <w:t xml:space="preserve">7.- ¿El </w:t>
            </w:r>
            <w:r w:rsidR="007E2E1A">
              <w:rPr>
                <w:rFonts w:eastAsia="ITC Avant Garde" w:cs="ITC Avant Garde"/>
                <w:b/>
                <w:bCs/>
              </w:rPr>
              <w:t>A</w:t>
            </w:r>
            <w:r w:rsidRPr="006A010C">
              <w:rPr>
                <w:rFonts w:eastAsia="ITC Avant Garde" w:cs="ITC Avant Garde"/>
                <w:b/>
                <w:bCs/>
              </w:rPr>
              <w:t>nteproyecto de regulación propuesto contiene disposiciones en materia de salud humana, animal o vegetal, seguridad, trabajo, medio ambiente o protección a los consumidores?:</w:t>
            </w:r>
          </w:p>
          <w:p w14:paraId="7EFCED25" w14:textId="77777777" w:rsidR="00FB2E12" w:rsidRDefault="00FB2E12" w:rsidP="007930C3">
            <w:pPr>
              <w:spacing w:line="276" w:lineRule="auto"/>
              <w:jc w:val="both"/>
              <w:rPr>
                <w:rFonts w:eastAsia="ITC Avant Garde" w:cs="ITC Avant Garde"/>
              </w:rPr>
            </w:pPr>
          </w:p>
          <w:p w14:paraId="48229DE6" w14:textId="77777777" w:rsidR="00AA3EB4" w:rsidRPr="00244662" w:rsidRDefault="009124BC" w:rsidP="00AA3EB4">
            <w:pPr>
              <w:spacing w:line="276" w:lineRule="auto"/>
              <w:jc w:val="both"/>
              <w:rPr>
                <w:rFonts w:eastAsia="ITC Avant Garde" w:cs="ITC Avant Garde"/>
              </w:rPr>
            </w:pPr>
            <w:r>
              <w:rPr>
                <w:rFonts w:eastAsia="ITC Avant Garde" w:cs="ITC Avant Garde"/>
              </w:rPr>
              <w:t>No.</w:t>
            </w:r>
            <w:r w:rsidR="00AA3EB4" w:rsidRPr="00244662">
              <w:rPr>
                <w:rFonts w:eastAsia="ITC Avant Garde" w:cs="ITC Avant Garde"/>
              </w:rPr>
              <w:t xml:space="preserve"> </w:t>
            </w:r>
          </w:p>
          <w:p w14:paraId="73106B53" w14:textId="77777777" w:rsidR="003039BF" w:rsidRPr="00553612" w:rsidRDefault="003039BF" w:rsidP="00632B6E">
            <w:pPr>
              <w:spacing w:line="276" w:lineRule="auto"/>
              <w:jc w:val="both"/>
            </w:pPr>
          </w:p>
        </w:tc>
      </w:tr>
    </w:tbl>
    <w:tbl>
      <w:tblPr>
        <w:tblStyle w:val="Tablaconcuadrcula"/>
        <w:tblpPr w:leftFromText="141" w:rightFromText="141" w:vertAnchor="text" w:horzAnchor="margin" w:tblpY="711"/>
        <w:tblW w:w="8828" w:type="dxa"/>
        <w:tblLook w:val="04A0" w:firstRow="1" w:lastRow="0" w:firstColumn="1" w:lastColumn="0" w:noHBand="0" w:noVBand="1"/>
        <w:tblCaption w:val=""/>
        <w:tblDescription w:val=""/>
      </w:tblPr>
      <w:tblGrid>
        <w:gridCol w:w="8828"/>
      </w:tblGrid>
      <w:tr w:rsidR="00BB4909" w:rsidRPr="006A010C" w14:paraId="02CED559" w14:textId="77777777" w:rsidTr="00BB4909">
        <w:tc>
          <w:tcPr>
            <w:tcW w:w="8828" w:type="dxa"/>
          </w:tcPr>
          <w:p w14:paraId="04EC9278" w14:textId="4C7FB574" w:rsidR="00BB4909" w:rsidRPr="006A010C" w:rsidRDefault="00BB4909" w:rsidP="00BB4909">
            <w:pPr>
              <w:keepNext/>
              <w:spacing w:line="276" w:lineRule="auto"/>
              <w:jc w:val="both"/>
              <w:rPr>
                <w:rFonts w:eastAsia="ITC Avant Garde" w:cs="ITC Avant Garde"/>
                <w:b/>
                <w:bCs/>
              </w:rPr>
            </w:pPr>
            <w:r w:rsidRPr="006A010C">
              <w:rPr>
                <w:rFonts w:eastAsia="ITC Avant Garde" w:cs="ITC Avant Garde"/>
                <w:b/>
                <w:bCs/>
              </w:rPr>
              <w:lastRenderedPageBreak/>
              <w:t xml:space="preserve">8.- ¿El </w:t>
            </w:r>
            <w:r w:rsidR="007E2E1A">
              <w:rPr>
                <w:rFonts w:eastAsia="ITC Avant Garde" w:cs="ITC Avant Garde"/>
                <w:b/>
                <w:bCs/>
              </w:rPr>
              <w:t>A</w:t>
            </w:r>
            <w:r w:rsidRPr="006A010C">
              <w:rPr>
                <w:rFonts w:eastAsia="ITC Avant Garde" w:cs="ITC Avant Garde"/>
                <w:b/>
                <w:bCs/>
              </w:rPr>
              <w:t>nteproyecto de regulación propuesto creará, modificará o eliminará trámites a su entrada en vigor?:</w:t>
            </w:r>
          </w:p>
          <w:p w14:paraId="02BBB567" w14:textId="77777777" w:rsidR="00BB4909" w:rsidRDefault="00BB4909" w:rsidP="00BB4909">
            <w:pPr>
              <w:keepNext/>
              <w:spacing w:line="276" w:lineRule="auto"/>
              <w:jc w:val="both"/>
              <w:rPr>
                <w:rFonts w:eastAsia="ITC Avant Garde" w:cs="ITC Avant Garde"/>
              </w:rPr>
            </w:pPr>
          </w:p>
          <w:p w14:paraId="762ADF8B" w14:textId="77777777" w:rsidR="00BB4909" w:rsidRDefault="00BB4909" w:rsidP="00BB4909">
            <w:pPr>
              <w:keepNext/>
              <w:spacing w:line="276" w:lineRule="auto"/>
              <w:jc w:val="both"/>
              <w:rPr>
                <w:rFonts w:eastAsia="ITC Avant Garde" w:cs="ITC Avant Garde"/>
              </w:rPr>
            </w:pPr>
            <w:r>
              <w:rPr>
                <w:rFonts w:eastAsia="ITC Avant Garde" w:cs="ITC Avant Garde"/>
              </w:rPr>
              <w:t>Sí.</w:t>
            </w:r>
          </w:p>
          <w:p w14:paraId="65CEE15D" w14:textId="77777777" w:rsidR="00BB4909" w:rsidRDefault="00BB4909" w:rsidP="00BB4909">
            <w:pPr>
              <w:spacing w:line="276" w:lineRule="auto"/>
              <w:jc w:val="both"/>
              <w:rPr>
                <w:rFonts w:eastAsia="ITC Avant Garde" w:cs="ITC Avant Garde"/>
              </w:rPr>
            </w:pPr>
          </w:p>
          <w:p w14:paraId="4CA8A618" w14:textId="77777777" w:rsidR="00833DC2" w:rsidRPr="009366E6" w:rsidRDefault="00833DC2" w:rsidP="00833DC2">
            <w:pPr>
              <w:spacing w:line="276" w:lineRule="auto"/>
              <w:jc w:val="both"/>
              <w:rPr>
                <w:rFonts w:eastAsia="ITC Avant Garde" w:cs="ITC Avant Garde"/>
              </w:rPr>
            </w:pPr>
            <w:r>
              <w:rPr>
                <w:rFonts w:eastAsia="ITC Avant Garde" w:cs="ITC Avant Garde"/>
                <w:b/>
              </w:rPr>
              <w:t>Acción:</w:t>
            </w:r>
            <w:r>
              <w:rPr>
                <w:rFonts w:eastAsia="ITC Avant Garde" w:cs="ITC Avant Garde"/>
              </w:rPr>
              <w:t xml:space="preserve"> Creación</w:t>
            </w:r>
          </w:p>
          <w:p w14:paraId="7CF8C37A" w14:textId="5F768523" w:rsidR="00833DC2" w:rsidRPr="009366E6" w:rsidRDefault="00833DC2" w:rsidP="00833DC2">
            <w:pPr>
              <w:spacing w:line="276" w:lineRule="auto"/>
              <w:jc w:val="both"/>
              <w:rPr>
                <w:rFonts w:eastAsia="ITC Avant Garde" w:cs="ITC Avant Garde"/>
              </w:rPr>
            </w:pPr>
            <w:r>
              <w:rPr>
                <w:rFonts w:eastAsia="ITC Avant Garde" w:cs="ITC Avant Garde"/>
                <w:b/>
              </w:rPr>
              <w:t>Nombre del trámite:</w:t>
            </w:r>
            <w:r>
              <w:rPr>
                <w:rFonts w:eastAsia="ITC Avant Garde" w:cs="ITC Avant Garde"/>
              </w:rPr>
              <w:t xml:space="preserve"> Presentación del formato </w:t>
            </w:r>
            <w:r w:rsidRPr="00735892">
              <w:rPr>
                <w:rFonts w:eastAsia="ITC Avant Garde" w:cs="ITC Avant Garde"/>
              </w:rPr>
              <w:t>“</w:t>
            </w:r>
            <w:r w:rsidR="004B73F2">
              <w:t xml:space="preserve"> </w:t>
            </w:r>
            <w:r w:rsidR="004B73F2" w:rsidRPr="004B73F2">
              <w:rPr>
                <w:rFonts w:eastAsia="ITC Avant Garde" w:cs="ITC Avant Garde"/>
              </w:rPr>
              <w:t>REGISTRO DE DISPOSITIVOS DE COMUNICACIÓN INALÁMBRICA INHERENTEMENTE CONFORMES CON LA DISPOSICIÓN TÉCNICA IFT-012-201</w:t>
            </w:r>
            <w:r w:rsidR="00490B44">
              <w:rPr>
                <w:rFonts w:eastAsia="ITC Avant Garde" w:cs="ITC Avant Garde"/>
              </w:rPr>
              <w:t>9</w:t>
            </w:r>
            <w:r w:rsidRPr="004B73F2">
              <w:rPr>
                <w:rFonts w:eastAsia="ITC Avant Garde" w:cs="ITC Avant Garde"/>
              </w:rPr>
              <w:t>”</w:t>
            </w:r>
            <w:r>
              <w:rPr>
                <w:rFonts w:eastAsia="ITC Avant Garde" w:cs="ITC Avant Garde"/>
              </w:rPr>
              <w:t>.</w:t>
            </w:r>
          </w:p>
          <w:p w14:paraId="6E701A93" w14:textId="77777777" w:rsidR="00833DC2" w:rsidRDefault="00833DC2" w:rsidP="00833DC2">
            <w:pPr>
              <w:spacing w:line="276" w:lineRule="auto"/>
              <w:jc w:val="both"/>
              <w:rPr>
                <w:rFonts w:eastAsia="ITC Avant Garde" w:cs="ITC Avant Garde"/>
              </w:rPr>
            </w:pPr>
            <w:r>
              <w:rPr>
                <w:rFonts w:eastAsia="ITC Avant Garde" w:cs="ITC Avant Garde"/>
                <w:b/>
              </w:rPr>
              <w:t>Artículo o apartado que da origen al trámite:</w:t>
            </w:r>
            <w:r>
              <w:rPr>
                <w:rFonts w:eastAsia="ITC Avant Garde" w:cs="ITC Avant Garde"/>
              </w:rPr>
              <w:t xml:space="preserve"> Numeral 4.3</w:t>
            </w:r>
          </w:p>
          <w:p w14:paraId="5DB871F6" w14:textId="77777777" w:rsidR="00833DC2" w:rsidRDefault="00833DC2" w:rsidP="00833DC2">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Obligación</w:t>
            </w:r>
          </w:p>
          <w:p w14:paraId="07F8CE40" w14:textId="77777777" w:rsidR="00833DC2" w:rsidRPr="009366E6" w:rsidRDefault="00833DC2" w:rsidP="00833DC2">
            <w:pPr>
              <w:spacing w:line="276" w:lineRule="auto"/>
              <w:jc w:val="both"/>
              <w:rPr>
                <w:rFonts w:eastAsia="ITC Avant Garde" w:cs="ITC Avant Garde"/>
              </w:rPr>
            </w:pPr>
            <w:r>
              <w:rPr>
                <w:rFonts w:eastAsia="ITC Avant Garde" w:cs="ITC Avant Garde"/>
                <w:b/>
              </w:rPr>
              <w:t>Vigencia:</w:t>
            </w:r>
            <w:r>
              <w:rPr>
                <w:rFonts w:eastAsia="ITC Avant Garde" w:cs="ITC Avant Garde"/>
              </w:rPr>
              <w:t xml:space="preserve"> N/A</w:t>
            </w:r>
          </w:p>
          <w:p w14:paraId="6F0D2598" w14:textId="77777777" w:rsidR="00833DC2" w:rsidRPr="009366E6" w:rsidRDefault="00833DC2" w:rsidP="00833DC2">
            <w:pPr>
              <w:spacing w:line="276" w:lineRule="auto"/>
              <w:jc w:val="both"/>
              <w:rPr>
                <w:rFonts w:eastAsia="ITC Avant Garde" w:cs="ITC Avant Garde"/>
              </w:rPr>
            </w:pPr>
            <w:r>
              <w:rPr>
                <w:rFonts w:eastAsia="ITC Avant Garde" w:cs="ITC Avant Garde"/>
                <w:b/>
              </w:rPr>
              <w:t>Medio de presentación:</w:t>
            </w:r>
            <w:r>
              <w:rPr>
                <w:rFonts w:eastAsia="ITC Avant Garde" w:cs="ITC Avant Garde"/>
              </w:rPr>
              <w:t xml:space="preserve"> Medios electrónicos/correo electrónico u Oficialía de Partes.</w:t>
            </w:r>
          </w:p>
          <w:p w14:paraId="666828D5" w14:textId="518FDAD6" w:rsidR="00833DC2" w:rsidRPr="009366E6" w:rsidRDefault="00833DC2" w:rsidP="00833DC2">
            <w:pPr>
              <w:spacing w:line="276" w:lineRule="auto"/>
              <w:jc w:val="both"/>
              <w:rPr>
                <w:rFonts w:eastAsia="ITC Avant Garde" w:cs="ITC Avant Garde"/>
              </w:rPr>
            </w:pPr>
            <w:r>
              <w:rPr>
                <w:rFonts w:eastAsia="ITC Avant Garde" w:cs="ITC Avant Garde"/>
                <w:b/>
              </w:rPr>
              <w:t>Requisitos:</w:t>
            </w:r>
            <w:r>
              <w:rPr>
                <w:rFonts w:eastAsia="ITC Avant Garde" w:cs="ITC Avant Garde"/>
              </w:rPr>
              <w:t xml:space="preserve"> El interesado o representante legal debe presentar el formato mencionado debidamente </w:t>
            </w:r>
            <w:r w:rsidR="00A8443F">
              <w:rPr>
                <w:rFonts w:eastAsia="ITC Avant Garde" w:cs="ITC Avant Garde"/>
              </w:rPr>
              <w:t xml:space="preserve">requisitado </w:t>
            </w:r>
            <w:r>
              <w:rPr>
                <w:rFonts w:eastAsia="ITC Avant Garde" w:cs="ITC Avant Garde"/>
              </w:rPr>
              <w:t>y firmado</w:t>
            </w:r>
            <w:r w:rsidR="00A8443F">
              <w:rPr>
                <w:rFonts w:eastAsia="ITC Avant Garde" w:cs="ITC Avant Garde"/>
              </w:rPr>
              <w:t xml:space="preserve">, </w:t>
            </w:r>
            <w:r w:rsidR="00EE5981">
              <w:rPr>
                <w:rFonts w:eastAsia="ITC Avant Garde" w:cs="ITC Avant Garde"/>
              </w:rPr>
              <w:t>a</w:t>
            </w:r>
            <w:r w:rsidR="008D1FE7">
              <w:rPr>
                <w:rFonts w:eastAsia="ITC Avant Garde" w:cs="ITC Avant Garde"/>
              </w:rPr>
              <w:t xml:space="preserve"> </w:t>
            </w:r>
            <w:r>
              <w:rPr>
                <w:rFonts w:eastAsia="ITC Avant Garde" w:cs="ITC Avant Garde"/>
              </w:rPr>
              <w:t>l</w:t>
            </w:r>
            <w:r w:rsidR="008D1FE7">
              <w:rPr>
                <w:rFonts w:eastAsia="ITC Avant Garde" w:cs="ITC Avant Garde"/>
              </w:rPr>
              <w:t>a Unidad de Concesiones y Servicios del</w:t>
            </w:r>
            <w:r>
              <w:rPr>
                <w:rFonts w:eastAsia="ITC Avant Garde" w:cs="ITC Avant Garde"/>
              </w:rPr>
              <w:t xml:space="preserve"> Instituto</w:t>
            </w:r>
            <w:r w:rsidR="00EE5981">
              <w:rPr>
                <w:rFonts w:eastAsia="ITC Avant Garde" w:cs="ITC Avant Garde"/>
              </w:rPr>
              <w:t>,</w:t>
            </w:r>
            <w:r>
              <w:rPr>
                <w:rFonts w:eastAsia="ITC Avant Garde" w:cs="ITC Avant Garde"/>
              </w:rPr>
              <w:t xml:space="preserve"> cuando el Dispositivo de Comunicaci</w:t>
            </w:r>
            <w:r w:rsidR="00CD29B8">
              <w:rPr>
                <w:rFonts w:eastAsia="ITC Avant Garde" w:cs="ITC Avant Garde"/>
              </w:rPr>
              <w:t>ón</w:t>
            </w:r>
            <w:r>
              <w:rPr>
                <w:rFonts w:eastAsia="ITC Avant Garde" w:cs="ITC Avant Garde"/>
              </w:rPr>
              <w:t xml:space="preserve"> Inalámbrica</w:t>
            </w:r>
            <w:r w:rsidR="009865D5">
              <w:rPr>
                <w:rFonts w:eastAsia="ITC Avant Garde" w:cs="ITC Avant Garde"/>
              </w:rPr>
              <w:t xml:space="preserve"> (DCI)</w:t>
            </w:r>
            <w:r>
              <w:rPr>
                <w:rFonts w:eastAsia="ITC Avant Garde" w:cs="ITC Avant Garde"/>
              </w:rPr>
              <w:t xml:space="preserve"> opera con una potencia de transmisión igual o menor a 2</w:t>
            </w:r>
            <w:r w:rsidR="00961A74">
              <w:rPr>
                <w:rFonts w:eastAsia="ITC Avant Garde" w:cs="ITC Avant Garde"/>
              </w:rPr>
              <w:t>0</w:t>
            </w:r>
            <w:r>
              <w:rPr>
                <w:rFonts w:eastAsia="ITC Avant Garde" w:cs="ITC Avant Garde"/>
              </w:rPr>
              <w:t xml:space="preserve"> m</w:t>
            </w:r>
            <w:r w:rsidR="005D78EC">
              <w:rPr>
                <w:rFonts w:eastAsia="ITC Avant Garde" w:cs="ITC Avant Garde"/>
              </w:rPr>
              <w:t>W</w:t>
            </w:r>
            <w:r>
              <w:rPr>
                <w:rFonts w:eastAsia="ITC Avant Garde" w:cs="ITC Avant Garde"/>
              </w:rPr>
              <w:t>.</w:t>
            </w:r>
          </w:p>
          <w:p w14:paraId="44F373E2" w14:textId="77777777" w:rsidR="00833DC2" w:rsidRPr="009366E6" w:rsidRDefault="00833DC2" w:rsidP="00833DC2">
            <w:pPr>
              <w:spacing w:line="276" w:lineRule="auto"/>
              <w:jc w:val="both"/>
              <w:rPr>
                <w:rFonts w:eastAsia="ITC Avant Garde" w:cs="ITC Avant Garde"/>
              </w:rPr>
            </w:pPr>
            <w:r>
              <w:rPr>
                <w:rFonts w:eastAsia="ITC Avant Garde" w:cs="ITC Avant Garde"/>
                <w:b/>
              </w:rPr>
              <w:t>Ficta:</w:t>
            </w:r>
            <w:r>
              <w:rPr>
                <w:rFonts w:eastAsia="ITC Avant Garde" w:cs="ITC Avant Garde"/>
              </w:rPr>
              <w:t xml:space="preserve"> N/A</w:t>
            </w:r>
          </w:p>
          <w:p w14:paraId="4AB16C48" w14:textId="77777777" w:rsidR="00833DC2" w:rsidRPr="009366E6" w:rsidRDefault="00833DC2" w:rsidP="00833DC2">
            <w:pPr>
              <w:spacing w:line="276" w:lineRule="auto"/>
              <w:jc w:val="both"/>
              <w:rPr>
                <w:rFonts w:eastAsia="ITC Avant Garde" w:cs="ITC Avant Garde"/>
              </w:rPr>
            </w:pPr>
            <w:r>
              <w:rPr>
                <w:rFonts w:eastAsia="ITC Avant Garde" w:cs="ITC Avant Garde"/>
                <w:b/>
              </w:rPr>
              <w:t>Plazo máximo de resolución:</w:t>
            </w:r>
            <w:r>
              <w:rPr>
                <w:rFonts w:eastAsia="ITC Avant Garde" w:cs="ITC Avant Garde"/>
              </w:rPr>
              <w:t xml:space="preserve"> N/A</w:t>
            </w:r>
          </w:p>
          <w:p w14:paraId="1393F56E" w14:textId="77777777" w:rsidR="00833DC2" w:rsidRPr="009366E6" w:rsidRDefault="00833DC2" w:rsidP="00833DC2">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La presentación de este formato es necesaria para que el titular, o representante legal, garantice </w:t>
            </w:r>
            <w:r w:rsidR="009865D5">
              <w:rPr>
                <w:rFonts w:eastAsia="ITC Avant Garde" w:cs="ITC Avant Garde"/>
              </w:rPr>
              <w:t>al</w:t>
            </w:r>
            <w:r>
              <w:rPr>
                <w:rFonts w:eastAsia="ITC Avant Garde" w:cs="ITC Avant Garde"/>
              </w:rPr>
              <w:t xml:space="preserve"> Instituto que el </w:t>
            </w:r>
            <w:r w:rsidR="00CD29B8">
              <w:rPr>
                <w:rFonts w:eastAsia="ITC Avant Garde" w:cs="ITC Avant Garde"/>
              </w:rPr>
              <w:t>DCI cumple con las condiciones necesarias para considerarse</w:t>
            </w:r>
            <w:r>
              <w:rPr>
                <w:rFonts w:eastAsia="ITC Avant Garde" w:cs="ITC Avant Garde"/>
              </w:rPr>
              <w:t xml:space="preserve"> inherentemente conforme</w:t>
            </w:r>
            <w:r w:rsidR="00CD29B8">
              <w:rPr>
                <w:rFonts w:eastAsia="ITC Avant Garde" w:cs="ITC Avant Garde"/>
              </w:rPr>
              <w:t xml:space="preserve"> con el presente Anteproyecto</w:t>
            </w:r>
            <w:r>
              <w:rPr>
                <w:rFonts w:eastAsia="ITC Avant Garde" w:cs="ITC Avant Garde"/>
              </w:rPr>
              <w:t>.</w:t>
            </w:r>
          </w:p>
          <w:p w14:paraId="2E3B2653" w14:textId="77777777" w:rsidR="00833DC2" w:rsidRDefault="00833DC2" w:rsidP="00833DC2">
            <w:pPr>
              <w:spacing w:line="276" w:lineRule="auto"/>
              <w:jc w:val="both"/>
              <w:rPr>
                <w:rFonts w:eastAsia="ITC Avant Garde" w:cs="ITC Avant Garde"/>
              </w:rPr>
            </w:pPr>
            <w:r>
              <w:rPr>
                <w:rFonts w:eastAsia="ITC Avant Garde" w:cs="ITC Avant Garde"/>
                <w:b/>
              </w:rPr>
              <w:t>Población afectada:</w:t>
            </w:r>
            <w:r>
              <w:rPr>
                <w:rFonts w:eastAsia="ITC Avant Garde" w:cs="ITC Avant Garde"/>
              </w:rPr>
              <w:t xml:space="preserve"> Fabricantes o importadores de </w:t>
            </w:r>
            <w:r w:rsidR="00CD29B8">
              <w:rPr>
                <w:rFonts w:eastAsia="ITC Avant Garde" w:cs="ITC Avant Garde"/>
              </w:rPr>
              <w:t>DCI</w:t>
            </w:r>
            <w:r>
              <w:rPr>
                <w:rFonts w:eastAsia="ITC Avant Garde" w:cs="ITC Avant Garde"/>
              </w:rPr>
              <w:t xml:space="preserve"> dentro del alcance de</w:t>
            </w:r>
            <w:r w:rsidR="00CD29B8">
              <w:rPr>
                <w:rFonts w:eastAsia="ITC Avant Garde" w:cs="ITC Avant Garde"/>
              </w:rPr>
              <w:t>l</w:t>
            </w:r>
            <w:r>
              <w:rPr>
                <w:rFonts w:eastAsia="ITC Avant Garde" w:cs="ITC Avant Garde"/>
              </w:rPr>
              <w:t xml:space="preserve"> </w:t>
            </w:r>
            <w:r w:rsidR="00CD29B8">
              <w:rPr>
                <w:rFonts w:eastAsia="ITC Avant Garde" w:cs="ITC Avant Garde"/>
              </w:rPr>
              <w:t>presente Anteproyecto</w:t>
            </w:r>
            <w:r>
              <w:rPr>
                <w:rFonts w:eastAsia="ITC Avant Garde" w:cs="ITC Avant Garde"/>
              </w:rPr>
              <w:t>.</w:t>
            </w:r>
          </w:p>
          <w:p w14:paraId="0BBA3D50" w14:textId="77777777" w:rsidR="00BB4909" w:rsidRPr="006A010C" w:rsidRDefault="00BB4909" w:rsidP="004B73F2">
            <w:pPr>
              <w:spacing w:line="276" w:lineRule="auto"/>
              <w:jc w:val="both"/>
              <w:rPr>
                <w:rFonts w:eastAsia="ITC Avant Garde" w:cs="ITC Avant Garde"/>
              </w:rPr>
            </w:pPr>
          </w:p>
        </w:tc>
      </w:tr>
    </w:tbl>
    <w:p w14:paraId="53DB5C0C" w14:textId="77777777" w:rsidR="003039BF" w:rsidRPr="006A010C" w:rsidRDefault="003039BF" w:rsidP="002B25A1">
      <w:pPr>
        <w:spacing w:line="276" w:lineRule="auto"/>
        <w:jc w:val="both"/>
      </w:pPr>
    </w:p>
    <w:tbl>
      <w:tblPr>
        <w:tblStyle w:val="Tablaconcuadrcula"/>
        <w:tblW w:w="8828" w:type="dxa"/>
        <w:tblLook w:val="04A0" w:firstRow="1" w:lastRow="0" w:firstColumn="1" w:lastColumn="0" w:noHBand="0" w:noVBand="1"/>
        <w:tblCaption w:val=""/>
        <w:tblDescription w:val=""/>
      </w:tblPr>
      <w:tblGrid>
        <w:gridCol w:w="8828"/>
      </w:tblGrid>
      <w:tr w:rsidR="003039BF" w:rsidRPr="006A010C" w14:paraId="7F715BED" w14:textId="77777777" w:rsidTr="00936D9E">
        <w:tc>
          <w:tcPr>
            <w:tcW w:w="8828" w:type="dxa"/>
          </w:tcPr>
          <w:p w14:paraId="2167125A" w14:textId="2928E00D" w:rsidR="0017032A" w:rsidRPr="006A010C" w:rsidRDefault="0017032A" w:rsidP="0017032A">
            <w:pPr>
              <w:spacing w:line="276" w:lineRule="auto"/>
              <w:jc w:val="both"/>
              <w:rPr>
                <w:rFonts w:eastAsia="ITC Avant Garde" w:cs="ITC Avant Garde"/>
              </w:rPr>
            </w:pPr>
            <w:r w:rsidRPr="006A010C">
              <w:rPr>
                <w:rFonts w:eastAsia="ITC Avant Garde" w:cs="ITC Avant Garde"/>
                <w:b/>
                <w:bCs/>
              </w:rPr>
              <w:t xml:space="preserve">9.- Seleccione las disposiciones, obligaciones y/o acciones distintas a los trámites que correspondan a la propuesta de </w:t>
            </w:r>
            <w:r w:rsidR="007E2E1A">
              <w:rPr>
                <w:rFonts w:eastAsia="ITC Avant Garde" w:cs="ITC Avant Garde"/>
                <w:b/>
                <w:bCs/>
              </w:rPr>
              <w:t>A</w:t>
            </w:r>
            <w:r w:rsidRPr="006A010C">
              <w:rPr>
                <w:rFonts w:eastAsia="ITC Avant Garde" w:cs="ITC Avant Garde"/>
                <w:b/>
                <w:bCs/>
              </w:rPr>
              <w:t>nteproyecto de regulación:</w:t>
            </w:r>
          </w:p>
          <w:p w14:paraId="0A37D6F2" w14:textId="77777777" w:rsidR="0017032A" w:rsidRDefault="0017032A" w:rsidP="0017032A">
            <w:pPr>
              <w:spacing w:line="276" w:lineRule="auto"/>
              <w:jc w:val="both"/>
              <w:rPr>
                <w:rFonts w:eastAsia="ITC Avant Garde" w:cs="ITC Avant Garde"/>
              </w:rPr>
            </w:pPr>
          </w:p>
          <w:p w14:paraId="1B3DC9FF" w14:textId="77777777" w:rsidR="0037478A" w:rsidRPr="00E1553F" w:rsidRDefault="0037478A" w:rsidP="0037478A">
            <w:pPr>
              <w:spacing w:line="276" w:lineRule="auto"/>
              <w:jc w:val="both"/>
              <w:rPr>
                <w:rFonts w:eastAsia="ITC Avant Garde" w:cs="ITC Avant Garde"/>
              </w:rPr>
            </w:pPr>
            <w:r>
              <w:rPr>
                <w:rFonts w:eastAsia="ITC Avant Garde" w:cs="ITC Avant Garde"/>
                <w:b/>
              </w:rPr>
              <w:t xml:space="preserve">Tipo: </w:t>
            </w:r>
            <w:r>
              <w:rPr>
                <w:rFonts w:eastAsia="ITC Avant Garde" w:cs="ITC Avant Garde"/>
              </w:rPr>
              <w:t>Establece un estándar técnico</w:t>
            </w:r>
          </w:p>
          <w:p w14:paraId="2C7B0B70" w14:textId="77777777" w:rsidR="0037478A" w:rsidRPr="00E1553F" w:rsidRDefault="0037478A" w:rsidP="0037478A">
            <w:pPr>
              <w:spacing w:line="276" w:lineRule="auto"/>
              <w:jc w:val="both"/>
              <w:rPr>
                <w:rFonts w:eastAsia="ITC Avant Garde" w:cs="ITC Avant Garde"/>
              </w:rPr>
            </w:pPr>
            <w:r>
              <w:rPr>
                <w:rFonts w:eastAsia="ITC Avant Garde" w:cs="ITC Avant Garde"/>
                <w:b/>
              </w:rPr>
              <w:t xml:space="preserve">Artículos aplicables: </w:t>
            </w:r>
            <w:r>
              <w:rPr>
                <w:rFonts w:eastAsia="ITC Avant Garde" w:cs="ITC Avant Garde"/>
              </w:rPr>
              <w:t>Numeral 1</w:t>
            </w:r>
          </w:p>
          <w:p w14:paraId="07728C53" w14:textId="77777777" w:rsidR="0037478A" w:rsidRPr="00E1553F" w:rsidRDefault="0037478A" w:rsidP="0037478A">
            <w:pPr>
              <w:spacing w:line="276" w:lineRule="auto"/>
              <w:jc w:val="both"/>
              <w:rPr>
                <w:rFonts w:eastAsia="ITC Avant Garde" w:cs="ITC Avant Garde"/>
              </w:rPr>
            </w:pPr>
            <w:r>
              <w:rPr>
                <w:rFonts w:eastAsia="ITC Avant Garde" w:cs="ITC Avant Garde"/>
                <w:b/>
              </w:rPr>
              <w:lastRenderedPageBreak/>
              <w:t xml:space="preserve">Justificación: </w:t>
            </w:r>
            <w:r>
              <w:rPr>
                <w:rFonts w:eastAsia="ITC Avant Garde" w:cs="ITC Avant Garde"/>
              </w:rPr>
              <w:t xml:space="preserve">Se debe dar a conocer el objetivo del Anteproyecto, el cual es establecer los límites máximos de </w:t>
            </w:r>
            <w:r w:rsidR="0012433B" w:rsidRPr="0012433B">
              <w:rPr>
                <w:rFonts w:eastAsia="ITC Avant Garde" w:cs="ITC Avant Garde"/>
              </w:rPr>
              <w:t xml:space="preserve">radiaciones electromagnéticas de radiofrecuencia no ionizantes </w:t>
            </w:r>
            <w:r w:rsidR="009E7FF2">
              <w:rPr>
                <w:rFonts w:eastAsia="ITC Avant Garde" w:cs="ITC Avant Garde"/>
              </w:rPr>
              <w:t>para</w:t>
            </w:r>
            <w:r w:rsidRPr="00112470">
              <w:rPr>
                <w:rFonts w:eastAsia="ITC Avant Garde" w:cs="ITC Avant Garde"/>
              </w:rPr>
              <w:t xml:space="preserve"> los productos, equipos, dispositivos o aparatos</w:t>
            </w:r>
            <w:r>
              <w:rPr>
                <w:rFonts w:eastAsia="ITC Avant Garde" w:cs="ITC Avant Garde"/>
              </w:rPr>
              <w:t xml:space="preserve"> (DCI)</w:t>
            </w:r>
            <w:r w:rsidRPr="00112470">
              <w:rPr>
                <w:rFonts w:eastAsia="ITC Avant Garde" w:cs="ITC Avant Garde"/>
              </w:rPr>
              <w:t xml:space="preserve"> destinados a telecomunicaciones que pueden ser conectados a una red de telecomunicaciones y/o hacer uso del espectro radioeléctrico, medidos en la proximidad del cuerpo humano, mediante el índice de absorción específica (SAR) en el intervalo de 30 MHz a 6 GHz.</w:t>
            </w:r>
          </w:p>
          <w:p w14:paraId="507E0E50" w14:textId="77777777" w:rsidR="0037478A" w:rsidRPr="00E6423A" w:rsidRDefault="0037478A" w:rsidP="00E6423A">
            <w:pPr>
              <w:spacing w:line="276" w:lineRule="auto"/>
              <w:jc w:val="both"/>
              <w:rPr>
                <w:rFonts w:eastAsia="ITC Avant Garde" w:cs="ITC Avant Garde"/>
              </w:rPr>
            </w:pPr>
          </w:p>
          <w:p w14:paraId="0EF7FBD1" w14:textId="77777777" w:rsidR="00E6423A" w:rsidRPr="00E6423A" w:rsidRDefault="00E6423A" w:rsidP="00E6423A">
            <w:pPr>
              <w:spacing w:line="276" w:lineRule="auto"/>
              <w:jc w:val="both"/>
            </w:pPr>
            <w:r w:rsidRPr="00E6423A">
              <w:rPr>
                <w:b/>
              </w:rPr>
              <w:t>Tipo:</w:t>
            </w:r>
            <w:r w:rsidRPr="00E6423A">
              <w:t xml:space="preserve"> Definición</w:t>
            </w:r>
          </w:p>
          <w:p w14:paraId="5A8431DA" w14:textId="77777777" w:rsidR="00E6423A" w:rsidRPr="00E6423A" w:rsidRDefault="00E6423A" w:rsidP="00E6423A">
            <w:pPr>
              <w:spacing w:line="276" w:lineRule="auto"/>
              <w:jc w:val="both"/>
            </w:pPr>
            <w:r w:rsidRPr="00E6423A">
              <w:rPr>
                <w:b/>
              </w:rPr>
              <w:t>Artículos aplicables:</w:t>
            </w:r>
            <w:r w:rsidRPr="00E6423A">
              <w:t xml:space="preserve"> Numeral </w:t>
            </w:r>
            <w:r>
              <w:t>3</w:t>
            </w:r>
            <w:r w:rsidRPr="00E6423A">
              <w:t>, fracción I.</w:t>
            </w:r>
          </w:p>
          <w:p w14:paraId="1C79697D" w14:textId="61DB54FA" w:rsidR="00E6423A" w:rsidRPr="00E6423A" w:rsidRDefault="00E6423A" w:rsidP="00E6423A">
            <w:pPr>
              <w:spacing w:line="276" w:lineRule="auto"/>
              <w:jc w:val="both"/>
              <w:rPr>
                <w:rFonts w:eastAsia="Times New Roman" w:cs="Arial"/>
                <w:lang w:eastAsia="es-ES"/>
              </w:rPr>
            </w:pPr>
            <w:r w:rsidRPr="00E6423A">
              <w:rPr>
                <w:b/>
              </w:rPr>
              <w:t>Justificación:</w:t>
            </w:r>
            <w:r w:rsidRPr="00E6423A">
              <w:t xml:space="preserve"> Para efectos de dar claridad a la lectura de la Disposición técnica y certeza jurídica es necesario contar con la definición de</w:t>
            </w:r>
            <w:r w:rsidRPr="00E6423A">
              <w:rPr>
                <w:rFonts w:eastAsia="Times New Roman" w:cs="Arial"/>
                <w:lang w:eastAsia="es-ES"/>
              </w:rPr>
              <w:t xml:space="preserve"> </w:t>
            </w:r>
            <w:r w:rsidRPr="00E6423A">
              <w:rPr>
                <w:rFonts w:eastAsia="Times New Roman" w:cs="Arial"/>
                <w:b/>
                <w:lang w:eastAsia="es-ES"/>
              </w:rPr>
              <w:t>Absorción específica de energía</w:t>
            </w:r>
            <w:r w:rsidR="002B4DE1">
              <w:rPr>
                <w:rFonts w:eastAsia="Times New Roman" w:cs="Arial"/>
                <w:b/>
                <w:lang w:eastAsia="es-ES"/>
              </w:rPr>
              <w:t xml:space="preserve"> (SA).</w:t>
            </w:r>
          </w:p>
          <w:p w14:paraId="78D0AC76" w14:textId="77777777" w:rsidR="00E6423A" w:rsidRPr="00E6423A" w:rsidRDefault="00E6423A" w:rsidP="00E6423A">
            <w:pPr>
              <w:spacing w:line="276" w:lineRule="auto"/>
              <w:jc w:val="both"/>
              <w:rPr>
                <w:b/>
              </w:rPr>
            </w:pPr>
          </w:p>
          <w:p w14:paraId="787512B7" w14:textId="77777777" w:rsidR="00E6423A" w:rsidRPr="00E6423A" w:rsidRDefault="00E6423A" w:rsidP="00E6423A">
            <w:pPr>
              <w:spacing w:line="276" w:lineRule="auto"/>
              <w:jc w:val="both"/>
            </w:pPr>
            <w:r w:rsidRPr="00E6423A">
              <w:rPr>
                <w:b/>
              </w:rPr>
              <w:t>Tipo:</w:t>
            </w:r>
            <w:r w:rsidRPr="00E6423A">
              <w:t xml:space="preserve"> Definición</w:t>
            </w:r>
          </w:p>
          <w:p w14:paraId="3E5BED64" w14:textId="77777777" w:rsidR="00E6423A" w:rsidRPr="00E6423A" w:rsidRDefault="00E6423A" w:rsidP="00E6423A">
            <w:pPr>
              <w:spacing w:line="276" w:lineRule="auto"/>
              <w:jc w:val="both"/>
            </w:pPr>
            <w:r w:rsidRPr="00E6423A">
              <w:rPr>
                <w:b/>
              </w:rPr>
              <w:t>Artículos aplicables:</w:t>
            </w:r>
            <w:r w:rsidRPr="00E6423A">
              <w:t xml:space="preserve"> Numeral </w:t>
            </w:r>
            <w:r w:rsidR="00FB1BD1">
              <w:t>3</w:t>
            </w:r>
            <w:r w:rsidRPr="00E6423A">
              <w:t>, fracción II.</w:t>
            </w:r>
          </w:p>
          <w:p w14:paraId="67AEF95B" w14:textId="46AF213D" w:rsidR="00E6423A" w:rsidRPr="00E6423A" w:rsidRDefault="00E6423A" w:rsidP="00E6423A">
            <w:pPr>
              <w:spacing w:line="276" w:lineRule="auto"/>
              <w:jc w:val="both"/>
            </w:pPr>
            <w:r w:rsidRPr="00E6423A">
              <w:rPr>
                <w:b/>
              </w:rPr>
              <w:t>Justificación:</w:t>
            </w:r>
            <w:r w:rsidRPr="00E6423A">
              <w:t xml:space="preserve"> Para efectos de dar claridad a la lectura de</w:t>
            </w:r>
            <w:r w:rsidR="00E602CC">
              <w:t>l Anteproyecto</w:t>
            </w:r>
            <w:r w:rsidRPr="00E6423A">
              <w:t xml:space="preserve"> y certeza jurídica es necesario contar con la definición de</w:t>
            </w:r>
            <w:r w:rsidRPr="00E6423A">
              <w:rPr>
                <w:rFonts w:eastAsia="Times New Roman" w:cs="Arial"/>
                <w:lang w:eastAsia="es-ES"/>
              </w:rPr>
              <w:t xml:space="preserve"> </w:t>
            </w:r>
            <w:r>
              <w:rPr>
                <w:rFonts w:eastAsia="Times New Roman" w:cs="Arial"/>
                <w:b/>
                <w:lang w:eastAsia="es-ES"/>
              </w:rPr>
              <w:t>Accesorio</w:t>
            </w:r>
            <w:r w:rsidRPr="00E6423A">
              <w:rPr>
                <w:rFonts w:eastAsia="Times New Roman" w:cs="Arial"/>
                <w:lang w:eastAsia="es-ES"/>
              </w:rPr>
              <w:t>.</w:t>
            </w:r>
          </w:p>
          <w:p w14:paraId="3EA104B4" w14:textId="77777777" w:rsidR="00E6423A" w:rsidRPr="00E6423A" w:rsidRDefault="00E6423A" w:rsidP="00E6423A">
            <w:pPr>
              <w:spacing w:line="276" w:lineRule="auto"/>
              <w:jc w:val="both"/>
              <w:rPr>
                <w:b/>
              </w:rPr>
            </w:pPr>
          </w:p>
          <w:p w14:paraId="423E55C4"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6C6D1B04"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III.</w:t>
            </w:r>
          </w:p>
          <w:p w14:paraId="30B247FD" w14:textId="6EEE808C" w:rsidR="00E6423A" w:rsidRPr="00E6423A" w:rsidRDefault="00E6423A" w:rsidP="00E6423A">
            <w:pPr>
              <w:spacing w:line="276" w:lineRule="auto"/>
              <w:jc w:val="both"/>
            </w:pPr>
            <w:r w:rsidRPr="00E6423A">
              <w:rPr>
                <w:b/>
              </w:rPr>
              <w:t>Justificación:</w:t>
            </w:r>
            <w:r w:rsidRPr="00E6423A">
              <w:t xml:space="preserve"> Para efectos de dar claridad a la lectura </w:t>
            </w:r>
            <w:r w:rsidR="00E602CC" w:rsidRPr="00E602CC">
              <w:t>del Anteproyecto</w:t>
            </w:r>
            <w:r w:rsidR="00E602CC" w:rsidRPr="00E602CC" w:rsidDel="00E602CC">
              <w:t xml:space="preserve"> </w:t>
            </w:r>
            <w:r w:rsidRPr="00E6423A">
              <w:t>y certeza jurídica es necesario contar con la definición de</w:t>
            </w:r>
            <w:r w:rsidRPr="00E6423A">
              <w:rPr>
                <w:rFonts w:eastAsia="Times New Roman" w:cs="Arial"/>
                <w:lang w:eastAsia="es-ES"/>
              </w:rPr>
              <w:t xml:space="preserve"> </w:t>
            </w:r>
            <w:r>
              <w:rPr>
                <w:rFonts w:eastAsia="Times New Roman" w:cs="Arial"/>
                <w:b/>
                <w:lang w:eastAsia="es-ES"/>
              </w:rPr>
              <w:t>Certificado de Conformidad</w:t>
            </w:r>
            <w:r w:rsidRPr="00E6423A">
              <w:rPr>
                <w:rFonts w:eastAsia="Times New Roman" w:cs="Arial"/>
                <w:lang w:eastAsia="es-ES"/>
              </w:rPr>
              <w:t>.</w:t>
            </w:r>
          </w:p>
          <w:p w14:paraId="42807F2A" w14:textId="77777777" w:rsidR="00E6423A" w:rsidRPr="00E6423A" w:rsidRDefault="00E6423A" w:rsidP="00E6423A">
            <w:pPr>
              <w:spacing w:line="276" w:lineRule="auto"/>
              <w:jc w:val="both"/>
              <w:rPr>
                <w:b/>
                <w:strike/>
              </w:rPr>
            </w:pPr>
          </w:p>
          <w:p w14:paraId="569B4852"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1E32585E"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V</w:t>
            </w:r>
            <w:r>
              <w:rPr>
                <w:rFonts w:eastAsia="Times New Roman" w:cs="Arial"/>
                <w:lang w:eastAsia="es-ES"/>
              </w:rPr>
              <w:t>I</w:t>
            </w:r>
            <w:r w:rsidRPr="00E6423A">
              <w:rPr>
                <w:rFonts w:eastAsia="Times New Roman" w:cs="Arial"/>
                <w:lang w:eastAsia="es-ES"/>
              </w:rPr>
              <w:t>.</w:t>
            </w:r>
          </w:p>
          <w:p w14:paraId="0C74DB2E" w14:textId="25E0B42F" w:rsidR="00E6423A" w:rsidRPr="00E6423A" w:rsidRDefault="00E6423A" w:rsidP="00E6423A">
            <w:pPr>
              <w:spacing w:line="276" w:lineRule="auto"/>
              <w:jc w:val="both"/>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Pr>
                <w:rFonts w:eastAsia="Times New Roman" w:cs="Arial"/>
                <w:b/>
                <w:lang w:eastAsia="es-ES"/>
              </w:rPr>
              <w:t>Deriva</w:t>
            </w:r>
            <w:r w:rsidRPr="00E6423A">
              <w:rPr>
                <w:rFonts w:eastAsia="Times New Roman" w:cs="Arial"/>
                <w:lang w:eastAsia="es-ES"/>
              </w:rPr>
              <w:t>.</w:t>
            </w:r>
          </w:p>
          <w:p w14:paraId="7A091CB2" w14:textId="77777777" w:rsidR="00E6423A" w:rsidRPr="00E6423A" w:rsidRDefault="00E6423A" w:rsidP="00E6423A">
            <w:pPr>
              <w:spacing w:line="276" w:lineRule="auto"/>
              <w:jc w:val="both"/>
              <w:rPr>
                <w:b/>
              </w:rPr>
            </w:pPr>
          </w:p>
          <w:p w14:paraId="4A9EC037"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4740D905"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w:t>
            </w:r>
            <w:r>
              <w:rPr>
                <w:rFonts w:eastAsia="Times New Roman" w:cs="Arial"/>
                <w:lang w:eastAsia="es-ES"/>
              </w:rPr>
              <w:t xml:space="preserve"> V</w:t>
            </w:r>
            <w:r w:rsidRPr="00E6423A">
              <w:rPr>
                <w:rFonts w:eastAsia="Times New Roman" w:cs="Arial"/>
                <w:lang w:eastAsia="es-ES"/>
              </w:rPr>
              <w:t>.</w:t>
            </w:r>
          </w:p>
          <w:p w14:paraId="1DD262E5" w14:textId="256EB636" w:rsidR="00E6423A" w:rsidRPr="00E6423A" w:rsidRDefault="00E6423A" w:rsidP="00E6423A">
            <w:pPr>
              <w:spacing w:line="276" w:lineRule="auto"/>
              <w:jc w:val="both"/>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Pr>
                <w:rFonts w:eastAsia="Times New Roman" w:cs="Arial"/>
                <w:b/>
                <w:lang w:eastAsia="es-ES"/>
              </w:rPr>
              <w:t>Disposición Técnica</w:t>
            </w:r>
            <w:r w:rsidRPr="00E6423A">
              <w:rPr>
                <w:rFonts w:eastAsia="Times New Roman" w:cs="Arial"/>
                <w:lang w:eastAsia="es-ES"/>
              </w:rPr>
              <w:t>.</w:t>
            </w:r>
          </w:p>
          <w:p w14:paraId="2B28A902" w14:textId="77777777" w:rsidR="00E6423A" w:rsidRPr="00E6423A" w:rsidRDefault="00E6423A" w:rsidP="00E6423A">
            <w:pPr>
              <w:spacing w:line="276" w:lineRule="auto"/>
              <w:jc w:val="both"/>
              <w:rPr>
                <w:b/>
              </w:rPr>
            </w:pPr>
          </w:p>
          <w:p w14:paraId="51E885F2"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6067750C"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VI.</w:t>
            </w:r>
          </w:p>
          <w:p w14:paraId="7C0228EB" w14:textId="5D538938" w:rsidR="00E6423A" w:rsidRPr="00E6423A" w:rsidRDefault="00E6423A" w:rsidP="00E6423A">
            <w:pPr>
              <w:spacing w:line="276" w:lineRule="auto"/>
              <w:jc w:val="both"/>
            </w:pPr>
            <w:r w:rsidRPr="00E6423A">
              <w:rPr>
                <w:b/>
              </w:rPr>
              <w:lastRenderedPageBreak/>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Pr>
                <w:rFonts w:eastAsia="Times New Roman" w:cs="Arial"/>
                <w:b/>
                <w:lang w:eastAsia="es-ES"/>
              </w:rPr>
              <w:t>Dispositivo de comunicación inalámbrica (DCI)</w:t>
            </w:r>
            <w:r w:rsidRPr="00E6423A">
              <w:rPr>
                <w:rFonts w:eastAsia="Times New Roman" w:cs="Arial"/>
                <w:lang w:eastAsia="es-ES"/>
              </w:rPr>
              <w:t>.</w:t>
            </w:r>
          </w:p>
          <w:p w14:paraId="79E8BE39" w14:textId="77777777" w:rsidR="00E6423A" w:rsidRPr="00E6423A" w:rsidRDefault="00E6423A" w:rsidP="00E6423A">
            <w:pPr>
              <w:spacing w:line="276" w:lineRule="auto"/>
              <w:jc w:val="both"/>
              <w:rPr>
                <w:b/>
              </w:rPr>
            </w:pPr>
          </w:p>
          <w:p w14:paraId="70D67E79"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6FBEEC34"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VII.</w:t>
            </w:r>
          </w:p>
          <w:p w14:paraId="0A7877A9" w14:textId="3983D72D" w:rsidR="00E6423A" w:rsidRPr="00E6423A" w:rsidRDefault="00E6423A" w:rsidP="00E6423A">
            <w:pPr>
              <w:spacing w:line="276" w:lineRule="auto"/>
              <w:jc w:val="both"/>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00E602CC" w:rsidRPr="00E602CC">
              <w:rPr>
                <w:rFonts w:eastAsia="Times New Roman" w:cs="Arial"/>
                <w:lang w:eastAsia="es-ES"/>
              </w:rPr>
              <w:t xml:space="preserve">del Anteproyecto del Anteproyecto del Anteproyecto del Anteproyecto </w:t>
            </w:r>
            <w:r w:rsidRPr="00E6423A">
              <w:rPr>
                <w:rFonts w:eastAsia="Times New Roman" w:cs="Arial"/>
                <w:lang w:eastAsia="es-ES"/>
              </w:rPr>
              <w:t xml:space="preserve">y certeza jurídica es necesario contar con la definición de </w:t>
            </w:r>
            <w:r w:rsidRPr="00E6423A">
              <w:rPr>
                <w:rFonts w:eastAsia="Times New Roman" w:cs="Arial"/>
                <w:b/>
                <w:lang w:eastAsia="es-ES"/>
              </w:rPr>
              <w:t>Dispositivo de comunicación inalámbrica de escritorio (DCE)</w:t>
            </w:r>
            <w:r w:rsidRPr="00E6423A">
              <w:rPr>
                <w:rFonts w:eastAsia="Times New Roman" w:cs="Arial"/>
                <w:lang w:eastAsia="es-ES"/>
              </w:rPr>
              <w:t>.</w:t>
            </w:r>
          </w:p>
          <w:p w14:paraId="4A93501B" w14:textId="77777777" w:rsidR="00E6423A" w:rsidRPr="00E6423A" w:rsidRDefault="00E6423A" w:rsidP="00E6423A">
            <w:pPr>
              <w:spacing w:line="276" w:lineRule="auto"/>
              <w:jc w:val="both"/>
              <w:rPr>
                <w:b/>
              </w:rPr>
            </w:pPr>
          </w:p>
          <w:p w14:paraId="1075011D"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73B87F30"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xml:space="preserve">, fracción </w:t>
            </w:r>
            <w:r>
              <w:rPr>
                <w:rFonts w:eastAsia="Times New Roman" w:cs="Arial"/>
                <w:lang w:eastAsia="es-ES"/>
              </w:rPr>
              <w:t>VIII</w:t>
            </w:r>
            <w:r w:rsidRPr="00E6423A">
              <w:rPr>
                <w:rFonts w:eastAsia="Times New Roman" w:cs="Arial"/>
                <w:lang w:eastAsia="es-ES"/>
              </w:rPr>
              <w:t>.</w:t>
            </w:r>
          </w:p>
          <w:p w14:paraId="07F4437C" w14:textId="538874EB" w:rsidR="00E6423A" w:rsidRPr="00E6423A" w:rsidRDefault="00E6423A" w:rsidP="00E6423A">
            <w:pPr>
              <w:spacing w:line="276" w:lineRule="auto"/>
              <w:jc w:val="both"/>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Pr="00E6423A">
              <w:rPr>
                <w:rFonts w:eastAsia="Times New Roman" w:cs="Arial"/>
                <w:b/>
                <w:lang w:eastAsia="es-ES"/>
              </w:rPr>
              <w:t>Dispositivo de comunicación inalámbrica de uso corporal (DUC)</w:t>
            </w:r>
            <w:r w:rsidRPr="00E6423A">
              <w:rPr>
                <w:rFonts w:eastAsia="Times New Roman" w:cs="Arial"/>
                <w:lang w:eastAsia="es-ES"/>
              </w:rPr>
              <w:t>.</w:t>
            </w:r>
          </w:p>
          <w:p w14:paraId="40CDA704" w14:textId="77777777" w:rsidR="00E6423A" w:rsidRPr="00E6423A" w:rsidRDefault="00E6423A" w:rsidP="00E6423A">
            <w:pPr>
              <w:spacing w:line="276" w:lineRule="auto"/>
              <w:jc w:val="both"/>
              <w:rPr>
                <w:b/>
              </w:rPr>
            </w:pPr>
          </w:p>
          <w:p w14:paraId="2C8D1C6C"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3C881827"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xml:space="preserve">, fracción </w:t>
            </w:r>
            <w:r>
              <w:rPr>
                <w:rFonts w:eastAsia="Times New Roman" w:cs="Arial"/>
                <w:lang w:eastAsia="es-ES"/>
              </w:rPr>
              <w:t>I</w:t>
            </w:r>
            <w:r w:rsidRPr="00E6423A">
              <w:rPr>
                <w:rFonts w:eastAsia="Times New Roman" w:cs="Arial"/>
                <w:lang w:eastAsia="es-ES"/>
              </w:rPr>
              <w:t>X.</w:t>
            </w:r>
          </w:p>
          <w:p w14:paraId="4C135D7E" w14:textId="42C771B0" w:rsidR="00E6423A" w:rsidRPr="00E6423A" w:rsidRDefault="00E6423A" w:rsidP="00E6423A">
            <w:pPr>
              <w:spacing w:line="276" w:lineRule="auto"/>
              <w:jc w:val="both"/>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Pr="00E6423A">
              <w:rPr>
                <w:rFonts w:eastAsia="Times New Roman" w:cs="Arial"/>
                <w:b/>
                <w:lang w:eastAsia="es-ES"/>
              </w:rPr>
              <w:t>Dispositivo de comunicación inalámbrica con antenas articuladas o giratorias (DAG)</w:t>
            </w:r>
            <w:r w:rsidRPr="00E6423A">
              <w:rPr>
                <w:rFonts w:eastAsia="Times New Roman" w:cs="Arial"/>
                <w:lang w:eastAsia="es-ES"/>
              </w:rPr>
              <w:t>.</w:t>
            </w:r>
          </w:p>
          <w:p w14:paraId="1DF69600" w14:textId="77777777" w:rsidR="00E6423A" w:rsidRPr="00E6423A" w:rsidRDefault="00E6423A" w:rsidP="00E6423A">
            <w:pPr>
              <w:spacing w:line="276" w:lineRule="auto"/>
              <w:jc w:val="both"/>
              <w:rPr>
                <w:b/>
              </w:rPr>
            </w:pPr>
          </w:p>
          <w:p w14:paraId="17E52EB5"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4E3D8BC7"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X.</w:t>
            </w:r>
          </w:p>
          <w:p w14:paraId="2A2829B6" w14:textId="0302B0C3" w:rsidR="00E6423A" w:rsidRPr="00E6423A" w:rsidRDefault="00E6423A" w:rsidP="00E6423A">
            <w:pPr>
              <w:spacing w:line="276" w:lineRule="auto"/>
              <w:jc w:val="both"/>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a los regulados es necesario contar con la definición de </w:t>
            </w:r>
            <w:r w:rsidRPr="00E6423A">
              <w:rPr>
                <w:rFonts w:eastAsia="Times New Roman" w:cs="Arial"/>
                <w:b/>
                <w:lang w:eastAsia="es-ES"/>
              </w:rPr>
              <w:t>Dispositivo de comunicación inalámbrica de uso frente al rostro (DFR)</w:t>
            </w:r>
            <w:r w:rsidRPr="00E6423A">
              <w:rPr>
                <w:rFonts w:eastAsia="Times New Roman" w:cs="Arial"/>
                <w:lang w:eastAsia="es-ES"/>
              </w:rPr>
              <w:t>.</w:t>
            </w:r>
          </w:p>
          <w:p w14:paraId="61D4EB7B" w14:textId="77777777" w:rsidR="00E6423A" w:rsidRPr="00E6423A" w:rsidRDefault="00E6423A" w:rsidP="00E6423A">
            <w:pPr>
              <w:spacing w:line="276" w:lineRule="auto"/>
              <w:jc w:val="both"/>
              <w:rPr>
                <w:b/>
              </w:rPr>
            </w:pPr>
          </w:p>
          <w:p w14:paraId="405AA8A6"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7104AF69"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XI.</w:t>
            </w:r>
          </w:p>
          <w:p w14:paraId="5BCA3771" w14:textId="1AD044E4" w:rsidR="00E6423A" w:rsidRPr="00E6423A" w:rsidRDefault="00E6423A" w:rsidP="00E6423A">
            <w:pPr>
              <w:spacing w:line="276" w:lineRule="auto"/>
              <w:jc w:val="both"/>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Pr="00E6423A">
              <w:rPr>
                <w:rFonts w:eastAsia="Times New Roman" w:cs="Arial"/>
                <w:b/>
                <w:lang w:eastAsia="es-ES"/>
              </w:rPr>
              <w:t>Dispositivo de comunicación inalámbrica genérico (DG)</w:t>
            </w:r>
            <w:r w:rsidRPr="00E6423A">
              <w:rPr>
                <w:rFonts w:eastAsia="Times New Roman" w:cs="Arial"/>
                <w:lang w:eastAsia="es-ES"/>
              </w:rPr>
              <w:t>.</w:t>
            </w:r>
          </w:p>
          <w:p w14:paraId="77BDE441" w14:textId="77777777" w:rsidR="00E6423A" w:rsidRPr="00E6423A" w:rsidRDefault="00E6423A" w:rsidP="00E6423A">
            <w:pPr>
              <w:spacing w:line="276" w:lineRule="auto"/>
              <w:jc w:val="both"/>
              <w:rPr>
                <w:b/>
              </w:rPr>
            </w:pPr>
          </w:p>
          <w:p w14:paraId="4AEA9BA2"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25615FCF"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XII.</w:t>
            </w:r>
          </w:p>
          <w:p w14:paraId="23A54664" w14:textId="3A40742B" w:rsidR="00E6423A" w:rsidRPr="00E6423A" w:rsidRDefault="00E6423A" w:rsidP="00E6423A">
            <w:pPr>
              <w:spacing w:line="276" w:lineRule="auto"/>
              <w:jc w:val="both"/>
            </w:pPr>
            <w:r w:rsidRPr="00E6423A">
              <w:rPr>
                <w:b/>
              </w:rPr>
              <w:lastRenderedPageBreak/>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Pr="00E6423A">
              <w:rPr>
                <w:rFonts w:eastAsia="Times New Roman" w:cs="Arial"/>
                <w:b/>
                <w:lang w:eastAsia="es-ES"/>
              </w:rPr>
              <w:t>Dispositivo de comunicación inalámbrica integrado en la ropa (DIR)</w:t>
            </w:r>
            <w:r w:rsidRPr="00E6423A">
              <w:rPr>
                <w:rFonts w:eastAsia="Times New Roman" w:cs="Arial"/>
                <w:lang w:eastAsia="es-ES"/>
              </w:rPr>
              <w:t>.</w:t>
            </w:r>
          </w:p>
          <w:p w14:paraId="168A3B07" w14:textId="77777777" w:rsidR="00E6423A" w:rsidRPr="00E6423A" w:rsidRDefault="00E6423A" w:rsidP="00E6423A">
            <w:pPr>
              <w:spacing w:line="276" w:lineRule="auto"/>
              <w:jc w:val="both"/>
              <w:rPr>
                <w:b/>
              </w:rPr>
            </w:pPr>
          </w:p>
          <w:p w14:paraId="50074712"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423E5AFA"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XI</w:t>
            </w:r>
            <w:r>
              <w:rPr>
                <w:rFonts w:eastAsia="Times New Roman" w:cs="Arial"/>
                <w:lang w:eastAsia="es-ES"/>
              </w:rPr>
              <w:t>II</w:t>
            </w:r>
            <w:r w:rsidRPr="00E6423A">
              <w:rPr>
                <w:rFonts w:eastAsia="Times New Roman" w:cs="Arial"/>
                <w:lang w:eastAsia="es-ES"/>
              </w:rPr>
              <w:t>.</w:t>
            </w:r>
          </w:p>
          <w:p w14:paraId="6D34EFB3" w14:textId="4D982140" w:rsidR="00E6423A" w:rsidRPr="00E6423A" w:rsidRDefault="00E6423A" w:rsidP="00E6423A">
            <w:pPr>
              <w:spacing w:line="276" w:lineRule="auto"/>
              <w:jc w:val="both"/>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Pr="00E6423A">
              <w:rPr>
                <w:rFonts w:eastAsia="Times New Roman" w:cs="Arial"/>
                <w:b/>
                <w:lang w:eastAsia="es-ES"/>
              </w:rPr>
              <w:t>Dispositivo de comunicación inalámbrica soportado por el cuerpo (DSC)</w:t>
            </w:r>
            <w:r w:rsidRPr="00E6423A">
              <w:rPr>
                <w:rFonts w:eastAsia="Times New Roman" w:cs="Arial"/>
                <w:lang w:eastAsia="es-ES"/>
              </w:rPr>
              <w:t>.</w:t>
            </w:r>
          </w:p>
          <w:p w14:paraId="22DC9FCA" w14:textId="77777777" w:rsidR="00E6423A" w:rsidRPr="00E6423A" w:rsidRDefault="00E6423A" w:rsidP="00E6423A">
            <w:pPr>
              <w:spacing w:line="276" w:lineRule="auto"/>
              <w:jc w:val="both"/>
              <w:rPr>
                <w:b/>
              </w:rPr>
            </w:pPr>
          </w:p>
          <w:p w14:paraId="04EAC24E"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3D2CED79"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X</w:t>
            </w:r>
            <w:r>
              <w:rPr>
                <w:rFonts w:eastAsia="Times New Roman" w:cs="Arial"/>
                <w:lang w:eastAsia="es-ES"/>
              </w:rPr>
              <w:t>I</w:t>
            </w:r>
            <w:r w:rsidRPr="00E6423A">
              <w:rPr>
                <w:rFonts w:eastAsia="Times New Roman" w:cs="Arial"/>
                <w:lang w:eastAsia="es-ES"/>
              </w:rPr>
              <w:t>V.</w:t>
            </w:r>
          </w:p>
          <w:p w14:paraId="7F9F0B34" w14:textId="11B04C23" w:rsidR="00E6423A" w:rsidRPr="00E6423A" w:rsidRDefault="00E6423A" w:rsidP="00E6423A">
            <w:pPr>
              <w:spacing w:line="276" w:lineRule="auto"/>
              <w:jc w:val="both"/>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Pr="00E6423A">
              <w:rPr>
                <w:rFonts w:eastAsia="Times New Roman" w:cs="Arial"/>
                <w:b/>
                <w:lang w:eastAsia="es-ES"/>
              </w:rPr>
              <w:t>Dispositivo de comunicación inalámbrica usado en las extremidades del cuerpo (DEX)</w:t>
            </w:r>
            <w:r w:rsidRPr="00E6423A">
              <w:rPr>
                <w:rFonts w:eastAsia="Times New Roman" w:cs="Arial"/>
                <w:lang w:eastAsia="es-ES"/>
              </w:rPr>
              <w:t>.</w:t>
            </w:r>
          </w:p>
          <w:p w14:paraId="137DB857" w14:textId="77777777" w:rsidR="00E6423A" w:rsidRPr="00E6423A" w:rsidRDefault="00E6423A" w:rsidP="00E6423A">
            <w:pPr>
              <w:spacing w:line="276" w:lineRule="auto"/>
              <w:jc w:val="both"/>
              <w:rPr>
                <w:b/>
              </w:rPr>
            </w:pPr>
          </w:p>
          <w:p w14:paraId="59158B31"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2A89A960"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XV.</w:t>
            </w:r>
          </w:p>
          <w:p w14:paraId="7E3381CB" w14:textId="4C112C37" w:rsidR="00E6423A" w:rsidRPr="00E6423A" w:rsidRDefault="00E6423A" w:rsidP="00E6423A">
            <w:pPr>
              <w:spacing w:line="276" w:lineRule="auto"/>
              <w:jc w:val="both"/>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Pr="00E6423A">
              <w:rPr>
                <w:rFonts w:eastAsia="Times New Roman" w:cs="Arial"/>
                <w:b/>
                <w:lang w:eastAsia="es-ES"/>
              </w:rPr>
              <w:t>Distancia de separación</w:t>
            </w:r>
            <w:r w:rsidRPr="00E6423A">
              <w:rPr>
                <w:rFonts w:eastAsia="Times New Roman" w:cs="Arial"/>
                <w:lang w:eastAsia="es-ES"/>
              </w:rPr>
              <w:t>.</w:t>
            </w:r>
          </w:p>
          <w:p w14:paraId="1907323F" w14:textId="77777777" w:rsidR="00E6423A" w:rsidRPr="00E6423A" w:rsidRDefault="00E6423A" w:rsidP="00E6423A">
            <w:pPr>
              <w:spacing w:line="276" w:lineRule="auto"/>
              <w:jc w:val="both"/>
              <w:rPr>
                <w:b/>
              </w:rPr>
            </w:pPr>
          </w:p>
          <w:p w14:paraId="441F6B23"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045DE5CD"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XVI.</w:t>
            </w:r>
          </w:p>
          <w:p w14:paraId="214592E9" w14:textId="2A7A3AFC" w:rsidR="00E6423A" w:rsidRPr="00E6423A" w:rsidRDefault="00E6423A" w:rsidP="00E6423A">
            <w:pPr>
              <w:spacing w:line="276" w:lineRule="auto"/>
              <w:jc w:val="both"/>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Pr="00E6423A">
              <w:rPr>
                <w:rFonts w:eastAsia="Times New Roman" w:cs="Arial"/>
                <w:b/>
                <w:lang w:eastAsia="es-ES"/>
              </w:rPr>
              <w:t>Equipo Bajo Prueba (EBP)</w:t>
            </w:r>
            <w:r w:rsidRPr="00E6423A">
              <w:rPr>
                <w:rFonts w:eastAsia="Times New Roman" w:cs="Arial"/>
                <w:lang w:eastAsia="es-ES"/>
              </w:rPr>
              <w:t>.</w:t>
            </w:r>
          </w:p>
          <w:p w14:paraId="0521B948" w14:textId="77777777" w:rsidR="00E6423A" w:rsidRPr="00E6423A" w:rsidRDefault="00E6423A" w:rsidP="00E6423A">
            <w:pPr>
              <w:spacing w:line="276" w:lineRule="auto"/>
              <w:jc w:val="both"/>
              <w:rPr>
                <w:b/>
              </w:rPr>
            </w:pPr>
          </w:p>
          <w:p w14:paraId="79CDC151"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657E292C"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XVII.</w:t>
            </w:r>
          </w:p>
          <w:p w14:paraId="33FE7ACA" w14:textId="44B3FD32" w:rsidR="00E6423A" w:rsidRPr="00E6423A" w:rsidRDefault="00E6423A" w:rsidP="00E6423A">
            <w:pPr>
              <w:spacing w:line="276" w:lineRule="auto"/>
              <w:jc w:val="both"/>
              <w:rPr>
                <w:rFonts w:eastAsia="Times New Roman" w:cs="Arial"/>
                <w:lang w:eastAsia="es-ES"/>
              </w:rPr>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Pr="00E6423A">
              <w:rPr>
                <w:rFonts w:eastAsia="Times New Roman" w:cs="Arial"/>
                <w:b/>
                <w:lang w:eastAsia="es-ES"/>
              </w:rPr>
              <w:t>Evaluación de la Conformidad.</w:t>
            </w:r>
          </w:p>
          <w:p w14:paraId="44B9703F" w14:textId="77777777" w:rsidR="00E6423A" w:rsidRPr="00E6423A" w:rsidRDefault="00E6423A" w:rsidP="00E6423A">
            <w:pPr>
              <w:spacing w:line="276" w:lineRule="auto"/>
              <w:jc w:val="both"/>
              <w:rPr>
                <w:b/>
              </w:rPr>
            </w:pPr>
          </w:p>
          <w:p w14:paraId="19140B10"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30F9270D"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X</w:t>
            </w:r>
            <w:r>
              <w:rPr>
                <w:rFonts w:eastAsia="Times New Roman" w:cs="Arial"/>
                <w:lang w:eastAsia="es-ES"/>
              </w:rPr>
              <w:t>VII</w:t>
            </w:r>
            <w:r w:rsidRPr="00E6423A">
              <w:rPr>
                <w:rFonts w:eastAsia="Times New Roman" w:cs="Arial"/>
                <w:lang w:eastAsia="es-ES"/>
              </w:rPr>
              <w:t>I.</w:t>
            </w:r>
          </w:p>
          <w:p w14:paraId="615BE713" w14:textId="636CFF0A" w:rsidR="00E6423A" w:rsidRPr="00E6423A" w:rsidRDefault="00E6423A" w:rsidP="00E6423A">
            <w:pPr>
              <w:spacing w:line="276" w:lineRule="auto"/>
              <w:jc w:val="both"/>
              <w:rPr>
                <w:rFonts w:eastAsia="Times New Roman" w:cs="Arial"/>
                <w:lang w:eastAsia="es-ES"/>
              </w:rPr>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00F44A0D" w:rsidRPr="00F44A0D">
              <w:rPr>
                <w:rFonts w:eastAsia="Times New Roman" w:cs="Arial"/>
                <w:b/>
                <w:lang w:eastAsia="es-ES"/>
              </w:rPr>
              <w:t>Factor de trabajo</w:t>
            </w:r>
            <w:r w:rsidRPr="00E6423A">
              <w:rPr>
                <w:rFonts w:eastAsia="Times New Roman" w:cs="Arial"/>
                <w:lang w:eastAsia="es-ES"/>
              </w:rPr>
              <w:t>.</w:t>
            </w:r>
          </w:p>
          <w:p w14:paraId="1DBCBD70" w14:textId="77777777" w:rsidR="00E6423A" w:rsidRPr="00E6423A" w:rsidRDefault="00E6423A" w:rsidP="00E6423A">
            <w:pPr>
              <w:spacing w:line="276" w:lineRule="auto"/>
              <w:jc w:val="both"/>
              <w:rPr>
                <w:b/>
              </w:rPr>
            </w:pPr>
          </w:p>
          <w:p w14:paraId="6CBC3CFD" w14:textId="77777777" w:rsidR="00E6423A" w:rsidRPr="00E6423A" w:rsidRDefault="00E6423A" w:rsidP="00E6423A">
            <w:pPr>
              <w:spacing w:line="276" w:lineRule="auto"/>
              <w:jc w:val="both"/>
            </w:pPr>
            <w:r w:rsidRPr="00E6423A">
              <w:rPr>
                <w:b/>
              </w:rPr>
              <w:lastRenderedPageBreak/>
              <w:t>Tipo:</w:t>
            </w:r>
            <w:r w:rsidRPr="00E6423A">
              <w:t xml:space="preserve"> </w:t>
            </w:r>
            <w:r w:rsidRPr="00E6423A">
              <w:rPr>
                <w:rFonts w:eastAsia="Times New Roman" w:cs="Arial"/>
                <w:lang w:eastAsia="es-ES"/>
              </w:rPr>
              <w:t>Definición</w:t>
            </w:r>
          </w:p>
          <w:p w14:paraId="0C7CA4CF"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X</w:t>
            </w:r>
            <w:r>
              <w:rPr>
                <w:rFonts w:eastAsia="Times New Roman" w:cs="Arial"/>
                <w:lang w:eastAsia="es-ES"/>
              </w:rPr>
              <w:t>I</w:t>
            </w:r>
            <w:r w:rsidRPr="00E6423A">
              <w:rPr>
                <w:rFonts w:eastAsia="Times New Roman" w:cs="Arial"/>
                <w:lang w:eastAsia="es-ES"/>
              </w:rPr>
              <w:t>X.</w:t>
            </w:r>
          </w:p>
          <w:p w14:paraId="24CB4615" w14:textId="55C6E4A8" w:rsidR="00E6423A" w:rsidRPr="00E6423A" w:rsidRDefault="00E6423A" w:rsidP="00E6423A">
            <w:pPr>
              <w:spacing w:line="276" w:lineRule="auto"/>
              <w:jc w:val="both"/>
              <w:rPr>
                <w:rFonts w:eastAsia="Times New Roman" w:cs="Arial"/>
                <w:lang w:eastAsia="es-ES"/>
              </w:rPr>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00F44A0D" w:rsidRPr="00F44A0D">
              <w:rPr>
                <w:rFonts w:eastAsia="Times New Roman" w:cs="Arial"/>
                <w:b/>
                <w:lang w:eastAsia="es-ES"/>
              </w:rPr>
              <w:t>Handset</w:t>
            </w:r>
            <w:r w:rsidRPr="00E6423A">
              <w:rPr>
                <w:rFonts w:eastAsia="Times New Roman" w:cs="Arial"/>
                <w:lang w:eastAsia="es-ES"/>
              </w:rPr>
              <w:t>.</w:t>
            </w:r>
          </w:p>
          <w:p w14:paraId="254C65E7" w14:textId="77777777" w:rsidR="00E6423A" w:rsidRPr="00E6423A" w:rsidRDefault="00E6423A" w:rsidP="00E6423A">
            <w:pPr>
              <w:spacing w:line="276" w:lineRule="auto"/>
              <w:jc w:val="both"/>
              <w:rPr>
                <w:b/>
              </w:rPr>
            </w:pPr>
          </w:p>
          <w:p w14:paraId="7EEE1353"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0E685124"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XX.</w:t>
            </w:r>
          </w:p>
          <w:p w14:paraId="52FD7A77" w14:textId="75DEED35" w:rsidR="00E6423A" w:rsidRPr="00E6423A" w:rsidRDefault="00E6423A" w:rsidP="00E6423A">
            <w:pPr>
              <w:spacing w:line="276" w:lineRule="auto"/>
              <w:jc w:val="both"/>
              <w:rPr>
                <w:rFonts w:eastAsia="Times New Roman" w:cs="Arial"/>
                <w:b/>
                <w:lang w:eastAsia="es-ES"/>
              </w:rPr>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00F44A0D" w:rsidRPr="00F44A0D">
              <w:rPr>
                <w:rFonts w:eastAsia="Times New Roman" w:cs="Arial"/>
                <w:b/>
                <w:lang w:eastAsia="es-ES"/>
              </w:rPr>
              <w:t>Incertidumbre</w:t>
            </w:r>
            <w:r w:rsidR="00F44A0D">
              <w:rPr>
                <w:rFonts w:eastAsia="Times New Roman" w:cs="Arial"/>
                <w:b/>
                <w:lang w:eastAsia="es-ES"/>
              </w:rPr>
              <w:t>.</w:t>
            </w:r>
          </w:p>
          <w:p w14:paraId="614FFD65" w14:textId="77777777" w:rsidR="00E6423A" w:rsidRPr="00E6423A" w:rsidRDefault="00E6423A" w:rsidP="00E6423A">
            <w:pPr>
              <w:spacing w:line="276" w:lineRule="auto"/>
              <w:jc w:val="both"/>
              <w:rPr>
                <w:b/>
              </w:rPr>
            </w:pPr>
          </w:p>
          <w:p w14:paraId="54B9078C"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5963695D"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XXI.</w:t>
            </w:r>
          </w:p>
          <w:p w14:paraId="55CDF704" w14:textId="141C89D9" w:rsidR="00E6423A" w:rsidRPr="00E6423A" w:rsidRDefault="00E6423A" w:rsidP="00E6423A">
            <w:pPr>
              <w:spacing w:line="276" w:lineRule="auto"/>
              <w:jc w:val="both"/>
              <w:rPr>
                <w:rFonts w:eastAsia="Times New Roman" w:cs="Arial"/>
                <w:lang w:eastAsia="es-ES"/>
              </w:rPr>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00F44A0D" w:rsidRPr="00F44A0D">
              <w:rPr>
                <w:rFonts w:eastAsia="Times New Roman" w:cs="Arial"/>
                <w:b/>
                <w:lang w:eastAsia="es-ES"/>
              </w:rPr>
              <w:t>Índice de absorción específica (SAR)</w:t>
            </w:r>
            <w:r w:rsidRPr="00E6423A">
              <w:rPr>
                <w:rFonts w:eastAsia="Times New Roman" w:cs="Arial"/>
                <w:b/>
                <w:lang w:eastAsia="es-ES"/>
              </w:rPr>
              <w:t>.</w:t>
            </w:r>
          </w:p>
          <w:p w14:paraId="598A3350" w14:textId="77777777" w:rsidR="00E6423A" w:rsidRPr="00E6423A" w:rsidRDefault="00E6423A" w:rsidP="00E6423A">
            <w:pPr>
              <w:spacing w:line="276" w:lineRule="auto"/>
              <w:jc w:val="both"/>
              <w:rPr>
                <w:b/>
              </w:rPr>
            </w:pPr>
          </w:p>
          <w:p w14:paraId="25DF5C41"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04E2FB70"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XXII.</w:t>
            </w:r>
          </w:p>
          <w:p w14:paraId="12D4B8A7" w14:textId="11E3C54D" w:rsidR="00E6423A" w:rsidRPr="00E6423A" w:rsidRDefault="00E6423A" w:rsidP="00E6423A">
            <w:pPr>
              <w:spacing w:line="276" w:lineRule="auto"/>
              <w:jc w:val="both"/>
              <w:rPr>
                <w:rFonts w:eastAsia="Times New Roman" w:cs="Arial"/>
                <w:lang w:eastAsia="es-ES"/>
              </w:rPr>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00F44A0D" w:rsidRPr="00F44A0D">
              <w:rPr>
                <w:rFonts w:eastAsia="Times New Roman" w:cs="Arial"/>
                <w:b/>
                <w:lang w:eastAsia="es-ES"/>
              </w:rPr>
              <w:t>Instituto</w:t>
            </w:r>
            <w:r w:rsidRPr="00E6423A">
              <w:rPr>
                <w:rFonts w:eastAsia="Times New Roman" w:cs="Arial"/>
                <w:b/>
                <w:lang w:eastAsia="es-ES"/>
              </w:rPr>
              <w:t>.</w:t>
            </w:r>
          </w:p>
          <w:p w14:paraId="05BCA4A8" w14:textId="77777777" w:rsidR="00E6423A" w:rsidRPr="00E6423A" w:rsidRDefault="00E6423A" w:rsidP="00E6423A">
            <w:pPr>
              <w:spacing w:line="276" w:lineRule="auto"/>
              <w:jc w:val="both"/>
              <w:rPr>
                <w:b/>
              </w:rPr>
            </w:pPr>
          </w:p>
          <w:p w14:paraId="3105672C"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3753C7EB" w14:textId="77777777"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XXI</w:t>
            </w:r>
            <w:r w:rsidR="00F44A0D">
              <w:rPr>
                <w:rFonts w:eastAsia="Times New Roman" w:cs="Arial"/>
                <w:lang w:eastAsia="es-ES"/>
              </w:rPr>
              <w:t>II</w:t>
            </w:r>
          </w:p>
          <w:p w14:paraId="24296068" w14:textId="0F0532B8" w:rsidR="00E6423A" w:rsidRPr="00E6423A" w:rsidRDefault="00E6423A" w:rsidP="00E6423A">
            <w:pPr>
              <w:spacing w:line="276" w:lineRule="auto"/>
              <w:jc w:val="both"/>
              <w:rPr>
                <w:rFonts w:eastAsia="Times New Roman" w:cs="Arial"/>
                <w:lang w:eastAsia="es-ES"/>
              </w:rPr>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00F44A0D" w:rsidRPr="00F44A0D">
              <w:rPr>
                <w:rFonts w:eastAsia="Times New Roman" w:cs="Arial"/>
                <w:b/>
                <w:lang w:eastAsia="es-ES"/>
              </w:rPr>
              <w:t>Intensidad de campo eléctrico</w:t>
            </w:r>
            <w:r w:rsidRPr="00E6423A">
              <w:rPr>
                <w:rFonts w:eastAsia="Times New Roman" w:cs="Arial"/>
                <w:lang w:eastAsia="es-ES"/>
              </w:rPr>
              <w:t>.</w:t>
            </w:r>
          </w:p>
          <w:p w14:paraId="62644E0C" w14:textId="77777777" w:rsidR="00E6423A" w:rsidRPr="00E6423A" w:rsidRDefault="00E6423A" w:rsidP="00E6423A">
            <w:pPr>
              <w:spacing w:line="276" w:lineRule="auto"/>
              <w:jc w:val="both"/>
              <w:rPr>
                <w:b/>
              </w:rPr>
            </w:pPr>
          </w:p>
          <w:p w14:paraId="2B60F252"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413CFB59" w14:textId="7CA2522E"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XX</w:t>
            </w:r>
            <w:r w:rsidR="005C65DB">
              <w:rPr>
                <w:rFonts w:eastAsia="Times New Roman" w:cs="Arial"/>
                <w:lang w:eastAsia="es-ES"/>
              </w:rPr>
              <w:t>I</w:t>
            </w:r>
            <w:r w:rsidRPr="00E6423A">
              <w:rPr>
                <w:rFonts w:eastAsia="Times New Roman" w:cs="Arial"/>
                <w:lang w:eastAsia="es-ES"/>
              </w:rPr>
              <w:t>V.</w:t>
            </w:r>
          </w:p>
          <w:p w14:paraId="5B834AB7" w14:textId="5DE3D91F" w:rsidR="00E6423A" w:rsidRPr="00E6423A" w:rsidRDefault="00E6423A" w:rsidP="00E6423A">
            <w:pPr>
              <w:spacing w:line="276" w:lineRule="auto"/>
              <w:jc w:val="both"/>
              <w:rPr>
                <w:rFonts w:eastAsia="Times New Roman" w:cs="Arial"/>
                <w:lang w:eastAsia="es-ES"/>
              </w:rPr>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006671AC">
              <w:rPr>
                <w:rFonts w:eastAsia="Times New Roman" w:cs="Arial"/>
                <w:b/>
                <w:lang w:eastAsia="es-ES"/>
              </w:rPr>
              <w:t>LFTR</w:t>
            </w:r>
            <w:r w:rsidRPr="00E6423A">
              <w:rPr>
                <w:rFonts w:eastAsia="Times New Roman" w:cs="Arial"/>
                <w:lang w:eastAsia="es-ES"/>
              </w:rPr>
              <w:t>.</w:t>
            </w:r>
          </w:p>
          <w:p w14:paraId="56D62FF6" w14:textId="77777777" w:rsidR="00E6423A" w:rsidRPr="00E6423A" w:rsidRDefault="00E6423A" w:rsidP="00E6423A">
            <w:pPr>
              <w:spacing w:line="276" w:lineRule="auto"/>
              <w:jc w:val="both"/>
              <w:rPr>
                <w:b/>
              </w:rPr>
            </w:pPr>
          </w:p>
          <w:p w14:paraId="71FAD644"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3EFAF01B" w14:textId="75D47AFA"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XXV.</w:t>
            </w:r>
          </w:p>
          <w:p w14:paraId="3BDA09F6" w14:textId="6B241E68" w:rsidR="00E6423A" w:rsidRPr="00E6423A" w:rsidRDefault="00E6423A" w:rsidP="00E6423A">
            <w:pPr>
              <w:spacing w:line="276" w:lineRule="auto"/>
              <w:jc w:val="both"/>
              <w:rPr>
                <w:rFonts w:eastAsia="Times New Roman" w:cs="Arial"/>
                <w:lang w:eastAsia="es-ES"/>
              </w:rPr>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00F44A0D">
              <w:rPr>
                <w:rFonts w:eastAsia="Times New Roman" w:cs="Arial"/>
                <w:b/>
                <w:lang w:eastAsia="es-ES"/>
              </w:rPr>
              <w:t>Líquido equivalente al tejido humano (LET)</w:t>
            </w:r>
            <w:r w:rsidRPr="00E6423A">
              <w:rPr>
                <w:rFonts w:eastAsia="Times New Roman" w:cs="Arial"/>
                <w:lang w:eastAsia="es-ES"/>
              </w:rPr>
              <w:t>.</w:t>
            </w:r>
          </w:p>
          <w:p w14:paraId="36BCE727" w14:textId="77777777" w:rsidR="00E6423A" w:rsidRPr="00E6423A" w:rsidRDefault="00E6423A" w:rsidP="00E6423A">
            <w:pPr>
              <w:spacing w:line="276" w:lineRule="auto"/>
              <w:jc w:val="both"/>
              <w:rPr>
                <w:b/>
              </w:rPr>
            </w:pPr>
          </w:p>
          <w:p w14:paraId="07FC9345" w14:textId="77777777" w:rsidR="00E6423A" w:rsidRPr="00E6423A" w:rsidRDefault="00E6423A" w:rsidP="00E6423A">
            <w:pPr>
              <w:spacing w:line="276" w:lineRule="auto"/>
              <w:jc w:val="both"/>
            </w:pPr>
            <w:r w:rsidRPr="00E6423A">
              <w:rPr>
                <w:b/>
              </w:rPr>
              <w:lastRenderedPageBreak/>
              <w:t>Tipo:</w:t>
            </w:r>
            <w:r w:rsidRPr="00E6423A">
              <w:t xml:space="preserve"> </w:t>
            </w:r>
            <w:r w:rsidRPr="00E6423A">
              <w:rPr>
                <w:rFonts w:eastAsia="Times New Roman" w:cs="Arial"/>
                <w:lang w:eastAsia="es-ES"/>
              </w:rPr>
              <w:t>Definición</w:t>
            </w:r>
          </w:p>
          <w:p w14:paraId="7FAA7835" w14:textId="2946B2C4"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XXVI.</w:t>
            </w:r>
          </w:p>
          <w:p w14:paraId="49D287A8" w14:textId="182EBFAA" w:rsidR="00E6423A" w:rsidRPr="00E6423A" w:rsidRDefault="00E6423A" w:rsidP="00E6423A">
            <w:pPr>
              <w:spacing w:line="276" w:lineRule="auto"/>
              <w:jc w:val="both"/>
              <w:rPr>
                <w:rFonts w:eastAsia="Times New Roman" w:cs="Arial"/>
                <w:lang w:eastAsia="es-ES"/>
              </w:rPr>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00F44A0D">
              <w:rPr>
                <w:rFonts w:eastAsia="Times New Roman" w:cs="Arial"/>
                <w:b/>
                <w:lang w:eastAsia="es-ES"/>
              </w:rPr>
              <w:t xml:space="preserve">Longitud de </w:t>
            </w:r>
            <w:r w:rsidR="00703F95">
              <w:rPr>
                <w:rFonts w:eastAsia="Times New Roman" w:cs="Arial"/>
                <w:b/>
                <w:lang w:eastAsia="es-ES"/>
              </w:rPr>
              <w:t>o</w:t>
            </w:r>
            <w:r w:rsidR="00F44A0D">
              <w:rPr>
                <w:rFonts w:eastAsia="Times New Roman" w:cs="Arial"/>
                <w:b/>
                <w:lang w:eastAsia="es-ES"/>
              </w:rPr>
              <w:t xml:space="preserve">nda </w:t>
            </w:r>
            <w:r w:rsidR="00F44A0D" w:rsidRPr="00F44A0D">
              <w:rPr>
                <w:rFonts w:eastAsia="Times New Roman" w:cs="Arial"/>
                <w:b/>
                <w:lang w:eastAsia="es-ES"/>
              </w:rPr>
              <w:t>(</w:t>
            </w:r>
            <w:r w:rsidR="00F44A0D" w:rsidRPr="00F44A0D">
              <w:rPr>
                <w:rFonts w:ascii="Calibri" w:eastAsia="Times New Roman" w:hAnsi="Calibri" w:cs="Calibri"/>
                <w:b/>
                <w:lang w:eastAsia="es-ES"/>
              </w:rPr>
              <w:t>λ</w:t>
            </w:r>
            <w:r w:rsidR="00F44A0D" w:rsidRPr="00F44A0D">
              <w:rPr>
                <w:rFonts w:eastAsia="Times New Roman" w:cs="Arial"/>
                <w:b/>
                <w:lang w:eastAsia="es-ES"/>
              </w:rPr>
              <w:t>)</w:t>
            </w:r>
            <w:r w:rsidRPr="00E6423A">
              <w:rPr>
                <w:rFonts w:eastAsia="Times New Roman" w:cs="Arial"/>
                <w:lang w:eastAsia="es-ES"/>
              </w:rPr>
              <w:t>.</w:t>
            </w:r>
          </w:p>
          <w:p w14:paraId="2CAB225B" w14:textId="77777777" w:rsidR="00E6423A" w:rsidRPr="00E6423A" w:rsidRDefault="00E6423A" w:rsidP="00E6423A">
            <w:pPr>
              <w:spacing w:line="276" w:lineRule="auto"/>
              <w:jc w:val="both"/>
              <w:rPr>
                <w:b/>
              </w:rPr>
            </w:pPr>
          </w:p>
          <w:p w14:paraId="3C51CD3B"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293B37E9" w14:textId="53413830" w:rsidR="00E6423A" w:rsidRPr="00E6423A" w:rsidRDefault="00E6423A" w:rsidP="00E6423A">
            <w:pPr>
              <w:spacing w:line="276" w:lineRule="auto"/>
              <w:jc w:val="both"/>
            </w:pPr>
            <w:r w:rsidRPr="00E6423A">
              <w:rPr>
                <w:b/>
              </w:rPr>
              <w:t>Artículos aplicables:</w:t>
            </w:r>
            <w:r w:rsidRPr="00E6423A">
              <w:t xml:space="preserve"> </w:t>
            </w:r>
            <w:r w:rsidRPr="00E6423A">
              <w:rPr>
                <w:rFonts w:eastAsia="Times New Roman" w:cs="Arial"/>
                <w:lang w:eastAsia="es-ES"/>
              </w:rPr>
              <w:t xml:space="preserve">Numeral </w:t>
            </w:r>
            <w:r w:rsidR="00FB1BD1">
              <w:rPr>
                <w:rFonts w:eastAsia="Times New Roman" w:cs="Arial"/>
                <w:lang w:eastAsia="es-ES"/>
              </w:rPr>
              <w:t>3</w:t>
            </w:r>
            <w:r w:rsidRPr="00E6423A">
              <w:rPr>
                <w:rFonts w:eastAsia="Times New Roman" w:cs="Arial"/>
                <w:lang w:eastAsia="es-ES"/>
              </w:rPr>
              <w:t>, fracción XX</w:t>
            </w:r>
            <w:r w:rsidR="00F44A0D">
              <w:rPr>
                <w:rFonts w:eastAsia="Times New Roman" w:cs="Arial"/>
                <w:lang w:eastAsia="es-ES"/>
              </w:rPr>
              <w:t>VI</w:t>
            </w:r>
            <w:r w:rsidRPr="00E6423A">
              <w:rPr>
                <w:rFonts w:eastAsia="Times New Roman" w:cs="Arial"/>
                <w:lang w:eastAsia="es-ES"/>
              </w:rPr>
              <w:t>I.</w:t>
            </w:r>
          </w:p>
          <w:p w14:paraId="5FDCB990" w14:textId="0E737D05" w:rsidR="00E6423A" w:rsidRPr="00E6423A" w:rsidRDefault="00E6423A" w:rsidP="00E6423A">
            <w:pPr>
              <w:spacing w:line="276" w:lineRule="auto"/>
              <w:jc w:val="both"/>
              <w:rPr>
                <w:rFonts w:eastAsia="Times New Roman" w:cs="Arial"/>
                <w:lang w:eastAsia="es-ES"/>
              </w:rPr>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00F44A0D">
              <w:rPr>
                <w:rFonts w:eastAsia="Times New Roman" w:cs="Arial"/>
                <w:b/>
                <w:lang w:eastAsia="es-ES"/>
              </w:rPr>
              <w:t>Permitividad compleja</w:t>
            </w:r>
            <w:r w:rsidRPr="00E6423A">
              <w:rPr>
                <w:rFonts w:eastAsia="Times New Roman" w:cs="Arial"/>
                <w:lang w:eastAsia="es-ES"/>
              </w:rPr>
              <w:t>.</w:t>
            </w:r>
          </w:p>
          <w:p w14:paraId="31C7B3F0" w14:textId="77777777" w:rsidR="00E6423A" w:rsidRPr="00E6423A" w:rsidRDefault="00E6423A" w:rsidP="00E6423A">
            <w:pPr>
              <w:spacing w:line="276" w:lineRule="auto"/>
              <w:jc w:val="both"/>
              <w:rPr>
                <w:b/>
              </w:rPr>
            </w:pPr>
          </w:p>
          <w:p w14:paraId="554EC3DF" w14:textId="77777777" w:rsidR="00E6423A" w:rsidRPr="00E6423A" w:rsidRDefault="00E6423A" w:rsidP="00E6423A">
            <w:pPr>
              <w:spacing w:line="276" w:lineRule="auto"/>
              <w:jc w:val="both"/>
            </w:pPr>
            <w:r w:rsidRPr="00E6423A">
              <w:rPr>
                <w:b/>
              </w:rPr>
              <w:t>Tipo:</w:t>
            </w:r>
            <w:r w:rsidRPr="00E6423A">
              <w:t xml:space="preserve"> </w:t>
            </w:r>
            <w:r w:rsidRPr="00E6423A">
              <w:rPr>
                <w:rFonts w:eastAsia="Times New Roman" w:cs="Arial"/>
                <w:lang w:eastAsia="es-ES"/>
              </w:rPr>
              <w:t>Definición</w:t>
            </w:r>
          </w:p>
          <w:p w14:paraId="49BD1901" w14:textId="536FFB0C" w:rsidR="00E6423A" w:rsidRPr="00E6423A" w:rsidRDefault="00E6423A" w:rsidP="00E6423A">
            <w:pPr>
              <w:spacing w:line="276" w:lineRule="auto"/>
              <w:jc w:val="both"/>
            </w:pPr>
            <w:r w:rsidRPr="00E6423A">
              <w:rPr>
                <w:b/>
              </w:rPr>
              <w:t>Artículos aplicables:</w:t>
            </w:r>
            <w:r w:rsidRPr="00E6423A">
              <w:t xml:space="preserve"> </w:t>
            </w:r>
            <w:r w:rsidR="00F44A0D">
              <w:rPr>
                <w:rFonts w:eastAsia="Times New Roman" w:cs="Arial"/>
                <w:lang w:eastAsia="es-ES"/>
              </w:rPr>
              <w:t xml:space="preserve">Numeral </w:t>
            </w:r>
            <w:r w:rsidR="00FB1BD1">
              <w:rPr>
                <w:rFonts w:eastAsia="Times New Roman" w:cs="Arial"/>
                <w:lang w:eastAsia="es-ES"/>
              </w:rPr>
              <w:t>3</w:t>
            </w:r>
            <w:r w:rsidR="00F44A0D">
              <w:rPr>
                <w:rFonts w:eastAsia="Times New Roman" w:cs="Arial"/>
                <w:lang w:eastAsia="es-ES"/>
              </w:rPr>
              <w:t>, fracción XX</w:t>
            </w:r>
            <w:r w:rsidR="005C65DB">
              <w:rPr>
                <w:rFonts w:eastAsia="Times New Roman" w:cs="Arial"/>
                <w:lang w:eastAsia="es-ES"/>
              </w:rPr>
              <w:t>VII</w:t>
            </w:r>
            <w:r w:rsidR="00F44A0D">
              <w:rPr>
                <w:rFonts w:eastAsia="Times New Roman" w:cs="Arial"/>
                <w:lang w:eastAsia="es-ES"/>
              </w:rPr>
              <w:t>I.</w:t>
            </w:r>
          </w:p>
          <w:p w14:paraId="767510C7" w14:textId="2987B2B3" w:rsidR="00E6423A" w:rsidRDefault="00E6423A" w:rsidP="00E6423A">
            <w:pPr>
              <w:spacing w:line="276" w:lineRule="auto"/>
              <w:jc w:val="both"/>
              <w:rPr>
                <w:rFonts w:eastAsia="Times New Roman" w:cs="Arial"/>
                <w:b/>
                <w:lang w:eastAsia="es-ES"/>
              </w:rPr>
            </w:pPr>
            <w:r w:rsidRPr="00E6423A">
              <w:rPr>
                <w:b/>
              </w:rPr>
              <w:t>Justificación:</w:t>
            </w:r>
            <w:r w:rsidRPr="00E6423A">
              <w:t xml:space="preserve"> </w:t>
            </w:r>
            <w:r w:rsidRPr="00E6423A">
              <w:rPr>
                <w:rFonts w:eastAsia="Times New Roman" w:cs="Arial"/>
                <w:lang w:eastAsia="es-ES"/>
              </w:rPr>
              <w:t xml:space="preserve">Para efectos de dar claridad a la lectura </w:t>
            </w:r>
            <w:r w:rsidR="00E602CC" w:rsidRPr="00E602CC">
              <w:rPr>
                <w:rFonts w:eastAsia="Times New Roman" w:cs="Arial"/>
                <w:lang w:eastAsia="es-ES"/>
              </w:rPr>
              <w:t>del Anteproyecto</w:t>
            </w:r>
            <w:r w:rsidR="00E602CC"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sidR="00F44A0D">
              <w:rPr>
                <w:rFonts w:eastAsia="Times New Roman" w:cs="Arial"/>
                <w:b/>
                <w:lang w:eastAsia="es-ES"/>
              </w:rPr>
              <w:t>Permitividad relativa</w:t>
            </w:r>
            <w:r w:rsidRPr="00E6423A">
              <w:rPr>
                <w:rFonts w:eastAsia="Times New Roman" w:cs="Arial"/>
                <w:b/>
                <w:lang w:eastAsia="es-ES"/>
              </w:rPr>
              <w:t>.</w:t>
            </w:r>
          </w:p>
          <w:p w14:paraId="1B3C1C7B" w14:textId="24D42126" w:rsidR="00FF0C0F" w:rsidRDefault="00FF0C0F" w:rsidP="00E6423A">
            <w:pPr>
              <w:spacing w:line="276" w:lineRule="auto"/>
              <w:jc w:val="both"/>
              <w:rPr>
                <w:rFonts w:eastAsia="Times New Roman" w:cs="Arial"/>
                <w:b/>
                <w:lang w:eastAsia="es-ES"/>
              </w:rPr>
            </w:pPr>
          </w:p>
          <w:p w14:paraId="65E8F2CE" w14:textId="77777777" w:rsidR="00FF0C0F" w:rsidRPr="00E6423A" w:rsidRDefault="00FF0C0F" w:rsidP="00FF0C0F">
            <w:pPr>
              <w:spacing w:line="276" w:lineRule="auto"/>
              <w:jc w:val="both"/>
            </w:pPr>
            <w:r w:rsidRPr="00E6423A">
              <w:rPr>
                <w:b/>
              </w:rPr>
              <w:t>Tipo:</w:t>
            </w:r>
            <w:r w:rsidRPr="00E6423A">
              <w:t xml:space="preserve"> </w:t>
            </w:r>
            <w:r w:rsidRPr="00E6423A">
              <w:rPr>
                <w:rFonts w:eastAsia="Times New Roman" w:cs="Arial"/>
                <w:lang w:eastAsia="es-ES"/>
              </w:rPr>
              <w:t>Definición</w:t>
            </w:r>
          </w:p>
          <w:p w14:paraId="34B7B2A3" w14:textId="5CE27FEE" w:rsidR="00FF0C0F" w:rsidRPr="00E6423A" w:rsidRDefault="00FF0C0F" w:rsidP="00FF0C0F">
            <w:pPr>
              <w:spacing w:line="276" w:lineRule="auto"/>
              <w:jc w:val="both"/>
            </w:pPr>
            <w:r w:rsidRPr="00E6423A">
              <w:rPr>
                <w:b/>
              </w:rPr>
              <w:t>Artículos aplicables:</w:t>
            </w:r>
            <w:r w:rsidRPr="00E6423A">
              <w:t xml:space="preserve"> </w:t>
            </w:r>
            <w:r>
              <w:rPr>
                <w:rFonts w:eastAsia="Times New Roman" w:cs="Arial"/>
                <w:lang w:eastAsia="es-ES"/>
              </w:rPr>
              <w:t>Numeral 3, fracción XXIX.</w:t>
            </w:r>
          </w:p>
          <w:p w14:paraId="790862CD" w14:textId="7609C385" w:rsidR="00FF0C0F" w:rsidRPr="00E6423A" w:rsidRDefault="00FF0C0F" w:rsidP="00FF0C0F">
            <w:pPr>
              <w:spacing w:line="276" w:lineRule="auto"/>
              <w:jc w:val="both"/>
              <w:rPr>
                <w:rFonts w:eastAsia="Times New Roman" w:cs="Arial"/>
                <w:lang w:eastAsia="es-ES"/>
              </w:rPr>
            </w:pPr>
            <w:r w:rsidRPr="00E6423A">
              <w:rPr>
                <w:b/>
              </w:rPr>
              <w:t>Justificación:</w:t>
            </w:r>
            <w:r w:rsidRPr="00E6423A">
              <w:t xml:space="preserve"> </w:t>
            </w:r>
            <w:r w:rsidRPr="00E6423A">
              <w:rPr>
                <w:rFonts w:eastAsia="Times New Roman" w:cs="Arial"/>
                <w:lang w:eastAsia="es-ES"/>
              </w:rPr>
              <w:t xml:space="preserve">Para efectos de dar claridad a la lectura </w:t>
            </w:r>
            <w:r w:rsidRPr="00E602CC">
              <w:rPr>
                <w:rFonts w:eastAsia="Times New Roman" w:cs="Arial"/>
                <w:lang w:eastAsia="es-ES"/>
              </w:rPr>
              <w:t>del Anteproyecto</w:t>
            </w:r>
            <w:r w:rsidRPr="00E602CC" w:rsidDel="00E602CC">
              <w:rPr>
                <w:rFonts w:eastAsia="Times New Roman" w:cs="Arial"/>
                <w:lang w:eastAsia="es-ES"/>
              </w:rPr>
              <w:t xml:space="preserve"> </w:t>
            </w:r>
            <w:r w:rsidRPr="00E6423A">
              <w:rPr>
                <w:rFonts w:eastAsia="Times New Roman" w:cs="Arial"/>
                <w:lang w:eastAsia="es-ES"/>
              </w:rPr>
              <w:t xml:space="preserve">y certeza jurídica es necesario contar con la definición de </w:t>
            </w:r>
            <w:r>
              <w:rPr>
                <w:rFonts w:eastAsia="Times New Roman" w:cs="Arial"/>
                <w:b/>
                <w:lang w:eastAsia="es-ES"/>
              </w:rPr>
              <w:t>Profundidad de penetración</w:t>
            </w:r>
            <w:r w:rsidRPr="00E6423A">
              <w:rPr>
                <w:rFonts w:eastAsia="Times New Roman" w:cs="Arial"/>
                <w:b/>
                <w:lang w:eastAsia="es-ES"/>
              </w:rPr>
              <w:t>.</w:t>
            </w:r>
          </w:p>
          <w:p w14:paraId="0411A532" w14:textId="77777777" w:rsidR="00F44A0D" w:rsidRPr="00F44A0D" w:rsidRDefault="00F44A0D" w:rsidP="00E6423A">
            <w:pPr>
              <w:spacing w:line="276" w:lineRule="auto"/>
              <w:jc w:val="both"/>
              <w:rPr>
                <w:rFonts w:eastAsia="ITC Avant Garde" w:cs="ITC Avant Garde"/>
              </w:rPr>
            </w:pPr>
          </w:p>
          <w:p w14:paraId="33FB2F3B" w14:textId="77777777" w:rsidR="00F44A0D" w:rsidRPr="00F44A0D" w:rsidRDefault="00F44A0D" w:rsidP="00F44A0D">
            <w:pPr>
              <w:spacing w:line="276" w:lineRule="auto"/>
              <w:jc w:val="both"/>
              <w:rPr>
                <w:rFonts w:eastAsia="ITC Avant Garde" w:cs="ITC Avant Garde"/>
              </w:rPr>
            </w:pPr>
            <w:r w:rsidRPr="00F44A0D">
              <w:rPr>
                <w:rFonts w:eastAsia="ITC Avant Garde" w:cs="ITC Avant Garde"/>
                <w:b/>
              </w:rPr>
              <w:t>Tipo</w:t>
            </w:r>
            <w:r w:rsidRPr="00F44A0D">
              <w:rPr>
                <w:rFonts w:eastAsia="ITC Avant Garde" w:cs="ITC Avant Garde"/>
              </w:rPr>
              <w:t>: Definición</w:t>
            </w:r>
          </w:p>
          <w:p w14:paraId="464FA986" w14:textId="6165B245" w:rsidR="00F44A0D" w:rsidRPr="00F44A0D" w:rsidRDefault="00F44A0D" w:rsidP="00F44A0D">
            <w:pPr>
              <w:spacing w:line="276" w:lineRule="auto"/>
              <w:jc w:val="both"/>
              <w:rPr>
                <w:rFonts w:eastAsia="ITC Avant Garde" w:cs="ITC Avant Garde"/>
              </w:rPr>
            </w:pPr>
            <w:r w:rsidRPr="00F44A0D">
              <w:rPr>
                <w:rFonts w:eastAsia="ITC Avant Garde" w:cs="ITC Avant Garde"/>
                <w:b/>
              </w:rPr>
              <w:t>Artículos</w:t>
            </w:r>
            <w:r w:rsidRPr="00F44A0D">
              <w:rPr>
                <w:rFonts w:eastAsia="ITC Avant Garde" w:cs="ITC Avant Garde"/>
              </w:rPr>
              <w:t xml:space="preserve"> </w:t>
            </w:r>
            <w:r w:rsidRPr="00F44A0D">
              <w:rPr>
                <w:rFonts w:eastAsia="ITC Avant Garde" w:cs="ITC Avant Garde"/>
                <w:b/>
              </w:rPr>
              <w:t>aplicables</w:t>
            </w:r>
            <w:r>
              <w:rPr>
                <w:rFonts w:eastAsia="ITC Avant Garde" w:cs="ITC Avant Garde"/>
              </w:rPr>
              <w:t xml:space="preserve">: Numeral </w:t>
            </w:r>
            <w:r w:rsidR="00FB1BD1">
              <w:rPr>
                <w:rFonts w:eastAsia="ITC Avant Garde" w:cs="ITC Avant Garde"/>
              </w:rPr>
              <w:t>3</w:t>
            </w:r>
            <w:r>
              <w:rPr>
                <w:rFonts w:eastAsia="ITC Avant Garde" w:cs="ITC Avant Garde"/>
              </w:rPr>
              <w:t>, fracción XXX</w:t>
            </w:r>
            <w:r w:rsidRPr="00F44A0D">
              <w:rPr>
                <w:rFonts w:eastAsia="ITC Avant Garde" w:cs="ITC Avant Garde"/>
              </w:rPr>
              <w:t>.</w:t>
            </w:r>
          </w:p>
          <w:p w14:paraId="79275145" w14:textId="5BC9F8DD" w:rsidR="00E6423A" w:rsidRDefault="00F44A0D" w:rsidP="0037478A">
            <w:pPr>
              <w:spacing w:line="276" w:lineRule="auto"/>
              <w:jc w:val="both"/>
              <w:rPr>
                <w:rFonts w:eastAsia="ITC Avant Garde" w:cs="ITC Avant Garde"/>
              </w:rPr>
            </w:pPr>
            <w:r w:rsidRPr="00F44A0D">
              <w:rPr>
                <w:rFonts w:eastAsia="ITC Avant Garde" w:cs="ITC Avant Garde"/>
                <w:b/>
              </w:rPr>
              <w:t>Justificación</w:t>
            </w:r>
            <w:r w:rsidRPr="00F44A0D">
              <w:rPr>
                <w:rFonts w:eastAsia="ITC Avant Garde" w:cs="ITC Avant Garde"/>
              </w:rPr>
              <w:t xml:space="preserve">: Para efectos de dar claridad a la lectura </w:t>
            </w:r>
            <w:r w:rsidR="00E602CC" w:rsidRPr="00E602CC">
              <w:rPr>
                <w:rFonts w:eastAsia="ITC Avant Garde" w:cs="ITC Avant Garde"/>
              </w:rPr>
              <w:t>del Anteproyecto</w:t>
            </w:r>
            <w:r w:rsidR="00E602CC" w:rsidRPr="00E602CC" w:rsidDel="00E602CC">
              <w:rPr>
                <w:rFonts w:eastAsia="ITC Avant Garde" w:cs="ITC Avant Garde"/>
              </w:rPr>
              <w:t xml:space="preserve"> </w:t>
            </w:r>
            <w:r w:rsidRPr="00F44A0D">
              <w:rPr>
                <w:rFonts w:eastAsia="ITC Avant Garde" w:cs="ITC Avant Garde"/>
              </w:rPr>
              <w:t xml:space="preserve">y certeza jurídica es necesario contar con la definición de </w:t>
            </w:r>
            <w:r w:rsidRPr="00F44A0D">
              <w:rPr>
                <w:rFonts w:eastAsia="ITC Avant Garde" w:cs="ITC Avant Garde"/>
                <w:b/>
              </w:rPr>
              <w:t>Radiofrecuencia (RF)</w:t>
            </w:r>
            <w:r w:rsidRPr="00F44A0D">
              <w:rPr>
                <w:rFonts w:eastAsia="ITC Avant Garde" w:cs="ITC Avant Garde"/>
              </w:rPr>
              <w:t>.</w:t>
            </w:r>
          </w:p>
          <w:p w14:paraId="63CD65B3" w14:textId="77777777" w:rsidR="00F44A0D" w:rsidRDefault="00F44A0D" w:rsidP="0037478A">
            <w:pPr>
              <w:spacing w:line="276" w:lineRule="auto"/>
              <w:jc w:val="both"/>
              <w:rPr>
                <w:rFonts w:eastAsia="ITC Avant Garde" w:cs="ITC Avant Garde"/>
              </w:rPr>
            </w:pPr>
          </w:p>
          <w:p w14:paraId="59C375B1" w14:textId="77777777" w:rsidR="00F44A0D" w:rsidRPr="00F44A0D" w:rsidRDefault="00F44A0D" w:rsidP="00F44A0D">
            <w:pPr>
              <w:spacing w:line="276" w:lineRule="auto"/>
              <w:jc w:val="both"/>
              <w:rPr>
                <w:rFonts w:eastAsia="ITC Avant Garde" w:cs="ITC Avant Garde"/>
              </w:rPr>
            </w:pPr>
            <w:r w:rsidRPr="00F44A0D">
              <w:rPr>
                <w:rFonts w:eastAsia="ITC Avant Garde" w:cs="ITC Avant Garde"/>
                <w:b/>
              </w:rPr>
              <w:t>Tipo</w:t>
            </w:r>
            <w:r w:rsidRPr="00F44A0D">
              <w:rPr>
                <w:rFonts w:eastAsia="ITC Avant Garde" w:cs="ITC Avant Garde"/>
              </w:rPr>
              <w:t>: Definición</w:t>
            </w:r>
          </w:p>
          <w:p w14:paraId="3A86F632" w14:textId="676333E0" w:rsidR="00F44A0D" w:rsidRPr="00F44A0D" w:rsidRDefault="00F44A0D" w:rsidP="00F44A0D">
            <w:pPr>
              <w:spacing w:line="276" w:lineRule="auto"/>
              <w:jc w:val="both"/>
              <w:rPr>
                <w:rFonts w:eastAsia="ITC Avant Garde" w:cs="ITC Avant Garde"/>
              </w:rPr>
            </w:pPr>
            <w:r w:rsidRPr="00F44A0D">
              <w:rPr>
                <w:rFonts w:eastAsia="ITC Avant Garde" w:cs="ITC Avant Garde"/>
                <w:b/>
              </w:rPr>
              <w:t>Artículos</w:t>
            </w:r>
            <w:r w:rsidRPr="00F44A0D">
              <w:rPr>
                <w:rFonts w:eastAsia="ITC Avant Garde" w:cs="ITC Avant Garde"/>
              </w:rPr>
              <w:t xml:space="preserve"> </w:t>
            </w:r>
            <w:r w:rsidRPr="00F44A0D">
              <w:rPr>
                <w:rFonts w:eastAsia="ITC Avant Garde" w:cs="ITC Avant Garde"/>
                <w:b/>
              </w:rPr>
              <w:t>aplicables</w:t>
            </w:r>
            <w:r w:rsidRPr="00F44A0D">
              <w:rPr>
                <w:rFonts w:eastAsia="ITC Avant Garde" w:cs="ITC Avant Garde"/>
              </w:rPr>
              <w:t xml:space="preserve">: Numeral </w:t>
            </w:r>
            <w:r w:rsidR="00FB1BD1">
              <w:rPr>
                <w:rFonts w:eastAsia="ITC Avant Garde" w:cs="ITC Avant Garde"/>
              </w:rPr>
              <w:t>3</w:t>
            </w:r>
            <w:r w:rsidRPr="00F44A0D">
              <w:rPr>
                <w:rFonts w:eastAsia="ITC Avant Garde" w:cs="ITC Avant Garde"/>
              </w:rPr>
              <w:t xml:space="preserve">, fracción </w:t>
            </w:r>
            <w:r>
              <w:rPr>
                <w:rFonts w:eastAsia="ITC Avant Garde" w:cs="ITC Avant Garde"/>
              </w:rPr>
              <w:t>XXX</w:t>
            </w:r>
            <w:r w:rsidRPr="00F44A0D">
              <w:rPr>
                <w:rFonts w:eastAsia="ITC Avant Garde" w:cs="ITC Avant Garde"/>
              </w:rPr>
              <w:t>I.</w:t>
            </w:r>
          </w:p>
          <w:p w14:paraId="669FAF68" w14:textId="5A516E22" w:rsidR="00F44A0D" w:rsidRDefault="00F44A0D" w:rsidP="00F44A0D">
            <w:pPr>
              <w:spacing w:line="276" w:lineRule="auto"/>
              <w:jc w:val="both"/>
              <w:rPr>
                <w:rFonts w:eastAsia="ITC Avant Garde" w:cs="ITC Avant Garde"/>
              </w:rPr>
            </w:pPr>
            <w:r w:rsidRPr="00F44A0D">
              <w:rPr>
                <w:rFonts w:eastAsia="ITC Avant Garde" w:cs="ITC Avant Garde"/>
                <w:b/>
              </w:rPr>
              <w:t>Justificación</w:t>
            </w:r>
            <w:r w:rsidRPr="00F44A0D">
              <w:rPr>
                <w:rFonts w:eastAsia="ITC Avant Garde" w:cs="ITC Avant Garde"/>
              </w:rPr>
              <w:t xml:space="preserve">: Para efectos de dar claridad a la lectura </w:t>
            </w:r>
            <w:r w:rsidR="00E602CC" w:rsidRPr="00E602CC">
              <w:rPr>
                <w:rFonts w:eastAsia="ITC Avant Garde" w:cs="ITC Avant Garde"/>
              </w:rPr>
              <w:t>del Anteproyecto</w:t>
            </w:r>
            <w:r w:rsidR="00E602CC" w:rsidRPr="00E602CC" w:rsidDel="00E602CC">
              <w:rPr>
                <w:rFonts w:eastAsia="ITC Avant Garde" w:cs="ITC Avant Garde"/>
              </w:rPr>
              <w:t xml:space="preserve"> </w:t>
            </w:r>
            <w:r w:rsidRPr="00F44A0D">
              <w:rPr>
                <w:rFonts w:eastAsia="ITC Avant Garde" w:cs="ITC Avant Garde"/>
              </w:rPr>
              <w:t xml:space="preserve">y certeza jurídica es necesario contar con la definición de </w:t>
            </w:r>
            <w:r w:rsidRPr="00F44A0D">
              <w:rPr>
                <w:rFonts w:eastAsia="ITC Avant Garde" w:cs="ITC Avant Garde"/>
                <w:b/>
              </w:rPr>
              <w:t xml:space="preserve">Reporte de </w:t>
            </w:r>
            <w:r w:rsidR="00FF0C0F">
              <w:rPr>
                <w:rFonts w:eastAsia="ITC Avant Garde" w:cs="ITC Avant Garde"/>
                <w:b/>
              </w:rPr>
              <w:t>P</w:t>
            </w:r>
            <w:r w:rsidRPr="00F44A0D">
              <w:rPr>
                <w:rFonts w:eastAsia="ITC Avant Garde" w:cs="ITC Avant Garde"/>
                <w:b/>
              </w:rPr>
              <w:t>rueba (RP)</w:t>
            </w:r>
            <w:r w:rsidRPr="00F44A0D">
              <w:rPr>
                <w:rFonts w:eastAsia="ITC Avant Garde" w:cs="ITC Avant Garde"/>
              </w:rPr>
              <w:t>.</w:t>
            </w:r>
          </w:p>
          <w:p w14:paraId="1719216B" w14:textId="77777777" w:rsidR="00F44A0D" w:rsidRDefault="00F44A0D" w:rsidP="0037478A">
            <w:pPr>
              <w:spacing w:line="276" w:lineRule="auto"/>
              <w:jc w:val="both"/>
              <w:rPr>
                <w:rFonts w:eastAsia="ITC Avant Garde" w:cs="ITC Avant Garde"/>
              </w:rPr>
            </w:pPr>
          </w:p>
          <w:p w14:paraId="3A23CA48" w14:textId="77777777" w:rsidR="00F44A0D" w:rsidRPr="00F44A0D" w:rsidRDefault="00F44A0D" w:rsidP="00F44A0D">
            <w:pPr>
              <w:spacing w:line="276" w:lineRule="auto"/>
              <w:jc w:val="both"/>
              <w:rPr>
                <w:rFonts w:eastAsia="ITC Avant Garde" w:cs="ITC Avant Garde"/>
              </w:rPr>
            </w:pPr>
            <w:r w:rsidRPr="00F44A0D">
              <w:rPr>
                <w:rFonts w:eastAsia="ITC Avant Garde" w:cs="ITC Avant Garde"/>
                <w:b/>
              </w:rPr>
              <w:t>Tipo</w:t>
            </w:r>
            <w:r w:rsidRPr="00F44A0D">
              <w:rPr>
                <w:rFonts w:eastAsia="ITC Avant Garde" w:cs="ITC Avant Garde"/>
              </w:rPr>
              <w:t>: Definición</w:t>
            </w:r>
          </w:p>
          <w:p w14:paraId="0A13FFC8" w14:textId="5E0DD328" w:rsidR="00F44A0D" w:rsidRPr="00F44A0D" w:rsidRDefault="00F44A0D" w:rsidP="00F44A0D">
            <w:pPr>
              <w:spacing w:line="276" w:lineRule="auto"/>
              <w:jc w:val="both"/>
              <w:rPr>
                <w:rFonts w:eastAsia="ITC Avant Garde" w:cs="ITC Avant Garde"/>
              </w:rPr>
            </w:pPr>
            <w:r w:rsidRPr="00F44A0D">
              <w:rPr>
                <w:rFonts w:eastAsia="ITC Avant Garde" w:cs="ITC Avant Garde"/>
                <w:b/>
              </w:rPr>
              <w:t>Artículos</w:t>
            </w:r>
            <w:r w:rsidRPr="00F44A0D">
              <w:rPr>
                <w:rFonts w:eastAsia="ITC Avant Garde" w:cs="ITC Avant Garde"/>
              </w:rPr>
              <w:t xml:space="preserve"> </w:t>
            </w:r>
            <w:r w:rsidRPr="00F44A0D">
              <w:rPr>
                <w:rFonts w:eastAsia="ITC Avant Garde" w:cs="ITC Avant Garde"/>
                <w:b/>
              </w:rPr>
              <w:t>aplicables</w:t>
            </w:r>
            <w:r w:rsidRPr="00F44A0D">
              <w:rPr>
                <w:rFonts w:eastAsia="ITC Avant Garde" w:cs="ITC Avant Garde"/>
              </w:rPr>
              <w:t xml:space="preserve">: Numeral </w:t>
            </w:r>
            <w:r w:rsidR="00FB1BD1">
              <w:rPr>
                <w:rFonts w:eastAsia="ITC Avant Garde" w:cs="ITC Avant Garde"/>
              </w:rPr>
              <w:t>3</w:t>
            </w:r>
            <w:r w:rsidRPr="00F44A0D">
              <w:rPr>
                <w:rFonts w:eastAsia="ITC Avant Garde" w:cs="ITC Avant Garde"/>
              </w:rPr>
              <w:t xml:space="preserve">, fracción </w:t>
            </w:r>
            <w:r>
              <w:rPr>
                <w:rFonts w:eastAsia="ITC Avant Garde" w:cs="ITC Avant Garde"/>
              </w:rPr>
              <w:t>XXX</w:t>
            </w:r>
            <w:r w:rsidRPr="00F44A0D">
              <w:rPr>
                <w:rFonts w:eastAsia="ITC Avant Garde" w:cs="ITC Avant Garde"/>
              </w:rPr>
              <w:t>II.</w:t>
            </w:r>
          </w:p>
          <w:p w14:paraId="3C48440B" w14:textId="4473BB1A" w:rsidR="00F44A0D" w:rsidRDefault="00F44A0D" w:rsidP="00F44A0D">
            <w:pPr>
              <w:spacing w:line="276" w:lineRule="auto"/>
              <w:jc w:val="both"/>
              <w:rPr>
                <w:rFonts w:eastAsia="ITC Avant Garde" w:cs="ITC Avant Garde"/>
              </w:rPr>
            </w:pPr>
            <w:r w:rsidRPr="00F44A0D">
              <w:rPr>
                <w:rFonts w:eastAsia="ITC Avant Garde" w:cs="ITC Avant Garde"/>
                <w:b/>
              </w:rPr>
              <w:t>Justificación</w:t>
            </w:r>
            <w:r w:rsidRPr="00F44A0D">
              <w:rPr>
                <w:rFonts w:eastAsia="ITC Avant Garde" w:cs="ITC Avant Garde"/>
              </w:rPr>
              <w:t xml:space="preserve">: Para efectos de dar claridad a la lectura </w:t>
            </w:r>
            <w:r w:rsidR="00E602CC" w:rsidRPr="00E602CC">
              <w:rPr>
                <w:rFonts w:eastAsia="ITC Avant Garde" w:cs="ITC Avant Garde"/>
              </w:rPr>
              <w:t>del Anteproyecto</w:t>
            </w:r>
            <w:r w:rsidR="00E602CC" w:rsidRPr="00E602CC" w:rsidDel="00E602CC">
              <w:rPr>
                <w:rFonts w:eastAsia="ITC Avant Garde" w:cs="ITC Avant Garde"/>
              </w:rPr>
              <w:t xml:space="preserve"> </w:t>
            </w:r>
            <w:r w:rsidRPr="00F44A0D">
              <w:rPr>
                <w:rFonts w:eastAsia="ITC Avant Garde" w:cs="ITC Avant Garde"/>
              </w:rPr>
              <w:t xml:space="preserve">y certeza jurídica es necesario contar con la definición de </w:t>
            </w:r>
            <w:r w:rsidRPr="00F44A0D">
              <w:rPr>
                <w:rFonts w:eastAsia="ITC Avant Garde" w:cs="ITC Avant Garde"/>
                <w:b/>
              </w:rPr>
              <w:t>Transceptor</w:t>
            </w:r>
            <w:r w:rsidRPr="00F44A0D">
              <w:rPr>
                <w:rFonts w:eastAsia="ITC Avant Garde" w:cs="ITC Avant Garde"/>
              </w:rPr>
              <w:t>.</w:t>
            </w:r>
          </w:p>
          <w:p w14:paraId="3B67302A" w14:textId="77777777" w:rsidR="00F44A0D" w:rsidRDefault="00F44A0D" w:rsidP="0037478A">
            <w:pPr>
              <w:spacing w:line="276" w:lineRule="auto"/>
              <w:jc w:val="both"/>
              <w:rPr>
                <w:rFonts w:eastAsia="ITC Avant Garde" w:cs="ITC Avant Garde"/>
              </w:rPr>
            </w:pPr>
          </w:p>
          <w:p w14:paraId="00AF90C1" w14:textId="77777777" w:rsidR="00F44A0D" w:rsidRPr="00F44A0D" w:rsidRDefault="00F44A0D" w:rsidP="00F44A0D">
            <w:pPr>
              <w:spacing w:line="276" w:lineRule="auto"/>
              <w:jc w:val="both"/>
              <w:rPr>
                <w:rFonts w:eastAsia="ITC Avant Garde" w:cs="ITC Avant Garde"/>
              </w:rPr>
            </w:pPr>
            <w:r w:rsidRPr="00F44A0D">
              <w:rPr>
                <w:rFonts w:eastAsia="ITC Avant Garde" w:cs="ITC Avant Garde"/>
                <w:b/>
              </w:rPr>
              <w:t>Tipo</w:t>
            </w:r>
            <w:r w:rsidRPr="00F44A0D">
              <w:rPr>
                <w:rFonts w:eastAsia="ITC Avant Garde" w:cs="ITC Avant Garde"/>
              </w:rPr>
              <w:t>: Definición</w:t>
            </w:r>
          </w:p>
          <w:p w14:paraId="6A50F941" w14:textId="0E6EE83C" w:rsidR="00F44A0D" w:rsidRPr="00F44A0D" w:rsidRDefault="00F44A0D" w:rsidP="00F44A0D">
            <w:pPr>
              <w:spacing w:line="276" w:lineRule="auto"/>
              <w:jc w:val="both"/>
              <w:rPr>
                <w:rFonts w:eastAsia="ITC Avant Garde" w:cs="ITC Avant Garde"/>
              </w:rPr>
            </w:pPr>
            <w:r w:rsidRPr="00F44A0D">
              <w:rPr>
                <w:rFonts w:eastAsia="ITC Avant Garde" w:cs="ITC Avant Garde"/>
                <w:b/>
              </w:rPr>
              <w:t>Artículos</w:t>
            </w:r>
            <w:r w:rsidRPr="00F44A0D">
              <w:rPr>
                <w:rFonts w:eastAsia="ITC Avant Garde" w:cs="ITC Avant Garde"/>
              </w:rPr>
              <w:t xml:space="preserve"> </w:t>
            </w:r>
            <w:r w:rsidRPr="00F44A0D">
              <w:rPr>
                <w:rFonts w:eastAsia="ITC Avant Garde" w:cs="ITC Avant Garde"/>
                <w:b/>
              </w:rPr>
              <w:t>aplicables</w:t>
            </w:r>
            <w:r>
              <w:rPr>
                <w:rFonts w:eastAsia="ITC Avant Garde" w:cs="ITC Avant Garde"/>
              </w:rPr>
              <w:t xml:space="preserve">: Numeral </w:t>
            </w:r>
            <w:r w:rsidR="00FB1BD1">
              <w:rPr>
                <w:rFonts w:eastAsia="ITC Avant Garde" w:cs="ITC Avant Garde"/>
              </w:rPr>
              <w:t>3</w:t>
            </w:r>
            <w:r>
              <w:rPr>
                <w:rFonts w:eastAsia="ITC Avant Garde" w:cs="ITC Avant Garde"/>
              </w:rPr>
              <w:t>, fracción XXXI</w:t>
            </w:r>
            <w:r w:rsidR="006016D3">
              <w:rPr>
                <w:rFonts w:eastAsia="ITC Avant Garde" w:cs="ITC Avant Garde"/>
              </w:rPr>
              <w:t>II</w:t>
            </w:r>
            <w:r w:rsidRPr="00F44A0D">
              <w:rPr>
                <w:rFonts w:eastAsia="ITC Avant Garde" w:cs="ITC Avant Garde"/>
              </w:rPr>
              <w:t>.</w:t>
            </w:r>
          </w:p>
          <w:p w14:paraId="3F7714D9" w14:textId="52158092" w:rsidR="00F44A0D" w:rsidRDefault="00F44A0D" w:rsidP="00F44A0D">
            <w:pPr>
              <w:spacing w:line="276" w:lineRule="auto"/>
              <w:jc w:val="both"/>
              <w:rPr>
                <w:rFonts w:eastAsia="ITC Avant Garde" w:cs="ITC Avant Garde"/>
              </w:rPr>
            </w:pPr>
            <w:r w:rsidRPr="00F44A0D">
              <w:rPr>
                <w:rFonts w:eastAsia="ITC Avant Garde" w:cs="ITC Avant Garde"/>
                <w:b/>
              </w:rPr>
              <w:lastRenderedPageBreak/>
              <w:t>Justificación</w:t>
            </w:r>
            <w:r w:rsidRPr="00F44A0D">
              <w:rPr>
                <w:rFonts w:eastAsia="ITC Avant Garde" w:cs="ITC Avant Garde"/>
              </w:rPr>
              <w:t xml:space="preserve">: Para efectos de dar claridad a la lectura </w:t>
            </w:r>
            <w:r w:rsidR="00E602CC" w:rsidRPr="00E602CC">
              <w:rPr>
                <w:rFonts w:eastAsia="ITC Avant Garde" w:cs="ITC Avant Garde"/>
              </w:rPr>
              <w:t>del Anteproyecto</w:t>
            </w:r>
            <w:r w:rsidR="00E602CC" w:rsidRPr="00E602CC" w:rsidDel="00E602CC">
              <w:rPr>
                <w:rFonts w:eastAsia="ITC Avant Garde" w:cs="ITC Avant Garde"/>
              </w:rPr>
              <w:t xml:space="preserve"> </w:t>
            </w:r>
            <w:r w:rsidRPr="00F44A0D">
              <w:rPr>
                <w:rFonts w:eastAsia="ITC Avant Garde" w:cs="ITC Avant Garde"/>
              </w:rPr>
              <w:t xml:space="preserve">y certeza jurídica es necesario contar con la definición de </w:t>
            </w:r>
            <w:r w:rsidRPr="00F44A0D">
              <w:rPr>
                <w:rFonts w:eastAsia="ITC Avant Garde" w:cs="ITC Avant Garde"/>
                <w:b/>
              </w:rPr>
              <w:t>Transmisión multibanda</w:t>
            </w:r>
            <w:r w:rsidRPr="00F44A0D">
              <w:rPr>
                <w:rFonts w:eastAsia="ITC Avant Garde" w:cs="ITC Avant Garde"/>
              </w:rPr>
              <w:t>.</w:t>
            </w:r>
          </w:p>
          <w:p w14:paraId="56678CCA" w14:textId="77777777" w:rsidR="00F44A0D" w:rsidRDefault="00F44A0D" w:rsidP="0037478A">
            <w:pPr>
              <w:spacing w:line="276" w:lineRule="auto"/>
              <w:jc w:val="both"/>
              <w:rPr>
                <w:rFonts w:eastAsia="ITC Avant Garde" w:cs="ITC Avant Garde"/>
              </w:rPr>
            </w:pPr>
          </w:p>
          <w:p w14:paraId="5D9117EB" w14:textId="77777777" w:rsidR="00F44A0D" w:rsidRPr="00F44A0D" w:rsidRDefault="00F44A0D" w:rsidP="00F44A0D">
            <w:pPr>
              <w:spacing w:line="276" w:lineRule="auto"/>
              <w:jc w:val="both"/>
              <w:rPr>
                <w:rFonts w:eastAsia="ITC Avant Garde" w:cs="ITC Avant Garde"/>
              </w:rPr>
            </w:pPr>
            <w:r w:rsidRPr="00F44A0D">
              <w:rPr>
                <w:rFonts w:eastAsia="ITC Avant Garde" w:cs="ITC Avant Garde"/>
                <w:b/>
              </w:rPr>
              <w:t>Tipo</w:t>
            </w:r>
            <w:r w:rsidRPr="00F44A0D">
              <w:rPr>
                <w:rFonts w:eastAsia="ITC Avant Garde" w:cs="ITC Avant Garde"/>
              </w:rPr>
              <w:t>: Definición</w:t>
            </w:r>
          </w:p>
          <w:p w14:paraId="224F79D9" w14:textId="1EF46448" w:rsidR="00F44A0D" w:rsidRPr="00F44A0D" w:rsidRDefault="00F44A0D" w:rsidP="00F44A0D">
            <w:pPr>
              <w:spacing w:line="276" w:lineRule="auto"/>
              <w:jc w:val="both"/>
              <w:rPr>
                <w:rFonts w:eastAsia="ITC Avant Garde" w:cs="ITC Avant Garde"/>
              </w:rPr>
            </w:pPr>
            <w:r w:rsidRPr="00F44A0D">
              <w:rPr>
                <w:rFonts w:eastAsia="ITC Avant Garde" w:cs="ITC Avant Garde"/>
                <w:b/>
              </w:rPr>
              <w:t>Artículos aplicables</w:t>
            </w:r>
            <w:r w:rsidRPr="00F44A0D">
              <w:rPr>
                <w:rFonts w:eastAsia="ITC Avant Garde" w:cs="ITC Avant Garde"/>
              </w:rPr>
              <w:t xml:space="preserve">: Numeral </w:t>
            </w:r>
            <w:r w:rsidR="00FB1BD1">
              <w:rPr>
                <w:rFonts w:eastAsia="ITC Avant Garde" w:cs="ITC Avant Garde"/>
              </w:rPr>
              <w:t>3</w:t>
            </w:r>
            <w:r w:rsidRPr="00F44A0D">
              <w:rPr>
                <w:rFonts w:eastAsia="ITC Avant Garde" w:cs="ITC Avant Garde"/>
              </w:rPr>
              <w:t xml:space="preserve">, fracción </w:t>
            </w:r>
            <w:r>
              <w:rPr>
                <w:rFonts w:eastAsia="ITC Avant Garde" w:cs="ITC Avant Garde"/>
              </w:rPr>
              <w:t>XXXV</w:t>
            </w:r>
            <w:r w:rsidRPr="00F44A0D">
              <w:rPr>
                <w:rFonts w:eastAsia="ITC Avant Garde" w:cs="ITC Avant Garde"/>
              </w:rPr>
              <w:t>.</w:t>
            </w:r>
          </w:p>
          <w:p w14:paraId="5E024DC0" w14:textId="7300DCA0" w:rsidR="00F44A0D" w:rsidRDefault="00F44A0D" w:rsidP="00F44A0D">
            <w:pPr>
              <w:spacing w:line="276" w:lineRule="auto"/>
              <w:jc w:val="both"/>
              <w:rPr>
                <w:rFonts w:eastAsia="ITC Avant Garde" w:cs="ITC Avant Garde"/>
              </w:rPr>
            </w:pPr>
            <w:r w:rsidRPr="00F44A0D">
              <w:rPr>
                <w:rFonts w:eastAsia="ITC Avant Garde" w:cs="ITC Avant Garde"/>
                <w:b/>
              </w:rPr>
              <w:t>Justificación</w:t>
            </w:r>
            <w:r w:rsidRPr="00F44A0D">
              <w:rPr>
                <w:rFonts w:eastAsia="ITC Avant Garde" w:cs="ITC Avant Garde"/>
              </w:rPr>
              <w:t xml:space="preserve">: Para efectos de dar claridad a la lectura </w:t>
            </w:r>
            <w:r w:rsidR="00E602CC" w:rsidRPr="00E602CC">
              <w:rPr>
                <w:rFonts w:eastAsia="ITC Avant Garde" w:cs="ITC Avant Garde"/>
              </w:rPr>
              <w:t>del Anteproyecto</w:t>
            </w:r>
            <w:r w:rsidR="00E602CC" w:rsidRPr="00E602CC" w:rsidDel="00E602CC">
              <w:rPr>
                <w:rFonts w:eastAsia="ITC Avant Garde" w:cs="ITC Avant Garde"/>
              </w:rPr>
              <w:t xml:space="preserve"> </w:t>
            </w:r>
            <w:r w:rsidRPr="00F44A0D">
              <w:rPr>
                <w:rFonts w:eastAsia="ITC Avant Garde" w:cs="ITC Avant Garde"/>
              </w:rPr>
              <w:t xml:space="preserve">y certeza jurídica es necesario contar con la definición de </w:t>
            </w:r>
            <w:r w:rsidRPr="00F44A0D">
              <w:rPr>
                <w:rFonts w:eastAsia="ITC Avant Garde" w:cs="ITC Avant Garde"/>
                <w:b/>
              </w:rPr>
              <w:t>Uso previsto</w:t>
            </w:r>
            <w:r w:rsidRPr="00F44A0D">
              <w:rPr>
                <w:rFonts w:eastAsia="ITC Avant Garde" w:cs="ITC Avant Garde"/>
              </w:rPr>
              <w:t>.</w:t>
            </w:r>
          </w:p>
          <w:p w14:paraId="196DA960" w14:textId="77777777" w:rsidR="00F44A0D" w:rsidRDefault="00F44A0D" w:rsidP="0037478A">
            <w:pPr>
              <w:spacing w:line="276" w:lineRule="auto"/>
              <w:jc w:val="both"/>
              <w:rPr>
                <w:rFonts w:eastAsia="ITC Avant Garde" w:cs="ITC Avant Garde"/>
              </w:rPr>
            </w:pPr>
          </w:p>
          <w:p w14:paraId="1F078D90" w14:textId="77777777" w:rsidR="00F44A0D" w:rsidRPr="00F44A0D" w:rsidRDefault="00F44A0D" w:rsidP="00F44A0D">
            <w:pPr>
              <w:spacing w:line="276" w:lineRule="auto"/>
              <w:jc w:val="both"/>
              <w:rPr>
                <w:rFonts w:eastAsia="ITC Avant Garde" w:cs="ITC Avant Garde"/>
              </w:rPr>
            </w:pPr>
            <w:r w:rsidRPr="00F44A0D">
              <w:rPr>
                <w:rFonts w:eastAsia="ITC Avant Garde" w:cs="ITC Avant Garde"/>
                <w:b/>
              </w:rPr>
              <w:t>Tipo</w:t>
            </w:r>
            <w:r w:rsidRPr="00F44A0D">
              <w:rPr>
                <w:rFonts w:eastAsia="ITC Avant Garde" w:cs="ITC Avant Garde"/>
              </w:rPr>
              <w:t>: Definición</w:t>
            </w:r>
          </w:p>
          <w:p w14:paraId="7FCE7DF0" w14:textId="3167AF06" w:rsidR="00F44A0D" w:rsidRPr="00F44A0D" w:rsidRDefault="00F44A0D" w:rsidP="00F44A0D">
            <w:pPr>
              <w:spacing w:line="276" w:lineRule="auto"/>
              <w:jc w:val="both"/>
              <w:rPr>
                <w:rFonts w:eastAsia="ITC Avant Garde" w:cs="ITC Avant Garde"/>
              </w:rPr>
            </w:pPr>
            <w:r w:rsidRPr="00F44A0D">
              <w:rPr>
                <w:rFonts w:eastAsia="ITC Avant Garde" w:cs="ITC Avant Garde"/>
                <w:b/>
              </w:rPr>
              <w:t>Artículos aplicables</w:t>
            </w:r>
            <w:r w:rsidRPr="00F44A0D">
              <w:rPr>
                <w:rFonts w:eastAsia="ITC Avant Garde" w:cs="ITC Avant Garde"/>
              </w:rPr>
              <w:t xml:space="preserve">: Numeral </w:t>
            </w:r>
            <w:r w:rsidR="00FB1BD1">
              <w:rPr>
                <w:rFonts w:eastAsia="ITC Avant Garde" w:cs="ITC Avant Garde"/>
              </w:rPr>
              <w:t>3</w:t>
            </w:r>
            <w:r w:rsidRPr="00F44A0D">
              <w:rPr>
                <w:rFonts w:eastAsia="ITC Avant Garde" w:cs="ITC Avant Garde"/>
              </w:rPr>
              <w:t xml:space="preserve">, fracción </w:t>
            </w:r>
            <w:r>
              <w:rPr>
                <w:rFonts w:eastAsia="ITC Avant Garde" w:cs="ITC Avant Garde"/>
              </w:rPr>
              <w:t>XXX</w:t>
            </w:r>
            <w:r w:rsidR="006016D3">
              <w:rPr>
                <w:rFonts w:eastAsia="ITC Avant Garde" w:cs="ITC Avant Garde"/>
              </w:rPr>
              <w:t>I</w:t>
            </w:r>
            <w:r>
              <w:rPr>
                <w:rFonts w:eastAsia="ITC Avant Garde" w:cs="ITC Avant Garde"/>
              </w:rPr>
              <w:t>V</w:t>
            </w:r>
            <w:r w:rsidRPr="00F44A0D">
              <w:rPr>
                <w:rFonts w:eastAsia="ITC Avant Garde" w:cs="ITC Avant Garde"/>
              </w:rPr>
              <w:t>.</w:t>
            </w:r>
          </w:p>
          <w:p w14:paraId="2FC25BF8" w14:textId="1D41502A" w:rsidR="00F44A0D" w:rsidRDefault="00F44A0D" w:rsidP="00F44A0D">
            <w:pPr>
              <w:spacing w:line="276" w:lineRule="auto"/>
              <w:jc w:val="both"/>
              <w:rPr>
                <w:rFonts w:eastAsia="ITC Avant Garde" w:cs="ITC Avant Garde"/>
              </w:rPr>
            </w:pPr>
            <w:r w:rsidRPr="00F44A0D">
              <w:rPr>
                <w:rFonts w:eastAsia="ITC Avant Garde" w:cs="ITC Avant Garde"/>
                <w:b/>
              </w:rPr>
              <w:t>Justificación</w:t>
            </w:r>
            <w:r w:rsidRPr="00F44A0D">
              <w:rPr>
                <w:rFonts w:eastAsia="ITC Avant Garde" w:cs="ITC Avant Garde"/>
              </w:rPr>
              <w:t xml:space="preserve">: Para efectos de dar claridad a la lectura </w:t>
            </w:r>
            <w:r w:rsidR="00E602CC" w:rsidRPr="00E602CC">
              <w:rPr>
                <w:rFonts w:eastAsia="ITC Avant Garde" w:cs="ITC Avant Garde"/>
              </w:rPr>
              <w:t>del Anteproyecto</w:t>
            </w:r>
            <w:r w:rsidR="00E602CC" w:rsidRPr="00E602CC" w:rsidDel="00E602CC">
              <w:rPr>
                <w:rFonts w:eastAsia="ITC Avant Garde" w:cs="ITC Avant Garde"/>
              </w:rPr>
              <w:t xml:space="preserve"> </w:t>
            </w:r>
            <w:r w:rsidRPr="00F44A0D">
              <w:rPr>
                <w:rFonts w:eastAsia="ITC Avant Garde" w:cs="ITC Avant Garde"/>
              </w:rPr>
              <w:t xml:space="preserve">y certeza jurídica es necesario contar con la definición de </w:t>
            </w:r>
            <w:r w:rsidRPr="00FB1BD1">
              <w:rPr>
                <w:rFonts w:eastAsia="ITC Avant Garde" w:cs="ITC Avant Garde"/>
                <w:b/>
              </w:rPr>
              <w:t>Valor pico primario del SAR.</w:t>
            </w:r>
          </w:p>
          <w:p w14:paraId="4E4F15A1" w14:textId="77777777" w:rsidR="00F44A0D" w:rsidRDefault="00F44A0D" w:rsidP="0037478A">
            <w:pPr>
              <w:spacing w:line="276" w:lineRule="auto"/>
              <w:jc w:val="both"/>
              <w:rPr>
                <w:rFonts w:eastAsia="ITC Avant Garde" w:cs="ITC Avant Garde"/>
              </w:rPr>
            </w:pPr>
          </w:p>
          <w:p w14:paraId="4AFDA7D7" w14:textId="77777777" w:rsidR="00F44A0D" w:rsidRPr="00F44A0D" w:rsidRDefault="00F44A0D" w:rsidP="00F44A0D">
            <w:pPr>
              <w:spacing w:line="276" w:lineRule="auto"/>
              <w:jc w:val="both"/>
              <w:rPr>
                <w:rFonts w:eastAsia="ITC Avant Garde" w:cs="ITC Avant Garde"/>
              </w:rPr>
            </w:pPr>
            <w:r w:rsidRPr="00F44A0D">
              <w:rPr>
                <w:rFonts w:eastAsia="ITC Avant Garde" w:cs="ITC Avant Garde"/>
                <w:b/>
              </w:rPr>
              <w:t>Tipo</w:t>
            </w:r>
            <w:r w:rsidRPr="00F44A0D">
              <w:rPr>
                <w:rFonts w:eastAsia="ITC Avant Garde" w:cs="ITC Avant Garde"/>
              </w:rPr>
              <w:t>: Definición</w:t>
            </w:r>
          </w:p>
          <w:p w14:paraId="001CC198" w14:textId="263DF889" w:rsidR="00F44A0D" w:rsidRPr="00F44A0D" w:rsidRDefault="00F44A0D" w:rsidP="00F44A0D">
            <w:pPr>
              <w:spacing w:line="276" w:lineRule="auto"/>
              <w:jc w:val="both"/>
              <w:rPr>
                <w:rFonts w:eastAsia="ITC Avant Garde" w:cs="ITC Avant Garde"/>
              </w:rPr>
            </w:pPr>
            <w:r w:rsidRPr="00F44A0D">
              <w:rPr>
                <w:rFonts w:eastAsia="ITC Avant Garde" w:cs="ITC Avant Garde"/>
                <w:b/>
              </w:rPr>
              <w:t>Artículos aplicables</w:t>
            </w:r>
            <w:r w:rsidRPr="00F44A0D">
              <w:rPr>
                <w:rFonts w:eastAsia="ITC Avant Garde" w:cs="ITC Avant Garde"/>
              </w:rPr>
              <w:t xml:space="preserve">: Numeral </w:t>
            </w:r>
            <w:r w:rsidR="00FB1BD1">
              <w:rPr>
                <w:rFonts w:eastAsia="ITC Avant Garde" w:cs="ITC Avant Garde"/>
              </w:rPr>
              <w:t>3</w:t>
            </w:r>
            <w:r w:rsidRPr="00F44A0D">
              <w:rPr>
                <w:rFonts w:eastAsia="ITC Avant Garde" w:cs="ITC Avant Garde"/>
              </w:rPr>
              <w:t xml:space="preserve">, fracción </w:t>
            </w:r>
            <w:r>
              <w:rPr>
                <w:rFonts w:eastAsia="ITC Avant Garde" w:cs="ITC Avant Garde"/>
              </w:rPr>
              <w:t>XXXV</w:t>
            </w:r>
            <w:r w:rsidRPr="00F44A0D">
              <w:rPr>
                <w:rFonts w:eastAsia="ITC Avant Garde" w:cs="ITC Avant Garde"/>
              </w:rPr>
              <w:t>.</w:t>
            </w:r>
          </w:p>
          <w:p w14:paraId="6A3B9991" w14:textId="44BFB7E3" w:rsidR="00F44A0D" w:rsidRDefault="00F44A0D" w:rsidP="00F44A0D">
            <w:pPr>
              <w:spacing w:line="276" w:lineRule="auto"/>
              <w:jc w:val="both"/>
              <w:rPr>
                <w:rFonts w:eastAsia="ITC Avant Garde" w:cs="ITC Avant Garde"/>
              </w:rPr>
            </w:pPr>
            <w:r w:rsidRPr="00F44A0D">
              <w:rPr>
                <w:rFonts w:eastAsia="ITC Avant Garde" w:cs="ITC Avant Garde"/>
                <w:b/>
              </w:rPr>
              <w:t>Justificación</w:t>
            </w:r>
            <w:r w:rsidRPr="00F44A0D">
              <w:rPr>
                <w:rFonts w:eastAsia="ITC Avant Garde" w:cs="ITC Avant Garde"/>
              </w:rPr>
              <w:t xml:space="preserve">: Para efectos de dar claridad a la lectura </w:t>
            </w:r>
            <w:r w:rsidR="00E602CC" w:rsidRPr="00E602CC">
              <w:rPr>
                <w:rFonts w:eastAsia="ITC Avant Garde" w:cs="ITC Avant Garde"/>
              </w:rPr>
              <w:t>del Anteproyecto</w:t>
            </w:r>
            <w:r w:rsidR="00E602CC" w:rsidRPr="00E602CC" w:rsidDel="00E602CC">
              <w:rPr>
                <w:rFonts w:eastAsia="ITC Avant Garde" w:cs="ITC Avant Garde"/>
              </w:rPr>
              <w:t xml:space="preserve"> </w:t>
            </w:r>
            <w:r w:rsidRPr="00F44A0D">
              <w:rPr>
                <w:rFonts w:eastAsia="ITC Avant Garde" w:cs="ITC Avant Garde"/>
              </w:rPr>
              <w:t xml:space="preserve">y certeza jurídica es necesario contar con la definición de </w:t>
            </w:r>
            <w:r w:rsidRPr="00FB1BD1">
              <w:rPr>
                <w:rFonts w:eastAsia="ITC Avant Garde" w:cs="ITC Avant Garde"/>
                <w:b/>
              </w:rPr>
              <w:t>Valor pico secundario del SAR.</w:t>
            </w:r>
          </w:p>
          <w:p w14:paraId="0B7F361C" w14:textId="77777777" w:rsidR="00F44A0D" w:rsidRDefault="00F44A0D" w:rsidP="0037478A">
            <w:pPr>
              <w:spacing w:line="276" w:lineRule="auto"/>
              <w:jc w:val="both"/>
              <w:rPr>
                <w:rFonts w:eastAsia="ITC Avant Garde" w:cs="ITC Avant Garde"/>
              </w:rPr>
            </w:pPr>
          </w:p>
          <w:p w14:paraId="2A4B7749" w14:textId="77777777" w:rsidR="0037478A" w:rsidRPr="009366E6"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Símbolos y abreviaturas</w:t>
            </w:r>
          </w:p>
          <w:p w14:paraId="2C2BFE51" w14:textId="77777777" w:rsidR="0037478A" w:rsidRPr="009366E6"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3.2</w:t>
            </w:r>
          </w:p>
          <w:p w14:paraId="2EC83840" w14:textId="1BFCB003" w:rsidR="0037478A" w:rsidRPr="009366E6"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Para efectos de dar claridad a la lectura </w:t>
            </w:r>
            <w:r w:rsidR="00E602CC" w:rsidRPr="00E602CC">
              <w:rPr>
                <w:rFonts w:eastAsia="ITC Avant Garde" w:cs="ITC Avant Garde"/>
              </w:rPr>
              <w:t>del Anteproyecto</w:t>
            </w:r>
            <w:r w:rsidR="00E602CC" w:rsidRPr="00E602CC" w:rsidDel="00E602CC">
              <w:rPr>
                <w:rFonts w:eastAsia="ITC Avant Garde" w:cs="ITC Avant Garde"/>
              </w:rPr>
              <w:t xml:space="preserve"> </w:t>
            </w:r>
            <w:r>
              <w:rPr>
                <w:rFonts w:eastAsia="ITC Avant Garde" w:cs="ITC Avant Garde"/>
              </w:rPr>
              <w:t>y certeza jurídica, es necesario contar con los símbolos y abreviaturas contenidos en el numeral 3.2 de la Disposición Técnica.</w:t>
            </w:r>
          </w:p>
          <w:p w14:paraId="5222CC63" w14:textId="77777777" w:rsidR="0037478A" w:rsidRDefault="0037478A" w:rsidP="0037478A">
            <w:pPr>
              <w:spacing w:line="276" w:lineRule="auto"/>
              <w:jc w:val="both"/>
              <w:rPr>
                <w:rFonts w:eastAsia="ITC Avant Garde" w:cs="ITC Avant Garde"/>
                <w:b/>
              </w:rPr>
            </w:pPr>
          </w:p>
          <w:p w14:paraId="1C07C357" w14:textId="77777777" w:rsidR="0037478A" w:rsidRPr="00E1553F" w:rsidRDefault="0037478A" w:rsidP="0037478A">
            <w:pPr>
              <w:spacing w:line="276" w:lineRule="auto"/>
              <w:jc w:val="both"/>
            </w:pPr>
            <w:r>
              <w:rPr>
                <w:rFonts w:eastAsia="ITC Avant Garde" w:cs="ITC Avant Garde"/>
                <w:b/>
              </w:rPr>
              <w:t xml:space="preserve">Tipo: </w:t>
            </w:r>
            <w:r>
              <w:rPr>
                <w:rFonts w:eastAsia="ITC Avant Garde" w:cs="ITC Avant Garde"/>
              </w:rPr>
              <w:t>Establece un estándar técnico</w:t>
            </w:r>
          </w:p>
          <w:p w14:paraId="70DD9E1E" w14:textId="77777777" w:rsidR="0037478A" w:rsidRPr="00E1553F"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4.1</w:t>
            </w:r>
          </w:p>
          <w:p w14:paraId="0107E9FA" w14:textId="19FD4F48" w:rsidR="0037478A" w:rsidRDefault="0037478A" w:rsidP="0037478A">
            <w:pPr>
              <w:spacing w:line="276" w:lineRule="auto"/>
              <w:jc w:val="both"/>
              <w:rPr>
                <w:rFonts w:eastAsia="ITC Avant Garde" w:cs="ITC Avant Garde"/>
              </w:rPr>
            </w:pPr>
            <w:r>
              <w:rPr>
                <w:rFonts w:eastAsia="ITC Avant Garde" w:cs="ITC Avant Garde"/>
                <w:b/>
              </w:rPr>
              <w:t xml:space="preserve">Justificación: </w:t>
            </w:r>
            <w:r>
              <w:rPr>
                <w:rFonts w:eastAsia="ITC Avant Garde" w:cs="ITC Avant Garde"/>
              </w:rPr>
              <w:t xml:space="preserve">Los productos, equipos, dispositivos o aparatos que tengan un transmisor o transceptor de radiofrecuencia, hagan uso del espectro radioeléctrico y/o se conecten a una red de telecomunicaciones, en el intervalo de frecuencias de 30 MHz a 6 GHz, y se utilicen particularmente cerca del oído y/o a una distancia igual o menor a 200 mm del cuerpo humano deben cumplir con los límites establecidos en la </w:t>
            </w:r>
            <w:r w:rsidRPr="00E1553F">
              <w:rPr>
                <w:rFonts w:eastAsia="ITC Avant Garde" w:cs="ITC Avant Garde"/>
                <w:b/>
              </w:rPr>
              <w:t xml:space="preserve">Tabla 1 </w:t>
            </w:r>
            <w:r w:rsidRPr="00FA540F">
              <w:rPr>
                <w:rFonts w:eastAsia="ITC Avant Garde" w:cs="ITC Avant Garde"/>
              </w:rPr>
              <w:t>de la</w:t>
            </w:r>
            <w:r w:rsidR="00A00B2E">
              <w:rPr>
                <w:rFonts w:eastAsia="ITC Avant Garde" w:cs="ITC Avant Garde"/>
              </w:rPr>
              <w:t xml:space="preserve"> presente</w:t>
            </w:r>
            <w:r w:rsidRPr="00FA540F">
              <w:rPr>
                <w:rFonts w:eastAsia="ITC Avant Garde" w:cs="ITC Avant Garde"/>
              </w:rPr>
              <w:t xml:space="preserve"> </w:t>
            </w:r>
            <w:r>
              <w:rPr>
                <w:rFonts w:eastAsia="ITC Avant Garde" w:cs="ITC Avant Garde"/>
              </w:rPr>
              <w:t>Disposición Técnica</w:t>
            </w:r>
            <w:r w:rsidR="00A00B2E">
              <w:rPr>
                <w:rFonts w:eastAsia="ITC Avant Garde" w:cs="ITC Avant Garde"/>
              </w:rPr>
              <w:t>.</w:t>
            </w:r>
          </w:p>
          <w:p w14:paraId="27A7BFB6" w14:textId="77777777" w:rsidR="0037478A" w:rsidRDefault="0037478A" w:rsidP="0037478A">
            <w:pPr>
              <w:spacing w:line="276" w:lineRule="auto"/>
              <w:jc w:val="both"/>
              <w:rPr>
                <w:rFonts w:eastAsia="ITC Avant Garde" w:cs="ITC Avant Garde"/>
                <w:b/>
              </w:rPr>
            </w:pPr>
          </w:p>
          <w:p w14:paraId="6972832E" w14:textId="77777777" w:rsidR="0037478A" w:rsidRPr="00E1553F"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Restricción</w:t>
            </w:r>
            <w:r w:rsidR="005D78EC">
              <w:rPr>
                <w:rFonts w:eastAsia="ITC Avant Garde" w:cs="ITC Avant Garde"/>
              </w:rPr>
              <w:t xml:space="preserve"> a utilizar sólo un </w:t>
            </w:r>
            <w:r w:rsidR="005D78EC" w:rsidRPr="005D78EC">
              <w:rPr>
                <w:rFonts w:eastAsia="ITC Avant Garde" w:cs="ITC Avant Garde"/>
              </w:rPr>
              <w:t>método de prueba</w:t>
            </w:r>
            <w:r w:rsidR="005D78EC">
              <w:rPr>
                <w:rFonts w:eastAsia="ITC Avant Garde" w:cs="ITC Avant Garde"/>
              </w:rPr>
              <w:t>.</w:t>
            </w:r>
          </w:p>
          <w:p w14:paraId="691F6DC9" w14:textId="77777777" w:rsidR="0037478A" w:rsidRPr="00E1553F"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4.2</w:t>
            </w:r>
          </w:p>
          <w:p w14:paraId="75C3BA18" w14:textId="77777777" w:rsidR="0037478A" w:rsidRDefault="0037478A" w:rsidP="0037478A">
            <w:pPr>
              <w:spacing w:line="276" w:lineRule="auto"/>
              <w:jc w:val="both"/>
              <w:rPr>
                <w:rFonts w:eastAsia="ITC Avant Garde" w:cs="ITC Avant Garde"/>
              </w:rPr>
            </w:pPr>
            <w:r>
              <w:rPr>
                <w:rFonts w:eastAsia="ITC Avant Garde" w:cs="ITC Avant Garde"/>
                <w:b/>
              </w:rPr>
              <w:lastRenderedPageBreak/>
              <w:t xml:space="preserve">Justificación: </w:t>
            </w:r>
            <w:r>
              <w:rPr>
                <w:rFonts w:eastAsia="ITC Avant Garde" w:cs="ITC Avant Garde"/>
              </w:rPr>
              <w:t xml:space="preserve">Se establece la presente restricción en virtud de que las mediciones realizadas de acuerdo a los numerales 5.1 y 5.2 tienen el objetivo de medir la misma magnitud física. Por lo tanto, someter un DCI </w:t>
            </w:r>
            <w:r w:rsidR="00584E94">
              <w:rPr>
                <w:rFonts w:eastAsia="ITC Avant Garde" w:cs="ITC Avant Garde"/>
              </w:rPr>
              <w:t xml:space="preserve">que cumpla con las dos condiciones establecidas en el Anteproyecto </w:t>
            </w:r>
            <w:r>
              <w:rPr>
                <w:rFonts w:eastAsia="ITC Avant Garde" w:cs="ITC Avant Garde"/>
              </w:rPr>
              <w:t>a las pruebas de los numerales 5.1 y 5.2 sería básicamente repetir las mediciones y, por ende, una carga regulatoria excesiva.</w:t>
            </w:r>
          </w:p>
          <w:p w14:paraId="70C71125" w14:textId="77777777" w:rsidR="0037478A" w:rsidRDefault="0037478A" w:rsidP="0037478A">
            <w:pPr>
              <w:spacing w:line="276" w:lineRule="auto"/>
              <w:jc w:val="both"/>
              <w:rPr>
                <w:rFonts w:eastAsia="ITC Avant Garde" w:cs="ITC Avant Garde"/>
              </w:rPr>
            </w:pPr>
          </w:p>
          <w:p w14:paraId="1FE99DF9" w14:textId="77777777" w:rsidR="0037478A" w:rsidRPr="00E1553F"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Establecimiento de un estándar técnico</w:t>
            </w:r>
          </w:p>
          <w:p w14:paraId="605E11BA" w14:textId="77777777" w:rsidR="0037478A" w:rsidRPr="00E1553F"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4.3</w:t>
            </w:r>
          </w:p>
          <w:p w14:paraId="13DAF639" w14:textId="77777777" w:rsidR="0037478A" w:rsidRPr="00E1553F"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Dado que el nivel de potencia de 2</w:t>
            </w:r>
            <w:r w:rsidR="00961A74">
              <w:rPr>
                <w:rFonts w:eastAsia="ITC Avant Garde" w:cs="ITC Avant Garde"/>
              </w:rPr>
              <w:t>0</w:t>
            </w:r>
            <w:r>
              <w:rPr>
                <w:rFonts w:eastAsia="ITC Avant Garde" w:cs="ITC Avant Garde"/>
              </w:rPr>
              <w:t> mW es bajo, se considera que los campos electromagnéticos emitidos por DCI que operan con niveles de potencia iguales o menores al mencionado antes, son incapaces de producir exposiciones que excedan las restricciones básicas</w:t>
            </w:r>
            <w:r>
              <w:rPr>
                <w:rStyle w:val="Refdenotaalpie"/>
                <w:rFonts w:eastAsia="ITC Avant Garde" w:cs="ITC Avant Garde"/>
              </w:rPr>
              <w:footnoteReference w:id="24"/>
            </w:r>
            <w:r>
              <w:rPr>
                <w:rFonts w:eastAsia="ITC Avant Garde" w:cs="ITC Avant Garde"/>
              </w:rPr>
              <w:t xml:space="preserve"> y, por lo tanto, se consideran inherentemente conformes.</w:t>
            </w:r>
          </w:p>
          <w:p w14:paraId="5224A087" w14:textId="77777777" w:rsidR="0037478A" w:rsidRDefault="0037478A" w:rsidP="0037478A">
            <w:pPr>
              <w:spacing w:line="276" w:lineRule="auto"/>
              <w:jc w:val="both"/>
              <w:rPr>
                <w:rFonts w:eastAsia="ITC Avant Garde" w:cs="ITC Avant Garde"/>
              </w:rPr>
            </w:pPr>
          </w:p>
          <w:p w14:paraId="622F413E" w14:textId="77777777" w:rsidR="0037478A" w:rsidRPr="00C15932"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Establecimiento de estándares técnicos</w:t>
            </w:r>
          </w:p>
          <w:p w14:paraId="49E6DE6F" w14:textId="77777777" w:rsidR="0037478A" w:rsidRPr="00C15932"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5.1.1</w:t>
            </w:r>
          </w:p>
          <w:p w14:paraId="38F02C48" w14:textId="77777777" w:rsidR="0037478A" w:rsidRPr="00C15932"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Se establecen estas especificaciones para el sistema de medición con el objetivo de minimizar la incertidumbre de los valores del SAR obtenidos mediante mediciones.</w:t>
            </w:r>
          </w:p>
          <w:p w14:paraId="70DF8578" w14:textId="77777777" w:rsidR="0037478A" w:rsidRDefault="0037478A" w:rsidP="0037478A">
            <w:pPr>
              <w:spacing w:line="276" w:lineRule="auto"/>
              <w:jc w:val="both"/>
              <w:rPr>
                <w:rFonts w:eastAsia="ITC Avant Garde" w:cs="ITC Avant Garde"/>
              </w:rPr>
            </w:pPr>
          </w:p>
          <w:p w14:paraId="4A103917" w14:textId="77777777" w:rsidR="0037478A" w:rsidRPr="0064285C"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Establecimiento de estándares técnicos</w:t>
            </w:r>
          </w:p>
          <w:p w14:paraId="6B6B01CB" w14:textId="77777777" w:rsidR="0037478A" w:rsidRPr="0064285C"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5.1.2</w:t>
            </w:r>
          </w:p>
          <w:p w14:paraId="0330ABCE" w14:textId="6E199E6D" w:rsidR="0037478A"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Se establecen estas especificaciones para el Modelo de Cabeza Humana (</w:t>
            </w:r>
            <w:r w:rsidR="00A52605">
              <w:rPr>
                <w:rFonts w:eastAsia="ITC Avant Garde" w:cs="ITC Avant Garde"/>
              </w:rPr>
              <w:t>MAC</w:t>
            </w:r>
            <w:r>
              <w:rPr>
                <w:rFonts w:eastAsia="ITC Avant Garde" w:cs="ITC Avant Garde"/>
              </w:rPr>
              <w:t xml:space="preserve">) y para el Líquido </w:t>
            </w:r>
            <w:r w:rsidR="000E79A1">
              <w:rPr>
                <w:rFonts w:eastAsia="ITC Avant Garde" w:cs="ITC Avant Garde"/>
              </w:rPr>
              <w:t>e</w:t>
            </w:r>
            <w:r>
              <w:rPr>
                <w:rFonts w:eastAsia="ITC Avant Garde" w:cs="ITC Avant Garde"/>
              </w:rPr>
              <w:t xml:space="preserve">quivalente a </w:t>
            </w:r>
            <w:r w:rsidR="000E79A1">
              <w:rPr>
                <w:rFonts w:eastAsia="ITC Avant Garde" w:cs="ITC Avant Garde"/>
              </w:rPr>
              <w:t>t</w:t>
            </w:r>
            <w:r>
              <w:rPr>
                <w:rFonts w:eastAsia="ITC Avant Garde" w:cs="ITC Avant Garde"/>
              </w:rPr>
              <w:t>ejido (LET) con el objetivo de minimizar la incertidumbre de los valores del SAR obtenidos mediante mediciones.</w:t>
            </w:r>
          </w:p>
          <w:p w14:paraId="7D3BB667" w14:textId="77777777" w:rsidR="0037478A" w:rsidRDefault="0037478A" w:rsidP="0037478A">
            <w:pPr>
              <w:spacing w:line="276" w:lineRule="auto"/>
              <w:jc w:val="both"/>
              <w:rPr>
                <w:rFonts w:eastAsia="ITC Avant Garde" w:cs="ITC Avant Garde"/>
              </w:rPr>
            </w:pPr>
          </w:p>
          <w:p w14:paraId="76D192F1" w14:textId="77777777" w:rsidR="0037478A" w:rsidRPr="00BC2638"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Establecimiento de estándares técnicos</w:t>
            </w:r>
          </w:p>
          <w:p w14:paraId="60FF0C54" w14:textId="77777777" w:rsidR="0037478A" w:rsidRPr="00BC2638"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5.1.4</w:t>
            </w:r>
          </w:p>
          <w:p w14:paraId="3388D832" w14:textId="4BC9B983" w:rsidR="0037478A" w:rsidRPr="00BC2638"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Los requisitos del sistema de escaneo se establecen para garantizar que este puede colocar la sonda, que realizará la medición, en los puntos espaciales necesarios con la exactitud requerida.</w:t>
            </w:r>
          </w:p>
          <w:p w14:paraId="23DABC4D" w14:textId="77777777" w:rsidR="0037478A" w:rsidRPr="0064285C" w:rsidRDefault="0037478A" w:rsidP="0037478A">
            <w:pPr>
              <w:spacing w:line="276" w:lineRule="auto"/>
              <w:jc w:val="both"/>
              <w:rPr>
                <w:rFonts w:eastAsia="ITC Avant Garde" w:cs="ITC Avant Garde"/>
              </w:rPr>
            </w:pPr>
          </w:p>
          <w:p w14:paraId="19768A0D" w14:textId="77777777" w:rsidR="0037478A" w:rsidRPr="00BC2638"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Establecimiento de estándares técnicos</w:t>
            </w:r>
          </w:p>
          <w:p w14:paraId="739AD169" w14:textId="77777777" w:rsidR="0037478A" w:rsidRPr="00BC2638"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5.1.5</w:t>
            </w:r>
          </w:p>
          <w:p w14:paraId="1560AE4C" w14:textId="0C23E1B8" w:rsidR="0037478A" w:rsidRPr="00EF304A" w:rsidRDefault="0037478A" w:rsidP="0037478A">
            <w:pPr>
              <w:spacing w:line="276" w:lineRule="auto"/>
              <w:jc w:val="both"/>
              <w:rPr>
                <w:rFonts w:eastAsia="ITC Avant Garde" w:cs="ITC Avant Garde"/>
              </w:rPr>
            </w:pPr>
            <w:r>
              <w:rPr>
                <w:rFonts w:eastAsia="ITC Avant Garde" w:cs="ITC Avant Garde"/>
                <w:b/>
              </w:rPr>
              <w:lastRenderedPageBreak/>
              <w:t>Justificación:</w:t>
            </w:r>
            <w:r>
              <w:rPr>
                <w:rFonts w:eastAsia="ITC Avant Garde" w:cs="ITC Avant Garde"/>
              </w:rPr>
              <w:t xml:space="preserve"> Las consideraciones y especificaciones del dispositivo sujetador del Equipo Bajo Prueba (EBP) se establecen con el objetivo de garantizar que el sujetador mantendrá el EBP en la posición necesaria durante todo el tiempo que duren las mediciones del SAR y que su influencia en los valores del SAR medidos </w:t>
            </w:r>
            <w:r w:rsidR="000472BB">
              <w:rPr>
                <w:rFonts w:eastAsia="ITC Avant Garde" w:cs="ITC Avant Garde"/>
              </w:rPr>
              <w:t>será</w:t>
            </w:r>
            <w:r>
              <w:rPr>
                <w:rFonts w:eastAsia="ITC Avant Garde" w:cs="ITC Avant Garde"/>
              </w:rPr>
              <w:t xml:space="preserve"> mínima o nula.</w:t>
            </w:r>
          </w:p>
          <w:p w14:paraId="390B448B" w14:textId="77777777" w:rsidR="0037478A" w:rsidRDefault="0037478A" w:rsidP="0037478A">
            <w:pPr>
              <w:spacing w:line="276" w:lineRule="auto"/>
              <w:jc w:val="both"/>
              <w:rPr>
                <w:rFonts w:eastAsia="ITC Avant Garde" w:cs="ITC Avant Garde"/>
              </w:rPr>
            </w:pPr>
          </w:p>
          <w:p w14:paraId="00516569" w14:textId="77777777" w:rsidR="0037478A" w:rsidRPr="00EF304A"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Establecimiento de estándares técnicos</w:t>
            </w:r>
          </w:p>
          <w:p w14:paraId="4DAC299C" w14:textId="77777777" w:rsidR="0037478A" w:rsidRPr="00EF304A"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5.1.6</w:t>
            </w:r>
          </w:p>
          <w:p w14:paraId="60C535EA" w14:textId="1CD7B566" w:rsidR="0037478A" w:rsidRPr="00EF304A"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Se establecen las características que debe tener la electrónica de </w:t>
            </w:r>
            <w:r w:rsidR="00C27B07">
              <w:rPr>
                <w:rFonts w:eastAsia="ITC Avant Garde" w:cs="ITC Avant Garde"/>
              </w:rPr>
              <w:t>medición</w:t>
            </w:r>
            <w:r>
              <w:rPr>
                <w:rFonts w:eastAsia="ITC Avant Garde" w:cs="ITC Avant Garde"/>
              </w:rPr>
              <w:t xml:space="preserve"> con el objetivo de evitar que la magnitud de la intensidad del campo eléctrico sea subestimada bajo ciertas circunstancias y para obtener su contribución a la incertidumbre</w:t>
            </w:r>
            <w:r w:rsidR="000472BB">
              <w:rPr>
                <w:rFonts w:eastAsia="ITC Avant Garde" w:cs="ITC Avant Garde"/>
              </w:rPr>
              <w:t xml:space="preserve"> total</w:t>
            </w:r>
            <w:r>
              <w:rPr>
                <w:rFonts w:eastAsia="ITC Avant Garde" w:cs="ITC Avant Garde"/>
              </w:rPr>
              <w:t xml:space="preserve"> de la medición.</w:t>
            </w:r>
          </w:p>
          <w:p w14:paraId="08B23DFC" w14:textId="77777777" w:rsidR="0037478A" w:rsidRDefault="0037478A" w:rsidP="0037478A">
            <w:pPr>
              <w:spacing w:line="276" w:lineRule="auto"/>
              <w:jc w:val="both"/>
              <w:rPr>
                <w:rFonts w:eastAsia="ITC Avant Garde" w:cs="ITC Avant Garde"/>
              </w:rPr>
            </w:pPr>
          </w:p>
          <w:p w14:paraId="39009635" w14:textId="77777777" w:rsidR="0037478A" w:rsidRPr="00C90124"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Establecimiento de estándares técnicos</w:t>
            </w:r>
          </w:p>
          <w:p w14:paraId="668F48CB" w14:textId="77777777" w:rsidR="0037478A" w:rsidRPr="00C90124"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5.1.7.1</w:t>
            </w:r>
          </w:p>
          <w:p w14:paraId="21E86FE9" w14:textId="5291E7A3" w:rsidR="0037478A" w:rsidRPr="00C90124"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Antes de realizar las mediciones del SAR se debe preparar el LET y </w:t>
            </w:r>
            <w:r w:rsidR="000472BB">
              <w:rPr>
                <w:rFonts w:eastAsia="ITC Avant Garde" w:cs="ITC Avant Garde"/>
              </w:rPr>
              <w:t xml:space="preserve">validar </w:t>
            </w:r>
            <w:r>
              <w:rPr>
                <w:rFonts w:eastAsia="ITC Avant Garde" w:cs="ITC Avant Garde"/>
              </w:rPr>
              <w:t>el sistema para garantizar que el sistema opera dentro de los parámetros requeridos y que el LET tiene la densidad y los parámetros dieléctricos requeridos. Lo anterior con el objetivo de minimizar la incertidumbre de los valores del SAR obtenidos mediante mediciones.</w:t>
            </w:r>
          </w:p>
          <w:p w14:paraId="6D1A0127" w14:textId="77777777" w:rsidR="0037478A" w:rsidRDefault="0037478A" w:rsidP="0037478A">
            <w:pPr>
              <w:spacing w:line="276" w:lineRule="auto"/>
              <w:jc w:val="both"/>
              <w:rPr>
                <w:rFonts w:eastAsia="ITC Avant Garde" w:cs="ITC Avant Garde"/>
              </w:rPr>
            </w:pPr>
          </w:p>
          <w:p w14:paraId="19AB2843" w14:textId="77777777" w:rsidR="0037478A" w:rsidRPr="000B656F"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Establecimiento de estándares técnicos</w:t>
            </w:r>
          </w:p>
          <w:p w14:paraId="563445D1" w14:textId="77777777" w:rsidR="0037478A" w:rsidRPr="000B656F"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5.1.7.2</w:t>
            </w:r>
          </w:p>
          <w:p w14:paraId="2E673499" w14:textId="77777777" w:rsidR="0037478A"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La preparación del EBP se realiza para minimizar la incertidumbre de los valores del SAR obtenidos mediante mediciones.</w:t>
            </w:r>
          </w:p>
          <w:p w14:paraId="4859AAF9" w14:textId="77777777" w:rsidR="0037478A" w:rsidRDefault="0037478A" w:rsidP="0037478A">
            <w:pPr>
              <w:spacing w:line="276" w:lineRule="auto"/>
              <w:jc w:val="both"/>
              <w:rPr>
                <w:rFonts w:eastAsia="ITC Avant Garde" w:cs="ITC Avant Garde"/>
                <w:b/>
              </w:rPr>
            </w:pPr>
          </w:p>
          <w:p w14:paraId="3300E0AF" w14:textId="77777777" w:rsidR="0037478A" w:rsidRPr="00AB0A20" w:rsidRDefault="0037478A" w:rsidP="0037478A">
            <w:pPr>
              <w:spacing w:line="276" w:lineRule="auto"/>
              <w:jc w:val="both"/>
            </w:pPr>
            <w:r>
              <w:rPr>
                <w:rFonts w:eastAsia="ITC Avant Garde" w:cs="ITC Avant Garde"/>
                <w:b/>
              </w:rPr>
              <w:t>Tipo:</w:t>
            </w:r>
            <w:r>
              <w:rPr>
                <w:rFonts w:eastAsia="ITC Avant Garde" w:cs="ITC Avant Garde"/>
              </w:rPr>
              <w:t xml:space="preserve"> Establecimiento de estándares técnicos</w:t>
            </w:r>
          </w:p>
          <w:p w14:paraId="43B86554" w14:textId="77777777" w:rsidR="0037478A" w:rsidRPr="00AB0A20"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5.1.7.3</w:t>
            </w:r>
          </w:p>
          <w:p w14:paraId="1414137F" w14:textId="77777777" w:rsidR="0037478A" w:rsidRPr="00AB0A20"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Los modos de operación con que cuenta el EBP deben tomarse en cuenta para evitar que las características particulares de estos modos induzcan errores en las mediciones del SAR.</w:t>
            </w:r>
          </w:p>
          <w:p w14:paraId="613CA9A7" w14:textId="77777777" w:rsidR="0037478A" w:rsidRDefault="0037478A" w:rsidP="0037478A">
            <w:pPr>
              <w:spacing w:line="276" w:lineRule="auto"/>
              <w:jc w:val="both"/>
              <w:rPr>
                <w:rFonts w:eastAsia="ITC Avant Garde" w:cs="ITC Avant Garde"/>
              </w:rPr>
            </w:pPr>
          </w:p>
          <w:p w14:paraId="6F45668C" w14:textId="77777777" w:rsidR="0037478A" w:rsidRPr="009B5C66"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Establecimiento de estándares técnicos</w:t>
            </w:r>
          </w:p>
          <w:p w14:paraId="547C04DD" w14:textId="77777777" w:rsidR="0037478A" w:rsidRPr="009B5C66"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5.1.7.4</w:t>
            </w:r>
          </w:p>
          <w:p w14:paraId="34D383CD" w14:textId="77777777" w:rsidR="0037478A" w:rsidRPr="009B5C66"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Se establecen las posiciones de prueba para el EBP con el objetivo de recrear, con la exactitud adecuada, las condiciones de exposición más probables bajo las que estarán los usuarios cuando empleen el EBP.</w:t>
            </w:r>
          </w:p>
          <w:p w14:paraId="3174306E" w14:textId="78313685" w:rsidR="0037478A" w:rsidRDefault="0037478A" w:rsidP="0037478A">
            <w:pPr>
              <w:spacing w:line="276" w:lineRule="auto"/>
              <w:jc w:val="both"/>
              <w:rPr>
                <w:rFonts w:eastAsia="ITC Avant Garde" w:cs="ITC Avant Garde"/>
              </w:rPr>
            </w:pPr>
          </w:p>
          <w:p w14:paraId="67B73BF4" w14:textId="77777777" w:rsidR="0055717C" w:rsidRPr="0055717C" w:rsidRDefault="0055717C" w:rsidP="0055717C">
            <w:pPr>
              <w:spacing w:line="276" w:lineRule="auto"/>
              <w:jc w:val="both"/>
              <w:rPr>
                <w:rFonts w:eastAsia="ITC Avant Garde" w:cs="ITC Avant Garde"/>
              </w:rPr>
            </w:pPr>
            <w:r w:rsidRPr="0083563E">
              <w:rPr>
                <w:rFonts w:eastAsia="ITC Avant Garde" w:cs="ITC Avant Garde"/>
                <w:b/>
              </w:rPr>
              <w:lastRenderedPageBreak/>
              <w:t>Tipo:</w:t>
            </w:r>
            <w:r w:rsidRPr="0055717C">
              <w:rPr>
                <w:rFonts w:eastAsia="ITC Avant Garde" w:cs="ITC Avant Garde"/>
              </w:rPr>
              <w:t xml:space="preserve"> Establecimiento de estándares técnicos</w:t>
            </w:r>
          </w:p>
          <w:p w14:paraId="7B83F43A" w14:textId="3D32319E" w:rsidR="0055717C" w:rsidRPr="0055717C" w:rsidRDefault="0055717C" w:rsidP="0055717C">
            <w:pPr>
              <w:spacing w:line="276" w:lineRule="auto"/>
              <w:jc w:val="both"/>
              <w:rPr>
                <w:rFonts w:eastAsia="ITC Avant Garde" w:cs="ITC Avant Garde"/>
              </w:rPr>
            </w:pPr>
            <w:r w:rsidRPr="0083563E">
              <w:rPr>
                <w:rFonts w:eastAsia="ITC Avant Garde" w:cs="ITC Avant Garde"/>
                <w:b/>
              </w:rPr>
              <w:t>Artículos aplicables:</w:t>
            </w:r>
            <w:r w:rsidRPr="0055717C">
              <w:rPr>
                <w:rFonts w:eastAsia="ITC Avant Garde" w:cs="ITC Avant Garde"/>
              </w:rPr>
              <w:t xml:space="preserve"> Numeral 5.1.7.</w:t>
            </w:r>
            <w:r>
              <w:rPr>
                <w:rFonts w:eastAsia="ITC Avant Garde" w:cs="ITC Avant Garde"/>
              </w:rPr>
              <w:t>5</w:t>
            </w:r>
          </w:p>
          <w:p w14:paraId="13058C26" w14:textId="42D475E9" w:rsidR="0055717C" w:rsidRDefault="0055717C" w:rsidP="0055717C">
            <w:pPr>
              <w:spacing w:line="276" w:lineRule="auto"/>
              <w:jc w:val="both"/>
              <w:rPr>
                <w:rFonts w:eastAsia="ITC Avant Garde" w:cs="ITC Avant Garde"/>
              </w:rPr>
            </w:pPr>
            <w:r w:rsidRPr="0083563E">
              <w:rPr>
                <w:rFonts w:eastAsia="ITC Avant Garde" w:cs="ITC Avant Garde"/>
                <w:b/>
              </w:rPr>
              <w:t>Justificación:</w:t>
            </w:r>
            <w:r w:rsidRPr="0055717C">
              <w:rPr>
                <w:rFonts w:eastAsia="ITC Avant Garde" w:cs="ITC Avant Garde"/>
              </w:rPr>
              <w:t xml:space="preserve"> Se establecen las </w:t>
            </w:r>
            <w:r>
              <w:rPr>
                <w:rFonts w:eastAsia="ITC Avant Garde" w:cs="ITC Avant Garde"/>
              </w:rPr>
              <w:t xml:space="preserve">frecuencias de prueba para el </w:t>
            </w:r>
            <w:r w:rsidRPr="0055717C">
              <w:rPr>
                <w:rFonts w:eastAsia="ITC Avant Garde" w:cs="ITC Avant Garde"/>
              </w:rPr>
              <w:t xml:space="preserve">EBP con el objetivo de </w:t>
            </w:r>
            <w:r>
              <w:rPr>
                <w:rFonts w:eastAsia="ITC Avant Garde" w:cs="ITC Avant Garde"/>
              </w:rPr>
              <w:t>hacer la menor cantidad de pruebas y cubrir todas las bandas de operación del EBP en el territorio de los Estados Unidos Mexicanos</w:t>
            </w:r>
            <w:r w:rsidRPr="0055717C">
              <w:rPr>
                <w:rFonts w:eastAsia="ITC Avant Garde" w:cs="ITC Avant Garde"/>
              </w:rPr>
              <w:t>.</w:t>
            </w:r>
          </w:p>
          <w:p w14:paraId="265A5A69" w14:textId="77777777" w:rsidR="0055717C" w:rsidRDefault="0055717C" w:rsidP="0037478A">
            <w:pPr>
              <w:spacing w:line="276" w:lineRule="auto"/>
              <w:jc w:val="both"/>
              <w:rPr>
                <w:rFonts w:eastAsia="ITC Avant Garde" w:cs="ITC Avant Garde"/>
              </w:rPr>
            </w:pPr>
          </w:p>
          <w:p w14:paraId="5172C773" w14:textId="77777777" w:rsidR="0037478A" w:rsidRPr="00CA5A25"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Establecimiento de estándares técnicos</w:t>
            </w:r>
          </w:p>
          <w:p w14:paraId="3B5A584D" w14:textId="77777777" w:rsidR="0037478A" w:rsidRPr="00CA5A25"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5.1.8</w:t>
            </w:r>
          </w:p>
          <w:p w14:paraId="13FA4D6E" w14:textId="77777777" w:rsidR="0037478A" w:rsidRPr="00CA5A25"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Se indican las pruebas a realizar para obtener los valores del SAR que emite el EBP en diferentes puntos y así determinar el valor más alto del pico promedio espacial del SAR y su ubicación.</w:t>
            </w:r>
          </w:p>
          <w:p w14:paraId="04792512" w14:textId="77777777" w:rsidR="0037478A" w:rsidRPr="000B656F" w:rsidRDefault="0037478A" w:rsidP="0037478A">
            <w:pPr>
              <w:spacing w:line="276" w:lineRule="auto"/>
              <w:jc w:val="both"/>
              <w:rPr>
                <w:rFonts w:eastAsia="ITC Avant Garde" w:cs="ITC Avant Garde"/>
              </w:rPr>
            </w:pPr>
          </w:p>
          <w:p w14:paraId="368FC82E" w14:textId="77777777" w:rsidR="0037478A" w:rsidRPr="002661D4"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Establecimiento de estándares técnicos</w:t>
            </w:r>
          </w:p>
          <w:p w14:paraId="44FF5FBB" w14:textId="77777777" w:rsidR="0037478A" w:rsidRPr="002661D4"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5.1.9</w:t>
            </w:r>
          </w:p>
          <w:p w14:paraId="14086CAB" w14:textId="77777777" w:rsidR="0037478A"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Se indica el procedimiento para realizar las pruebas mediante las que se obtendrán los valores del SAR que generan los campos electromagnéticos que emanan del EBP. Lo anterior con el objetivo de determinar el valor más alto del pico promedio espacial del SAR y su ubicación.</w:t>
            </w:r>
          </w:p>
          <w:p w14:paraId="223D8688" w14:textId="77777777" w:rsidR="0037478A" w:rsidRDefault="0037478A" w:rsidP="0037478A">
            <w:pPr>
              <w:spacing w:line="276" w:lineRule="auto"/>
              <w:jc w:val="both"/>
              <w:rPr>
                <w:rFonts w:eastAsia="ITC Avant Garde" w:cs="ITC Avant Garde"/>
              </w:rPr>
            </w:pPr>
          </w:p>
          <w:p w14:paraId="2D5EE1E7" w14:textId="5733013C" w:rsidR="0037478A" w:rsidRPr="00193B9E"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0472BB">
              <w:rPr>
                <w:rFonts w:eastAsia="ITC Avant Garde" w:cs="ITC Avant Garde"/>
              </w:rPr>
              <w:t>Establecimiento de estándares técnicos</w:t>
            </w:r>
          </w:p>
          <w:p w14:paraId="2C0D343C" w14:textId="77777777" w:rsidR="0037478A" w:rsidRPr="00193B9E"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5.1.10</w:t>
            </w:r>
          </w:p>
          <w:p w14:paraId="1199A90F" w14:textId="278E6DE6" w:rsidR="0037478A" w:rsidRPr="00193B9E"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CB2402">
              <w:rPr>
                <w:rFonts w:eastAsia="ITC Avant Garde" w:cs="ITC Avant Garde"/>
              </w:rPr>
              <w:t>Se establecen procedimientos p</w:t>
            </w:r>
            <w:r>
              <w:rPr>
                <w:rFonts w:eastAsia="ITC Avant Garde" w:cs="ITC Avant Garde"/>
              </w:rPr>
              <w:t xml:space="preserve">ara obtener los niveles del SAR, mediante aproximaciones matemáticas, en puntos espaciales que están fuera de la rejilla de puntos de </w:t>
            </w:r>
            <w:r w:rsidR="00C06EFB">
              <w:rPr>
                <w:rFonts w:eastAsia="ITC Avant Garde" w:cs="ITC Avant Garde"/>
              </w:rPr>
              <w:t>medición</w:t>
            </w:r>
            <w:r>
              <w:rPr>
                <w:rFonts w:eastAsia="ITC Avant Garde" w:cs="ITC Avant Garde"/>
              </w:rPr>
              <w:t>. Lo anterior principalmente para determinar los valores del SAR en la zona entre la rejilla de medición y la superficie interna del Modelo de Cabeza Humana (</w:t>
            </w:r>
            <w:r w:rsidR="00A52605">
              <w:rPr>
                <w:rFonts w:eastAsia="ITC Avant Garde" w:cs="ITC Avant Garde"/>
              </w:rPr>
              <w:t>MAC</w:t>
            </w:r>
            <w:r>
              <w:rPr>
                <w:rFonts w:eastAsia="ITC Avant Garde" w:cs="ITC Avant Garde"/>
              </w:rPr>
              <w:t>).</w:t>
            </w:r>
          </w:p>
          <w:p w14:paraId="4EF74DF5" w14:textId="77777777" w:rsidR="0037478A" w:rsidRPr="002661D4" w:rsidRDefault="0037478A" w:rsidP="0037478A">
            <w:pPr>
              <w:spacing w:line="276" w:lineRule="auto"/>
              <w:jc w:val="both"/>
              <w:rPr>
                <w:rFonts w:eastAsia="ITC Avant Garde" w:cs="ITC Avant Garde"/>
              </w:rPr>
            </w:pPr>
          </w:p>
          <w:p w14:paraId="0076A1F9" w14:textId="77777777" w:rsidR="0037478A" w:rsidRPr="00524997"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Obligación</w:t>
            </w:r>
          </w:p>
          <w:p w14:paraId="62308B7F" w14:textId="77777777" w:rsidR="0037478A" w:rsidRPr="00524997"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5.1.11</w:t>
            </w:r>
          </w:p>
          <w:p w14:paraId="7B647042" w14:textId="77777777" w:rsidR="0037478A" w:rsidRPr="00317DFA"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Para no interpretar la falta de algunas pruebas como omisión por parte del Laboratorio de Prueba (LP), se establece la obligación de que este debe asentar en el Reporte de Prueba (RP) el o los métodos de reducción de pruebas aplicados.</w:t>
            </w:r>
          </w:p>
          <w:p w14:paraId="57339993" w14:textId="77777777" w:rsidR="0037478A" w:rsidRDefault="0037478A" w:rsidP="0037478A">
            <w:pPr>
              <w:spacing w:line="276" w:lineRule="auto"/>
              <w:jc w:val="both"/>
              <w:rPr>
                <w:rFonts w:eastAsia="ITC Avant Garde" w:cs="ITC Avant Garde"/>
              </w:rPr>
            </w:pPr>
          </w:p>
          <w:p w14:paraId="71977125" w14:textId="77777777" w:rsidR="0037478A" w:rsidRPr="00E43A83"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Obligación</w:t>
            </w:r>
          </w:p>
          <w:p w14:paraId="59DC82FD" w14:textId="77777777" w:rsidR="0037478A" w:rsidRPr="00E43A83"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5.1.12</w:t>
            </w:r>
          </w:p>
          <w:p w14:paraId="7B9A0923" w14:textId="611F5807" w:rsidR="0037478A"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En este numeral se</w:t>
            </w:r>
            <w:r w:rsidR="00CB2402">
              <w:rPr>
                <w:rFonts w:eastAsia="ITC Avant Garde" w:cs="ITC Avant Garde"/>
              </w:rPr>
              <w:t xml:space="preserve"> establece la obligación de estimar la incertidumbre de las mediciones realizadas. La estimación deberá realizarse </w:t>
            </w:r>
            <w:r w:rsidR="00CB2402">
              <w:rPr>
                <w:rFonts w:eastAsia="ITC Avant Garde" w:cs="ITC Avant Garde"/>
              </w:rPr>
              <w:lastRenderedPageBreak/>
              <w:t>conforme a lo indicado</w:t>
            </w:r>
            <w:r>
              <w:rPr>
                <w:rFonts w:eastAsia="ITC Avant Garde" w:cs="ITC Avant Garde"/>
              </w:rPr>
              <w:t xml:space="preserve"> los procedimientos de estimación de la incertidumbre </w:t>
            </w:r>
            <w:r w:rsidR="00CB2402">
              <w:rPr>
                <w:rFonts w:eastAsia="ITC Avant Garde" w:cs="ITC Avant Garde"/>
              </w:rPr>
              <w:t>establecidos</w:t>
            </w:r>
            <w:r>
              <w:rPr>
                <w:rFonts w:eastAsia="ITC Avant Garde" w:cs="ITC Avant Garde"/>
              </w:rPr>
              <w:t>. Lo anterior con el objetivo de conocer el grado de dispersión de los valores del SAR.</w:t>
            </w:r>
          </w:p>
          <w:p w14:paraId="1D1539F1" w14:textId="77777777" w:rsidR="0037478A" w:rsidRDefault="0037478A" w:rsidP="0037478A">
            <w:pPr>
              <w:spacing w:line="276" w:lineRule="auto"/>
              <w:jc w:val="both"/>
              <w:rPr>
                <w:rFonts w:eastAsia="ITC Avant Garde" w:cs="ITC Avant Garde"/>
              </w:rPr>
            </w:pPr>
          </w:p>
          <w:p w14:paraId="525C9636" w14:textId="77777777" w:rsidR="0037478A" w:rsidRPr="00813C85"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Obligación</w:t>
            </w:r>
          </w:p>
          <w:p w14:paraId="44FB7048" w14:textId="6CA83598" w:rsidR="0037478A" w:rsidRPr="00813C85"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5.1.1</w:t>
            </w:r>
            <w:r w:rsidR="0055717C">
              <w:rPr>
                <w:rFonts w:eastAsia="ITC Avant Garde" w:cs="ITC Avant Garde"/>
              </w:rPr>
              <w:t>3</w:t>
            </w:r>
          </w:p>
          <w:p w14:paraId="7D0F4BC0" w14:textId="77777777" w:rsidR="0037478A"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Se establecen los elementos mínimos que debe contener el RP. Esto con el objetivo de que el Organismo de Certificación, encargado del proceso de Certificación, cuente con toda la información necesaria para determinar el cumplimiento </w:t>
            </w:r>
            <w:r w:rsidR="009744BC">
              <w:rPr>
                <w:rFonts w:eastAsia="ITC Avant Garde" w:cs="ITC Avant Garde"/>
              </w:rPr>
              <w:t xml:space="preserve">con el Anteproyecto </w:t>
            </w:r>
            <w:r>
              <w:rPr>
                <w:rFonts w:eastAsia="ITC Avant Garde" w:cs="ITC Avant Garde"/>
              </w:rPr>
              <w:t>del DCI evaluado.</w:t>
            </w:r>
          </w:p>
          <w:p w14:paraId="4ED9FD89" w14:textId="77777777" w:rsidR="0037478A" w:rsidRPr="00813C85" w:rsidRDefault="0037478A" w:rsidP="0037478A">
            <w:pPr>
              <w:spacing w:line="276" w:lineRule="auto"/>
              <w:jc w:val="both"/>
              <w:rPr>
                <w:rFonts w:eastAsia="ITC Avant Garde" w:cs="ITC Avant Garde"/>
              </w:rPr>
            </w:pPr>
          </w:p>
          <w:p w14:paraId="1BE0431E" w14:textId="77777777" w:rsidR="0037478A" w:rsidRPr="0018148F"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Establecimiento de estándares técnicos</w:t>
            </w:r>
          </w:p>
          <w:p w14:paraId="057BA148" w14:textId="77777777" w:rsidR="0037478A" w:rsidRPr="0018148F"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5.2.1</w:t>
            </w:r>
          </w:p>
          <w:p w14:paraId="72E6F04A" w14:textId="77777777" w:rsidR="0037478A" w:rsidRPr="0018148F"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Para minimizar la incertidumbre de los valores del SAR obtenidos a través de las mediciones realizadas se establecen las especificaciones que debe cumplir el sistema de medición.</w:t>
            </w:r>
          </w:p>
          <w:p w14:paraId="209D3C5F" w14:textId="77777777" w:rsidR="0037478A" w:rsidRDefault="0037478A" w:rsidP="0037478A">
            <w:pPr>
              <w:spacing w:line="276" w:lineRule="auto"/>
              <w:jc w:val="both"/>
              <w:rPr>
                <w:rFonts w:eastAsia="ITC Avant Garde" w:cs="ITC Avant Garde"/>
              </w:rPr>
            </w:pPr>
          </w:p>
          <w:p w14:paraId="4B21DB28" w14:textId="77777777" w:rsidR="0037478A" w:rsidRPr="00817E88"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Establecimiento de estándares técnicos</w:t>
            </w:r>
          </w:p>
          <w:p w14:paraId="6CE174C8" w14:textId="77777777" w:rsidR="0037478A" w:rsidRPr="00817E88"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5.2.2</w:t>
            </w:r>
          </w:p>
          <w:p w14:paraId="204A0209" w14:textId="77777777" w:rsidR="0037478A" w:rsidRPr="00817E88"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Las especificaciones del Modelo de Silueta Humana (MSH) se establecen con el objetivo de minimizar la incertidumbre de los valores del SAR obtenidos mediante las mediciones realizadas.</w:t>
            </w:r>
          </w:p>
          <w:p w14:paraId="523CE3F7" w14:textId="77777777" w:rsidR="0037478A" w:rsidRDefault="0037478A" w:rsidP="0037478A">
            <w:pPr>
              <w:spacing w:line="276" w:lineRule="auto"/>
              <w:jc w:val="both"/>
              <w:rPr>
                <w:rFonts w:eastAsia="ITC Avant Garde" w:cs="ITC Avant Garde"/>
              </w:rPr>
            </w:pPr>
          </w:p>
          <w:p w14:paraId="05026CA0" w14:textId="77777777" w:rsidR="0037478A" w:rsidRPr="001E54EC"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Establecimiento de estándares técnicos</w:t>
            </w:r>
          </w:p>
          <w:p w14:paraId="490DED32" w14:textId="77777777" w:rsidR="0037478A" w:rsidRPr="001E54EC"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Numerales 5.2.3</w:t>
            </w:r>
          </w:p>
          <w:p w14:paraId="36518469" w14:textId="6229BF1E" w:rsidR="0037478A" w:rsidRPr="001E54EC"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Se establece</w:t>
            </w:r>
            <w:r w:rsidR="00CB2402">
              <w:rPr>
                <w:rFonts w:eastAsia="ITC Avant Garde" w:cs="ITC Avant Garde"/>
              </w:rPr>
              <w:t>n</w:t>
            </w:r>
            <w:r>
              <w:rPr>
                <w:rFonts w:eastAsia="ITC Avant Garde" w:cs="ITC Avant Garde"/>
              </w:rPr>
              <w:t xml:space="preserve"> las propiedades materiales del LET para minimizar la incertidumbre de los valores del SAR obtenidos mediante las mediciones realizadas, y para permitir el libre movimiento de las sondas que realizarán la medición.</w:t>
            </w:r>
          </w:p>
          <w:p w14:paraId="70518389" w14:textId="77777777" w:rsidR="0037478A" w:rsidRDefault="0037478A" w:rsidP="0037478A">
            <w:pPr>
              <w:spacing w:line="276" w:lineRule="auto"/>
              <w:jc w:val="both"/>
              <w:rPr>
                <w:rFonts w:eastAsia="ITC Avant Garde" w:cs="ITC Avant Garde"/>
              </w:rPr>
            </w:pPr>
          </w:p>
          <w:p w14:paraId="02302558" w14:textId="77777777" w:rsidR="0037478A" w:rsidRPr="001E54EC"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Establecimiento de estándares técnicos</w:t>
            </w:r>
          </w:p>
          <w:p w14:paraId="0C155D24" w14:textId="77777777" w:rsidR="0037478A" w:rsidRPr="001E54EC"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5.2.4</w:t>
            </w:r>
          </w:p>
          <w:p w14:paraId="2AA2DC17" w14:textId="77777777" w:rsidR="0037478A" w:rsidRPr="001E54EC"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Las especificaciones de los instrumentos de medición se establecen con el objetivo de minimizar la incertidumbre de los valores del SAR obtenidos mediante las mediciones. Al mismo tiempo para asegurar que los instrumentos de medición funcionan con la exactitud y la precisión necesarias y dentro de sus parámetros de operación.</w:t>
            </w:r>
          </w:p>
          <w:p w14:paraId="44E216B1" w14:textId="77777777" w:rsidR="0037478A" w:rsidRDefault="0037478A" w:rsidP="0037478A">
            <w:pPr>
              <w:spacing w:line="276" w:lineRule="auto"/>
              <w:jc w:val="both"/>
              <w:rPr>
                <w:rFonts w:eastAsia="ITC Avant Garde" w:cs="ITC Avant Garde"/>
              </w:rPr>
            </w:pPr>
          </w:p>
          <w:p w14:paraId="308D65AC" w14:textId="77777777" w:rsidR="0037478A" w:rsidRPr="009E708A" w:rsidRDefault="0037478A" w:rsidP="0037478A">
            <w:pPr>
              <w:spacing w:line="276" w:lineRule="auto"/>
              <w:jc w:val="both"/>
              <w:rPr>
                <w:rFonts w:eastAsia="ITC Avant Garde" w:cs="ITC Avant Garde"/>
              </w:rPr>
            </w:pPr>
            <w:r>
              <w:rPr>
                <w:rFonts w:eastAsia="ITC Avant Garde" w:cs="ITC Avant Garde"/>
                <w:b/>
              </w:rPr>
              <w:lastRenderedPageBreak/>
              <w:t>Tipo:</w:t>
            </w:r>
            <w:r>
              <w:rPr>
                <w:rFonts w:eastAsia="ITC Avant Garde" w:cs="ITC Avant Garde"/>
              </w:rPr>
              <w:t xml:space="preserve"> Obligación</w:t>
            </w:r>
          </w:p>
          <w:p w14:paraId="3B823FB7" w14:textId="77777777" w:rsidR="0037478A" w:rsidRPr="009E708A"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5.2.5</w:t>
            </w:r>
          </w:p>
          <w:p w14:paraId="0ED32D38" w14:textId="77777777" w:rsidR="0037478A" w:rsidRPr="009E708A"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Se debe ejecutar el protocolo para las mediciones del SAR en el cuerpo con el objetivo de minimizar la incertidumbre de los valores de SAR que se obtendrán a través de mediciones, y para verificar que el sistema de medición funciona adecuadamente.</w:t>
            </w:r>
          </w:p>
          <w:p w14:paraId="567A79BC" w14:textId="77777777" w:rsidR="0037478A" w:rsidRDefault="0037478A" w:rsidP="0037478A">
            <w:pPr>
              <w:spacing w:line="276" w:lineRule="auto"/>
              <w:jc w:val="both"/>
              <w:rPr>
                <w:rFonts w:eastAsia="ITC Avant Garde" w:cs="ITC Avant Garde"/>
              </w:rPr>
            </w:pPr>
          </w:p>
          <w:p w14:paraId="339D0A92" w14:textId="77777777" w:rsidR="0037478A" w:rsidRPr="00CB0492"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Obligación</w:t>
            </w:r>
          </w:p>
          <w:p w14:paraId="2AAB64BF" w14:textId="77777777" w:rsidR="0037478A" w:rsidRPr="00CB0492" w:rsidRDefault="0037478A" w:rsidP="0037478A">
            <w:pPr>
              <w:spacing w:line="276" w:lineRule="auto"/>
              <w:jc w:val="both"/>
              <w:rPr>
                <w:rFonts w:eastAsia="ITC Avant Garde" w:cs="ITC Avant Garde"/>
              </w:rPr>
            </w:pPr>
            <w:r>
              <w:rPr>
                <w:rFonts w:eastAsia="ITC Avant Garde" w:cs="ITC Avant Garde"/>
                <w:b/>
              </w:rPr>
              <w:t xml:space="preserve">Artículos aplicables: </w:t>
            </w:r>
            <w:r>
              <w:rPr>
                <w:rFonts w:eastAsia="ITC Avant Garde" w:cs="ITC Avant Garde"/>
              </w:rPr>
              <w:t>Numeral 5.2.6</w:t>
            </w:r>
          </w:p>
          <w:p w14:paraId="0C44C7D6" w14:textId="77777777" w:rsidR="0037478A" w:rsidRPr="00CB0492"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Se debe preparar el DCI que va a ser evaluado para evitar inducir errores en los valores del SAR, que se obtendrán a través de las mediciones, debido a las características particulares (modos de operación, bandas de operación, configuraciones de antenas, entre otros) del DCI.</w:t>
            </w:r>
          </w:p>
          <w:p w14:paraId="45B3050E" w14:textId="77777777" w:rsidR="0037478A" w:rsidRDefault="0037478A" w:rsidP="0037478A">
            <w:pPr>
              <w:spacing w:line="276" w:lineRule="auto"/>
              <w:jc w:val="both"/>
              <w:rPr>
                <w:rFonts w:eastAsia="ITC Avant Garde" w:cs="ITC Avant Garde"/>
                <w:b/>
              </w:rPr>
            </w:pPr>
          </w:p>
          <w:p w14:paraId="7FD5B948" w14:textId="77777777" w:rsidR="0037478A" w:rsidRPr="009E708A"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Obligación</w:t>
            </w:r>
          </w:p>
          <w:p w14:paraId="4531FF22" w14:textId="77777777" w:rsidR="0037478A" w:rsidRPr="009E708A"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5.2.7</w:t>
            </w:r>
          </w:p>
          <w:p w14:paraId="2A159E7C" w14:textId="77777777" w:rsidR="0037478A" w:rsidRPr="009E708A" w:rsidRDefault="0037478A" w:rsidP="0037478A">
            <w:pPr>
              <w:spacing w:line="276" w:lineRule="auto"/>
              <w:jc w:val="both"/>
            </w:pPr>
            <w:r>
              <w:rPr>
                <w:rFonts w:eastAsia="ITC Avant Garde" w:cs="ITC Avant Garde"/>
                <w:b/>
              </w:rPr>
              <w:t>Justificación:</w:t>
            </w:r>
            <w:r>
              <w:rPr>
                <w:rFonts w:eastAsia="ITC Avant Garde" w:cs="ITC Avant Garde"/>
              </w:rPr>
              <w:t xml:space="preserve"> Los DCI que van a ser evaluados deben clasificarse y probarse de acuerdo a su clasificación. Lo anterior para que las pruebas que se le realizarán al DCI reproduzcan más fielmente las formas más comunes de uso del DCI y de exposición a los campos electromagnéticos que emanarán de este. </w:t>
            </w:r>
          </w:p>
          <w:p w14:paraId="1A6DBA70" w14:textId="77777777" w:rsidR="0037478A" w:rsidRDefault="0037478A" w:rsidP="0037478A">
            <w:pPr>
              <w:spacing w:line="276" w:lineRule="auto"/>
              <w:jc w:val="both"/>
              <w:rPr>
                <w:rFonts w:eastAsia="ITC Avant Garde" w:cs="ITC Avant Garde"/>
              </w:rPr>
            </w:pPr>
          </w:p>
          <w:p w14:paraId="7E9627C9" w14:textId="77777777" w:rsidR="0037478A" w:rsidRPr="00C504E1"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Obligación</w:t>
            </w:r>
          </w:p>
          <w:p w14:paraId="618146B3" w14:textId="77777777" w:rsidR="0037478A" w:rsidRPr="00C504E1"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5.2.8.1</w:t>
            </w:r>
          </w:p>
          <w:p w14:paraId="37822475" w14:textId="77777777" w:rsidR="0037478A"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Los requerimientos generales establecidos tienen el objetivo de determinar todas las pruebas que se deberán realizar al DCI que será evaluado.</w:t>
            </w:r>
          </w:p>
          <w:p w14:paraId="16BD77C5" w14:textId="77777777" w:rsidR="0037478A" w:rsidRDefault="0037478A" w:rsidP="0037478A">
            <w:pPr>
              <w:spacing w:line="276" w:lineRule="auto"/>
              <w:jc w:val="both"/>
              <w:rPr>
                <w:rFonts w:eastAsia="ITC Avant Garde" w:cs="ITC Avant Garde"/>
              </w:rPr>
            </w:pPr>
          </w:p>
          <w:p w14:paraId="7DA87D2E" w14:textId="77777777" w:rsidR="0037478A" w:rsidRPr="00C504E1"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Obligación</w:t>
            </w:r>
          </w:p>
          <w:p w14:paraId="43D74BE4" w14:textId="77777777" w:rsidR="0037478A" w:rsidRPr="00C504E1"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5.2.8.2</w:t>
            </w:r>
          </w:p>
          <w:p w14:paraId="35873F2C" w14:textId="77777777" w:rsidR="0037478A" w:rsidRPr="00C504E1"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Para no interpretar la falta de algunas pruebas como omisión del LP se debe reportar la reducción de pruebas aplicada en el RP.</w:t>
            </w:r>
          </w:p>
          <w:p w14:paraId="208F508E" w14:textId="77777777" w:rsidR="0037478A" w:rsidRPr="00C504E1" w:rsidRDefault="0037478A" w:rsidP="0037478A">
            <w:pPr>
              <w:spacing w:line="276" w:lineRule="auto"/>
              <w:jc w:val="both"/>
              <w:rPr>
                <w:rFonts w:eastAsia="ITC Avant Garde" w:cs="ITC Avant Garde"/>
              </w:rPr>
            </w:pPr>
          </w:p>
          <w:p w14:paraId="35121BB2" w14:textId="77777777" w:rsidR="0037478A" w:rsidRPr="00AC32EE"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Obligación</w:t>
            </w:r>
          </w:p>
          <w:p w14:paraId="12BD59C7" w14:textId="77777777" w:rsidR="0037478A" w:rsidRPr="00AC32EE"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5.2.8.3</w:t>
            </w:r>
          </w:p>
          <w:p w14:paraId="0529E02B" w14:textId="29BC5C6E" w:rsidR="0037478A" w:rsidRPr="009D58CF"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El procedimiento general de pruebas indica que las condiciones de pruebas aplicables al DCI deberán realizarse para cada banda de frecuencias en la que operará el DCI en los Estados Unidos Mexicanos. El objetivo de esta acotación es disminuir el tiempo necesario para la </w:t>
            </w:r>
            <w:r w:rsidR="00573A21">
              <w:rPr>
                <w:rFonts w:eastAsia="ITC Avant Garde" w:cs="ITC Avant Garde"/>
              </w:rPr>
              <w:t>e</w:t>
            </w:r>
            <w:r>
              <w:rPr>
                <w:rFonts w:eastAsia="ITC Avant Garde" w:cs="ITC Avant Garde"/>
              </w:rPr>
              <w:t xml:space="preserve">valuación de la </w:t>
            </w:r>
            <w:r w:rsidR="00573A21">
              <w:rPr>
                <w:rFonts w:eastAsia="ITC Avant Garde" w:cs="ITC Avant Garde"/>
              </w:rPr>
              <w:t>c</w:t>
            </w:r>
            <w:r>
              <w:rPr>
                <w:rFonts w:eastAsia="ITC Avant Garde" w:cs="ITC Avant Garde"/>
              </w:rPr>
              <w:t>onformidad del DCI.</w:t>
            </w:r>
          </w:p>
          <w:p w14:paraId="32897FEE" w14:textId="77777777" w:rsidR="0037478A" w:rsidRDefault="0037478A" w:rsidP="0037478A">
            <w:pPr>
              <w:spacing w:line="276" w:lineRule="auto"/>
              <w:jc w:val="both"/>
              <w:rPr>
                <w:rFonts w:eastAsia="ITC Avant Garde" w:cs="ITC Avant Garde"/>
              </w:rPr>
            </w:pPr>
          </w:p>
          <w:p w14:paraId="5FFD8AAD" w14:textId="77777777" w:rsidR="0037478A" w:rsidRPr="009D58CF"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Obligación</w:t>
            </w:r>
          </w:p>
          <w:p w14:paraId="1CBDF80D" w14:textId="402D22C0" w:rsidR="0037478A" w:rsidRPr="009D58CF"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5.2.</w:t>
            </w:r>
            <w:r w:rsidR="0055717C">
              <w:rPr>
                <w:rFonts w:eastAsia="ITC Avant Garde" w:cs="ITC Avant Garde"/>
              </w:rPr>
              <w:t>9</w:t>
            </w:r>
          </w:p>
          <w:p w14:paraId="3EE1BF19" w14:textId="77777777" w:rsidR="0037478A" w:rsidRPr="009D58CF"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Se establece un procedimiento único de medición de los valores del SAR para garantizar la exactitud y la repetibilidad de las mediciones realizadas.</w:t>
            </w:r>
          </w:p>
          <w:p w14:paraId="756CFAA5" w14:textId="77777777" w:rsidR="0037478A" w:rsidRDefault="0037478A" w:rsidP="0037478A">
            <w:pPr>
              <w:spacing w:line="276" w:lineRule="auto"/>
              <w:jc w:val="both"/>
              <w:rPr>
                <w:rFonts w:eastAsia="ITC Avant Garde" w:cs="ITC Avant Garde"/>
              </w:rPr>
            </w:pPr>
          </w:p>
          <w:p w14:paraId="70D8809A" w14:textId="77777777" w:rsidR="0037478A" w:rsidRPr="0031197A"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Obligación</w:t>
            </w:r>
          </w:p>
          <w:p w14:paraId="3CCA8D1B" w14:textId="016F863A" w:rsidR="0037478A" w:rsidRPr="0031197A"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5.2.</w:t>
            </w:r>
            <w:r w:rsidR="0055717C">
              <w:rPr>
                <w:rFonts w:eastAsia="ITC Avant Garde" w:cs="ITC Avant Garde"/>
              </w:rPr>
              <w:t>9.2</w:t>
            </w:r>
          </w:p>
          <w:p w14:paraId="419413B5" w14:textId="77777777" w:rsidR="0037478A" w:rsidRPr="0031197A"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Se establecen consideraciones especiales para los DCI con transmisiones simultáneas en múltiples bandas debido a que, generalmente, las bandas de frecuencia de los transmisores simultáneos no están dentro del intervalo de frecuencias en que se realizó la calibración de la sonda o del LET.</w:t>
            </w:r>
          </w:p>
          <w:p w14:paraId="68C4EADB" w14:textId="77777777" w:rsidR="0037478A" w:rsidRDefault="0037478A" w:rsidP="0037478A">
            <w:pPr>
              <w:spacing w:line="276" w:lineRule="auto"/>
              <w:jc w:val="both"/>
              <w:rPr>
                <w:rFonts w:eastAsia="ITC Avant Garde" w:cs="ITC Avant Garde"/>
              </w:rPr>
            </w:pPr>
          </w:p>
          <w:p w14:paraId="6572C72C" w14:textId="77777777" w:rsidR="0037478A" w:rsidRPr="005476CB"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Obligación</w:t>
            </w:r>
          </w:p>
          <w:p w14:paraId="7F4FC73C" w14:textId="45D4D04D" w:rsidR="0037478A" w:rsidRPr="005476CB"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5.2.</w:t>
            </w:r>
            <w:r w:rsidR="0055717C">
              <w:rPr>
                <w:rFonts w:eastAsia="ITC Avant Garde" w:cs="ITC Avant Garde"/>
              </w:rPr>
              <w:t>10</w:t>
            </w:r>
          </w:p>
          <w:p w14:paraId="329B4A59" w14:textId="35F78D30" w:rsidR="0037478A"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Se debe realizar el posprocesamiento de los valores del SAR principalmente para obtener los valores del SAR en la zona que se encuentra entre la rejilla de puntos de medición y la superficie interior del MSH. Adicionalmente, se puede emplear para aumentar la resolución de la rejilla de puntos de medición.</w:t>
            </w:r>
          </w:p>
          <w:p w14:paraId="5F713C37" w14:textId="04625A09" w:rsidR="00064493" w:rsidRDefault="00064493" w:rsidP="0037478A">
            <w:pPr>
              <w:spacing w:line="276" w:lineRule="auto"/>
              <w:jc w:val="both"/>
              <w:rPr>
                <w:rFonts w:eastAsia="ITC Avant Garde" w:cs="ITC Avant Garde"/>
              </w:rPr>
            </w:pPr>
          </w:p>
          <w:p w14:paraId="4C24B3F5" w14:textId="71AAEA14" w:rsidR="00064493" w:rsidRDefault="00064493" w:rsidP="0037478A">
            <w:pPr>
              <w:spacing w:line="276" w:lineRule="auto"/>
              <w:jc w:val="both"/>
              <w:rPr>
                <w:rFonts w:eastAsia="ITC Avant Garde" w:cs="ITC Avant Garde"/>
              </w:rPr>
            </w:pPr>
            <w:r w:rsidRPr="00064493">
              <w:rPr>
                <w:rFonts w:eastAsia="ITC Avant Garde" w:cs="ITC Avant Garde"/>
                <w:b/>
              </w:rPr>
              <w:t>Tipo:</w:t>
            </w:r>
            <w:r>
              <w:rPr>
                <w:rFonts w:eastAsia="ITC Avant Garde" w:cs="ITC Avant Garde"/>
              </w:rPr>
              <w:t xml:space="preserve"> Obligación</w:t>
            </w:r>
          </w:p>
          <w:p w14:paraId="6C46927F" w14:textId="19430AB4" w:rsidR="00064493" w:rsidRDefault="00064493" w:rsidP="0037478A">
            <w:pPr>
              <w:spacing w:line="276" w:lineRule="auto"/>
              <w:jc w:val="both"/>
              <w:rPr>
                <w:rFonts w:eastAsia="ITC Avant Garde" w:cs="ITC Avant Garde"/>
              </w:rPr>
            </w:pPr>
            <w:r w:rsidRPr="00064493">
              <w:rPr>
                <w:rFonts w:eastAsia="ITC Avant Garde" w:cs="ITC Avant Garde"/>
                <w:b/>
              </w:rPr>
              <w:t>Artículos aplicables:</w:t>
            </w:r>
            <w:r>
              <w:rPr>
                <w:rFonts w:eastAsia="ITC Avant Garde" w:cs="ITC Avant Garde"/>
              </w:rPr>
              <w:t xml:space="preserve"> Numeral 5.2.11</w:t>
            </w:r>
          </w:p>
          <w:p w14:paraId="5FD71173" w14:textId="6CA06EA5" w:rsidR="00064493" w:rsidRPr="005476CB" w:rsidRDefault="00064493" w:rsidP="0037478A">
            <w:pPr>
              <w:spacing w:line="276" w:lineRule="auto"/>
              <w:jc w:val="both"/>
              <w:rPr>
                <w:rFonts w:eastAsia="ITC Avant Garde" w:cs="ITC Avant Garde"/>
              </w:rPr>
            </w:pPr>
            <w:r w:rsidRPr="00064493">
              <w:rPr>
                <w:rFonts w:eastAsia="ITC Avant Garde" w:cs="ITC Avant Garde"/>
                <w:b/>
              </w:rPr>
              <w:t>Justificación:</w:t>
            </w:r>
            <w:r>
              <w:rPr>
                <w:rFonts w:eastAsia="ITC Avant Garde" w:cs="ITC Avant Garde"/>
              </w:rPr>
              <w:t xml:space="preserve"> </w:t>
            </w:r>
            <w:r w:rsidRPr="00064493">
              <w:rPr>
                <w:rFonts w:eastAsia="ITC Avant Garde" w:cs="ITC Avant Garde"/>
              </w:rPr>
              <w:t xml:space="preserve">En este numeral </w:t>
            </w:r>
            <w:r w:rsidR="00002228">
              <w:rPr>
                <w:rFonts w:eastAsia="ITC Avant Garde" w:cs="ITC Avant Garde"/>
              </w:rPr>
              <w:t xml:space="preserve">se establece la obligación de estimar la incertidumbre, </w:t>
            </w:r>
            <w:r w:rsidR="00002228" w:rsidRPr="00064493">
              <w:rPr>
                <w:rFonts w:eastAsia="ITC Avant Garde" w:cs="ITC Avant Garde"/>
              </w:rPr>
              <w:t>asociada a los valores obtenidos mediante las mediciones del SAR</w:t>
            </w:r>
            <w:r w:rsidR="00002228">
              <w:rPr>
                <w:rFonts w:eastAsia="ITC Avant Garde" w:cs="ITC Avant Garde"/>
              </w:rPr>
              <w:t xml:space="preserve">, conforme a </w:t>
            </w:r>
            <w:r w:rsidRPr="00064493">
              <w:rPr>
                <w:rFonts w:eastAsia="ITC Avant Garde" w:cs="ITC Avant Garde"/>
              </w:rPr>
              <w:t xml:space="preserve">los procedimientos </w:t>
            </w:r>
            <w:r>
              <w:rPr>
                <w:rFonts w:eastAsia="ITC Avant Garde" w:cs="ITC Avant Garde"/>
              </w:rPr>
              <w:t>para la</w:t>
            </w:r>
            <w:r w:rsidRPr="00064493">
              <w:rPr>
                <w:rFonts w:eastAsia="ITC Avant Garde" w:cs="ITC Avant Garde"/>
              </w:rPr>
              <w:t xml:space="preserve"> estimación de la incertidumbre. Lo anterior con el objetivo de conocer </w:t>
            </w:r>
            <w:r>
              <w:rPr>
                <w:rFonts w:eastAsia="ITC Avant Garde" w:cs="ITC Avant Garde"/>
              </w:rPr>
              <w:t>la exactitud</w:t>
            </w:r>
            <w:r w:rsidR="00002228">
              <w:rPr>
                <w:rFonts w:eastAsia="ITC Avant Garde" w:cs="ITC Avant Garde"/>
              </w:rPr>
              <w:t xml:space="preserve"> y la precisión</w:t>
            </w:r>
            <w:r w:rsidRPr="00064493">
              <w:rPr>
                <w:rFonts w:eastAsia="ITC Avant Garde" w:cs="ITC Avant Garde"/>
              </w:rPr>
              <w:t xml:space="preserve"> de los valores del SAR.</w:t>
            </w:r>
          </w:p>
          <w:p w14:paraId="7C8EF5A2" w14:textId="77777777" w:rsidR="0037478A" w:rsidRDefault="0037478A" w:rsidP="0037478A">
            <w:pPr>
              <w:spacing w:line="276" w:lineRule="auto"/>
              <w:jc w:val="both"/>
              <w:rPr>
                <w:rFonts w:eastAsia="ITC Avant Garde" w:cs="ITC Avant Garde"/>
              </w:rPr>
            </w:pPr>
          </w:p>
          <w:p w14:paraId="137238B2" w14:textId="77777777" w:rsidR="0037478A" w:rsidRPr="000168D7"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Obligación</w:t>
            </w:r>
          </w:p>
          <w:p w14:paraId="1FF5CD6C" w14:textId="11663470" w:rsidR="0037478A" w:rsidRPr="000168D7"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5.2.</w:t>
            </w:r>
            <w:r w:rsidR="0055717C">
              <w:rPr>
                <w:rFonts w:eastAsia="ITC Avant Garde" w:cs="ITC Avant Garde"/>
              </w:rPr>
              <w:t>12</w:t>
            </w:r>
          </w:p>
          <w:p w14:paraId="33D66A06" w14:textId="77777777" w:rsidR="0037478A" w:rsidRPr="000168D7"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Se establecen los elementos mínimos que debe contener el RP. Esto con el objetivo de que el Organismo de Certificación, encargado del proceso de Certificación, cuente con toda la información necesaria para determinar el cumplimiento </w:t>
            </w:r>
            <w:r w:rsidR="009744BC">
              <w:rPr>
                <w:rFonts w:eastAsia="ITC Avant Garde" w:cs="ITC Avant Garde"/>
              </w:rPr>
              <w:t xml:space="preserve">con el Anteproyecto </w:t>
            </w:r>
            <w:r>
              <w:rPr>
                <w:rFonts w:eastAsia="ITC Avant Garde" w:cs="ITC Avant Garde"/>
              </w:rPr>
              <w:t>del DCI evaluado.</w:t>
            </w:r>
          </w:p>
          <w:p w14:paraId="43AE2E16" w14:textId="77777777" w:rsidR="0037478A" w:rsidRDefault="0037478A" w:rsidP="0037478A">
            <w:pPr>
              <w:spacing w:line="276" w:lineRule="auto"/>
              <w:jc w:val="both"/>
              <w:rPr>
                <w:rFonts w:eastAsia="ITC Avant Garde" w:cs="ITC Avant Garde"/>
              </w:rPr>
            </w:pPr>
          </w:p>
          <w:p w14:paraId="0C2AEDE4" w14:textId="77777777" w:rsidR="0037478A" w:rsidRPr="00E92D62"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Obligación</w:t>
            </w:r>
          </w:p>
          <w:p w14:paraId="65F50CE2" w14:textId="77777777" w:rsidR="0037478A" w:rsidRPr="00E92D62" w:rsidRDefault="0037478A" w:rsidP="0037478A">
            <w:pPr>
              <w:spacing w:line="276" w:lineRule="auto"/>
              <w:jc w:val="both"/>
              <w:rPr>
                <w:rFonts w:eastAsia="ITC Avant Garde" w:cs="ITC Avant Garde"/>
              </w:rPr>
            </w:pPr>
            <w:r>
              <w:rPr>
                <w:rFonts w:eastAsia="ITC Avant Garde" w:cs="ITC Avant Garde"/>
                <w:b/>
              </w:rPr>
              <w:lastRenderedPageBreak/>
              <w:t>Artículos aplicables:</w:t>
            </w:r>
            <w:r>
              <w:rPr>
                <w:rFonts w:eastAsia="ITC Avant Garde" w:cs="ITC Avant Garde"/>
              </w:rPr>
              <w:t xml:space="preserve"> Numeral 8, fracción I</w:t>
            </w:r>
          </w:p>
          <w:p w14:paraId="73515120" w14:textId="77777777" w:rsidR="007A4DF9" w:rsidRPr="00815F36" w:rsidRDefault="0037478A" w:rsidP="007A4DF9">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7A4DF9">
              <w:rPr>
                <w:rFonts w:eastAsia="ITC Avant Garde" w:cs="ITC Avant Garde"/>
              </w:rPr>
              <w:t xml:space="preserve">En México, de acuerdo al censo de población y vivienda de 2010 realizado por el Instituto Nacional de Estadística y Geografía, menos del 1 % de la población nacional no habla español. Asimismo, el artículo 4 de la </w:t>
            </w:r>
            <w:r w:rsidR="007A4DF9" w:rsidRPr="001325F0">
              <w:rPr>
                <w:rFonts w:eastAsia="ITC Avant Garde" w:cs="ITC Avant Garde"/>
              </w:rPr>
              <w:t>LEY GENERAL DE DERECHOS LINGÜÍSTICOS DE LOS PUEBLOS INDÍGENAS</w:t>
            </w:r>
            <w:r w:rsidR="007A4DF9">
              <w:rPr>
                <w:rFonts w:eastAsia="ITC Avant Garde" w:cs="ITC Avant Garde"/>
              </w:rPr>
              <w:t xml:space="preserve"> establece que “</w:t>
            </w:r>
            <w:r w:rsidR="007A4DF9" w:rsidRPr="00815F36">
              <w:rPr>
                <w:rFonts w:eastAsia="ITC Avant Garde" w:cs="ITC Avant Garde"/>
              </w:rPr>
              <w:t>Las lenguas indígenas que se reconozcan en los términos de la presente Ley y el</w:t>
            </w:r>
          </w:p>
          <w:p w14:paraId="04FC17C4" w14:textId="54D12E44" w:rsidR="0037478A" w:rsidRDefault="007A4DF9" w:rsidP="007A4DF9">
            <w:pPr>
              <w:spacing w:line="276" w:lineRule="auto"/>
              <w:jc w:val="both"/>
              <w:rPr>
                <w:rFonts w:eastAsia="ITC Avant Garde" w:cs="ITC Avant Garde"/>
              </w:rPr>
            </w:pPr>
            <w:r w:rsidRPr="00815F36">
              <w:rPr>
                <w:rFonts w:eastAsia="ITC Avant Garde" w:cs="ITC Avant Garde"/>
              </w:rPr>
              <w:t>español son lenguas nacionales</w:t>
            </w:r>
            <w:r>
              <w:rPr>
                <w:rFonts w:eastAsia="ITC Avant Garde" w:cs="ITC Avant Garde"/>
              </w:rPr>
              <w:t>…”. Por lo anterior, la presente obligación garantiza que más del 99.9 %</w:t>
            </w:r>
            <w:r>
              <w:rPr>
                <w:rStyle w:val="Refdenotaalpie"/>
                <w:rFonts w:eastAsia="ITC Avant Garde" w:cs="ITC Avant Garde"/>
              </w:rPr>
              <w:footnoteReference w:id="25"/>
            </w:r>
            <w:r>
              <w:rPr>
                <w:rFonts w:eastAsia="ITC Avant Garde" w:cs="ITC Avant Garde"/>
                <w:vertAlign w:val="superscript"/>
              </w:rPr>
              <w:t>,</w:t>
            </w:r>
            <w:r>
              <w:rPr>
                <w:rStyle w:val="Refdenotaalpie"/>
                <w:rFonts w:eastAsia="ITC Avant Garde" w:cs="ITC Avant Garde"/>
              </w:rPr>
              <w:footnoteReference w:id="26"/>
            </w:r>
            <w:r>
              <w:rPr>
                <w:rFonts w:eastAsia="ITC Avant Garde" w:cs="ITC Avant Garde"/>
              </w:rPr>
              <w:t xml:space="preserve"> de la población podrá leer la documentación, formatos, manuales de usuario y requisitos necesarios para llevar a cabo los procedimientos de Evaluación de la Conformidad. La excepción de que la documentación técnica podrá presentarse en idioma español o inglés nace de la dificultad de traducir algunos términos técnicos del inglés al español.</w:t>
            </w:r>
          </w:p>
          <w:p w14:paraId="56286FA0" w14:textId="77777777" w:rsidR="0037478A" w:rsidRDefault="0037478A" w:rsidP="0037478A">
            <w:pPr>
              <w:spacing w:line="276" w:lineRule="auto"/>
              <w:jc w:val="both"/>
              <w:rPr>
                <w:rFonts w:eastAsia="ITC Avant Garde" w:cs="ITC Avant Garde"/>
              </w:rPr>
            </w:pPr>
          </w:p>
          <w:p w14:paraId="684F3A85" w14:textId="4747AB69" w:rsidR="00D3082B" w:rsidRPr="00D3082B" w:rsidRDefault="00D3082B"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B37214">
              <w:rPr>
                <w:rFonts w:eastAsia="ITC Avant Garde" w:cs="ITC Avant Garde"/>
              </w:rPr>
              <w:t>Restricción</w:t>
            </w:r>
          </w:p>
          <w:p w14:paraId="4284E1A6" w14:textId="73771EAB" w:rsidR="00D3082B" w:rsidRPr="00D3082B" w:rsidRDefault="00D3082B"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8, fracción II</w:t>
            </w:r>
          </w:p>
          <w:p w14:paraId="7ED17544" w14:textId="53B11640" w:rsidR="00D3082B" w:rsidRDefault="00D3082B"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7A4DF9">
              <w:rPr>
                <w:rFonts w:eastAsia="ITC Avant Garde" w:cs="ITC Avant Garde"/>
              </w:rPr>
              <w:t>Para garantizar que los DCI, que se conectan a una red de telecomunicaciones y/o hacen uso del espectro radioeléctrico, cumplen con los límites básicos de exposición máxima, específicamente con los valores del SAR localizado en la cabeza y el cuerpo.</w:t>
            </w:r>
          </w:p>
          <w:p w14:paraId="448CBB59" w14:textId="77777777" w:rsidR="002E3AEC" w:rsidRDefault="002E3AEC" w:rsidP="0037478A">
            <w:pPr>
              <w:spacing w:line="276" w:lineRule="auto"/>
              <w:jc w:val="both"/>
              <w:rPr>
                <w:rFonts w:eastAsia="ITC Avant Garde" w:cs="ITC Avant Garde"/>
              </w:rPr>
            </w:pPr>
          </w:p>
          <w:p w14:paraId="65FC12BB" w14:textId="77777777" w:rsidR="002E3AEC" w:rsidRPr="002E3AEC" w:rsidRDefault="002E3AEC"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Obligación</w:t>
            </w:r>
          </w:p>
          <w:p w14:paraId="12678221" w14:textId="468D9CD0" w:rsidR="002E3AEC" w:rsidRPr="002E3AEC" w:rsidRDefault="002E3AEC"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8, fracción </w:t>
            </w:r>
            <w:r w:rsidR="007A4DF9">
              <w:rPr>
                <w:rFonts w:eastAsia="ITC Avant Garde" w:cs="ITC Avant Garde"/>
              </w:rPr>
              <w:t>III</w:t>
            </w:r>
          </w:p>
          <w:p w14:paraId="27F7D893" w14:textId="79908D05" w:rsidR="002E3AEC" w:rsidRPr="00E1422D" w:rsidRDefault="002E3AEC" w:rsidP="007A4DF9">
            <w:pPr>
              <w:spacing w:line="276" w:lineRule="auto"/>
              <w:jc w:val="both"/>
              <w:rPr>
                <w:rFonts w:eastAsia="ITC Avant Garde" w:cs="ITC Avant Garde"/>
              </w:rPr>
            </w:pPr>
            <w:r>
              <w:rPr>
                <w:rFonts w:eastAsia="ITC Avant Garde" w:cs="ITC Avant Garde"/>
                <w:b/>
              </w:rPr>
              <w:t>Justificación:</w:t>
            </w:r>
            <w:r w:rsidR="00E1422D">
              <w:rPr>
                <w:rFonts w:eastAsia="ITC Avant Garde" w:cs="ITC Avant Garde"/>
              </w:rPr>
              <w:t xml:space="preserve"> </w:t>
            </w:r>
            <w:r w:rsidR="007A4DF9" w:rsidRPr="00D3082B">
              <w:rPr>
                <w:rFonts w:eastAsia="ITC Avant Garde" w:cs="ITC Avant Garde"/>
              </w:rPr>
              <w:t>Se establece la presente restricción en virtud de que las mediciones realizadas de acuerdo a los numerales 5.1 y 5.2 tienen el objetivo de medir la misma magnitud física. Por lo tanto, someter un DCI que cumpla con las dos condiciones establecidas en el Anteproyecto a las pruebas de los numerales 5.1 y 5.2 sería básicamente repetir las mediciones y, por ende, una carga regulatoria excesiva.</w:t>
            </w:r>
          </w:p>
          <w:p w14:paraId="7C7D888F" w14:textId="77777777" w:rsidR="002B4958" w:rsidRDefault="002B4958" w:rsidP="0037478A">
            <w:pPr>
              <w:spacing w:line="276" w:lineRule="auto"/>
              <w:jc w:val="both"/>
              <w:rPr>
                <w:rFonts w:eastAsia="ITC Avant Garde" w:cs="ITC Avant Garde"/>
              </w:rPr>
            </w:pPr>
          </w:p>
          <w:p w14:paraId="788F3A64" w14:textId="77777777" w:rsidR="002B4958" w:rsidRPr="002E3AEC" w:rsidRDefault="002B4958" w:rsidP="002B4958">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Obligación</w:t>
            </w:r>
          </w:p>
          <w:p w14:paraId="29BFF881" w14:textId="544B23F8" w:rsidR="002B4958" w:rsidRPr="002E3AEC" w:rsidRDefault="002B4958" w:rsidP="002B4958">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8, fracción IV</w:t>
            </w:r>
          </w:p>
          <w:p w14:paraId="3DB66E23" w14:textId="0EFC6864" w:rsidR="002B4958" w:rsidRDefault="002B4958" w:rsidP="002B4958">
            <w:pPr>
              <w:spacing w:line="276" w:lineRule="auto"/>
              <w:jc w:val="both"/>
              <w:rPr>
                <w:rFonts w:eastAsia="ITC Avant Garde" w:cs="ITC Avant Garde"/>
              </w:rPr>
            </w:pPr>
            <w:r>
              <w:rPr>
                <w:rFonts w:eastAsia="ITC Avant Garde" w:cs="ITC Avant Garde"/>
                <w:b/>
              </w:rPr>
              <w:lastRenderedPageBreak/>
              <w:t>Justificación:</w:t>
            </w:r>
            <w:r>
              <w:rPr>
                <w:rFonts w:eastAsia="ITC Avant Garde" w:cs="ITC Avant Garde"/>
              </w:rPr>
              <w:t xml:space="preserve"> </w:t>
            </w:r>
            <w:r w:rsidRPr="00D3082B">
              <w:rPr>
                <w:rFonts w:eastAsia="ITC Avant Garde" w:cs="ITC Avant Garde"/>
              </w:rPr>
              <w:t xml:space="preserve">Se establece la presente </w:t>
            </w:r>
            <w:r>
              <w:rPr>
                <w:rFonts w:eastAsia="ITC Avant Garde" w:cs="ITC Avant Garde"/>
              </w:rPr>
              <w:t>obligación para permitir al Instituto llevar un registro sobre de certificados de conformidad emitidos a DCI.</w:t>
            </w:r>
          </w:p>
          <w:p w14:paraId="4EF78F2D" w14:textId="0A025FEF" w:rsidR="00F355AB" w:rsidRDefault="00F355AB" w:rsidP="0037478A">
            <w:pPr>
              <w:spacing w:line="276" w:lineRule="auto"/>
              <w:jc w:val="both"/>
              <w:rPr>
                <w:rFonts w:eastAsia="ITC Avant Garde" w:cs="ITC Avant Garde"/>
              </w:rPr>
            </w:pPr>
          </w:p>
          <w:p w14:paraId="0723AD6C" w14:textId="77777777" w:rsidR="002B4958" w:rsidRPr="002E3AEC" w:rsidRDefault="002B4958" w:rsidP="002B4958">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Obligación</w:t>
            </w:r>
          </w:p>
          <w:p w14:paraId="7EC0BDE1" w14:textId="4EE4058B" w:rsidR="002B4958" w:rsidRPr="002E3AEC" w:rsidRDefault="002B4958" w:rsidP="002B4958">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8, fracción V</w:t>
            </w:r>
          </w:p>
          <w:p w14:paraId="4341630A" w14:textId="78AE82FC" w:rsidR="002B4958" w:rsidRDefault="002B4958" w:rsidP="002B4958">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Pr="00D3082B">
              <w:rPr>
                <w:rFonts w:eastAsia="ITC Avant Garde" w:cs="ITC Avant Garde"/>
              </w:rPr>
              <w:t xml:space="preserve">Se establece la presente </w:t>
            </w:r>
            <w:r>
              <w:rPr>
                <w:rFonts w:eastAsia="ITC Avant Garde" w:cs="ITC Avant Garde"/>
              </w:rPr>
              <w:t xml:space="preserve">obligación para que los DCI ya certificados </w:t>
            </w:r>
            <w:r w:rsidR="002C1F47">
              <w:rPr>
                <w:rFonts w:eastAsia="ITC Avant Garde" w:cs="ITC Avant Garde"/>
              </w:rPr>
              <w:t>entren</w:t>
            </w:r>
            <w:r>
              <w:rPr>
                <w:rFonts w:eastAsia="ITC Avant Garde" w:cs="ITC Avant Garde"/>
              </w:rPr>
              <w:t xml:space="preserve"> al mercado nacional.</w:t>
            </w:r>
          </w:p>
          <w:p w14:paraId="18271790" w14:textId="31EC6F9A" w:rsidR="002B4958" w:rsidRDefault="002B4958" w:rsidP="0037478A">
            <w:pPr>
              <w:spacing w:line="276" w:lineRule="auto"/>
              <w:jc w:val="both"/>
              <w:rPr>
                <w:rFonts w:eastAsia="ITC Avant Garde" w:cs="ITC Avant Garde"/>
              </w:rPr>
            </w:pPr>
          </w:p>
          <w:p w14:paraId="6FAAF653" w14:textId="6925F357" w:rsidR="002B4958" w:rsidRPr="002E3AEC" w:rsidRDefault="002B4958" w:rsidP="002B4958">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2C1F47">
              <w:rPr>
                <w:rFonts w:eastAsia="ITC Avant Garde" w:cs="ITC Avant Garde"/>
              </w:rPr>
              <w:t>Condición de beneficios</w:t>
            </w:r>
          </w:p>
          <w:p w14:paraId="0CB8D028" w14:textId="62857EDB" w:rsidR="002B4958" w:rsidRPr="002E3AEC" w:rsidRDefault="002B4958" w:rsidP="002B4958">
            <w:pPr>
              <w:spacing w:line="276" w:lineRule="auto"/>
              <w:jc w:val="both"/>
              <w:rPr>
                <w:rFonts w:eastAsia="ITC Avant Garde" w:cs="ITC Avant Garde"/>
              </w:rPr>
            </w:pPr>
            <w:r>
              <w:rPr>
                <w:rFonts w:eastAsia="ITC Avant Garde" w:cs="ITC Avant Garde"/>
                <w:b/>
              </w:rPr>
              <w:t>Artículos aplicables:</w:t>
            </w:r>
            <w:r w:rsidR="002C1F47">
              <w:rPr>
                <w:rFonts w:eastAsia="ITC Avant Garde" w:cs="ITC Avant Garde"/>
              </w:rPr>
              <w:t xml:space="preserve"> Numeral 8, fracción VI</w:t>
            </w:r>
          </w:p>
          <w:p w14:paraId="291647B4" w14:textId="3314A3AF" w:rsidR="002B4958" w:rsidRDefault="002B4958" w:rsidP="002B4958">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Pr="00D3082B">
              <w:rPr>
                <w:rFonts w:eastAsia="ITC Avant Garde" w:cs="ITC Avant Garde"/>
              </w:rPr>
              <w:t xml:space="preserve">Se establece la presente </w:t>
            </w:r>
            <w:r w:rsidR="002C1F47">
              <w:rPr>
                <w:rFonts w:eastAsia="ITC Avant Garde" w:cs="ITC Avant Garde"/>
              </w:rPr>
              <w:t>condición para disminuir la carga regulatoria únicamente a los dispositivos inherentemente conformes</w:t>
            </w:r>
            <w:r>
              <w:rPr>
                <w:rFonts w:eastAsia="ITC Avant Garde" w:cs="ITC Avant Garde"/>
              </w:rPr>
              <w:t>.</w:t>
            </w:r>
            <w:r w:rsidR="002C1F47">
              <w:rPr>
                <w:rFonts w:eastAsia="ITC Avant Garde" w:cs="ITC Avant Garde"/>
              </w:rPr>
              <w:t xml:space="preserve"> Dado que estos DCI, debido a su nivel de potencia, no superarán las restricciones básicas establecidas.</w:t>
            </w:r>
          </w:p>
          <w:p w14:paraId="2E1612F1" w14:textId="74E0FD26" w:rsidR="002C1F47" w:rsidRDefault="002C1F47" w:rsidP="0037478A">
            <w:pPr>
              <w:spacing w:line="276" w:lineRule="auto"/>
              <w:jc w:val="both"/>
              <w:rPr>
                <w:rFonts w:eastAsia="ITC Avant Garde" w:cs="ITC Avant Garde"/>
              </w:rPr>
            </w:pPr>
          </w:p>
          <w:p w14:paraId="1ECF7507" w14:textId="16DA23E4" w:rsidR="00F355AB" w:rsidRPr="00F355AB" w:rsidRDefault="00F355AB"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Obligación</w:t>
            </w:r>
          </w:p>
          <w:p w14:paraId="051154A9" w14:textId="5D642119" w:rsidR="00F355AB" w:rsidRPr="00F355AB" w:rsidRDefault="00F355AB"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w:t>
            </w:r>
            <w:r w:rsidR="005C65DB">
              <w:rPr>
                <w:rFonts w:eastAsia="ITC Avant Garde" w:cs="ITC Avant Garde"/>
              </w:rPr>
              <w:t>9</w:t>
            </w:r>
          </w:p>
          <w:p w14:paraId="69566736" w14:textId="6710B94B" w:rsidR="00F355AB" w:rsidRDefault="00F355AB"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5C65DB" w:rsidRPr="005C65DB">
              <w:rPr>
                <w:rFonts w:eastAsia="ITC Avant Garde" w:cs="ITC Avant Garde"/>
              </w:rPr>
              <w:t>Los equipos de radiocomunicaciones certificados conforme al presente Anteproyecto estarán sujetos a verificación y vigilancia del cumplimiento por parte del Instituto de conformidad con las disposiciones jurídicas aplicables</w:t>
            </w:r>
            <w:r w:rsidR="00A91CFB">
              <w:rPr>
                <w:rFonts w:eastAsia="ITC Avant Garde" w:cs="ITC Avant Garde"/>
              </w:rPr>
              <w:t>.</w:t>
            </w:r>
          </w:p>
          <w:p w14:paraId="05DF0619" w14:textId="66767D61" w:rsidR="00D8708F" w:rsidRDefault="00D8708F" w:rsidP="0037478A">
            <w:pPr>
              <w:spacing w:line="276" w:lineRule="auto"/>
              <w:jc w:val="both"/>
              <w:rPr>
                <w:rFonts w:eastAsia="ITC Avant Garde" w:cs="ITC Avant Garde"/>
              </w:rPr>
            </w:pPr>
          </w:p>
          <w:p w14:paraId="29F67CCF" w14:textId="77777777" w:rsidR="0037478A" w:rsidRPr="000D0A7D" w:rsidRDefault="0037478A" w:rsidP="0037478A">
            <w:pPr>
              <w:spacing w:line="276" w:lineRule="auto"/>
              <w:jc w:val="both"/>
              <w:rPr>
                <w:rFonts w:eastAsia="ITC Avant Garde" w:cs="ITC Avant Garde"/>
              </w:rPr>
            </w:pPr>
            <w:r>
              <w:rPr>
                <w:rFonts w:eastAsia="ITC Avant Garde" w:cs="ITC Avant Garde"/>
                <w:b/>
              </w:rPr>
              <w:t xml:space="preserve">Tipo: </w:t>
            </w:r>
            <w:r>
              <w:rPr>
                <w:rFonts w:eastAsia="ITC Avant Garde" w:cs="ITC Avant Garde"/>
              </w:rPr>
              <w:t>Condición de beneficios</w:t>
            </w:r>
          </w:p>
          <w:p w14:paraId="701ED60E" w14:textId="77777777" w:rsidR="0037478A" w:rsidRPr="000D0A7D"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10</w:t>
            </w:r>
          </w:p>
          <w:p w14:paraId="6A06D483" w14:textId="77777777" w:rsidR="0037478A" w:rsidRPr="000D0A7D"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Para que un DCI pueda emplear una Contraseña de Producto, este debe contar con un Certificado de Homologación expedido por el Instituto. Lo anterior para que el Titular del Certificado de Homologación cuente con un medio para comunicar de forma rápida e inequívoca al usuario que su DCI cumple con toda la regulación que le es aplicable.</w:t>
            </w:r>
          </w:p>
          <w:p w14:paraId="2313A87E" w14:textId="77777777" w:rsidR="0037478A" w:rsidRDefault="0037478A" w:rsidP="0037478A">
            <w:pPr>
              <w:spacing w:line="276" w:lineRule="auto"/>
              <w:jc w:val="both"/>
              <w:rPr>
                <w:rFonts w:eastAsia="ITC Avant Garde" w:cs="ITC Avant Garde"/>
              </w:rPr>
            </w:pPr>
          </w:p>
          <w:p w14:paraId="4433A9C3" w14:textId="77777777" w:rsidR="0037478A" w:rsidRPr="00D23E34"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Obligación</w:t>
            </w:r>
          </w:p>
          <w:p w14:paraId="0D047C54" w14:textId="03869801" w:rsidR="0037478A" w:rsidRPr="00D23E34"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11, Transitorio Primero</w:t>
            </w:r>
          </w:p>
          <w:p w14:paraId="002257DE" w14:textId="674AC631" w:rsidR="0037478A"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Debido a que se requiere de equipo especializado para realizar las pruebas establecidas en el presente Anteproyecto, y a que también se requiere acreditar y autorizar y/o reconocer LP respecto al Anteproyecto, se establece un periodo de entrada en vigor de </w:t>
            </w:r>
            <w:r w:rsidR="000535A2">
              <w:rPr>
                <w:rFonts w:eastAsia="ITC Avant Garde" w:cs="ITC Avant Garde"/>
              </w:rPr>
              <w:t>doce meses</w:t>
            </w:r>
            <w:r w:rsidR="0041540D">
              <w:rPr>
                <w:rFonts w:eastAsia="ITC Avant Garde" w:cs="ITC Avant Garde"/>
              </w:rPr>
              <w:t xml:space="preserve">, </w:t>
            </w:r>
            <w:r w:rsidR="000535A2">
              <w:rPr>
                <w:rFonts w:eastAsia="ITC Avant Garde" w:cs="ITC Avant Garde"/>
              </w:rPr>
              <w:t xml:space="preserve">tanto </w:t>
            </w:r>
            <w:r w:rsidR="0041540D" w:rsidRPr="0041540D">
              <w:rPr>
                <w:rFonts w:eastAsia="ITC Avant Garde" w:cs="ITC Avant Garde"/>
              </w:rPr>
              <w:t xml:space="preserve">para el caso de los productos, equipos, dispositivos o aparatos destinados a telecomunicaciones que pueden ser conectados a una red de telecomunicaciones o hacer uso del espectro </w:t>
            </w:r>
            <w:r w:rsidR="0041540D" w:rsidRPr="0041540D">
              <w:rPr>
                <w:rFonts w:eastAsia="ITC Avant Garde" w:cs="ITC Avant Garde"/>
              </w:rPr>
              <w:lastRenderedPageBreak/>
              <w:t>radioeléctrico, que se utilicen cerca de la cabeza, particularmente cerca del oído en el intervalo de frecuencias de 300 MHz a 6 GHz</w:t>
            </w:r>
            <w:r w:rsidR="000535A2">
              <w:rPr>
                <w:rFonts w:eastAsia="ITC Avant Garde" w:cs="ITC Avant Garde"/>
              </w:rPr>
              <w:t xml:space="preserve"> como para </w:t>
            </w:r>
            <w:r w:rsidR="0055717C" w:rsidRPr="0055717C">
              <w:rPr>
                <w:rFonts w:eastAsia="ITC Avant Garde" w:cs="ITC Avant Garde"/>
              </w:rPr>
              <w:t>los productos, equipos, dispositivos o aparatos destinados a telecomunicaciones que pueden ser conectados a una red de telecomunicaciones o hacer uso del espectro radioeléctrico, que se utilicen a una distancia menor o igual a 200 mm del cuerpo humano en el intervalo de frecuencias 30 MHz a 6 GHz.</w:t>
            </w:r>
            <w:r w:rsidR="0041540D">
              <w:rPr>
                <w:rFonts w:eastAsia="ITC Avant Garde" w:cs="ITC Avant Garde"/>
              </w:rPr>
              <w:t>.</w:t>
            </w:r>
            <w:r>
              <w:rPr>
                <w:rFonts w:eastAsia="ITC Avant Garde" w:cs="ITC Avant Garde"/>
              </w:rPr>
              <w:t xml:space="preserve"> </w:t>
            </w:r>
          </w:p>
          <w:p w14:paraId="40919FB6" w14:textId="77777777" w:rsidR="0037478A" w:rsidRDefault="0037478A" w:rsidP="0037478A">
            <w:pPr>
              <w:spacing w:line="276" w:lineRule="auto"/>
              <w:jc w:val="both"/>
              <w:rPr>
                <w:rFonts w:eastAsia="ITC Avant Garde" w:cs="ITC Avant Garde"/>
              </w:rPr>
            </w:pPr>
          </w:p>
          <w:p w14:paraId="2844B8D8" w14:textId="77777777" w:rsidR="0037478A" w:rsidRPr="00ED057F"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Restricción</w:t>
            </w:r>
          </w:p>
          <w:p w14:paraId="6F740750" w14:textId="77777777" w:rsidR="0037478A" w:rsidRPr="00ED057F"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11, Transitorio Segundo</w:t>
            </w:r>
          </w:p>
          <w:p w14:paraId="514987E4" w14:textId="2C3DB492" w:rsidR="0037478A" w:rsidRPr="00ED057F"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La acreditación y autorización, respecto a una Disposición Técnica, de un Organismo de Evaluación de la Conformidad</w:t>
            </w:r>
            <w:r w:rsidR="000535A2">
              <w:rPr>
                <w:rFonts w:eastAsia="ITC Avant Garde" w:cs="ITC Avant Garde"/>
              </w:rPr>
              <w:t xml:space="preserve"> (en lo sucesivo “OEC”)</w:t>
            </w:r>
            <w:r>
              <w:rPr>
                <w:rFonts w:eastAsia="ITC Avant Garde" w:cs="ITC Avant Garde"/>
              </w:rPr>
              <w:t xml:space="preserve"> es indicador de que cuenta con la capacidad técnica y económica para realizar las pruebas establecidas en las Disposiciones Técnicas. Por lo anterior solo los OEC acreditados y autorizados respecto al presente Anteproyecto pueden realizar la </w:t>
            </w:r>
            <w:r w:rsidR="00573A21">
              <w:rPr>
                <w:rFonts w:eastAsia="ITC Avant Garde" w:cs="ITC Avant Garde"/>
              </w:rPr>
              <w:t>e</w:t>
            </w:r>
            <w:r>
              <w:rPr>
                <w:rFonts w:eastAsia="ITC Avant Garde" w:cs="ITC Avant Garde"/>
              </w:rPr>
              <w:t xml:space="preserve">valuación de la </w:t>
            </w:r>
            <w:r w:rsidR="00573A21">
              <w:rPr>
                <w:rFonts w:eastAsia="ITC Avant Garde" w:cs="ITC Avant Garde"/>
              </w:rPr>
              <w:t>c</w:t>
            </w:r>
            <w:r>
              <w:rPr>
                <w:rFonts w:eastAsia="ITC Avant Garde" w:cs="ITC Avant Garde"/>
              </w:rPr>
              <w:t>onformidad de éste.</w:t>
            </w:r>
          </w:p>
          <w:p w14:paraId="0CEF0B2D" w14:textId="77777777" w:rsidR="0037478A" w:rsidRDefault="0037478A" w:rsidP="0037478A">
            <w:pPr>
              <w:spacing w:line="276" w:lineRule="auto"/>
              <w:jc w:val="both"/>
              <w:rPr>
                <w:rFonts w:eastAsia="ITC Avant Garde" w:cs="ITC Avant Garde"/>
              </w:rPr>
            </w:pPr>
          </w:p>
          <w:p w14:paraId="498C6C8D" w14:textId="77777777" w:rsidR="0037478A" w:rsidRPr="00ED057F" w:rsidRDefault="0037478A"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Restricción</w:t>
            </w:r>
          </w:p>
          <w:p w14:paraId="2B2D47B3" w14:textId="77777777" w:rsidR="0037478A" w:rsidRPr="00ED057F" w:rsidRDefault="0037478A" w:rsidP="0037478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Numeral 11, Transitorio Tercero</w:t>
            </w:r>
          </w:p>
          <w:p w14:paraId="032455C7" w14:textId="6F8235A8" w:rsidR="0037478A" w:rsidRPr="00ED057F" w:rsidRDefault="0037478A"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Debido a que solo los OEC acreditados y autorizados o reconocidos por el Instituto pueden realizar la </w:t>
            </w:r>
            <w:r w:rsidR="00573A21">
              <w:rPr>
                <w:rFonts w:eastAsia="ITC Avant Garde" w:cs="ITC Avant Garde"/>
              </w:rPr>
              <w:t>e</w:t>
            </w:r>
            <w:r>
              <w:rPr>
                <w:rFonts w:eastAsia="ITC Avant Garde" w:cs="ITC Avant Garde"/>
              </w:rPr>
              <w:t xml:space="preserve">valuación de la </w:t>
            </w:r>
            <w:r w:rsidR="00573A21">
              <w:rPr>
                <w:rFonts w:eastAsia="ITC Avant Garde" w:cs="ITC Avant Garde"/>
              </w:rPr>
              <w:t>c</w:t>
            </w:r>
            <w:r>
              <w:rPr>
                <w:rFonts w:eastAsia="ITC Avant Garde" w:cs="ITC Avant Garde"/>
              </w:rPr>
              <w:t>onformidad del presente Anteproyecto, los DCI podrán obtener Certificados de Conformidad sólo hasta que se acredite al menos un LP y un OC respecto al presente Anteproyecto.</w:t>
            </w:r>
          </w:p>
          <w:p w14:paraId="08D971AC" w14:textId="77777777" w:rsidR="3B7DF868" w:rsidRDefault="3B7DF868" w:rsidP="0037478A">
            <w:pPr>
              <w:spacing w:line="276" w:lineRule="auto"/>
              <w:jc w:val="both"/>
              <w:rPr>
                <w:rFonts w:eastAsia="ITC Avant Garde" w:cs="ITC Avant Garde"/>
              </w:rPr>
            </w:pPr>
          </w:p>
          <w:p w14:paraId="1AF5CC60" w14:textId="2F12E531" w:rsidR="00936D9E" w:rsidRDefault="00936D9E" w:rsidP="0037478A">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390BC9">
              <w:rPr>
                <w:rFonts w:eastAsia="ITC Avant Garde" w:cs="ITC Avant Garde"/>
              </w:rPr>
              <w:t>Obligación</w:t>
            </w:r>
            <w:bookmarkStart w:id="0" w:name="_GoBack"/>
            <w:bookmarkEnd w:id="0"/>
          </w:p>
          <w:p w14:paraId="65C209AC" w14:textId="4F0027D5" w:rsidR="00936D9E" w:rsidRDefault="00936D9E" w:rsidP="00390BC9">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w:t>
            </w:r>
            <w:r w:rsidR="00E45E54">
              <w:rPr>
                <w:rFonts w:eastAsia="ITC Avant Garde" w:cs="ITC Avant Garde"/>
              </w:rPr>
              <w:t xml:space="preserve">ANEXO </w:t>
            </w:r>
            <w:r w:rsidR="00390BC9">
              <w:rPr>
                <w:rFonts w:eastAsia="ITC Avant Garde" w:cs="ITC Avant Garde"/>
              </w:rPr>
              <w:t>A</w:t>
            </w:r>
            <w:r w:rsidR="008C586B">
              <w:rPr>
                <w:rFonts w:eastAsia="ITC Avant Garde" w:cs="ITC Avant Garde"/>
              </w:rPr>
              <w:t>.</w:t>
            </w:r>
            <w:r w:rsidR="00390BC9">
              <w:rPr>
                <w:rFonts w:eastAsia="ITC Avant Garde" w:cs="ITC Avant Garde"/>
              </w:rPr>
              <w:t xml:space="preserve"> </w:t>
            </w:r>
            <w:r w:rsidR="00A91CFB" w:rsidRPr="00A91CFB">
              <w:rPr>
                <w:rFonts w:eastAsia="ITC Avant Garde" w:cs="ITC Avant Garde"/>
              </w:rPr>
              <w:t>REPORTE DE PRUEBA DE LA APLICACIÓN DE LOS MÉTODOS DEL NUMERAL 5.1 AL EBP SUJETO AL CUMPLIMIENTO DE LA DT IFT-012-2019</w:t>
            </w:r>
            <w:r w:rsidR="00390BC9" w:rsidRPr="00390BC9">
              <w:rPr>
                <w:rFonts w:eastAsia="ITC Avant Garde" w:cs="ITC Avant Garde"/>
              </w:rPr>
              <w:t>.</w:t>
            </w:r>
          </w:p>
          <w:p w14:paraId="4BC9EEF2" w14:textId="110C9467" w:rsidR="00936D9E" w:rsidRDefault="00936D9E"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390BC9">
              <w:rPr>
                <w:rFonts w:eastAsia="ITC Avant Garde" w:cs="ITC Avant Garde"/>
              </w:rPr>
              <w:t>Se establece el presente formato con el objetivo de homogeneizar los Reportes de Prueba que los diferentes Laboratorios de Prueba emitan en virtud de la Evaluación de la Conformidad</w:t>
            </w:r>
            <w:r w:rsidR="008C586B">
              <w:rPr>
                <w:rFonts w:eastAsia="ITC Avant Garde" w:cs="ITC Avant Garde"/>
              </w:rPr>
              <w:t xml:space="preserve"> del numeral 5.1</w:t>
            </w:r>
            <w:r w:rsidR="00390BC9">
              <w:rPr>
                <w:rFonts w:eastAsia="ITC Avant Garde" w:cs="ITC Avant Garde"/>
              </w:rPr>
              <w:t xml:space="preserve"> de la presente Disposición Técnica.</w:t>
            </w:r>
          </w:p>
          <w:p w14:paraId="4A4CE4C5" w14:textId="182CD0C6" w:rsidR="00936D9E" w:rsidRDefault="00936D9E" w:rsidP="0037478A">
            <w:pPr>
              <w:spacing w:line="276" w:lineRule="auto"/>
              <w:jc w:val="both"/>
              <w:rPr>
                <w:rFonts w:eastAsia="ITC Avant Garde" w:cs="ITC Avant Garde"/>
              </w:rPr>
            </w:pPr>
          </w:p>
          <w:p w14:paraId="5796724E" w14:textId="3FE25D61" w:rsidR="00936D9E" w:rsidRDefault="00936D9E" w:rsidP="00936D9E">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8C586B">
              <w:rPr>
                <w:rFonts w:eastAsia="ITC Avant Garde" w:cs="ITC Avant Garde"/>
              </w:rPr>
              <w:t>Obligación</w:t>
            </w:r>
          </w:p>
          <w:p w14:paraId="41ABFAEB" w14:textId="36FA5B94" w:rsidR="00936D9E" w:rsidRDefault="00936D9E" w:rsidP="008C586B">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w:t>
            </w:r>
            <w:r w:rsidR="00E45E54">
              <w:rPr>
                <w:rFonts w:eastAsia="ITC Avant Garde" w:cs="ITC Avant Garde"/>
              </w:rPr>
              <w:t xml:space="preserve">ANEXO </w:t>
            </w:r>
            <w:r w:rsidR="008C586B">
              <w:rPr>
                <w:rFonts w:eastAsia="ITC Avant Garde" w:cs="ITC Avant Garde"/>
              </w:rPr>
              <w:t xml:space="preserve">B. </w:t>
            </w:r>
            <w:r w:rsidR="00A91CFB" w:rsidRPr="00A91CFB">
              <w:rPr>
                <w:rFonts w:eastAsia="ITC Avant Garde" w:cs="ITC Avant Garde"/>
              </w:rPr>
              <w:t>REPORTE DE PRUEBA DE LA APLICACIÓN DE LOS MÉTODOS DEL NUMERAL 5.2 AL EBP SUJETO AL CUMPLIMIENTO DE LA DT IFT-012-2019</w:t>
            </w:r>
            <w:r w:rsidR="008C586B" w:rsidRPr="008C586B">
              <w:rPr>
                <w:rFonts w:eastAsia="ITC Avant Garde" w:cs="ITC Avant Garde"/>
              </w:rPr>
              <w:t>.</w:t>
            </w:r>
          </w:p>
          <w:p w14:paraId="7DC5E860" w14:textId="5460C2F6" w:rsidR="00936D9E" w:rsidRDefault="00936D9E" w:rsidP="00936D9E">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8C586B">
              <w:rPr>
                <w:rFonts w:eastAsia="ITC Avant Garde" w:cs="ITC Avant Garde"/>
              </w:rPr>
              <w:t xml:space="preserve">Se establece el presente formato con el objetivo de homogeneizar los Reportes de Prueba que los diferentes Laboratorios de Prueba emitan en virtud </w:t>
            </w:r>
            <w:r w:rsidR="008C586B">
              <w:rPr>
                <w:rFonts w:eastAsia="ITC Avant Garde" w:cs="ITC Avant Garde"/>
              </w:rPr>
              <w:lastRenderedPageBreak/>
              <w:t>de la Evaluación de la Conformidad del numeral 5.2 de la presente Disposición Técnica.</w:t>
            </w:r>
          </w:p>
          <w:p w14:paraId="0A520A88" w14:textId="2D435F6C" w:rsidR="00936D9E" w:rsidRDefault="00936D9E" w:rsidP="0037478A">
            <w:pPr>
              <w:spacing w:line="276" w:lineRule="auto"/>
              <w:jc w:val="both"/>
              <w:rPr>
                <w:rFonts w:eastAsia="ITC Avant Garde" w:cs="ITC Avant Garde"/>
              </w:rPr>
            </w:pPr>
          </w:p>
          <w:p w14:paraId="0C1327E1" w14:textId="3005D682" w:rsidR="00936D9E" w:rsidRDefault="00936D9E" w:rsidP="00936D9E">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8C586B">
              <w:rPr>
                <w:rFonts w:eastAsia="ITC Avant Garde" w:cs="ITC Avant Garde"/>
              </w:rPr>
              <w:t>Obligación</w:t>
            </w:r>
          </w:p>
          <w:p w14:paraId="55EDA978" w14:textId="76F0E2AF" w:rsidR="00936D9E" w:rsidRDefault="00936D9E" w:rsidP="008C586B">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w:t>
            </w:r>
            <w:r w:rsidR="00E45E54">
              <w:rPr>
                <w:rFonts w:eastAsia="ITC Avant Garde" w:cs="ITC Avant Garde"/>
              </w:rPr>
              <w:t xml:space="preserve">ANEXO </w:t>
            </w:r>
            <w:r w:rsidR="008C586B">
              <w:rPr>
                <w:rFonts w:eastAsia="ITC Avant Garde" w:cs="ITC Avant Garde"/>
              </w:rPr>
              <w:t xml:space="preserve">C. </w:t>
            </w:r>
            <w:r w:rsidR="00A91CFB" w:rsidRPr="00A91CFB">
              <w:rPr>
                <w:rFonts w:eastAsia="ITC Avant Garde" w:cs="ITC Avant Garde"/>
              </w:rPr>
              <w:t>REGISTRO DE DISPOSITIVOS DE COMUNICACIÓN INALÁMBRICA INHERENTEMENTE CONFORMES CON LA DISPOSICIÓN TÉCNICA IFT</w:t>
            </w:r>
            <w:r w:rsidR="00A91CFB">
              <w:rPr>
                <w:rFonts w:eastAsia="ITC Avant Garde" w:cs="ITC Avant Garde"/>
              </w:rPr>
              <w:noBreakHyphen/>
            </w:r>
            <w:r w:rsidR="00A91CFB" w:rsidRPr="00A91CFB">
              <w:rPr>
                <w:rFonts w:eastAsia="ITC Avant Garde" w:cs="ITC Avant Garde"/>
              </w:rPr>
              <w:t>012-2019</w:t>
            </w:r>
            <w:r w:rsidR="008C586B" w:rsidRPr="008C586B">
              <w:rPr>
                <w:rFonts w:eastAsia="ITC Avant Garde" w:cs="ITC Avant Garde"/>
              </w:rPr>
              <w:t>.</w:t>
            </w:r>
          </w:p>
          <w:p w14:paraId="198B4C6B" w14:textId="6C655D59" w:rsidR="00936D9E" w:rsidRDefault="00936D9E" w:rsidP="00936D9E">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8C586B">
              <w:rPr>
                <w:rFonts w:eastAsia="ITC Avant Garde" w:cs="ITC Avant Garde"/>
              </w:rPr>
              <w:t xml:space="preserve">Se establece el presente formato para que </w:t>
            </w:r>
            <w:r w:rsidR="00FB097C">
              <w:rPr>
                <w:rFonts w:eastAsia="ITC Avant Garde" w:cs="ITC Avant Garde"/>
              </w:rPr>
              <w:t xml:space="preserve">el Instituto tenga una </w:t>
            </w:r>
            <w:r w:rsidR="006E6FB2">
              <w:rPr>
                <w:rFonts w:eastAsia="ITC Avant Garde" w:cs="ITC Avant Garde"/>
              </w:rPr>
              <w:t>manifestación del Titular</w:t>
            </w:r>
            <w:r w:rsidR="00FB097C">
              <w:rPr>
                <w:rFonts w:eastAsia="ITC Avant Garde" w:cs="ITC Avant Garde"/>
              </w:rPr>
              <w:t xml:space="preserve">, cuyo DCI es inherentemente conforme, </w:t>
            </w:r>
            <w:r w:rsidR="006E6FB2">
              <w:rPr>
                <w:rFonts w:eastAsia="ITC Avant Garde" w:cs="ITC Avant Garde"/>
              </w:rPr>
              <w:t>donde indica</w:t>
            </w:r>
            <w:r w:rsidR="00FB097C">
              <w:rPr>
                <w:rFonts w:eastAsia="ITC Avant Garde" w:cs="ITC Avant Garde"/>
              </w:rPr>
              <w:t xml:space="preserve"> que éste último opera con una potencia de transmisión menor o igual a 20 mW.</w:t>
            </w:r>
          </w:p>
          <w:p w14:paraId="0CB07B38" w14:textId="195B0E42" w:rsidR="00936D9E" w:rsidRDefault="00936D9E" w:rsidP="0037478A">
            <w:pPr>
              <w:spacing w:line="276" w:lineRule="auto"/>
              <w:jc w:val="both"/>
              <w:rPr>
                <w:rFonts w:eastAsia="ITC Avant Garde" w:cs="ITC Avant Garde"/>
              </w:rPr>
            </w:pPr>
          </w:p>
          <w:p w14:paraId="006EE5D4" w14:textId="36126E69" w:rsidR="00936D9E" w:rsidRDefault="00936D9E" w:rsidP="00936D9E">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6E6FB2">
              <w:rPr>
                <w:rFonts w:eastAsia="ITC Avant Garde" w:cs="ITC Avant Garde"/>
              </w:rPr>
              <w:t>Adopción o seguimiento de metodologías</w:t>
            </w:r>
          </w:p>
          <w:p w14:paraId="3973AB97" w14:textId="2BE96EBA" w:rsidR="00936D9E" w:rsidRDefault="00936D9E" w:rsidP="00936D9E">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w:t>
            </w:r>
            <w:r w:rsidR="00E45E54">
              <w:rPr>
                <w:rFonts w:eastAsia="ITC Avant Garde" w:cs="ITC Avant Garde"/>
              </w:rPr>
              <w:t xml:space="preserve">ANEXO </w:t>
            </w:r>
            <w:r w:rsidR="006E6FB2">
              <w:rPr>
                <w:rFonts w:eastAsia="ITC Avant Garde" w:cs="ITC Avant Garde"/>
              </w:rPr>
              <w:t xml:space="preserve">D. </w:t>
            </w:r>
            <w:r w:rsidR="006E6FB2" w:rsidRPr="006E6FB2">
              <w:rPr>
                <w:rFonts w:eastAsia="ITC Avant Garde" w:cs="ITC Avant Garde"/>
              </w:rPr>
              <w:t>VALIDACIÓN DEL SISTEMA DE MEDICIÓN DEL SAR PARA LA CABEZA.</w:t>
            </w:r>
          </w:p>
          <w:p w14:paraId="258A94D4" w14:textId="0B947D5E" w:rsidR="00936D9E" w:rsidRDefault="00936D9E" w:rsidP="00936D9E">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DC7434">
              <w:rPr>
                <w:rFonts w:eastAsia="ITC Avant Garde" w:cs="ITC Avant Garde"/>
              </w:rPr>
              <w:t>El presente a</w:t>
            </w:r>
            <w:r w:rsidR="009E348B">
              <w:rPr>
                <w:rFonts w:eastAsia="ITC Avant Garde" w:cs="ITC Avant Garde"/>
              </w:rPr>
              <w:t xml:space="preserve">nexo </w:t>
            </w:r>
            <w:r w:rsidR="00DC7434">
              <w:rPr>
                <w:rFonts w:eastAsia="ITC Avant Garde" w:cs="ITC Avant Garde"/>
              </w:rPr>
              <w:t>p</w:t>
            </w:r>
            <w:r w:rsidR="00F676C3">
              <w:rPr>
                <w:rFonts w:eastAsia="ITC Avant Garde" w:cs="ITC Avant Garde"/>
              </w:rPr>
              <w:t>roporciona los métodos para revisión del sistema, el cual consiste en verificar la exactitud del sistema; y para validación del sistema, el cual permite validas a nivel sistema las especificaciones del sistema de medición del SAR y sus componentes.</w:t>
            </w:r>
            <w:r w:rsidR="00152C68">
              <w:rPr>
                <w:rFonts w:eastAsia="ITC Avant Garde" w:cs="ITC Avant Garde"/>
              </w:rPr>
              <w:t xml:space="preserve"> Aplica para los sistemas de medición indicados en el numeral 5.1 de la presente DT.</w:t>
            </w:r>
            <w:r w:rsidR="00DC7434">
              <w:rPr>
                <w:rFonts w:eastAsia="ITC Avant Garde" w:cs="ITC Avant Garde"/>
              </w:rPr>
              <w:t xml:space="preserve"> Este anexo es normativo.</w:t>
            </w:r>
          </w:p>
          <w:p w14:paraId="553EAA4E" w14:textId="77B319F8" w:rsidR="00936D9E" w:rsidRDefault="00936D9E" w:rsidP="0037478A">
            <w:pPr>
              <w:spacing w:line="276" w:lineRule="auto"/>
              <w:jc w:val="both"/>
              <w:rPr>
                <w:rFonts w:eastAsia="ITC Avant Garde" w:cs="ITC Avant Garde"/>
              </w:rPr>
            </w:pPr>
          </w:p>
          <w:p w14:paraId="7CE9CE3B" w14:textId="379819C6" w:rsidR="00936D9E" w:rsidRDefault="00936D9E" w:rsidP="00936D9E">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770AD9">
              <w:rPr>
                <w:rFonts w:eastAsia="ITC Avant Garde" w:cs="ITC Avant Garde"/>
              </w:rPr>
              <w:t>Adopción o seguimiento de metodologías</w:t>
            </w:r>
          </w:p>
          <w:p w14:paraId="3099B953" w14:textId="3D66EFCF" w:rsidR="00936D9E" w:rsidRDefault="00936D9E" w:rsidP="00936D9E">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w:t>
            </w:r>
            <w:r w:rsidR="00E45E54">
              <w:rPr>
                <w:rFonts w:eastAsia="ITC Avant Garde" w:cs="ITC Avant Garde"/>
              </w:rPr>
              <w:t xml:space="preserve">ANEXO </w:t>
            </w:r>
            <w:r w:rsidR="006802F2">
              <w:rPr>
                <w:rFonts w:eastAsia="ITC Avant Garde" w:cs="ITC Avant Garde"/>
              </w:rPr>
              <w:t xml:space="preserve">E. </w:t>
            </w:r>
            <w:r w:rsidR="006802F2" w:rsidRPr="006802F2">
              <w:rPr>
                <w:rFonts w:eastAsia="ITC Avant Garde" w:cs="ITC Avant Garde"/>
              </w:rPr>
              <w:t>CALIBRACIÓN Y CARACTERIZACIÓN DE SONDAS DOSIMÉTRICAS</w:t>
            </w:r>
            <w:r w:rsidR="006802F2">
              <w:rPr>
                <w:rFonts w:eastAsia="ITC Avant Garde" w:cs="ITC Avant Garde"/>
              </w:rPr>
              <w:t>.</w:t>
            </w:r>
          </w:p>
          <w:p w14:paraId="143E9F93" w14:textId="3F456072" w:rsidR="00770AD9" w:rsidRDefault="00936D9E" w:rsidP="00770AD9">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770AD9">
              <w:rPr>
                <w:rFonts w:eastAsia="ITC Avant Garde" w:cs="ITC Avant Garde"/>
              </w:rPr>
              <w:t>L</w:t>
            </w:r>
            <w:r w:rsidR="00770AD9" w:rsidRPr="00770AD9">
              <w:rPr>
                <w:rFonts w:eastAsia="ITC Avant Garde" w:cs="ITC Avant Garde"/>
              </w:rPr>
              <w:t>as diferencias debidas a las tolerancias de fabricación</w:t>
            </w:r>
            <w:r w:rsidR="00770AD9">
              <w:rPr>
                <w:rFonts w:eastAsia="ITC Avant Garde" w:cs="ITC Avant Garde"/>
              </w:rPr>
              <w:t xml:space="preserve"> de las sondas inducen</w:t>
            </w:r>
            <w:r w:rsidR="00770AD9" w:rsidRPr="00770AD9">
              <w:rPr>
                <w:rFonts w:eastAsia="ITC Avant Garde" w:cs="ITC Avant Garde"/>
              </w:rPr>
              <w:t xml:space="preserve"> diferentes </w:t>
            </w:r>
            <w:r w:rsidR="00BC2D9A">
              <w:rPr>
                <w:rFonts w:eastAsia="ITC Avant Garde" w:cs="ITC Avant Garde"/>
              </w:rPr>
              <w:t>sensibilidades para cada sensor.</w:t>
            </w:r>
            <w:r w:rsidR="00770AD9" w:rsidRPr="00770AD9">
              <w:rPr>
                <w:rFonts w:eastAsia="ITC Avant Garde" w:cs="ITC Avant Garde"/>
              </w:rPr>
              <w:t xml:space="preserve"> </w:t>
            </w:r>
            <w:r w:rsidR="00BC2D9A">
              <w:rPr>
                <w:rFonts w:eastAsia="ITC Avant Garde" w:cs="ITC Avant Garde"/>
              </w:rPr>
              <w:t>Por lo anterior, e</w:t>
            </w:r>
            <w:r w:rsidR="00770AD9">
              <w:rPr>
                <w:rFonts w:eastAsia="ITC Avant Garde" w:cs="ITC Avant Garde"/>
              </w:rPr>
              <w:t xml:space="preserve">l presente Anexo proporciona los métodos para </w:t>
            </w:r>
            <w:r w:rsidR="00770AD9" w:rsidRPr="00770AD9">
              <w:rPr>
                <w:rFonts w:eastAsia="ITC Avant Garde" w:cs="ITC Avant Garde"/>
              </w:rPr>
              <w:t>contabiliza</w:t>
            </w:r>
            <w:r w:rsidR="00BC2D9A">
              <w:rPr>
                <w:rFonts w:eastAsia="ITC Avant Garde" w:cs="ITC Avant Garde"/>
              </w:rPr>
              <w:t xml:space="preserve">r, </w:t>
            </w:r>
            <w:r w:rsidR="00770AD9" w:rsidRPr="00770AD9">
              <w:rPr>
                <w:rFonts w:eastAsia="ITC Avant Garde" w:cs="ITC Avant Garde"/>
              </w:rPr>
              <w:t>durante la calibración</w:t>
            </w:r>
            <w:r w:rsidR="00BC2D9A">
              <w:rPr>
                <w:rFonts w:eastAsia="ITC Avant Garde" w:cs="ITC Avant Garde"/>
              </w:rPr>
              <w:t>,</w:t>
            </w:r>
            <w:r w:rsidR="00770AD9" w:rsidRPr="00770AD9">
              <w:rPr>
                <w:rFonts w:eastAsia="ITC Avant Garde" w:cs="ITC Avant Garde"/>
              </w:rPr>
              <w:t xml:space="preserve"> y compensa</w:t>
            </w:r>
            <w:r w:rsidR="00BC2D9A">
              <w:rPr>
                <w:rFonts w:eastAsia="ITC Avant Garde" w:cs="ITC Avant Garde"/>
              </w:rPr>
              <w:t>r,</w:t>
            </w:r>
            <w:r w:rsidR="00770AD9" w:rsidRPr="00770AD9">
              <w:rPr>
                <w:rFonts w:eastAsia="ITC Avant Garde" w:cs="ITC Avant Garde"/>
              </w:rPr>
              <w:t xml:space="preserve"> durante las mediciones</w:t>
            </w:r>
            <w:r w:rsidR="00BC2D9A">
              <w:rPr>
                <w:rFonts w:eastAsia="ITC Avant Garde" w:cs="ITC Avant Garde"/>
              </w:rPr>
              <w:t>, las diferentes sensibilidades de cada sensor de la sonda.</w:t>
            </w:r>
            <w:r w:rsidR="00DC7434">
              <w:rPr>
                <w:rFonts w:eastAsia="ITC Avant Garde" w:cs="ITC Avant Garde"/>
              </w:rPr>
              <w:t xml:space="preserve"> Este anexo es normativo.</w:t>
            </w:r>
          </w:p>
          <w:p w14:paraId="2CF8339C" w14:textId="3962A173" w:rsidR="00936D9E" w:rsidRDefault="00936D9E" w:rsidP="0037478A">
            <w:pPr>
              <w:spacing w:line="276" w:lineRule="auto"/>
              <w:jc w:val="both"/>
              <w:rPr>
                <w:rFonts w:eastAsia="ITC Avant Garde" w:cs="ITC Avant Garde"/>
              </w:rPr>
            </w:pPr>
          </w:p>
          <w:p w14:paraId="5F7C743F" w14:textId="3DE0A092" w:rsidR="00936D9E" w:rsidRDefault="00936D9E" w:rsidP="00936D9E">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BC2D9A">
              <w:rPr>
                <w:rFonts w:eastAsia="ITC Avant Garde" w:cs="ITC Avant Garde"/>
              </w:rPr>
              <w:t>Adopción o seguimiento de metodologías</w:t>
            </w:r>
          </w:p>
          <w:p w14:paraId="4484746C" w14:textId="0CE39C3D" w:rsidR="00936D9E" w:rsidRDefault="00936D9E" w:rsidP="00BC2D9A">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w:t>
            </w:r>
            <w:r w:rsidR="00E45E54">
              <w:rPr>
                <w:rFonts w:eastAsia="ITC Avant Garde" w:cs="ITC Avant Garde"/>
              </w:rPr>
              <w:t xml:space="preserve">ANEXO </w:t>
            </w:r>
            <w:r w:rsidR="00BC2D9A">
              <w:rPr>
                <w:rFonts w:eastAsia="ITC Avant Garde" w:cs="ITC Avant Garde"/>
              </w:rPr>
              <w:t xml:space="preserve">F. </w:t>
            </w:r>
            <w:r w:rsidR="00BC2D9A" w:rsidRPr="00BC2D9A">
              <w:rPr>
                <w:rFonts w:eastAsia="ITC Avant Garde" w:cs="ITC Avant Garde"/>
              </w:rPr>
              <w:t>MEDICIÓN DE LAS PROPIEDADES DIELÉCTRICAS DEL LET Y ESTIMACIÓN DE LA</w:t>
            </w:r>
            <w:r w:rsidR="00BC2D9A">
              <w:rPr>
                <w:rFonts w:eastAsia="ITC Avant Garde" w:cs="ITC Avant Garde"/>
              </w:rPr>
              <w:t xml:space="preserve"> </w:t>
            </w:r>
            <w:r w:rsidR="00BC2D9A" w:rsidRPr="00BC2D9A">
              <w:rPr>
                <w:rFonts w:eastAsia="ITC Avant Garde" w:cs="ITC Avant Garde"/>
              </w:rPr>
              <w:t>INCERTIDUMBRE</w:t>
            </w:r>
            <w:r w:rsidR="00A91CFB">
              <w:rPr>
                <w:rFonts w:eastAsia="ITC Avant Garde" w:cs="ITC Avant Garde"/>
              </w:rPr>
              <w:t>.</w:t>
            </w:r>
          </w:p>
          <w:p w14:paraId="28731D6A" w14:textId="6822DC3A" w:rsidR="00936D9E" w:rsidRDefault="00936D9E" w:rsidP="00266F38">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266F38">
              <w:rPr>
                <w:rFonts w:eastAsia="ITC Avant Garde" w:cs="ITC Avant Garde"/>
              </w:rPr>
              <w:t>El presente</w:t>
            </w:r>
            <w:r w:rsidR="00DC7434">
              <w:rPr>
                <w:rFonts w:eastAsia="ITC Avant Garde" w:cs="ITC Avant Garde"/>
              </w:rPr>
              <w:t xml:space="preserve"> a</w:t>
            </w:r>
            <w:r w:rsidR="00266F38" w:rsidRPr="00266F38">
              <w:rPr>
                <w:rFonts w:eastAsia="ITC Avant Garde" w:cs="ITC Avant Garde"/>
              </w:rPr>
              <w:t xml:space="preserve">nexo describe </w:t>
            </w:r>
            <w:r w:rsidR="00266F38">
              <w:rPr>
                <w:rFonts w:eastAsia="ITC Avant Garde" w:cs="ITC Avant Garde"/>
              </w:rPr>
              <w:t xml:space="preserve">los </w:t>
            </w:r>
            <w:r w:rsidR="009C67C6">
              <w:rPr>
                <w:rFonts w:eastAsia="ITC Avant Garde" w:cs="ITC Avant Garde"/>
              </w:rPr>
              <w:t>métodos</w:t>
            </w:r>
            <w:r w:rsidR="00266F38">
              <w:rPr>
                <w:rFonts w:eastAsia="ITC Avant Garde" w:cs="ITC Avant Garde"/>
              </w:rPr>
              <w:t xml:space="preserve"> para medir</w:t>
            </w:r>
            <w:r w:rsidR="00266F38" w:rsidRPr="00266F38">
              <w:rPr>
                <w:rFonts w:eastAsia="ITC Avant Garde" w:cs="ITC Avant Garde"/>
              </w:rPr>
              <w:t xml:space="preserve"> las propiedades</w:t>
            </w:r>
            <w:r w:rsidR="00266F38">
              <w:rPr>
                <w:rFonts w:eastAsia="ITC Avant Garde" w:cs="ITC Avant Garde"/>
              </w:rPr>
              <w:t xml:space="preserve"> </w:t>
            </w:r>
            <w:r w:rsidR="00266F38" w:rsidRPr="00266F38">
              <w:rPr>
                <w:rFonts w:eastAsia="ITC Avant Garde" w:cs="ITC Avant Garde"/>
              </w:rPr>
              <w:t>dieléctricas del LET, asimismo</w:t>
            </w:r>
            <w:r w:rsidR="00266F38">
              <w:rPr>
                <w:rFonts w:eastAsia="ITC Avant Garde" w:cs="ITC Avant Garde"/>
              </w:rPr>
              <w:t xml:space="preserve"> </w:t>
            </w:r>
            <w:r w:rsidR="009C67C6">
              <w:rPr>
                <w:rFonts w:eastAsia="ITC Avant Garde" w:cs="ITC Avant Garde"/>
              </w:rPr>
              <w:t>proporciona</w:t>
            </w:r>
            <w:r w:rsidR="00266F38" w:rsidRPr="00266F38">
              <w:rPr>
                <w:rFonts w:eastAsia="ITC Avant Garde" w:cs="ITC Avant Garde"/>
              </w:rPr>
              <w:t xml:space="preserve"> detalles</w:t>
            </w:r>
            <w:r w:rsidR="009C67C6">
              <w:rPr>
                <w:rFonts w:eastAsia="ITC Avant Garde" w:cs="ITC Avant Garde"/>
              </w:rPr>
              <w:t xml:space="preserve"> de estos métodos</w:t>
            </w:r>
            <w:r w:rsidR="00266F38" w:rsidRPr="00266F38">
              <w:rPr>
                <w:rFonts w:eastAsia="ITC Avant Garde" w:cs="ITC Avant Garde"/>
              </w:rPr>
              <w:t xml:space="preserve"> para que se seleccione un método en función de la</w:t>
            </w:r>
            <w:r w:rsidR="00266F38">
              <w:rPr>
                <w:rFonts w:eastAsia="ITC Avant Garde" w:cs="ITC Avant Garde"/>
              </w:rPr>
              <w:t xml:space="preserve"> </w:t>
            </w:r>
            <w:r w:rsidR="00266F38" w:rsidRPr="00266F38">
              <w:rPr>
                <w:rFonts w:eastAsia="ITC Avant Garde" w:cs="ITC Avant Garde"/>
              </w:rPr>
              <w:t xml:space="preserve">conveniencia y el rendimiento. </w:t>
            </w:r>
            <w:r w:rsidR="009C67C6">
              <w:rPr>
                <w:rFonts w:eastAsia="ITC Avant Garde" w:cs="ITC Avant Garde"/>
              </w:rPr>
              <w:t>También se proporcionan</w:t>
            </w:r>
            <w:r w:rsidR="00266F38" w:rsidRPr="00266F38">
              <w:rPr>
                <w:rFonts w:eastAsia="ITC Avant Garde" w:cs="ITC Avant Garde"/>
              </w:rPr>
              <w:t xml:space="preserve"> propiedades dieléctricas de algunos </w:t>
            </w:r>
            <w:r w:rsidR="009C67C6">
              <w:rPr>
                <w:rFonts w:eastAsia="ITC Avant Garde" w:cs="ITC Avant Garde"/>
              </w:rPr>
              <w:t>LET</w:t>
            </w:r>
            <w:r w:rsidR="00266F38" w:rsidRPr="00266F38">
              <w:rPr>
                <w:rFonts w:eastAsia="ITC Avant Garde" w:cs="ITC Avant Garde"/>
              </w:rPr>
              <w:t xml:space="preserve"> de</w:t>
            </w:r>
            <w:r w:rsidR="00266F38">
              <w:rPr>
                <w:rFonts w:eastAsia="ITC Avant Garde" w:cs="ITC Avant Garde"/>
              </w:rPr>
              <w:t xml:space="preserve"> </w:t>
            </w:r>
            <w:r w:rsidR="00266F38" w:rsidRPr="00266F38">
              <w:rPr>
                <w:rFonts w:eastAsia="ITC Avant Garde" w:cs="ITC Avant Garde"/>
              </w:rPr>
              <w:t>referencia para evaluar el</w:t>
            </w:r>
            <w:r w:rsidR="00266F38">
              <w:rPr>
                <w:rFonts w:eastAsia="ITC Avant Garde" w:cs="ITC Avant Garde"/>
              </w:rPr>
              <w:t xml:space="preserve"> </w:t>
            </w:r>
            <w:r w:rsidR="00266F38" w:rsidRPr="00266F38">
              <w:rPr>
                <w:rFonts w:eastAsia="ITC Avant Garde" w:cs="ITC Avant Garde"/>
              </w:rPr>
              <w:t xml:space="preserve">rendimiento de </w:t>
            </w:r>
            <w:r w:rsidR="009C67C6">
              <w:rPr>
                <w:rFonts w:eastAsia="ITC Avant Garde" w:cs="ITC Avant Garde"/>
              </w:rPr>
              <w:t>los procedimientos de medición.</w:t>
            </w:r>
            <w:r w:rsidR="00385172">
              <w:rPr>
                <w:rFonts w:eastAsia="ITC Avant Garde" w:cs="ITC Avant Garde"/>
              </w:rPr>
              <w:t xml:space="preserve"> Aplica a los LET </w:t>
            </w:r>
            <w:r w:rsidR="00385172">
              <w:rPr>
                <w:rFonts w:eastAsia="ITC Avant Garde" w:cs="ITC Avant Garde"/>
              </w:rPr>
              <w:lastRenderedPageBreak/>
              <w:t>empleados en las mediciones indicadas en el numeral 5.1.</w:t>
            </w:r>
            <w:r w:rsidR="00DC7434">
              <w:rPr>
                <w:rFonts w:eastAsia="ITC Avant Garde" w:cs="ITC Avant Garde"/>
              </w:rPr>
              <w:t xml:space="preserve"> Este anexo es informativo.</w:t>
            </w:r>
          </w:p>
          <w:p w14:paraId="17D892B2" w14:textId="791CB96D" w:rsidR="00936D9E" w:rsidRDefault="00936D9E" w:rsidP="0037478A">
            <w:pPr>
              <w:spacing w:line="276" w:lineRule="auto"/>
              <w:jc w:val="both"/>
              <w:rPr>
                <w:rFonts w:eastAsia="ITC Avant Garde" w:cs="ITC Avant Garde"/>
              </w:rPr>
            </w:pPr>
          </w:p>
          <w:p w14:paraId="3B0C7370" w14:textId="60AF5CA0" w:rsidR="00936D9E" w:rsidRDefault="00936D9E" w:rsidP="00936D9E">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C41F18">
              <w:rPr>
                <w:rFonts w:eastAsia="ITC Avant Garde" w:cs="ITC Avant Garde"/>
              </w:rPr>
              <w:t>Definición</w:t>
            </w:r>
          </w:p>
          <w:p w14:paraId="67B56A6D" w14:textId="60C93271" w:rsidR="00936D9E" w:rsidRDefault="00936D9E" w:rsidP="00C41F18">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w:t>
            </w:r>
            <w:r w:rsidR="00E45E54">
              <w:rPr>
                <w:rFonts w:eastAsia="ITC Avant Garde" w:cs="ITC Avant Garde"/>
              </w:rPr>
              <w:t xml:space="preserve">ANEXO </w:t>
            </w:r>
            <w:r w:rsidR="00C41F18">
              <w:rPr>
                <w:rFonts w:eastAsia="ITC Avant Garde" w:cs="ITC Avant Garde"/>
              </w:rPr>
              <w:t xml:space="preserve">G. </w:t>
            </w:r>
            <w:r w:rsidR="00C41F18" w:rsidRPr="00C41F18">
              <w:rPr>
                <w:rFonts w:eastAsia="ITC Avant Garde" w:cs="ITC Avant Garde"/>
              </w:rPr>
              <w:t>EJEMPLO DE RECETAS PARA EL LÍQUIDO EQUIVALENTE DEL TEJIDO HUMANO</w:t>
            </w:r>
            <w:r w:rsidR="00C41F18">
              <w:rPr>
                <w:rFonts w:eastAsia="ITC Avant Garde" w:cs="ITC Avant Garde"/>
              </w:rPr>
              <w:t xml:space="preserve"> </w:t>
            </w:r>
            <w:r w:rsidR="00C41F18" w:rsidRPr="00C41F18">
              <w:rPr>
                <w:rFonts w:eastAsia="ITC Avant Garde" w:cs="ITC Avant Garde"/>
              </w:rPr>
              <w:t xml:space="preserve">(LET) DEL </w:t>
            </w:r>
            <w:r w:rsidR="00A52605">
              <w:rPr>
                <w:rFonts w:eastAsia="ITC Avant Garde" w:cs="ITC Avant Garde"/>
              </w:rPr>
              <w:t>MAC</w:t>
            </w:r>
            <w:r w:rsidR="00C41F18" w:rsidRPr="00C41F18">
              <w:rPr>
                <w:rFonts w:eastAsia="ITC Avant Garde" w:cs="ITC Avant Garde"/>
              </w:rPr>
              <w:t>.</w:t>
            </w:r>
          </w:p>
          <w:p w14:paraId="35C0BBA1" w14:textId="6CADC91C" w:rsidR="00936D9E" w:rsidRDefault="00936D9E" w:rsidP="00936D9E">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DC7434">
              <w:rPr>
                <w:rFonts w:eastAsia="ITC Avant Garde" w:cs="ITC Avant Garde"/>
              </w:rPr>
              <w:t>El presente a</w:t>
            </w:r>
            <w:r w:rsidR="00C433A6">
              <w:rPr>
                <w:rFonts w:eastAsia="ITC Avant Garde" w:cs="ITC Avant Garde"/>
              </w:rPr>
              <w:t>nexo tiene el objetivo de proporcionar ejemplos de recetas de LET, que cumplen con las características dieléctricas establecidas en la Tabla 4, para facilitar la fabricación de LET adecuado para emplearse en las pruebas del SAR.</w:t>
            </w:r>
            <w:r w:rsidR="00DC7434">
              <w:rPr>
                <w:rFonts w:eastAsia="ITC Avant Garde" w:cs="ITC Avant Garde"/>
              </w:rPr>
              <w:t xml:space="preserve"> Este anexo es informativo.</w:t>
            </w:r>
          </w:p>
          <w:p w14:paraId="5E027944" w14:textId="4F96D127" w:rsidR="00936D9E" w:rsidRDefault="00936D9E" w:rsidP="0037478A">
            <w:pPr>
              <w:spacing w:line="276" w:lineRule="auto"/>
              <w:jc w:val="both"/>
              <w:rPr>
                <w:rFonts w:eastAsia="ITC Avant Garde" w:cs="ITC Avant Garde"/>
              </w:rPr>
            </w:pPr>
          </w:p>
          <w:p w14:paraId="4407D9FE" w14:textId="34EA91D4" w:rsidR="00936D9E" w:rsidRDefault="00936D9E" w:rsidP="00936D9E">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C433A6">
              <w:rPr>
                <w:rFonts w:eastAsia="ITC Avant Garde" w:cs="ITC Avant Garde"/>
              </w:rPr>
              <w:t>Adopción o seguimiento de metodologías</w:t>
            </w:r>
          </w:p>
          <w:p w14:paraId="7C42C255" w14:textId="4C7713AA" w:rsidR="00936D9E" w:rsidRDefault="00936D9E" w:rsidP="00936D9E">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w:t>
            </w:r>
            <w:r w:rsidR="00E45E54">
              <w:rPr>
                <w:rFonts w:eastAsia="ITC Avant Garde" w:cs="ITC Avant Garde"/>
              </w:rPr>
              <w:t xml:space="preserve">ANEXO </w:t>
            </w:r>
            <w:r w:rsidR="00C433A6">
              <w:rPr>
                <w:rFonts w:eastAsia="ITC Avant Garde" w:cs="ITC Avant Garde"/>
              </w:rPr>
              <w:t>H. TÉCNICAS DE POSPROCESAMIENTO</w:t>
            </w:r>
            <w:r w:rsidR="00A91CFB">
              <w:rPr>
                <w:rFonts w:eastAsia="ITC Avant Garde" w:cs="ITC Avant Garde"/>
              </w:rPr>
              <w:t>.</w:t>
            </w:r>
          </w:p>
          <w:p w14:paraId="282627A6" w14:textId="28DB58E3" w:rsidR="00936D9E" w:rsidRDefault="00936D9E" w:rsidP="00C433A6">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DC7434">
              <w:rPr>
                <w:rFonts w:eastAsia="ITC Avant Garde" w:cs="ITC Avant Garde"/>
              </w:rPr>
              <w:t>El presente a</w:t>
            </w:r>
            <w:r w:rsidR="00C433A6">
              <w:rPr>
                <w:rFonts w:eastAsia="ITC Avant Garde" w:cs="ITC Avant Garde"/>
              </w:rPr>
              <w:t>nexo establece métodos para determinar l</w:t>
            </w:r>
            <w:r w:rsidR="00C433A6" w:rsidRPr="00C433A6">
              <w:rPr>
                <w:rFonts w:eastAsia="ITC Avant Garde" w:cs="ITC Avant Garde"/>
              </w:rPr>
              <w:t xml:space="preserve">a Incertidumbre de la medición </w:t>
            </w:r>
            <w:r w:rsidR="00C433A6">
              <w:rPr>
                <w:rFonts w:eastAsia="ITC Avant Garde" w:cs="ITC Avant Garde"/>
              </w:rPr>
              <w:t xml:space="preserve">a causa </w:t>
            </w:r>
            <w:r w:rsidR="00C433A6" w:rsidRPr="00C433A6">
              <w:rPr>
                <w:rFonts w:eastAsia="ITC Avant Garde" w:cs="ITC Avant Garde"/>
              </w:rPr>
              <w:t>de interpolaciones,</w:t>
            </w:r>
            <w:r w:rsidR="00C433A6">
              <w:rPr>
                <w:rFonts w:eastAsia="ITC Avant Garde" w:cs="ITC Avant Garde"/>
              </w:rPr>
              <w:t xml:space="preserve"> </w:t>
            </w:r>
            <w:r w:rsidR="00C433A6" w:rsidRPr="00C433A6">
              <w:rPr>
                <w:rFonts w:eastAsia="ITC Avant Garde" w:cs="ITC Avant Garde"/>
              </w:rPr>
              <w:t>extrapolaciones y otros procedimientos numéricos</w:t>
            </w:r>
            <w:r w:rsidR="00C433A6">
              <w:rPr>
                <w:rFonts w:eastAsia="ITC Avant Garde" w:cs="ITC Avant Garde"/>
              </w:rPr>
              <w:t xml:space="preserve"> aplicados.</w:t>
            </w:r>
            <w:r w:rsidR="00DC7434">
              <w:rPr>
                <w:rFonts w:eastAsia="ITC Avant Garde" w:cs="ITC Avant Garde"/>
              </w:rPr>
              <w:t xml:space="preserve"> Este anexo es normativo.</w:t>
            </w:r>
          </w:p>
          <w:p w14:paraId="67E29D6E" w14:textId="300BA70B" w:rsidR="00936D9E" w:rsidRDefault="00936D9E" w:rsidP="0037478A">
            <w:pPr>
              <w:spacing w:line="276" w:lineRule="auto"/>
              <w:jc w:val="both"/>
              <w:rPr>
                <w:rFonts w:eastAsia="ITC Avant Garde" w:cs="ITC Avant Garde"/>
              </w:rPr>
            </w:pPr>
          </w:p>
          <w:p w14:paraId="663322EA" w14:textId="0E7DDE0F" w:rsidR="00936D9E" w:rsidRDefault="00936D9E" w:rsidP="00936D9E">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4C1122">
              <w:rPr>
                <w:rFonts w:eastAsia="ITC Avant Garde" w:cs="ITC Avant Garde"/>
              </w:rPr>
              <w:t>Adopción o seguimiento de metodologías</w:t>
            </w:r>
          </w:p>
          <w:p w14:paraId="52CF6537" w14:textId="1A08C146" w:rsidR="00936D9E" w:rsidRDefault="00936D9E" w:rsidP="00936D9E">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w:t>
            </w:r>
            <w:r w:rsidR="00E45E54">
              <w:rPr>
                <w:rFonts w:eastAsia="ITC Avant Garde" w:cs="ITC Avant Garde"/>
              </w:rPr>
              <w:t xml:space="preserve">ANEXO </w:t>
            </w:r>
            <w:r w:rsidR="004C1122">
              <w:rPr>
                <w:rFonts w:eastAsia="ITC Avant Garde" w:cs="ITC Avant Garde"/>
              </w:rPr>
              <w:t xml:space="preserve">I. </w:t>
            </w:r>
            <w:r w:rsidR="004C1122" w:rsidRPr="004C1122">
              <w:rPr>
                <w:rFonts w:eastAsia="ITC Avant Garde" w:cs="ITC Avant Garde"/>
              </w:rPr>
              <w:t>VALIDACIÓN DEL SISTEMA DE MEDICIÓN DEL SAR PARA EL CUERPO</w:t>
            </w:r>
            <w:r w:rsidR="004C1122">
              <w:rPr>
                <w:rFonts w:eastAsia="ITC Avant Garde" w:cs="ITC Avant Garde"/>
              </w:rPr>
              <w:t>.</w:t>
            </w:r>
          </w:p>
          <w:p w14:paraId="796AD2A2" w14:textId="4BBBCA09" w:rsidR="00936D9E" w:rsidRDefault="00936D9E" w:rsidP="00936D9E">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DC7434">
              <w:rPr>
                <w:rFonts w:eastAsia="ITC Avant Garde" w:cs="ITC Avant Garde"/>
              </w:rPr>
              <w:t>Este a</w:t>
            </w:r>
            <w:r w:rsidR="004C1122">
              <w:rPr>
                <w:rFonts w:eastAsia="ITC Avant Garde" w:cs="ITC Avant Garde"/>
              </w:rPr>
              <w:t>nexo proporciona los métodos para revisión del sistema, el cual consiste en verificar la exactitud del sistema; y para validación del sistema, el cual permite validas a nivel sistema las especificaciones del sistema de medición del SAR y sus componentes.</w:t>
            </w:r>
            <w:r w:rsidR="00152C68">
              <w:rPr>
                <w:rFonts w:eastAsia="ITC Avant Garde" w:cs="ITC Avant Garde"/>
              </w:rPr>
              <w:t xml:space="preserve"> Aplica para los sistemas de medición empleados en el numeral 5.2 de la presente DT.</w:t>
            </w:r>
            <w:r w:rsidR="00DC7434">
              <w:rPr>
                <w:rFonts w:eastAsia="ITC Avant Garde" w:cs="ITC Avant Garde"/>
              </w:rPr>
              <w:t xml:space="preserve"> Este anexo es normativo.</w:t>
            </w:r>
          </w:p>
          <w:p w14:paraId="4A14207F" w14:textId="18C7EC0B" w:rsidR="00936D9E" w:rsidRDefault="00936D9E" w:rsidP="0037478A">
            <w:pPr>
              <w:spacing w:line="276" w:lineRule="auto"/>
              <w:jc w:val="both"/>
              <w:rPr>
                <w:rFonts w:eastAsia="ITC Avant Garde" w:cs="ITC Avant Garde"/>
              </w:rPr>
            </w:pPr>
          </w:p>
          <w:p w14:paraId="0B1D3152" w14:textId="532B9F6B" w:rsidR="00936D9E" w:rsidRDefault="00936D9E" w:rsidP="00936D9E">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7A4932">
              <w:rPr>
                <w:rFonts w:eastAsia="ITC Avant Garde" w:cs="ITC Avant Garde"/>
              </w:rPr>
              <w:t>Adopción o seguimiento de metodologías</w:t>
            </w:r>
          </w:p>
          <w:p w14:paraId="79F9D966" w14:textId="6D662DD8" w:rsidR="00936D9E" w:rsidRDefault="00936D9E" w:rsidP="007A4932">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w:t>
            </w:r>
            <w:r w:rsidR="00E45E54">
              <w:rPr>
                <w:rFonts w:eastAsia="ITC Avant Garde" w:cs="ITC Avant Garde"/>
              </w:rPr>
              <w:t xml:space="preserve">ANEXO </w:t>
            </w:r>
            <w:r w:rsidR="007A4932">
              <w:rPr>
                <w:rFonts w:eastAsia="ITC Avant Garde" w:cs="ITC Avant Garde"/>
              </w:rPr>
              <w:t xml:space="preserve">J. </w:t>
            </w:r>
            <w:r w:rsidR="007A4932" w:rsidRPr="007A4932">
              <w:rPr>
                <w:rFonts w:eastAsia="ITC Avant Garde" w:cs="ITC Avant Garde"/>
              </w:rPr>
              <w:t>CORRECCIÓN DEL SAR EN CASO DE DESVIACIÓN DE LA PERMITIVIDAD</w:t>
            </w:r>
            <w:r w:rsidR="007A4932">
              <w:rPr>
                <w:rFonts w:eastAsia="ITC Avant Garde" w:cs="ITC Avant Garde"/>
              </w:rPr>
              <w:t xml:space="preserve"> </w:t>
            </w:r>
            <w:r w:rsidR="007A4932" w:rsidRPr="007A4932">
              <w:rPr>
                <w:rFonts w:eastAsia="ITC Avant Garde" w:cs="ITC Avant Garde"/>
              </w:rPr>
              <w:t>COMPLEJA DE LOS VALORES OBJETIVO</w:t>
            </w:r>
            <w:r w:rsidR="00A91CFB">
              <w:rPr>
                <w:rFonts w:eastAsia="ITC Avant Garde" w:cs="ITC Avant Garde"/>
              </w:rPr>
              <w:t>.</w:t>
            </w:r>
          </w:p>
          <w:p w14:paraId="01160A41" w14:textId="78E38BC0" w:rsidR="00936D9E" w:rsidRDefault="00936D9E" w:rsidP="007A55A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7A55AA">
              <w:rPr>
                <w:rFonts w:eastAsia="ITC Avant Garde" w:cs="ITC Avant Garde"/>
              </w:rPr>
              <w:t>Debido a que las d</w:t>
            </w:r>
            <w:r w:rsidR="007A55AA" w:rsidRPr="007A55AA">
              <w:rPr>
                <w:rFonts w:eastAsia="ITC Avant Garde" w:cs="ITC Avant Garde"/>
              </w:rPr>
              <w:t xml:space="preserve">esviaciones </w:t>
            </w:r>
            <w:r w:rsidR="007A55AA">
              <w:rPr>
                <w:rFonts w:eastAsia="ITC Avant Garde" w:cs="ITC Avant Garde"/>
              </w:rPr>
              <w:t xml:space="preserve">en los </w:t>
            </w:r>
            <w:r w:rsidR="007A55AA" w:rsidRPr="007A55AA">
              <w:rPr>
                <w:rFonts w:eastAsia="ITC Avant Garde" w:cs="ITC Avant Garde"/>
              </w:rPr>
              <w:t>parámetros</w:t>
            </w:r>
            <w:r w:rsidR="007A55AA">
              <w:rPr>
                <w:rFonts w:eastAsia="ITC Avant Garde" w:cs="ITC Avant Garde"/>
              </w:rPr>
              <w:t xml:space="preserve"> dieléctricos del LET</w:t>
            </w:r>
            <w:r w:rsidR="007A55AA" w:rsidRPr="007A55AA">
              <w:rPr>
                <w:rFonts w:eastAsia="ITC Avant Garde" w:cs="ITC Avant Garde"/>
              </w:rPr>
              <w:t xml:space="preserve"> puede</w:t>
            </w:r>
            <w:r w:rsidR="007A55AA">
              <w:rPr>
                <w:rFonts w:eastAsia="ITC Avant Garde" w:cs="ITC Avant Garde"/>
              </w:rPr>
              <w:t>n ocasionar</w:t>
            </w:r>
            <w:r w:rsidR="007A55AA" w:rsidRPr="007A55AA">
              <w:rPr>
                <w:rFonts w:eastAsia="ITC Avant Garde" w:cs="ITC Avant Garde"/>
              </w:rPr>
              <w:t xml:space="preserve"> incertidumbre en la medición. </w:t>
            </w:r>
            <w:r w:rsidR="00DC7434">
              <w:rPr>
                <w:rFonts w:eastAsia="ITC Avant Garde" w:cs="ITC Avant Garde"/>
              </w:rPr>
              <w:t>El presente a</w:t>
            </w:r>
            <w:r w:rsidR="007A55AA">
              <w:rPr>
                <w:rFonts w:eastAsia="ITC Avant Garde" w:cs="ITC Avant Garde"/>
              </w:rPr>
              <w:t>nexo proporciona 3 posibles soluciones a este problema y los métodos para aplicar cada una de estas soluciones.</w:t>
            </w:r>
            <w:r w:rsidR="00DC7434">
              <w:rPr>
                <w:rFonts w:eastAsia="ITC Avant Garde" w:cs="ITC Avant Garde"/>
              </w:rPr>
              <w:t xml:space="preserve"> Este anexo es normativo.</w:t>
            </w:r>
          </w:p>
          <w:p w14:paraId="48B729B4" w14:textId="5CB5A021" w:rsidR="00936D9E" w:rsidRDefault="00936D9E" w:rsidP="0037478A">
            <w:pPr>
              <w:spacing w:line="276" w:lineRule="auto"/>
              <w:jc w:val="both"/>
              <w:rPr>
                <w:rFonts w:eastAsia="ITC Avant Garde" w:cs="ITC Avant Garde"/>
              </w:rPr>
            </w:pPr>
          </w:p>
          <w:p w14:paraId="4F60C04D" w14:textId="75C667C2" w:rsidR="00936D9E" w:rsidRDefault="00936D9E" w:rsidP="00936D9E">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385172">
              <w:rPr>
                <w:rFonts w:eastAsia="ITC Avant Garde" w:cs="ITC Avant Garde"/>
              </w:rPr>
              <w:t>Adopción o seguimiento de metodologías</w:t>
            </w:r>
          </w:p>
          <w:p w14:paraId="4DBE2AEE" w14:textId="265A8FDC" w:rsidR="00936D9E" w:rsidRDefault="00936D9E" w:rsidP="00385172">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w:t>
            </w:r>
            <w:r w:rsidR="00E45E54">
              <w:rPr>
                <w:rFonts w:eastAsia="ITC Avant Garde" w:cs="ITC Avant Garde"/>
              </w:rPr>
              <w:t xml:space="preserve">ANEXO </w:t>
            </w:r>
            <w:r w:rsidR="00385172">
              <w:rPr>
                <w:rFonts w:eastAsia="ITC Avant Garde" w:cs="ITC Avant Garde"/>
              </w:rPr>
              <w:t xml:space="preserve">K. </w:t>
            </w:r>
            <w:r w:rsidR="00385172" w:rsidRPr="00385172">
              <w:rPr>
                <w:rFonts w:eastAsia="ITC Avant Garde" w:cs="ITC Avant Garde"/>
              </w:rPr>
              <w:t>MEDICIÓN DE LAS PROPIEDADES DIELÉCTRICAS DEL LET Y ESTIMACIÓN DE LA</w:t>
            </w:r>
            <w:r w:rsidR="00385172">
              <w:rPr>
                <w:rFonts w:eastAsia="ITC Avant Garde" w:cs="ITC Avant Garde"/>
              </w:rPr>
              <w:t xml:space="preserve"> </w:t>
            </w:r>
            <w:r w:rsidR="00385172" w:rsidRPr="00385172">
              <w:rPr>
                <w:rFonts w:eastAsia="ITC Avant Garde" w:cs="ITC Avant Garde"/>
              </w:rPr>
              <w:t>INCERTIDUMBRE (MSH)</w:t>
            </w:r>
            <w:r w:rsidR="00A91CFB">
              <w:rPr>
                <w:rFonts w:eastAsia="ITC Avant Garde" w:cs="ITC Avant Garde"/>
              </w:rPr>
              <w:t>.</w:t>
            </w:r>
          </w:p>
          <w:p w14:paraId="1381C7F4" w14:textId="7EF20F78" w:rsidR="00936D9E" w:rsidRDefault="00936D9E" w:rsidP="00936D9E">
            <w:pPr>
              <w:spacing w:line="276" w:lineRule="auto"/>
              <w:jc w:val="both"/>
              <w:rPr>
                <w:rFonts w:eastAsia="ITC Avant Garde" w:cs="ITC Avant Garde"/>
              </w:rPr>
            </w:pPr>
            <w:r>
              <w:rPr>
                <w:rFonts w:eastAsia="ITC Avant Garde" w:cs="ITC Avant Garde"/>
                <w:b/>
              </w:rPr>
              <w:lastRenderedPageBreak/>
              <w:t>Justificación:</w:t>
            </w:r>
            <w:r>
              <w:rPr>
                <w:rFonts w:eastAsia="ITC Avant Garde" w:cs="ITC Avant Garde"/>
              </w:rPr>
              <w:t xml:space="preserve"> </w:t>
            </w:r>
            <w:r w:rsidR="00385172">
              <w:rPr>
                <w:rFonts w:eastAsia="ITC Avant Garde" w:cs="ITC Avant Garde"/>
              </w:rPr>
              <w:t>El presente</w:t>
            </w:r>
            <w:r w:rsidR="00DC7434">
              <w:rPr>
                <w:rFonts w:eastAsia="ITC Avant Garde" w:cs="ITC Avant Garde"/>
              </w:rPr>
              <w:t xml:space="preserve"> a</w:t>
            </w:r>
            <w:r w:rsidR="00385172" w:rsidRPr="00266F38">
              <w:rPr>
                <w:rFonts w:eastAsia="ITC Avant Garde" w:cs="ITC Avant Garde"/>
              </w:rPr>
              <w:t xml:space="preserve">nexo describe </w:t>
            </w:r>
            <w:r w:rsidR="00385172">
              <w:rPr>
                <w:rFonts w:eastAsia="ITC Avant Garde" w:cs="ITC Avant Garde"/>
              </w:rPr>
              <w:t>los métodos para medir</w:t>
            </w:r>
            <w:r w:rsidR="00385172" w:rsidRPr="00266F38">
              <w:rPr>
                <w:rFonts w:eastAsia="ITC Avant Garde" w:cs="ITC Avant Garde"/>
              </w:rPr>
              <w:t xml:space="preserve"> las propiedades</w:t>
            </w:r>
            <w:r w:rsidR="00385172">
              <w:rPr>
                <w:rFonts w:eastAsia="ITC Avant Garde" w:cs="ITC Avant Garde"/>
              </w:rPr>
              <w:t xml:space="preserve"> </w:t>
            </w:r>
            <w:r w:rsidR="00385172" w:rsidRPr="00266F38">
              <w:rPr>
                <w:rFonts w:eastAsia="ITC Avant Garde" w:cs="ITC Avant Garde"/>
              </w:rPr>
              <w:t>dieléctricas del LET, asimismo</w:t>
            </w:r>
            <w:r w:rsidR="00385172">
              <w:rPr>
                <w:rFonts w:eastAsia="ITC Avant Garde" w:cs="ITC Avant Garde"/>
              </w:rPr>
              <w:t xml:space="preserve"> proporciona</w:t>
            </w:r>
            <w:r w:rsidR="00385172" w:rsidRPr="00266F38">
              <w:rPr>
                <w:rFonts w:eastAsia="ITC Avant Garde" w:cs="ITC Avant Garde"/>
              </w:rPr>
              <w:t xml:space="preserve"> detalles</w:t>
            </w:r>
            <w:r w:rsidR="00385172">
              <w:rPr>
                <w:rFonts w:eastAsia="ITC Avant Garde" w:cs="ITC Avant Garde"/>
              </w:rPr>
              <w:t xml:space="preserve"> de estos métodos</w:t>
            </w:r>
            <w:r w:rsidR="00385172" w:rsidRPr="00266F38">
              <w:rPr>
                <w:rFonts w:eastAsia="ITC Avant Garde" w:cs="ITC Avant Garde"/>
              </w:rPr>
              <w:t xml:space="preserve"> para que se seleccione un método en función de la</w:t>
            </w:r>
            <w:r w:rsidR="00385172">
              <w:rPr>
                <w:rFonts w:eastAsia="ITC Avant Garde" w:cs="ITC Avant Garde"/>
              </w:rPr>
              <w:t xml:space="preserve"> </w:t>
            </w:r>
            <w:r w:rsidR="00385172" w:rsidRPr="00266F38">
              <w:rPr>
                <w:rFonts w:eastAsia="ITC Avant Garde" w:cs="ITC Avant Garde"/>
              </w:rPr>
              <w:t xml:space="preserve">conveniencia y el rendimiento. </w:t>
            </w:r>
            <w:r w:rsidR="00385172">
              <w:rPr>
                <w:rFonts w:eastAsia="ITC Avant Garde" w:cs="ITC Avant Garde"/>
              </w:rPr>
              <w:t>También se proporcionan</w:t>
            </w:r>
            <w:r w:rsidR="00385172" w:rsidRPr="00266F38">
              <w:rPr>
                <w:rFonts w:eastAsia="ITC Avant Garde" w:cs="ITC Avant Garde"/>
              </w:rPr>
              <w:t xml:space="preserve"> propiedades dieléctricas de algunos </w:t>
            </w:r>
            <w:r w:rsidR="00385172">
              <w:rPr>
                <w:rFonts w:eastAsia="ITC Avant Garde" w:cs="ITC Avant Garde"/>
              </w:rPr>
              <w:t>LET</w:t>
            </w:r>
            <w:r w:rsidR="00385172" w:rsidRPr="00266F38">
              <w:rPr>
                <w:rFonts w:eastAsia="ITC Avant Garde" w:cs="ITC Avant Garde"/>
              </w:rPr>
              <w:t xml:space="preserve"> de</w:t>
            </w:r>
            <w:r w:rsidR="00385172">
              <w:rPr>
                <w:rFonts w:eastAsia="ITC Avant Garde" w:cs="ITC Avant Garde"/>
              </w:rPr>
              <w:t xml:space="preserve"> </w:t>
            </w:r>
            <w:r w:rsidR="00385172" w:rsidRPr="00266F38">
              <w:rPr>
                <w:rFonts w:eastAsia="ITC Avant Garde" w:cs="ITC Avant Garde"/>
              </w:rPr>
              <w:t>referencia para evaluar el</w:t>
            </w:r>
            <w:r w:rsidR="00385172">
              <w:rPr>
                <w:rFonts w:eastAsia="ITC Avant Garde" w:cs="ITC Avant Garde"/>
              </w:rPr>
              <w:t xml:space="preserve"> </w:t>
            </w:r>
            <w:r w:rsidR="00385172" w:rsidRPr="00266F38">
              <w:rPr>
                <w:rFonts w:eastAsia="ITC Avant Garde" w:cs="ITC Avant Garde"/>
              </w:rPr>
              <w:t xml:space="preserve">rendimiento de </w:t>
            </w:r>
            <w:r w:rsidR="00385172">
              <w:rPr>
                <w:rFonts w:eastAsia="ITC Avant Garde" w:cs="ITC Avant Garde"/>
              </w:rPr>
              <w:t>los procedimientos de medición. Aplica a los LET empleados en las mediciones indicadas en el numeral 5.2.</w:t>
            </w:r>
            <w:r w:rsidR="00DC7434">
              <w:rPr>
                <w:rFonts w:eastAsia="ITC Avant Garde" w:cs="ITC Avant Garde"/>
              </w:rPr>
              <w:t xml:space="preserve"> Este anexo es informativo.</w:t>
            </w:r>
          </w:p>
          <w:p w14:paraId="3ECCE8FB" w14:textId="1828B07A" w:rsidR="00936D9E" w:rsidRDefault="00936D9E" w:rsidP="0037478A">
            <w:pPr>
              <w:spacing w:line="276" w:lineRule="auto"/>
              <w:jc w:val="both"/>
              <w:rPr>
                <w:rFonts w:eastAsia="ITC Avant Garde" w:cs="ITC Avant Garde"/>
              </w:rPr>
            </w:pPr>
          </w:p>
          <w:p w14:paraId="398CFD62" w14:textId="70800F38" w:rsidR="00936D9E" w:rsidRDefault="00936D9E" w:rsidP="00936D9E">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C3451F">
              <w:rPr>
                <w:rFonts w:eastAsia="ITC Avant Garde" w:cs="ITC Avant Garde"/>
              </w:rPr>
              <w:t>Adopción o seguimiento de metodologías</w:t>
            </w:r>
          </w:p>
          <w:p w14:paraId="70E17E6D" w14:textId="35745A0B" w:rsidR="00936D9E" w:rsidRDefault="00936D9E" w:rsidP="00936D9E">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w:t>
            </w:r>
            <w:r w:rsidR="009D6C11">
              <w:rPr>
                <w:rFonts w:eastAsia="ITC Avant Garde" w:cs="ITC Avant Garde"/>
              </w:rPr>
              <w:t xml:space="preserve">ANEXO </w:t>
            </w:r>
            <w:r w:rsidR="00C3451F">
              <w:rPr>
                <w:rFonts w:eastAsia="ITC Avant Garde" w:cs="ITC Avant Garde"/>
              </w:rPr>
              <w:t xml:space="preserve">L. </w:t>
            </w:r>
            <w:r w:rsidR="00C3451F" w:rsidRPr="00C3451F">
              <w:rPr>
                <w:rFonts w:eastAsia="ITC Avant Garde" w:cs="ITC Avant Garde"/>
              </w:rPr>
              <w:t>PROCEDIMIENTO DE AJUSTE DE LA POTENCIA</w:t>
            </w:r>
            <w:r w:rsidR="00A91CFB">
              <w:rPr>
                <w:rFonts w:eastAsia="ITC Avant Garde" w:cs="ITC Avant Garde"/>
              </w:rPr>
              <w:t>.</w:t>
            </w:r>
          </w:p>
          <w:p w14:paraId="15BC1609" w14:textId="5839FC9A" w:rsidR="00936D9E" w:rsidRDefault="00936D9E" w:rsidP="00936D9E">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DC7434">
              <w:rPr>
                <w:rFonts w:eastAsia="ITC Avant Garde" w:cs="ITC Avant Garde"/>
              </w:rPr>
              <w:t>El presente a</w:t>
            </w:r>
            <w:r w:rsidR="00C979E8">
              <w:rPr>
                <w:rFonts w:eastAsia="ITC Avant Garde" w:cs="ITC Avant Garde"/>
              </w:rPr>
              <w:t>nexo establece un procedimiento para extrapolar el SAR de un EBP con una señal de prueba determinada a un SAR del mismo DCI con una modulación diferente.</w:t>
            </w:r>
            <w:r w:rsidR="00DC7434">
              <w:rPr>
                <w:rFonts w:eastAsia="ITC Avant Garde" w:cs="ITC Avant Garde"/>
              </w:rPr>
              <w:t xml:space="preserve"> Este anexo es normativo.</w:t>
            </w:r>
          </w:p>
          <w:p w14:paraId="6C06EE1E" w14:textId="46368E81" w:rsidR="00936D9E" w:rsidRDefault="00936D9E" w:rsidP="0037478A">
            <w:pPr>
              <w:spacing w:line="276" w:lineRule="auto"/>
              <w:jc w:val="both"/>
              <w:rPr>
                <w:rFonts w:eastAsia="ITC Avant Garde" w:cs="ITC Avant Garde"/>
              </w:rPr>
            </w:pPr>
          </w:p>
          <w:p w14:paraId="2CECDC11" w14:textId="5AD0BAF4" w:rsidR="00936D9E" w:rsidRDefault="00936D9E" w:rsidP="00936D9E">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431DD5">
              <w:rPr>
                <w:rFonts w:eastAsia="ITC Avant Garde" w:cs="ITC Avant Garde"/>
              </w:rPr>
              <w:t>Estándar técnico</w:t>
            </w:r>
          </w:p>
          <w:p w14:paraId="15C3377E" w14:textId="16C25280" w:rsidR="00936D9E" w:rsidRDefault="00936D9E" w:rsidP="00936D9E">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w:t>
            </w:r>
            <w:r w:rsidR="009D6C11">
              <w:rPr>
                <w:rFonts w:eastAsia="ITC Avant Garde" w:cs="ITC Avant Garde"/>
              </w:rPr>
              <w:t xml:space="preserve">ANEXO </w:t>
            </w:r>
            <w:r w:rsidR="00431DD5">
              <w:rPr>
                <w:rFonts w:eastAsia="ITC Avant Garde" w:cs="ITC Avant Garde"/>
              </w:rPr>
              <w:t xml:space="preserve">M. </w:t>
            </w:r>
            <w:r w:rsidR="00431DD5" w:rsidRPr="00431DD5">
              <w:rPr>
                <w:rFonts w:eastAsia="ITC Avant Garde" w:cs="ITC Avant Garde"/>
              </w:rPr>
              <w:t>JUSTIFICACIÓN DE LOS P</w:t>
            </w:r>
            <w:r w:rsidR="00431DD5">
              <w:rPr>
                <w:rFonts w:eastAsia="ITC Avant Garde" w:cs="ITC Avant Garde"/>
              </w:rPr>
              <w:t>ARÁMETROS DE LA SONDA DE PRUEBA</w:t>
            </w:r>
            <w:r w:rsidR="00A91CFB">
              <w:rPr>
                <w:rFonts w:eastAsia="ITC Avant Garde" w:cs="ITC Avant Garde"/>
              </w:rPr>
              <w:t>.</w:t>
            </w:r>
          </w:p>
          <w:p w14:paraId="7D34A2E7" w14:textId="326A448B" w:rsidR="00936D9E" w:rsidRDefault="00936D9E" w:rsidP="00936D9E">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B00285">
              <w:rPr>
                <w:rFonts w:eastAsia="ITC Avant Garde" w:cs="ITC Avant Garde"/>
              </w:rPr>
              <w:t xml:space="preserve">En el presente </w:t>
            </w:r>
            <w:r w:rsidR="00DC7434">
              <w:rPr>
                <w:rFonts w:eastAsia="ITC Avant Garde" w:cs="ITC Avant Garde"/>
              </w:rPr>
              <w:t>a</w:t>
            </w:r>
            <w:r w:rsidR="00431DD5">
              <w:rPr>
                <w:rFonts w:eastAsia="ITC Avant Garde" w:cs="ITC Avant Garde"/>
              </w:rPr>
              <w:t xml:space="preserve">nexo se </w:t>
            </w:r>
            <w:r w:rsidR="00B00285">
              <w:rPr>
                <w:rFonts w:eastAsia="ITC Avant Garde" w:cs="ITC Avant Garde"/>
              </w:rPr>
              <w:t>discuten las razones que dan lugar a las características requeridas de las sondas empleadas en la presente DT.</w:t>
            </w:r>
            <w:r w:rsidR="00DC7434">
              <w:rPr>
                <w:rFonts w:eastAsia="ITC Avant Garde" w:cs="ITC Avant Garde"/>
              </w:rPr>
              <w:t xml:space="preserve"> Este anexo es informativo.</w:t>
            </w:r>
          </w:p>
          <w:p w14:paraId="3605B245" w14:textId="4ABDD9CA" w:rsidR="00936D9E" w:rsidRDefault="00936D9E" w:rsidP="0037478A">
            <w:pPr>
              <w:spacing w:line="276" w:lineRule="auto"/>
              <w:jc w:val="both"/>
              <w:rPr>
                <w:rFonts w:eastAsia="ITC Avant Garde" w:cs="ITC Avant Garde"/>
              </w:rPr>
            </w:pPr>
          </w:p>
          <w:p w14:paraId="15451782" w14:textId="0EDDF042" w:rsidR="00936D9E" w:rsidRDefault="00936D9E" w:rsidP="00936D9E">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B00285">
              <w:rPr>
                <w:rFonts w:eastAsia="ITC Avant Garde" w:cs="ITC Avant Garde"/>
              </w:rPr>
              <w:t>Estándar técnico</w:t>
            </w:r>
          </w:p>
          <w:p w14:paraId="16A39ADD" w14:textId="0C965950" w:rsidR="00936D9E" w:rsidRDefault="00936D9E" w:rsidP="00936D9E">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w:t>
            </w:r>
            <w:r w:rsidR="009D6C11">
              <w:rPr>
                <w:rFonts w:eastAsia="ITC Avant Garde" w:cs="ITC Avant Garde"/>
              </w:rPr>
              <w:t xml:space="preserve">ANEXO </w:t>
            </w:r>
            <w:r w:rsidR="00B00285">
              <w:rPr>
                <w:rFonts w:eastAsia="ITC Avant Garde" w:cs="ITC Avant Garde"/>
              </w:rPr>
              <w:t xml:space="preserve">N. </w:t>
            </w:r>
            <w:r w:rsidR="00B00285" w:rsidRPr="00B00285">
              <w:rPr>
                <w:rFonts w:eastAsia="ITC Avant Garde" w:cs="ITC Avant Garde"/>
              </w:rPr>
              <w:t xml:space="preserve">DEFINICIÓN DE UN SISTEMA DE COORDENADAS PARA EL </w:t>
            </w:r>
            <w:r w:rsidR="00A52605">
              <w:rPr>
                <w:rFonts w:eastAsia="ITC Avant Garde" w:cs="ITC Avant Garde"/>
              </w:rPr>
              <w:t>MAC</w:t>
            </w:r>
            <w:r w:rsidR="00B00285" w:rsidRPr="00B00285">
              <w:rPr>
                <w:rFonts w:eastAsia="ITC Avant Garde" w:cs="ITC Avant Garde"/>
              </w:rPr>
              <w:t xml:space="preserve"> Y EL EBP</w:t>
            </w:r>
            <w:r w:rsidR="00A91CFB">
              <w:rPr>
                <w:rFonts w:eastAsia="ITC Avant Garde" w:cs="ITC Avant Garde"/>
              </w:rPr>
              <w:t>.</w:t>
            </w:r>
          </w:p>
          <w:p w14:paraId="1D78D273" w14:textId="783E0142" w:rsidR="00936D9E" w:rsidRDefault="00936D9E" w:rsidP="00936D9E">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DC7434">
              <w:rPr>
                <w:rFonts w:eastAsia="ITC Avant Garde" w:cs="ITC Avant Garde"/>
              </w:rPr>
              <w:t>El presente a</w:t>
            </w:r>
            <w:r w:rsidR="00B00285">
              <w:rPr>
                <w:rFonts w:eastAsia="ITC Avant Garde" w:cs="ITC Avant Garde"/>
              </w:rPr>
              <w:t xml:space="preserve">nexo tiene el objetivo de definir un sistema de coordenadas de referencia que pueda ser utilizado para proporcionar una descripción inequívoca de la posición del EBP con respecto al </w:t>
            </w:r>
            <w:r w:rsidR="00A52605">
              <w:rPr>
                <w:rFonts w:eastAsia="ITC Avant Garde" w:cs="ITC Avant Garde"/>
              </w:rPr>
              <w:t>MAC</w:t>
            </w:r>
            <w:r w:rsidR="00B00285">
              <w:rPr>
                <w:rFonts w:eastAsia="ITC Avant Garde" w:cs="ITC Avant Garde"/>
              </w:rPr>
              <w:t>.</w:t>
            </w:r>
            <w:r w:rsidR="00DC7434">
              <w:rPr>
                <w:rFonts w:eastAsia="ITC Avant Garde" w:cs="ITC Avant Garde"/>
              </w:rPr>
              <w:t xml:space="preserve"> Este anexo es informativo.</w:t>
            </w:r>
          </w:p>
          <w:p w14:paraId="7058F39F" w14:textId="3CBA9A49" w:rsidR="00936D9E" w:rsidRDefault="00936D9E" w:rsidP="0037478A">
            <w:pPr>
              <w:spacing w:line="276" w:lineRule="auto"/>
              <w:jc w:val="both"/>
              <w:rPr>
                <w:rFonts w:eastAsia="ITC Avant Garde" w:cs="ITC Avant Garde"/>
              </w:rPr>
            </w:pPr>
          </w:p>
          <w:p w14:paraId="13BCA2DD" w14:textId="72116B01" w:rsidR="00936D9E" w:rsidRDefault="00936D9E" w:rsidP="00936D9E">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B00285">
              <w:rPr>
                <w:rFonts w:eastAsia="ITC Avant Garde" w:cs="ITC Avant Garde"/>
              </w:rPr>
              <w:t>Adopción o seguimiento de metodologías</w:t>
            </w:r>
          </w:p>
          <w:p w14:paraId="46C0A82A" w14:textId="61526659" w:rsidR="00936D9E" w:rsidRDefault="00936D9E" w:rsidP="00936D9E">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w:t>
            </w:r>
            <w:r w:rsidR="009D6C11">
              <w:rPr>
                <w:rFonts w:eastAsia="ITC Avant Garde" w:cs="ITC Avant Garde"/>
              </w:rPr>
              <w:t xml:space="preserve">ANEXO </w:t>
            </w:r>
            <w:r w:rsidR="00B00285">
              <w:rPr>
                <w:rFonts w:eastAsia="ITC Avant Garde" w:cs="ITC Avant Garde"/>
              </w:rPr>
              <w:t xml:space="preserve">O. </w:t>
            </w:r>
            <w:r w:rsidR="00A91CFB" w:rsidRPr="00A91CFB">
              <w:rPr>
                <w:rFonts w:eastAsia="ITC Avant Garde" w:cs="ITC Avant Garde"/>
              </w:rPr>
              <w:t>ESTIMACIÓN DE LA INCERTIDUMBRE PARA LAS PRUEBAS INDICADAS EN EL NUMERAL 5.2</w:t>
            </w:r>
            <w:r w:rsidR="00A91CFB">
              <w:rPr>
                <w:rFonts w:eastAsia="ITC Avant Garde" w:cs="ITC Avant Garde"/>
              </w:rPr>
              <w:t>.</w:t>
            </w:r>
          </w:p>
          <w:p w14:paraId="68002FB8" w14:textId="1A232389" w:rsidR="00936D9E" w:rsidRDefault="00936D9E" w:rsidP="00936D9E">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DC7434">
              <w:rPr>
                <w:rFonts w:eastAsia="ITC Avant Garde" w:cs="ITC Avant Garde"/>
              </w:rPr>
              <w:t>El presente a</w:t>
            </w:r>
            <w:r w:rsidR="00AB0381">
              <w:rPr>
                <w:rFonts w:eastAsia="ITC Avant Garde" w:cs="ITC Avant Garde"/>
              </w:rPr>
              <w:t>nexo tiene el objetivo de proporcionar toda la información necesaria para facilitar la estimación de la Incertidumbre de las mediciones del SAR realizadas de acuerdo a lo establecido en el numeral 5.2 de la presente DT.</w:t>
            </w:r>
            <w:r w:rsidR="00DC7434">
              <w:rPr>
                <w:rFonts w:eastAsia="ITC Avant Garde" w:cs="ITC Avant Garde"/>
              </w:rPr>
              <w:t xml:space="preserve"> Este anexo es normativo.</w:t>
            </w:r>
          </w:p>
          <w:p w14:paraId="5DBDA5A7" w14:textId="5A174814" w:rsidR="00936D9E" w:rsidRDefault="00936D9E" w:rsidP="0037478A">
            <w:pPr>
              <w:spacing w:line="276" w:lineRule="auto"/>
              <w:jc w:val="both"/>
              <w:rPr>
                <w:rFonts w:eastAsia="ITC Avant Garde" w:cs="ITC Avant Garde"/>
              </w:rPr>
            </w:pPr>
          </w:p>
          <w:p w14:paraId="30D91384" w14:textId="51A21F95" w:rsidR="00936D9E" w:rsidRDefault="00936D9E" w:rsidP="00936D9E">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AB0381">
              <w:rPr>
                <w:rFonts w:eastAsia="ITC Avant Garde" w:cs="ITC Avant Garde"/>
              </w:rPr>
              <w:t>Adopción o seguimiento de metodologías</w:t>
            </w:r>
          </w:p>
          <w:p w14:paraId="12CE69C6" w14:textId="711E4F90" w:rsidR="00936D9E" w:rsidRDefault="00936D9E" w:rsidP="00AB0381">
            <w:pPr>
              <w:spacing w:line="276" w:lineRule="auto"/>
              <w:jc w:val="both"/>
              <w:rPr>
                <w:rFonts w:eastAsia="ITC Avant Garde" w:cs="ITC Avant Garde"/>
              </w:rPr>
            </w:pPr>
            <w:r>
              <w:rPr>
                <w:rFonts w:eastAsia="ITC Avant Garde" w:cs="ITC Avant Garde"/>
                <w:b/>
              </w:rPr>
              <w:lastRenderedPageBreak/>
              <w:t>Artículos aplicables:</w:t>
            </w:r>
            <w:r>
              <w:rPr>
                <w:rFonts w:eastAsia="ITC Avant Garde" w:cs="ITC Avant Garde"/>
              </w:rPr>
              <w:t xml:space="preserve"> </w:t>
            </w:r>
            <w:r w:rsidR="009D6C11">
              <w:rPr>
                <w:rFonts w:eastAsia="ITC Avant Garde" w:cs="ITC Avant Garde"/>
              </w:rPr>
              <w:t xml:space="preserve">ANEXO </w:t>
            </w:r>
            <w:r w:rsidR="00AB0381">
              <w:rPr>
                <w:rFonts w:eastAsia="ITC Avant Garde" w:cs="ITC Avant Garde"/>
              </w:rPr>
              <w:t xml:space="preserve">P. </w:t>
            </w:r>
            <w:r w:rsidR="00AB0381" w:rsidRPr="00AB0381">
              <w:rPr>
                <w:rFonts w:eastAsia="ITC Avant Garde" w:cs="ITC Avant Garde"/>
              </w:rPr>
              <w:t>ESTIMACIÓN DE LA INCERTIDUMBRE PARA LAS PRUEBAS INDICADAS EN EL</w:t>
            </w:r>
            <w:r w:rsidR="00AB0381">
              <w:rPr>
                <w:rFonts w:eastAsia="ITC Avant Garde" w:cs="ITC Avant Garde"/>
              </w:rPr>
              <w:t xml:space="preserve"> </w:t>
            </w:r>
            <w:r w:rsidR="00AB0381" w:rsidRPr="00AB0381">
              <w:rPr>
                <w:rFonts w:eastAsia="ITC Avant Garde" w:cs="ITC Avant Garde"/>
              </w:rPr>
              <w:t>NUMERAL 5.1</w:t>
            </w:r>
            <w:r w:rsidR="00EF3F67">
              <w:rPr>
                <w:rFonts w:eastAsia="ITC Avant Garde" w:cs="ITC Avant Garde"/>
              </w:rPr>
              <w:t>.</w:t>
            </w:r>
          </w:p>
          <w:p w14:paraId="13BC9AF6" w14:textId="6331496D" w:rsidR="00936D9E" w:rsidRDefault="00936D9E" w:rsidP="00936D9E">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AB0381">
              <w:rPr>
                <w:rFonts w:eastAsia="ITC Avant Garde" w:cs="ITC Avant Garde"/>
              </w:rPr>
              <w:t xml:space="preserve">El presente </w:t>
            </w:r>
            <w:r w:rsidR="00DC7434">
              <w:rPr>
                <w:rFonts w:eastAsia="ITC Avant Garde" w:cs="ITC Avant Garde"/>
              </w:rPr>
              <w:t>a</w:t>
            </w:r>
            <w:r w:rsidR="00AB0381">
              <w:rPr>
                <w:rFonts w:eastAsia="ITC Avant Garde" w:cs="ITC Avant Garde"/>
              </w:rPr>
              <w:t>nexo tiene el objetivo de proporcionar toda la información necesaria para facilitar la estimación de la Incertidumbre de las mediciones del SAR realizadas de acuerdo a lo establecido en el numeral 5.1 de la presente DT.</w:t>
            </w:r>
            <w:r w:rsidR="00DC7434">
              <w:rPr>
                <w:rFonts w:eastAsia="ITC Avant Garde" w:cs="ITC Avant Garde"/>
              </w:rPr>
              <w:t xml:space="preserve"> Este anexo es normativo.</w:t>
            </w:r>
          </w:p>
          <w:p w14:paraId="4A350D51" w14:textId="57037FC4" w:rsidR="00936D9E" w:rsidRDefault="00936D9E" w:rsidP="0037478A">
            <w:pPr>
              <w:spacing w:line="276" w:lineRule="auto"/>
              <w:jc w:val="both"/>
              <w:rPr>
                <w:rFonts w:eastAsia="ITC Avant Garde" w:cs="ITC Avant Garde"/>
              </w:rPr>
            </w:pPr>
          </w:p>
          <w:p w14:paraId="177B5E37" w14:textId="388A44F3" w:rsidR="00936D9E" w:rsidRDefault="00936D9E" w:rsidP="00936D9E">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673AF6">
              <w:rPr>
                <w:rFonts w:eastAsia="ITC Avant Garde" w:cs="ITC Avant Garde"/>
              </w:rPr>
              <w:t>Estándar técnico</w:t>
            </w:r>
          </w:p>
          <w:p w14:paraId="72DA24CA" w14:textId="094086F5" w:rsidR="00936D9E" w:rsidRDefault="00936D9E" w:rsidP="00936D9E">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w:t>
            </w:r>
            <w:r w:rsidR="009D6C11">
              <w:rPr>
                <w:rFonts w:eastAsia="ITC Avant Garde" w:cs="ITC Avant Garde"/>
              </w:rPr>
              <w:t xml:space="preserve">ANEXO </w:t>
            </w:r>
            <w:r w:rsidR="00673AF6">
              <w:rPr>
                <w:rFonts w:eastAsia="ITC Avant Garde" w:cs="ITC Avant Garde"/>
              </w:rPr>
              <w:t xml:space="preserve">Q. </w:t>
            </w:r>
            <w:r w:rsidR="00673AF6" w:rsidRPr="00673AF6">
              <w:rPr>
                <w:rFonts w:eastAsia="ITC Avant Garde" w:cs="ITC Avant Garde"/>
              </w:rPr>
              <w:t>FUENTES PARA LA</w:t>
            </w:r>
            <w:r w:rsidR="00673AF6">
              <w:rPr>
                <w:rFonts w:eastAsia="ITC Avant Garde" w:cs="ITC Avant Garde"/>
              </w:rPr>
              <w:t xml:space="preserve"> VALIDACIÓN DEL SISTEMA DEL SAR</w:t>
            </w:r>
            <w:r w:rsidR="00DA68B0">
              <w:rPr>
                <w:rFonts w:eastAsia="ITC Avant Garde" w:cs="ITC Avant Garde"/>
              </w:rPr>
              <w:t xml:space="preserve"> EMPLEADO EN EL NUMERAL 5.1</w:t>
            </w:r>
            <w:r w:rsidR="00EF3F67">
              <w:rPr>
                <w:rFonts w:eastAsia="ITC Avant Garde" w:cs="ITC Avant Garde"/>
              </w:rPr>
              <w:t>.</w:t>
            </w:r>
          </w:p>
          <w:p w14:paraId="35C25E28" w14:textId="43A4F6C4" w:rsidR="00936D9E" w:rsidRDefault="00936D9E" w:rsidP="00936D9E">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DC7434">
              <w:rPr>
                <w:rFonts w:eastAsia="ITC Avant Garde" w:cs="ITC Avant Garde"/>
              </w:rPr>
              <w:t>El presente a</w:t>
            </w:r>
            <w:r w:rsidR="00DA68B0">
              <w:rPr>
                <w:rFonts w:eastAsia="ITC Avant Garde" w:cs="ITC Avant Garde"/>
              </w:rPr>
              <w:t xml:space="preserve">nexo establece las fuentes </w:t>
            </w:r>
            <w:r w:rsidR="00766AC7">
              <w:rPr>
                <w:rFonts w:eastAsia="ITC Avant Garde" w:cs="ITC Avant Garde"/>
              </w:rPr>
              <w:t xml:space="preserve">estándar </w:t>
            </w:r>
            <w:r w:rsidR="00DA68B0">
              <w:rPr>
                <w:rFonts w:eastAsia="ITC Avant Garde" w:cs="ITC Avant Garde"/>
              </w:rPr>
              <w:t xml:space="preserve">de radiación electromagnética de radiofrecuencia no ionizante que </w:t>
            </w:r>
            <w:r w:rsidR="00D112CE">
              <w:rPr>
                <w:rFonts w:eastAsia="ITC Avant Garde" w:cs="ITC Avant Garde"/>
              </w:rPr>
              <w:t>serán empleadas en el procedimiento de validación del sistema de medición del SAR empleado para realizar las pruebas indicadas en el numeral 5.1. Lo anterior permite conocer el desempeño de cada sistema, independientemente del fabricante, al observar su comportamiento ante una fuente caracterizada y repetible.</w:t>
            </w:r>
            <w:r w:rsidR="00DC7434">
              <w:rPr>
                <w:rFonts w:eastAsia="ITC Avant Garde" w:cs="ITC Avant Garde"/>
              </w:rPr>
              <w:t xml:space="preserve"> Este anexo es normativo.</w:t>
            </w:r>
          </w:p>
          <w:p w14:paraId="3C496542" w14:textId="1AA4A162" w:rsidR="00936D9E" w:rsidRDefault="00936D9E" w:rsidP="0037478A">
            <w:pPr>
              <w:spacing w:line="276" w:lineRule="auto"/>
              <w:jc w:val="both"/>
              <w:rPr>
                <w:rFonts w:eastAsia="ITC Avant Garde" w:cs="ITC Avant Garde"/>
              </w:rPr>
            </w:pPr>
          </w:p>
          <w:p w14:paraId="3D89C2FA" w14:textId="0FBD2B4F" w:rsidR="00936D9E" w:rsidRDefault="00936D9E" w:rsidP="00936D9E">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7D5AAA">
              <w:rPr>
                <w:rFonts w:eastAsia="ITC Avant Garde" w:cs="ITC Avant Garde"/>
              </w:rPr>
              <w:t>Estándar técnico</w:t>
            </w:r>
          </w:p>
          <w:p w14:paraId="6909B407" w14:textId="357C74CB" w:rsidR="00936D9E" w:rsidRDefault="00936D9E" w:rsidP="00936D9E">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w:t>
            </w:r>
            <w:r w:rsidR="009D6C11">
              <w:rPr>
                <w:rFonts w:eastAsia="ITC Avant Garde" w:cs="ITC Avant Garde"/>
              </w:rPr>
              <w:t xml:space="preserve">ANEXO </w:t>
            </w:r>
            <w:r w:rsidR="007D5AAA">
              <w:rPr>
                <w:rFonts w:eastAsia="ITC Avant Garde" w:cs="ITC Avant Garde"/>
              </w:rPr>
              <w:t>R. MSH PLANO</w:t>
            </w:r>
            <w:r w:rsidR="00EF3F67">
              <w:rPr>
                <w:rFonts w:eastAsia="ITC Avant Garde" w:cs="ITC Avant Garde"/>
              </w:rPr>
              <w:t>.</w:t>
            </w:r>
          </w:p>
          <w:p w14:paraId="344C6E20" w14:textId="79ADD30C" w:rsidR="00936D9E" w:rsidRDefault="00936D9E" w:rsidP="00936D9E">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DC7434">
              <w:rPr>
                <w:rFonts w:eastAsia="ITC Avant Garde" w:cs="ITC Avant Garde"/>
              </w:rPr>
              <w:t>El presente a</w:t>
            </w:r>
            <w:r w:rsidR="007D5AAA">
              <w:rPr>
                <w:rFonts w:eastAsia="ITC Avant Garde" w:cs="ITC Avant Garde"/>
              </w:rPr>
              <w:t xml:space="preserve">nexo es de carácter informativo. En este se discute la influencia de las dimensiones del </w:t>
            </w:r>
            <w:r w:rsidR="00604C9C">
              <w:rPr>
                <w:rFonts w:eastAsia="ITC Avant Garde" w:cs="ITC Avant Garde"/>
              </w:rPr>
              <w:t>MSH plano en la absorción de energía en un cubo de 10 g de masa dentro del MSH lleno del LET, pero sin carcasa.</w:t>
            </w:r>
            <w:r w:rsidR="00DC7434">
              <w:rPr>
                <w:rFonts w:eastAsia="ITC Avant Garde" w:cs="ITC Avant Garde"/>
              </w:rPr>
              <w:t xml:space="preserve"> Este anexo es informativo</w:t>
            </w:r>
          </w:p>
          <w:p w14:paraId="38CFF2A9" w14:textId="0608DDFB" w:rsidR="00936D9E" w:rsidRDefault="00936D9E" w:rsidP="0037478A">
            <w:pPr>
              <w:spacing w:line="276" w:lineRule="auto"/>
              <w:jc w:val="both"/>
              <w:rPr>
                <w:rFonts w:eastAsia="ITC Avant Garde" w:cs="ITC Avant Garde"/>
              </w:rPr>
            </w:pPr>
          </w:p>
          <w:p w14:paraId="66EBA4DD" w14:textId="22488A09" w:rsidR="00936D9E" w:rsidRDefault="00936D9E" w:rsidP="00936D9E">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624739">
              <w:rPr>
                <w:rFonts w:eastAsia="ITC Avant Garde" w:cs="ITC Avant Garde"/>
              </w:rPr>
              <w:t>Estándar técnico</w:t>
            </w:r>
          </w:p>
          <w:p w14:paraId="79209004" w14:textId="4F46F5C3" w:rsidR="00936D9E" w:rsidRDefault="00936D9E" w:rsidP="00936D9E">
            <w:pPr>
              <w:spacing w:line="276" w:lineRule="auto"/>
              <w:jc w:val="both"/>
              <w:rPr>
                <w:rFonts w:eastAsia="ITC Avant Garde" w:cs="ITC Avant Garde"/>
              </w:rPr>
            </w:pPr>
            <w:r>
              <w:rPr>
                <w:rFonts w:eastAsia="ITC Avant Garde" w:cs="ITC Avant Garde"/>
                <w:b/>
              </w:rPr>
              <w:t>Artículos aplicables:</w:t>
            </w:r>
            <w:r>
              <w:rPr>
                <w:rFonts w:eastAsia="ITC Avant Garde" w:cs="ITC Avant Garde"/>
              </w:rPr>
              <w:t xml:space="preserve"> </w:t>
            </w:r>
            <w:r w:rsidR="009D6C11">
              <w:rPr>
                <w:rFonts w:eastAsia="ITC Avant Garde" w:cs="ITC Avant Garde"/>
              </w:rPr>
              <w:t xml:space="preserve">ANEXO </w:t>
            </w:r>
            <w:r w:rsidR="00624739">
              <w:rPr>
                <w:rFonts w:eastAsia="ITC Avant Garde" w:cs="ITC Avant Garde"/>
              </w:rPr>
              <w:t xml:space="preserve">S. </w:t>
            </w:r>
            <w:r w:rsidR="00766AC7" w:rsidRPr="00766AC7">
              <w:rPr>
                <w:rFonts w:eastAsia="ITC Avant Garde" w:cs="ITC Avant Garde"/>
              </w:rPr>
              <w:t>FUENTES ESTÁNDAR Y MSH PARA LA VALIDACIÓN DEL SISTEMA DEL SAR EMPLEADO EN EL NUMERAL 5.2</w:t>
            </w:r>
            <w:r w:rsidR="00EF3F67">
              <w:rPr>
                <w:rFonts w:eastAsia="ITC Avant Garde" w:cs="ITC Avant Garde"/>
              </w:rPr>
              <w:t>.</w:t>
            </w:r>
          </w:p>
          <w:p w14:paraId="7141F292" w14:textId="0DC15810" w:rsidR="00936D9E" w:rsidRDefault="00936D9E" w:rsidP="00936D9E">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144C01">
              <w:rPr>
                <w:rFonts w:eastAsia="ITC Avant Garde" w:cs="ITC Avant Garde"/>
              </w:rPr>
              <w:t>El presente a</w:t>
            </w:r>
            <w:r w:rsidR="00766AC7">
              <w:rPr>
                <w:rFonts w:eastAsia="ITC Avant Garde" w:cs="ITC Avant Garde"/>
              </w:rPr>
              <w:t>nexo establece las fuentes estándar de radiación electromagnética de radiofrecuencia no ionizante y las características del MSH que serán empleados en el procedimiento de validación del sistema de medición del SAR empleado para realizar las pruebas indicadas en el numeral 5.2. Lo anterior permite conocer el desempeño de cada sistema, independientemente del fabricante, al observar su comportamiento ante una fuente caracterizada y repetible.</w:t>
            </w:r>
            <w:r w:rsidR="00144C01">
              <w:rPr>
                <w:rFonts w:eastAsia="ITC Avant Garde" w:cs="ITC Avant Garde"/>
              </w:rPr>
              <w:t xml:space="preserve"> Este anexo es normativo</w:t>
            </w:r>
          </w:p>
          <w:p w14:paraId="1D388BF3" w14:textId="62945C3E" w:rsidR="00936D9E" w:rsidRDefault="00936D9E" w:rsidP="0037478A">
            <w:pPr>
              <w:spacing w:line="276" w:lineRule="auto"/>
              <w:jc w:val="both"/>
              <w:rPr>
                <w:rFonts w:eastAsia="ITC Avant Garde" w:cs="ITC Avant Garde"/>
              </w:rPr>
            </w:pPr>
          </w:p>
          <w:p w14:paraId="5F2A1904" w14:textId="509DC75F" w:rsidR="00936D9E" w:rsidRDefault="00936D9E" w:rsidP="00936D9E">
            <w:pPr>
              <w:spacing w:line="276" w:lineRule="auto"/>
              <w:jc w:val="both"/>
              <w:rPr>
                <w:rFonts w:eastAsia="ITC Avant Garde" w:cs="ITC Avant Garde"/>
              </w:rPr>
            </w:pPr>
            <w:r>
              <w:rPr>
                <w:rFonts w:eastAsia="ITC Avant Garde" w:cs="ITC Avant Garde"/>
                <w:b/>
              </w:rPr>
              <w:t>Tipo:</w:t>
            </w:r>
            <w:r>
              <w:rPr>
                <w:rFonts w:eastAsia="ITC Avant Garde" w:cs="ITC Avant Garde"/>
              </w:rPr>
              <w:t xml:space="preserve"> </w:t>
            </w:r>
            <w:r w:rsidR="008B780C">
              <w:rPr>
                <w:rFonts w:eastAsia="ITC Avant Garde" w:cs="ITC Avant Garde"/>
              </w:rPr>
              <w:t>Estándar técnico</w:t>
            </w:r>
          </w:p>
          <w:p w14:paraId="6D0EA3F0" w14:textId="26EEE927" w:rsidR="00936D9E" w:rsidRDefault="00936D9E" w:rsidP="00936D9E">
            <w:pPr>
              <w:spacing w:line="276" w:lineRule="auto"/>
              <w:jc w:val="both"/>
              <w:rPr>
                <w:rFonts w:eastAsia="ITC Avant Garde" w:cs="ITC Avant Garde"/>
              </w:rPr>
            </w:pPr>
            <w:r>
              <w:rPr>
                <w:rFonts w:eastAsia="ITC Avant Garde" w:cs="ITC Avant Garde"/>
                <w:b/>
              </w:rPr>
              <w:lastRenderedPageBreak/>
              <w:t>Artículos aplicables:</w:t>
            </w:r>
            <w:r>
              <w:rPr>
                <w:rFonts w:eastAsia="ITC Avant Garde" w:cs="ITC Avant Garde"/>
              </w:rPr>
              <w:t xml:space="preserve"> </w:t>
            </w:r>
            <w:r w:rsidR="009D6C11">
              <w:rPr>
                <w:rFonts w:eastAsia="ITC Avant Garde" w:cs="ITC Avant Garde"/>
              </w:rPr>
              <w:t xml:space="preserve">ANEXO </w:t>
            </w:r>
            <w:r w:rsidR="00B37214">
              <w:rPr>
                <w:rFonts w:eastAsia="ITC Avant Garde" w:cs="ITC Avant Garde"/>
              </w:rPr>
              <w:t xml:space="preserve">T. </w:t>
            </w:r>
            <w:r w:rsidR="00B37214" w:rsidRPr="00B37214">
              <w:rPr>
                <w:rFonts w:eastAsia="ITC Avant Garde" w:cs="ITC Avant Garde"/>
              </w:rPr>
              <w:t>EJEMPLO DE RECETAS PARA EL LÍQUIDO EQUIVALENTE DEL TEJIDO HUMANO (LET) DEL MSH</w:t>
            </w:r>
            <w:r w:rsidR="00EF3F67">
              <w:rPr>
                <w:rFonts w:eastAsia="ITC Avant Garde" w:cs="ITC Avant Garde"/>
              </w:rPr>
              <w:t>.</w:t>
            </w:r>
          </w:p>
          <w:p w14:paraId="70A3911C" w14:textId="6E62F3E4" w:rsidR="00936D9E" w:rsidRPr="00936D9E" w:rsidRDefault="00936D9E" w:rsidP="0037478A">
            <w:pPr>
              <w:spacing w:line="276" w:lineRule="auto"/>
              <w:jc w:val="both"/>
              <w:rPr>
                <w:rFonts w:eastAsia="ITC Avant Garde" w:cs="ITC Avant Garde"/>
              </w:rPr>
            </w:pPr>
            <w:r>
              <w:rPr>
                <w:rFonts w:eastAsia="ITC Avant Garde" w:cs="ITC Avant Garde"/>
                <w:b/>
              </w:rPr>
              <w:t>Justificación:</w:t>
            </w:r>
            <w:r>
              <w:rPr>
                <w:rFonts w:eastAsia="ITC Avant Garde" w:cs="ITC Avant Garde"/>
              </w:rPr>
              <w:t xml:space="preserve"> </w:t>
            </w:r>
            <w:r w:rsidR="008B780C">
              <w:rPr>
                <w:rFonts w:eastAsia="ITC Avant Garde" w:cs="ITC Avant Garde"/>
              </w:rPr>
              <w:t xml:space="preserve">El presente Anexo es de carácter informativo. En él se establecen ejemplos de recetas con diferentes ingredientes para lograr un LET con los parámetros dieléctricos requeridos en el numeral 5.2 de la presente DT. Lo anterior debido a que puede resultar difícil </w:t>
            </w:r>
            <w:r w:rsidR="00144C01">
              <w:rPr>
                <w:rFonts w:eastAsia="ITC Avant Garde" w:cs="ITC Avant Garde"/>
              </w:rPr>
              <w:t>encontrar o diseñar recetas que cumplan con los parámetros dieléctricos antes mencionados. Este anexo es informativo.</w:t>
            </w:r>
          </w:p>
          <w:p w14:paraId="23FB6C2A" w14:textId="6BFB18DD" w:rsidR="00936D9E" w:rsidRPr="006A010C" w:rsidRDefault="00936D9E" w:rsidP="0037478A">
            <w:pPr>
              <w:spacing w:line="276" w:lineRule="auto"/>
              <w:jc w:val="both"/>
              <w:rPr>
                <w:rFonts w:eastAsia="ITC Avant Garde" w:cs="ITC Avant Garde"/>
              </w:rPr>
            </w:pPr>
          </w:p>
        </w:tc>
      </w:tr>
    </w:tbl>
    <w:p w14:paraId="75BA0787" w14:textId="77777777" w:rsidR="001932FC" w:rsidRPr="006A010C" w:rsidRDefault="001932FC" w:rsidP="0096700D">
      <w:pPr>
        <w:spacing w:line="276" w:lineRule="auto"/>
        <w:jc w:val="both"/>
        <w:rPr>
          <w:rFonts w:eastAsia="ITC Avant Garde" w:cs="ITC Avant Garde"/>
        </w:rPr>
      </w:pPr>
    </w:p>
    <w:tbl>
      <w:tblPr>
        <w:tblStyle w:val="Tablaconcuadrcula"/>
        <w:tblW w:w="0" w:type="dxa"/>
        <w:tblLook w:val="04A0" w:firstRow="1" w:lastRow="0" w:firstColumn="1" w:lastColumn="0" w:noHBand="0" w:noVBand="1"/>
      </w:tblPr>
      <w:tblGrid>
        <w:gridCol w:w="8828"/>
      </w:tblGrid>
      <w:tr w:rsidR="003F05E7" w:rsidRPr="006A010C" w14:paraId="05ED2C0C" w14:textId="77777777" w:rsidTr="168EE6A7">
        <w:tc>
          <w:tcPr>
            <w:tcW w:w="8828" w:type="dxa"/>
          </w:tcPr>
          <w:p w14:paraId="7CBFC4E5" w14:textId="4028DBFA" w:rsidR="003F05E7" w:rsidRPr="006A010C" w:rsidRDefault="48ECE0BD" w:rsidP="0096700D">
            <w:pPr>
              <w:spacing w:line="276" w:lineRule="auto"/>
              <w:jc w:val="both"/>
              <w:rPr>
                <w:rFonts w:eastAsia="ITC Avant Garde" w:cs="ITC Avant Garde"/>
              </w:rPr>
            </w:pPr>
            <w:r w:rsidRPr="006A010C">
              <w:rPr>
                <w:rFonts w:eastAsia="ITC Avant Garde" w:cs="ITC Avant Garde"/>
                <w:b/>
                <w:bCs/>
              </w:rPr>
              <w:t xml:space="preserve">10.- ¿Cuáles serían los efectos del </w:t>
            </w:r>
            <w:r w:rsidR="007E2E1A">
              <w:rPr>
                <w:rFonts w:eastAsia="ITC Avant Garde" w:cs="ITC Avant Garde"/>
                <w:b/>
                <w:bCs/>
              </w:rPr>
              <w:t>A</w:t>
            </w:r>
            <w:r w:rsidRPr="006A010C">
              <w:rPr>
                <w:rFonts w:eastAsia="ITC Avant Garde" w:cs="ITC Avant Garde"/>
                <w:b/>
                <w:bCs/>
              </w:rPr>
              <w:t>nteproyecto de regulación sobre la competencia y libre concurrencia en los mercados, así como sobre el comercio nacional e internacional?:</w:t>
            </w:r>
          </w:p>
          <w:p w14:paraId="63F172F6" w14:textId="77777777" w:rsidR="0017032A" w:rsidRDefault="0017032A" w:rsidP="0017032A">
            <w:pPr>
              <w:spacing w:line="276" w:lineRule="auto"/>
              <w:jc w:val="both"/>
              <w:rPr>
                <w:rFonts w:eastAsia="ITC Avant Garde" w:cs="ITC Avant Garde"/>
              </w:rPr>
            </w:pPr>
          </w:p>
          <w:p w14:paraId="40D42541" w14:textId="2B913FA0" w:rsidR="007D2CB0" w:rsidRDefault="00E56C5A" w:rsidP="007D2CB0">
            <w:pPr>
              <w:spacing w:line="276" w:lineRule="auto"/>
              <w:jc w:val="both"/>
              <w:rPr>
                <w:rFonts w:eastAsia="ITC Avant Garde" w:cs="ITC Avant Garde"/>
              </w:rPr>
            </w:pPr>
            <w:r>
              <w:rPr>
                <w:rFonts w:eastAsia="ITC Avant Garde" w:cs="ITC Avant Garde"/>
              </w:rPr>
              <w:t xml:space="preserve">El </w:t>
            </w:r>
            <w:r w:rsidR="0017032A">
              <w:rPr>
                <w:rFonts w:eastAsia="ITC Avant Garde" w:cs="ITC Avant Garde"/>
              </w:rPr>
              <w:t xml:space="preserve">presente </w:t>
            </w:r>
            <w:r w:rsidR="007E2E1A">
              <w:rPr>
                <w:rFonts w:eastAsia="ITC Avant Garde" w:cs="ITC Avant Garde"/>
              </w:rPr>
              <w:t>A</w:t>
            </w:r>
            <w:r w:rsidR="0017032A">
              <w:rPr>
                <w:rFonts w:eastAsia="ITC Avant Garde" w:cs="ITC Avant Garde"/>
              </w:rPr>
              <w:t xml:space="preserve">nteproyecto </w:t>
            </w:r>
            <w:r w:rsidR="00714089">
              <w:rPr>
                <w:rFonts w:eastAsia="ITC Avant Garde" w:cs="ITC Avant Garde"/>
              </w:rPr>
              <w:t>define</w:t>
            </w:r>
            <w:r>
              <w:rPr>
                <w:rFonts w:eastAsia="ITC Avant Garde" w:cs="ITC Avant Garde"/>
              </w:rPr>
              <w:t xml:space="preserve"> </w:t>
            </w:r>
            <w:r w:rsidR="007D2CB0">
              <w:rPr>
                <w:rFonts w:eastAsia="ITC Avant Garde" w:cs="ITC Avant Garde"/>
              </w:rPr>
              <w:t xml:space="preserve">métodos de prueba repetibles y reproducibles para todos los productos de telecomunicaciones </w:t>
            </w:r>
            <w:r w:rsidR="00714089">
              <w:rPr>
                <w:rFonts w:eastAsia="ITC Avant Garde" w:cs="ITC Avant Garde"/>
              </w:rPr>
              <w:t xml:space="preserve">a </w:t>
            </w:r>
            <w:r w:rsidR="00714089" w:rsidRPr="00714089">
              <w:rPr>
                <w:rFonts w:eastAsia="ITC Avant Garde" w:cs="ITC Avant Garde"/>
              </w:rPr>
              <w:t xml:space="preserve">ser conectados a una red de telecomunicaciones o hacer </w:t>
            </w:r>
            <w:r w:rsidR="00714089">
              <w:rPr>
                <w:rFonts w:eastAsia="ITC Avant Garde" w:cs="ITC Avant Garde"/>
              </w:rPr>
              <w:t xml:space="preserve">uso del espectro radioeléctrico en México, estableciendo </w:t>
            </w:r>
            <w:r w:rsidR="00714089" w:rsidRPr="00714089">
              <w:rPr>
                <w:rFonts w:eastAsia="ITC Avant Garde" w:cs="ITC Avant Garde"/>
                <w:u w:val="single"/>
              </w:rPr>
              <w:t>las mismas condiciones</w:t>
            </w:r>
            <w:r w:rsidR="00714089">
              <w:rPr>
                <w:rFonts w:eastAsia="ITC Avant Garde" w:cs="ITC Avant Garde"/>
              </w:rPr>
              <w:t xml:space="preserve"> para la homologación de dichos productos. Esto es, todos los productos de telecomunicaciones dentro del alcance del </w:t>
            </w:r>
            <w:r w:rsidR="007E2E1A">
              <w:rPr>
                <w:rFonts w:eastAsia="ITC Avant Garde" w:cs="ITC Avant Garde"/>
              </w:rPr>
              <w:t>A</w:t>
            </w:r>
            <w:r w:rsidR="00714089">
              <w:rPr>
                <w:rFonts w:eastAsia="ITC Avant Garde" w:cs="ITC Avant Garde"/>
              </w:rPr>
              <w:t xml:space="preserve">nteproyecto </w:t>
            </w:r>
            <w:r w:rsidR="00520423">
              <w:rPr>
                <w:rFonts w:eastAsia="ITC Avant Garde" w:cs="ITC Avant Garde"/>
              </w:rPr>
              <w:t xml:space="preserve">a comercializarse o importarse </w:t>
            </w:r>
            <w:r w:rsidR="00714089">
              <w:rPr>
                <w:rFonts w:eastAsia="ITC Avant Garde" w:cs="ITC Avant Garde"/>
              </w:rPr>
              <w:t xml:space="preserve">deberán cumplir con los límites de exposición a radiaciones no ionizantes, </w:t>
            </w:r>
            <w:r w:rsidR="00520423">
              <w:rPr>
                <w:rFonts w:eastAsia="ITC Avant Garde" w:cs="ITC Avant Garde"/>
              </w:rPr>
              <w:t xml:space="preserve">no afectando la competencia ni </w:t>
            </w:r>
            <w:r w:rsidR="00C51D5E">
              <w:rPr>
                <w:rFonts w:eastAsia="ITC Avant Garde" w:cs="ITC Avant Garde"/>
              </w:rPr>
              <w:t xml:space="preserve">la </w:t>
            </w:r>
            <w:r w:rsidR="00520423">
              <w:rPr>
                <w:rFonts w:eastAsia="ITC Avant Garde" w:cs="ITC Avant Garde"/>
              </w:rPr>
              <w:t>libre concurrencia.</w:t>
            </w:r>
            <w:r w:rsidR="00714089">
              <w:rPr>
                <w:rFonts w:eastAsia="ITC Avant Garde" w:cs="ITC Avant Garde"/>
              </w:rPr>
              <w:t xml:space="preserve"> </w:t>
            </w:r>
          </w:p>
          <w:p w14:paraId="25A5F8F2" w14:textId="77777777" w:rsidR="00714089" w:rsidRDefault="00714089" w:rsidP="007D2CB0">
            <w:pPr>
              <w:spacing w:line="276" w:lineRule="auto"/>
              <w:jc w:val="both"/>
              <w:rPr>
                <w:rFonts w:eastAsia="ITC Avant Garde" w:cs="ITC Avant Garde"/>
              </w:rPr>
            </w:pPr>
          </w:p>
          <w:p w14:paraId="6B4C1695" w14:textId="43BB0946" w:rsidR="00520423" w:rsidRDefault="00520423" w:rsidP="00AB7EDD">
            <w:pPr>
              <w:spacing w:line="276" w:lineRule="auto"/>
              <w:jc w:val="both"/>
              <w:rPr>
                <w:rFonts w:eastAsia="ITC Avant Garde" w:cs="ITC Avant Garde"/>
              </w:rPr>
            </w:pPr>
            <w:r>
              <w:rPr>
                <w:rFonts w:eastAsia="ITC Avant Garde" w:cs="ITC Avant Garde"/>
              </w:rPr>
              <w:t>Si bien, los métodos de prueba mencionados conllevan al uso de equipamiento y personal altamente especializado (no existente en México actualmente)</w:t>
            </w:r>
            <w:r w:rsidR="00C51D5E">
              <w:rPr>
                <w:rFonts w:eastAsia="ITC Avant Garde" w:cs="ITC Avant Garde"/>
              </w:rPr>
              <w:t>,</w:t>
            </w:r>
            <w:r>
              <w:rPr>
                <w:rFonts w:eastAsia="ITC Avant Garde" w:cs="ITC Avant Garde"/>
              </w:rPr>
              <w:t xml:space="preserve"> así como a un tiempo significativo</w:t>
            </w:r>
            <w:r w:rsidR="00C51D5E">
              <w:rPr>
                <w:rFonts w:eastAsia="ITC Avant Garde" w:cs="ITC Avant Garde"/>
              </w:rPr>
              <w:t xml:space="preserve"> de realización de dichas pruebas</w:t>
            </w:r>
            <w:r>
              <w:rPr>
                <w:rFonts w:eastAsia="ITC Avant Garde" w:cs="ITC Avant Garde"/>
              </w:rPr>
              <w:t xml:space="preserve">, se </w:t>
            </w:r>
            <w:r w:rsidR="00AB7EDD">
              <w:rPr>
                <w:rFonts w:eastAsia="ITC Avant Garde" w:cs="ITC Avant Garde"/>
              </w:rPr>
              <w:t>considera</w:t>
            </w:r>
            <w:r>
              <w:rPr>
                <w:rFonts w:eastAsia="ITC Avant Garde" w:cs="ITC Avant Garde"/>
              </w:rPr>
              <w:t xml:space="preserve"> que </w:t>
            </w:r>
            <w:r w:rsidR="00C51D5E">
              <w:rPr>
                <w:rFonts w:eastAsia="ITC Avant Garde" w:cs="ITC Avant Garde"/>
              </w:rPr>
              <w:t xml:space="preserve">la </w:t>
            </w:r>
            <w:r>
              <w:rPr>
                <w:rFonts w:eastAsia="ITC Avant Garde" w:cs="ITC Avant Garde"/>
              </w:rPr>
              <w:t xml:space="preserve"> entrada en vigor establecido en el </w:t>
            </w:r>
            <w:r w:rsidR="00C51D5E">
              <w:rPr>
                <w:rFonts w:eastAsia="ITC Avant Garde" w:cs="ITC Avant Garde"/>
              </w:rPr>
              <w:t>T</w:t>
            </w:r>
            <w:r w:rsidR="003A7616">
              <w:rPr>
                <w:rFonts w:eastAsia="ITC Avant Garde" w:cs="ITC Avant Garde"/>
              </w:rPr>
              <w:t>ransitorio</w:t>
            </w:r>
            <w:r w:rsidR="00AB7EDD">
              <w:rPr>
                <w:rFonts w:eastAsia="ITC Avant Garde" w:cs="ITC Avant Garde"/>
              </w:rPr>
              <w:t xml:space="preserve"> </w:t>
            </w:r>
            <w:r w:rsidR="00460663">
              <w:rPr>
                <w:rFonts w:eastAsia="ITC Avant Garde" w:cs="ITC Avant Garde"/>
              </w:rPr>
              <w:t xml:space="preserve">Primero </w:t>
            </w:r>
            <w:r w:rsidR="00AB7EDD">
              <w:rPr>
                <w:rFonts w:eastAsia="ITC Avant Garde" w:cs="ITC Avant Garde"/>
              </w:rPr>
              <w:t xml:space="preserve">del </w:t>
            </w:r>
            <w:r w:rsidR="007E2E1A">
              <w:rPr>
                <w:rFonts w:eastAsia="ITC Avant Garde" w:cs="ITC Avant Garde"/>
              </w:rPr>
              <w:t>A</w:t>
            </w:r>
            <w:r w:rsidR="00AB7EDD">
              <w:rPr>
                <w:rFonts w:eastAsia="ITC Avant Garde" w:cs="ITC Avant Garde"/>
              </w:rPr>
              <w:t>nteproyecto de mérito</w:t>
            </w:r>
            <w:r>
              <w:rPr>
                <w:rFonts w:eastAsia="ITC Avant Garde" w:cs="ITC Avant Garde"/>
              </w:rPr>
              <w:t xml:space="preserve">, es suficiente </w:t>
            </w:r>
            <w:r w:rsidR="00AB7EDD">
              <w:rPr>
                <w:rFonts w:eastAsia="ITC Avant Garde" w:cs="ITC Avant Garde"/>
              </w:rPr>
              <w:t xml:space="preserve">para la preparación al respecto. Asimismo, </w:t>
            </w:r>
            <w:r w:rsidR="00AB7EDD" w:rsidRPr="00AB7EDD">
              <w:rPr>
                <w:rFonts w:eastAsia="ITC Avant Garde" w:cs="ITC Avant Garde"/>
              </w:rPr>
              <w:t xml:space="preserve">como se describió en el punto 6 del presente documento, el cumplimiento de dichos límites es una práctica internacional. </w:t>
            </w:r>
            <w:r w:rsidR="00AB7EDD">
              <w:rPr>
                <w:rFonts w:eastAsia="ITC Avant Garde" w:cs="ITC Avant Garde"/>
              </w:rPr>
              <w:t>Por lo anterior, n</w:t>
            </w:r>
            <w:r>
              <w:rPr>
                <w:rFonts w:eastAsia="ITC Avant Garde" w:cs="ITC Avant Garde"/>
              </w:rPr>
              <w:t xml:space="preserve">o se prevé un impacto negativo en el comercio </w:t>
            </w:r>
            <w:r w:rsidR="00AB7EDD">
              <w:rPr>
                <w:rFonts w:eastAsia="ITC Avant Garde" w:cs="ITC Avant Garde"/>
              </w:rPr>
              <w:t>nacional e internacional.</w:t>
            </w:r>
          </w:p>
          <w:p w14:paraId="610B3495" w14:textId="77777777" w:rsidR="00AB7EDD" w:rsidRPr="006A010C" w:rsidRDefault="00AB7EDD" w:rsidP="00AB7EDD">
            <w:pPr>
              <w:spacing w:line="276" w:lineRule="auto"/>
              <w:jc w:val="both"/>
              <w:rPr>
                <w:rFonts w:eastAsia="ITC Avant Garde" w:cs="ITC Avant Garde"/>
              </w:rPr>
            </w:pPr>
          </w:p>
        </w:tc>
      </w:tr>
    </w:tbl>
    <w:p w14:paraId="76BF7BC2" w14:textId="77777777" w:rsidR="003F05E7" w:rsidRPr="006A010C" w:rsidRDefault="003F05E7" w:rsidP="000603C7">
      <w:pPr>
        <w:spacing w:line="276" w:lineRule="auto"/>
        <w:jc w:val="both"/>
      </w:pPr>
    </w:p>
    <w:tbl>
      <w:tblPr>
        <w:tblStyle w:val="Tablaconcuadrcula"/>
        <w:tblW w:w="0" w:type="dxa"/>
        <w:tblLook w:val="04A0" w:firstRow="1" w:lastRow="0" w:firstColumn="1" w:lastColumn="0" w:noHBand="0" w:noVBand="1"/>
      </w:tblPr>
      <w:tblGrid>
        <w:gridCol w:w="8828"/>
      </w:tblGrid>
      <w:tr w:rsidR="003F05E7" w:rsidRPr="006A010C" w14:paraId="61A35D05" w14:textId="77777777" w:rsidTr="5D1AF574">
        <w:tc>
          <w:tcPr>
            <w:tcW w:w="8828" w:type="dxa"/>
          </w:tcPr>
          <w:p w14:paraId="2AFBB28C" w14:textId="21E1FC67" w:rsidR="003F05E7" w:rsidRPr="006A010C" w:rsidRDefault="48ECE0BD" w:rsidP="000603C7">
            <w:pPr>
              <w:spacing w:line="276" w:lineRule="auto"/>
              <w:jc w:val="both"/>
              <w:rPr>
                <w:rFonts w:eastAsia="ITC Avant Garde" w:cs="ITC Avant Garde"/>
              </w:rPr>
            </w:pPr>
            <w:r w:rsidRPr="006A010C">
              <w:rPr>
                <w:rFonts w:eastAsia="ITC Avant Garde" w:cs="ITC Avant Garde"/>
                <w:b/>
                <w:bCs/>
              </w:rPr>
              <w:t xml:space="preserve">11.- ¿Cuáles serían los efectos del </w:t>
            </w:r>
            <w:r w:rsidR="007E2E1A">
              <w:rPr>
                <w:rFonts w:eastAsia="ITC Avant Garde" w:cs="ITC Avant Garde"/>
                <w:b/>
                <w:bCs/>
              </w:rPr>
              <w:t>A</w:t>
            </w:r>
            <w:r w:rsidRPr="006A010C">
              <w:rPr>
                <w:rFonts w:eastAsia="ITC Avant Garde" w:cs="ITC Avant Garde"/>
                <w:b/>
                <w:bCs/>
              </w:rPr>
              <w:t>nteproyecto de regulación sobre los precios, calidad y disponibilidad de bienes y servicios para el consumidor en los mercados?:</w:t>
            </w:r>
          </w:p>
          <w:p w14:paraId="14FD5C16" w14:textId="77777777" w:rsidR="003F05E7" w:rsidRPr="006A010C" w:rsidRDefault="003F05E7" w:rsidP="000603C7">
            <w:pPr>
              <w:spacing w:line="276" w:lineRule="auto"/>
              <w:jc w:val="both"/>
            </w:pPr>
          </w:p>
          <w:p w14:paraId="56C26672" w14:textId="6855FA00" w:rsidR="0017032A" w:rsidRDefault="0012433B" w:rsidP="0017032A">
            <w:pPr>
              <w:spacing w:line="276" w:lineRule="auto"/>
              <w:jc w:val="both"/>
              <w:rPr>
                <w:rFonts w:eastAsia="ITC Avant Garde" w:cs="ITC Avant Garde"/>
              </w:rPr>
            </w:pPr>
            <w:r w:rsidRPr="0012433B">
              <w:rPr>
                <w:rFonts w:eastAsia="ITC Avant Garde" w:cs="ITC Avant Garde"/>
              </w:rPr>
              <w:lastRenderedPageBreak/>
              <w:t>Como se mencionó en el punto anterior,</w:t>
            </w:r>
            <w:r w:rsidR="00A8067A">
              <w:rPr>
                <w:rFonts w:eastAsia="ITC Avant Garde" w:cs="ITC Avant Garde"/>
              </w:rPr>
              <w:t xml:space="preserve"> los métodos de </w:t>
            </w:r>
            <w:r w:rsidR="0017032A" w:rsidRPr="00F02B0E">
              <w:rPr>
                <w:rFonts w:eastAsia="ITC Avant Garde" w:cs="ITC Avant Garde"/>
              </w:rPr>
              <w:t>pr</w:t>
            </w:r>
            <w:r w:rsidR="00F611CD">
              <w:rPr>
                <w:rFonts w:eastAsia="ITC Avant Garde" w:cs="ITC Avant Garde"/>
              </w:rPr>
              <w:t>ueba establecidos en el A</w:t>
            </w:r>
            <w:r w:rsidR="00A8067A">
              <w:rPr>
                <w:rFonts w:eastAsia="ITC Avant Garde" w:cs="ITC Avant Garde"/>
              </w:rPr>
              <w:t>nteproyecto</w:t>
            </w:r>
            <w:r w:rsidR="00F53435">
              <w:rPr>
                <w:rFonts w:eastAsia="ITC Avant Garde" w:cs="ITC Avant Garde"/>
              </w:rPr>
              <w:t xml:space="preserve"> son intensi</w:t>
            </w:r>
            <w:r w:rsidR="00A8067A">
              <w:rPr>
                <w:rFonts w:eastAsia="ITC Avant Garde" w:cs="ITC Avant Garde"/>
              </w:rPr>
              <w:t>vo</w:t>
            </w:r>
            <w:r w:rsidR="00F611CD">
              <w:rPr>
                <w:rFonts w:eastAsia="ITC Avant Garde" w:cs="ITC Avant Garde"/>
              </w:rPr>
              <w:t>s en tiempo y ser requiere</w:t>
            </w:r>
            <w:r w:rsidR="0017032A" w:rsidRPr="00F02B0E">
              <w:rPr>
                <w:rFonts w:eastAsia="ITC Avant Garde" w:cs="ITC Avant Garde"/>
              </w:rPr>
              <w:t xml:space="preserve"> de </w:t>
            </w:r>
            <w:r w:rsidR="00F53435">
              <w:rPr>
                <w:rFonts w:eastAsia="ITC Avant Garde" w:cs="ITC Avant Garde"/>
              </w:rPr>
              <w:t xml:space="preserve">personal y </w:t>
            </w:r>
            <w:r w:rsidR="0017032A" w:rsidRPr="00F02B0E">
              <w:rPr>
                <w:rFonts w:eastAsia="ITC Avant Garde" w:cs="ITC Avant Garde"/>
              </w:rPr>
              <w:t xml:space="preserve">equipo </w:t>
            </w:r>
            <w:r w:rsidR="00A8067A">
              <w:rPr>
                <w:rFonts w:eastAsia="ITC Avant Garde" w:cs="ITC Avant Garde"/>
              </w:rPr>
              <w:t xml:space="preserve">altamente </w:t>
            </w:r>
            <w:r w:rsidR="00F611CD">
              <w:rPr>
                <w:rFonts w:eastAsia="ITC Avant Garde" w:cs="ITC Avant Garde"/>
              </w:rPr>
              <w:t>especializado para realizarlas,</w:t>
            </w:r>
            <w:r w:rsidR="0017032A" w:rsidRPr="00F02B0E">
              <w:rPr>
                <w:rFonts w:eastAsia="ITC Avant Garde" w:cs="ITC Avant Garde"/>
              </w:rPr>
              <w:t xml:space="preserve"> </w:t>
            </w:r>
            <w:r w:rsidR="00B558A2">
              <w:rPr>
                <w:rFonts w:eastAsia="ITC Avant Garde" w:cs="ITC Avant Garde"/>
              </w:rPr>
              <w:t xml:space="preserve">por </w:t>
            </w:r>
            <w:r w:rsidR="0017032A" w:rsidRPr="00F02B0E">
              <w:rPr>
                <w:rFonts w:eastAsia="ITC Avant Garde" w:cs="ITC Avant Garde"/>
              </w:rPr>
              <w:t xml:space="preserve">lo que </w:t>
            </w:r>
            <w:r w:rsidR="00F611CD">
              <w:rPr>
                <w:rFonts w:eastAsia="ITC Avant Garde" w:cs="ITC Avant Garde"/>
              </w:rPr>
              <w:t>se estima que t</w:t>
            </w:r>
            <w:r w:rsidR="00B558A2">
              <w:rPr>
                <w:rFonts w:eastAsia="ITC Avant Garde" w:cs="ITC Avant Garde"/>
              </w:rPr>
              <w:t xml:space="preserve">endrá un costo </w:t>
            </w:r>
            <w:r w:rsidR="00494E58">
              <w:rPr>
                <w:rFonts w:eastAsia="ITC Avant Garde" w:cs="ITC Avant Garde"/>
              </w:rPr>
              <w:t xml:space="preserve">mayor </w:t>
            </w:r>
            <w:r w:rsidR="00B558A2">
              <w:rPr>
                <w:rFonts w:eastAsia="ITC Avant Garde" w:cs="ITC Avant Garde"/>
              </w:rPr>
              <w:t xml:space="preserve">comparado </w:t>
            </w:r>
            <w:r w:rsidR="0017032A" w:rsidRPr="00F02B0E">
              <w:rPr>
                <w:rFonts w:eastAsia="ITC Avant Garde" w:cs="ITC Avant Garde"/>
              </w:rPr>
              <w:t xml:space="preserve">al de otras pruebas que se realizan </w:t>
            </w:r>
            <w:r w:rsidR="00F611CD">
              <w:rPr>
                <w:rFonts w:eastAsia="ITC Avant Garde" w:cs="ITC Avant Garde"/>
              </w:rPr>
              <w:t>actualmente a los productos</w:t>
            </w:r>
            <w:r w:rsidR="00CE6E0B">
              <w:rPr>
                <w:rFonts w:eastAsia="ITC Avant Garde" w:cs="ITC Avant Garde"/>
              </w:rPr>
              <w:t>,</w:t>
            </w:r>
            <w:r w:rsidR="0017032A" w:rsidRPr="00F02B0E">
              <w:rPr>
                <w:rFonts w:eastAsia="ITC Avant Garde" w:cs="ITC Avant Garde"/>
              </w:rPr>
              <w:t xml:space="preserve"> </w:t>
            </w:r>
            <w:r w:rsidR="00CE6E0B" w:rsidRPr="0041540D">
              <w:rPr>
                <w:rFonts w:eastAsia="ITC Avant Garde" w:cs="ITC Avant Garde"/>
              </w:rPr>
              <w:t xml:space="preserve">equipos, dispositivos o aparatos </w:t>
            </w:r>
            <w:r w:rsidR="00F611CD">
              <w:rPr>
                <w:rFonts w:eastAsia="ITC Avant Garde" w:cs="ITC Avant Garde"/>
              </w:rPr>
              <w:t xml:space="preserve">de </w:t>
            </w:r>
            <w:r w:rsidR="0017032A" w:rsidRPr="00F02B0E">
              <w:rPr>
                <w:rFonts w:eastAsia="ITC Avant Garde" w:cs="ITC Avant Garde"/>
              </w:rPr>
              <w:t>telecomunicaciones.</w:t>
            </w:r>
            <w:r w:rsidR="00F611CD">
              <w:rPr>
                <w:rFonts w:eastAsia="ITC Avant Garde" w:cs="ITC Avant Garde"/>
              </w:rPr>
              <w:t xml:space="preserve"> </w:t>
            </w:r>
            <w:r w:rsidR="002A0A63">
              <w:rPr>
                <w:rFonts w:eastAsia="ITC Avant Garde" w:cs="ITC Avant Garde"/>
              </w:rPr>
              <w:t xml:space="preserve">Cabe mencionar que, a efectos de obtener el </w:t>
            </w:r>
            <w:r w:rsidR="00E602CC">
              <w:rPr>
                <w:rFonts w:eastAsia="ITC Avant Garde" w:cs="ITC Avant Garde"/>
              </w:rPr>
              <w:t>c</w:t>
            </w:r>
            <w:r w:rsidR="002A0A63">
              <w:rPr>
                <w:rFonts w:eastAsia="ITC Avant Garde" w:cs="ITC Avant Garde"/>
              </w:rPr>
              <w:t xml:space="preserve">ertificado de </w:t>
            </w:r>
            <w:r w:rsidR="00E602CC">
              <w:rPr>
                <w:rFonts w:eastAsia="ITC Avant Garde" w:cs="ITC Avant Garde"/>
              </w:rPr>
              <w:t>h</w:t>
            </w:r>
            <w:r w:rsidR="002A0A63">
              <w:rPr>
                <w:rFonts w:eastAsia="ITC Avant Garde" w:cs="ITC Avant Garde"/>
              </w:rPr>
              <w:t xml:space="preserve">omologación, dichos métodos de prueba solo se aplicaran a 2 o 3 </w:t>
            </w:r>
            <w:r w:rsidR="00CE6E0B">
              <w:rPr>
                <w:rFonts w:eastAsia="ITC Avant Garde" w:cs="ITC Avant Garde"/>
              </w:rPr>
              <w:t>productos,</w:t>
            </w:r>
            <w:r w:rsidR="00CE6E0B" w:rsidRPr="00F02B0E">
              <w:rPr>
                <w:rFonts w:eastAsia="ITC Avant Garde" w:cs="ITC Avant Garde"/>
              </w:rPr>
              <w:t xml:space="preserve"> </w:t>
            </w:r>
            <w:r w:rsidR="00CE6E0B" w:rsidRPr="0041540D">
              <w:rPr>
                <w:rFonts w:eastAsia="ITC Avant Garde" w:cs="ITC Avant Garde"/>
              </w:rPr>
              <w:t xml:space="preserve">equipos, </w:t>
            </w:r>
            <w:r w:rsidR="002A0A63">
              <w:rPr>
                <w:rFonts w:eastAsia="ITC Avant Garde" w:cs="ITC Avant Garde"/>
              </w:rPr>
              <w:t xml:space="preserve">dispositivos </w:t>
            </w:r>
            <w:r w:rsidR="00CE6E0B">
              <w:rPr>
                <w:rFonts w:eastAsia="ITC Avant Garde" w:cs="ITC Avant Garde"/>
              </w:rPr>
              <w:t xml:space="preserve">o aparatos </w:t>
            </w:r>
            <w:r w:rsidR="002A0A63">
              <w:rPr>
                <w:rFonts w:eastAsia="ITC Avant Garde" w:cs="ITC Avant Garde"/>
              </w:rPr>
              <w:t xml:space="preserve">y, dicho </w:t>
            </w:r>
            <w:r w:rsidR="00E602CC">
              <w:rPr>
                <w:rFonts w:eastAsia="ITC Avant Garde" w:cs="ITC Avant Garde"/>
              </w:rPr>
              <w:t>c</w:t>
            </w:r>
            <w:r w:rsidR="002A0A63">
              <w:rPr>
                <w:rFonts w:eastAsia="ITC Avant Garde" w:cs="ITC Avant Garde"/>
              </w:rPr>
              <w:t xml:space="preserve">ertificado ampararía </w:t>
            </w:r>
            <w:r w:rsidR="00A216EA">
              <w:rPr>
                <w:rFonts w:eastAsia="ITC Avant Garde" w:cs="ITC Avant Garde"/>
              </w:rPr>
              <w:t xml:space="preserve">indefinidamente </w:t>
            </w:r>
            <w:r w:rsidR="002A0A63">
              <w:rPr>
                <w:rFonts w:eastAsia="ITC Avant Garde" w:cs="ITC Avant Garde"/>
              </w:rPr>
              <w:t>el</w:t>
            </w:r>
            <w:r w:rsidR="001646CD">
              <w:rPr>
                <w:rFonts w:eastAsia="ITC Avant Garde" w:cs="ITC Avant Garde"/>
              </w:rPr>
              <w:t xml:space="preserve"> (los)</w:t>
            </w:r>
            <w:r w:rsidR="002A0A63">
              <w:rPr>
                <w:rFonts w:eastAsia="ITC Avant Garde" w:cs="ITC Avant Garde"/>
              </w:rPr>
              <w:t xml:space="preserve"> lote</w:t>
            </w:r>
            <w:r w:rsidR="001646CD">
              <w:rPr>
                <w:rFonts w:eastAsia="ITC Avant Garde" w:cs="ITC Avant Garde"/>
              </w:rPr>
              <w:t>(s)</w:t>
            </w:r>
            <w:r w:rsidR="002A0A63">
              <w:rPr>
                <w:rFonts w:eastAsia="ITC Avant Garde" w:cs="ITC Avant Garde"/>
              </w:rPr>
              <w:t xml:space="preserve"> de la familia de </w:t>
            </w:r>
            <w:r w:rsidR="00D610F7">
              <w:rPr>
                <w:rFonts w:eastAsia="ITC Avant Garde" w:cs="ITC Avant Garde"/>
              </w:rPr>
              <w:t>tales</w:t>
            </w:r>
            <w:r w:rsidR="002A0A63">
              <w:rPr>
                <w:rFonts w:eastAsia="ITC Avant Garde" w:cs="ITC Avant Garde"/>
              </w:rPr>
              <w:t xml:space="preserve"> productos. </w:t>
            </w:r>
            <w:r w:rsidR="006C5F24">
              <w:rPr>
                <w:rFonts w:eastAsia="ITC Avant Garde" w:cs="ITC Avant Garde"/>
              </w:rPr>
              <w:t>Por lo que, s</w:t>
            </w:r>
            <w:r w:rsidR="00FE79D5">
              <w:rPr>
                <w:rFonts w:eastAsia="ITC Avant Garde" w:cs="ITC Avant Garde"/>
              </w:rPr>
              <w:t>erá</w:t>
            </w:r>
            <w:r w:rsidR="00F611CD">
              <w:rPr>
                <w:rFonts w:eastAsia="ITC Avant Garde" w:cs="ITC Avant Garde"/>
              </w:rPr>
              <w:t xml:space="preserve"> decisión del fabricante, proveedor, importador y/o distribuidor del </w:t>
            </w:r>
            <w:r w:rsidR="00FE79D5">
              <w:rPr>
                <w:rFonts w:eastAsia="ITC Avant Garde" w:cs="ITC Avant Garde"/>
              </w:rPr>
              <w:t xml:space="preserve">producto de telecomunicaciones el trasladar estos costos al usuario final considerando </w:t>
            </w:r>
            <w:r w:rsidR="00A216EA">
              <w:rPr>
                <w:rFonts w:eastAsia="ITC Avant Garde" w:cs="ITC Avant Garde"/>
              </w:rPr>
              <w:t xml:space="preserve">su plan de negocios y </w:t>
            </w:r>
            <w:r w:rsidR="001E577C">
              <w:rPr>
                <w:rFonts w:eastAsia="ITC Avant Garde" w:cs="ITC Avant Garde"/>
              </w:rPr>
              <w:t>el mantener precios competitivos</w:t>
            </w:r>
            <w:r w:rsidR="006C5F24">
              <w:rPr>
                <w:rFonts w:eastAsia="ITC Avant Garde" w:cs="ITC Avant Garde"/>
              </w:rPr>
              <w:t xml:space="preserve"> </w:t>
            </w:r>
            <w:r w:rsidR="00FE79D5">
              <w:rPr>
                <w:rFonts w:eastAsia="ITC Avant Garde" w:cs="ITC Avant Garde"/>
              </w:rPr>
              <w:t>en el mercado.</w:t>
            </w:r>
          </w:p>
          <w:p w14:paraId="7AE114ED" w14:textId="77777777" w:rsidR="001D0B69" w:rsidRDefault="001D0B69" w:rsidP="0017032A">
            <w:pPr>
              <w:spacing w:line="276" w:lineRule="auto"/>
              <w:jc w:val="both"/>
              <w:rPr>
                <w:rFonts w:eastAsia="ITC Avant Garde" w:cs="ITC Avant Garde"/>
              </w:rPr>
            </w:pPr>
          </w:p>
          <w:p w14:paraId="27ECCF6C" w14:textId="6A0ACAEC" w:rsidR="001D0B69" w:rsidRPr="00F02B0E" w:rsidRDefault="001D0B69" w:rsidP="0017032A">
            <w:pPr>
              <w:spacing w:line="276" w:lineRule="auto"/>
              <w:jc w:val="both"/>
              <w:rPr>
                <w:rFonts w:eastAsia="ITC Avant Garde" w:cs="ITC Avant Garde"/>
              </w:rPr>
            </w:pPr>
            <w:r>
              <w:rPr>
                <w:rFonts w:eastAsia="ITC Avant Garde" w:cs="ITC Avant Garde"/>
              </w:rPr>
              <w:t xml:space="preserve">En cuanto al impacto a la disponibilidad de los productos de telecomunicaciones dentro del alcance del Anteproyecto, a efectos de reducir el tiempo de pruebas y no afectar la misma, </w:t>
            </w:r>
            <w:r w:rsidR="00E602CC" w:rsidRPr="00E602CC">
              <w:rPr>
                <w:rFonts w:eastAsia="ITC Avant Garde" w:cs="ITC Avant Garde"/>
              </w:rPr>
              <w:t>el Anteproyecto</w:t>
            </w:r>
            <w:r w:rsidR="00E602CC" w:rsidRPr="00E602CC" w:rsidDel="00E602CC">
              <w:rPr>
                <w:rFonts w:eastAsia="ITC Avant Garde" w:cs="ITC Avant Garde"/>
              </w:rPr>
              <w:t xml:space="preserve"> </w:t>
            </w:r>
            <w:r>
              <w:rPr>
                <w:rFonts w:eastAsia="ITC Avant Garde" w:cs="ITC Avant Garde"/>
              </w:rPr>
              <w:t>de mérito establece la evaluación solo en las bandas de frecuencia de operación en México.</w:t>
            </w:r>
          </w:p>
          <w:p w14:paraId="42DE1782" w14:textId="77777777" w:rsidR="0017032A" w:rsidRPr="00F02B0E" w:rsidRDefault="0017032A" w:rsidP="0017032A">
            <w:pPr>
              <w:spacing w:line="276" w:lineRule="auto"/>
              <w:jc w:val="both"/>
              <w:rPr>
                <w:rFonts w:eastAsia="ITC Avant Garde" w:cs="ITC Avant Garde"/>
              </w:rPr>
            </w:pPr>
          </w:p>
          <w:p w14:paraId="5D38B5AF" w14:textId="7F30B238" w:rsidR="003F05E7" w:rsidRDefault="001D0B69" w:rsidP="009D0133">
            <w:pPr>
              <w:spacing w:line="276" w:lineRule="auto"/>
              <w:jc w:val="both"/>
              <w:rPr>
                <w:rFonts w:eastAsia="ITC Avant Garde" w:cs="ITC Avant Garde"/>
              </w:rPr>
            </w:pPr>
            <w:r>
              <w:rPr>
                <w:rFonts w:eastAsia="ITC Avant Garde" w:cs="ITC Avant Garde"/>
              </w:rPr>
              <w:t>Como se ha mencionado</w:t>
            </w:r>
            <w:r w:rsidR="0017032A" w:rsidRPr="00B558A2">
              <w:rPr>
                <w:rFonts w:eastAsia="ITC Avant Garde" w:cs="ITC Avant Garde"/>
              </w:rPr>
              <w:t xml:space="preserve">, la </w:t>
            </w:r>
            <w:r w:rsidR="00F611CD">
              <w:rPr>
                <w:rFonts w:eastAsia="ITC Avant Garde" w:cs="ITC Avant Garde"/>
              </w:rPr>
              <w:t>entrada en vigor</w:t>
            </w:r>
            <w:r w:rsidR="0017032A" w:rsidRPr="00B558A2">
              <w:rPr>
                <w:rFonts w:eastAsia="ITC Avant Garde" w:cs="ITC Avant Garde"/>
              </w:rPr>
              <w:t xml:space="preserve"> del presente </w:t>
            </w:r>
            <w:r w:rsidR="009D0133">
              <w:rPr>
                <w:rFonts w:eastAsia="ITC Avant Garde" w:cs="ITC Avant Garde"/>
              </w:rPr>
              <w:t>A</w:t>
            </w:r>
            <w:r w:rsidR="0017032A" w:rsidRPr="00B558A2">
              <w:rPr>
                <w:rFonts w:eastAsia="ITC Avant Garde" w:cs="ITC Avant Garde"/>
              </w:rPr>
              <w:t xml:space="preserve">nteproyecto permitirá garantizar que las </w:t>
            </w:r>
            <w:r w:rsidR="0012433B" w:rsidRPr="0012433B">
              <w:rPr>
                <w:rFonts w:eastAsia="ITC Avant Garde" w:cs="ITC Avant Garde"/>
              </w:rPr>
              <w:t xml:space="preserve">radiaciones electromagnéticas de radiofrecuencia no ionizantes </w:t>
            </w:r>
            <w:r w:rsidR="0017032A" w:rsidRPr="00B558A2">
              <w:rPr>
                <w:rFonts w:eastAsia="ITC Avant Garde" w:cs="ITC Avant Garde"/>
              </w:rPr>
              <w:t xml:space="preserve">provenientes de </w:t>
            </w:r>
            <w:r w:rsidR="00FE79D5">
              <w:rPr>
                <w:rFonts w:eastAsia="ITC Avant Garde" w:cs="ITC Avant Garde"/>
              </w:rPr>
              <w:t xml:space="preserve">todos los productos de </w:t>
            </w:r>
            <w:r w:rsidR="0017032A" w:rsidRPr="00B558A2">
              <w:rPr>
                <w:rFonts w:eastAsia="ITC Avant Garde" w:cs="ITC Avant Garde"/>
              </w:rPr>
              <w:t xml:space="preserve">telecomunicaciones </w:t>
            </w:r>
            <w:r w:rsidR="00FE79D5" w:rsidRPr="00FE79D5">
              <w:rPr>
                <w:rFonts w:eastAsia="ITC Avant Garde" w:cs="ITC Avant Garde"/>
              </w:rPr>
              <w:t xml:space="preserve">a ser conectados a una red de telecomunicaciones o hacer uso del espectro radioeléctrico en México </w:t>
            </w:r>
            <w:r w:rsidR="00F611CD">
              <w:rPr>
                <w:rFonts w:eastAsia="ITC Avant Garde" w:cs="ITC Avant Garde"/>
              </w:rPr>
              <w:t>no rebasen</w:t>
            </w:r>
            <w:r w:rsidR="0017032A" w:rsidRPr="00B558A2">
              <w:rPr>
                <w:rFonts w:eastAsia="ITC Avant Garde" w:cs="ITC Avant Garde"/>
              </w:rPr>
              <w:t xml:space="preserve"> los límites básicos de exposición</w:t>
            </w:r>
            <w:r w:rsidR="00B558A2" w:rsidRPr="00B558A2">
              <w:rPr>
                <w:rFonts w:eastAsia="ITC Avant Garde" w:cs="ITC Avant Garde"/>
              </w:rPr>
              <w:t xml:space="preserve"> </w:t>
            </w:r>
            <w:r w:rsidR="00F611CD">
              <w:rPr>
                <w:rFonts w:eastAsia="ITC Avant Garde" w:cs="ITC Avant Garde"/>
              </w:rPr>
              <w:t>a radiaciones no ionizantes de</w:t>
            </w:r>
            <w:r w:rsidR="00494E58">
              <w:rPr>
                <w:rFonts w:eastAsia="ITC Avant Garde" w:cs="ITC Avant Garde"/>
              </w:rPr>
              <w:t xml:space="preserve"> referencia internacional</w:t>
            </w:r>
            <w:r w:rsidR="0017032A" w:rsidRPr="00B558A2">
              <w:rPr>
                <w:rFonts w:eastAsia="ITC Avant Garde" w:cs="ITC Avant Garde"/>
              </w:rPr>
              <w:t xml:space="preserve">. </w:t>
            </w:r>
            <w:r w:rsidR="00F611CD">
              <w:rPr>
                <w:rFonts w:eastAsia="ITC Avant Garde" w:cs="ITC Avant Garde"/>
              </w:rPr>
              <w:t>Lo anterior, coadyuvará a brindar</w:t>
            </w:r>
            <w:r w:rsidR="0017032A" w:rsidRPr="00B558A2">
              <w:rPr>
                <w:rFonts w:eastAsia="ITC Avant Garde" w:cs="ITC Avant Garde"/>
              </w:rPr>
              <w:t xml:space="preserve"> confianza al usuario respecto a la </w:t>
            </w:r>
            <w:r w:rsidR="00B558A2">
              <w:rPr>
                <w:rFonts w:eastAsia="ITC Avant Garde" w:cs="ITC Avant Garde"/>
              </w:rPr>
              <w:t>conformidad</w:t>
            </w:r>
            <w:r w:rsidR="0017032A" w:rsidRPr="00B558A2">
              <w:rPr>
                <w:rFonts w:eastAsia="ITC Avant Garde" w:cs="ITC Avant Garde"/>
              </w:rPr>
              <w:t xml:space="preserve"> del producto, equipo, dispositivo o aparato.</w:t>
            </w:r>
          </w:p>
          <w:p w14:paraId="639EE425" w14:textId="77777777" w:rsidR="00495058" w:rsidRPr="006A010C" w:rsidRDefault="00495058" w:rsidP="009D0133">
            <w:pPr>
              <w:spacing w:line="276" w:lineRule="auto"/>
              <w:jc w:val="both"/>
              <w:rPr>
                <w:rFonts w:eastAsia="ITC Avant Garde" w:cs="ITC Avant Garde"/>
              </w:rPr>
            </w:pPr>
          </w:p>
        </w:tc>
      </w:tr>
    </w:tbl>
    <w:p w14:paraId="53347324" w14:textId="77777777" w:rsidR="003F05E7" w:rsidRPr="006A010C" w:rsidRDefault="003F05E7" w:rsidP="000603C7">
      <w:pPr>
        <w:spacing w:line="276" w:lineRule="auto"/>
        <w:jc w:val="both"/>
      </w:pPr>
    </w:p>
    <w:tbl>
      <w:tblPr>
        <w:tblStyle w:val="Tablaconcuadrcula"/>
        <w:tblW w:w="0" w:type="dxa"/>
        <w:tblLook w:val="04A0" w:firstRow="1" w:lastRow="0" w:firstColumn="1" w:lastColumn="0" w:noHBand="0" w:noVBand="1"/>
      </w:tblPr>
      <w:tblGrid>
        <w:gridCol w:w="8828"/>
      </w:tblGrid>
      <w:tr w:rsidR="003F05E7" w:rsidRPr="006A010C" w14:paraId="4B6029F4" w14:textId="77777777" w:rsidTr="0891B9CF">
        <w:tc>
          <w:tcPr>
            <w:tcW w:w="8828" w:type="dxa"/>
          </w:tcPr>
          <w:p w14:paraId="1E31FC41" w14:textId="2E5E45FF" w:rsidR="003F05E7" w:rsidRPr="006A010C" w:rsidRDefault="48ECE0BD" w:rsidP="000603C7">
            <w:pPr>
              <w:spacing w:line="276" w:lineRule="auto"/>
              <w:jc w:val="both"/>
              <w:rPr>
                <w:rFonts w:eastAsia="ITC Avant Garde" w:cs="ITC Avant Garde"/>
              </w:rPr>
            </w:pPr>
            <w:r w:rsidRPr="006A010C">
              <w:rPr>
                <w:rFonts w:eastAsia="ITC Avant Garde" w:cs="ITC Avant Garde"/>
                <w:b/>
                <w:bCs/>
              </w:rPr>
              <w:t xml:space="preserve">12.- ¿El </w:t>
            </w:r>
            <w:r w:rsidR="007E2E1A">
              <w:rPr>
                <w:rFonts w:eastAsia="ITC Avant Garde" w:cs="ITC Avant Garde"/>
                <w:b/>
                <w:bCs/>
              </w:rPr>
              <w:t>A</w:t>
            </w:r>
            <w:r w:rsidRPr="006A010C">
              <w:rPr>
                <w:rFonts w:eastAsia="ITC Avant Garde" w:cs="ITC Avant Garde"/>
                <w:b/>
                <w:bCs/>
              </w:rPr>
              <w:t>nteproyecto de regulación contempla esquemas que impactan de manera diferenciada a sectores, industria o agentes económicos? (por ejemplo, las micro, pequeñas y medianas empresas):</w:t>
            </w:r>
          </w:p>
          <w:p w14:paraId="7EA70AB9" w14:textId="77777777" w:rsidR="003F05E7" w:rsidRPr="006A010C" w:rsidRDefault="003F05E7" w:rsidP="000603C7">
            <w:pPr>
              <w:spacing w:line="276" w:lineRule="auto"/>
              <w:jc w:val="both"/>
            </w:pPr>
          </w:p>
          <w:p w14:paraId="6953557D" w14:textId="77777777" w:rsidR="003F05E7" w:rsidRDefault="009D0133" w:rsidP="009D0133">
            <w:pPr>
              <w:spacing w:line="276" w:lineRule="auto"/>
              <w:jc w:val="both"/>
              <w:rPr>
                <w:rFonts w:eastAsia="ITC Avant Garde" w:cs="ITC Avant Garde"/>
              </w:rPr>
            </w:pPr>
            <w:r>
              <w:rPr>
                <w:rFonts w:eastAsia="ITC Avant Garde" w:cs="ITC Avant Garde"/>
              </w:rPr>
              <w:t xml:space="preserve">No. </w:t>
            </w:r>
          </w:p>
          <w:p w14:paraId="3D038709" w14:textId="77777777" w:rsidR="008516D0" w:rsidRPr="006A010C" w:rsidRDefault="008516D0" w:rsidP="009D0133">
            <w:pPr>
              <w:spacing w:line="276" w:lineRule="auto"/>
              <w:jc w:val="both"/>
              <w:rPr>
                <w:rFonts w:eastAsia="ITC Avant Garde" w:cs="ITC Avant Garde"/>
              </w:rPr>
            </w:pPr>
          </w:p>
        </w:tc>
      </w:tr>
    </w:tbl>
    <w:p w14:paraId="43364CA2" w14:textId="77777777" w:rsidR="003F05E7" w:rsidRPr="006A010C" w:rsidRDefault="003F05E7" w:rsidP="000603C7">
      <w:pPr>
        <w:spacing w:line="276" w:lineRule="auto"/>
        <w:jc w:val="both"/>
      </w:pPr>
    </w:p>
    <w:tbl>
      <w:tblPr>
        <w:tblStyle w:val="Tablaconcuadrcula"/>
        <w:tblW w:w="0" w:type="dxa"/>
        <w:tblLayout w:type="fixed"/>
        <w:tblLook w:val="04A0" w:firstRow="1" w:lastRow="0" w:firstColumn="1" w:lastColumn="0" w:noHBand="0" w:noVBand="1"/>
      </w:tblPr>
      <w:tblGrid>
        <w:gridCol w:w="8828"/>
      </w:tblGrid>
      <w:tr w:rsidR="003F05E7" w:rsidRPr="006A010C" w14:paraId="22D7AC29" w14:textId="77777777" w:rsidTr="0002075C">
        <w:tc>
          <w:tcPr>
            <w:tcW w:w="8828" w:type="dxa"/>
          </w:tcPr>
          <w:p w14:paraId="1526B846" w14:textId="77777777" w:rsidR="008C76AF" w:rsidRDefault="48ECE0BD" w:rsidP="000603C7">
            <w:pPr>
              <w:spacing w:line="276" w:lineRule="auto"/>
              <w:jc w:val="both"/>
              <w:rPr>
                <w:rFonts w:eastAsia="ITC Avant Garde" w:cs="ITC Avant Garde"/>
                <w:b/>
                <w:bCs/>
              </w:rPr>
            </w:pPr>
            <w:r w:rsidRPr="006A010C">
              <w:rPr>
                <w:rFonts w:eastAsia="ITC Avant Garde" w:cs="ITC Avant Garde"/>
                <w:b/>
                <w:bCs/>
              </w:rPr>
              <w:lastRenderedPageBreak/>
              <w:t>13.- Proporcione la estimación de los costos en los que podrían incurrir cada particular, grupo de particulares o industria a razón de la entrada en vigor del anteproyecto de regulación:</w:t>
            </w:r>
          </w:p>
          <w:p w14:paraId="09780B9B" w14:textId="77777777" w:rsidR="00B40748" w:rsidRPr="00B40748" w:rsidRDefault="00B40748" w:rsidP="000603C7">
            <w:pPr>
              <w:spacing w:line="276" w:lineRule="auto"/>
              <w:jc w:val="both"/>
              <w:rPr>
                <w:rFonts w:eastAsia="ITC Avant Garde" w:cs="ITC Avant Garde"/>
                <w:bCs/>
              </w:rPr>
            </w:pPr>
          </w:p>
          <w:p w14:paraId="5D61F94C" w14:textId="5493A071" w:rsidR="00B40748" w:rsidRDefault="00B40748" w:rsidP="000603C7">
            <w:pPr>
              <w:spacing w:line="276" w:lineRule="auto"/>
              <w:jc w:val="both"/>
              <w:rPr>
                <w:rFonts w:eastAsia="ITC Avant Garde" w:cs="ITC Avant Garde"/>
                <w:bCs/>
              </w:rPr>
            </w:pPr>
            <w:r w:rsidRPr="00B40748">
              <w:rPr>
                <w:rFonts w:eastAsia="ITC Avant Garde" w:cs="ITC Avant Garde"/>
                <w:bCs/>
              </w:rPr>
              <w:t xml:space="preserve">Los costos </w:t>
            </w:r>
            <w:r w:rsidRPr="00492607">
              <w:rPr>
                <w:rFonts w:eastAsia="ITC Avant Garde" w:cs="ITC Avant Garde"/>
                <w:bCs/>
                <w:u w:val="single"/>
              </w:rPr>
              <w:t xml:space="preserve">por la entrada en vigor del presente </w:t>
            </w:r>
            <w:r w:rsidR="007E2E1A">
              <w:rPr>
                <w:rFonts w:eastAsia="ITC Avant Garde" w:cs="ITC Avant Garde"/>
                <w:bCs/>
                <w:u w:val="single"/>
              </w:rPr>
              <w:t>A</w:t>
            </w:r>
            <w:r w:rsidRPr="00492607">
              <w:rPr>
                <w:rFonts w:eastAsia="ITC Avant Garde" w:cs="ITC Avant Garde"/>
                <w:bCs/>
                <w:u w:val="single"/>
              </w:rPr>
              <w:t>nteproyecto</w:t>
            </w:r>
            <w:r w:rsidRPr="00B40748">
              <w:rPr>
                <w:rFonts w:eastAsia="ITC Avant Garde" w:cs="ITC Avant Garde"/>
                <w:bCs/>
              </w:rPr>
              <w:t xml:space="preserve"> </w:t>
            </w:r>
            <w:r w:rsidR="0084181A">
              <w:rPr>
                <w:rFonts w:eastAsia="ITC Avant Garde" w:cs="ITC Avant Garde"/>
                <w:bCs/>
              </w:rPr>
              <w:t>en 2019</w:t>
            </w:r>
            <w:r w:rsidR="00CA33FD">
              <w:rPr>
                <w:rFonts w:eastAsia="ITC Avant Garde" w:cs="ITC Avant Garde"/>
                <w:bCs/>
              </w:rPr>
              <w:t xml:space="preserve"> y las sucesivas </w:t>
            </w:r>
            <w:r w:rsidR="00A86317">
              <w:rPr>
                <w:rFonts w:eastAsia="ITC Avant Garde" w:cs="ITC Avant Garde"/>
                <w:bCs/>
              </w:rPr>
              <w:t>verificaciones</w:t>
            </w:r>
            <w:r w:rsidR="00CA33FD">
              <w:rPr>
                <w:rFonts w:eastAsia="ITC Avant Garde" w:cs="ITC Avant Garde"/>
                <w:bCs/>
              </w:rPr>
              <w:t xml:space="preserve"> en 2020</w:t>
            </w:r>
            <w:r w:rsidR="00A86317">
              <w:rPr>
                <w:rFonts w:eastAsia="ITC Avant Garde" w:cs="ITC Avant Garde"/>
                <w:bCs/>
              </w:rPr>
              <w:t>,</w:t>
            </w:r>
            <w:r w:rsidR="0084181A">
              <w:rPr>
                <w:rFonts w:eastAsia="ITC Avant Garde" w:cs="ITC Avant Garde"/>
                <w:bCs/>
              </w:rPr>
              <w:t xml:space="preserve"> </w:t>
            </w:r>
            <w:r w:rsidRPr="00B40748">
              <w:rPr>
                <w:rFonts w:eastAsia="ITC Avant Garde" w:cs="ITC Avant Garde"/>
                <w:bCs/>
              </w:rPr>
              <w:t>se estiman</w:t>
            </w:r>
            <w:r>
              <w:rPr>
                <w:rFonts w:eastAsia="ITC Avant Garde" w:cs="ITC Avant Garde"/>
                <w:bCs/>
              </w:rPr>
              <w:t xml:space="preserve"> basándose en el costo de la </w:t>
            </w:r>
            <w:r w:rsidR="00A86317">
              <w:rPr>
                <w:rFonts w:eastAsia="ITC Avant Garde" w:cs="ITC Avant Garde"/>
                <w:bCs/>
              </w:rPr>
              <w:t>e</w:t>
            </w:r>
            <w:r>
              <w:rPr>
                <w:rFonts w:eastAsia="ITC Avant Garde" w:cs="ITC Avant Garde"/>
                <w:bCs/>
              </w:rPr>
              <w:t xml:space="preserve">valuación de la </w:t>
            </w:r>
            <w:r w:rsidR="00A86317">
              <w:rPr>
                <w:rFonts w:eastAsia="ITC Avant Garde" w:cs="ITC Avant Garde"/>
                <w:bCs/>
              </w:rPr>
              <w:t>c</w:t>
            </w:r>
            <w:r>
              <w:rPr>
                <w:rFonts w:eastAsia="ITC Avant Garde" w:cs="ITC Avant Garde"/>
                <w:bCs/>
              </w:rPr>
              <w:t xml:space="preserve">onformidad y obtención del correspondiente </w:t>
            </w:r>
            <w:r w:rsidR="00D71E6C">
              <w:rPr>
                <w:rFonts w:eastAsia="ITC Avant Garde" w:cs="ITC Avant Garde"/>
                <w:bCs/>
              </w:rPr>
              <w:t>c</w:t>
            </w:r>
            <w:r>
              <w:rPr>
                <w:rFonts w:eastAsia="ITC Avant Garde" w:cs="ITC Avant Garde"/>
                <w:bCs/>
              </w:rPr>
              <w:t xml:space="preserve">ertificado de </w:t>
            </w:r>
            <w:r w:rsidR="00D71E6C">
              <w:rPr>
                <w:rFonts w:eastAsia="ITC Avant Garde" w:cs="ITC Avant Garde"/>
                <w:bCs/>
              </w:rPr>
              <w:t>c</w:t>
            </w:r>
            <w:r w:rsidRPr="00D71E6C">
              <w:rPr>
                <w:rFonts w:eastAsia="ITC Avant Garde" w:cs="ITC Avant Garde"/>
                <w:bCs/>
              </w:rPr>
              <w:t>onformidad</w:t>
            </w:r>
            <w:r>
              <w:rPr>
                <w:rFonts w:eastAsia="ITC Avant Garde" w:cs="ITC Avant Garde"/>
                <w:bCs/>
              </w:rPr>
              <w:t>.</w:t>
            </w:r>
          </w:p>
          <w:p w14:paraId="12A5B719" w14:textId="77777777" w:rsidR="00B40748" w:rsidRDefault="00B40748" w:rsidP="000603C7">
            <w:pPr>
              <w:spacing w:line="276" w:lineRule="auto"/>
              <w:jc w:val="both"/>
              <w:rPr>
                <w:rFonts w:eastAsia="ITC Avant Garde" w:cs="ITC Avant Garde"/>
                <w:bCs/>
              </w:rPr>
            </w:pPr>
          </w:p>
          <w:p w14:paraId="7A6DEF6E" w14:textId="08EF9DC8" w:rsidR="00B40748" w:rsidRDefault="00B40748" w:rsidP="000603C7">
            <w:pPr>
              <w:spacing w:line="276" w:lineRule="auto"/>
              <w:jc w:val="both"/>
              <w:rPr>
                <w:rFonts w:eastAsia="ITC Avant Garde" w:cs="ITC Avant Garde"/>
                <w:bCs/>
              </w:rPr>
            </w:pPr>
            <w:r>
              <w:rPr>
                <w:rFonts w:eastAsia="ITC Avant Garde" w:cs="ITC Avant Garde"/>
                <w:bCs/>
              </w:rPr>
              <w:t xml:space="preserve">Con información proporcionada por los </w:t>
            </w:r>
            <w:r w:rsidR="00D71E6C">
              <w:rPr>
                <w:rFonts w:eastAsia="ITC Avant Garde" w:cs="ITC Avant Garde"/>
                <w:bCs/>
              </w:rPr>
              <w:t>o</w:t>
            </w:r>
            <w:r>
              <w:rPr>
                <w:rFonts w:eastAsia="ITC Avant Garde" w:cs="ITC Avant Garde"/>
                <w:bCs/>
              </w:rPr>
              <w:t xml:space="preserve">rganismos de </w:t>
            </w:r>
            <w:r w:rsidR="00D71E6C">
              <w:rPr>
                <w:rFonts w:eastAsia="ITC Avant Garde" w:cs="ITC Avant Garde"/>
                <w:bCs/>
              </w:rPr>
              <w:t>c</w:t>
            </w:r>
            <w:r>
              <w:rPr>
                <w:rFonts w:eastAsia="ITC Avant Garde" w:cs="ITC Avant Garde"/>
                <w:bCs/>
              </w:rPr>
              <w:t xml:space="preserve">ertificación y los Laboratorios de Prueba, se estiman los siguientes </w:t>
            </w:r>
            <w:r w:rsidRPr="00D71E6C">
              <w:rPr>
                <w:rFonts w:eastAsia="ITC Avant Garde" w:cs="ITC Avant Garde"/>
                <w:bCs/>
              </w:rPr>
              <w:t>costos:</w:t>
            </w:r>
          </w:p>
          <w:p w14:paraId="66873563" w14:textId="77777777" w:rsidR="00B40748" w:rsidRDefault="00492607" w:rsidP="000603C7">
            <w:pPr>
              <w:spacing w:line="276" w:lineRule="auto"/>
              <w:jc w:val="both"/>
              <w:rPr>
                <w:rFonts w:eastAsia="ITC Avant Garde" w:cs="ITC Avant Garde"/>
                <w:bCs/>
              </w:rPr>
            </w:pPr>
            <w:r>
              <w:rPr>
                <w:rFonts w:eastAsia="ITC Avant Garde" w:cs="ITC Avant Garde"/>
                <w:bCs/>
              </w:rPr>
              <w:t xml:space="preserve"> </w:t>
            </w:r>
          </w:p>
          <w:p w14:paraId="6C17FC7E" w14:textId="4D980B9A" w:rsidR="00B40748" w:rsidRPr="000C75EB" w:rsidRDefault="00B40748" w:rsidP="0062677D">
            <w:pPr>
              <w:pStyle w:val="Prrafodelista"/>
              <w:numPr>
                <w:ilvl w:val="0"/>
                <w:numId w:val="6"/>
              </w:numPr>
              <w:spacing w:line="276" w:lineRule="auto"/>
              <w:jc w:val="both"/>
              <w:rPr>
                <w:rStyle w:val="nfasisintenso"/>
                <w:i w:val="0"/>
                <w:color w:val="auto"/>
              </w:rPr>
            </w:pPr>
            <w:r w:rsidRPr="000C75EB">
              <w:rPr>
                <w:rStyle w:val="nfasisintenso"/>
                <w:i w:val="0"/>
                <w:color w:val="auto"/>
              </w:rPr>
              <w:t xml:space="preserve">Costo </w:t>
            </w:r>
            <w:r w:rsidR="000D1053">
              <w:rPr>
                <w:rStyle w:val="nfasisintenso"/>
                <w:i w:val="0"/>
                <w:color w:val="auto"/>
              </w:rPr>
              <w:t>por emisión de</w:t>
            </w:r>
            <w:r w:rsidR="000D1053" w:rsidRPr="000C75EB">
              <w:rPr>
                <w:rStyle w:val="nfasisintenso"/>
                <w:i w:val="0"/>
                <w:color w:val="auto"/>
              </w:rPr>
              <w:t xml:space="preserve"> </w:t>
            </w:r>
            <w:r w:rsidRPr="000C75EB">
              <w:rPr>
                <w:rStyle w:val="nfasisintenso"/>
                <w:i w:val="0"/>
                <w:color w:val="auto"/>
              </w:rPr>
              <w:t>Certifica</w:t>
            </w:r>
            <w:r w:rsidR="000D1053">
              <w:rPr>
                <w:rStyle w:val="nfasisintenso"/>
                <w:i w:val="0"/>
                <w:color w:val="auto"/>
              </w:rPr>
              <w:t>do de Conformidad</w:t>
            </w:r>
            <w:r w:rsidRPr="000C75EB">
              <w:rPr>
                <w:rStyle w:val="nfasisintenso"/>
                <w:i w:val="0"/>
                <w:color w:val="auto"/>
              </w:rPr>
              <w:t xml:space="preserve">: </w:t>
            </w:r>
            <w:r w:rsidRPr="000C75EB">
              <w:rPr>
                <w:rStyle w:val="nfasisintenso"/>
                <w:b/>
                <w:i w:val="0"/>
                <w:color w:val="auto"/>
              </w:rPr>
              <w:t>15</w:t>
            </w:r>
            <w:r w:rsidR="00345713">
              <w:rPr>
                <w:rStyle w:val="nfasisintenso"/>
                <w:b/>
                <w:i w:val="0"/>
                <w:color w:val="auto"/>
              </w:rPr>
              <w:t>,</w:t>
            </w:r>
            <w:r w:rsidRPr="000C75EB">
              <w:rPr>
                <w:rStyle w:val="nfasisintenso"/>
                <w:b/>
                <w:i w:val="0"/>
                <w:color w:val="auto"/>
              </w:rPr>
              <w:t>000 pesos</w:t>
            </w:r>
          </w:p>
          <w:p w14:paraId="6F3E4C55" w14:textId="29CE1417" w:rsidR="00B40748" w:rsidRPr="000C75EB" w:rsidRDefault="00B40748" w:rsidP="0062677D">
            <w:pPr>
              <w:pStyle w:val="Prrafodelista"/>
              <w:numPr>
                <w:ilvl w:val="0"/>
                <w:numId w:val="6"/>
              </w:numPr>
              <w:spacing w:line="276" w:lineRule="auto"/>
              <w:jc w:val="both"/>
              <w:rPr>
                <w:rStyle w:val="nfasisintenso"/>
                <w:i w:val="0"/>
                <w:color w:val="auto"/>
              </w:rPr>
            </w:pPr>
            <w:r w:rsidRPr="000C75EB">
              <w:rPr>
                <w:rStyle w:val="nfasisintenso"/>
                <w:i w:val="0"/>
                <w:color w:val="auto"/>
              </w:rPr>
              <w:t xml:space="preserve">Costo </w:t>
            </w:r>
            <w:r w:rsidR="000D1053">
              <w:rPr>
                <w:rStyle w:val="nfasisintenso"/>
                <w:i w:val="0"/>
                <w:color w:val="auto"/>
              </w:rPr>
              <w:t xml:space="preserve">por emisión del reporte </w:t>
            </w:r>
            <w:r w:rsidRPr="000C75EB">
              <w:rPr>
                <w:rStyle w:val="nfasisintenso"/>
                <w:i w:val="0"/>
                <w:color w:val="auto"/>
              </w:rPr>
              <w:t xml:space="preserve">de pruebas de laboratorio: </w:t>
            </w:r>
            <w:r w:rsidR="006F4225">
              <w:rPr>
                <w:rStyle w:val="nfasisintenso"/>
                <w:b/>
                <w:i w:val="0"/>
                <w:color w:val="auto"/>
              </w:rPr>
              <w:t>2</w:t>
            </w:r>
            <w:r w:rsidR="008A3BEC">
              <w:rPr>
                <w:rStyle w:val="nfasisintenso"/>
                <w:b/>
                <w:i w:val="0"/>
                <w:color w:val="auto"/>
              </w:rPr>
              <w:t>2</w:t>
            </w:r>
            <w:r w:rsidR="0012433B" w:rsidRPr="000C75EB">
              <w:rPr>
                <w:rStyle w:val="nfasisintenso"/>
                <w:b/>
                <w:i w:val="0"/>
                <w:color w:val="auto"/>
              </w:rPr>
              <w:t>0</w:t>
            </w:r>
            <w:r w:rsidR="00345713">
              <w:rPr>
                <w:rStyle w:val="nfasisintenso"/>
                <w:b/>
                <w:i w:val="0"/>
                <w:color w:val="auto"/>
              </w:rPr>
              <w:t>,</w:t>
            </w:r>
            <w:r w:rsidRPr="000C75EB">
              <w:rPr>
                <w:rStyle w:val="nfasisintenso"/>
                <w:b/>
                <w:i w:val="0"/>
                <w:color w:val="auto"/>
              </w:rPr>
              <w:t>000 pesos</w:t>
            </w:r>
          </w:p>
          <w:p w14:paraId="44033BB6" w14:textId="77777777" w:rsidR="00B40748" w:rsidRDefault="00B40748" w:rsidP="000603C7">
            <w:pPr>
              <w:spacing w:line="276" w:lineRule="auto"/>
              <w:jc w:val="both"/>
              <w:rPr>
                <w:rFonts w:eastAsia="ITC Avant Garde" w:cs="ITC Avant Garde"/>
              </w:rPr>
            </w:pPr>
          </w:p>
          <w:p w14:paraId="55313D7D" w14:textId="19E7BE6B" w:rsidR="00FB1BD1" w:rsidRPr="00E73C5F" w:rsidRDefault="00FB1BD1" w:rsidP="00FB1BD1">
            <w:pPr>
              <w:spacing w:after="160" w:line="259" w:lineRule="auto"/>
              <w:jc w:val="both"/>
            </w:pPr>
            <w:r w:rsidRPr="00E73C5F">
              <w:t xml:space="preserve">Considerando que los </w:t>
            </w:r>
            <w:r w:rsidR="00D71E6C">
              <w:t>o</w:t>
            </w:r>
            <w:r w:rsidRPr="00E73C5F">
              <w:t xml:space="preserve">rganismos de la </w:t>
            </w:r>
            <w:r w:rsidR="00D71E6C">
              <w:t>e</w:t>
            </w:r>
            <w:r w:rsidRPr="00E73C5F">
              <w:t xml:space="preserve">valuación de la </w:t>
            </w:r>
            <w:r w:rsidR="00D71E6C">
              <w:t>c</w:t>
            </w:r>
            <w:r w:rsidRPr="00E73C5F">
              <w:t>onformidad deberán de adaptar su proceder y realizar nuevos trámites frente al Instituto se incluye una relación de los costos estimados de los mismos. Usando el modelo de costos estándar, se define el costo administrativo del trámite como:</w:t>
            </w:r>
          </w:p>
          <w:p w14:paraId="6948046D" w14:textId="77777777" w:rsidR="00FB1BD1" w:rsidRPr="00E73C5F" w:rsidRDefault="00F54526" w:rsidP="00FB1BD1">
            <w:pPr>
              <w:spacing w:after="160" w:line="259" w:lineRule="auto"/>
              <w:jc w:val="both"/>
            </w:pPr>
            <m:oMathPara>
              <m:oMath>
                <m:sSub>
                  <m:sSubPr>
                    <m:ctrlPr>
                      <w:rPr>
                        <w:rFonts w:ascii="Cambria Math" w:hAnsi="Cambria Math"/>
                      </w:rPr>
                    </m:ctrlPr>
                  </m:sSubPr>
                  <m:e>
                    <m:r>
                      <w:rPr>
                        <w:rFonts w:ascii="Cambria Math" w:hAnsi="Cambria Math"/>
                      </w:rPr>
                      <m:t>CE</m:t>
                    </m:r>
                  </m:e>
                  <m:sub>
                    <m:r>
                      <w:rPr>
                        <w:rFonts w:ascii="Cambria Math" w:hAnsi="Cambria Math"/>
                      </w:rPr>
                      <m:t>tr</m:t>
                    </m:r>
                  </m:sub>
                </m:sSub>
                <m:r>
                  <m:rPr>
                    <m:sty m:val="p"/>
                  </m:rPr>
                  <w:rPr>
                    <w:rFonts w:ascii="Cambria Math" w:hAnsi="Cambria Math"/>
                  </w:rPr>
                  <m:t>=</m:t>
                </m:r>
                <m:sSub>
                  <m:sSubPr>
                    <m:ctrlPr>
                      <w:rPr>
                        <w:rFonts w:ascii="Cambria Math" w:hAnsi="Cambria Math"/>
                      </w:rPr>
                    </m:ctrlPr>
                  </m:sSubPr>
                  <m:e>
                    <m:r>
                      <w:rPr>
                        <w:rFonts w:ascii="Cambria Math" w:hAnsi="Cambria Math"/>
                      </w:rPr>
                      <m:t>CA</m:t>
                    </m:r>
                  </m:e>
                  <m:sub>
                    <m:r>
                      <w:rPr>
                        <w:rFonts w:ascii="Cambria Math" w:hAnsi="Cambria Math"/>
                      </w:rPr>
                      <m:t>tr</m:t>
                    </m:r>
                  </m:sub>
                </m:sSub>
                <m:r>
                  <m:rPr>
                    <m:sty m:val="p"/>
                  </m:rPr>
                  <w:rPr>
                    <w:rFonts w:ascii="Cambria Math" w:hAnsi="Cambria Math"/>
                  </w:rPr>
                  <m:t>+</m:t>
                </m:r>
                <m:sSub>
                  <m:sSubPr>
                    <m:ctrlPr>
                      <w:rPr>
                        <w:rFonts w:ascii="Cambria Math" w:hAnsi="Cambria Math"/>
                      </w:rPr>
                    </m:ctrlPr>
                  </m:sSubPr>
                  <m:e>
                    <m:r>
                      <w:rPr>
                        <w:rFonts w:ascii="Cambria Math" w:hAnsi="Cambria Math"/>
                      </w:rPr>
                      <m:t>CO</m:t>
                    </m:r>
                  </m:e>
                  <m:sub>
                    <m:r>
                      <w:rPr>
                        <w:rFonts w:ascii="Cambria Math" w:hAnsi="Cambria Math"/>
                      </w:rPr>
                      <m:t>tr</m:t>
                    </m:r>
                  </m:sub>
                </m:sSub>
              </m:oMath>
            </m:oMathPara>
          </w:p>
          <w:p w14:paraId="1F8913CD" w14:textId="77C8205A" w:rsidR="00FB1BD1" w:rsidRPr="00E73C5F" w:rsidRDefault="00FB1BD1" w:rsidP="00FB1BD1">
            <w:pPr>
              <w:spacing w:after="160" w:line="259" w:lineRule="auto"/>
              <w:jc w:val="both"/>
            </w:pPr>
            <w:r w:rsidRPr="00E73C5F">
              <w:t xml:space="preserve">Donde, </w:t>
            </w:r>
            <m:oMath>
              <m:r>
                <w:rPr>
                  <w:rFonts w:ascii="Cambria Math" w:hAnsi="Cambria Math"/>
                </w:rPr>
                <m:t>C</m:t>
              </m:r>
              <m:sSub>
                <m:sSubPr>
                  <m:ctrlPr>
                    <w:rPr>
                      <w:rFonts w:ascii="Cambria Math" w:hAnsi="Cambria Math"/>
                    </w:rPr>
                  </m:ctrlPr>
                </m:sSubPr>
                <m:e>
                  <m:r>
                    <w:rPr>
                      <w:rFonts w:ascii="Cambria Math" w:hAnsi="Cambria Math"/>
                    </w:rPr>
                    <m:t>E</m:t>
                  </m:r>
                </m:e>
                <m:sub>
                  <m:r>
                    <w:rPr>
                      <w:rFonts w:ascii="Cambria Math" w:hAnsi="Cambria Math"/>
                    </w:rPr>
                    <m:t>tr</m:t>
                  </m:r>
                </m:sub>
              </m:sSub>
            </m:oMath>
            <w:r w:rsidRPr="00E73C5F">
              <w:t xml:space="preserve"> se refiere al </w:t>
            </w:r>
            <w:r w:rsidR="00D71E6C">
              <w:t>c</w:t>
            </w:r>
            <w:r w:rsidRPr="00E73C5F">
              <w:t xml:space="preserve">osto </w:t>
            </w:r>
            <w:r w:rsidR="00D71E6C">
              <w:t>e</w:t>
            </w:r>
            <w:r w:rsidRPr="00E73C5F">
              <w:t>conómico del trámite, el cual es resultado de la suma de la carga administrativa (</w:t>
            </w:r>
            <m:oMath>
              <m:r>
                <w:rPr>
                  <w:rFonts w:ascii="Cambria Math" w:hAnsi="Cambria Math"/>
                </w:rPr>
                <m:t>C</m:t>
              </m:r>
              <m:sSub>
                <m:sSubPr>
                  <m:ctrlPr>
                    <w:rPr>
                      <w:rFonts w:ascii="Cambria Math" w:hAnsi="Cambria Math"/>
                    </w:rPr>
                  </m:ctrlPr>
                </m:sSubPr>
                <m:e>
                  <m:r>
                    <w:rPr>
                      <w:rFonts w:ascii="Cambria Math" w:hAnsi="Cambria Math"/>
                    </w:rPr>
                    <m:t>A</m:t>
                  </m:r>
                </m:e>
                <m:sub>
                  <m:r>
                    <w:rPr>
                      <w:rFonts w:ascii="Cambria Math" w:hAnsi="Cambria Math"/>
                    </w:rPr>
                    <m:t>tr</m:t>
                  </m:r>
                </m:sub>
              </m:sSub>
            </m:oMath>
            <w:r w:rsidRPr="00E73C5F">
              <w:t>) y el costo de oportunidad (</w:t>
            </w:r>
            <m:oMath>
              <m:r>
                <w:rPr>
                  <w:rFonts w:ascii="Cambria Math" w:hAnsi="Cambria Math"/>
                </w:rPr>
                <m:t>C</m:t>
              </m:r>
              <m:sSub>
                <m:sSubPr>
                  <m:ctrlPr>
                    <w:rPr>
                      <w:rFonts w:ascii="Cambria Math" w:hAnsi="Cambria Math"/>
                    </w:rPr>
                  </m:ctrlPr>
                </m:sSubPr>
                <m:e>
                  <m:r>
                    <w:rPr>
                      <w:rFonts w:ascii="Cambria Math" w:hAnsi="Cambria Math"/>
                    </w:rPr>
                    <m:t>O</m:t>
                  </m:r>
                </m:e>
                <m:sub>
                  <m:r>
                    <w:rPr>
                      <w:rFonts w:ascii="Cambria Math" w:hAnsi="Cambria Math"/>
                    </w:rPr>
                    <m:t>tr</m:t>
                  </m:r>
                </m:sub>
              </m:sSub>
            </m:oMath>
            <w:r w:rsidRPr="00E73C5F">
              <w:t xml:space="preserve">) correspondientes. Para el presente caso, el costo de oportunidad </w:t>
            </w:r>
            <m:oMath>
              <m:sSub>
                <m:sSubPr>
                  <m:ctrlPr>
                    <w:rPr>
                      <w:rFonts w:ascii="Cambria Math" w:hAnsi="Cambria Math"/>
                    </w:rPr>
                  </m:ctrlPr>
                </m:sSubPr>
                <m:e>
                  <m:r>
                    <w:rPr>
                      <w:rFonts w:ascii="Cambria Math" w:hAnsi="Cambria Math"/>
                    </w:rPr>
                    <m:t>CO</m:t>
                  </m:r>
                </m:e>
                <m:sub>
                  <m:r>
                    <w:rPr>
                      <w:rFonts w:ascii="Cambria Math" w:hAnsi="Cambria Math"/>
                    </w:rPr>
                    <m:t>tr</m:t>
                  </m:r>
                  <m:r>
                    <m:rPr>
                      <m:sty m:val="p"/>
                    </m:rPr>
                    <w:rPr>
                      <w:rFonts w:ascii="Cambria Math" w:hAnsi="Cambria Math"/>
                    </w:rPr>
                    <m:t xml:space="preserve"> </m:t>
                  </m:r>
                </m:sub>
              </m:sSub>
            </m:oMath>
            <w:r w:rsidRPr="00E73C5F">
              <w:t xml:space="preserve"> se considera cero. Al respecto, la carga administrativa </w:t>
            </w:r>
            <m:oMath>
              <m:r>
                <m:rPr>
                  <m:sty m:val="p"/>
                </m:rPr>
                <w:rPr>
                  <w:rFonts w:ascii="Cambria Math" w:hAnsi="Cambria Math"/>
                </w:rPr>
                <m:t>(</m:t>
              </m:r>
              <m:sSub>
                <m:sSubPr>
                  <m:ctrlPr>
                    <w:rPr>
                      <w:rFonts w:ascii="Cambria Math" w:hAnsi="Cambria Math"/>
                    </w:rPr>
                  </m:ctrlPr>
                </m:sSubPr>
                <m:e>
                  <m:r>
                    <w:rPr>
                      <w:rFonts w:ascii="Cambria Math" w:hAnsi="Cambria Math"/>
                    </w:rPr>
                    <m:t>CA</m:t>
                  </m:r>
                </m:e>
                <m:sub>
                  <m:r>
                    <w:rPr>
                      <w:rFonts w:ascii="Cambria Math" w:hAnsi="Cambria Math"/>
                    </w:rPr>
                    <m:t>tr</m:t>
                  </m:r>
                  <m:r>
                    <m:rPr>
                      <m:sty m:val="p"/>
                    </m:rPr>
                    <w:rPr>
                      <w:rFonts w:ascii="Cambria Math" w:hAnsi="Cambria Math"/>
                    </w:rPr>
                    <m:t xml:space="preserve"> </m:t>
                  </m:r>
                </m:sub>
              </m:sSub>
              <m:r>
                <m:rPr>
                  <m:sty m:val="p"/>
                </m:rPr>
                <w:rPr>
                  <w:rFonts w:ascii="Cambria Math" w:hAnsi="Cambria Math"/>
                </w:rPr>
                <m:t>)</m:t>
              </m:r>
            </m:oMath>
            <w:r w:rsidRPr="00E73C5F">
              <w:t>será calculada de la siguiente manera:</w:t>
            </w:r>
          </w:p>
          <w:p w14:paraId="136B0D4F" w14:textId="77777777" w:rsidR="00FB1BD1" w:rsidRPr="00E73C5F" w:rsidRDefault="00F54526" w:rsidP="00FB1BD1">
            <w:pPr>
              <w:spacing w:after="160" w:line="259" w:lineRule="auto"/>
              <w:jc w:val="both"/>
            </w:pPr>
            <m:oMathPara>
              <m:oMath>
                <m:sSub>
                  <m:sSubPr>
                    <m:ctrlPr>
                      <w:rPr>
                        <w:rFonts w:ascii="Cambria Math" w:hAnsi="Cambria Math"/>
                      </w:rPr>
                    </m:ctrlPr>
                  </m:sSubPr>
                  <m:e>
                    <m:r>
                      <w:rPr>
                        <w:rFonts w:ascii="Cambria Math" w:hAnsi="Cambria Math"/>
                      </w:rPr>
                      <m:t>CA</m:t>
                    </m:r>
                  </m:e>
                  <m:sub>
                    <m:r>
                      <w:rPr>
                        <w:rFonts w:ascii="Cambria Math" w:hAnsi="Cambria Math"/>
                      </w:rPr>
                      <m:t>tr</m:t>
                    </m:r>
                    <m:r>
                      <m:rPr>
                        <m:sty m:val="p"/>
                      </m:rPr>
                      <w:rPr>
                        <w:rFonts w:ascii="Cambria Math" w:hAnsi="Cambria Math"/>
                      </w:rPr>
                      <m:t xml:space="preserve"> </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tr</m:t>
                    </m:r>
                    <m:r>
                      <m:rPr>
                        <m:sty m:val="p"/>
                      </m:rPr>
                      <w:rPr>
                        <w:rFonts w:ascii="Cambria Math" w:hAnsi="Cambria Math"/>
                      </w:rPr>
                      <m:t xml:space="preserve"> </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tr</m:t>
                    </m:r>
                    <m:r>
                      <m:rPr>
                        <m:sty m:val="p"/>
                      </m:rPr>
                      <w:rPr>
                        <w:rFonts w:ascii="Cambria Math" w:hAnsi="Cambria Math"/>
                      </w:rPr>
                      <m:t xml:space="preserve"> </m:t>
                    </m:r>
                  </m:sub>
                </m:sSub>
              </m:oMath>
            </m:oMathPara>
          </w:p>
          <w:p w14:paraId="11C3EB29" w14:textId="77777777" w:rsidR="00FB1BD1" w:rsidRPr="00E73C5F" w:rsidRDefault="00FB1BD1" w:rsidP="00FB1BD1">
            <w:pPr>
              <w:spacing w:after="160" w:line="259" w:lineRule="auto"/>
              <w:jc w:val="both"/>
            </w:pPr>
            <w:r w:rsidRPr="00E73C5F">
              <w:t xml:space="preserve">Donde </w:t>
            </w:r>
            <m:oMath>
              <m:sSub>
                <m:sSubPr>
                  <m:ctrlPr>
                    <w:rPr>
                      <w:rFonts w:ascii="Cambria Math" w:hAnsi="Cambria Math"/>
                    </w:rPr>
                  </m:ctrlPr>
                </m:sSubPr>
                <m:e>
                  <m:r>
                    <w:rPr>
                      <w:rFonts w:ascii="Cambria Math" w:hAnsi="Cambria Math"/>
                    </w:rPr>
                    <m:t>P</m:t>
                  </m:r>
                </m:e>
                <m:sub>
                  <m:r>
                    <w:rPr>
                      <w:rFonts w:ascii="Cambria Math" w:hAnsi="Cambria Math"/>
                    </w:rPr>
                    <m:t>tr</m:t>
                  </m:r>
                </m:sub>
              </m:sSub>
            </m:oMath>
            <w:r w:rsidRPr="00E73C5F">
              <w:t xml:space="preserve"> es el precio del trámite, el cual consta de una tarifa, es decir, los costos salariales más los gastos generales generados por las actividades administrativas realizadas internamente o, en los casos de subcontratación de servicios, el costo por hora generado por los proveedores, y </w:t>
            </w:r>
            <m:oMath>
              <m:sSub>
                <m:sSubPr>
                  <m:ctrlPr>
                    <w:rPr>
                      <w:rFonts w:ascii="Cambria Math" w:hAnsi="Cambria Math"/>
                    </w:rPr>
                  </m:ctrlPr>
                </m:sSubPr>
                <m:e>
                  <m:r>
                    <w:rPr>
                      <w:rFonts w:ascii="Cambria Math" w:hAnsi="Cambria Math"/>
                    </w:rPr>
                    <m:t>T</m:t>
                  </m:r>
                </m:e>
                <m:sub>
                  <m:r>
                    <w:rPr>
                      <w:rFonts w:ascii="Cambria Math" w:hAnsi="Cambria Math"/>
                    </w:rPr>
                    <m:t>tr</m:t>
                  </m:r>
                </m:sub>
              </m:sSub>
            </m:oMath>
            <w:r w:rsidRPr="00E73C5F">
              <w:t xml:space="preserve"> es el tiempo requerido para completar la actividad administrativa.</w:t>
            </w:r>
          </w:p>
          <w:p w14:paraId="242147B5" w14:textId="77777777" w:rsidR="00FB1BD1" w:rsidRPr="00E73C5F" w:rsidRDefault="00FB1BD1" w:rsidP="00FB1BD1">
            <w:pPr>
              <w:spacing w:after="160" w:line="259" w:lineRule="auto"/>
              <w:jc w:val="both"/>
            </w:pPr>
            <w:r w:rsidRPr="00E73C5F">
              <w:t>Asimismo, a efecto de proporcionar estimaciones se considera un caso hipotético representativo tomando en consideración los siguientes supuestos:</w:t>
            </w:r>
          </w:p>
          <w:p w14:paraId="2BC8ACFE" w14:textId="5092EB6B" w:rsidR="00FB1BD1" w:rsidRPr="00E73C5F" w:rsidRDefault="006B0E7C" w:rsidP="006B0E7C">
            <w:pPr>
              <w:numPr>
                <w:ilvl w:val="0"/>
                <w:numId w:val="10"/>
              </w:numPr>
              <w:spacing w:line="259" w:lineRule="auto"/>
              <w:contextualSpacing/>
              <w:jc w:val="both"/>
              <w:rPr>
                <w:szCs w:val="20"/>
              </w:rPr>
            </w:pPr>
            <w:r w:rsidRPr="00E73C5F">
              <w:rPr>
                <w:szCs w:val="20"/>
              </w:rPr>
              <w:t>Se consideran dos</w:t>
            </w:r>
            <w:r w:rsidR="00FB1BD1" w:rsidRPr="00E73C5F">
              <w:rPr>
                <w:szCs w:val="20"/>
              </w:rPr>
              <w:t xml:space="preserve"> </w:t>
            </w:r>
            <w:r w:rsidR="00D71E6C">
              <w:rPr>
                <w:szCs w:val="20"/>
              </w:rPr>
              <w:t>l</w:t>
            </w:r>
            <w:r w:rsidR="00FB1BD1" w:rsidRPr="00E73C5F">
              <w:rPr>
                <w:szCs w:val="20"/>
              </w:rPr>
              <w:t xml:space="preserve">aboratorio de </w:t>
            </w:r>
            <w:r w:rsidR="00D71E6C">
              <w:rPr>
                <w:szCs w:val="20"/>
              </w:rPr>
              <w:t>p</w:t>
            </w:r>
            <w:r w:rsidR="00FB1BD1" w:rsidRPr="00E73C5F">
              <w:rPr>
                <w:szCs w:val="20"/>
              </w:rPr>
              <w:t xml:space="preserve">ruebas y </w:t>
            </w:r>
            <w:r w:rsidR="00934849">
              <w:rPr>
                <w:szCs w:val="20"/>
              </w:rPr>
              <w:t>dos</w:t>
            </w:r>
            <w:r w:rsidR="001D0B69">
              <w:rPr>
                <w:szCs w:val="20"/>
              </w:rPr>
              <w:t xml:space="preserve"> </w:t>
            </w:r>
            <w:r w:rsidR="00D71E6C">
              <w:rPr>
                <w:szCs w:val="20"/>
              </w:rPr>
              <w:t>o</w:t>
            </w:r>
            <w:r w:rsidR="00FB1BD1" w:rsidRPr="00E73C5F">
              <w:rPr>
                <w:szCs w:val="20"/>
              </w:rPr>
              <w:t>rganismo</w:t>
            </w:r>
            <w:r w:rsidR="00934849">
              <w:rPr>
                <w:szCs w:val="20"/>
              </w:rPr>
              <w:t>s</w:t>
            </w:r>
            <w:r w:rsidR="00FB1BD1" w:rsidRPr="00E73C5F">
              <w:rPr>
                <w:szCs w:val="20"/>
              </w:rPr>
              <w:t xml:space="preserve"> de </w:t>
            </w:r>
            <w:r w:rsidR="00D71E6C">
              <w:rPr>
                <w:szCs w:val="20"/>
              </w:rPr>
              <w:t>c</w:t>
            </w:r>
            <w:r w:rsidR="00FB1BD1" w:rsidRPr="00E73C5F">
              <w:rPr>
                <w:szCs w:val="20"/>
              </w:rPr>
              <w:t xml:space="preserve">ertificación que destinan un trabajador </w:t>
            </w:r>
            <w:r w:rsidR="006F4225">
              <w:rPr>
                <w:szCs w:val="20"/>
              </w:rPr>
              <w:t xml:space="preserve">por </w:t>
            </w:r>
            <w:r w:rsidR="00D71E6C">
              <w:rPr>
                <w:szCs w:val="20"/>
              </w:rPr>
              <w:t>OC</w:t>
            </w:r>
            <w:r w:rsidR="006F4225">
              <w:rPr>
                <w:szCs w:val="20"/>
              </w:rPr>
              <w:t xml:space="preserve"> y dos trabajadores por </w:t>
            </w:r>
            <w:r w:rsidR="00D71E6C">
              <w:rPr>
                <w:szCs w:val="20"/>
              </w:rPr>
              <w:t>LP</w:t>
            </w:r>
            <w:r w:rsidR="006F3B6A">
              <w:rPr>
                <w:szCs w:val="20"/>
              </w:rPr>
              <w:t xml:space="preserve"> por </w:t>
            </w:r>
            <w:r w:rsidR="00D610F7">
              <w:rPr>
                <w:szCs w:val="20"/>
              </w:rPr>
              <w:t>sistema de medición</w:t>
            </w:r>
            <w:r w:rsidR="006F3B6A">
              <w:rPr>
                <w:szCs w:val="20"/>
              </w:rPr>
              <w:t xml:space="preserve"> operado</w:t>
            </w:r>
            <w:r w:rsidR="006F4225">
              <w:rPr>
                <w:szCs w:val="20"/>
              </w:rPr>
              <w:t xml:space="preserve">, </w:t>
            </w:r>
            <w:r w:rsidR="00FB1BD1" w:rsidRPr="00E73C5F">
              <w:rPr>
                <w:szCs w:val="20"/>
              </w:rPr>
              <w:t>quien</w:t>
            </w:r>
            <w:r w:rsidR="006F4225">
              <w:rPr>
                <w:szCs w:val="20"/>
              </w:rPr>
              <w:t>es</w:t>
            </w:r>
            <w:r w:rsidR="00FB1BD1" w:rsidRPr="00E73C5F">
              <w:rPr>
                <w:szCs w:val="20"/>
              </w:rPr>
              <w:t xml:space="preserve"> se hará</w:t>
            </w:r>
            <w:r w:rsidR="006F4225">
              <w:rPr>
                <w:szCs w:val="20"/>
              </w:rPr>
              <w:t>n</w:t>
            </w:r>
            <w:r w:rsidR="00FB1BD1" w:rsidRPr="00E73C5F">
              <w:rPr>
                <w:szCs w:val="20"/>
              </w:rPr>
              <w:t xml:space="preserve"> cargo de llevar a cabo lo dispuesto en el presente Anteproyecto.</w:t>
            </w:r>
          </w:p>
          <w:p w14:paraId="4CA155A1" w14:textId="448E4B02" w:rsidR="006B0E7C" w:rsidRPr="00E73C5F" w:rsidRDefault="006B0E7C" w:rsidP="000832CD">
            <w:pPr>
              <w:pStyle w:val="Prrafodelista"/>
              <w:numPr>
                <w:ilvl w:val="0"/>
                <w:numId w:val="10"/>
              </w:numPr>
              <w:jc w:val="both"/>
              <w:rPr>
                <w:szCs w:val="20"/>
              </w:rPr>
            </w:pPr>
            <w:r w:rsidRPr="00E73C5F">
              <w:rPr>
                <w:szCs w:val="20"/>
              </w:rPr>
              <w:lastRenderedPageBreak/>
              <w:t xml:space="preserve">El número </w:t>
            </w:r>
            <w:r w:rsidR="001D0B69">
              <w:rPr>
                <w:szCs w:val="20"/>
              </w:rPr>
              <w:t xml:space="preserve">estimado </w:t>
            </w:r>
            <w:r w:rsidRPr="00E73C5F">
              <w:rPr>
                <w:szCs w:val="20"/>
              </w:rPr>
              <w:t xml:space="preserve">de </w:t>
            </w:r>
            <w:r w:rsidR="00D71E6C">
              <w:rPr>
                <w:szCs w:val="20"/>
              </w:rPr>
              <w:t>c</w:t>
            </w:r>
            <w:r w:rsidRPr="00E73C5F">
              <w:rPr>
                <w:szCs w:val="20"/>
              </w:rPr>
              <w:t xml:space="preserve">ertificados de </w:t>
            </w:r>
            <w:r w:rsidR="00D71E6C">
              <w:rPr>
                <w:szCs w:val="20"/>
              </w:rPr>
              <w:t>h</w:t>
            </w:r>
            <w:r w:rsidRPr="00E73C5F">
              <w:rPr>
                <w:szCs w:val="20"/>
              </w:rPr>
              <w:t xml:space="preserve">omologación </w:t>
            </w:r>
            <w:r w:rsidR="001D0B69">
              <w:rPr>
                <w:szCs w:val="20"/>
              </w:rPr>
              <w:t>a ser expedido por el Instituto se considera</w:t>
            </w:r>
            <w:r w:rsidRPr="00E73C5F">
              <w:rPr>
                <w:szCs w:val="20"/>
              </w:rPr>
              <w:t xml:space="preserve"> de </w:t>
            </w:r>
            <w:r w:rsidR="001D0B69" w:rsidRPr="00A9148E">
              <w:rPr>
                <w:szCs w:val="20"/>
              </w:rPr>
              <w:t>1</w:t>
            </w:r>
            <w:r w:rsidR="001D0B69">
              <w:rPr>
                <w:szCs w:val="20"/>
              </w:rPr>
              <w:t>800</w:t>
            </w:r>
            <w:r w:rsidR="001D0B69" w:rsidRPr="00A9148E">
              <w:rPr>
                <w:szCs w:val="20"/>
              </w:rPr>
              <w:t xml:space="preserve"> </w:t>
            </w:r>
            <w:r w:rsidRPr="00E73C5F">
              <w:rPr>
                <w:szCs w:val="20"/>
              </w:rPr>
              <w:t>(</w:t>
            </w:r>
            <w:r w:rsidR="001D0B69">
              <w:rPr>
                <w:szCs w:val="20"/>
              </w:rPr>
              <w:t xml:space="preserve">el </w:t>
            </w:r>
            <w:r w:rsidRPr="00E73C5F">
              <w:rPr>
                <w:szCs w:val="20"/>
              </w:rPr>
              <w:t xml:space="preserve">número de </w:t>
            </w:r>
            <w:r w:rsidR="00D71E6C">
              <w:rPr>
                <w:szCs w:val="20"/>
              </w:rPr>
              <w:t>c</w:t>
            </w:r>
            <w:r w:rsidRPr="00E73C5F">
              <w:rPr>
                <w:szCs w:val="20"/>
              </w:rPr>
              <w:t>ertificados</w:t>
            </w:r>
            <w:r w:rsidR="00CC1044">
              <w:rPr>
                <w:szCs w:val="20"/>
              </w:rPr>
              <w:t xml:space="preserve"> </w:t>
            </w:r>
            <w:r w:rsidRPr="00E73C5F">
              <w:rPr>
                <w:szCs w:val="20"/>
              </w:rPr>
              <w:t xml:space="preserve">expedidos </w:t>
            </w:r>
            <w:r w:rsidR="00CC1044">
              <w:rPr>
                <w:szCs w:val="20"/>
              </w:rPr>
              <w:t xml:space="preserve">en 2017 </w:t>
            </w:r>
            <w:r w:rsidR="001D0B69">
              <w:rPr>
                <w:szCs w:val="20"/>
              </w:rPr>
              <w:t xml:space="preserve">fue de 1734 </w:t>
            </w:r>
            <w:r w:rsidRPr="00E73C5F">
              <w:rPr>
                <w:szCs w:val="20"/>
              </w:rPr>
              <w:t>para productos, equipos, dispositivos o aparatos destinados a telecomunicaciones que pueden ser conectados a una red de telecomunicaciones y/o hacer uso del espectro radioeléctrico, que se utilicen cerca de la cabeza, particularmente cerca del oído o a una distancia menor o igual a 200 mm del cuerpo humano)</w:t>
            </w:r>
            <w:r w:rsidR="000832CD">
              <w:rPr>
                <w:szCs w:val="20"/>
              </w:rPr>
              <w:t xml:space="preserve"> con un costo de $2,448.22</w:t>
            </w:r>
            <w:r w:rsidR="000832CD">
              <w:rPr>
                <w:rStyle w:val="Refdenotaalpie"/>
                <w:szCs w:val="20"/>
              </w:rPr>
              <w:footnoteReference w:id="27"/>
            </w:r>
            <w:r w:rsidRPr="00E73C5F">
              <w:rPr>
                <w:szCs w:val="20"/>
              </w:rPr>
              <w:t>.</w:t>
            </w:r>
          </w:p>
          <w:p w14:paraId="645ED4A8" w14:textId="532A1EAE" w:rsidR="006B0E7C" w:rsidRPr="00E73C5F" w:rsidRDefault="00EA5CCE" w:rsidP="006B0E7C">
            <w:pPr>
              <w:numPr>
                <w:ilvl w:val="0"/>
                <w:numId w:val="10"/>
              </w:numPr>
              <w:spacing w:after="160" w:line="259" w:lineRule="auto"/>
              <w:contextualSpacing/>
              <w:jc w:val="both"/>
              <w:rPr>
                <w:szCs w:val="20"/>
              </w:rPr>
            </w:pPr>
            <w:r>
              <w:rPr>
                <w:szCs w:val="20"/>
              </w:rPr>
              <w:t>Se c</w:t>
            </w:r>
            <w:r w:rsidR="006B0E7C" w:rsidRPr="00E73C5F">
              <w:rPr>
                <w:szCs w:val="20"/>
              </w:rPr>
              <w:t xml:space="preserve">onsidera que el número de visitas de Vigilancia de la certificación será del 5% del total de </w:t>
            </w:r>
            <w:r w:rsidR="00BA0FA9">
              <w:rPr>
                <w:szCs w:val="20"/>
              </w:rPr>
              <w:t>C</w:t>
            </w:r>
            <w:r w:rsidR="006B0E7C" w:rsidRPr="00E73C5F">
              <w:rPr>
                <w:szCs w:val="20"/>
              </w:rPr>
              <w:t>ertificados expedidos.</w:t>
            </w:r>
          </w:p>
          <w:p w14:paraId="251122B3" w14:textId="0E942F41" w:rsidR="00FB1BD1" w:rsidRPr="00E73C5F" w:rsidRDefault="00FB1BD1" w:rsidP="00FB1BD1">
            <w:pPr>
              <w:numPr>
                <w:ilvl w:val="0"/>
                <w:numId w:val="10"/>
              </w:numPr>
              <w:spacing w:after="160" w:line="259" w:lineRule="auto"/>
              <w:contextualSpacing/>
              <w:jc w:val="both"/>
              <w:rPr>
                <w:szCs w:val="20"/>
              </w:rPr>
            </w:pPr>
            <w:r w:rsidRPr="00E73C5F">
              <w:rPr>
                <w:szCs w:val="20"/>
              </w:rPr>
              <w:t xml:space="preserve">Salario mensual neto del trabajador es de </w:t>
            </w:r>
            <w:r w:rsidR="00FC4234">
              <w:rPr>
                <w:szCs w:val="20"/>
              </w:rPr>
              <w:t>4</w:t>
            </w:r>
            <w:r w:rsidRPr="00E73C5F">
              <w:rPr>
                <w:szCs w:val="20"/>
              </w:rPr>
              <w:t>0 mil pesos.</w:t>
            </w:r>
          </w:p>
          <w:p w14:paraId="1D6CF58F" w14:textId="77777777" w:rsidR="00FB1BD1" w:rsidRPr="00E73C5F" w:rsidRDefault="00FB1BD1" w:rsidP="00FB1BD1">
            <w:pPr>
              <w:numPr>
                <w:ilvl w:val="0"/>
                <w:numId w:val="10"/>
              </w:numPr>
              <w:spacing w:after="160" w:line="259" w:lineRule="auto"/>
              <w:contextualSpacing/>
              <w:jc w:val="both"/>
              <w:rPr>
                <w:szCs w:val="20"/>
              </w:rPr>
            </w:pPr>
            <w:r w:rsidRPr="00E73C5F">
              <w:rPr>
                <w:szCs w:val="20"/>
              </w:rPr>
              <w:t>Los días laborables por mes son 20.</w:t>
            </w:r>
          </w:p>
          <w:p w14:paraId="78154231" w14:textId="1351F0C0" w:rsidR="00FB1BD1" w:rsidRPr="00E73C5F" w:rsidRDefault="00FB1BD1" w:rsidP="00FB1BD1">
            <w:pPr>
              <w:numPr>
                <w:ilvl w:val="0"/>
                <w:numId w:val="10"/>
              </w:numPr>
              <w:spacing w:after="160" w:line="259" w:lineRule="auto"/>
              <w:contextualSpacing/>
              <w:jc w:val="both"/>
              <w:rPr>
                <w:szCs w:val="20"/>
              </w:rPr>
            </w:pPr>
            <w:r w:rsidRPr="00E73C5F">
              <w:rPr>
                <w:szCs w:val="20"/>
              </w:rPr>
              <w:t>Salario por hora de 25</w:t>
            </w:r>
            <w:r w:rsidR="00FC4234">
              <w:rPr>
                <w:szCs w:val="20"/>
              </w:rPr>
              <w:t>0</w:t>
            </w:r>
            <w:r w:rsidRPr="00E73C5F">
              <w:rPr>
                <w:szCs w:val="20"/>
              </w:rPr>
              <w:t xml:space="preserve"> pesos.</w:t>
            </w:r>
          </w:p>
          <w:p w14:paraId="412E27CE" w14:textId="77777777" w:rsidR="000D1D14" w:rsidRDefault="000D1D14" w:rsidP="00FB1BD1">
            <w:pPr>
              <w:spacing w:after="160" w:line="259" w:lineRule="auto"/>
              <w:jc w:val="both"/>
              <w:rPr>
                <w:szCs w:val="20"/>
              </w:rPr>
            </w:pPr>
          </w:p>
          <w:p w14:paraId="2DC96F40" w14:textId="213AA6E9" w:rsidR="00FB1BD1" w:rsidRPr="00E73C5F" w:rsidRDefault="006B0E7C" w:rsidP="00FB1BD1">
            <w:pPr>
              <w:spacing w:after="160" w:line="259" w:lineRule="auto"/>
              <w:jc w:val="both"/>
              <w:rPr>
                <w:szCs w:val="20"/>
              </w:rPr>
            </w:pPr>
            <w:r w:rsidRPr="00E73C5F">
              <w:rPr>
                <w:szCs w:val="20"/>
              </w:rPr>
              <w:t>Tomando en cuenta lo anterior, la siguiente tabla muestra el cálculo de los costos para los agentes económicos involucrados (</w:t>
            </w:r>
            <w:r w:rsidR="00D71E6C">
              <w:rPr>
                <w:szCs w:val="20"/>
              </w:rPr>
              <w:t>LP</w:t>
            </w:r>
            <w:r w:rsidRPr="00E73C5F">
              <w:rPr>
                <w:szCs w:val="20"/>
              </w:rPr>
              <w:t xml:space="preserve">, </w:t>
            </w:r>
            <w:r w:rsidR="00D71E6C">
              <w:rPr>
                <w:szCs w:val="20"/>
              </w:rPr>
              <w:t xml:space="preserve">OC </w:t>
            </w:r>
            <w:r w:rsidRPr="00E73C5F">
              <w:rPr>
                <w:szCs w:val="20"/>
              </w:rPr>
              <w:t xml:space="preserve">y/o fabricantes de </w:t>
            </w:r>
            <w:r w:rsidR="00D71E6C">
              <w:rPr>
                <w:szCs w:val="20"/>
              </w:rPr>
              <w:t>DCI</w:t>
            </w:r>
            <w:r w:rsidRPr="00E73C5F">
              <w:rPr>
                <w:szCs w:val="20"/>
              </w:rPr>
              <w:t>/Solicitantes del Certificado de Homologación):</w:t>
            </w:r>
          </w:p>
          <w:tbl>
            <w:tblPr>
              <w:tblpPr w:leftFromText="141" w:rightFromText="141" w:vertAnchor="page" w:horzAnchor="margin" w:tblpXSpec="center" w:tblpY="1"/>
              <w:tblOverlap w:val="never"/>
              <w:tblW w:w="8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9"/>
              <w:gridCol w:w="1419"/>
              <w:gridCol w:w="1165"/>
              <w:gridCol w:w="1118"/>
              <w:gridCol w:w="1145"/>
              <w:gridCol w:w="992"/>
              <w:gridCol w:w="1493"/>
            </w:tblGrid>
            <w:tr w:rsidR="00FB1BD1" w:rsidRPr="006B0E7C" w14:paraId="21A18BE4" w14:textId="77777777" w:rsidTr="00E73C5F">
              <w:trPr>
                <w:trHeight w:val="300"/>
              </w:trPr>
              <w:tc>
                <w:tcPr>
                  <w:tcW w:w="2248" w:type="dxa"/>
                  <w:gridSpan w:val="2"/>
                  <w:shd w:val="clear" w:color="auto" w:fill="auto"/>
                  <w:vAlign w:val="center"/>
                </w:tcPr>
                <w:p w14:paraId="23BDA572" w14:textId="77777777" w:rsidR="00FB1BD1" w:rsidRPr="006B0E7C" w:rsidRDefault="00FB1BD1" w:rsidP="006B0E7C">
                  <w:pPr>
                    <w:jc w:val="center"/>
                    <w:rPr>
                      <w:color w:val="000000"/>
                      <w:sz w:val="18"/>
                      <w:szCs w:val="18"/>
                    </w:rPr>
                  </w:pPr>
                  <w:r w:rsidRPr="006B0E7C">
                    <w:rPr>
                      <w:rFonts w:eastAsia="Times New Roman" w:cs="Times New Roman"/>
                      <w:b/>
                      <w:color w:val="000000"/>
                      <w:sz w:val="18"/>
                      <w:szCs w:val="18"/>
                      <w:lang w:eastAsia="es-MX"/>
                    </w:rPr>
                    <w:lastRenderedPageBreak/>
                    <w:t>Trámite</w:t>
                  </w:r>
                </w:p>
              </w:tc>
              <w:tc>
                <w:tcPr>
                  <w:tcW w:w="1165" w:type="dxa"/>
                  <w:shd w:val="clear" w:color="auto" w:fill="auto"/>
                  <w:noWrap/>
                  <w:vAlign w:val="center"/>
                </w:tcPr>
                <w:p w14:paraId="3D80CCEC" w14:textId="77777777" w:rsidR="00FB1BD1" w:rsidRPr="006B0E7C" w:rsidRDefault="00FB1BD1" w:rsidP="00FB1BD1">
                  <w:pPr>
                    <w:spacing w:line="240" w:lineRule="auto"/>
                    <w:jc w:val="center"/>
                    <w:rPr>
                      <w:rFonts w:eastAsia="Times New Roman" w:cs="Times New Roman"/>
                      <w:b/>
                      <w:color w:val="000000"/>
                      <w:sz w:val="18"/>
                      <w:szCs w:val="18"/>
                      <w:lang w:eastAsia="es-MX"/>
                    </w:rPr>
                  </w:pPr>
                  <w:r w:rsidRPr="006B0E7C">
                    <w:rPr>
                      <w:rFonts w:eastAsia="Times New Roman" w:cs="Times New Roman"/>
                      <w:b/>
                      <w:color w:val="000000"/>
                      <w:sz w:val="18"/>
                      <w:szCs w:val="18"/>
                      <w:lang w:eastAsia="es-MX"/>
                    </w:rPr>
                    <w:t>Carga administrativa</w:t>
                  </w:r>
                </w:p>
                <w:p w14:paraId="114250A8" w14:textId="77777777" w:rsidR="00FB1BD1" w:rsidRPr="006B0E7C" w:rsidRDefault="00FB1BD1" w:rsidP="00FB1BD1">
                  <w:pPr>
                    <w:spacing w:line="240" w:lineRule="auto"/>
                    <w:jc w:val="center"/>
                    <w:rPr>
                      <w:rFonts w:eastAsia="Times New Roman" w:cs="Times New Roman"/>
                      <w:color w:val="000000"/>
                      <w:sz w:val="18"/>
                      <w:szCs w:val="18"/>
                      <w:lang w:eastAsia="es-MX"/>
                    </w:rPr>
                  </w:pPr>
                  <w:r w:rsidRPr="006B0E7C">
                    <w:rPr>
                      <w:rFonts w:eastAsia="Times New Roman" w:cs="Times New Roman"/>
                      <w:b/>
                      <w:color w:val="000000"/>
                      <w:sz w:val="18"/>
                      <w:szCs w:val="18"/>
                      <w:lang w:eastAsia="es-MX"/>
                    </w:rPr>
                    <w:t>(Pesos)</w:t>
                  </w:r>
                </w:p>
              </w:tc>
              <w:tc>
                <w:tcPr>
                  <w:tcW w:w="1118" w:type="dxa"/>
                  <w:shd w:val="clear" w:color="auto" w:fill="auto"/>
                  <w:noWrap/>
                  <w:vAlign w:val="center"/>
                </w:tcPr>
                <w:p w14:paraId="381CE51E" w14:textId="77777777" w:rsidR="00FB1BD1" w:rsidRPr="006B0E7C" w:rsidRDefault="00FB1BD1" w:rsidP="00FB1BD1">
                  <w:pPr>
                    <w:spacing w:line="240" w:lineRule="auto"/>
                    <w:jc w:val="center"/>
                    <w:rPr>
                      <w:rFonts w:eastAsia="Times New Roman" w:cs="Times New Roman"/>
                      <w:b/>
                      <w:color w:val="000000"/>
                      <w:sz w:val="18"/>
                      <w:szCs w:val="18"/>
                      <w:lang w:eastAsia="es-MX"/>
                    </w:rPr>
                  </w:pPr>
                  <w:r w:rsidRPr="006B0E7C">
                    <w:rPr>
                      <w:rFonts w:eastAsia="Times New Roman" w:cs="Times New Roman"/>
                      <w:b/>
                      <w:color w:val="000000"/>
                      <w:sz w:val="18"/>
                      <w:szCs w:val="18"/>
                      <w:lang w:eastAsia="es-MX"/>
                    </w:rPr>
                    <w:t>Costo financiero</w:t>
                  </w:r>
                </w:p>
                <w:p w14:paraId="478E908E" w14:textId="77777777" w:rsidR="00FB1BD1" w:rsidRPr="006B0E7C" w:rsidRDefault="00FB1BD1" w:rsidP="00FB1BD1">
                  <w:pPr>
                    <w:spacing w:line="240" w:lineRule="auto"/>
                    <w:jc w:val="center"/>
                    <w:rPr>
                      <w:rFonts w:eastAsia="Times New Roman" w:cs="Times New Roman"/>
                      <w:color w:val="000000"/>
                      <w:sz w:val="18"/>
                      <w:szCs w:val="18"/>
                      <w:lang w:eastAsia="es-MX"/>
                    </w:rPr>
                  </w:pPr>
                  <w:r w:rsidRPr="006B0E7C">
                    <w:rPr>
                      <w:rFonts w:eastAsia="Times New Roman" w:cs="Times New Roman"/>
                      <w:b/>
                      <w:color w:val="000000"/>
                      <w:sz w:val="18"/>
                      <w:szCs w:val="18"/>
                      <w:lang w:eastAsia="es-MX"/>
                    </w:rPr>
                    <w:t>(Pesos)</w:t>
                  </w:r>
                </w:p>
              </w:tc>
              <w:tc>
                <w:tcPr>
                  <w:tcW w:w="1145" w:type="dxa"/>
                  <w:shd w:val="clear" w:color="auto" w:fill="auto"/>
                  <w:vAlign w:val="center"/>
                </w:tcPr>
                <w:p w14:paraId="434C7D90" w14:textId="77777777" w:rsidR="00FB1BD1" w:rsidRPr="006B0E7C" w:rsidRDefault="006B0E7C" w:rsidP="006B0E7C">
                  <w:pPr>
                    <w:tabs>
                      <w:tab w:val="left" w:pos="374"/>
                    </w:tabs>
                    <w:spacing w:line="240" w:lineRule="auto"/>
                    <w:jc w:val="center"/>
                    <w:rPr>
                      <w:rFonts w:eastAsia="Times New Roman" w:cs="Times New Roman"/>
                      <w:b/>
                      <w:color w:val="000000"/>
                      <w:sz w:val="18"/>
                      <w:szCs w:val="18"/>
                      <w:lang w:eastAsia="es-MX"/>
                    </w:rPr>
                  </w:pPr>
                  <w:r w:rsidRPr="006B0E7C">
                    <w:rPr>
                      <w:rFonts w:eastAsia="Times New Roman" w:cs="Times New Roman"/>
                      <w:b/>
                      <w:color w:val="000000"/>
                      <w:sz w:val="18"/>
                      <w:szCs w:val="18"/>
                      <w:lang w:eastAsia="es-MX"/>
                    </w:rPr>
                    <w:t>C</w:t>
                  </w:r>
                  <w:r w:rsidR="00FB1BD1" w:rsidRPr="006B0E7C">
                    <w:rPr>
                      <w:rFonts w:eastAsia="Times New Roman" w:cs="Times New Roman"/>
                      <w:b/>
                      <w:color w:val="000000"/>
                      <w:sz w:val="18"/>
                      <w:szCs w:val="18"/>
                      <w:lang w:eastAsia="es-MX"/>
                    </w:rPr>
                    <w:t>osto administrativo del trámite</w:t>
                  </w:r>
                </w:p>
                <w:p w14:paraId="6879DF51" w14:textId="77777777" w:rsidR="00FB1BD1" w:rsidRPr="006B0E7C" w:rsidRDefault="00FB1BD1" w:rsidP="006B0E7C">
                  <w:pPr>
                    <w:tabs>
                      <w:tab w:val="left" w:pos="374"/>
                    </w:tabs>
                    <w:spacing w:line="240" w:lineRule="auto"/>
                    <w:jc w:val="center"/>
                    <w:rPr>
                      <w:rFonts w:eastAsia="Times New Roman" w:cs="Times New Roman"/>
                      <w:b/>
                      <w:color w:val="000000"/>
                      <w:sz w:val="18"/>
                      <w:szCs w:val="18"/>
                      <w:lang w:eastAsia="es-MX"/>
                    </w:rPr>
                  </w:pPr>
                  <w:r w:rsidRPr="006B0E7C">
                    <w:rPr>
                      <w:rFonts w:eastAsia="Times New Roman" w:cs="Times New Roman"/>
                      <w:b/>
                      <w:color w:val="000000"/>
                      <w:sz w:val="18"/>
                      <w:szCs w:val="18"/>
                      <w:lang w:eastAsia="es-MX"/>
                    </w:rPr>
                    <w:t>(Pesos)</w:t>
                  </w:r>
                </w:p>
              </w:tc>
              <w:tc>
                <w:tcPr>
                  <w:tcW w:w="992" w:type="dxa"/>
                  <w:shd w:val="clear" w:color="auto" w:fill="auto"/>
                  <w:vAlign w:val="center"/>
                </w:tcPr>
                <w:p w14:paraId="267916BF" w14:textId="77777777" w:rsidR="00FB1BD1" w:rsidRPr="006B0E7C" w:rsidRDefault="00FB1BD1" w:rsidP="006B0E7C">
                  <w:pPr>
                    <w:tabs>
                      <w:tab w:val="left" w:pos="374"/>
                    </w:tabs>
                    <w:spacing w:line="240" w:lineRule="auto"/>
                    <w:jc w:val="center"/>
                    <w:rPr>
                      <w:rFonts w:eastAsia="Times New Roman" w:cs="Times New Roman"/>
                      <w:b/>
                      <w:color w:val="000000"/>
                      <w:sz w:val="18"/>
                      <w:szCs w:val="18"/>
                      <w:lang w:eastAsia="es-MX"/>
                    </w:rPr>
                  </w:pPr>
                  <w:r w:rsidRPr="006B0E7C">
                    <w:rPr>
                      <w:rFonts w:eastAsia="Times New Roman" w:cs="Times New Roman"/>
                      <w:b/>
                      <w:color w:val="000000"/>
                      <w:sz w:val="18"/>
                      <w:szCs w:val="18"/>
                      <w:lang w:eastAsia="es-MX"/>
                    </w:rPr>
                    <w:t>Cantidad</w:t>
                  </w:r>
                </w:p>
                <w:p w14:paraId="0E6A5B95" w14:textId="77777777" w:rsidR="00FB1BD1" w:rsidRPr="006B0E7C" w:rsidRDefault="00FB1BD1" w:rsidP="006B0E7C">
                  <w:pPr>
                    <w:jc w:val="center"/>
                    <w:rPr>
                      <w:rFonts w:eastAsia="Times New Roman" w:cs="Times New Roman"/>
                      <w:sz w:val="18"/>
                      <w:szCs w:val="18"/>
                      <w:lang w:eastAsia="es-MX"/>
                    </w:rPr>
                  </w:pPr>
                </w:p>
              </w:tc>
              <w:tc>
                <w:tcPr>
                  <w:tcW w:w="1493" w:type="dxa"/>
                  <w:shd w:val="clear" w:color="auto" w:fill="auto"/>
                  <w:vAlign w:val="center"/>
                </w:tcPr>
                <w:p w14:paraId="21480D77" w14:textId="77777777" w:rsidR="00FB1BD1" w:rsidRPr="006B0E7C" w:rsidRDefault="00FB1BD1" w:rsidP="006B0E7C">
                  <w:pPr>
                    <w:tabs>
                      <w:tab w:val="left" w:pos="374"/>
                    </w:tabs>
                    <w:spacing w:line="240" w:lineRule="auto"/>
                    <w:jc w:val="center"/>
                    <w:rPr>
                      <w:rFonts w:eastAsia="Times New Roman" w:cs="Times New Roman"/>
                      <w:b/>
                      <w:color w:val="000000"/>
                      <w:sz w:val="18"/>
                      <w:szCs w:val="18"/>
                      <w:lang w:eastAsia="es-MX"/>
                    </w:rPr>
                  </w:pPr>
                  <w:r w:rsidRPr="006B0E7C">
                    <w:rPr>
                      <w:rFonts w:eastAsia="Times New Roman" w:cs="Times New Roman"/>
                      <w:b/>
                      <w:color w:val="000000"/>
                      <w:sz w:val="18"/>
                      <w:szCs w:val="18"/>
                      <w:lang w:eastAsia="es-MX"/>
                    </w:rPr>
                    <w:t>Costo administrativo del trámite</w:t>
                  </w:r>
                </w:p>
                <w:p w14:paraId="643959C2" w14:textId="77777777" w:rsidR="00FB1BD1" w:rsidRPr="006B0E7C" w:rsidRDefault="00FB1BD1" w:rsidP="006B0E7C">
                  <w:pPr>
                    <w:tabs>
                      <w:tab w:val="left" w:pos="374"/>
                    </w:tabs>
                    <w:spacing w:line="240" w:lineRule="auto"/>
                    <w:jc w:val="center"/>
                    <w:rPr>
                      <w:rFonts w:eastAsia="Times New Roman" w:cs="Times New Roman"/>
                      <w:b/>
                      <w:color w:val="000000"/>
                      <w:sz w:val="18"/>
                      <w:szCs w:val="18"/>
                      <w:lang w:eastAsia="es-MX"/>
                    </w:rPr>
                  </w:pPr>
                  <w:r w:rsidRPr="006B0E7C">
                    <w:rPr>
                      <w:rFonts w:eastAsia="Times New Roman" w:cs="Times New Roman"/>
                      <w:b/>
                      <w:color w:val="000000"/>
                      <w:sz w:val="18"/>
                      <w:szCs w:val="18"/>
                      <w:lang w:eastAsia="es-MX"/>
                    </w:rPr>
                    <w:t>Total</w:t>
                  </w:r>
                </w:p>
                <w:p w14:paraId="073544EA" w14:textId="77777777" w:rsidR="00FB1BD1" w:rsidRPr="006B0E7C" w:rsidRDefault="00FB1BD1" w:rsidP="006B0E7C">
                  <w:pPr>
                    <w:tabs>
                      <w:tab w:val="left" w:pos="374"/>
                    </w:tabs>
                    <w:spacing w:line="240" w:lineRule="auto"/>
                    <w:jc w:val="center"/>
                    <w:rPr>
                      <w:rFonts w:eastAsia="Times New Roman" w:cs="Times New Roman"/>
                      <w:b/>
                      <w:color w:val="000000"/>
                      <w:sz w:val="18"/>
                      <w:szCs w:val="18"/>
                      <w:lang w:eastAsia="es-MX"/>
                    </w:rPr>
                  </w:pPr>
                </w:p>
              </w:tc>
            </w:tr>
            <w:tr w:rsidR="00FB1BD1" w:rsidRPr="006B0E7C" w14:paraId="43D43607" w14:textId="77777777" w:rsidTr="00E73C5F">
              <w:trPr>
                <w:trHeight w:val="379"/>
              </w:trPr>
              <w:tc>
                <w:tcPr>
                  <w:tcW w:w="829" w:type="dxa"/>
                  <w:shd w:val="clear" w:color="auto" w:fill="auto"/>
                </w:tcPr>
                <w:p w14:paraId="4D807D39" w14:textId="77777777" w:rsidR="00FB1BD1" w:rsidRPr="006B0E7C" w:rsidRDefault="00FB1BD1" w:rsidP="00FB1BD1">
                  <w:pPr>
                    <w:jc w:val="center"/>
                    <w:rPr>
                      <w:color w:val="000000"/>
                      <w:sz w:val="18"/>
                      <w:szCs w:val="18"/>
                    </w:rPr>
                  </w:pPr>
                </w:p>
                <w:p w14:paraId="5550D3EA" w14:textId="77777777" w:rsidR="00FB1BD1" w:rsidRPr="006B0E7C" w:rsidRDefault="00FB1BD1" w:rsidP="00FB1BD1">
                  <w:pPr>
                    <w:jc w:val="center"/>
                    <w:rPr>
                      <w:color w:val="000000"/>
                      <w:sz w:val="18"/>
                      <w:szCs w:val="18"/>
                    </w:rPr>
                  </w:pPr>
                  <w:r w:rsidRPr="006B0E7C">
                    <w:rPr>
                      <w:color w:val="000000"/>
                      <w:sz w:val="18"/>
                      <w:szCs w:val="18"/>
                    </w:rPr>
                    <w:t>1</w:t>
                  </w:r>
                </w:p>
              </w:tc>
              <w:tc>
                <w:tcPr>
                  <w:tcW w:w="1419" w:type="dxa"/>
                  <w:shd w:val="clear" w:color="auto" w:fill="auto"/>
                  <w:noWrap/>
                  <w:vAlign w:val="center"/>
                </w:tcPr>
                <w:p w14:paraId="18DE9A8B" w14:textId="77777777" w:rsidR="00FB1BD1" w:rsidRPr="006B0E7C" w:rsidRDefault="00FB1BD1" w:rsidP="00FB1BD1">
                  <w:pPr>
                    <w:jc w:val="both"/>
                    <w:rPr>
                      <w:color w:val="000000"/>
                      <w:sz w:val="18"/>
                      <w:szCs w:val="18"/>
                    </w:rPr>
                  </w:pPr>
                  <w:r w:rsidRPr="006B0E7C">
                    <w:rPr>
                      <w:color w:val="000000"/>
                      <w:sz w:val="18"/>
                      <w:szCs w:val="18"/>
                    </w:rPr>
                    <w:t>ACREDITACIÓN DE ORGANISMOS DE CERTIFICACIÓN.</w:t>
                  </w:r>
                </w:p>
                <w:p w14:paraId="2EDB7481" w14:textId="77777777" w:rsidR="00FB1BD1" w:rsidRPr="006B0E7C" w:rsidRDefault="00FB1BD1" w:rsidP="00FB1BD1">
                  <w:pPr>
                    <w:jc w:val="both"/>
                    <w:rPr>
                      <w:color w:val="000000"/>
                      <w:sz w:val="18"/>
                      <w:szCs w:val="18"/>
                    </w:rPr>
                  </w:pPr>
                  <w:r w:rsidRPr="006B0E7C">
                    <w:rPr>
                      <w:color w:val="000000"/>
                      <w:sz w:val="18"/>
                      <w:szCs w:val="18"/>
                    </w:rPr>
                    <w:t>(Organismos de Certificación)</w:t>
                  </w:r>
                </w:p>
              </w:tc>
              <w:tc>
                <w:tcPr>
                  <w:tcW w:w="1165" w:type="dxa"/>
                  <w:shd w:val="clear" w:color="auto" w:fill="auto"/>
                  <w:noWrap/>
                  <w:vAlign w:val="center"/>
                </w:tcPr>
                <w:p w14:paraId="34114092" w14:textId="77777777" w:rsidR="00FB1BD1" w:rsidRPr="006B0E7C" w:rsidRDefault="00FB1BD1" w:rsidP="00FB1BD1">
                  <w:pPr>
                    <w:spacing w:line="240" w:lineRule="auto"/>
                    <w:jc w:val="center"/>
                    <w:rPr>
                      <w:rFonts w:eastAsia="Times New Roman" w:cs="Times New Roman"/>
                      <w:color w:val="000000"/>
                      <w:sz w:val="18"/>
                      <w:szCs w:val="18"/>
                      <w:lang w:eastAsia="es-MX"/>
                    </w:rPr>
                  </w:pPr>
                  <w:r w:rsidRPr="006B0E7C">
                    <w:rPr>
                      <w:rFonts w:eastAsia="Times New Roman" w:cs="Times New Roman"/>
                      <w:color w:val="000000"/>
                      <w:sz w:val="18"/>
                      <w:szCs w:val="18"/>
                      <w:lang w:eastAsia="es-MX"/>
                    </w:rPr>
                    <w:t>$45,300.00</w:t>
                  </w:r>
                </w:p>
              </w:tc>
              <w:tc>
                <w:tcPr>
                  <w:tcW w:w="1118" w:type="dxa"/>
                  <w:shd w:val="clear" w:color="auto" w:fill="auto"/>
                  <w:noWrap/>
                  <w:vAlign w:val="center"/>
                </w:tcPr>
                <w:p w14:paraId="14E6F45D" w14:textId="77777777" w:rsidR="00FB1BD1" w:rsidRPr="006B0E7C" w:rsidRDefault="00FB1BD1" w:rsidP="00FB1BD1">
                  <w:pPr>
                    <w:spacing w:line="240" w:lineRule="auto"/>
                    <w:jc w:val="center"/>
                    <w:rPr>
                      <w:rFonts w:eastAsia="Times New Roman" w:cs="Times New Roman"/>
                      <w:color w:val="000000"/>
                      <w:sz w:val="18"/>
                      <w:szCs w:val="18"/>
                      <w:lang w:eastAsia="es-MX"/>
                    </w:rPr>
                  </w:pPr>
                  <w:r w:rsidRPr="006B0E7C">
                    <w:rPr>
                      <w:rFonts w:eastAsia="Times New Roman" w:cs="Times New Roman"/>
                      <w:color w:val="000000"/>
                      <w:sz w:val="18"/>
                      <w:szCs w:val="18"/>
                      <w:lang w:eastAsia="es-MX"/>
                    </w:rPr>
                    <w:t>$70,000.00</w:t>
                  </w:r>
                </w:p>
              </w:tc>
              <w:tc>
                <w:tcPr>
                  <w:tcW w:w="1145" w:type="dxa"/>
                  <w:shd w:val="clear" w:color="auto" w:fill="auto"/>
                  <w:vAlign w:val="center"/>
                </w:tcPr>
                <w:p w14:paraId="7B3946A8" w14:textId="77777777" w:rsidR="00FB1BD1" w:rsidRPr="006B0E7C" w:rsidRDefault="00FB1BD1" w:rsidP="006B0E7C">
                  <w:pPr>
                    <w:spacing w:line="240" w:lineRule="auto"/>
                    <w:jc w:val="center"/>
                    <w:rPr>
                      <w:rFonts w:eastAsia="Times New Roman" w:cs="Times New Roman"/>
                      <w:color w:val="000000"/>
                      <w:sz w:val="18"/>
                      <w:szCs w:val="18"/>
                      <w:lang w:eastAsia="es-MX"/>
                    </w:rPr>
                  </w:pPr>
                  <w:r w:rsidRPr="006B0E7C">
                    <w:rPr>
                      <w:rFonts w:eastAsia="Times New Roman" w:cs="Times New Roman"/>
                      <w:color w:val="000000"/>
                      <w:sz w:val="18"/>
                      <w:szCs w:val="18"/>
                      <w:lang w:eastAsia="es-MX"/>
                    </w:rPr>
                    <w:t>$115,300.00</w:t>
                  </w:r>
                </w:p>
              </w:tc>
              <w:tc>
                <w:tcPr>
                  <w:tcW w:w="992" w:type="dxa"/>
                  <w:shd w:val="clear" w:color="auto" w:fill="auto"/>
                  <w:vAlign w:val="center"/>
                </w:tcPr>
                <w:p w14:paraId="5F58A80B" w14:textId="77777777" w:rsidR="00FB1BD1" w:rsidRPr="006B0E7C" w:rsidRDefault="00FB1BD1" w:rsidP="006B0E7C">
                  <w:pPr>
                    <w:spacing w:line="240" w:lineRule="auto"/>
                    <w:jc w:val="center"/>
                    <w:rPr>
                      <w:rFonts w:eastAsia="Times New Roman" w:cs="Times New Roman"/>
                      <w:color w:val="000000"/>
                      <w:sz w:val="18"/>
                      <w:szCs w:val="18"/>
                      <w:lang w:eastAsia="es-MX"/>
                    </w:rPr>
                  </w:pPr>
                  <w:r w:rsidRPr="006B0E7C">
                    <w:rPr>
                      <w:rFonts w:eastAsia="Times New Roman" w:cs="Times New Roman"/>
                      <w:color w:val="000000"/>
                      <w:sz w:val="18"/>
                      <w:szCs w:val="18"/>
                      <w:lang w:eastAsia="es-MX"/>
                    </w:rPr>
                    <w:t>2 OC</w:t>
                  </w:r>
                </w:p>
              </w:tc>
              <w:tc>
                <w:tcPr>
                  <w:tcW w:w="1493" w:type="dxa"/>
                  <w:shd w:val="clear" w:color="auto" w:fill="auto"/>
                  <w:vAlign w:val="center"/>
                </w:tcPr>
                <w:p w14:paraId="6733A880" w14:textId="77777777" w:rsidR="00FB1BD1" w:rsidRPr="006B0E7C" w:rsidRDefault="00FB1BD1" w:rsidP="006B0E7C">
                  <w:pPr>
                    <w:spacing w:line="240" w:lineRule="auto"/>
                    <w:jc w:val="center"/>
                    <w:rPr>
                      <w:rFonts w:eastAsia="Times New Roman" w:cs="Times New Roman"/>
                      <w:color w:val="000000"/>
                      <w:sz w:val="18"/>
                      <w:szCs w:val="18"/>
                      <w:lang w:eastAsia="es-MX"/>
                    </w:rPr>
                  </w:pPr>
                  <w:r w:rsidRPr="006B0E7C">
                    <w:rPr>
                      <w:rFonts w:eastAsia="Times New Roman" w:cs="Times New Roman"/>
                      <w:color w:val="000000"/>
                      <w:sz w:val="18"/>
                      <w:szCs w:val="18"/>
                      <w:lang w:eastAsia="es-MX"/>
                    </w:rPr>
                    <w:t>$230,600.00</w:t>
                  </w:r>
                </w:p>
              </w:tc>
            </w:tr>
            <w:tr w:rsidR="00FB1BD1" w:rsidRPr="006B0E7C" w14:paraId="23B58F72" w14:textId="77777777" w:rsidTr="00E73C5F">
              <w:trPr>
                <w:trHeight w:val="471"/>
              </w:trPr>
              <w:tc>
                <w:tcPr>
                  <w:tcW w:w="829" w:type="dxa"/>
                  <w:shd w:val="clear" w:color="auto" w:fill="auto"/>
                </w:tcPr>
                <w:p w14:paraId="3F298A3A" w14:textId="77777777" w:rsidR="00FB1BD1" w:rsidRPr="006B0E7C" w:rsidRDefault="00FB1BD1" w:rsidP="00FB1BD1">
                  <w:pPr>
                    <w:jc w:val="center"/>
                    <w:rPr>
                      <w:color w:val="000000"/>
                      <w:sz w:val="18"/>
                      <w:szCs w:val="18"/>
                    </w:rPr>
                  </w:pPr>
                </w:p>
                <w:p w14:paraId="37A8AB30" w14:textId="77777777" w:rsidR="00FB1BD1" w:rsidRPr="006B0E7C" w:rsidRDefault="00FB1BD1" w:rsidP="00FB1BD1">
                  <w:pPr>
                    <w:jc w:val="center"/>
                    <w:rPr>
                      <w:color w:val="000000"/>
                      <w:sz w:val="18"/>
                      <w:szCs w:val="18"/>
                    </w:rPr>
                  </w:pPr>
                </w:p>
                <w:p w14:paraId="5CBC1B4A" w14:textId="77777777" w:rsidR="00FB1BD1" w:rsidRPr="006B0E7C" w:rsidRDefault="00FB1BD1" w:rsidP="00FB1BD1">
                  <w:pPr>
                    <w:jc w:val="center"/>
                    <w:rPr>
                      <w:color w:val="000000"/>
                      <w:sz w:val="18"/>
                      <w:szCs w:val="18"/>
                    </w:rPr>
                  </w:pPr>
                  <w:r w:rsidRPr="006B0E7C">
                    <w:rPr>
                      <w:color w:val="000000"/>
                      <w:sz w:val="18"/>
                      <w:szCs w:val="18"/>
                    </w:rPr>
                    <w:t>2</w:t>
                  </w:r>
                </w:p>
              </w:tc>
              <w:tc>
                <w:tcPr>
                  <w:tcW w:w="1419" w:type="dxa"/>
                  <w:shd w:val="clear" w:color="auto" w:fill="auto"/>
                  <w:noWrap/>
                  <w:vAlign w:val="center"/>
                </w:tcPr>
                <w:p w14:paraId="376FD155" w14:textId="77777777" w:rsidR="00FB1BD1" w:rsidRPr="006B0E7C" w:rsidRDefault="00FB1BD1" w:rsidP="00FB1BD1">
                  <w:pPr>
                    <w:jc w:val="both"/>
                    <w:rPr>
                      <w:color w:val="000000"/>
                      <w:sz w:val="18"/>
                      <w:szCs w:val="18"/>
                    </w:rPr>
                  </w:pPr>
                  <w:r w:rsidRPr="006B0E7C">
                    <w:rPr>
                      <w:color w:val="000000"/>
                      <w:sz w:val="18"/>
                      <w:szCs w:val="18"/>
                    </w:rPr>
                    <w:t>ACREDITACIÓN DE LABORATORIO DE PRUEBA.</w:t>
                  </w:r>
                </w:p>
                <w:p w14:paraId="57BE6F7C" w14:textId="77777777" w:rsidR="00FB1BD1" w:rsidRPr="006B0E7C" w:rsidRDefault="00FB1BD1" w:rsidP="00FB1BD1">
                  <w:pPr>
                    <w:jc w:val="both"/>
                    <w:rPr>
                      <w:color w:val="000000"/>
                      <w:sz w:val="18"/>
                      <w:szCs w:val="18"/>
                    </w:rPr>
                  </w:pPr>
                  <w:r w:rsidRPr="006B0E7C">
                    <w:rPr>
                      <w:color w:val="000000"/>
                      <w:sz w:val="18"/>
                      <w:szCs w:val="18"/>
                    </w:rPr>
                    <w:t>(Laboratorio de Prueba)</w:t>
                  </w:r>
                </w:p>
              </w:tc>
              <w:tc>
                <w:tcPr>
                  <w:tcW w:w="1165" w:type="dxa"/>
                  <w:shd w:val="clear" w:color="auto" w:fill="auto"/>
                  <w:noWrap/>
                  <w:vAlign w:val="center"/>
                </w:tcPr>
                <w:p w14:paraId="3FC7DE6F" w14:textId="77777777" w:rsidR="00FB1BD1" w:rsidRPr="006B0E7C" w:rsidRDefault="00FB1BD1" w:rsidP="00FB1BD1">
                  <w:pPr>
                    <w:spacing w:line="240" w:lineRule="auto"/>
                    <w:jc w:val="center"/>
                    <w:rPr>
                      <w:rFonts w:eastAsia="Times New Roman" w:cs="Times New Roman"/>
                      <w:color w:val="000000"/>
                      <w:sz w:val="18"/>
                      <w:szCs w:val="18"/>
                      <w:lang w:eastAsia="es-MX"/>
                    </w:rPr>
                  </w:pPr>
                  <w:r w:rsidRPr="006B0E7C">
                    <w:rPr>
                      <w:rFonts w:eastAsia="Times New Roman" w:cs="Times New Roman"/>
                      <w:color w:val="000000"/>
                      <w:sz w:val="18"/>
                      <w:szCs w:val="18"/>
                      <w:lang w:eastAsia="es-MX"/>
                    </w:rPr>
                    <w:t>$22,800.00</w:t>
                  </w:r>
                </w:p>
              </w:tc>
              <w:tc>
                <w:tcPr>
                  <w:tcW w:w="1118" w:type="dxa"/>
                  <w:shd w:val="clear" w:color="auto" w:fill="auto"/>
                  <w:noWrap/>
                  <w:vAlign w:val="center"/>
                </w:tcPr>
                <w:p w14:paraId="71AD21DC" w14:textId="77777777" w:rsidR="00FB1BD1" w:rsidRPr="006B0E7C" w:rsidRDefault="00FB1BD1" w:rsidP="00FB1BD1">
                  <w:pPr>
                    <w:spacing w:line="240" w:lineRule="auto"/>
                    <w:jc w:val="center"/>
                    <w:rPr>
                      <w:rFonts w:eastAsia="Times New Roman" w:cs="Times New Roman"/>
                      <w:color w:val="000000"/>
                      <w:sz w:val="18"/>
                      <w:szCs w:val="18"/>
                      <w:lang w:eastAsia="es-MX"/>
                    </w:rPr>
                  </w:pPr>
                  <w:r w:rsidRPr="006B0E7C">
                    <w:rPr>
                      <w:rFonts w:eastAsia="Times New Roman" w:cs="Times New Roman"/>
                      <w:color w:val="000000"/>
                      <w:sz w:val="18"/>
                      <w:szCs w:val="18"/>
                      <w:lang w:eastAsia="es-MX"/>
                    </w:rPr>
                    <w:t>$37,000.00</w:t>
                  </w:r>
                </w:p>
              </w:tc>
              <w:tc>
                <w:tcPr>
                  <w:tcW w:w="1145" w:type="dxa"/>
                  <w:shd w:val="clear" w:color="auto" w:fill="auto"/>
                  <w:vAlign w:val="center"/>
                </w:tcPr>
                <w:p w14:paraId="19F8F773" w14:textId="77777777" w:rsidR="00FB1BD1" w:rsidRPr="006B0E7C" w:rsidRDefault="00FB1BD1" w:rsidP="006B0E7C">
                  <w:pPr>
                    <w:spacing w:line="240" w:lineRule="auto"/>
                    <w:jc w:val="center"/>
                    <w:rPr>
                      <w:rFonts w:eastAsia="Times New Roman" w:cs="Times New Roman"/>
                      <w:color w:val="000000"/>
                      <w:sz w:val="18"/>
                      <w:szCs w:val="18"/>
                      <w:lang w:eastAsia="es-MX"/>
                    </w:rPr>
                  </w:pPr>
                  <w:r w:rsidRPr="006B0E7C">
                    <w:rPr>
                      <w:rFonts w:eastAsia="Times New Roman" w:cs="Times New Roman"/>
                      <w:color w:val="000000"/>
                      <w:sz w:val="18"/>
                      <w:szCs w:val="18"/>
                      <w:lang w:eastAsia="es-MX"/>
                    </w:rPr>
                    <w:t>$59,800.00</w:t>
                  </w:r>
                </w:p>
              </w:tc>
              <w:tc>
                <w:tcPr>
                  <w:tcW w:w="992" w:type="dxa"/>
                  <w:shd w:val="clear" w:color="auto" w:fill="auto"/>
                  <w:vAlign w:val="center"/>
                </w:tcPr>
                <w:p w14:paraId="7F39BA6F" w14:textId="77777777" w:rsidR="00FB1BD1" w:rsidRPr="006B0E7C" w:rsidRDefault="00FB1BD1" w:rsidP="006B0E7C">
                  <w:pPr>
                    <w:spacing w:line="240" w:lineRule="auto"/>
                    <w:jc w:val="center"/>
                    <w:rPr>
                      <w:rFonts w:eastAsia="Times New Roman" w:cs="Times New Roman"/>
                      <w:color w:val="000000"/>
                      <w:sz w:val="18"/>
                      <w:szCs w:val="18"/>
                      <w:lang w:eastAsia="es-MX"/>
                    </w:rPr>
                  </w:pPr>
                  <w:r w:rsidRPr="006B0E7C">
                    <w:rPr>
                      <w:rFonts w:eastAsia="Times New Roman" w:cs="Times New Roman"/>
                      <w:color w:val="000000"/>
                      <w:sz w:val="18"/>
                      <w:szCs w:val="18"/>
                      <w:lang w:eastAsia="es-MX"/>
                    </w:rPr>
                    <w:t>2 LP</w:t>
                  </w:r>
                </w:p>
              </w:tc>
              <w:tc>
                <w:tcPr>
                  <w:tcW w:w="1493" w:type="dxa"/>
                  <w:shd w:val="clear" w:color="auto" w:fill="auto"/>
                  <w:vAlign w:val="center"/>
                </w:tcPr>
                <w:p w14:paraId="64B23559" w14:textId="77777777" w:rsidR="00FB1BD1" w:rsidRPr="006B0E7C" w:rsidRDefault="00FB1BD1" w:rsidP="00863802">
                  <w:pPr>
                    <w:jc w:val="center"/>
                    <w:rPr>
                      <w:rFonts w:eastAsia="Times New Roman" w:cs="Times New Roman"/>
                      <w:color w:val="000000"/>
                      <w:sz w:val="18"/>
                      <w:szCs w:val="18"/>
                      <w:lang w:eastAsia="es-MX"/>
                    </w:rPr>
                  </w:pPr>
                  <w:r w:rsidRPr="006B0E7C">
                    <w:rPr>
                      <w:color w:val="000000"/>
                      <w:sz w:val="18"/>
                      <w:szCs w:val="18"/>
                    </w:rPr>
                    <w:t>$119,600.00</w:t>
                  </w:r>
                </w:p>
              </w:tc>
            </w:tr>
            <w:tr w:rsidR="00FB1BD1" w:rsidRPr="006B0E7C" w14:paraId="0F4906F7" w14:textId="77777777" w:rsidTr="00E73C5F">
              <w:trPr>
                <w:trHeight w:val="300"/>
              </w:trPr>
              <w:tc>
                <w:tcPr>
                  <w:tcW w:w="829" w:type="dxa"/>
                  <w:shd w:val="clear" w:color="auto" w:fill="auto"/>
                </w:tcPr>
                <w:p w14:paraId="074CC26A" w14:textId="77777777" w:rsidR="00FB1BD1" w:rsidRPr="006B0E7C" w:rsidRDefault="00FB1BD1" w:rsidP="00FB1BD1">
                  <w:pPr>
                    <w:jc w:val="center"/>
                    <w:rPr>
                      <w:color w:val="000000"/>
                      <w:sz w:val="18"/>
                      <w:szCs w:val="18"/>
                    </w:rPr>
                  </w:pPr>
                </w:p>
                <w:p w14:paraId="26CB0040" w14:textId="77777777" w:rsidR="00FB1BD1" w:rsidRPr="006B0E7C" w:rsidRDefault="00FB1BD1" w:rsidP="00FB1BD1">
                  <w:pPr>
                    <w:jc w:val="center"/>
                    <w:rPr>
                      <w:color w:val="000000"/>
                      <w:sz w:val="18"/>
                      <w:szCs w:val="18"/>
                    </w:rPr>
                  </w:pPr>
                </w:p>
                <w:p w14:paraId="54D56360" w14:textId="77777777" w:rsidR="00FB1BD1" w:rsidRPr="006B0E7C" w:rsidRDefault="00FB1BD1" w:rsidP="00FB1BD1">
                  <w:pPr>
                    <w:jc w:val="center"/>
                    <w:rPr>
                      <w:color w:val="000000"/>
                      <w:sz w:val="18"/>
                      <w:szCs w:val="18"/>
                    </w:rPr>
                  </w:pPr>
                  <w:r w:rsidRPr="006B0E7C">
                    <w:rPr>
                      <w:color w:val="000000"/>
                      <w:sz w:val="18"/>
                      <w:szCs w:val="18"/>
                    </w:rPr>
                    <w:t>3</w:t>
                  </w:r>
                </w:p>
              </w:tc>
              <w:tc>
                <w:tcPr>
                  <w:tcW w:w="1419" w:type="dxa"/>
                  <w:shd w:val="clear" w:color="auto" w:fill="auto"/>
                  <w:noWrap/>
                  <w:vAlign w:val="center"/>
                </w:tcPr>
                <w:p w14:paraId="195248B2" w14:textId="77777777" w:rsidR="00FB1BD1" w:rsidRPr="006B0E7C" w:rsidRDefault="00FB1BD1" w:rsidP="00FB1BD1">
                  <w:pPr>
                    <w:rPr>
                      <w:color w:val="000000"/>
                      <w:sz w:val="18"/>
                      <w:szCs w:val="18"/>
                    </w:rPr>
                  </w:pPr>
                  <w:r w:rsidRPr="006B0E7C">
                    <w:rPr>
                      <w:color w:val="000000"/>
                      <w:sz w:val="18"/>
                      <w:szCs w:val="18"/>
                    </w:rPr>
                    <w:t>ACTUALIZACIÓN DE EQUIPO DE MEDICIÓN Y SITIO DE PRUEBAS POR EL LABORATORIO DE PRUEBA.</w:t>
                  </w:r>
                </w:p>
                <w:p w14:paraId="04BBA0F2" w14:textId="77777777" w:rsidR="00FB1BD1" w:rsidRPr="006B0E7C" w:rsidRDefault="00FB1BD1" w:rsidP="00FB1BD1">
                  <w:pPr>
                    <w:rPr>
                      <w:color w:val="000000"/>
                      <w:sz w:val="18"/>
                      <w:szCs w:val="18"/>
                    </w:rPr>
                  </w:pPr>
                  <w:r w:rsidRPr="006B0E7C">
                    <w:rPr>
                      <w:color w:val="000000"/>
                      <w:sz w:val="18"/>
                      <w:szCs w:val="18"/>
                    </w:rPr>
                    <w:t>(Laboratorio de Prueba)</w:t>
                  </w:r>
                </w:p>
              </w:tc>
              <w:tc>
                <w:tcPr>
                  <w:tcW w:w="1165" w:type="dxa"/>
                  <w:shd w:val="clear" w:color="auto" w:fill="auto"/>
                  <w:noWrap/>
                  <w:vAlign w:val="center"/>
                </w:tcPr>
                <w:p w14:paraId="2D1A13F2" w14:textId="77777777" w:rsidR="00FB1BD1" w:rsidRPr="006B0E7C" w:rsidRDefault="00FB1BD1" w:rsidP="00FB1BD1">
                  <w:pPr>
                    <w:spacing w:line="240" w:lineRule="auto"/>
                    <w:jc w:val="center"/>
                    <w:rPr>
                      <w:rFonts w:eastAsia="Times New Roman" w:cs="Times New Roman"/>
                      <w:color w:val="000000"/>
                      <w:sz w:val="18"/>
                      <w:szCs w:val="18"/>
                      <w:lang w:eastAsia="es-MX"/>
                    </w:rPr>
                  </w:pPr>
                  <w:r w:rsidRPr="006B0E7C">
                    <w:rPr>
                      <w:rFonts w:eastAsia="Times New Roman" w:cs="Times New Roman"/>
                      <w:color w:val="000000"/>
                      <w:sz w:val="18"/>
                      <w:szCs w:val="18"/>
                      <w:lang w:eastAsia="es-MX"/>
                    </w:rPr>
                    <w:t>$2,200.00</w:t>
                  </w:r>
                </w:p>
              </w:tc>
              <w:tc>
                <w:tcPr>
                  <w:tcW w:w="1118" w:type="dxa"/>
                  <w:shd w:val="clear" w:color="auto" w:fill="auto"/>
                  <w:noWrap/>
                  <w:vAlign w:val="center"/>
                </w:tcPr>
                <w:p w14:paraId="5C7BEEF3" w14:textId="6B16F43C" w:rsidR="00FB1BD1" w:rsidRPr="001D772A" w:rsidRDefault="00FB1BD1" w:rsidP="009A6A8A">
                  <w:pPr>
                    <w:spacing w:line="240" w:lineRule="auto"/>
                    <w:jc w:val="center"/>
                    <w:rPr>
                      <w:rFonts w:eastAsia="Times New Roman" w:cs="Times New Roman"/>
                      <w:color w:val="000000"/>
                      <w:sz w:val="18"/>
                      <w:szCs w:val="18"/>
                      <w:highlight w:val="yellow"/>
                      <w:lang w:eastAsia="es-MX"/>
                    </w:rPr>
                  </w:pPr>
                  <w:r w:rsidRPr="00D71E6C">
                    <w:rPr>
                      <w:rFonts w:eastAsia="Times New Roman" w:cs="Times New Roman"/>
                      <w:color w:val="000000"/>
                      <w:sz w:val="18"/>
                      <w:szCs w:val="18"/>
                      <w:lang w:eastAsia="es-MX"/>
                    </w:rPr>
                    <w:t>$</w:t>
                  </w:r>
                  <w:r w:rsidR="00192494" w:rsidRPr="00D71E6C">
                    <w:rPr>
                      <w:rFonts w:eastAsia="Times New Roman" w:cs="Times New Roman"/>
                      <w:color w:val="000000"/>
                      <w:sz w:val="18"/>
                      <w:szCs w:val="18"/>
                      <w:lang w:eastAsia="es-MX"/>
                    </w:rPr>
                    <w:t>1</w:t>
                  </w:r>
                  <w:r w:rsidR="006C7159" w:rsidRPr="00D71E6C">
                    <w:rPr>
                      <w:rFonts w:eastAsia="Times New Roman" w:cs="Times New Roman"/>
                      <w:color w:val="000000"/>
                      <w:sz w:val="18"/>
                      <w:szCs w:val="18"/>
                      <w:lang w:eastAsia="es-MX"/>
                    </w:rPr>
                    <w:t>9,</w:t>
                  </w:r>
                  <w:r w:rsidR="00192494" w:rsidRPr="00D71E6C">
                    <w:rPr>
                      <w:rFonts w:eastAsia="Times New Roman" w:cs="Times New Roman"/>
                      <w:color w:val="000000"/>
                      <w:sz w:val="18"/>
                      <w:szCs w:val="18"/>
                      <w:lang w:eastAsia="es-MX"/>
                    </w:rPr>
                    <w:t>696</w:t>
                  </w:r>
                  <w:r w:rsidR="006C7159" w:rsidRPr="00D71E6C">
                    <w:rPr>
                      <w:rFonts w:eastAsia="Times New Roman" w:cs="Times New Roman"/>
                      <w:color w:val="000000"/>
                      <w:sz w:val="18"/>
                      <w:szCs w:val="18"/>
                      <w:lang w:eastAsia="es-MX"/>
                    </w:rPr>
                    <w:t>,</w:t>
                  </w:r>
                  <w:r w:rsidR="00192494" w:rsidRPr="00D71E6C">
                    <w:rPr>
                      <w:rFonts w:eastAsia="Times New Roman" w:cs="Times New Roman"/>
                      <w:color w:val="000000"/>
                      <w:sz w:val="18"/>
                      <w:szCs w:val="18"/>
                      <w:lang w:eastAsia="es-MX"/>
                    </w:rPr>
                    <w:t>824</w:t>
                  </w:r>
                  <w:r w:rsidR="006C7159" w:rsidRPr="00D71E6C">
                    <w:rPr>
                      <w:rFonts w:eastAsia="Times New Roman" w:cs="Times New Roman"/>
                      <w:color w:val="000000"/>
                      <w:sz w:val="18"/>
                      <w:szCs w:val="18"/>
                      <w:lang w:eastAsia="es-MX"/>
                    </w:rPr>
                    <w:t>.00</w:t>
                  </w:r>
                  <w:r w:rsidR="006F3B6A" w:rsidRPr="00D71E6C">
                    <w:rPr>
                      <w:rFonts w:eastAsia="Times New Roman" w:cs="Times New Roman"/>
                      <w:color w:val="000000"/>
                      <w:sz w:val="18"/>
                      <w:szCs w:val="18"/>
                      <w:lang w:eastAsia="es-MX"/>
                    </w:rPr>
                    <w:t xml:space="preserve"> (</w:t>
                  </w:r>
                  <w:r w:rsidR="001D0B69" w:rsidRPr="00D71E6C">
                    <w:rPr>
                      <w:rFonts w:eastAsia="Times New Roman" w:cs="Times New Roman"/>
                      <w:color w:val="000000"/>
                      <w:sz w:val="18"/>
                      <w:szCs w:val="18"/>
                      <w:lang w:eastAsia="es-MX"/>
                    </w:rPr>
                    <w:t>considerando</w:t>
                  </w:r>
                  <w:r w:rsidR="006F3B6A" w:rsidRPr="00D71E6C">
                    <w:rPr>
                      <w:rFonts w:eastAsia="Times New Roman" w:cs="Times New Roman"/>
                      <w:color w:val="000000"/>
                      <w:sz w:val="18"/>
                      <w:szCs w:val="18"/>
                      <w:lang w:eastAsia="es-MX"/>
                    </w:rPr>
                    <w:t xml:space="preserve"> tres </w:t>
                  </w:r>
                  <w:r w:rsidR="009A6A8A" w:rsidRPr="00D71E6C">
                    <w:rPr>
                      <w:rFonts w:eastAsia="Times New Roman" w:cs="Times New Roman"/>
                      <w:color w:val="000000"/>
                      <w:sz w:val="18"/>
                      <w:szCs w:val="18"/>
                      <w:lang w:eastAsia="es-MX"/>
                    </w:rPr>
                    <w:t>sistemas de medición</w:t>
                  </w:r>
                  <w:r w:rsidR="006F3B6A" w:rsidRPr="00D71E6C">
                    <w:rPr>
                      <w:rFonts w:eastAsia="Times New Roman" w:cs="Times New Roman"/>
                      <w:color w:val="000000"/>
                      <w:sz w:val="18"/>
                      <w:szCs w:val="18"/>
                      <w:lang w:eastAsia="es-MX"/>
                    </w:rPr>
                    <w:t xml:space="preserve"> por LP para la medición del SAR)</w:t>
                  </w:r>
                </w:p>
              </w:tc>
              <w:tc>
                <w:tcPr>
                  <w:tcW w:w="1145" w:type="dxa"/>
                  <w:shd w:val="clear" w:color="auto" w:fill="auto"/>
                  <w:vAlign w:val="center"/>
                </w:tcPr>
                <w:p w14:paraId="198AB76C" w14:textId="7917C224" w:rsidR="00FB1BD1" w:rsidRPr="001D772A" w:rsidRDefault="00FB1BD1" w:rsidP="00192494">
                  <w:pPr>
                    <w:spacing w:line="240" w:lineRule="auto"/>
                    <w:jc w:val="center"/>
                    <w:rPr>
                      <w:rFonts w:eastAsia="Times New Roman" w:cs="Times New Roman"/>
                      <w:color w:val="000000"/>
                      <w:sz w:val="18"/>
                      <w:szCs w:val="18"/>
                      <w:highlight w:val="yellow"/>
                      <w:lang w:eastAsia="es-MX"/>
                    </w:rPr>
                  </w:pPr>
                  <w:r w:rsidRPr="00D71E6C">
                    <w:rPr>
                      <w:rFonts w:eastAsia="Times New Roman" w:cs="Times New Roman"/>
                      <w:color w:val="000000"/>
                      <w:sz w:val="18"/>
                      <w:szCs w:val="18"/>
                      <w:lang w:eastAsia="es-MX"/>
                    </w:rPr>
                    <w:t>$</w:t>
                  </w:r>
                  <w:r w:rsidR="00192494" w:rsidRPr="00D71E6C">
                    <w:rPr>
                      <w:rFonts w:eastAsia="Times New Roman" w:cs="Times New Roman"/>
                      <w:color w:val="000000"/>
                      <w:sz w:val="18"/>
                      <w:szCs w:val="18"/>
                      <w:lang w:eastAsia="es-MX"/>
                    </w:rPr>
                    <w:t>1</w:t>
                  </w:r>
                  <w:r w:rsidR="006C7159" w:rsidRPr="00D71E6C">
                    <w:rPr>
                      <w:rFonts w:eastAsia="Times New Roman" w:cs="Times New Roman"/>
                      <w:color w:val="000000"/>
                      <w:sz w:val="18"/>
                      <w:szCs w:val="18"/>
                      <w:lang w:eastAsia="es-MX"/>
                    </w:rPr>
                    <w:t>9,</w:t>
                  </w:r>
                  <w:r w:rsidR="00192494" w:rsidRPr="00D71E6C">
                    <w:rPr>
                      <w:rFonts w:eastAsia="Times New Roman" w:cs="Times New Roman"/>
                      <w:color w:val="000000"/>
                      <w:sz w:val="18"/>
                      <w:szCs w:val="18"/>
                      <w:lang w:eastAsia="es-MX"/>
                    </w:rPr>
                    <w:t>699</w:t>
                  </w:r>
                  <w:r w:rsidR="006C7159" w:rsidRPr="00D71E6C">
                    <w:rPr>
                      <w:rFonts w:eastAsia="Times New Roman" w:cs="Times New Roman"/>
                      <w:color w:val="000000"/>
                      <w:sz w:val="18"/>
                      <w:szCs w:val="18"/>
                      <w:lang w:eastAsia="es-MX"/>
                    </w:rPr>
                    <w:t>,0</w:t>
                  </w:r>
                  <w:r w:rsidR="00192494" w:rsidRPr="00D71E6C">
                    <w:rPr>
                      <w:rFonts w:eastAsia="Times New Roman" w:cs="Times New Roman"/>
                      <w:color w:val="000000"/>
                      <w:sz w:val="18"/>
                      <w:szCs w:val="18"/>
                      <w:lang w:eastAsia="es-MX"/>
                    </w:rPr>
                    <w:t>24</w:t>
                  </w:r>
                  <w:r w:rsidR="006C7159" w:rsidRPr="00D71E6C">
                    <w:rPr>
                      <w:rFonts w:eastAsia="Times New Roman" w:cs="Times New Roman"/>
                      <w:color w:val="000000"/>
                      <w:sz w:val="18"/>
                      <w:szCs w:val="18"/>
                      <w:lang w:eastAsia="es-MX"/>
                    </w:rPr>
                    <w:t>.00</w:t>
                  </w:r>
                </w:p>
              </w:tc>
              <w:tc>
                <w:tcPr>
                  <w:tcW w:w="992" w:type="dxa"/>
                  <w:shd w:val="clear" w:color="auto" w:fill="auto"/>
                  <w:vAlign w:val="center"/>
                </w:tcPr>
                <w:p w14:paraId="79AB6739" w14:textId="77777777" w:rsidR="00FB1BD1" w:rsidRPr="001D772A" w:rsidRDefault="00FB1BD1" w:rsidP="006B0E7C">
                  <w:pPr>
                    <w:spacing w:line="240" w:lineRule="auto"/>
                    <w:jc w:val="center"/>
                    <w:rPr>
                      <w:rFonts w:eastAsia="Times New Roman" w:cs="Times New Roman"/>
                      <w:color w:val="000000"/>
                      <w:sz w:val="18"/>
                      <w:szCs w:val="18"/>
                      <w:highlight w:val="yellow"/>
                      <w:lang w:eastAsia="es-MX"/>
                    </w:rPr>
                  </w:pPr>
                  <w:r w:rsidRPr="00D71E6C">
                    <w:rPr>
                      <w:rFonts w:eastAsia="Times New Roman" w:cs="Times New Roman"/>
                      <w:color w:val="000000"/>
                      <w:sz w:val="18"/>
                      <w:szCs w:val="18"/>
                      <w:lang w:eastAsia="es-MX"/>
                    </w:rPr>
                    <w:t>2 LP</w:t>
                  </w:r>
                </w:p>
              </w:tc>
              <w:tc>
                <w:tcPr>
                  <w:tcW w:w="1493" w:type="dxa"/>
                  <w:shd w:val="clear" w:color="auto" w:fill="auto"/>
                  <w:vAlign w:val="center"/>
                </w:tcPr>
                <w:p w14:paraId="3FA3F05D" w14:textId="451EA1B0" w:rsidR="00FB1BD1" w:rsidRPr="001D772A" w:rsidRDefault="00FB1BD1" w:rsidP="00192494">
                  <w:pPr>
                    <w:jc w:val="center"/>
                    <w:rPr>
                      <w:rFonts w:eastAsia="Times New Roman" w:cs="Times New Roman"/>
                      <w:color w:val="000000"/>
                      <w:sz w:val="18"/>
                      <w:szCs w:val="18"/>
                      <w:highlight w:val="yellow"/>
                      <w:lang w:eastAsia="es-MX"/>
                    </w:rPr>
                  </w:pPr>
                  <w:r w:rsidRPr="00D71E6C">
                    <w:rPr>
                      <w:color w:val="000000"/>
                      <w:sz w:val="18"/>
                      <w:szCs w:val="18"/>
                    </w:rPr>
                    <w:t>$</w:t>
                  </w:r>
                  <w:r w:rsidR="00192494" w:rsidRPr="00D71E6C">
                    <w:rPr>
                      <w:color w:val="000000"/>
                      <w:sz w:val="18"/>
                      <w:szCs w:val="18"/>
                    </w:rPr>
                    <w:t>39,393,648</w:t>
                  </w:r>
                  <w:r w:rsidR="006C7159" w:rsidRPr="00D71E6C">
                    <w:rPr>
                      <w:color w:val="000000"/>
                      <w:sz w:val="18"/>
                      <w:szCs w:val="18"/>
                    </w:rPr>
                    <w:t>.00</w:t>
                  </w:r>
                </w:p>
              </w:tc>
            </w:tr>
            <w:tr w:rsidR="00FB1BD1" w:rsidRPr="006B0E7C" w14:paraId="0BA297B2" w14:textId="77777777" w:rsidTr="00E73C5F">
              <w:trPr>
                <w:trHeight w:val="1210"/>
              </w:trPr>
              <w:tc>
                <w:tcPr>
                  <w:tcW w:w="829" w:type="dxa"/>
                  <w:shd w:val="clear" w:color="auto" w:fill="auto"/>
                </w:tcPr>
                <w:p w14:paraId="7F9CE9C6" w14:textId="77777777" w:rsidR="00FB1BD1" w:rsidRPr="006B0E7C" w:rsidRDefault="00FB1BD1" w:rsidP="00FB1BD1">
                  <w:pPr>
                    <w:jc w:val="center"/>
                    <w:rPr>
                      <w:rFonts w:eastAsia="Times New Roman" w:cs="Arial"/>
                      <w:sz w:val="18"/>
                      <w:szCs w:val="18"/>
                      <w:lang w:eastAsia="es-ES"/>
                    </w:rPr>
                  </w:pPr>
                </w:p>
                <w:p w14:paraId="41C14C09" w14:textId="77777777" w:rsidR="00FB1BD1" w:rsidRPr="006B0E7C" w:rsidRDefault="00FB1BD1" w:rsidP="00FB1BD1">
                  <w:pPr>
                    <w:jc w:val="center"/>
                    <w:rPr>
                      <w:rFonts w:eastAsia="Times New Roman" w:cs="Arial"/>
                      <w:sz w:val="18"/>
                      <w:szCs w:val="18"/>
                      <w:lang w:eastAsia="es-ES"/>
                    </w:rPr>
                  </w:pPr>
                </w:p>
                <w:p w14:paraId="2F8EDFE5" w14:textId="77777777" w:rsidR="00FB1BD1" w:rsidRPr="006B0E7C" w:rsidRDefault="00FB1BD1" w:rsidP="00FB1BD1">
                  <w:pPr>
                    <w:jc w:val="center"/>
                    <w:rPr>
                      <w:rFonts w:eastAsia="Times New Roman" w:cs="Arial"/>
                      <w:sz w:val="18"/>
                      <w:szCs w:val="18"/>
                      <w:lang w:eastAsia="es-ES"/>
                    </w:rPr>
                  </w:pPr>
                  <w:r w:rsidRPr="006B0E7C">
                    <w:rPr>
                      <w:rFonts w:eastAsia="Times New Roman" w:cs="Arial"/>
                      <w:sz w:val="18"/>
                      <w:szCs w:val="18"/>
                      <w:lang w:eastAsia="es-ES"/>
                    </w:rPr>
                    <w:t>4</w:t>
                  </w:r>
                </w:p>
              </w:tc>
              <w:tc>
                <w:tcPr>
                  <w:tcW w:w="1419" w:type="dxa"/>
                  <w:shd w:val="clear" w:color="auto" w:fill="auto"/>
                  <w:noWrap/>
                  <w:vAlign w:val="center"/>
                </w:tcPr>
                <w:p w14:paraId="173019E1" w14:textId="77777777" w:rsidR="00FB1BD1" w:rsidRPr="006B0E7C" w:rsidRDefault="00FB1BD1" w:rsidP="00FB1BD1">
                  <w:pPr>
                    <w:jc w:val="both"/>
                    <w:rPr>
                      <w:rFonts w:eastAsia="Times New Roman" w:cs="Arial"/>
                      <w:sz w:val="18"/>
                      <w:szCs w:val="18"/>
                      <w:lang w:eastAsia="es-ES"/>
                    </w:rPr>
                  </w:pPr>
                  <w:r w:rsidRPr="006B0E7C">
                    <w:rPr>
                      <w:rFonts w:eastAsia="Times New Roman" w:cs="Arial"/>
                      <w:sz w:val="18"/>
                      <w:szCs w:val="18"/>
                      <w:lang w:eastAsia="es-ES"/>
                    </w:rPr>
                    <w:t>SOLICITUD DE CERTIFICADO DE HOMOLOGACIÓN.</w:t>
                  </w:r>
                </w:p>
                <w:p w14:paraId="2B5D7D5E" w14:textId="77777777" w:rsidR="00FB1BD1" w:rsidRPr="006B0E7C" w:rsidRDefault="00FB1BD1" w:rsidP="00FB1BD1">
                  <w:pPr>
                    <w:jc w:val="both"/>
                    <w:rPr>
                      <w:rFonts w:eastAsia="Times New Roman" w:cs="Arial"/>
                      <w:sz w:val="18"/>
                      <w:szCs w:val="18"/>
                      <w:lang w:eastAsia="es-ES"/>
                    </w:rPr>
                  </w:pPr>
                  <w:r w:rsidRPr="006B0E7C">
                    <w:rPr>
                      <w:color w:val="000000"/>
                      <w:sz w:val="18"/>
                      <w:szCs w:val="18"/>
                    </w:rPr>
                    <w:t>(</w:t>
                  </w:r>
                  <w:r w:rsidRPr="006B0E7C">
                    <w:rPr>
                      <w:rFonts w:eastAsia="Times New Roman" w:cs="Arial"/>
                      <w:sz w:val="18"/>
                      <w:szCs w:val="18"/>
                      <w:lang w:eastAsia="es-ES"/>
                    </w:rPr>
                    <w:t>Solicitantes del Certificado de Homologación)</w:t>
                  </w:r>
                  <w:r w:rsidRPr="006B0E7C">
                    <w:rPr>
                      <w:color w:val="000000"/>
                      <w:sz w:val="18"/>
                      <w:szCs w:val="18"/>
                    </w:rPr>
                    <w:t>.</w:t>
                  </w:r>
                </w:p>
              </w:tc>
              <w:tc>
                <w:tcPr>
                  <w:tcW w:w="1165" w:type="dxa"/>
                  <w:shd w:val="clear" w:color="auto" w:fill="auto"/>
                  <w:noWrap/>
                  <w:vAlign w:val="center"/>
                </w:tcPr>
                <w:p w14:paraId="3C9F5491" w14:textId="77777777" w:rsidR="00FB1BD1" w:rsidRPr="006B0E7C" w:rsidRDefault="00FB1BD1" w:rsidP="00FB1BD1">
                  <w:pPr>
                    <w:spacing w:line="240" w:lineRule="auto"/>
                    <w:jc w:val="center"/>
                    <w:rPr>
                      <w:rFonts w:eastAsia="Times New Roman" w:cs="Arial"/>
                      <w:sz w:val="18"/>
                      <w:szCs w:val="18"/>
                      <w:lang w:eastAsia="es-ES"/>
                    </w:rPr>
                  </w:pPr>
                  <w:r w:rsidRPr="006B0E7C">
                    <w:rPr>
                      <w:rFonts w:eastAsia="Times New Roman" w:cs="Arial"/>
                      <w:sz w:val="18"/>
                      <w:szCs w:val="18"/>
                      <w:lang w:eastAsia="es-ES"/>
                    </w:rPr>
                    <w:t>$1,200.00</w:t>
                  </w:r>
                </w:p>
              </w:tc>
              <w:tc>
                <w:tcPr>
                  <w:tcW w:w="1118" w:type="dxa"/>
                  <w:shd w:val="clear" w:color="auto" w:fill="auto"/>
                  <w:noWrap/>
                  <w:vAlign w:val="center"/>
                </w:tcPr>
                <w:p w14:paraId="477C1B36" w14:textId="77777777" w:rsidR="00FB1BD1" w:rsidRPr="006B0E7C" w:rsidRDefault="00FB1BD1" w:rsidP="000737B6">
                  <w:pPr>
                    <w:spacing w:line="240" w:lineRule="auto"/>
                    <w:jc w:val="center"/>
                    <w:rPr>
                      <w:rFonts w:eastAsia="Times New Roman" w:cs="Arial"/>
                      <w:sz w:val="18"/>
                      <w:szCs w:val="18"/>
                      <w:lang w:eastAsia="es-ES"/>
                    </w:rPr>
                  </w:pPr>
                  <w:r w:rsidRPr="006B0E7C">
                    <w:rPr>
                      <w:rFonts w:eastAsia="Times New Roman" w:cs="Arial"/>
                      <w:sz w:val="18"/>
                      <w:szCs w:val="18"/>
                      <w:lang w:eastAsia="es-ES"/>
                    </w:rPr>
                    <w:t>$</w:t>
                  </w:r>
                  <w:r w:rsidR="006C7159" w:rsidRPr="006C7159">
                    <w:rPr>
                      <w:rFonts w:eastAsia="Times New Roman" w:cs="Arial"/>
                      <w:sz w:val="18"/>
                      <w:szCs w:val="18"/>
                      <w:lang w:eastAsia="es-ES"/>
                    </w:rPr>
                    <w:t>2,448.22</w:t>
                  </w:r>
                  <w:r w:rsidRPr="006B0E7C">
                    <w:rPr>
                      <w:rFonts w:eastAsia="Times New Roman" w:cs="Arial"/>
                      <w:sz w:val="18"/>
                      <w:szCs w:val="18"/>
                      <w:lang w:eastAsia="es-ES"/>
                    </w:rPr>
                    <w:t xml:space="preserve"> </w:t>
                  </w:r>
                </w:p>
              </w:tc>
              <w:tc>
                <w:tcPr>
                  <w:tcW w:w="1145" w:type="dxa"/>
                  <w:shd w:val="clear" w:color="auto" w:fill="auto"/>
                  <w:vAlign w:val="center"/>
                </w:tcPr>
                <w:p w14:paraId="7F2CCCF7" w14:textId="77777777" w:rsidR="00FB1BD1" w:rsidRPr="006B0E7C" w:rsidRDefault="00FB1BD1" w:rsidP="006C7159">
                  <w:pPr>
                    <w:spacing w:line="240" w:lineRule="auto"/>
                    <w:jc w:val="center"/>
                    <w:rPr>
                      <w:rFonts w:eastAsia="Times New Roman" w:cs="Arial"/>
                      <w:sz w:val="18"/>
                      <w:szCs w:val="18"/>
                      <w:lang w:eastAsia="es-ES"/>
                    </w:rPr>
                  </w:pPr>
                  <w:r w:rsidRPr="006B0E7C">
                    <w:rPr>
                      <w:rFonts w:eastAsia="Times New Roman" w:cs="Arial"/>
                      <w:sz w:val="18"/>
                      <w:szCs w:val="18"/>
                      <w:lang w:eastAsia="es-ES"/>
                    </w:rPr>
                    <w:t>$</w:t>
                  </w:r>
                  <w:r w:rsidR="006C7159">
                    <w:rPr>
                      <w:rFonts w:eastAsia="Times New Roman" w:cs="Arial"/>
                      <w:sz w:val="18"/>
                      <w:szCs w:val="18"/>
                      <w:lang w:eastAsia="es-ES"/>
                    </w:rPr>
                    <w:t>3,648.22</w:t>
                  </w:r>
                </w:p>
              </w:tc>
              <w:tc>
                <w:tcPr>
                  <w:tcW w:w="992" w:type="dxa"/>
                  <w:shd w:val="clear" w:color="auto" w:fill="auto"/>
                  <w:vAlign w:val="center"/>
                </w:tcPr>
                <w:p w14:paraId="74C02493" w14:textId="77777777" w:rsidR="00FB1BD1" w:rsidRPr="006B0E7C" w:rsidRDefault="006C7159" w:rsidP="006B0E7C">
                  <w:pPr>
                    <w:spacing w:line="240" w:lineRule="auto"/>
                    <w:jc w:val="center"/>
                    <w:rPr>
                      <w:rFonts w:eastAsia="Times New Roman" w:cs="Arial"/>
                      <w:sz w:val="18"/>
                      <w:szCs w:val="18"/>
                      <w:lang w:eastAsia="es-ES"/>
                    </w:rPr>
                  </w:pPr>
                  <w:r w:rsidRPr="006C7159">
                    <w:rPr>
                      <w:rFonts w:eastAsia="Times New Roman" w:cs="Arial"/>
                      <w:sz w:val="18"/>
                      <w:szCs w:val="18"/>
                      <w:lang w:eastAsia="es-ES"/>
                    </w:rPr>
                    <w:t xml:space="preserve">1734 </w:t>
                  </w:r>
                  <w:r w:rsidR="00FB1BD1" w:rsidRPr="006B0E7C">
                    <w:rPr>
                      <w:rFonts w:eastAsia="Times New Roman" w:cs="Arial"/>
                      <w:sz w:val="18"/>
                      <w:szCs w:val="18"/>
                      <w:lang w:eastAsia="es-ES"/>
                    </w:rPr>
                    <w:t>Solicitudes</w:t>
                  </w:r>
                </w:p>
              </w:tc>
              <w:tc>
                <w:tcPr>
                  <w:tcW w:w="1493" w:type="dxa"/>
                  <w:shd w:val="clear" w:color="auto" w:fill="auto"/>
                  <w:vAlign w:val="center"/>
                </w:tcPr>
                <w:p w14:paraId="0A481D8E" w14:textId="77777777" w:rsidR="00FB1BD1" w:rsidRPr="006B0E7C" w:rsidRDefault="00FB1BD1" w:rsidP="000737B6">
                  <w:pPr>
                    <w:jc w:val="center"/>
                    <w:rPr>
                      <w:rFonts w:eastAsia="Times New Roman" w:cs="Arial"/>
                      <w:sz w:val="18"/>
                      <w:szCs w:val="18"/>
                      <w:lang w:eastAsia="es-ES"/>
                    </w:rPr>
                  </w:pPr>
                  <w:r w:rsidRPr="006B0E7C">
                    <w:rPr>
                      <w:color w:val="000000"/>
                      <w:sz w:val="18"/>
                      <w:szCs w:val="18"/>
                    </w:rPr>
                    <w:t>$</w:t>
                  </w:r>
                  <w:r w:rsidR="006C7159" w:rsidRPr="006C7159">
                    <w:rPr>
                      <w:color w:val="000000"/>
                      <w:sz w:val="18"/>
                      <w:szCs w:val="18"/>
                    </w:rPr>
                    <w:t>6,326,013.48</w:t>
                  </w:r>
                </w:p>
              </w:tc>
            </w:tr>
            <w:tr w:rsidR="00FB1BD1" w:rsidRPr="006B0E7C" w14:paraId="1EE42164" w14:textId="77777777" w:rsidTr="00E73C5F">
              <w:trPr>
                <w:trHeight w:val="706"/>
              </w:trPr>
              <w:tc>
                <w:tcPr>
                  <w:tcW w:w="829" w:type="dxa"/>
                  <w:shd w:val="clear" w:color="auto" w:fill="auto"/>
                </w:tcPr>
                <w:p w14:paraId="77A24999" w14:textId="77777777" w:rsidR="00FB1BD1" w:rsidRPr="00FC4234" w:rsidRDefault="00FB1BD1" w:rsidP="00FB1BD1">
                  <w:pPr>
                    <w:jc w:val="center"/>
                    <w:rPr>
                      <w:rFonts w:eastAsia="Times New Roman" w:cs="Arial"/>
                      <w:sz w:val="18"/>
                      <w:szCs w:val="18"/>
                      <w:lang w:eastAsia="es-ES"/>
                    </w:rPr>
                  </w:pPr>
                </w:p>
                <w:p w14:paraId="27EE6CCB" w14:textId="77777777" w:rsidR="00FB1BD1" w:rsidRPr="00FC4234" w:rsidRDefault="006B0E7C" w:rsidP="00FB1BD1">
                  <w:pPr>
                    <w:jc w:val="center"/>
                    <w:rPr>
                      <w:rFonts w:eastAsia="Times New Roman" w:cs="Arial"/>
                      <w:sz w:val="18"/>
                      <w:szCs w:val="18"/>
                      <w:lang w:eastAsia="es-ES"/>
                    </w:rPr>
                  </w:pPr>
                  <w:r w:rsidRPr="00FC4234">
                    <w:rPr>
                      <w:rFonts w:eastAsia="Times New Roman" w:cs="Arial"/>
                      <w:sz w:val="18"/>
                      <w:szCs w:val="18"/>
                      <w:lang w:eastAsia="es-ES"/>
                    </w:rPr>
                    <w:t>5</w:t>
                  </w:r>
                </w:p>
              </w:tc>
              <w:tc>
                <w:tcPr>
                  <w:tcW w:w="1419" w:type="dxa"/>
                  <w:shd w:val="clear" w:color="auto" w:fill="auto"/>
                  <w:noWrap/>
                  <w:vAlign w:val="center"/>
                </w:tcPr>
                <w:p w14:paraId="55C3DA4F" w14:textId="16A1D2D1" w:rsidR="00FB1BD1" w:rsidRPr="00FC4234" w:rsidRDefault="00FB1BD1" w:rsidP="00FC4234">
                  <w:pPr>
                    <w:jc w:val="both"/>
                    <w:rPr>
                      <w:rFonts w:eastAsia="Times New Roman" w:cs="Arial"/>
                      <w:sz w:val="18"/>
                      <w:szCs w:val="18"/>
                      <w:lang w:eastAsia="es-ES"/>
                    </w:rPr>
                  </w:pPr>
                  <w:r w:rsidRPr="00FC4234">
                    <w:rPr>
                      <w:rFonts w:eastAsia="Times New Roman" w:cs="Arial"/>
                      <w:sz w:val="18"/>
                      <w:szCs w:val="18"/>
                      <w:lang w:eastAsia="es-ES"/>
                    </w:rPr>
                    <w:t>SOLICITUD DEL CERTIFICADO DE CONFORMIDAD</w:t>
                  </w:r>
                  <w:r w:rsidR="00AF4C5A" w:rsidRPr="00FC4234">
                    <w:rPr>
                      <w:rFonts w:eastAsia="Times New Roman" w:cs="Arial"/>
                      <w:sz w:val="18"/>
                      <w:szCs w:val="18"/>
                      <w:lang w:eastAsia="es-ES"/>
                    </w:rPr>
                    <w:t xml:space="preserve"> </w:t>
                  </w:r>
                  <w:r w:rsidRPr="00FC4234">
                    <w:rPr>
                      <w:color w:val="000000"/>
                      <w:sz w:val="18"/>
                      <w:szCs w:val="18"/>
                    </w:rPr>
                    <w:t>(</w:t>
                  </w:r>
                  <w:r w:rsidRPr="00FC4234">
                    <w:rPr>
                      <w:rFonts w:eastAsia="Times New Roman" w:cs="Arial"/>
                      <w:sz w:val="18"/>
                      <w:szCs w:val="18"/>
                      <w:lang w:eastAsia="es-ES"/>
                    </w:rPr>
                    <w:t>Solicitantes del Certificado de Conformidad)</w:t>
                  </w:r>
                </w:p>
              </w:tc>
              <w:tc>
                <w:tcPr>
                  <w:tcW w:w="1165" w:type="dxa"/>
                  <w:shd w:val="clear" w:color="auto" w:fill="auto"/>
                  <w:noWrap/>
                  <w:vAlign w:val="center"/>
                </w:tcPr>
                <w:p w14:paraId="559ADB32" w14:textId="77777777" w:rsidR="00FB1BD1" w:rsidRPr="00FC4234" w:rsidRDefault="00FB1BD1" w:rsidP="00FB1BD1">
                  <w:pPr>
                    <w:spacing w:line="240" w:lineRule="auto"/>
                    <w:jc w:val="center"/>
                    <w:rPr>
                      <w:rFonts w:eastAsia="Times New Roman" w:cs="Arial"/>
                      <w:sz w:val="18"/>
                      <w:szCs w:val="18"/>
                      <w:lang w:eastAsia="es-ES"/>
                    </w:rPr>
                  </w:pPr>
                  <w:r w:rsidRPr="00FC4234">
                    <w:rPr>
                      <w:rFonts w:eastAsia="Times New Roman" w:cs="Arial"/>
                      <w:sz w:val="18"/>
                      <w:szCs w:val="18"/>
                      <w:lang w:eastAsia="es-ES"/>
                    </w:rPr>
                    <w:t>$1,200.00</w:t>
                  </w:r>
                </w:p>
              </w:tc>
              <w:tc>
                <w:tcPr>
                  <w:tcW w:w="1118" w:type="dxa"/>
                  <w:shd w:val="clear" w:color="auto" w:fill="auto"/>
                  <w:noWrap/>
                  <w:vAlign w:val="center"/>
                </w:tcPr>
                <w:p w14:paraId="30D7F1F2" w14:textId="20E1ABFB" w:rsidR="00FB1BD1" w:rsidRPr="00FC4234" w:rsidRDefault="00FB1BD1" w:rsidP="000737B6">
                  <w:pPr>
                    <w:spacing w:line="240" w:lineRule="auto"/>
                    <w:jc w:val="center"/>
                    <w:rPr>
                      <w:rFonts w:eastAsia="Times New Roman" w:cs="Arial"/>
                      <w:sz w:val="18"/>
                      <w:szCs w:val="18"/>
                      <w:lang w:eastAsia="es-ES"/>
                    </w:rPr>
                  </w:pPr>
                  <w:r w:rsidRPr="00FC4234">
                    <w:rPr>
                      <w:rFonts w:eastAsia="Times New Roman" w:cs="Arial"/>
                      <w:sz w:val="18"/>
                      <w:szCs w:val="18"/>
                      <w:lang w:eastAsia="es-ES"/>
                    </w:rPr>
                    <w:t>$</w:t>
                  </w:r>
                  <w:r w:rsidR="006C7159" w:rsidRPr="00FC4234">
                    <w:rPr>
                      <w:rFonts w:eastAsia="Times New Roman" w:cs="Arial"/>
                      <w:sz w:val="18"/>
                      <w:szCs w:val="18"/>
                      <w:lang w:eastAsia="es-ES"/>
                    </w:rPr>
                    <w:t>1</w:t>
                  </w:r>
                  <w:r w:rsidR="00AF4C5A" w:rsidRPr="00FC4234">
                    <w:rPr>
                      <w:rFonts w:eastAsia="Times New Roman" w:cs="Arial"/>
                      <w:sz w:val="18"/>
                      <w:szCs w:val="18"/>
                      <w:lang w:eastAsia="es-ES"/>
                    </w:rPr>
                    <w:t>5</w:t>
                  </w:r>
                  <w:r w:rsidRPr="00FC4234">
                    <w:rPr>
                      <w:rFonts w:eastAsia="Times New Roman" w:cs="Arial"/>
                      <w:sz w:val="18"/>
                      <w:szCs w:val="18"/>
                      <w:lang w:eastAsia="es-ES"/>
                    </w:rPr>
                    <w:t xml:space="preserve">,000.00 </w:t>
                  </w:r>
                </w:p>
              </w:tc>
              <w:tc>
                <w:tcPr>
                  <w:tcW w:w="1145" w:type="dxa"/>
                  <w:shd w:val="clear" w:color="auto" w:fill="auto"/>
                  <w:vAlign w:val="center"/>
                </w:tcPr>
                <w:p w14:paraId="67699027" w14:textId="3A497F83" w:rsidR="00FB1BD1" w:rsidRPr="00FC4234" w:rsidRDefault="00FB1BD1" w:rsidP="00FC4234">
                  <w:pPr>
                    <w:spacing w:line="240" w:lineRule="auto"/>
                    <w:jc w:val="center"/>
                    <w:rPr>
                      <w:rFonts w:eastAsia="Times New Roman" w:cs="Arial"/>
                      <w:sz w:val="18"/>
                      <w:szCs w:val="18"/>
                      <w:lang w:eastAsia="es-ES"/>
                    </w:rPr>
                  </w:pPr>
                  <w:r w:rsidRPr="00FC4234">
                    <w:rPr>
                      <w:rFonts w:eastAsia="Times New Roman" w:cs="Arial"/>
                      <w:sz w:val="18"/>
                      <w:szCs w:val="18"/>
                      <w:lang w:eastAsia="es-ES"/>
                    </w:rPr>
                    <w:t>$</w:t>
                  </w:r>
                  <w:r w:rsidR="006C7159" w:rsidRPr="00FC4234">
                    <w:rPr>
                      <w:rFonts w:eastAsia="Times New Roman" w:cs="Arial"/>
                      <w:sz w:val="18"/>
                      <w:szCs w:val="18"/>
                      <w:lang w:eastAsia="es-ES"/>
                    </w:rPr>
                    <w:t>16,200.00</w:t>
                  </w:r>
                </w:p>
              </w:tc>
              <w:tc>
                <w:tcPr>
                  <w:tcW w:w="992" w:type="dxa"/>
                  <w:shd w:val="clear" w:color="auto" w:fill="auto"/>
                  <w:vAlign w:val="center"/>
                </w:tcPr>
                <w:p w14:paraId="57CC0DB2" w14:textId="77777777" w:rsidR="00FB1BD1" w:rsidRPr="00FC4234" w:rsidRDefault="006C7159" w:rsidP="006B0E7C">
                  <w:pPr>
                    <w:spacing w:line="240" w:lineRule="auto"/>
                    <w:jc w:val="center"/>
                    <w:rPr>
                      <w:rFonts w:eastAsia="Times New Roman" w:cs="Arial"/>
                      <w:sz w:val="18"/>
                      <w:szCs w:val="18"/>
                      <w:lang w:eastAsia="es-ES"/>
                    </w:rPr>
                  </w:pPr>
                  <w:r w:rsidRPr="00FC4234">
                    <w:rPr>
                      <w:rFonts w:eastAsia="Times New Roman" w:cs="Arial"/>
                      <w:sz w:val="18"/>
                      <w:szCs w:val="18"/>
                      <w:lang w:eastAsia="es-ES"/>
                    </w:rPr>
                    <w:t xml:space="preserve">1734 </w:t>
                  </w:r>
                  <w:r w:rsidR="00FB1BD1" w:rsidRPr="00FC4234">
                    <w:rPr>
                      <w:rFonts w:eastAsia="Times New Roman" w:cs="Arial"/>
                      <w:sz w:val="18"/>
                      <w:szCs w:val="18"/>
                      <w:lang w:eastAsia="es-ES"/>
                    </w:rPr>
                    <w:t>Solicitudes</w:t>
                  </w:r>
                </w:p>
              </w:tc>
              <w:tc>
                <w:tcPr>
                  <w:tcW w:w="1493" w:type="dxa"/>
                  <w:shd w:val="clear" w:color="auto" w:fill="auto"/>
                  <w:vAlign w:val="center"/>
                </w:tcPr>
                <w:p w14:paraId="4A364439" w14:textId="2E9B34BC" w:rsidR="00FB1BD1" w:rsidRPr="00FC4234" w:rsidRDefault="00FB1BD1" w:rsidP="00FC4234">
                  <w:pPr>
                    <w:spacing w:line="240" w:lineRule="auto"/>
                    <w:jc w:val="center"/>
                    <w:rPr>
                      <w:rFonts w:eastAsia="Times New Roman" w:cs="Arial"/>
                      <w:sz w:val="18"/>
                      <w:szCs w:val="18"/>
                      <w:lang w:eastAsia="es-ES"/>
                    </w:rPr>
                  </w:pPr>
                  <w:r w:rsidRPr="00FC4234">
                    <w:rPr>
                      <w:rFonts w:eastAsia="Times New Roman" w:cs="Arial"/>
                      <w:sz w:val="18"/>
                      <w:szCs w:val="18"/>
                      <w:lang w:eastAsia="es-ES"/>
                    </w:rPr>
                    <w:t>$</w:t>
                  </w:r>
                  <w:r w:rsidR="00FC4234" w:rsidRPr="00FC4234">
                    <w:rPr>
                      <w:rFonts w:eastAsia="Times New Roman" w:cs="Arial"/>
                      <w:sz w:val="18"/>
                      <w:szCs w:val="18"/>
                      <w:lang w:eastAsia="es-ES"/>
                    </w:rPr>
                    <w:t>26,011,200</w:t>
                  </w:r>
                  <w:r w:rsidR="006C7159" w:rsidRPr="00FC4234">
                    <w:rPr>
                      <w:rFonts w:eastAsia="Times New Roman" w:cs="Arial"/>
                      <w:sz w:val="18"/>
                      <w:szCs w:val="18"/>
                      <w:lang w:eastAsia="es-ES"/>
                    </w:rPr>
                    <w:t>.00</w:t>
                  </w:r>
                </w:p>
              </w:tc>
            </w:tr>
            <w:tr w:rsidR="00934849" w:rsidRPr="006B0E7C" w14:paraId="630688A7" w14:textId="77777777" w:rsidTr="00FC4234">
              <w:trPr>
                <w:trHeight w:val="706"/>
              </w:trPr>
              <w:tc>
                <w:tcPr>
                  <w:tcW w:w="829" w:type="dxa"/>
                  <w:shd w:val="clear" w:color="auto" w:fill="auto"/>
                  <w:vAlign w:val="center"/>
                </w:tcPr>
                <w:p w14:paraId="30E1B546" w14:textId="77777777" w:rsidR="00934849" w:rsidRPr="006B0E7C" w:rsidRDefault="00FC4234" w:rsidP="00FC4234">
                  <w:pPr>
                    <w:jc w:val="center"/>
                    <w:rPr>
                      <w:rFonts w:eastAsia="Times New Roman" w:cs="Arial"/>
                      <w:sz w:val="18"/>
                      <w:szCs w:val="18"/>
                      <w:lang w:eastAsia="es-ES"/>
                    </w:rPr>
                  </w:pPr>
                  <w:r>
                    <w:rPr>
                      <w:rFonts w:eastAsia="Times New Roman" w:cs="Arial"/>
                      <w:sz w:val="18"/>
                      <w:szCs w:val="18"/>
                      <w:lang w:eastAsia="es-ES"/>
                    </w:rPr>
                    <w:t>6</w:t>
                  </w:r>
                </w:p>
              </w:tc>
              <w:tc>
                <w:tcPr>
                  <w:tcW w:w="1419" w:type="dxa"/>
                  <w:shd w:val="clear" w:color="auto" w:fill="auto"/>
                  <w:noWrap/>
                  <w:vAlign w:val="center"/>
                </w:tcPr>
                <w:p w14:paraId="5DF3FDE4" w14:textId="77777777" w:rsidR="00FC4234" w:rsidRPr="00FC4234" w:rsidRDefault="00FC4234" w:rsidP="00FC4234">
                  <w:pPr>
                    <w:jc w:val="both"/>
                    <w:rPr>
                      <w:rFonts w:eastAsia="Times New Roman" w:cs="Arial"/>
                      <w:sz w:val="18"/>
                      <w:szCs w:val="18"/>
                      <w:lang w:eastAsia="es-ES"/>
                    </w:rPr>
                  </w:pPr>
                  <w:r w:rsidRPr="00FC4234">
                    <w:rPr>
                      <w:rFonts w:eastAsia="Times New Roman" w:cs="Arial"/>
                      <w:sz w:val="18"/>
                      <w:szCs w:val="18"/>
                      <w:lang w:eastAsia="es-ES"/>
                    </w:rPr>
                    <w:t xml:space="preserve">SOLICITUD DEL </w:t>
                  </w:r>
                  <w:r>
                    <w:rPr>
                      <w:rFonts w:eastAsia="Times New Roman" w:cs="Arial"/>
                      <w:sz w:val="18"/>
                      <w:szCs w:val="18"/>
                      <w:lang w:eastAsia="es-ES"/>
                    </w:rPr>
                    <w:t>REPORTE DE PRUEBAS.</w:t>
                  </w:r>
                </w:p>
                <w:p w14:paraId="74600E42" w14:textId="77777777" w:rsidR="00934849" w:rsidRPr="006B0E7C" w:rsidRDefault="00FC4234" w:rsidP="00FC4234">
                  <w:pPr>
                    <w:jc w:val="center"/>
                    <w:rPr>
                      <w:rFonts w:eastAsia="Times New Roman" w:cs="Arial"/>
                      <w:sz w:val="18"/>
                      <w:szCs w:val="18"/>
                      <w:lang w:eastAsia="es-ES"/>
                    </w:rPr>
                  </w:pPr>
                  <w:r w:rsidRPr="00FC4234">
                    <w:rPr>
                      <w:color w:val="000000"/>
                      <w:sz w:val="18"/>
                      <w:szCs w:val="18"/>
                    </w:rPr>
                    <w:t>(</w:t>
                  </w:r>
                  <w:r w:rsidRPr="00FC4234">
                    <w:rPr>
                      <w:rFonts w:eastAsia="Times New Roman" w:cs="Arial"/>
                      <w:sz w:val="18"/>
                      <w:szCs w:val="18"/>
                      <w:lang w:eastAsia="es-ES"/>
                    </w:rPr>
                    <w:t>Solicitantes del Certificado de Conformidad</w:t>
                  </w:r>
                  <w:r>
                    <w:rPr>
                      <w:rFonts w:eastAsia="Times New Roman" w:cs="Arial"/>
                      <w:sz w:val="18"/>
                      <w:szCs w:val="18"/>
                      <w:lang w:eastAsia="es-ES"/>
                    </w:rPr>
                    <w:t>)</w:t>
                  </w:r>
                </w:p>
              </w:tc>
              <w:tc>
                <w:tcPr>
                  <w:tcW w:w="1165" w:type="dxa"/>
                  <w:shd w:val="clear" w:color="auto" w:fill="auto"/>
                  <w:noWrap/>
                  <w:vAlign w:val="center"/>
                </w:tcPr>
                <w:p w14:paraId="240FF28A" w14:textId="77777777" w:rsidR="00934849" w:rsidRPr="006B0E7C" w:rsidRDefault="00FC4234" w:rsidP="00FC4234">
                  <w:pPr>
                    <w:spacing w:line="240" w:lineRule="auto"/>
                    <w:jc w:val="center"/>
                    <w:rPr>
                      <w:rFonts w:eastAsia="Times New Roman" w:cs="Arial"/>
                      <w:sz w:val="18"/>
                      <w:szCs w:val="18"/>
                      <w:lang w:eastAsia="es-ES"/>
                    </w:rPr>
                  </w:pPr>
                  <w:r>
                    <w:rPr>
                      <w:rFonts w:eastAsia="Times New Roman" w:cs="Arial"/>
                      <w:sz w:val="18"/>
                      <w:szCs w:val="18"/>
                      <w:lang w:eastAsia="es-ES"/>
                    </w:rPr>
                    <w:t>$1,200.00</w:t>
                  </w:r>
                </w:p>
              </w:tc>
              <w:tc>
                <w:tcPr>
                  <w:tcW w:w="1118" w:type="dxa"/>
                  <w:shd w:val="clear" w:color="auto" w:fill="auto"/>
                  <w:noWrap/>
                  <w:vAlign w:val="center"/>
                </w:tcPr>
                <w:p w14:paraId="12D855A7" w14:textId="77777777" w:rsidR="00934849" w:rsidRPr="006B0E7C" w:rsidRDefault="00FC4234" w:rsidP="00FC4234">
                  <w:pPr>
                    <w:spacing w:line="240" w:lineRule="auto"/>
                    <w:jc w:val="center"/>
                    <w:rPr>
                      <w:rFonts w:eastAsia="Times New Roman" w:cs="Arial"/>
                      <w:sz w:val="18"/>
                      <w:szCs w:val="18"/>
                      <w:lang w:eastAsia="es-ES"/>
                    </w:rPr>
                  </w:pPr>
                  <w:r>
                    <w:rPr>
                      <w:rFonts w:eastAsia="Times New Roman" w:cs="Arial"/>
                      <w:sz w:val="18"/>
                      <w:szCs w:val="18"/>
                      <w:lang w:eastAsia="es-ES"/>
                    </w:rPr>
                    <w:t>$</w:t>
                  </w:r>
                  <w:r w:rsidR="006F3B6A">
                    <w:rPr>
                      <w:rFonts w:eastAsia="Times New Roman" w:cs="Arial"/>
                      <w:sz w:val="18"/>
                      <w:szCs w:val="18"/>
                      <w:lang w:eastAsia="es-ES"/>
                    </w:rPr>
                    <w:t>2</w:t>
                  </w:r>
                  <w:r>
                    <w:rPr>
                      <w:rFonts w:eastAsia="Times New Roman" w:cs="Arial"/>
                      <w:sz w:val="18"/>
                      <w:szCs w:val="18"/>
                      <w:lang w:eastAsia="es-ES"/>
                    </w:rPr>
                    <w:t>20,000.00</w:t>
                  </w:r>
                </w:p>
              </w:tc>
              <w:tc>
                <w:tcPr>
                  <w:tcW w:w="1145" w:type="dxa"/>
                  <w:shd w:val="clear" w:color="auto" w:fill="auto"/>
                  <w:vAlign w:val="center"/>
                </w:tcPr>
                <w:p w14:paraId="105AA004" w14:textId="77777777" w:rsidR="00934849" w:rsidRPr="006B0E7C" w:rsidRDefault="00FC4234" w:rsidP="006F3B6A">
                  <w:pPr>
                    <w:spacing w:line="240" w:lineRule="auto"/>
                    <w:jc w:val="center"/>
                    <w:rPr>
                      <w:rFonts w:eastAsia="Times New Roman" w:cs="Arial"/>
                      <w:sz w:val="18"/>
                      <w:szCs w:val="18"/>
                      <w:lang w:eastAsia="es-ES"/>
                    </w:rPr>
                  </w:pPr>
                  <w:r>
                    <w:rPr>
                      <w:rFonts w:eastAsia="Times New Roman" w:cs="Arial"/>
                      <w:sz w:val="18"/>
                      <w:szCs w:val="18"/>
                      <w:lang w:eastAsia="es-ES"/>
                    </w:rPr>
                    <w:t>$</w:t>
                  </w:r>
                  <w:r w:rsidR="006F3B6A">
                    <w:rPr>
                      <w:rFonts w:eastAsia="Times New Roman" w:cs="Arial"/>
                      <w:sz w:val="18"/>
                      <w:szCs w:val="18"/>
                      <w:lang w:eastAsia="es-ES"/>
                    </w:rPr>
                    <w:t>2</w:t>
                  </w:r>
                  <w:r>
                    <w:rPr>
                      <w:rFonts w:eastAsia="Times New Roman" w:cs="Arial"/>
                      <w:sz w:val="18"/>
                      <w:szCs w:val="18"/>
                      <w:lang w:eastAsia="es-ES"/>
                    </w:rPr>
                    <w:t>21,200.00</w:t>
                  </w:r>
                </w:p>
              </w:tc>
              <w:tc>
                <w:tcPr>
                  <w:tcW w:w="992" w:type="dxa"/>
                  <w:shd w:val="clear" w:color="auto" w:fill="auto"/>
                  <w:vAlign w:val="center"/>
                </w:tcPr>
                <w:p w14:paraId="7FB983B4" w14:textId="77777777" w:rsidR="00934849" w:rsidRDefault="00FC4234" w:rsidP="00FC4234">
                  <w:pPr>
                    <w:spacing w:line="240" w:lineRule="auto"/>
                    <w:jc w:val="center"/>
                    <w:rPr>
                      <w:rFonts w:eastAsia="Times New Roman" w:cs="Arial"/>
                      <w:sz w:val="18"/>
                      <w:szCs w:val="18"/>
                      <w:lang w:eastAsia="es-ES"/>
                    </w:rPr>
                  </w:pPr>
                  <w:r>
                    <w:rPr>
                      <w:rFonts w:eastAsia="Times New Roman" w:cs="Arial"/>
                      <w:sz w:val="18"/>
                      <w:szCs w:val="18"/>
                      <w:lang w:eastAsia="es-ES"/>
                    </w:rPr>
                    <w:t>1734 Solicitudes</w:t>
                  </w:r>
                </w:p>
              </w:tc>
              <w:tc>
                <w:tcPr>
                  <w:tcW w:w="1493" w:type="dxa"/>
                  <w:shd w:val="clear" w:color="auto" w:fill="auto"/>
                  <w:vAlign w:val="center"/>
                </w:tcPr>
                <w:p w14:paraId="0AFE90D2" w14:textId="77777777" w:rsidR="00934849" w:rsidRPr="006B0E7C" w:rsidRDefault="008A3BEC" w:rsidP="006F3B6A">
                  <w:pPr>
                    <w:spacing w:line="240" w:lineRule="auto"/>
                    <w:jc w:val="center"/>
                    <w:rPr>
                      <w:rFonts w:eastAsia="Times New Roman" w:cs="Arial"/>
                      <w:sz w:val="18"/>
                      <w:szCs w:val="18"/>
                      <w:lang w:eastAsia="es-ES"/>
                    </w:rPr>
                  </w:pPr>
                  <w:r>
                    <w:rPr>
                      <w:rFonts w:eastAsia="Times New Roman" w:cs="Arial"/>
                      <w:sz w:val="18"/>
                      <w:szCs w:val="18"/>
                      <w:lang w:eastAsia="es-ES"/>
                    </w:rPr>
                    <w:t>$</w:t>
                  </w:r>
                  <w:r w:rsidR="006F3B6A">
                    <w:rPr>
                      <w:rFonts w:eastAsia="Times New Roman" w:cs="Arial"/>
                      <w:sz w:val="18"/>
                      <w:szCs w:val="18"/>
                      <w:lang w:eastAsia="es-ES"/>
                    </w:rPr>
                    <w:t>383</w:t>
                  </w:r>
                  <w:r>
                    <w:rPr>
                      <w:rFonts w:eastAsia="Times New Roman" w:cs="Arial"/>
                      <w:sz w:val="18"/>
                      <w:szCs w:val="18"/>
                      <w:lang w:eastAsia="es-ES"/>
                    </w:rPr>
                    <w:t>,</w:t>
                  </w:r>
                  <w:r w:rsidR="006F3B6A">
                    <w:rPr>
                      <w:rFonts w:eastAsia="Times New Roman" w:cs="Arial"/>
                      <w:sz w:val="18"/>
                      <w:szCs w:val="18"/>
                      <w:lang w:eastAsia="es-ES"/>
                    </w:rPr>
                    <w:t>5</w:t>
                  </w:r>
                  <w:r>
                    <w:rPr>
                      <w:rFonts w:eastAsia="Times New Roman" w:cs="Arial"/>
                      <w:sz w:val="18"/>
                      <w:szCs w:val="18"/>
                      <w:lang w:eastAsia="es-ES"/>
                    </w:rPr>
                    <w:t>60,800.00</w:t>
                  </w:r>
                </w:p>
              </w:tc>
            </w:tr>
            <w:tr w:rsidR="00FB1BD1" w:rsidRPr="006B0E7C" w14:paraId="67AF2AAC" w14:textId="77777777" w:rsidTr="00E73C5F">
              <w:trPr>
                <w:trHeight w:val="1210"/>
              </w:trPr>
              <w:tc>
                <w:tcPr>
                  <w:tcW w:w="829" w:type="dxa"/>
                  <w:shd w:val="clear" w:color="auto" w:fill="auto"/>
                </w:tcPr>
                <w:p w14:paraId="0CB549A2" w14:textId="77777777" w:rsidR="00FB1BD1" w:rsidRPr="006B0E7C" w:rsidRDefault="00FB1BD1" w:rsidP="00FB1BD1">
                  <w:pPr>
                    <w:jc w:val="center"/>
                    <w:rPr>
                      <w:color w:val="000000"/>
                      <w:sz w:val="18"/>
                      <w:szCs w:val="18"/>
                    </w:rPr>
                  </w:pPr>
                </w:p>
                <w:p w14:paraId="21D692F6" w14:textId="77777777" w:rsidR="00FB1BD1" w:rsidRPr="006B0E7C" w:rsidRDefault="00FB1BD1" w:rsidP="00FB1BD1">
                  <w:pPr>
                    <w:jc w:val="center"/>
                    <w:rPr>
                      <w:color w:val="000000"/>
                      <w:sz w:val="18"/>
                      <w:szCs w:val="18"/>
                    </w:rPr>
                  </w:pPr>
                </w:p>
                <w:p w14:paraId="3FD0A94E" w14:textId="77777777" w:rsidR="00FB1BD1" w:rsidRPr="006B0E7C" w:rsidRDefault="00FB1BD1" w:rsidP="00FB1BD1">
                  <w:pPr>
                    <w:jc w:val="center"/>
                    <w:rPr>
                      <w:color w:val="000000"/>
                      <w:sz w:val="18"/>
                      <w:szCs w:val="18"/>
                    </w:rPr>
                  </w:pPr>
                </w:p>
                <w:p w14:paraId="42FBE92E" w14:textId="77777777" w:rsidR="00FB1BD1" w:rsidRPr="006B0E7C" w:rsidRDefault="00FB1BD1" w:rsidP="00FB1BD1">
                  <w:pPr>
                    <w:jc w:val="center"/>
                    <w:rPr>
                      <w:color w:val="000000"/>
                      <w:sz w:val="18"/>
                      <w:szCs w:val="18"/>
                    </w:rPr>
                  </w:pPr>
                </w:p>
                <w:p w14:paraId="552D6D5D" w14:textId="77777777" w:rsidR="00FB1BD1" w:rsidRPr="006B0E7C" w:rsidRDefault="00FB1BD1" w:rsidP="00FB1BD1">
                  <w:pPr>
                    <w:jc w:val="center"/>
                    <w:rPr>
                      <w:color w:val="000000"/>
                      <w:sz w:val="18"/>
                      <w:szCs w:val="18"/>
                    </w:rPr>
                  </w:pPr>
                </w:p>
                <w:p w14:paraId="4AC978F4" w14:textId="77777777" w:rsidR="00FB1BD1" w:rsidRPr="006B0E7C" w:rsidRDefault="00FB1BD1" w:rsidP="00FB1BD1">
                  <w:pPr>
                    <w:jc w:val="center"/>
                    <w:rPr>
                      <w:color w:val="000000"/>
                      <w:sz w:val="18"/>
                      <w:szCs w:val="18"/>
                    </w:rPr>
                  </w:pPr>
                </w:p>
                <w:p w14:paraId="2E31FF42" w14:textId="6B3F6225" w:rsidR="00FB1BD1" w:rsidRPr="006B0E7C" w:rsidRDefault="00FC4234" w:rsidP="00FB1BD1">
                  <w:pPr>
                    <w:jc w:val="center"/>
                    <w:rPr>
                      <w:color w:val="000000"/>
                      <w:sz w:val="18"/>
                      <w:szCs w:val="18"/>
                    </w:rPr>
                  </w:pPr>
                  <w:r>
                    <w:rPr>
                      <w:color w:val="000000"/>
                      <w:sz w:val="18"/>
                      <w:szCs w:val="18"/>
                    </w:rPr>
                    <w:t>7</w:t>
                  </w:r>
                </w:p>
              </w:tc>
              <w:tc>
                <w:tcPr>
                  <w:tcW w:w="1419" w:type="dxa"/>
                  <w:shd w:val="clear" w:color="auto" w:fill="auto"/>
                  <w:noWrap/>
                  <w:vAlign w:val="center"/>
                </w:tcPr>
                <w:p w14:paraId="4F1A5FEA" w14:textId="77777777" w:rsidR="00FB1BD1" w:rsidRPr="006B0E7C" w:rsidRDefault="00FB1BD1" w:rsidP="006B0E7C">
                  <w:pPr>
                    <w:jc w:val="both"/>
                    <w:rPr>
                      <w:rFonts w:eastAsia="Times New Roman" w:cs="Arial"/>
                      <w:sz w:val="18"/>
                      <w:szCs w:val="18"/>
                      <w:lang w:eastAsia="es-ES"/>
                    </w:rPr>
                  </w:pPr>
                  <w:r w:rsidRPr="006B0E7C">
                    <w:rPr>
                      <w:color w:val="000000"/>
                      <w:sz w:val="18"/>
                      <w:szCs w:val="18"/>
                    </w:rPr>
                    <w:t>REALIZACIÓN DE VISITAS DE VIGILANCIA DE CUMPLIMIENTO DE LA CERTIFICACIÓN, QUE INCLUYE INFORME DE VISITA DEL CUMPLIMIENTO DE LA VIGILANCIA DEL CUMPLIMIENTO DE LA CERTIFICACIÓN. (</w:t>
                  </w:r>
                  <w:r w:rsidRPr="006B0E7C">
                    <w:rPr>
                      <w:rFonts w:eastAsia="Times New Roman" w:cs="Arial"/>
                      <w:sz w:val="18"/>
                      <w:szCs w:val="18"/>
                      <w:lang w:eastAsia="es-ES"/>
                    </w:rPr>
                    <w:t>Fabricantes</w:t>
                  </w:r>
                  <w:r w:rsidR="006B0E7C">
                    <w:rPr>
                      <w:rFonts w:eastAsia="Times New Roman" w:cs="Arial"/>
                      <w:sz w:val="18"/>
                      <w:szCs w:val="18"/>
                      <w:lang w:eastAsia="es-ES"/>
                    </w:rPr>
                    <w:t>/</w:t>
                  </w:r>
                  <w:r w:rsidRPr="006B0E7C">
                    <w:rPr>
                      <w:rFonts w:eastAsia="Times New Roman" w:cs="Arial"/>
                      <w:sz w:val="18"/>
                      <w:szCs w:val="18"/>
                      <w:lang w:eastAsia="es-ES"/>
                    </w:rPr>
                    <w:t>Solicitantes del Certificado de Homologación)</w:t>
                  </w:r>
                  <w:r w:rsidRPr="006B0E7C">
                    <w:rPr>
                      <w:color w:val="000000"/>
                      <w:sz w:val="18"/>
                      <w:szCs w:val="18"/>
                    </w:rPr>
                    <w:t>.</w:t>
                  </w:r>
                </w:p>
              </w:tc>
              <w:tc>
                <w:tcPr>
                  <w:tcW w:w="1165" w:type="dxa"/>
                  <w:shd w:val="clear" w:color="auto" w:fill="auto"/>
                  <w:noWrap/>
                  <w:vAlign w:val="center"/>
                </w:tcPr>
                <w:p w14:paraId="41DE8526" w14:textId="77777777" w:rsidR="00FB1BD1" w:rsidRPr="006B0E7C" w:rsidRDefault="00FB1BD1" w:rsidP="00FB1BD1">
                  <w:pPr>
                    <w:spacing w:line="240" w:lineRule="auto"/>
                    <w:jc w:val="center"/>
                    <w:rPr>
                      <w:rFonts w:eastAsia="Times New Roman" w:cs="Arial"/>
                      <w:sz w:val="18"/>
                      <w:szCs w:val="18"/>
                      <w:lang w:eastAsia="es-ES"/>
                    </w:rPr>
                  </w:pPr>
                  <w:r w:rsidRPr="006B0E7C">
                    <w:rPr>
                      <w:rFonts w:eastAsia="Times New Roman" w:cs="Times New Roman"/>
                      <w:color w:val="000000"/>
                      <w:sz w:val="18"/>
                      <w:szCs w:val="18"/>
                      <w:lang w:eastAsia="es-MX"/>
                    </w:rPr>
                    <w:t>$1,450.00</w:t>
                  </w:r>
                </w:p>
              </w:tc>
              <w:tc>
                <w:tcPr>
                  <w:tcW w:w="1118" w:type="dxa"/>
                  <w:shd w:val="clear" w:color="auto" w:fill="auto"/>
                  <w:noWrap/>
                  <w:vAlign w:val="center"/>
                </w:tcPr>
                <w:p w14:paraId="10A6E749" w14:textId="77777777" w:rsidR="00FB1BD1" w:rsidRPr="006B0E7C" w:rsidRDefault="00FB1BD1" w:rsidP="00FB1BD1">
                  <w:pPr>
                    <w:spacing w:line="240" w:lineRule="auto"/>
                    <w:jc w:val="center"/>
                    <w:rPr>
                      <w:rFonts w:eastAsia="Times New Roman" w:cs="Arial"/>
                      <w:sz w:val="18"/>
                      <w:szCs w:val="18"/>
                      <w:lang w:eastAsia="es-ES"/>
                    </w:rPr>
                  </w:pPr>
                  <w:r w:rsidRPr="006B0E7C">
                    <w:rPr>
                      <w:rFonts w:eastAsia="Times New Roman" w:cs="Times New Roman"/>
                      <w:color w:val="000000"/>
                      <w:sz w:val="18"/>
                      <w:szCs w:val="18"/>
                      <w:lang w:eastAsia="es-MX"/>
                    </w:rPr>
                    <w:t>$3,080.00</w:t>
                  </w:r>
                  <w:r w:rsidRPr="006B0E7C">
                    <w:rPr>
                      <w:rFonts w:eastAsia="Times New Roman" w:cs="Times New Roman"/>
                      <w:b/>
                      <w:color w:val="000000"/>
                      <w:sz w:val="18"/>
                      <w:szCs w:val="18"/>
                      <w:lang w:eastAsia="es-MX"/>
                    </w:rPr>
                    <w:t>*</w:t>
                  </w:r>
                </w:p>
              </w:tc>
              <w:tc>
                <w:tcPr>
                  <w:tcW w:w="1145" w:type="dxa"/>
                  <w:shd w:val="clear" w:color="auto" w:fill="auto"/>
                  <w:vAlign w:val="center"/>
                </w:tcPr>
                <w:p w14:paraId="6E03A53F" w14:textId="77777777" w:rsidR="00FB1BD1" w:rsidRPr="006B0E7C" w:rsidRDefault="00FB1BD1" w:rsidP="006B0E7C">
                  <w:pPr>
                    <w:spacing w:line="240" w:lineRule="auto"/>
                    <w:jc w:val="center"/>
                    <w:rPr>
                      <w:rFonts w:eastAsia="Times New Roman" w:cs="Arial"/>
                      <w:sz w:val="18"/>
                      <w:szCs w:val="18"/>
                      <w:lang w:eastAsia="es-ES"/>
                    </w:rPr>
                  </w:pPr>
                  <w:r w:rsidRPr="006B0E7C">
                    <w:rPr>
                      <w:rFonts w:eastAsia="Times New Roman" w:cs="Times New Roman"/>
                      <w:color w:val="000000"/>
                      <w:sz w:val="18"/>
                      <w:szCs w:val="18"/>
                      <w:lang w:eastAsia="es-MX"/>
                    </w:rPr>
                    <w:t>$4,530.00</w:t>
                  </w:r>
                </w:p>
              </w:tc>
              <w:tc>
                <w:tcPr>
                  <w:tcW w:w="992" w:type="dxa"/>
                  <w:shd w:val="clear" w:color="auto" w:fill="auto"/>
                  <w:vAlign w:val="center"/>
                </w:tcPr>
                <w:p w14:paraId="1CE757E7" w14:textId="77777777" w:rsidR="00FB1BD1" w:rsidRPr="006B0E7C" w:rsidRDefault="00FB1BD1" w:rsidP="006B0E7C">
                  <w:pPr>
                    <w:tabs>
                      <w:tab w:val="left" w:pos="424"/>
                    </w:tabs>
                    <w:jc w:val="center"/>
                    <w:rPr>
                      <w:rFonts w:eastAsia="Times New Roman" w:cs="Times New Roman"/>
                      <w:sz w:val="18"/>
                      <w:szCs w:val="18"/>
                      <w:lang w:eastAsia="es-MX"/>
                    </w:rPr>
                  </w:pPr>
                  <w:r w:rsidRPr="006B0E7C">
                    <w:rPr>
                      <w:rFonts w:eastAsia="Times New Roman" w:cs="Times New Roman"/>
                      <w:sz w:val="18"/>
                      <w:szCs w:val="18"/>
                      <w:lang w:eastAsia="es-MX"/>
                    </w:rPr>
                    <w:t>32 Visitas</w:t>
                  </w:r>
                </w:p>
              </w:tc>
              <w:tc>
                <w:tcPr>
                  <w:tcW w:w="1493" w:type="dxa"/>
                  <w:shd w:val="clear" w:color="auto" w:fill="auto"/>
                  <w:vAlign w:val="center"/>
                </w:tcPr>
                <w:p w14:paraId="7223EFB0" w14:textId="77777777" w:rsidR="00FB1BD1" w:rsidRPr="006B0E7C" w:rsidRDefault="00FB1BD1" w:rsidP="006B0E7C">
                  <w:pPr>
                    <w:spacing w:line="240" w:lineRule="auto"/>
                    <w:jc w:val="center"/>
                    <w:rPr>
                      <w:rFonts w:eastAsia="Times New Roman" w:cs="Times New Roman"/>
                      <w:color w:val="000000"/>
                      <w:sz w:val="18"/>
                      <w:szCs w:val="18"/>
                      <w:lang w:eastAsia="es-MX"/>
                    </w:rPr>
                  </w:pPr>
                  <w:r w:rsidRPr="006B0E7C">
                    <w:rPr>
                      <w:rFonts w:eastAsia="Times New Roman" w:cs="Times New Roman"/>
                      <w:color w:val="000000"/>
                      <w:sz w:val="18"/>
                      <w:szCs w:val="18"/>
                      <w:lang w:eastAsia="es-MX"/>
                    </w:rPr>
                    <w:t>$144,960.00</w:t>
                  </w:r>
                </w:p>
              </w:tc>
            </w:tr>
            <w:tr w:rsidR="006B0E7C" w:rsidRPr="006B0E7C" w14:paraId="37178E92" w14:textId="77777777" w:rsidTr="00E73C5F">
              <w:trPr>
                <w:trHeight w:val="1210"/>
              </w:trPr>
              <w:tc>
                <w:tcPr>
                  <w:tcW w:w="829" w:type="dxa"/>
                  <w:shd w:val="clear" w:color="auto" w:fill="auto"/>
                </w:tcPr>
                <w:p w14:paraId="4604EC83" w14:textId="77777777" w:rsidR="006B0E7C" w:rsidRPr="006B0E7C" w:rsidRDefault="006B0E7C" w:rsidP="00FB1BD1">
                  <w:pPr>
                    <w:jc w:val="center"/>
                    <w:rPr>
                      <w:rFonts w:eastAsia="Times New Roman" w:cs="Arial"/>
                      <w:sz w:val="18"/>
                      <w:szCs w:val="18"/>
                      <w:lang w:eastAsia="es-ES"/>
                    </w:rPr>
                  </w:pPr>
                </w:p>
                <w:p w14:paraId="45F24A3C" w14:textId="77777777" w:rsidR="006B0E7C" w:rsidRPr="006B0E7C" w:rsidRDefault="006B0E7C" w:rsidP="00FB1BD1">
                  <w:pPr>
                    <w:jc w:val="center"/>
                    <w:rPr>
                      <w:rFonts w:eastAsia="Times New Roman" w:cs="Arial"/>
                      <w:sz w:val="18"/>
                      <w:szCs w:val="18"/>
                      <w:lang w:eastAsia="es-ES"/>
                    </w:rPr>
                  </w:pPr>
                </w:p>
                <w:p w14:paraId="7B16C82B" w14:textId="77777777" w:rsidR="006B0E7C" w:rsidRPr="006B0E7C" w:rsidRDefault="006B0E7C" w:rsidP="00FB1BD1">
                  <w:pPr>
                    <w:jc w:val="center"/>
                    <w:rPr>
                      <w:rFonts w:eastAsia="Times New Roman" w:cs="Arial"/>
                      <w:sz w:val="18"/>
                      <w:szCs w:val="18"/>
                      <w:lang w:eastAsia="es-ES"/>
                    </w:rPr>
                  </w:pPr>
                </w:p>
                <w:p w14:paraId="340A1ACC" w14:textId="77777777" w:rsidR="006B0E7C" w:rsidRPr="006B0E7C" w:rsidRDefault="006B0E7C" w:rsidP="00FB1BD1">
                  <w:pPr>
                    <w:jc w:val="center"/>
                    <w:rPr>
                      <w:rFonts w:eastAsia="Times New Roman" w:cs="Arial"/>
                      <w:sz w:val="18"/>
                      <w:szCs w:val="18"/>
                      <w:lang w:eastAsia="es-ES"/>
                    </w:rPr>
                  </w:pPr>
                </w:p>
                <w:p w14:paraId="02B2E3A6" w14:textId="316A4699" w:rsidR="006B0E7C" w:rsidRPr="006B0E7C" w:rsidRDefault="00FC4234" w:rsidP="00FB1BD1">
                  <w:pPr>
                    <w:jc w:val="center"/>
                    <w:rPr>
                      <w:color w:val="000000"/>
                      <w:sz w:val="18"/>
                      <w:szCs w:val="18"/>
                    </w:rPr>
                  </w:pPr>
                  <w:r>
                    <w:rPr>
                      <w:rFonts w:eastAsia="Times New Roman" w:cs="Arial"/>
                      <w:sz w:val="18"/>
                      <w:szCs w:val="18"/>
                      <w:lang w:eastAsia="es-ES"/>
                    </w:rPr>
                    <w:t>8</w:t>
                  </w:r>
                </w:p>
              </w:tc>
              <w:tc>
                <w:tcPr>
                  <w:tcW w:w="1419" w:type="dxa"/>
                  <w:shd w:val="clear" w:color="auto" w:fill="auto"/>
                  <w:noWrap/>
                  <w:vAlign w:val="center"/>
                </w:tcPr>
                <w:p w14:paraId="23D3FB1F" w14:textId="67F3ABB3" w:rsidR="006B0E7C" w:rsidRPr="006B0E7C" w:rsidRDefault="006B0E7C" w:rsidP="00FB1BD1">
                  <w:pPr>
                    <w:jc w:val="both"/>
                    <w:rPr>
                      <w:rFonts w:eastAsia="Times New Roman" w:cs="Arial"/>
                      <w:sz w:val="18"/>
                      <w:szCs w:val="18"/>
                      <w:lang w:eastAsia="es-ES"/>
                    </w:rPr>
                  </w:pPr>
                  <w:r w:rsidRPr="006B0E7C">
                    <w:rPr>
                      <w:rFonts w:eastAsia="Times New Roman" w:cs="Arial"/>
                      <w:sz w:val="18"/>
                      <w:szCs w:val="18"/>
                      <w:lang w:eastAsia="es-ES"/>
                    </w:rPr>
                    <w:t xml:space="preserve">ELABORACIÓN DEL </w:t>
                  </w:r>
                  <w:r w:rsidR="006B1D08">
                    <w:rPr>
                      <w:rFonts w:eastAsia="Times New Roman" w:cs="Arial"/>
                      <w:sz w:val="18"/>
                      <w:szCs w:val="18"/>
                      <w:lang w:eastAsia="es-ES"/>
                    </w:rPr>
                    <w:t>AVISO DE SUSPENSIÓN</w:t>
                  </w:r>
                  <w:r w:rsidRPr="006B0E7C">
                    <w:rPr>
                      <w:rFonts w:eastAsia="Times New Roman" w:cs="Arial"/>
                      <w:sz w:val="18"/>
                      <w:szCs w:val="18"/>
                      <w:lang w:eastAsia="es-ES"/>
                    </w:rPr>
                    <w:t xml:space="preserve"> Y RETIRO DE LA VIGENCIA DEL CERTIFICADO DE </w:t>
                  </w:r>
                  <w:r w:rsidRPr="006B0E7C">
                    <w:rPr>
                      <w:rFonts w:eastAsia="Times New Roman" w:cs="Arial"/>
                      <w:sz w:val="18"/>
                      <w:szCs w:val="18"/>
                      <w:lang w:eastAsia="es-ES"/>
                    </w:rPr>
                    <w:lastRenderedPageBreak/>
                    <w:t xml:space="preserve">CONFORMIDAD OTORGADO POR EL ORGANISMO DE CERTIFICACIÓN </w:t>
                  </w:r>
                </w:p>
                <w:p w14:paraId="1655A75D" w14:textId="77777777" w:rsidR="006B0E7C" w:rsidRPr="006B0E7C" w:rsidRDefault="006B0E7C" w:rsidP="00FB1BD1">
                  <w:pPr>
                    <w:jc w:val="both"/>
                    <w:rPr>
                      <w:color w:val="000000"/>
                      <w:sz w:val="18"/>
                      <w:szCs w:val="18"/>
                    </w:rPr>
                  </w:pPr>
                  <w:r w:rsidRPr="006B0E7C">
                    <w:rPr>
                      <w:rFonts w:eastAsia="Times New Roman" w:cs="Arial"/>
                      <w:sz w:val="18"/>
                      <w:szCs w:val="18"/>
                      <w:lang w:eastAsia="es-ES"/>
                    </w:rPr>
                    <w:t>(Organismo de Certificación).</w:t>
                  </w:r>
                </w:p>
              </w:tc>
              <w:tc>
                <w:tcPr>
                  <w:tcW w:w="1165" w:type="dxa"/>
                  <w:shd w:val="clear" w:color="auto" w:fill="auto"/>
                  <w:noWrap/>
                  <w:vAlign w:val="center"/>
                </w:tcPr>
                <w:p w14:paraId="6F024FC2" w14:textId="77777777" w:rsidR="006B0E7C" w:rsidRPr="006B0E7C" w:rsidRDefault="006B0E7C" w:rsidP="00FB1BD1">
                  <w:pPr>
                    <w:spacing w:line="240" w:lineRule="auto"/>
                    <w:jc w:val="center"/>
                    <w:rPr>
                      <w:rFonts w:eastAsia="Times New Roman" w:cs="Times New Roman"/>
                      <w:color w:val="000000"/>
                      <w:sz w:val="18"/>
                      <w:szCs w:val="18"/>
                      <w:lang w:eastAsia="es-MX"/>
                    </w:rPr>
                  </w:pPr>
                  <w:r w:rsidRPr="006B0E7C">
                    <w:rPr>
                      <w:rFonts w:eastAsia="Times New Roman" w:cs="Arial"/>
                      <w:sz w:val="18"/>
                      <w:szCs w:val="18"/>
                      <w:lang w:eastAsia="es-ES"/>
                    </w:rPr>
                    <w:lastRenderedPageBreak/>
                    <w:t>$1,200.00</w:t>
                  </w:r>
                </w:p>
              </w:tc>
              <w:tc>
                <w:tcPr>
                  <w:tcW w:w="1118" w:type="dxa"/>
                  <w:shd w:val="clear" w:color="auto" w:fill="auto"/>
                  <w:noWrap/>
                  <w:vAlign w:val="center"/>
                </w:tcPr>
                <w:p w14:paraId="46BAAF6D" w14:textId="77777777" w:rsidR="006B0E7C" w:rsidRPr="006B0E7C" w:rsidRDefault="006B0E7C" w:rsidP="00FB1BD1">
                  <w:pPr>
                    <w:spacing w:line="240" w:lineRule="auto"/>
                    <w:jc w:val="center"/>
                    <w:rPr>
                      <w:rFonts w:eastAsia="Times New Roman" w:cs="Times New Roman"/>
                      <w:color w:val="000000"/>
                      <w:sz w:val="18"/>
                      <w:szCs w:val="18"/>
                      <w:lang w:eastAsia="es-MX"/>
                    </w:rPr>
                  </w:pPr>
                  <w:r w:rsidRPr="006B0E7C">
                    <w:rPr>
                      <w:rFonts w:eastAsia="Times New Roman" w:cs="Arial"/>
                      <w:sz w:val="18"/>
                      <w:szCs w:val="18"/>
                      <w:lang w:eastAsia="es-ES"/>
                    </w:rPr>
                    <w:t>$0</w:t>
                  </w:r>
                </w:p>
              </w:tc>
              <w:tc>
                <w:tcPr>
                  <w:tcW w:w="1145" w:type="dxa"/>
                  <w:shd w:val="clear" w:color="auto" w:fill="auto"/>
                  <w:vAlign w:val="center"/>
                </w:tcPr>
                <w:p w14:paraId="02E8BC72" w14:textId="77777777" w:rsidR="006B0E7C" w:rsidRPr="006B0E7C" w:rsidRDefault="006B0E7C" w:rsidP="006B0E7C">
                  <w:pPr>
                    <w:spacing w:line="240" w:lineRule="auto"/>
                    <w:jc w:val="center"/>
                    <w:rPr>
                      <w:rFonts w:eastAsia="Times New Roman" w:cs="Times New Roman"/>
                      <w:color w:val="000000"/>
                      <w:sz w:val="18"/>
                      <w:szCs w:val="18"/>
                      <w:lang w:eastAsia="es-MX"/>
                    </w:rPr>
                  </w:pPr>
                  <w:r w:rsidRPr="006B0E7C">
                    <w:rPr>
                      <w:rFonts w:eastAsia="Times New Roman" w:cs="Arial"/>
                      <w:sz w:val="18"/>
                      <w:szCs w:val="18"/>
                      <w:lang w:eastAsia="es-ES"/>
                    </w:rPr>
                    <w:t>$1200.00</w:t>
                  </w:r>
                </w:p>
              </w:tc>
              <w:tc>
                <w:tcPr>
                  <w:tcW w:w="992" w:type="dxa"/>
                  <w:shd w:val="clear" w:color="auto" w:fill="auto"/>
                  <w:vAlign w:val="center"/>
                </w:tcPr>
                <w:p w14:paraId="35921EB5" w14:textId="4B284FF7" w:rsidR="006B0E7C" w:rsidRPr="006B0E7C" w:rsidRDefault="006B0E7C" w:rsidP="006B1D08">
                  <w:pPr>
                    <w:spacing w:line="240" w:lineRule="auto"/>
                    <w:jc w:val="center"/>
                    <w:rPr>
                      <w:rFonts w:eastAsia="Times New Roman" w:cs="Times New Roman"/>
                      <w:color w:val="000000"/>
                      <w:sz w:val="18"/>
                      <w:szCs w:val="18"/>
                      <w:lang w:eastAsia="es-MX"/>
                    </w:rPr>
                  </w:pPr>
                  <w:r w:rsidRPr="006B0E7C">
                    <w:rPr>
                      <w:rFonts w:eastAsia="Times New Roman" w:cs="Arial"/>
                      <w:sz w:val="18"/>
                      <w:szCs w:val="18"/>
                      <w:lang w:eastAsia="es-ES"/>
                    </w:rPr>
                    <w:t xml:space="preserve">7 Avisos de </w:t>
                  </w:r>
                  <w:r w:rsidR="006B1D08">
                    <w:rPr>
                      <w:rFonts w:eastAsia="Times New Roman" w:cs="Arial"/>
                      <w:sz w:val="18"/>
                      <w:szCs w:val="18"/>
                      <w:lang w:eastAsia="es-ES"/>
                    </w:rPr>
                    <w:t>suspensión</w:t>
                  </w:r>
                </w:p>
              </w:tc>
              <w:tc>
                <w:tcPr>
                  <w:tcW w:w="1493" w:type="dxa"/>
                  <w:shd w:val="clear" w:color="auto" w:fill="auto"/>
                  <w:vAlign w:val="center"/>
                </w:tcPr>
                <w:p w14:paraId="41B0CF90" w14:textId="77777777" w:rsidR="006B0E7C" w:rsidRPr="006B0E7C" w:rsidRDefault="006B0E7C" w:rsidP="00863802">
                  <w:pPr>
                    <w:jc w:val="center"/>
                    <w:rPr>
                      <w:rFonts w:eastAsia="Times New Roman" w:cs="Times New Roman"/>
                      <w:color w:val="000000"/>
                      <w:sz w:val="18"/>
                      <w:szCs w:val="18"/>
                      <w:lang w:eastAsia="es-MX"/>
                    </w:rPr>
                  </w:pPr>
                  <w:r w:rsidRPr="006B0E7C">
                    <w:rPr>
                      <w:color w:val="000000"/>
                      <w:sz w:val="18"/>
                      <w:szCs w:val="18"/>
                    </w:rPr>
                    <w:t>$8,400.00</w:t>
                  </w:r>
                </w:p>
              </w:tc>
            </w:tr>
            <w:tr w:rsidR="006B0E7C" w:rsidRPr="006B0E7C" w14:paraId="17F85B70" w14:textId="77777777" w:rsidTr="00E73C5F">
              <w:trPr>
                <w:trHeight w:val="300"/>
              </w:trPr>
              <w:tc>
                <w:tcPr>
                  <w:tcW w:w="829" w:type="dxa"/>
                  <w:shd w:val="clear" w:color="auto" w:fill="auto"/>
                </w:tcPr>
                <w:p w14:paraId="1DC546EA" w14:textId="77777777" w:rsidR="006B0E7C" w:rsidRPr="006B0E7C" w:rsidRDefault="006B0E7C" w:rsidP="00FB1BD1">
                  <w:pPr>
                    <w:jc w:val="center"/>
                    <w:rPr>
                      <w:rFonts w:eastAsia="Times New Roman" w:cs="Arial"/>
                      <w:sz w:val="18"/>
                      <w:szCs w:val="18"/>
                      <w:lang w:eastAsia="es-ES"/>
                    </w:rPr>
                  </w:pPr>
                </w:p>
                <w:p w14:paraId="343E4A9D" w14:textId="77777777" w:rsidR="006B0E7C" w:rsidRPr="006B0E7C" w:rsidRDefault="006B0E7C" w:rsidP="00FB1BD1">
                  <w:pPr>
                    <w:jc w:val="center"/>
                    <w:rPr>
                      <w:rFonts w:eastAsia="Times New Roman" w:cs="Arial"/>
                      <w:sz w:val="18"/>
                      <w:szCs w:val="18"/>
                      <w:lang w:eastAsia="es-ES"/>
                    </w:rPr>
                  </w:pPr>
                </w:p>
                <w:p w14:paraId="54C12713" w14:textId="77777777" w:rsidR="006B0E7C" w:rsidRPr="006B0E7C" w:rsidRDefault="006B0E7C" w:rsidP="00FB1BD1">
                  <w:pPr>
                    <w:jc w:val="center"/>
                    <w:rPr>
                      <w:rFonts w:eastAsia="Times New Roman" w:cs="Arial"/>
                      <w:sz w:val="18"/>
                      <w:szCs w:val="18"/>
                      <w:lang w:eastAsia="es-ES"/>
                    </w:rPr>
                  </w:pPr>
                </w:p>
                <w:p w14:paraId="1104ED08" w14:textId="77777777" w:rsidR="006B0E7C" w:rsidRPr="006B0E7C" w:rsidRDefault="006B0E7C" w:rsidP="00FB1BD1">
                  <w:pPr>
                    <w:jc w:val="center"/>
                    <w:rPr>
                      <w:rFonts w:eastAsia="Times New Roman" w:cs="Arial"/>
                      <w:sz w:val="18"/>
                      <w:szCs w:val="18"/>
                      <w:lang w:eastAsia="es-ES"/>
                    </w:rPr>
                  </w:pPr>
                </w:p>
                <w:p w14:paraId="0505F951" w14:textId="4F4BFA4D" w:rsidR="006B0E7C" w:rsidRPr="006B0E7C" w:rsidRDefault="00FC4234" w:rsidP="00FC4234">
                  <w:pPr>
                    <w:jc w:val="center"/>
                    <w:rPr>
                      <w:rFonts w:eastAsia="Times New Roman" w:cs="Arial"/>
                      <w:sz w:val="18"/>
                      <w:szCs w:val="18"/>
                      <w:lang w:eastAsia="es-ES"/>
                    </w:rPr>
                  </w:pPr>
                  <w:r>
                    <w:rPr>
                      <w:rFonts w:eastAsia="Times New Roman" w:cs="Arial"/>
                      <w:sz w:val="18"/>
                      <w:szCs w:val="18"/>
                      <w:lang w:eastAsia="es-ES"/>
                    </w:rPr>
                    <w:t>9</w:t>
                  </w:r>
                </w:p>
              </w:tc>
              <w:tc>
                <w:tcPr>
                  <w:tcW w:w="1419" w:type="dxa"/>
                  <w:shd w:val="clear" w:color="auto" w:fill="auto"/>
                  <w:noWrap/>
                  <w:vAlign w:val="center"/>
                </w:tcPr>
                <w:p w14:paraId="513A4EC0" w14:textId="77777777" w:rsidR="006B0E7C" w:rsidRPr="006B0E7C" w:rsidRDefault="006B0E7C" w:rsidP="00FB1BD1">
                  <w:pPr>
                    <w:jc w:val="both"/>
                    <w:rPr>
                      <w:rFonts w:eastAsia="Times New Roman" w:cs="Arial"/>
                      <w:sz w:val="18"/>
                      <w:szCs w:val="18"/>
                      <w:lang w:eastAsia="es-ES"/>
                    </w:rPr>
                  </w:pPr>
                  <w:r w:rsidRPr="006B0E7C">
                    <w:rPr>
                      <w:rFonts w:eastAsia="Times New Roman" w:cs="Arial"/>
                      <w:sz w:val="18"/>
                      <w:szCs w:val="18"/>
                      <w:lang w:eastAsia="es-ES"/>
                    </w:rPr>
                    <w:t>ELABORACIÓN DE PROPUESTA DE ACTIVIDADES DE VIGILANCIA DEL CUMPLIMIENTO DE LA CERTIFICACIÓN PROPUESTAS POR EL ORGANISMO DE CERTIFICACIÓN.</w:t>
                  </w:r>
                </w:p>
                <w:p w14:paraId="44EBE9AD" w14:textId="77777777" w:rsidR="006B0E7C" w:rsidRPr="006B0E7C" w:rsidRDefault="006B0E7C" w:rsidP="00FB1BD1">
                  <w:pPr>
                    <w:jc w:val="both"/>
                    <w:rPr>
                      <w:rFonts w:eastAsia="Times New Roman" w:cs="Arial"/>
                      <w:sz w:val="18"/>
                      <w:szCs w:val="18"/>
                      <w:lang w:eastAsia="es-ES"/>
                    </w:rPr>
                  </w:pPr>
                  <w:r w:rsidRPr="006B0E7C">
                    <w:rPr>
                      <w:rFonts w:eastAsia="Times New Roman" w:cs="Arial"/>
                      <w:sz w:val="18"/>
                      <w:szCs w:val="18"/>
                      <w:lang w:eastAsia="es-ES"/>
                    </w:rPr>
                    <w:t>(Organismo de Certificación).</w:t>
                  </w:r>
                </w:p>
              </w:tc>
              <w:tc>
                <w:tcPr>
                  <w:tcW w:w="1165" w:type="dxa"/>
                  <w:shd w:val="clear" w:color="auto" w:fill="auto"/>
                  <w:noWrap/>
                  <w:vAlign w:val="center"/>
                </w:tcPr>
                <w:p w14:paraId="29706818" w14:textId="77777777" w:rsidR="006B0E7C" w:rsidRPr="006B0E7C" w:rsidRDefault="006B0E7C" w:rsidP="00FB1BD1">
                  <w:pPr>
                    <w:spacing w:line="240" w:lineRule="auto"/>
                    <w:jc w:val="center"/>
                    <w:rPr>
                      <w:rFonts w:eastAsia="Times New Roman" w:cs="Arial"/>
                      <w:sz w:val="18"/>
                      <w:szCs w:val="18"/>
                      <w:lang w:eastAsia="es-ES"/>
                    </w:rPr>
                  </w:pPr>
                  <w:r w:rsidRPr="006B0E7C">
                    <w:rPr>
                      <w:rFonts w:eastAsia="Times New Roman" w:cs="Arial"/>
                      <w:sz w:val="18"/>
                      <w:szCs w:val="18"/>
                      <w:lang w:eastAsia="es-ES"/>
                    </w:rPr>
                    <w:t>$5,200.00</w:t>
                  </w:r>
                </w:p>
              </w:tc>
              <w:tc>
                <w:tcPr>
                  <w:tcW w:w="1118" w:type="dxa"/>
                  <w:shd w:val="clear" w:color="auto" w:fill="auto"/>
                  <w:noWrap/>
                  <w:vAlign w:val="center"/>
                </w:tcPr>
                <w:p w14:paraId="585616D1" w14:textId="77777777" w:rsidR="006B0E7C" w:rsidRPr="006B0E7C" w:rsidRDefault="006B0E7C" w:rsidP="00FB1BD1">
                  <w:pPr>
                    <w:spacing w:line="240" w:lineRule="auto"/>
                    <w:jc w:val="center"/>
                    <w:rPr>
                      <w:rFonts w:eastAsia="Times New Roman" w:cs="Arial"/>
                      <w:sz w:val="18"/>
                      <w:szCs w:val="18"/>
                      <w:lang w:eastAsia="es-ES"/>
                    </w:rPr>
                  </w:pPr>
                  <w:r w:rsidRPr="006B0E7C">
                    <w:rPr>
                      <w:rFonts w:eastAsia="Times New Roman" w:cs="Arial"/>
                      <w:sz w:val="18"/>
                      <w:szCs w:val="18"/>
                      <w:lang w:eastAsia="es-ES"/>
                    </w:rPr>
                    <w:t>$0</w:t>
                  </w:r>
                </w:p>
              </w:tc>
              <w:tc>
                <w:tcPr>
                  <w:tcW w:w="1145" w:type="dxa"/>
                  <w:shd w:val="clear" w:color="auto" w:fill="auto"/>
                  <w:vAlign w:val="center"/>
                </w:tcPr>
                <w:p w14:paraId="79B62F4E" w14:textId="77777777" w:rsidR="006B0E7C" w:rsidRPr="006B0E7C" w:rsidRDefault="006B0E7C" w:rsidP="006B0E7C">
                  <w:pPr>
                    <w:spacing w:line="240" w:lineRule="auto"/>
                    <w:jc w:val="center"/>
                    <w:rPr>
                      <w:rFonts w:eastAsia="Times New Roman" w:cs="Arial"/>
                      <w:sz w:val="18"/>
                      <w:szCs w:val="18"/>
                      <w:lang w:eastAsia="es-ES"/>
                    </w:rPr>
                  </w:pPr>
                  <w:r w:rsidRPr="006B0E7C">
                    <w:rPr>
                      <w:rFonts w:eastAsia="Times New Roman" w:cs="Arial"/>
                      <w:sz w:val="18"/>
                      <w:szCs w:val="18"/>
                      <w:lang w:eastAsia="es-ES"/>
                    </w:rPr>
                    <w:t>$5,200.00</w:t>
                  </w:r>
                </w:p>
              </w:tc>
              <w:tc>
                <w:tcPr>
                  <w:tcW w:w="992" w:type="dxa"/>
                  <w:shd w:val="clear" w:color="auto" w:fill="auto"/>
                  <w:vAlign w:val="center"/>
                </w:tcPr>
                <w:p w14:paraId="5D41CC4E" w14:textId="77777777" w:rsidR="006B0E7C" w:rsidRPr="006B0E7C" w:rsidRDefault="006B0E7C" w:rsidP="006B0E7C">
                  <w:pPr>
                    <w:spacing w:line="240" w:lineRule="auto"/>
                    <w:jc w:val="center"/>
                    <w:rPr>
                      <w:rFonts w:eastAsia="Times New Roman" w:cs="Arial"/>
                      <w:sz w:val="18"/>
                      <w:szCs w:val="18"/>
                      <w:lang w:eastAsia="es-ES"/>
                    </w:rPr>
                  </w:pPr>
                  <w:r w:rsidRPr="006B0E7C">
                    <w:rPr>
                      <w:rFonts w:eastAsia="Times New Roman" w:cs="Arial"/>
                      <w:sz w:val="18"/>
                      <w:szCs w:val="18"/>
                      <w:lang w:eastAsia="es-ES"/>
                    </w:rPr>
                    <w:t>2 OC</w:t>
                  </w:r>
                </w:p>
              </w:tc>
              <w:tc>
                <w:tcPr>
                  <w:tcW w:w="1493" w:type="dxa"/>
                  <w:shd w:val="clear" w:color="auto" w:fill="auto"/>
                  <w:vAlign w:val="center"/>
                </w:tcPr>
                <w:p w14:paraId="4047A7AD" w14:textId="77777777" w:rsidR="006B0E7C" w:rsidRPr="006B0E7C" w:rsidRDefault="006B0E7C" w:rsidP="00863802">
                  <w:pPr>
                    <w:jc w:val="center"/>
                    <w:rPr>
                      <w:rFonts w:eastAsia="Times New Roman" w:cs="Arial"/>
                      <w:sz w:val="18"/>
                      <w:szCs w:val="18"/>
                      <w:lang w:eastAsia="es-ES"/>
                    </w:rPr>
                  </w:pPr>
                  <w:r w:rsidRPr="006B0E7C">
                    <w:rPr>
                      <w:color w:val="000000"/>
                      <w:sz w:val="18"/>
                      <w:szCs w:val="18"/>
                    </w:rPr>
                    <w:t>$10,400.00</w:t>
                  </w:r>
                </w:p>
              </w:tc>
            </w:tr>
            <w:tr w:rsidR="006B0E7C" w:rsidRPr="006B0E7C" w14:paraId="703C82CF" w14:textId="77777777" w:rsidTr="00E73C5F">
              <w:trPr>
                <w:trHeight w:val="5192"/>
              </w:trPr>
              <w:tc>
                <w:tcPr>
                  <w:tcW w:w="829" w:type="dxa"/>
                  <w:shd w:val="clear" w:color="auto" w:fill="auto"/>
                </w:tcPr>
                <w:p w14:paraId="2DD88505" w14:textId="77777777" w:rsidR="006B0E7C" w:rsidRPr="006B0E7C" w:rsidRDefault="006B0E7C" w:rsidP="00FB1BD1">
                  <w:pPr>
                    <w:jc w:val="center"/>
                    <w:rPr>
                      <w:rFonts w:eastAsia="Times New Roman" w:cs="Arial"/>
                      <w:sz w:val="18"/>
                      <w:szCs w:val="18"/>
                      <w:lang w:eastAsia="es-ES"/>
                    </w:rPr>
                  </w:pPr>
                </w:p>
                <w:p w14:paraId="6673E688" w14:textId="77777777" w:rsidR="006B0E7C" w:rsidRPr="006B0E7C" w:rsidRDefault="006B0E7C" w:rsidP="00FB1BD1">
                  <w:pPr>
                    <w:jc w:val="center"/>
                    <w:rPr>
                      <w:rFonts w:eastAsia="Times New Roman" w:cs="Arial"/>
                      <w:sz w:val="18"/>
                      <w:szCs w:val="18"/>
                      <w:lang w:eastAsia="es-ES"/>
                    </w:rPr>
                  </w:pPr>
                </w:p>
                <w:p w14:paraId="075FE7D2" w14:textId="77777777" w:rsidR="006B0E7C" w:rsidRPr="006B0E7C" w:rsidRDefault="006B0E7C" w:rsidP="00FB1BD1">
                  <w:pPr>
                    <w:jc w:val="center"/>
                    <w:rPr>
                      <w:rFonts w:eastAsia="Times New Roman" w:cs="Arial"/>
                      <w:sz w:val="18"/>
                      <w:szCs w:val="18"/>
                      <w:lang w:eastAsia="es-ES"/>
                    </w:rPr>
                  </w:pPr>
                </w:p>
                <w:p w14:paraId="054D12CC" w14:textId="7478EFD5" w:rsidR="006B0E7C" w:rsidRPr="006B0E7C" w:rsidRDefault="006B0E7C" w:rsidP="00FB1BD1">
                  <w:pPr>
                    <w:jc w:val="center"/>
                    <w:rPr>
                      <w:rFonts w:eastAsia="Times New Roman" w:cs="Arial"/>
                      <w:sz w:val="18"/>
                      <w:szCs w:val="18"/>
                      <w:lang w:eastAsia="es-ES"/>
                    </w:rPr>
                  </w:pPr>
                  <w:r w:rsidRPr="006B0E7C">
                    <w:rPr>
                      <w:rFonts w:eastAsia="Times New Roman" w:cs="Arial"/>
                      <w:sz w:val="18"/>
                      <w:szCs w:val="18"/>
                      <w:lang w:eastAsia="es-ES"/>
                    </w:rPr>
                    <w:t>1</w:t>
                  </w:r>
                  <w:r w:rsidR="00FC4234">
                    <w:rPr>
                      <w:rFonts w:eastAsia="Times New Roman" w:cs="Arial"/>
                      <w:sz w:val="18"/>
                      <w:szCs w:val="18"/>
                      <w:lang w:eastAsia="es-ES"/>
                    </w:rPr>
                    <w:t>0</w:t>
                  </w:r>
                </w:p>
              </w:tc>
              <w:tc>
                <w:tcPr>
                  <w:tcW w:w="1419" w:type="dxa"/>
                  <w:shd w:val="clear" w:color="auto" w:fill="auto"/>
                  <w:noWrap/>
                  <w:vAlign w:val="center"/>
                </w:tcPr>
                <w:p w14:paraId="78D6D5BA" w14:textId="77777777" w:rsidR="006B0E7C" w:rsidRPr="006B0E7C" w:rsidRDefault="006B0E7C" w:rsidP="00FB1BD1">
                  <w:pPr>
                    <w:jc w:val="both"/>
                    <w:rPr>
                      <w:rFonts w:eastAsia="Times New Roman" w:cs="Arial"/>
                      <w:sz w:val="18"/>
                      <w:szCs w:val="18"/>
                      <w:lang w:eastAsia="es-ES"/>
                    </w:rPr>
                  </w:pPr>
                  <w:r w:rsidRPr="006B0E7C">
                    <w:rPr>
                      <w:rFonts w:eastAsia="Times New Roman" w:cs="Arial"/>
                      <w:sz w:val="18"/>
                      <w:szCs w:val="18"/>
                      <w:lang w:eastAsia="es-ES"/>
                    </w:rPr>
                    <w:t xml:space="preserve">ELABORACIÓN DE INFORME GENERAL DE LAS ACTIVIDADES DE VIGILANCIA DEL CUMPLIMIENTO DE LA CERTIFICACIÓN. </w:t>
                  </w:r>
                </w:p>
                <w:p w14:paraId="64D2348F" w14:textId="77777777" w:rsidR="006B0E7C" w:rsidRPr="006B0E7C" w:rsidRDefault="006B0E7C" w:rsidP="00FB1BD1">
                  <w:pPr>
                    <w:jc w:val="both"/>
                    <w:rPr>
                      <w:rFonts w:eastAsia="Times New Roman" w:cs="Arial"/>
                      <w:sz w:val="18"/>
                      <w:szCs w:val="18"/>
                      <w:lang w:eastAsia="es-ES"/>
                    </w:rPr>
                  </w:pPr>
                  <w:r w:rsidRPr="006B0E7C">
                    <w:rPr>
                      <w:rFonts w:eastAsia="Times New Roman" w:cs="Arial"/>
                      <w:sz w:val="18"/>
                      <w:szCs w:val="18"/>
                      <w:lang w:eastAsia="es-ES"/>
                    </w:rPr>
                    <w:t>(Organismo de Certificación).</w:t>
                  </w:r>
                </w:p>
              </w:tc>
              <w:tc>
                <w:tcPr>
                  <w:tcW w:w="1165" w:type="dxa"/>
                  <w:shd w:val="clear" w:color="auto" w:fill="auto"/>
                  <w:noWrap/>
                  <w:vAlign w:val="center"/>
                </w:tcPr>
                <w:p w14:paraId="6F3732AE" w14:textId="77777777" w:rsidR="006B0E7C" w:rsidRPr="006B0E7C" w:rsidRDefault="006B0E7C" w:rsidP="00FB1BD1">
                  <w:pPr>
                    <w:spacing w:line="240" w:lineRule="auto"/>
                    <w:jc w:val="center"/>
                    <w:rPr>
                      <w:rFonts w:eastAsia="Times New Roman" w:cs="Arial"/>
                      <w:sz w:val="18"/>
                      <w:szCs w:val="18"/>
                      <w:lang w:eastAsia="es-ES"/>
                    </w:rPr>
                  </w:pPr>
                  <w:r w:rsidRPr="006B0E7C">
                    <w:rPr>
                      <w:rFonts w:eastAsia="Times New Roman" w:cs="Arial"/>
                      <w:sz w:val="18"/>
                      <w:szCs w:val="18"/>
                      <w:lang w:eastAsia="es-ES"/>
                    </w:rPr>
                    <w:t>$10,200.00</w:t>
                  </w:r>
                </w:p>
              </w:tc>
              <w:tc>
                <w:tcPr>
                  <w:tcW w:w="1118" w:type="dxa"/>
                  <w:shd w:val="clear" w:color="auto" w:fill="auto"/>
                  <w:noWrap/>
                  <w:vAlign w:val="center"/>
                </w:tcPr>
                <w:p w14:paraId="33A02A28" w14:textId="77777777" w:rsidR="006B0E7C" w:rsidRPr="006B0E7C" w:rsidRDefault="006B0E7C" w:rsidP="00FB1BD1">
                  <w:pPr>
                    <w:spacing w:line="240" w:lineRule="auto"/>
                    <w:jc w:val="center"/>
                    <w:rPr>
                      <w:rFonts w:eastAsia="Times New Roman" w:cs="Arial"/>
                      <w:sz w:val="18"/>
                      <w:szCs w:val="18"/>
                      <w:lang w:eastAsia="es-ES"/>
                    </w:rPr>
                  </w:pPr>
                  <w:r w:rsidRPr="006B0E7C">
                    <w:rPr>
                      <w:rFonts w:eastAsia="Times New Roman" w:cs="Arial"/>
                      <w:sz w:val="18"/>
                      <w:szCs w:val="18"/>
                      <w:lang w:eastAsia="es-ES"/>
                    </w:rPr>
                    <w:t>$0</w:t>
                  </w:r>
                </w:p>
              </w:tc>
              <w:tc>
                <w:tcPr>
                  <w:tcW w:w="1145" w:type="dxa"/>
                  <w:shd w:val="clear" w:color="auto" w:fill="auto"/>
                  <w:vAlign w:val="center"/>
                </w:tcPr>
                <w:p w14:paraId="227E1E92" w14:textId="77777777" w:rsidR="006B0E7C" w:rsidRPr="006B0E7C" w:rsidRDefault="006B0E7C" w:rsidP="006B0E7C">
                  <w:pPr>
                    <w:spacing w:line="240" w:lineRule="auto"/>
                    <w:jc w:val="center"/>
                    <w:rPr>
                      <w:rFonts w:eastAsia="Times New Roman" w:cs="Arial"/>
                      <w:sz w:val="18"/>
                      <w:szCs w:val="18"/>
                      <w:lang w:eastAsia="es-ES"/>
                    </w:rPr>
                  </w:pPr>
                  <w:r w:rsidRPr="006B0E7C">
                    <w:rPr>
                      <w:rFonts w:eastAsia="Times New Roman" w:cs="Arial"/>
                      <w:sz w:val="18"/>
                      <w:szCs w:val="18"/>
                      <w:lang w:eastAsia="es-ES"/>
                    </w:rPr>
                    <w:t>$10,200.00</w:t>
                  </w:r>
                </w:p>
              </w:tc>
              <w:tc>
                <w:tcPr>
                  <w:tcW w:w="992" w:type="dxa"/>
                  <w:shd w:val="clear" w:color="auto" w:fill="auto"/>
                  <w:vAlign w:val="center"/>
                </w:tcPr>
                <w:p w14:paraId="5B6778F1" w14:textId="77777777" w:rsidR="006B0E7C" w:rsidRPr="006B0E7C" w:rsidRDefault="006B0E7C" w:rsidP="006B0E7C">
                  <w:pPr>
                    <w:spacing w:line="240" w:lineRule="auto"/>
                    <w:jc w:val="center"/>
                    <w:rPr>
                      <w:rFonts w:eastAsia="Times New Roman" w:cs="Arial"/>
                      <w:sz w:val="18"/>
                      <w:szCs w:val="18"/>
                      <w:lang w:eastAsia="es-ES"/>
                    </w:rPr>
                  </w:pPr>
                  <w:r w:rsidRPr="006B0E7C">
                    <w:rPr>
                      <w:rFonts w:eastAsia="Times New Roman" w:cs="Arial"/>
                      <w:sz w:val="18"/>
                      <w:szCs w:val="18"/>
                      <w:lang w:eastAsia="es-ES"/>
                    </w:rPr>
                    <w:t>2 OC</w:t>
                  </w:r>
                </w:p>
              </w:tc>
              <w:tc>
                <w:tcPr>
                  <w:tcW w:w="1493" w:type="dxa"/>
                  <w:shd w:val="clear" w:color="auto" w:fill="auto"/>
                  <w:vAlign w:val="center"/>
                </w:tcPr>
                <w:p w14:paraId="2B978E58" w14:textId="77777777" w:rsidR="006B0E7C" w:rsidRPr="006B0E7C" w:rsidRDefault="006B0E7C" w:rsidP="00B319B1">
                  <w:pPr>
                    <w:jc w:val="center"/>
                    <w:rPr>
                      <w:rFonts w:eastAsia="Times New Roman" w:cs="Arial"/>
                      <w:sz w:val="18"/>
                      <w:szCs w:val="18"/>
                      <w:lang w:eastAsia="es-ES"/>
                    </w:rPr>
                  </w:pPr>
                  <w:r w:rsidRPr="006B0E7C">
                    <w:rPr>
                      <w:color w:val="000000"/>
                      <w:sz w:val="18"/>
                      <w:szCs w:val="18"/>
                    </w:rPr>
                    <w:t>$20,400.00</w:t>
                  </w:r>
                </w:p>
              </w:tc>
            </w:tr>
            <w:tr w:rsidR="006B0E7C" w:rsidRPr="006B0E7C" w14:paraId="5378B40B" w14:textId="77777777" w:rsidTr="00E73C5F">
              <w:trPr>
                <w:trHeight w:val="300"/>
              </w:trPr>
              <w:tc>
                <w:tcPr>
                  <w:tcW w:w="6668" w:type="dxa"/>
                  <w:gridSpan w:val="6"/>
                  <w:tcBorders>
                    <w:top w:val="single" w:sz="4" w:space="0" w:color="auto"/>
                    <w:left w:val="single" w:sz="4" w:space="0" w:color="auto"/>
                    <w:bottom w:val="single" w:sz="4" w:space="0" w:color="auto"/>
                  </w:tcBorders>
                  <w:shd w:val="clear" w:color="auto" w:fill="auto"/>
                </w:tcPr>
                <w:p w14:paraId="5C732BEB" w14:textId="77777777" w:rsidR="006B0E7C" w:rsidRPr="006B0E7C" w:rsidRDefault="006B0E7C" w:rsidP="00345713">
                  <w:pPr>
                    <w:jc w:val="center"/>
                    <w:rPr>
                      <w:rFonts w:eastAsia="Times New Roman" w:cs="Arial"/>
                      <w:sz w:val="18"/>
                      <w:szCs w:val="18"/>
                      <w:lang w:eastAsia="es-ES"/>
                    </w:rPr>
                  </w:pPr>
                  <w:r w:rsidRPr="006B0E7C">
                    <w:rPr>
                      <w:b/>
                      <w:color w:val="000000"/>
                      <w:sz w:val="18"/>
                      <w:szCs w:val="18"/>
                    </w:rPr>
                    <w:t>COSTO TOTAL</w:t>
                  </w:r>
                </w:p>
              </w:tc>
              <w:tc>
                <w:tcPr>
                  <w:tcW w:w="1493" w:type="dxa"/>
                  <w:shd w:val="clear" w:color="auto" w:fill="auto"/>
                  <w:vAlign w:val="center"/>
                </w:tcPr>
                <w:p w14:paraId="4968C5CA" w14:textId="61CBF3AF" w:rsidR="006B0E7C" w:rsidRPr="006B0E7C" w:rsidRDefault="006B0E7C" w:rsidP="00D610F7">
                  <w:pPr>
                    <w:spacing w:line="240" w:lineRule="auto"/>
                    <w:jc w:val="center"/>
                    <w:rPr>
                      <w:rFonts w:eastAsia="Times New Roman" w:cs="Arial"/>
                      <w:sz w:val="18"/>
                      <w:szCs w:val="18"/>
                      <w:lang w:eastAsia="es-ES"/>
                    </w:rPr>
                  </w:pPr>
                  <w:r w:rsidRPr="006B0E7C">
                    <w:rPr>
                      <w:rFonts w:eastAsia="Times New Roman" w:cs="Arial"/>
                      <w:b/>
                      <w:sz w:val="18"/>
                      <w:szCs w:val="18"/>
                      <w:lang w:eastAsia="es-ES"/>
                    </w:rPr>
                    <w:t>$</w:t>
                  </w:r>
                  <w:r w:rsidR="00D610F7">
                    <w:rPr>
                      <w:rFonts w:eastAsia="Times New Roman" w:cs="Arial"/>
                      <w:b/>
                      <w:sz w:val="18"/>
                      <w:szCs w:val="18"/>
                      <w:lang w:eastAsia="es-ES"/>
                    </w:rPr>
                    <w:t>455,826</w:t>
                  </w:r>
                  <w:r w:rsidR="000D1D14">
                    <w:rPr>
                      <w:rFonts w:eastAsia="Times New Roman" w:cs="Arial"/>
                      <w:b/>
                      <w:sz w:val="18"/>
                      <w:szCs w:val="18"/>
                      <w:lang w:eastAsia="es-ES"/>
                    </w:rPr>
                    <w:t>,</w:t>
                  </w:r>
                  <w:r w:rsidR="00D610F7">
                    <w:rPr>
                      <w:rFonts w:eastAsia="Times New Roman" w:cs="Arial"/>
                      <w:b/>
                      <w:sz w:val="18"/>
                      <w:szCs w:val="18"/>
                      <w:lang w:eastAsia="es-ES"/>
                    </w:rPr>
                    <w:t>021</w:t>
                  </w:r>
                  <w:r w:rsidR="00192494">
                    <w:rPr>
                      <w:rFonts w:eastAsia="Times New Roman" w:cs="Arial"/>
                      <w:b/>
                      <w:sz w:val="18"/>
                      <w:szCs w:val="18"/>
                      <w:lang w:eastAsia="es-ES"/>
                    </w:rPr>
                    <w:t>.48</w:t>
                  </w:r>
                </w:p>
              </w:tc>
            </w:tr>
            <w:tr w:rsidR="00345713" w:rsidRPr="006B0E7C" w14:paraId="093F170E" w14:textId="77777777" w:rsidTr="00E73C5F">
              <w:trPr>
                <w:trHeight w:val="300"/>
              </w:trPr>
              <w:tc>
                <w:tcPr>
                  <w:tcW w:w="8161" w:type="dxa"/>
                  <w:gridSpan w:val="7"/>
                  <w:tcBorders>
                    <w:top w:val="single" w:sz="4" w:space="0" w:color="auto"/>
                    <w:left w:val="single" w:sz="4" w:space="0" w:color="auto"/>
                    <w:bottom w:val="single" w:sz="4" w:space="0" w:color="auto"/>
                  </w:tcBorders>
                  <w:shd w:val="clear" w:color="auto" w:fill="auto"/>
                </w:tcPr>
                <w:p w14:paraId="589FE5C8" w14:textId="77777777" w:rsidR="00345713" w:rsidRPr="00345713" w:rsidRDefault="00345713" w:rsidP="00345713">
                  <w:pPr>
                    <w:jc w:val="both"/>
                    <w:rPr>
                      <w:rFonts w:eastAsia="Times New Roman" w:cs="Arial"/>
                      <w:b/>
                      <w:sz w:val="18"/>
                      <w:szCs w:val="18"/>
                      <w:lang w:val="es-ES_tradnl" w:eastAsia="es-ES"/>
                    </w:rPr>
                  </w:pPr>
                  <w:r w:rsidRPr="00345713">
                    <w:rPr>
                      <w:rFonts w:eastAsia="Times New Roman" w:cs="Arial"/>
                      <w:b/>
                      <w:sz w:val="18"/>
                      <w:szCs w:val="18"/>
                      <w:lang w:val="es-ES_tradnl" w:eastAsia="es-ES"/>
                    </w:rPr>
                    <w:t>*</w:t>
                  </w:r>
                  <w:r w:rsidRPr="00345713">
                    <w:rPr>
                      <w:rFonts w:eastAsia="Times New Roman" w:cs="Arial"/>
                      <w:sz w:val="18"/>
                      <w:szCs w:val="18"/>
                      <w:lang w:val="es-ES_tradnl" w:eastAsia="es-ES"/>
                    </w:rPr>
                    <w:t>Se consideran Visitas de vigilancia del cumplimiento de la certificación en el área metropolitana de la Ciudad de México. No se consideran los costos asociados a viáticos para visitas en el interior del país</w:t>
                  </w:r>
                  <w:r w:rsidRPr="00345713">
                    <w:rPr>
                      <w:rFonts w:eastAsia="Times New Roman" w:cs="Arial"/>
                      <w:b/>
                      <w:sz w:val="18"/>
                      <w:szCs w:val="18"/>
                      <w:lang w:val="es-ES_tradnl" w:eastAsia="es-ES"/>
                    </w:rPr>
                    <w:t>.</w:t>
                  </w:r>
                </w:p>
              </w:tc>
            </w:tr>
          </w:tbl>
          <w:p w14:paraId="54642F0E" w14:textId="77777777" w:rsidR="00FB1BD1" w:rsidRDefault="00FB1BD1" w:rsidP="00FB1BD1">
            <w:pPr>
              <w:spacing w:after="160" w:line="259" w:lineRule="auto"/>
              <w:jc w:val="both"/>
              <w:rPr>
                <w:sz w:val="20"/>
              </w:rPr>
            </w:pPr>
          </w:p>
          <w:p w14:paraId="719E4A00" w14:textId="686BC20A" w:rsidR="00FB1BD1" w:rsidRPr="00E73C5F" w:rsidRDefault="00FB1BD1" w:rsidP="00FB1BD1">
            <w:pPr>
              <w:spacing w:after="160" w:line="259" w:lineRule="auto"/>
              <w:jc w:val="both"/>
              <w:rPr>
                <w:szCs w:val="20"/>
              </w:rPr>
            </w:pPr>
            <w:r w:rsidRPr="00D71E6C">
              <w:t>Si bien</w:t>
            </w:r>
            <w:r w:rsidR="008F1CFB" w:rsidRPr="00D71E6C">
              <w:t>,</w:t>
            </w:r>
            <w:r w:rsidRPr="00D71E6C">
              <w:t xml:space="preserve"> los </w:t>
            </w:r>
            <w:r w:rsidR="00D71E6C">
              <w:t>o</w:t>
            </w:r>
            <w:r w:rsidRPr="00D71E6C">
              <w:t xml:space="preserve">rganismos de </w:t>
            </w:r>
            <w:r w:rsidR="00D71E6C">
              <w:t>e</w:t>
            </w:r>
            <w:r w:rsidRPr="00D71E6C">
              <w:t xml:space="preserve">valuación de la </w:t>
            </w:r>
            <w:r w:rsidR="00D71E6C">
              <w:t>c</w:t>
            </w:r>
            <w:r w:rsidRPr="00D71E6C">
              <w:t xml:space="preserve">onformidad tendrán costos de adopción relacionados con este Anteproyecto, los costos relacionados con trámites referidos en la presente disposición lo realizarán al momento de proveer un servicio a los </w:t>
            </w:r>
            <w:r w:rsidR="00A216EA" w:rsidRPr="00D71E6C">
              <w:t>i</w:t>
            </w:r>
            <w:r w:rsidRPr="00D71E6C">
              <w:t xml:space="preserve">nteresados en obtener un </w:t>
            </w:r>
            <w:r w:rsidR="00D71E6C">
              <w:t>c</w:t>
            </w:r>
            <w:r w:rsidRPr="00D71E6C">
              <w:t xml:space="preserve">ertificado de </w:t>
            </w:r>
            <w:r w:rsidR="00D71E6C">
              <w:t>c</w:t>
            </w:r>
            <w:r w:rsidRPr="00D71E6C">
              <w:t>onformidad.</w:t>
            </w:r>
            <w:r w:rsidRPr="00E73C5F">
              <w:t xml:space="preserve"> Esto se hará con base en un plan de negocios que les reditúe las utilidades necesarias para compensar los costos de oportunidad que implican las inversiones y gastos operativos, en tal virtud, para efectos del presente análisis de impacto no se estimó un efecto en los niveles de OPEX y CAPEX de las empresas.</w:t>
            </w:r>
          </w:p>
          <w:p w14:paraId="6089D5B0" w14:textId="4611A2D0" w:rsidR="008C76AF" w:rsidRPr="006A010C" w:rsidRDefault="00345713" w:rsidP="00D71E6C">
            <w:pPr>
              <w:spacing w:line="276" w:lineRule="auto"/>
              <w:jc w:val="both"/>
              <w:rPr>
                <w:rFonts w:eastAsia="ITC Avant Garde" w:cs="ITC Avant Garde"/>
              </w:rPr>
            </w:pPr>
            <w:r w:rsidRPr="00345713">
              <w:rPr>
                <w:rFonts w:eastAsia="ITC Avant Garde" w:cs="ITC Avant Garde"/>
              </w:rPr>
              <w:t xml:space="preserve">Por tanto, los costos </w:t>
            </w:r>
            <w:r w:rsidR="00C65A15">
              <w:rPr>
                <w:rFonts w:eastAsia="ITC Avant Garde" w:cs="ITC Avant Garde"/>
              </w:rPr>
              <w:t>totales</w:t>
            </w:r>
            <w:r w:rsidRPr="00345713">
              <w:rPr>
                <w:rFonts w:eastAsia="ITC Avant Garde" w:cs="ITC Avant Garde"/>
              </w:rPr>
              <w:t xml:space="preserve"> </w:t>
            </w:r>
            <w:r w:rsidR="00AF7BDA">
              <w:rPr>
                <w:rFonts w:eastAsia="ITC Avant Garde" w:cs="ITC Avant Garde"/>
              </w:rPr>
              <w:t xml:space="preserve">por la entrada en vigor del </w:t>
            </w:r>
            <w:r w:rsidR="007E2E1A">
              <w:rPr>
                <w:rFonts w:eastAsia="ITC Avant Garde" w:cs="ITC Avant Garde"/>
              </w:rPr>
              <w:t>A</w:t>
            </w:r>
            <w:r w:rsidR="00AF7BDA">
              <w:rPr>
                <w:rFonts w:eastAsia="ITC Avant Garde" w:cs="ITC Avant Garde"/>
              </w:rPr>
              <w:t xml:space="preserve">nteproyecto de </w:t>
            </w:r>
            <w:r w:rsidR="007E2E1A">
              <w:rPr>
                <w:rFonts w:eastAsia="ITC Avant Garde" w:cs="ITC Avant Garde"/>
              </w:rPr>
              <w:t>mérito</w:t>
            </w:r>
            <w:r w:rsidR="00CA33FD">
              <w:rPr>
                <w:rFonts w:eastAsia="ITC Avant Garde" w:cs="ITC Avant Garde"/>
              </w:rPr>
              <w:t xml:space="preserve"> </w:t>
            </w:r>
            <w:r w:rsidR="00D610F7">
              <w:rPr>
                <w:rFonts w:eastAsia="ITC Avant Garde" w:cs="ITC Avant Garde"/>
              </w:rPr>
              <w:t xml:space="preserve">en el año </w:t>
            </w:r>
            <w:r w:rsidR="00CA33FD">
              <w:rPr>
                <w:rFonts w:eastAsia="ITC Avant Garde" w:cs="ITC Avant Garde"/>
              </w:rPr>
              <w:t xml:space="preserve">2019 y </w:t>
            </w:r>
            <w:r w:rsidR="00450540">
              <w:rPr>
                <w:rFonts w:eastAsia="ITC Avant Garde" w:cs="ITC Avant Garde"/>
              </w:rPr>
              <w:t xml:space="preserve">las verificaciones correspondientes en </w:t>
            </w:r>
            <w:r w:rsidR="00CA33FD">
              <w:rPr>
                <w:rFonts w:eastAsia="ITC Avant Garde" w:cs="ITC Avant Garde"/>
              </w:rPr>
              <w:t>2020</w:t>
            </w:r>
            <w:r w:rsidR="00D610F7">
              <w:rPr>
                <w:rFonts w:eastAsia="ITC Avant Garde" w:cs="ITC Avant Garde"/>
              </w:rPr>
              <w:t>,</w:t>
            </w:r>
            <w:r w:rsidR="00AF7BDA">
              <w:rPr>
                <w:rFonts w:eastAsia="ITC Avant Garde" w:cs="ITC Avant Garde"/>
              </w:rPr>
              <w:t xml:space="preserve"> </w:t>
            </w:r>
            <w:r w:rsidRPr="00345713">
              <w:rPr>
                <w:rFonts w:eastAsia="ITC Avant Garde" w:cs="ITC Avant Garde"/>
              </w:rPr>
              <w:t>a la industria se estiman en</w:t>
            </w:r>
            <w:r>
              <w:rPr>
                <w:rFonts w:eastAsia="ITC Avant Garde" w:cs="ITC Avant Garde"/>
              </w:rPr>
              <w:t xml:space="preserve"> </w:t>
            </w:r>
            <w:r w:rsidR="00AF4C5A" w:rsidRPr="00D71E6C">
              <w:rPr>
                <w:rFonts w:eastAsia="ITC Avant Garde" w:cs="ITC Avant Garde"/>
                <w:b/>
              </w:rPr>
              <w:t>$</w:t>
            </w:r>
            <w:r w:rsidR="00D610F7" w:rsidRPr="00D610F7">
              <w:rPr>
                <w:rFonts w:eastAsia="ITC Avant Garde" w:cs="ITC Avant Garde"/>
                <w:b/>
              </w:rPr>
              <w:t>455,826</w:t>
            </w:r>
            <w:r w:rsidR="00702326">
              <w:rPr>
                <w:rFonts w:eastAsia="ITC Avant Garde" w:cs="ITC Avant Garde"/>
                <w:b/>
              </w:rPr>
              <w:t>,</w:t>
            </w:r>
            <w:r w:rsidR="00D610F7" w:rsidRPr="00D610F7">
              <w:rPr>
                <w:rFonts w:eastAsia="ITC Avant Garde" w:cs="ITC Avant Garde"/>
                <w:b/>
              </w:rPr>
              <w:t>021.48</w:t>
            </w:r>
            <w:r w:rsidR="00AF4C5A" w:rsidRPr="00D71E6C">
              <w:rPr>
                <w:rFonts w:eastAsia="ITC Avant Garde" w:cs="ITC Avant Garde"/>
              </w:rPr>
              <w:t>.</w:t>
            </w:r>
            <w:r w:rsidR="00AF4C5A">
              <w:rPr>
                <w:rFonts w:eastAsia="ITC Avant Garde" w:cs="ITC Avant Garde"/>
              </w:rPr>
              <w:t xml:space="preserve"> </w:t>
            </w:r>
            <w:r w:rsidR="00C30E1C">
              <w:rPr>
                <w:rFonts w:eastAsia="ITC Avant Garde" w:cs="ITC Avant Garde"/>
              </w:rPr>
              <w:t>Como se mencion</w:t>
            </w:r>
            <w:r w:rsidR="00D610F7">
              <w:rPr>
                <w:rFonts w:eastAsia="ITC Avant Garde" w:cs="ITC Avant Garde"/>
              </w:rPr>
              <w:t>ó</w:t>
            </w:r>
            <w:r w:rsidR="00C30E1C">
              <w:rPr>
                <w:rFonts w:eastAsia="ITC Avant Garde" w:cs="ITC Avant Garde"/>
              </w:rPr>
              <w:t xml:space="preserve"> anteriormente, </w:t>
            </w:r>
            <w:r w:rsidR="00C30E1C" w:rsidRPr="00C30E1C">
              <w:rPr>
                <w:rFonts w:eastAsia="ITC Avant Garde" w:cs="ITC Avant Garde"/>
              </w:rPr>
              <w:t xml:space="preserve">a efectos de obtener el </w:t>
            </w:r>
            <w:r w:rsidR="00D71E6C">
              <w:rPr>
                <w:rFonts w:eastAsia="ITC Avant Garde" w:cs="ITC Avant Garde"/>
              </w:rPr>
              <w:t>c</w:t>
            </w:r>
            <w:r w:rsidR="00C30E1C" w:rsidRPr="00C30E1C">
              <w:rPr>
                <w:rFonts w:eastAsia="ITC Avant Garde" w:cs="ITC Avant Garde"/>
              </w:rPr>
              <w:t xml:space="preserve">ertificado de </w:t>
            </w:r>
            <w:r w:rsidR="00D71E6C">
              <w:rPr>
                <w:rFonts w:eastAsia="ITC Avant Garde" w:cs="ITC Avant Garde"/>
              </w:rPr>
              <w:t>h</w:t>
            </w:r>
            <w:r w:rsidR="00C30E1C" w:rsidRPr="00C30E1C">
              <w:rPr>
                <w:rFonts w:eastAsia="ITC Avant Garde" w:cs="ITC Avant Garde"/>
              </w:rPr>
              <w:t xml:space="preserve">omologación, dichos métodos de prueba solo se aplicaran a 2 o 3 dispositivos </w:t>
            </w:r>
            <w:r w:rsidR="00D610F7">
              <w:rPr>
                <w:rFonts w:eastAsia="ITC Avant Garde" w:cs="ITC Avant Garde"/>
              </w:rPr>
              <w:t>por sistema de medición</w:t>
            </w:r>
            <w:r w:rsidR="009A6A8A">
              <w:rPr>
                <w:rFonts w:eastAsia="ITC Avant Garde" w:cs="ITC Avant Garde"/>
              </w:rPr>
              <w:t xml:space="preserve"> </w:t>
            </w:r>
            <w:r w:rsidR="00C30E1C" w:rsidRPr="00C30E1C">
              <w:rPr>
                <w:rFonts w:eastAsia="ITC Avant Garde" w:cs="ITC Avant Garde"/>
              </w:rPr>
              <w:t xml:space="preserve">y, </w:t>
            </w:r>
            <w:r w:rsidR="00D610F7">
              <w:rPr>
                <w:rFonts w:eastAsia="ITC Avant Garde" w:cs="ITC Avant Garde"/>
              </w:rPr>
              <w:t xml:space="preserve">el </w:t>
            </w:r>
            <w:r w:rsidR="00D71E6C">
              <w:rPr>
                <w:rFonts w:eastAsia="ITC Avant Garde" w:cs="ITC Avant Garde"/>
              </w:rPr>
              <w:t>c</w:t>
            </w:r>
            <w:r w:rsidR="00C30E1C" w:rsidRPr="00C30E1C">
              <w:rPr>
                <w:rFonts w:eastAsia="ITC Avant Garde" w:cs="ITC Avant Garde"/>
              </w:rPr>
              <w:t xml:space="preserve">ertificado ampararía indefinidamente el (los) lote(s) de la familia de </w:t>
            </w:r>
            <w:r w:rsidR="00D610F7">
              <w:rPr>
                <w:rFonts w:eastAsia="ITC Avant Garde" w:cs="ITC Avant Garde"/>
              </w:rPr>
              <w:t>tales</w:t>
            </w:r>
            <w:r w:rsidR="00D610F7" w:rsidRPr="00C30E1C">
              <w:rPr>
                <w:rFonts w:eastAsia="ITC Avant Garde" w:cs="ITC Avant Garde"/>
              </w:rPr>
              <w:t xml:space="preserve"> </w:t>
            </w:r>
            <w:r w:rsidR="00C30E1C" w:rsidRPr="00C30E1C">
              <w:rPr>
                <w:rFonts w:eastAsia="ITC Avant Garde" w:cs="ITC Avant Garde"/>
              </w:rPr>
              <w:t>productos.</w:t>
            </w:r>
          </w:p>
        </w:tc>
      </w:tr>
    </w:tbl>
    <w:p w14:paraId="46F477F6" w14:textId="77777777" w:rsidR="003F05E7" w:rsidRPr="006A010C" w:rsidRDefault="003F05E7" w:rsidP="00567732">
      <w:pPr>
        <w:spacing w:line="276" w:lineRule="auto"/>
        <w:jc w:val="both"/>
      </w:pPr>
    </w:p>
    <w:tbl>
      <w:tblPr>
        <w:tblStyle w:val="Tablaconcuadrcula"/>
        <w:tblW w:w="0" w:type="dxa"/>
        <w:tblLook w:val="04A0" w:firstRow="1" w:lastRow="0" w:firstColumn="1" w:lastColumn="0" w:noHBand="0" w:noVBand="1"/>
      </w:tblPr>
      <w:tblGrid>
        <w:gridCol w:w="8828"/>
      </w:tblGrid>
      <w:tr w:rsidR="008C76AF" w:rsidRPr="006A010C" w14:paraId="7CAD54E1" w14:textId="77777777" w:rsidTr="13FBE5F6">
        <w:tc>
          <w:tcPr>
            <w:tcW w:w="8828" w:type="dxa"/>
          </w:tcPr>
          <w:p w14:paraId="2BAAF4C1" w14:textId="65619B9C" w:rsidR="008C76AF" w:rsidRDefault="48ECE0BD" w:rsidP="00567732">
            <w:pPr>
              <w:spacing w:line="276" w:lineRule="auto"/>
              <w:jc w:val="both"/>
              <w:rPr>
                <w:rFonts w:eastAsia="ITC Avant Garde" w:cs="ITC Avant Garde"/>
                <w:b/>
                <w:bCs/>
              </w:rPr>
            </w:pPr>
            <w:r w:rsidRPr="006A010C">
              <w:rPr>
                <w:rFonts w:eastAsia="ITC Avant Garde" w:cs="ITC Avant Garde"/>
                <w:b/>
                <w:bCs/>
              </w:rPr>
              <w:lastRenderedPageBreak/>
              <w:t xml:space="preserve">14.- Proporcione la estimación de los beneficios que se podrían generar para cada particular, grupo de particulares o industria a razón de la entrada en vigor del </w:t>
            </w:r>
            <w:r w:rsidR="007E2E1A">
              <w:rPr>
                <w:rFonts w:eastAsia="ITC Avant Garde" w:cs="ITC Avant Garde"/>
                <w:b/>
                <w:bCs/>
              </w:rPr>
              <w:t>A</w:t>
            </w:r>
            <w:r w:rsidRPr="006A010C">
              <w:rPr>
                <w:rFonts w:eastAsia="ITC Avant Garde" w:cs="ITC Avant Garde"/>
                <w:b/>
                <w:bCs/>
              </w:rPr>
              <w:t>nteproyecto de regulación:</w:t>
            </w:r>
          </w:p>
          <w:p w14:paraId="587C6887" w14:textId="77777777" w:rsidR="00D76599" w:rsidRPr="006A010C" w:rsidRDefault="00D76599" w:rsidP="00567732">
            <w:pPr>
              <w:spacing w:line="276" w:lineRule="auto"/>
              <w:jc w:val="both"/>
              <w:rPr>
                <w:rFonts w:eastAsia="ITC Avant Garde" w:cs="ITC Avant Garde"/>
              </w:rPr>
            </w:pPr>
          </w:p>
          <w:p w14:paraId="37C2E9C5" w14:textId="77777777" w:rsidR="0017032A" w:rsidRDefault="00D76599" w:rsidP="0017032A">
            <w:pPr>
              <w:spacing w:line="276" w:lineRule="auto"/>
              <w:jc w:val="both"/>
            </w:pPr>
            <w:r>
              <w:t>Entre los beneficios previstos por la entrada en vigor del presente Anteproyecto, se cuentan los siguientes:</w:t>
            </w:r>
          </w:p>
          <w:p w14:paraId="4B8F0587" w14:textId="77777777" w:rsidR="00D76599" w:rsidRPr="006D0E78" w:rsidRDefault="00D76599" w:rsidP="0017032A">
            <w:pPr>
              <w:spacing w:line="276" w:lineRule="auto"/>
              <w:jc w:val="both"/>
            </w:pPr>
          </w:p>
          <w:p w14:paraId="48D3F983" w14:textId="261F226F" w:rsidR="00D76599" w:rsidRPr="004028FC" w:rsidRDefault="00D76599" w:rsidP="004028FC">
            <w:pPr>
              <w:pStyle w:val="Prrafodelista"/>
              <w:numPr>
                <w:ilvl w:val="0"/>
                <w:numId w:val="20"/>
              </w:numPr>
              <w:spacing w:line="276" w:lineRule="auto"/>
              <w:jc w:val="both"/>
              <w:rPr>
                <w:rFonts w:eastAsia="ITC Avant Garde" w:cs="ITC Avant Garde"/>
              </w:rPr>
            </w:pPr>
            <w:r w:rsidRPr="004028FC">
              <w:rPr>
                <w:rFonts w:eastAsia="ITC Avant Garde" w:cs="ITC Avant Garde"/>
              </w:rPr>
              <w:t>La emisión de una disposición administrativa de carácter general dará certeza jurídica a todos los involucrados.</w:t>
            </w:r>
          </w:p>
          <w:p w14:paraId="0717FEE5" w14:textId="3DB875FE" w:rsidR="00D76599" w:rsidRPr="004028FC" w:rsidRDefault="00D76599" w:rsidP="004028FC">
            <w:pPr>
              <w:pStyle w:val="Prrafodelista"/>
              <w:numPr>
                <w:ilvl w:val="0"/>
                <w:numId w:val="20"/>
              </w:numPr>
              <w:spacing w:line="276" w:lineRule="auto"/>
              <w:jc w:val="both"/>
              <w:rPr>
                <w:rFonts w:eastAsia="ITC Avant Garde" w:cs="ITC Avant Garde"/>
              </w:rPr>
            </w:pPr>
            <w:r w:rsidRPr="004028FC">
              <w:rPr>
                <w:rFonts w:eastAsia="ITC Avant Garde" w:cs="ITC Avant Garde"/>
              </w:rPr>
              <w:t>Coadyuvará a garantizar que los productos, equipos, dispositivos o aparatos destinados a telecomunicaciones que pueden ser conectados a una red de telecomunicaciones o hacer uso del espectro radioeléctrico, cumplen con los límites máximos de radiaciones no ionizantes.</w:t>
            </w:r>
          </w:p>
          <w:p w14:paraId="3E9A44AC" w14:textId="123279ED" w:rsidR="006D0E78" w:rsidRPr="004028FC" w:rsidRDefault="00D76599" w:rsidP="004028FC">
            <w:pPr>
              <w:pStyle w:val="Prrafodelista"/>
              <w:numPr>
                <w:ilvl w:val="0"/>
                <w:numId w:val="20"/>
              </w:numPr>
              <w:spacing w:line="276" w:lineRule="auto"/>
              <w:jc w:val="both"/>
              <w:rPr>
                <w:rFonts w:eastAsia="ITC Avant Garde" w:cs="ITC Avant Garde"/>
              </w:rPr>
            </w:pPr>
            <w:r w:rsidRPr="004028FC">
              <w:rPr>
                <w:rFonts w:eastAsia="ITC Avant Garde" w:cs="ITC Avant Garde"/>
              </w:rPr>
              <w:t xml:space="preserve">Establecerá </w:t>
            </w:r>
            <w:r w:rsidR="009A6A8A" w:rsidRPr="004028FC">
              <w:rPr>
                <w:rFonts w:eastAsia="ITC Avant Garde" w:cs="ITC Avant Garde"/>
              </w:rPr>
              <w:t xml:space="preserve">los métodos </w:t>
            </w:r>
            <w:r w:rsidRPr="004028FC">
              <w:rPr>
                <w:rFonts w:eastAsia="ITC Avant Garde" w:cs="ITC Avant Garde"/>
              </w:rPr>
              <w:t xml:space="preserve"> de pruebas para verificar el cumplimiento de los límites máximos del SAR emitidos por los productos, equipos, dispositivos o aparatos destinados a telecomunicaciones que pueden ser conectados a una red de telecomunicaciones o hacer uso del espectro radioeléctrico </w:t>
            </w:r>
            <w:r w:rsidR="009A6A8A" w:rsidRPr="004028FC">
              <w:rPr>
                <w:rFonts w:eastAsia="ITC Avant Garde" w:cs="ITC Avant Garde"/>
              </w:rPr>
              <w:t xml:space="preserve">en concordancia con </w:t>
            </w:r>
            <w:r w:rsidRPr="004028FC">
              <w:rPr>
                <w:rFonts w:eastAsia="ITC Avant Garde" w:cs="ITC Avant Garde"/>
              </w:rPr>
              <w:t>las normas internaciones IEC 62209-1:2016 y IEC 62209-2:2010.</w:t>
            </w:r>
          </w:p>
          <w:p w14:paraId="2F6AAD1B" w14:textId="487549DC" w:rsidR="004028FC" w:rsidRPr="004028FC" w:rsidRDefault="004028FC" w:rsidP="004028FC">
            <w:pPr>
              <w:pStyle w:val="Prrafodelista"/>
              <w:numPr>
                <w:ilvl w:val="0"/>
                <w:numId w:val="20"/>
              </w:numPr>
              <w:spacing w:line="276" w:lineRule="auto"/>
              <w:jc w:val="both"/>
              <w:rPr>
                <w:rFonts w:eastAsia="ITC Avant Garde" w:cs="ITC Avant Garde"/>
              </w:rPr>
            </w:pPr>
            <w:r w:rsidRPr="004028FC">
              <w:rPr>
                <w:rFonts w:eastAsia="ITC Avant Garde" w:cs="ITC Avant Garde"/>
              </w:rPr>
              <w:t>Permitirá a los usuarios de los productos, equipos, dispositivos o aparatos destinados a telecomunicaciones que pueden ser conectados a una red de telecomunicaciones o hacer uso del espectro radioeléctrico</w:t>
            </w:r>
            <w:r>
              <w:rPr>
                <w:rFonts w:eastAsia="ITC Avant Garde" w:cs="ITC Avant Garde"/>
              </w:rPr>
              <w:t xml:space="preserve"> tener más información sobre los niveles de SAR que emiten dichos productos para hacer una compra informada.</w:t>
            </w:r>
          </w:p>
          <w:p w14:paraId="3F495E24" w14:textId="77777777" w:rsidR="00DE5572" w:rsidRPr="006A010C" w:rsidRDefault="00DE5572" w:rsidP="00D76599">
            <w:pPr>
              <w:spacing w:line="276" w:lineRule="auto"/>
              <w:jc w:val="both"/>
            </w:pPr>
          </w:p>
        </w:tc>
      </w:tr>
    </w:tbl>
    <w:p w14:paraId="209E38B9" w14:textId="77777777" w:rsidR="008C76AF" w:rsidRPr="006A010C" w:rsidRDefault="008C76AF" w:rsidP="00786C43">
      <w:pPr>
        <w:spacing w:line="276" w:lineRule="auto"/>
        <w:jc w:val="both"/>
      </w:pPr>
    </w:p>
    <w:tbl>
      <w:tblPr>
        <w:tblStyle w:val="Tablaconcuadrcula"/>
        <w:tblW w:w="0" w:type="dxa"/>
        <w:tblLook w:val="04A0" w:firstRow="1" w:lastRow="0" w:firstColumn="1" w:lastColumn="0" w:noHBand="0" w:noVBand="1"/>
      </w:tblPr>
      <w:tblGrid>
        <w:gridCol w:w="8828"/>
      </w:tblGrid>
      <w:tr w:rsidR="008C76AF" w:rsidRPr="006A010C" w14:paraId="5E8A1A38" w14:textId="77777777" w:rsidTr="675A6364">
        <w:tc>
          <w:tcPr>
            <w:tcW w:w="8828" w:type="dxa"/>
          </w:tcPr>
          <w:p w14:paraId="70F2C3C8" w14:textId="0E00EE53" w:rsidR="008C76AF" w:rsidRPr="006A010C" w:rsidRDefault="48ECE0BD" w:rsidP="00786C43">
            <w:pPr>
              <w:spacing w:line="276" w:lineRule="auto"/>
              <w:jc w:val="both"/>
              <w:rPr>
                <w:rFonts w:eastAsia="ITC Avant Garde" w:cs="ITC Avant Garde"/>
              </w:rPr>
            </w:pPr>
            <w:r w:rsidRPr="006A010C">
              <w:rPr>
                <w:rFonts w:eastAsia="ITC Avant Garde" w:cs="ITC Avant Garde"/>
                <w:b/>
              </w:rPr>
              <w:t xml:space="preserve">15.- Justifique que los beneficios que se podrían generar a razón de la entrada en vigor del presente </w:t>
            </w:r>
            <w:r w:rsidR="007E2E1A">
              <w:rPr>
                <w:rFonts w:eastAsia="ITC Avant Garde" w:cs="ITC Avant Garde"/>
                <w:b/>
              </w:rPr>
              <w:t>A</w:t>
            </w:r>
            <w:r w:rsidRPr="006A010C">
              <w:rPr>
                <w:rFonts w:eastAsia="ITC Avant Garde" w:cs="ITC Avant Garde"/>
                <w:b/>
              </w:rPr>
              <w:t>nteproyecto de regulación son superiores a los costos de su cumplimiento:</w:t>
            </w:r>
          </w:p>
          <w:p w14:paraId="2C4DC0CD" w14:textId="77777777" w:rsidR="00F62B9F" w:rsidRDefault="00F62B9F" w:rsidP="00786C43">
            <w:pPr>
              <w:spacing w:line="276" w:lineRule="auto"/>
              <w:jc w:val="both"/>
              <w:rPr>
                <w:rFonts w:eastAsia="ITC Avant Garde" w:cs="ITC Avant Garde"/>
              </w:rPr>
            </w:pPr>
          </w:p>
          <w:p w14:paraId="3DEA36BD" w14:textId="57DABD34" w:rsidR="0017032A" w:rsidRDefault="0017032A" w:rsidP="0017032A">
            <w:pPr>
              <w:spacing w:line="276" w:lineRule="auto"/>
              <w:jc w:val="both"/>
            </w:pPr>
            <w:r w:rsidRPr="00D71E6C">
              <w:t>Como se mencionó, el pr</w:t>
            </w:r>
            <w:r w:rsidR="00740E68" w:rsidRPr="00D71E6C">
              <w:t>incipal beneficio del presente A</w:t>
            </w:r>
            <w:r w:rsidRPr="00D71E6C">
              <w:t xml:space="preserve">nteproyecto es </w:t>
            </w:r>
            <w:r w:rsidR="00CD2B62" w:rsidRPr="00D71E6C">
              <w:t xml:space="preserve">coadyuvar a </w:t>
            </w:r>
            <w:r w:rsidR="00D76599" w:rsidRPr="00D71E6C">
              <w:t>garantizar que los productos, equipos, dispositivos o aparatos destinados a telecomunicaciones que pued</w:t>
            </w:r>
            <w:r w:rsidR="009A6A8A" w:rsidRPr="00D71E6C">
              <w:t>a</w:t>
            </w:r>
            <w:r w:rsidR="00D76599" w:rsidRPr="00D71E6C">
              <w:t>n ser conectados a una red de telecomunicaciones o hacer uso del espectro radioeléctrico, cumpl</w:t>
            </w:r>
            <w:r w:rsidR="009A6A8A" w:rsidRPr="00D71E6C">
              <w:t>a</w:t>
            </w:r>
            <w:r w:rsidR="00D76599" w:rsidRPr="00D71E6C">
              <w:t>n con los límites máxim</w:t>
            </w:r>
            <w:r w:rsidR="0056443D" w:rsidRPr="00D71E6C">
              <w:t>os de</w:t>
            </w:r>
            <w:r w:rsidR="009A6A8A" w:rsidRPr="00D71E6C">
              <w:t xml:space="preserve"> exposición a</w:t>
            </w:r>
            <w:r w:rsidR="0056443D" w:rsidRPr="00D71E6C">
              <w:t xml:space="preserve"> radiaciones no ionizantes</w:t>
            </w:r>
            <w:r w:rsidR="00192D38" w:rsidRPr="00D71E6C">
              <w:t xml:space="preserve">, lo anterior en concordancia con </w:t>
            </w:r>
            <w:r w:rsidR="0056443D" w:rsidRPr="00D71E6C">
              <w:t xml:space="preserve"> la normativa internacional.</w:t>
            </w:r>
          </w:p>
          <w:p w14:paraId="5D42C853" w14:textId="77777777" w:rsidR="003E7464" w:rsidRDefault="003E7464" w:rsidP="0017032A">
            <w:pPr>
              <w:spacing w:line="276" w:lineRule="auto"/>
              <w:jc w:val="both"/>
            </w:pPr>
          </w:p>
          <w:p w14:paraId="660C05EC" w14:textId="176FAFA5" w:rsidR="00DD120A" w:rsidRDefault="001A133F" w:rsidP="0017032A">
            <w:pPr>
              <w:spacing w:line="276" w:lineRule="auto"/>
              <w:jc w:val="both"/>
              <w:rPr>
                <w:rFonts w:eastAsia="ITC Avant Garde" w:cs="ITC Avant Garde"/>
              </w:rPr>
            </w:pPr>
            <w:r>
              <w:lastRenderedPageBreak/>
              <w:t>Se prev</w:t>
            </w:r>
            <w:r w:rsidR="00E8140F">
              <w:t>é</w:t>
            </w:r>
            <w:r>
              <w:t xml:space="preserve"> que tanto los </w:t>
            </w:r>
            <w:r w:rsidR="00D71E6C">
              <w:t>o</w:t>
            </w:r>
            <w:r>
              <w:t xml:space="preserve">rganismos de </w:t>
            </w:r>
            <w:r w:rsidR="00D71E6C">
              <w:t>e</w:t>
            </w:r>
            <w:r>
              <w:t>valuaci</w:t>
            </w:r>
            <w:r w:rsidR="00E8140F">
              <w:t>ó</w:t>
            </w:r>
            <w:r>
              <w:t xml:space="preserve">n de la </w:t>
            </w:r>
            <w:r w:rsidR="00D71E6C">
              <w:t>c</w:t>
            </w:r>
            <w:r>
              <w:t xml:space="preserve">onformidad como los fabricantes/proveedores/importadores </w:t>
            </w:r>
            <w:r w:rsidR="00A843B9">
              <w:t xml:space="preserve">de equipos dentro del </w:t>
            </w:r>
            <w:r w:rsidR="00951EC0">
              <w:t>alcance</w:t>
            </w:r>
            <w:r w:rsidR="00A843B9">
              <w:t xml:space="preserve"> del presente </w:t>
            </w:r>
            <w:r w:rsidR="007E2E1A">
              <w:t>A</w:t>
            </w:r>
            <w:r w:rsidR="00A843B9">
              <w:t xml:space="preserve">nteproyecto </w:t>
            </w:r>
            <w:r>
              <w:t>realicen inversiones para el equipamiento y capacitaci</w:t>
            </w:r>
            <w:r w:rsidR="00E8140F">
              <w:t>ó</w:t>
            </w:r>
            <w:r>
              <w:t>n de personal</w:t>
            </w:r>
            <w:r w:rsidR="00E8140F">
              <w:t>,</w:t>
            </w:r>
            <w:r>
              <w:t xml:space="preserve"> cre</w:t>
            </w:r>
            <w:r w:rsidR="00E8140F">
              <w:t>á</w:t>
            </w:r>
            <w:r>
              <w:t>ndose empleos altamente especializado</w:t>
            </w:r>
            <w:r w:rsidR="00951EC0">
              <w:t>s</w:t>
            </w:r>
            <w:r>
              <w:t xml:space="preserve"> tanto directos como indirectos</w:t>
            </w:r>
            <w:r w:rsidR="006E79E7">
              <w:t xml:space="preserve"> en el sector</w:t>
            </w:r>
            <w:r>
              <w:t>.</w:t>
            </w:r>
          </w:p>
          <w:p w14:paraId="764C0C8B" w14:textId="77777777" w:rsidR="00552939" w:rsidRPr="006A010C" w:rsidRDefault="00552939" w:rsidP="0056443D">
            <w:pPr>
              <w:spacing w:line="276" w:lineRule="auto"/>
              <w:jc w:val="both"/>
              <w:rPr>
                <w:rFonts w:eastAsia="ITC Avant Garde" w:cs="ITC Avant Garde"/>
              </w:rPr>
            </w:pPr>
          </w:p>
        </w:tc>
      </w:tr>
    </w:tbl>
    <w:p w14:paraId="731CBB92" w14:textId="77777777" w:rsidR="008C76AF" w:rsidRDefault="008C76AF" w:rsidP="00C5540C">
      <w:pPr>
        <w:jc w:val="both"/>
      </w:pPr>
    </w:p>
    <w:p w14:paraId="3054B917" w14:textId="77777777" w:rsidR="0004377B" w:rsidRPr="006A010C" w:rsidRDefault="0004377B" w:rsidP="00C5540C">
      <w:pPr>
        <w:jc w:val="both"/>
      </w:pPr>
    </w:p>
    <w:p w14:paraId="3D4D744F" w14:textId="77777777" w:rsidR="001932FC" w:rsidRPr="006A010C" w:rsidRDefault="48ECE0BD" w:rsidP="0087236C">
      <w:pPr>
        <w:pStyle w:val="Ttulo1"/>
      </w:pPr>
      <w:r w:rsidRPr="006A010C">
        <w:t>IV. CUMPLIMIENTO Y APLICACIÓN DE LA PROPUESTA.</w:t>
      </w:r>
    </w:p>
    <w:tbl>
      <w:tblPr>
        <w:tblStyle w:val="Tablaconcuadrcula"/>
        <w:tblW w:w="0" w:type="dxa"/>
        <w:tblLook w:val="04A0" w:firstRow="1" w:lastRow="0" w:firstColumn="1" w:lastColumn="0" w:noHBand="0" w:noVBand="1"/>
      </w:tblPr>
      <w:tblGrid>
        <w:gridCol w:w="8828"/>
      </w:tblGrid>
      <w:tr w:rsidR="0030055F" w:rsidRPr="006A010C" w14:paraId="5693A077" w14:textId="77777777" w:rsidTr="48ECE0BD">
        <w:tc>
          <w:tcPr>
            <w:tcW w:w="8828" w:type="dxa"/>
          </w:tcPr>
          <w:p w14:paraId="5F73C314" w14:textId="30505C23" w:rsidR="0030055F" w:rsidRPr="006A010C" w:rsidRDefault="48ECE0BD" w:rsidP="00C5540C">
            <w:pPr>
              <w:jc w:val="both"/>
              <w:rPr>
                <w:rFonts w:eastAsia="ITC Avant Garde" w:cs="ITC Avant Garde"/>
              </w:rPr>
            </w:pPr>
            <w:r w:rsidRPr="006A010C">
              <w:rPr>
                <w:rFonts w:eastAsia="ITC Avant Garde" w:cs="ITC Avant Garde"/>
                <w:b/>
                <w:bCs/>
              </w:rPr>
              <w:t xml:space="preserve">16.- Describa los recursos, la forma y/o los mecanismos públicos y privados a través de los cuales se implementarán las medidas regulatorias propuestas por el </w:t>
            </w:r>
            <w:r w:rsidR="007E2E1A">
              <w:rPr>
                <w:rFonts w:eastAsia="ITC Avant Garde" w:cs="ITC Avant Garde"/>
                <w:b/>
                <w:bCs/>
              </w:rPr>
              <w:t>A</w:t>
            </w:r>
            <w:r w:rsidRPr="006A010C">
              <w:rPr>
                <w:rFonts w:eastAsia="ITC Avant Garde" w:cs="ITC Avant Garde"/>
                <w:b/>
                <w:bCs/>
              </w:rPr>
              <w:t>nteproyecto de regulación:</w:t>
            </w:r>
          </w:p>
          <w:p w14:paraId="770FC1EF" w14:textId="77777777" w:rsidR="2A1BFEAF" w:rsidRDefault="2A1BFEAF" w:rsidP="00C5540C">
            <w:pPr>
              <w:jc w:val="both"/>
            </w:pPr>
          </w:p>
          <w:p w14:paraId="328FEEB4" w14:textId="77777777" w:rsidR="009E6DCD" w:rsidRPr="009E6DCD" w:rsidRDefault="009E6DCD" w:rsidP="009E6DCD">
            <w:pPr>
              <w:jc w:val="both"/>
            </w:pPr>
            <w:r w:rsidRPr="009E6DCD">
              <w:t xml:space="preserve">Entre otros, se contemplan los siguientes mecanismos: </w:t>
            </w:r>
          </w:p>
          <w:p w14:paraId="56C5330D" w14:textId="77777777" w:rsidR="009E6DCD" w:rsidRPr="009E6DCD" w:rsidRDefault="009E6DCD" w:rsidP="009E6DCD">
            <w:pPr>
              <w:jc w:val="both"/>
            </w:pPr>
          </w:p>
          <w:p w14:paraId="66445462" w14:textId="77777777" w:rsidR="009E6DCD" w:rsidRPr="0004377B" w:rsidRDefault="009E6DCD" w:rsidP="0062677D">
            <w:pPr>
              <w:pStyle w:val="Prrafodelista"/>
              <w:numPr>
                <w:ilvl w:val="0"/>
                <w:numId w:val="7"/>
              </w:numPr>
              <w:jc w:val="both"/>
            </w:pPr>
            <w:r w:rsidRPr="0004377B">
              <w:t>En relación con los mecanismos públicos, estos serán los ya existentes en el Instituto, específicamente los de la Unidad de Cumplimiento.</w:t>
            </w:r>
          </w:p>
          <w:p w14:paraId="66662B8F" w14:textId="77777777" w:rsidR="00B1130A" w:rsidRPr="009E6DCD" w:rsidRDefault="00B1130A" w:rsidP="009E6DCD">
            <w:pPr>
              <w:jc w:val="both"/>
            </w:pPr>
          </w:p>
          <w:p w14:paraId="78A205BB" w14:textId="47D844D9" w:rsidR="0030055F" w:rsidRPr="00D71E6C" w:rsidRDefault="009E6DCD" w:rsidP="0062677D">
            <w:pPr>
              <w:pStyle w:val="Prrafodelista"/>
              <w:numPr>
                <w:ilvl w:val="0"/>
                <w:numId w:val="7"/>
              </w:numPr>
              <w:jc w:val="both"/>
            </w:pPr>
            <w:r w:rsidRPr="00D71E6C">
              <w:t xml:space="preserve">Respecto a los mecanismos privados, </w:t>
            </w:r>
            <w:r w:rsidR="0020699D" w:rsidRPr="00D71E6C">
              <w:t xml:space="preserve">los </w:t>
            </w:r>
            <w:r w:rsidR="00D71E6C" w:rsidRPr="00D71E6C">
              <w:t>o</w:t>
            </w:r>
            <w:r w:rsidR="004344A2" w:rsidRPr="00D71E6C">
              <w:t xml:space="preserve">rganismos de </w:t>
            </w:r>
            <w:r w:rsidR="00D71E6C" w:rsidRPr="00D71E6C">
              <w:t>c</w:t>
            </w:r>
            <w:r w:rsidR="004344A2" w:rsidRPr="00D71E6C">
              <w:t xml:space="preserve">ertificación, </w:t>
            </w:r>
            <w:r w:rsidR="0016791E" w:rsidRPr="00D71E6C">
              <w:t>y</w:t>
            </w:r>
            <w:r w:rsidR="004344A2" w:rsidRPr="00D71E6C">
              <w:t xml:space="preserve"> los </w:t>
            </w:r>
            <w:r w:rsidR="00D71E6C" w:rsidRPr="00D71E6C">
              <w:t>l</w:t>
            </w:r>
            <w:r w:rsidR="0020699D" w:rsidRPr="00D71E6C">
              <w:t xml:space="preserve">aboratorios de </w:t>
            </w:r>
            <w:r w:rsidR="00D71E6C" w:rsidRPr="00D71E6C">
              <w:t>p</w:t>
            </w:r>
            <w:r w:rsidR="0020699D" w:rsidRPr="00D71E6C">
              <w:t>ruebas</w:t>
            </w:r>
            <w:r w:rsidR="0016791E" w:rsidRPr="00D71E6C">
              <w:t>, ambos</w:t>
            </w:r>
            <w:r w:rsidR="001103C3" w:rsidRPr="00D71E6C">
              <w:t xml:space="preserve"> de tercera parte</w:t>
            </w:r>
            <w:r w:rsidR="004344A2" w:rsidRPr="00D71E6C">
              <w:t>,</w:t>
            </w:r>
            <w:r w:rsidRPr="00D71E6C">
              <w:t xml:space="preserve"> realizan </w:t>
            </w:r>
            <w:r w:rsidR="0016791E" w:rsidRPr="00D71E6C">
              <w:t>la evaluación de</w:t>
            </w:r>
            <w:r w:rsidR="00311070">
              <w:t xml:space="preserve"> </w:t>
            </w:r>
            <w:r w:rsidR="0016791E" w:rsidRPr="00D71E6C">
              <w:t xml:space="preserve">la conformidad de diversas </w:t>
            </w:r>
            <w:r w:rsidRPr="00D71E6C">
              <w:t xml:space="preserve">acciones regulatorias contenidas en el Anteproyecto. </w:t>
            </w:r>
            <w:r w:rsidR="004170F3" w:rsidRPr="00D71E6C">
              <w:t xml:space="preserve">Los </w:t>
            </w:r>
            <w:r w:rsidR="00D71E6C" w:rsidRPr="00D71E6C">
              <w:t>organismos de c</w:t>
            </w:r>
            <w:r w:rsidR="004170F3" w:rsidRPr="00D71E6C">
              <w:t xml:space="preserve">ertificación deberán </w:t>
            </w:r>
            <w:r w:rsidR="0016791E" w:rsidRPr="00D71E6C">
              <w:t xml:space="preserve">ser acreditado por un </w:t>
            </w:r>
            <w:r w:rsidR="00D71E6C" w:rsidRPr="00D71E6C">
              <w:t>o</w:t>
            </w:r>
            <w:r w:rsidR="0016791E" w:rsidRPr="00D71E6C">
              <w:t xml:space="preserve">rganismo de </w:t>
            </w:r>
            <w:r w:rsidR="00D71E6C" w:rsidRPr="00D71E6C">
              <w:t>a</w:t>
            </w:r>
            <w:r w:rsidR="0016791E" w:rsidRPr="00D71E6C">
              <w:t xml:space="preserve">creditación autorizado por el mismo Instituto, con respecto a </w:t>
            </w:r>
            <w:r w:rsidR="004170F3" w:rsidRPr="00D71E6C">
              <w:t>la norma ISO/IEC</w:t>
            </w:r>
            <w:r w:rsidR="0016791E" w:rsidRPr="00D71E6C">
              <w:t>-17065 y en su caso, la disposición técnica vigente.</w:t>
            </w:r>
            <w:r w:rsidR="004170F3" w:rsidRPr="00D71E6C">
              <w:t xml:space="preserve"> </w:t>
            </w:r>
            <w:r w:rsidR="0016791E" w:rsidRPr="00D71E6C">
              <w:t>Ocurriendo lo mismo con l</w:t>
            </w:r>
            <w:r w:rsidRPr="00D71E6C">
              <w:t xml:space="preserve">os </w:t>
            </w:r>
            <w:r w:rsidR="00D71E6C" w:rsidRPr="00D71E6C">
              <w:t>l</w:t>
            </w:r>
            <w:r w:rsidR="004344A2" w:rsidRPr="00D71E6C">
              <w:t xml:space="preserve">aboratorios de </w:t>
            </w:r>
            <w:r w:rsidR="00D71E6C" w:rsidRPr="00D71E6C">
              <w:t>p</w:t>
            </w:r>
            <w:r w:rsidR="004344A2" w:rsidRPr="00D71E6C">
              <w:t>rueba</w:t>
            </w:r>
            <w:r w:rsidR="0016791E" w:rsidRPr="00D71E6C">
              <w:t>, es decir,</w:t>
            </w:r>
            <w:r w:rsidR="004344A2" w:rsidRPr="00D71E6C">
              <w:t xml:space="preserve"> </w:t>
            </w:r>
            <w:r w:rsidRPr="00D71E6C">
              <w:t xml:space="preserve">deberán </w:t>
            </w:r>
            <w:r w:rsidR="0016791E" w:rsidRPr="00D71E6C">
              <w:t xml:space="preserve">ser acreditados por un </w:t>
            </w:r>
            <w:r w:rsidR="00D71E6C" w:rsidRPr="00D71E6C">
              <w:t>o</w:t>
            </w:r>
            <w:r w:rsidR="0016791E" w:rsidRPr="00D71E6C">
              <w:t xml:space="preserve">rganismo de </w:t>
            </w:r>
            <w:r w:rsidR="00D71E6C" w:rsidRPr="00D71E6C">
              <w:t>a</w:t>
            </w:r>
            <w:r w:rsidR="0016791E" w:rsidRPr="00D71E6C">
              <w:t xml:space="preserve">creditación autorizado por el mismo Instituto, con respecto a </w:t>
            </w:r>
            <w:r w:rsidRPr="00D71E6C">
              <w:t>la norma ISO/IEC</w:t>
            </w:r>
            <w:r w:rsidR="0054441A" w:rsidRPr="00D71E6C">
              <w:t>-</w:t>
            </w:r>
            <w:r w:rsidRPr="00D71E6C">
              <w:t>170</w:t>
            </w:r>
            <w:r w:rsidR="001103C3" w:rsidRPr="00D71E6C">
              <w:t>2</w:t>
            </w:r>
            <w:r w:rsidR="0020699D" w:rsidRPr="00D71E6C">
              <w:t>5</w:t>
            </w:r>
            <w:r w:rsidR="00495058" w:rsidRPr="00D71E6C">
              <w:rPr>
                <w:rStyle w:val="Refdenotaalpie"/>
              </w:rPr>
              <w:footnoteReference w:id="28"/>
            </w:r>
            <w:r w:rsidRPr="00D71E6C">
              <w:t>.</w:t>
            </w:r>
          </w:p>
          <w:p w14:paraId="7AC2CFA4" w14:textId="77777777" w:rsidR="0016791E" w:rsidRPr="0016791E" w:rsidRDefault="0016791E" w:rsidP="0016791E">
            <w:pPr>
              <w:pStyle w:val="Prrafodelista"/>
              <w:rPr>
                <w:highlight w:val="yellow"/>
              </w:rPr>
            </w:pPr>
          </w:p>
          <w:p w14:paraId="1EA4B866" w14:textId="4458840A" w:rsidR="0016791E" w:rsidRPr="0016791E" w:rsidRDefault="0016791E" w:rsidP="006B1D08">
            <w:pPr>
              <w:pStyle w:val="Prrafodelista"/>
              <w:numPr>
                <w:ilvl w:val="0"/>
                <w:numId w:val="7"/>
              </w:numPr>
              <w:jc w:val="both"/>
            </w:pPr>
            <w:r w:rsidRPr="0016791E">
              <w:t xml:space="preserve">Los </w:t>
            </w:r>
            <w:r w:rsidR="00D71E6C">
              <w:t>l</w:t>
            </w:r>
            <w:r w:rsidRPr="0016791E">
              <w:t xml:space="preserve">aboratorios de </w:t>
            </w:r>
            <w:r w:rsidR="00D71E6C">
              <w:t>p</w:t>
            </w:r>
            <w:r w:rsidRPr="0016791E">
              <w:t xml:space="preserve">rueba y los </w:t>
            </w:r>
            <w:r w:rsidR="00D71E6C">
              <w:t>o</w:t>
            </w:r>
            <w:r w:rsidRPr="0016791E">
              <w:t xml:space="preserve">rganismos de </w:t>
            </w:r>
            <w:r w:rsidR="00D71E6C">
              <w:t>c</w:t>
            </w:r>
            <w:r w:rsidRPr="0016791E">
              <w:t>ertificación podrán llevar a cabo la evaluación de la conformidad, cuando se encuentren en condiciones de realizarla conforme a lo dispuesto en la DT IFT-01</w:t>
            </w:r>
            <w:r>
              <w:t>2</w:t>
            </w:r>
            <w:r w:rsidRPr="0016791E">
              <w:t>-201</w:t>
            </w:r>
            <w:r w:rsidR="00490B44">
              <w:t>9</w:t>
            </w:r>
            <w:r>
              <w:t xml:space="preserve">, </w:t>
            </w:r>
            <w:r w:rsidRPr="0016791E">
              <w:t>obteniendo previamente una acreditación y autorización.</w:t>
            </w:r>
          </w:p>
          <w:p w14:paraId="0E61BCC6" w14:textId="77777777" w:rsidR="0054441A" w:rsidRPr="006A010C" w:rsidRDefault="0054441A" w:rsidP="006B375E">
            <w:pPr>
              <w:jc w:val="both"/>
              <w:rPr>
                <w:rFonts w:eastAsia="ITC Avant Garde,ITC Avant Garde" w:cs="ITC Avant Garde,ITC Avant Garde"/>
              </w:rPr>
            </w:pPr>
          </w:p>
        </w:tc>
      </w:tr>
    </w:tbl>
    <w:p w14:paraId="787FD955" w14:textId="77777777" w:rsidR="001932FC" w:rsidRPr="006A010C" w:rsidRDefault="001932FC" w:rsidP="0024161C">
      <w:pPr>
        <w:spacing w:line="276" w:lineRule="auto"/>
        <w:jc w:val="both"/>
      </w:pPr>
    </w:p>
    <w:tbl>
      <w:tblPr>
        <w:tblStyle w:val="Tablaconcuadrcula"/>
        <w:tblW w:w="0" w:type="dxa"/>
        <w:tblLook w:val="04A0" w:firstRow="1" w:lastRow="0" w:firstColumn="1" w:lastColumn="0" w:noHBand="0" w:noVBand="1"/>
      </w:tblPr>
      <w:tblGrid>
        <w:gridCol w:w="8828"/>
      </w:tblGrid>
      <w:tr w:rsidR="00295E97" w:rsidRPr="006A010C" w14:paraId="5935CE2D" w14:textId="77777777" w:rsidTr="6647C3ED">
        <w:tc>
          <w:tcPr>
            <w:tcW w:w="8828" w:type="dxa"/>
          </w:tcPr>
          <w:p w14:paraId="5BC1857E" w14:textId="19AFA8CD" w:rsidR="00876D05" w:rsidRPr="006A010C" w:rsidRDefault="48ECE0BD" w:rsidP="0024161C">
            <w:pPr>
              <w:spacing w:line="276" w:lineRule="auto"/>
              <w:jc w:val="both"/>
              <w:rPr>
                <w:rFonts w:eastAsia="ITC Avant Garde" w:cs="ITC Avant Garde"/>
              </w:rPr>
            </w:pPr>
            <w:r w:rsidRPr="006A010C">
              <w:rPr>
                <w:rFonts w:eastAsia="ITC Avant Garde" w:cs="ITC Avant Garde"/>
                <w:b/>
                <w:bCs/>
              </w:rPr>
              <w:lastRenderedPageBreak/>
              <w:t xml:space="preserve">17.- Describa los esquemas de verificación y vigilancia, así como las sanciones que asegurarán el cumplimiento de las medidas propuesta por el </w:t>
            </w:r>
            <w:r w:rsidR="007E2E1A">
              <w:rPr>
                <w:rFonts w:eastAsia="ITC Avant Garde" w:cs="ITC Avant Garde"/>
                <w:b/>
                <w:bCs/>
              </w:rPr>
              <w:t>A</w:t>
            </w:r>
            <w:r w:rsidRPr="006A010C">
              <w:rPr>
                <w:rFonts w:eastAsia="ITC Avant Garde" w:cs="ITC Avant Garde"/>
                <w:b/>
                <w:bCs/>
              </w:rPr>
              <w:t>nteproyecto de regulación:</w:t>
            </w:r>
          </w:p>
          <w:p w14:paraId="2A2B171B" w14:textId="77777777" w:rsidR="00295E97" w:rsidRDefault="00295E97" w:rsidP="0024161C">
            <w:pPr>
              <w:spacing w:line="276" w:lineRule="auto"/>
              <w:jc w:val="both"/>
            </w:pPr>
          </w:p>
          <w:p w14:paraId="5222229A" w14:textId="47B034A5" w:rsidR="00B17C6D" w:rsidRPr="00B17C6D" w:rsidRDefault="007B6B71" w:rsidP="00B17C6D">
            <w:pPr>
              <w:pStyle w:val="Prrafodelista"/>
              <w:numPr>
                <w:ilvl w:val="0"/>
                <w:numId w:val="17"/>
              </w:numPr>
              <w:spacing w:line="276" w:lineRule="auto"/>
              <w:jc w:val="both"/>
            </w:pPr>
            <w:r w:rsidRPr="00B17C6D">
              <w:t>Conforme a lo establecido en el numeral 9 del Anteproyecto, c</w:t>
            </w:r>
            <w:r w:rsidR="00E12F84" w:rsidRPr="00B17C6D">
              <w:t>orresponde al Instituto, la verificación y vigilancia del cumplimiento de la presente DT, de conformidad con las disposiciones jurídicas aplicables</w:t>
            </w:r>
            <w:r w:rsidR="00C250C9" w:rsidRPr="00B17C6D">
              <w:t>.</w:t>
            </w:r>
          </w:p>
          <w:p w14:paraId="029645D7" w14:textId="034B2B6F" w:rsidR="00B17C6D" w:rsidRPr="00B17C6D" w:rsidRDefault="00B17C6D" w:rsidP="00B17C6D">
            <w:pPr>
              <w:pStyle w:val="Prrafodelista"/>
              <w:numPr>
                <w:ilvl w:val="0"/>
                <w:numId w:val="17"/>
              </w:numPr>
              <w:spacing w:line="276" w:lineRule="auto"/>
              <w:jc w:val="both"/>
            </w:pPr>
            <w:r w:rsidRPr="00B17C6D">
              <w:t xml:space="preserve">Para los efectos </w:t>
            </w:r>
            <w:r w:rsidR="00A10426">
              <w:t>del numeral</w:t>
            </w:r>
            <w:r w:rsidRPr="00B17C6D">
              <w:t xml:space="preserve"> anterior, el Instituto en colaboración con la Secretaría de Economía a través de la Procuraduría Federal del Consumidor determinarán las ciudades, las muestras y los sitios donde se llevarán a cabo las visitas de verificación y vigilancia del cumplimiento.</w:t>
            </w:r>
          </w:p>
          <w:p w14:paraId="5A01FF0D" w14:textId="7FBCB391" w:rsidR="00E12F84" w:rsidRDefault="00E12F84" w:rsidP="00B17C6D">
            <w:pPr>
              <w:pStyle w:val="Prrafodelista"/>
              <w:numPr>
                <w:ilvl w:val="0"/>
                <w:numId w:val="17"/>
              </w:numPr>
              <w:spacing w:line="276" w:lineRule="auto"/>
              <w:jc w:val="both"/>
            </w:pPr>
            <w:r w:rsidRPr="00B17C6D">
              <w:t>Las</w:t>
            </w:r>
            <w:r w:rsidR="00337902" w:rsidRPr="00B17C6D">
              <w:t xml:space="preserve"> </w:t>
            </w:r>
            <w:r w:rsidR="00B17C6D" w:rsidRPr="00B17C6D">
              <w:t xml:space="preserve">actividades de Vigilancia del cumplimiento de la certificación </w:t>
            </w:r>
            <w:r w:rsidR="00337902" w:rsidRPr="00B17C6D">
              <w:t xml:space="preserve">realizadas por los OC, </w:t>
            </w:r>
            <w:r w:rsidRPr="00B17C6D">
              <w:t xml:space="preserve">se podrán realizar en las bodegas </w:t>
            </w:r>
            <w:r w:rsidR="007B6B71" w:rsidRPr="00B17C6D">
              <w:t xml:space="preserve">propiedad </w:t>
            </w:r>
            <w:r w:rsidRPr="00B17C6D">
              <w:t>de los fabricantes, importadores, comercializadores, distribuidores o arrendadores, o en puntos de venta que se encuentren en el territorio nacional</w:t>
            </w:r>
            <w:r w:rsidR="007B6B71" w:rsidRPr="00B17C6D">
              <w:t>. Estas visitas</w:t>
            </w:r>
            <w:r w:rsidRPr="00B17C6D">
              <w:t xml:space="preserve"> se llevarán a cabo de conformidad con las disposiciones establecidas en la Ley y demás disposiciones jurídicas aplicables.</w:t>
            </w:r>
          </w:p>
          <w:p w14:paraId="19A28D8A" w14:textId="45EF35B7" w:rsidR="00C66F29" w:rsidRPr="00B17C6D" w:rsidRDefault="00C66F29" w:rsidP="00C66F29">
            <w:pPr>
              <w:pStyle w:val="Prrafodelista"/>
              <w:numPr>
                <w:ilvl w:val="0"/>
                <w:numId w:val="17"/>
              </w:numPr>
              <w:spacing w:line="276" w:lineRule="auto"/>
              <w:jc w:val="both"/>
            </w:pPr>
            <w:r w:rsidRPr="00C66F29">
              <w:t xml:space="preserve">El número anual de visitas de Vigilancia del cumplimiento de la </w:t>
            </w:r>
            <w:r w:rsidR="00A10426">
              <w:t>c</w:t>
            </w:r>
            <w:r w:rsidRPr="00C66F29">
              <w:t xml:space="preserve">ertificación se debe llevar a cabo sobre una porción no menor al cinco por ciento ni mayor al quince por ciento del total de certificados expedidos por cada </w:t>
            </w:r>
            <w:r w:rsidR="00A10426">
              <w:t>o</w:t>
            </w:r>
            <w:r w:rsidRPr="00C66F29">
              <w:t xml:space="preserve">rganismo de </w:t>
            </w:r>
            <w:r w:rsidR="00A10426">
              <w:t>c</w:t>
            </w:r>
            <w:r w:rsidRPr="00C66F29">
              <w:t xml:space="preserve">ertificación el año anterior a la Vigilancia del cumplimiento de la </w:t>
            </w:r>
            <w:r w:rsidR="00A10426">
              <w:t>c</w:t>
            </w:r>
            <w:r w:rsidRPr="00C66F29">
              <w:t>ertificación, seleccionados de manera aleatoria,</w:t>
            </w:r>
            <w:r>
              <w:t xml:space="preserve"> </w:t>
            </w:r>
            <w:r w:rsidRPr="00C66F29">
              <w:t xml:space="preserve">Al respecto, el </w:t>
            </w:r>
            <w:r w:rsidR="00A10426">
              <w:t>o</w:t>
            </w:r>
            <w:r w:rsidRPr="00C66F29">
              <w:t xml:space="preserve">rganismo de </w:t>
            </w:r>
            <w:r w:rsidR="00A10426">
              <w:t>c</w:t>
            </w:r>
            <w:r w:rsidRPr="00C66F29">
              <w:t>ertificación debe utilizar un algoritmo que genere números aleatorios sin repetición en presencia de un representante del Instituto</w:t>
            </w:r>
          </w:p>
          <w:p w14:paraId="56E036F4" w14:textId="5D57A9D1" w:rsidR="00175BEA" w:rsidRPr="00B17C6D" w:rsidRDefault="00175BEA" w:rsidP="00B17C6D">
            <w:pPr>
              <w:pStyle w:val="Prrafodelista"/>
              <w:numPr>
                <w:ilvl w:val="0"/>
                <w:numId w:val="17"/>
              </w:numPr>
              <w:spacing w:line="276" w:lineRule="auto"/>
              <w:jc w:val="both"/>
            </w:pPr>
            <w:r w:rsidRPr="00B17C6D">
              <w:t>En caso de incumplimiento del presente Anteproyecto, se aplicarán las sanciones en materia de telecomunicaciones y radiodifusión que correspondan de conformidad con la Ley y demás disposiciones jurídicas que correspondan.</w:t>
            </w:r>
          </w:p>
          <w:p w14:paraId="72A9051B" w14:textId="77777777" w:rsidR="00515CD3" w:rsidRPr="006A010C" w:rsidRDefault="00515CD3" w:rsidP="0024161C">
            <w:pPr>
              <w:spacing w:line="276" w:lineRule="auto"/>
              <w:jc w:val="both"/>
              <w:rPr>
                <w:rFonts w:eastAsia="ITC Avant Garde" w:cs="ITC Avant Garde"/>
              </w:rPr>
            </w:pPr>
          </w:p>
        </w:tc>
      </w:tr>
    </w:tbl>
    <w:p w14:paraId="00336773" w14:textId="77777777" w:rsidR="001932FC" w:rsidRPr="006A010C" w:rsidRDefault="001932FC" w:rsidP="0024161C">
      <w:pPr>
        <w:spacing w:line="276" w:lineRule="auto"/>
        <w:jc w:val="both"/>
      </w:pPr>
    </w:p>
    <w:p w14:paraId="4F1444C0" w14:textId="77777777" w:rsidR="001932FC" w:rsidRPr="006A010C" w:rsidRDefault="001932FC" w:rsidP="0087236C">
      <w:pPr>
        <w:pStyle w:val="Ttulo1"/>
      </w:pPr>
      <w:r w:rsidRPr="006A010C">
        <w:t>V. EVALUACIÓN DE LA PROPUESTA.</w:t>
      </w:r>
    </w:p>
    <w:tbl>
      <w:tblPr>
        <w:tblStyle w:val="Tablaconcuadrcula"/>
        <w:tblW w:w="0" w:type="dxa"/>
        <w:tblLook w:val="04A0" w:firstRow="1" w:lastRow="0" w:firstColumn="1" w:lastColumn="0" w:noHBand="0" w:noVBand="1"/>
      </w:tblPr>
      <w:tblGrid>
        <w:gridCol w:w="8828"/>
      </w:tblGrid>
      <w:tr w:rsidR="00876D05" w:rsidRPr="006A010C" w14:paraId="1BA2B45B" w14:textId="77777777" w:rsidTr="6647C3ED">
        <w:tc>
          <w:tcPr>
            <w:tcW w:w="8828" w:type="dxa"/>
          </w:tcPr>
          <w:p w14:paraId="579E4667" w14:textId="0C958C6F" w:rsidR="00876D05" w:rsidRPr="006A010C" w:rsidRDefault="48ECE0BD" w:rsidP="0024161C">
            <w:pPr>
              <w:spacing w:line="276" w:lineRule="auto"/>
              <w:jc w:val="both"/>
              <w:rPr>
                <w:rFonts w:eastAsia="ITC Avant Garde" w:cs="ITC Avant Garde"/>
              </w:rPr>
            </w:pPr>
            <w:r w:rsidRPr="006A010C">
              <w:rPr>
                <w:rFonts w:eastAsia="ITC Avant Garde" w:cs="ITC Avant Garde"/>
                <w:b/>
                <w:bCs/>
              </w:rPr>
              <w:t xml:space="preserve">18.- Describa la forma y los medios a través de los cuales serán evaluados los logros de los objetivos del </w:t>
            </w:r>
            <w:r w:rsidR="007E2E1A">
              <w:rPr>
                <w:rFonts w:eastAsia="ITC Avant Garde" w:cs="ITC Avant Garde"/>
                <w:b/>
                <w:bCs/>
              </w:rPr>
              <w:t>A</w:t>
            </w:r>
            <w:r w:rsidRPr="006A010C">
              <w:rPr>
                <w:rFonts w:eastAsia="ITC Avant Garde" w:cs="ITC Avant Garde"/>
                <w:b/>
                <w:bCs/>
              </w:rPr>
              <w:t>nteproyecto de regulación, así como el posible plazo para ello:</w:t>
            </w:r>
          </w:p>
          <w:p w14:paraId="6DFFBEAC" w14:textId="77777777" w:rsidR="00876D05" w:rsidRDefault="00876D05" w:rsidP="0024161C">
            <w:pPr>
              <w:spacing w:line="276" w:lineRule="auto"/>
              <w:jc w:val="both"/>
            </w:pPr>
          </w:p>
          <w:p w14:paraId="0742C3D9" w14:textId="0F3C18CA" w:rsidR="009C29DB" w:rsidRDefault="009C29DB" w:rsidP="0062677D">
            <w:pPr>
              <w:pStyle w:val="Prrafodelista"/>
              <w:numPr>
                <w:ilvl w:val="0"/>
                <w:numId w:val="8"/>
              </w:numPr>
              <w:spacing w:line="276" w:lineRule="auto"/>
              <w:jc w:val="both"/>
            </w:pPr>
            <w:r>
              <w:lastRenderedPageBreak/>
              <w:t xml:space="preserve">Mediante </w:t>
            </w:r>
            <w:r w:rsidRPr="00D71E6C">
              <w:t xml:space="preserve">informe </w:t>
            </w:r>
            <w:r w:rsidRPr="00D71E6C">
              <w:rPr>
                <w:rFonts w:eastAsia="ITC Avant Garde" w:cs="ITC Avant Garde"/>
              </w:rPr>
              <w:t xml:space="preserve">general </w:t>
            </w:r>
            <w:r w:rsidR="00E94042" w:rsidRPr="00D71E6C">
              <w:rPr>
                <w:rFonts w:eastAsia="ITC Avant Garde" w:cs="ITC Avant Garde"/>
              </w:rPr>
              <w:t xml:space="preserve">anual </w:t>
            </w:r>
            <w:r w:rsidRPr="00D71E6C">
              <w:rPr>
                <w:rFonts w:eastAsia="ITC Avant Garde" w:cs="ITC Avant Garde"/>
              </w:rPr>
              <w:t>r</w:t>
            </w:r>
            <w:r>
              <w:rPr>
                <w:rFonts w:eastAsia="ITC Avant Garde" w:cs="ITC Avant Garde"/>
              </w:rPr>
              <w:t xml:space="preserve">elativo a las visitas de Vigilancia del cumplimiento de la </w:t>
            </w:r>
            <w:r w:rsidR="00A10426">
              <w:rPr>
                <w:rFonts w:eastAsia="ITC Avant Garde" w:cs="ITC Avant Garde"/>
              </w:rPr>
              <w:t>c</w:t>
            </w:r>
            <w:r>
              <w:rPr>
                <w:rFonts w:eastAsia="ITC Avant Garde" w:cs="ITC Avant Garde"/>
              </w:rPr>
              <w:t>ertificación realizadas</w:t>
            </w:r>
            <w:r w:rsidR="00E94042">
              <w:rPr>
                <w:rFonts w:eastAsia="ITC Avant Garde" w:cs="ITC Avant Garde"/>
              </w:rPr>
              <w:t xml:space="preserve"> por los </w:t>
            </w:r>
            <w:r w:rsidR="00A10426">
              <w:rPr>
                <w:rFonts w:eastAsia="ITC Avant Garde" w:cs="ITC Avant Garde"/>
              </w:rPr>
              <w:t>o</w:t>
            </w:r>
            <w:r w:rsidR="00E94042">
              <w:rPr>
                <w:rFonts w:eastAsia="ITC Avant Garde" w:cs="ITC Avant Garde"/>
              </w:rPr>
              <w:t xml:space="preserve">rganismos de </w:t>
            </w:r>
            <w:r w:rsidR="00A10426">
              <w:rPr>
                <w:rFonts w:eastAsia="ITC Avant Garde" w:cs="ITC Avant Garde"/>
              </w:rPr>
              <w:t>c</w:t>
            </w:r>
            <w:r w:rsidR="00E94042">
              <w:rPr>
                <w:rFonts w:eastAsia="ITC Avant Garde" w:cs="ITC Avant Garde"/>
              </w:rPr>
              <w:t>ertificación</w:t>
            </w:r>
            <w:r>
              <w:rPr>
                <w:rFonts w:eastAsia="ITC Avant Garde" w:cs="ITC Avant Garde"/>
              </w:rPr>
              <w:t>.</w:t>
            </w:r>
          </w:p>
          <w:p w14:paraId="27601CF2" w14:textId="65966AA3" w:rsidR="009E6DCD" w:rsidRPr="0004377B" w:rsidRDefault="009E6DCD" w:rsidP="0062677D">
            <w:pPr>
              <w:pStyle w:val="Prrafodelista"/>
              <w:numPr>
                <w:ilvl w:val="0"/>
                <w:numId w:val="8"/>
              </w:numPr>
              <w:spacing w:line="276" w:lineRule="auto"/>
              <w:jc w:val="both"/>
            </w:pPr>
            <w:r w:rsidRPr="0004377B">
              <w:t>L</w:t>
            </w:r>
            <w:r w:rsidR="0048456E" w:rsidRPr="0004377B">
              <w:t>o</w:t>
            </w:r>
            <w:r w:rsidRPr="0004377B">
              <w:t xml:space="preserve">s </w:t>
            </w:r>
            <w:r w:rsidR="0048456E" w:rsidRPr="0004377B">
              <w:t>productos, equipos y dispositivos que estén destinados a conectarse a redes de telecomunicación o hagan uso del espectro radioeléctrico</w:t>
            </w:r>
            <w:r w:rsidRPr="0004377B">
              <w:t xml:space="preserve"> estarán sujetos a actividades de vigilancia por parte del Instituto </w:t>
            </w:r>
            <w:r w:rsidR="00E022BD" w:rsidRPr="0004377B">
              <w:t>y/</w:t>
            </w:r>
            <w:r w:rsidRPr="0004377B">
              <w:t>o del</w:t>
            </w:r>
            <w:r w:rsidR="0048456E" w:rsidRPr="0004377B">
              <w:t xml:space="preserve"> </w:t>
            </w:r>
            <w:r w:rsidR="00A10426">
              <w:t>o</w:t>
            </w:r>
            <w:r w:rsidR="0048456E" w:rsidRPr="0004377B">
              <w:t xml:space="preserve">rganismo de </w:t>
            </w:r>
            <w:r w:rsidR="00A10426">
              <w:t>e</w:t>
            </w:r>
            <w:r w:rsidR="00E022BD" w:rsidRPr="0004377B">
              <w:t>valuación</w:t>
            </w:r>
            <w:r w:rsidR="0048456E" w:rsidRPr="0004377B">
              <w:t xml:space="preserve"> de la </w:t>
            </w:r>
            <w:r w:rsidR="00A10426">
              <w:t>c</w:t>
            </w:r>
            <w:r w:rsidR="0048456E" w:rsidRPr="0004377B">
              <w:t>onformidad</w:t>
            </w:r>
            <w:r w:rsidRPr="0004377B">
              <w:t xml:space="preserve">, para comprobar que dichas </w:t>
            </w:r>
            <w:r w:rsidR="0048456E" w:rsidRPr="0004377B">
              <w:t>productos introducidos y comercializados en el mercado nacional</w:t>
            </w:r>
            <w:r w:rsidRPr="0004377B">
              <w:t xml:space="preserve"> continúen</w:t>
            </w:r>
            <w:r w:rsidR="00E022BD" w:rsidRPr="0004377B">
              <w:t xml:space="preserve"> con el</w:t>
            </w:r>
            <w:r w:rsidRPr="0004377B">
              <w:t xml:space="preserve"> cumplimiento </w:t>
            </w:r>
            <w:r w:rsidR="00E022BD" w:rsidRPr="0004377B">
              <w:t>de</w:t>
            </w:r>
            <w:r w:rsidRPr="0004377B">
              <w:t xml:space="preserve"> las condiciones y requisitos correspondientes.</w:t>
            </w:r>
          </w:p>
          <w:p w14:paraId="5161450C" w14:textId="77777777" w:rsidR="00330075" w:rsidRPr="006A010C" w:rsidRDefault="009E6DCD" w:rsidP="00D6574C">
            <w:pPr>
              <w:spacing w:line="276" w:lineRule="auto"/>
              <w:jc w:val="both"/>
              <w:rPr>
                <w:rFonts w:eastAsia="ITC Avant Garde" w:cs="ITC Avant Garde"/>
              </w:rPr>
            </w:pPr>
            <w:r w:rsidRPr="0004377B">
              <w:t>El Instituto revisará al menos a los 5 años contados a partir de su entrada en vigor de</w:t>
            </w:r>
            <w:r w:rsidR="00D6574C">
              <w:t>l Anteproyecto de mérito</w:t>
            </w:r>
            <w:r w:rsidRPr="0004377B">
              <w:t>. Lo anterior, de ninguna manera limita las atribuciones del Instituto para realizar dicha revisión en cualquier momento, dentro del periodo establecido</w:t>
            </w:r>
          </w:p>
        </w:tc>
      </w:tr>
    </w:tbl>
    <w:p w14:paraId="4BEDB61D" w14:textId="77777777" w:rsidR="00BF3ED6" w:rsidRPr="006A010C" w:rsidRDefault="00BF3ED6" w:rsidP="00E77639">
      <w:pPr>
        <w:spacing w:line="276" w:lineRule="auto"/>
        <w:jc w:val="both"/>
      </w:pPr>
    </w:p>
    <w:p w14:paraId="79705312" w14:textId="77777777" w:rsidR="001932FC" w:rsidRPr="006A010C" w:rsidRDefault="001932FC" w:rsidP="0087236C">
      <w:pPr>
        <w:pStyle w:val="Ttulo1"/>
      </w:pPr>
      <w:r w:rsidRPr="006A010C">
        <w:t>VI. CONSULTA PÚBLICA.</w:t>
      </w:r>
    </w:p>
    <w:tbl>
      <w:tblPr>
        <w:tblStyle w:val="Tablaconcuadrcula"/>
        <w:tblW w:w="0" w:type="dxa"/>
        <w:tblLook w:val="04A0" w:firstRow="1" w:lastRow="0" w:firstColumn="1" w:lastColumn="0" w:noHBand="0" w:noVBand="1"/>
        <w:tblCaption w:val=""/>
        <w:tblDescription w:val=""/>
      </w:tblPr>
      <w:tblGrid>
        <w:gridCol w:w="8828"/>
      </w:tblGrid>
      <w:tr w:rsidR="0086684A" w:rsidRPr="006A010C" w14:paraId="27E23915" w14:textId="77777777" w:rsidTr="26EF7CAD">
        <w:tc>
          <w:tcPr>
            <w:tcW w:w="8828" w:type="dxa"/>
          </w:tcPr>
          <w:p w14:paraId="652FBFE4" w14:textId="12C37938" w:rsidR="0086684A" w:rsidRPr="006A010C" w:rsidRDefault="48ECE0BD" w:rsidP="00E77639">
            <w:pPr>
              <w:spacing w:line="276" w:lineRule="auto"/>
              <w:jc w:val="both"/>
              <w:rPr>
                <w:rFonts w:eastAsia="ITC Avant Garde" w:cs="ITC Avant Garde"/>
                <w:b/>
                <w:bCs/>
              </w:rPr>
            </w:pPr>
            <w:r w:rsidRPr="006A010C">
              <w:rPr>
                <w:rFonts w:eastAsia="ITC Avant Garde" w:cs="ITC Avant Garde"/>
                <w:b/>
                <w:bCs/>
              </w:rPr>
              <w:t xml:space="preserve">19.- ¿Se consultó a las partes y/o grupos interesados en la elaboración del presente </w:t>
            </w:r>
            <w:r w:rsidR="007E2E1A">
              <w:rPr>
                <w:rFonts w:eastAsia="ITC Avant Garde" w:cs="ITC Avant Garde"/>
                <w:b/>
                <w:bCs/>
              </w:rPr>
              <w:t>A</w:t>
            </w:r>
            <w:r w:rsidRPr="006A010C">
              <w:rPr>
                <w:rFonts w:eastAsia="ITC Avant Garde" w:cs="ITC Avant Garde"/>
                <w:b/>
                <w:bCs/>
              </w:rPr>
              <w:t>nteproyecto de regulación?</w:t>
            </w:r>
          </w:p>
          <w:p w14:paraId="73E16C76" w14:textId="77777777" w:rsidR="00A73AD8" w:rsidRDefault="00A73AD8" w:rsidP="0087236C">
            <w:pPr>
              <w:spacing w:line="276" w:lineRule="auto"/>
              <w:jc w:val="both"/>
              <w:rPr>
                <w:rFonts w:eastAsia="ITC Avant Garde" w:cs="ITC Avant Garde"/>
              </w:rPr>
            </w:pPr>
          </w:p>
          <w:p w14:paraId="2A0AD485" w14:textId="77777777" w:rsidR="009E6DCD" w:rsidRPr="0087236C" w:rsidRDefault="009E6DCD" w:rsidP="009E6DCD">
            <w:pPr>
              <w:spacing w:line="276" w:lineRule="auto"/>
              <w:jc w:val="both"/>
              <w:rPr>
                <w:rFonts w:eastAsia="ITC Avant Garde" w:cs="ITC Avant Garde"/>
                <w:u w:val="single"/>
              </w:rPr>
            </w:pPr>
            <w:r w:rsidRPr="0087236C">
              <w:rPr>
                <w:rFonts w:eastAsia="ITC Avant Garde" w:cs="ITC Avant Garde"/>
                <w:u w:val="single"/>
              </w:rPr>
              <w:t>Si.</w:t>
            </w:r>
          </w:p>
          <w:p w14:paraId="7C87AA49" w14:textId="77777777" w:rsidR="009E6DCD" w:rsidRPr="009E6DCD" w:rsidRDefault="009E6DCD" w:rsidP="009E6DCD">
            <w:pPr>
              <w:spacing w:line="276" w:lineRule="auto"/>
              <w:jc w:val="both"/>
              <w:rPr>
                <w:rFonts w:eastAsia="ITC Avant Garde" w:cs="ITC Avant Garde"/>
              </w:rPr>
            </w:pPr>
          </w:p>
          <w:p w14:paraId="7B9CA6A8" w14:textId="6BDB4F59" w:rsidR="00147063" w:rsidRDefault="009E6DCD" w:rsidP="0087236C">
            <w:pPr>
              <w:spacing w:line="276" w:lineRule="auto"/>
              <w:jc w:val="both"/>
              <w:rPr>
                <w:rFonts w:eastAsia="ITC Avant Garde" w:cs="ITC Avant Garde"/>
              </w:rPr>
            </w:pPr>
            <w:r w:rsidRPr="009E6DCD">
              <w:rPr>
                <w:rFonts w:eastAsia="ITC Avant Garde" w:cs="ITC Avant Garde"/>
              </w:rPr>
              <w:t>Inicialmente se llevó a cabo una primera consulta</w:t>
            </w:r>
            <w:r w:rsidR="006E4EEB">
              <w:rPr>
                <w:rFonts w:eastAsia="ITC Avant Garde" w:cs="ITC Avant Garde"/>
              </w:rPr>
              <w:t xml:space="preserve"> pública</w:t>
            </w:r>
            <w:r w:rsidRPr="009E6DCD">
              <w:rPr>
                <w:rFonts w:eastAsia="ITC Avant Garde" w:cs="ITC Avant Garde"/>
              </w:rPr>
              <w:t xml:space="preserve"> del</w:t>
            </w:r>
            <w:r w:rsidR="006E4EEB">
              <w:rPr>
                <w:rFonts w:eastAsia="ITC Avant Garde" w:cs="ITC Avant Garde"/>
              </w:rPr>
              <w:t xml:space="preserve"> </w:t>
            </w:r>
            <w:r w:rsidR="007865E9">
              <w:rPr>
                <w:rFonts w:eastAsia="ITC Avant Garde" w:cs="ITC Avant Garde"/>
              </w:rPr>
              <w:t>Anteproyecto del</w:t>
            </w:r>
            <w:r w:rsidRPr="009E6DCD">
              <w:rPr>
                <w:rFonts w:eastAsia="ITC Avant Garde" w:cs="ITC Avant Garde"/>
              </w:rPr>
              <w:t xml:space="preserve"> </w:t>
            </w:r>
            <w:r w:rsidRPr="00D71E6C">
              <w:rPr>
                <w:rFonts w:eastAsia="ITC Avant Garde" w:cs="ITC Avant Garde"/>
              </w:rPr>
              <w:t xml:space="preserve">10 </w:t>
            </w:r>
            <w:r w:rsidR="0004377B" w:rsidRPr="00D71E6C">
              <w:rPr>
                <w:rFonts w:eastAsia="ITC Avant Garde" w:cs="ITC Avant Garde"/>
              </w:rPr>
              <w:t xml:space="preserve">al </w:t>
            </w:r>
            <w:r w:rsidRPr="00D71E6C">
              <w:rPr>
                <w:rFonts w:eastAsia="ITC Avant Garde" w:cs="ITC Avant Garde"/>
              </w:rPr>
              <w:t>20 de agosto de 2015</w:t>
            </w:r>
            <w:r w:rsidRPr="009E6DCD">
              <w:rPr>
                <w:rFonts w:eastAsia="ITC Avant Garde" w:cs="ITC Avant Garde"/>
              </w:rPr>
              <w:t xml:space="preserve"> (20 días hábiles), </w:t>
            </w:r>
            <w:r w:rsidR="002D6BD2">
              <w:rPr>
                <w:rFonts w:eastAsia="ITC Avant Garde" w:cs="ITC Avant Garde"/>
              </w:rPr>
              <w:t xml:space="preserve">en la cual </w:t>
            </w:r>
            <w:r w:rsidRPr="009E6DCD">
              <w:rPr>
                <w:rFonts w:eastAsia="ITC Avant Garde" w:cs="ITC Avant Garde"/>
              </w:rPr>
              <w:t xml:space="preserve">se recibieron </w:t>
            </w:r>
            <w:r w:rsidR="00E94042">
              <w:rPr>
                <w:rFonts w:eastAsia="ITC Avant Garde" w:cs="ITC Avant Garde"/>
              </w:rPr>
              <w:t xml:space="preserve">14 participaciones de personas morales y 6 de personas físicas. Entre los </w:t>
            </w:r>
            <w:r w:rsidRPr="009E6DCD">
              <w:rPr>
                <w:rFonts w:eastAsia="ITC Avant Garde" w:cs="ITC Avant Garde"/>
              </w:rPr>
              <w:t>diversos comentarios</w:t>
            </w:r>
            <w:r w:rsidR="00E94042">
              <w:rPr>
                <w:rFonts w:eastAsia="ITC Avant Garde" w:cs="ITC Avant Garde"/>
              </w:rPr>
              <w:t xml:space="preserve"> recibidos,</w:t>
            </w:r>
            <w:r w:rsidRPr="009E6DCD">
              <w:rPr>
                <w:rFonts w:eastAsia="ITC Avant Garde" w:cs="ITC Avant Garde"/>
              </w:rPr>
              <w:t xml:space="preserve"> </w:t>
            </w:r>
            <w:r w:rsidR="002D6BD2">
              <w:rPr>
                <w:rFonts w:eastAsia="ITC Avant Garde" w:cs="ITC Avant Garde"/>
              </w:rPr>
              <w:t>existi</w:t>
            </w:r>
            <w:r w:rsidR="007865E9">
              <w:rPr>
                <w:rFonts w:eastAsia="ITC Avant Garde" w:cs="ITC Avant Garde"/>
              </w:rPr>
              <w:t>ó</w:t>
            </w:r>
            <w:r w:rsidR="002D6BD2">
              <w:rPr>
                <w:rFonts w:eastAsia="ITC Avant Garde" w:cs="ITC Avant Garde"/>
              </w:rPr>
              <w:t xml:space="preserve"> </w:t>
            </w:r>
            <w:r w:rsidR="00E94042">
              <w:rPr>
                <w:rFonts w:eastAsia="ITC Avant Garde" w:cs="ITC Avant Garde"/>
              </w:rPr>
              <w:t xml:space="preserve"> la solicitud </w:t>
            </w:r>
            <w:r w:rsidRPr="009E6DCD">
              <w:rPr>
                <w:rFonts w:eastAsia="ITC Avant Garde" w:cs="ITC Avant Garde"/>
              </w:rPr>
              <w:t xml:space="preserve">de separar el </w:t>
            </w:r>
            <w:r w:rsidR="0054441A">
              <w:rPr>
                <w:rFonts w:eastAsia="ITC Avant Garde" w:cs="ITC Avant Garde"/>
              </w:rPr>
              <w:t>A</w:t>
            </w:r>
            <w:r w:rsidRPr="009E6DCD">
              <w:rPr>
                <w:rFonts w:eastAsia="ITC Avant Garde" w:cs="ITC Avant Garde"/>
              </w:rPr>
              <w:t>nteproyecto de Disposición Técnica, en dos nuevos proyectos</w:t>
            </w:r>
            <w:r w:rsidR="007865E9">
              <w:rPr>
                <w:rFonts w:eastAsia="ITC Avant Garde" w:cs="ITC Avant Garde"/>
              </w:rPr>
              <w:t>;</w:t>
            </w:r>
            <w:r w:rsidRPr="009E6DCD">
              <w:rPr>
                <w:rFonts w:eastAsia="ITC Avant Garde" w:cs="ITC Avant Garde"/>
              </w:rPr>
              <w:t xml:space="preserve"> uno que estableciera las especificaciones técnicas referentes a los límites de exposición máxima para seres humanos cercanos a emisores de campos electromagnéticos en el entorno de radiocomunicaciones</w:t>
            </w:r>
            <w:r w:rsidR="007865E9">
              <w:rPr>
                <w:rFonts w:eastAsia="ITC Avant Garde" w:cs="ITC Avant Garde"/>
              </w:rPr>
              <w:t xml:space="preserve"> y</w:t>
            </w:r>
            <w:r w:rsidRPr="009E6DCD">
              <w:rPr>
                <w:rFonts w:eastAsia="ITC Avant Garde" w:cs="ITC Avant Garde"/>
              </w:rPr>
              <w:t xml:space="preserve"> los métodos de prueba requeridos para evaluar su cumplimiento y, otro relativo a niveles de SAR para </w:t>
            </w:r>
            <w:r w:rsidR="007865E9">
              <w:rPr>
                <w:rFonts w:eastAsia="ITC Avant Garde" w:cs="ITC Avant Garde"/>
              </w:rPr>
              <w:t>productos, equipos, dispositivos o aparatos de telecomunicaciones</w:t>
            </w:r>
            <w:r w:rsidRPr="009E6DCD">
              <w:rPr>
                <w:rFonts w:eastAsia="ITC Avant Garde" w:cs="ITC Avant Garde"/>
              </w:rPr>
              <w:t xml:space="preserve"> y su</w:t>
            </w:r>
            <w:r>
              <w:rPr>
                <w:rFonts w:eastAsia="ITC Avant Garde" w:cs="ITC Avant Garde"/>
              </w:rPr>
              <w:t>s respectivos métodos de prueba</w:t>
            </w:r>
            <w:r w:rsidR="002D6BD2">
              <w:rPr>
                <w:rFonts w:eastAsia="ITC Avant Garde" w:cs="ITC Avant Garde"/>
              </w:rPr>
              <w:t xml:space="preserve"> considerando la normatividad internacional</w:t>
            </w:r>
            <w:r>
              <w:rPr>
                <w:rFonts w:eastAsia="ITC Avant Garde" w:cs="ITC Avant Garde"/>
              </w:rPr>
              <w:t>.</w:t>
            </w:r>
            <w:r w:rsidR="003F42FC">
              <w:rPr>
                <w:rFonts w:eastAsia="ITC Avant Garde" w:cs="ITC Avant Garde"/>
              </w:rPr>
              <w:t xml:space="preserve"> </w:t>
            </w:r>
            <w:r w:rsidR="00147063" w:rsidRPr="00147063">
              <w:rPr>
                <w:rFonts w:eastAsia="ITC Avant Garde" w:cs="ITC Avant Garde"/>
              </w:rPr>
              <w:t>En virtud de lo anterior</w:t>
            </w:r>
            <w:r w:rsidR="007865E9">
              <w:rPr>
                <w:rFonts w:eastAsia="ITC Avant Garde" w:cs="ITC Avant Garde"/>
              </w:rPr>
              <w:t>,</w:t>
            </w:r>
            <w:r w:rsidR="00147063" w:rsidRPr="00147063">
              <w:rPr>
                <w:rFonts w:eastAsia="ITC Avant Garde" w:cs="ITC Avant Garde"/>
              </w:rPr>
              <w:t xml:space="preserve"> se sometió nuevamente a consulta pública el </w:t>
            </w:r>
            <w:r w:rsidR="007865E9">
              <w:rPr>
                <w:rFonts w:eastAsia="ITC Avant Garde" w:cs="ITC Avant Garde"/>
              </w:rPr>
              <w:t xml:space="preserve">actual </w:t>
            </w:r>
            <w:r w:rsidR="00147063" w:rsidRPr="00147063">
              <w:rPr>
                <w:rFonts w:eastAsia="ITC Avant Garde" w:cs="ITC Avant Garde"/>
              </w:rPr>
              <w:t xml:space="preserve">Anteproyecto por un periodo de </w:t>
            </w:r>
            <w:r w:rsidR="00147063">
              <w:rPr>
                <w:rFonts w:eastAsia="ITC Avant Garde" w:cs="ITC Avant Garde"/>
              </w:rPr>
              <w:t>61</w:t>
            </w:r>
            <w:r w:rsidR="00147063" w:rsidRPr="00147063">
              <w:rPr>
                <w:rFonts w:eastAsia="ITC Avant Garde" w:cs="ITC Avant Garde"/>
              </w:rPr>
              <w:t xml:space="preserve"> días hábiles d</w:t>
            </w:r>
            <w:r w:rsidR="00147063">
              <w:rPr>
                <w:rFonts w:eastAsia="ITC Avant Garde" w:cs="ITC Avant Garde"/>
              </w:rPr>
              <w:t>el 13 de diciembre de 2016 al 23</w:t>
            </w:r>
            <w:r w:rsidR="00147063" w:rsidRPr="00147063">
              <w:rPr>
                <w:rFonts w:eastAsia="ITC Avant Garde" w:cs="ITC Avant Garde"/>
              </w:rPr>
              <w:t xml:space="preserve"> de </w:t>
            </w:r>
            <w:r w:rsidR="00147063">
              <w:rPr>
                <w:rFonts w:eastAsia="ITC Avant Garde" w:cs="ITC Avant Garde"/>
              </w:rPr>
              <w:t>marz</w:t>
            </w:r>
            <w:r w:rsidR="00147063" w:rsidRPr="00147063">
              <w:rPr>
                <w:rFonts w:eastAsia="ITC Avant Garde" w:cs="ITC Avant Garde"/>
              </w:rPr>
              <w:t>o de 2017</w:t>
            </w:r>
            <w:r w:rsidR="001A603F">
              <w:rPr>
                <w:rStyle w:val="Refdenotaalpie"/>
                <w:rFonts w:eastAsia="ITC Avant Garde" w:cs="ITC Avant Garde"/>
              </w:rPr>
              <w:footnoteReference w:id="29"/>
            </w:r>
            <w:r w:rsidR="00147063" w:rsidRPr="00147063">
              <w:rPr>
                <w:rFonts w:eastAsia="ITC Avant Garde" w:cs="ITC Avant Garde"/>
              </w:rPr>
              <w:t>.</w:t>
            </w:r>
          </w:p>
          <w:p w14:paraId="43B269DA" w14:textId="77777777" w:rsidR="00CF4364" w:rsidRDefault="00CF4364" w:rsidP="00CF4364">
            <w:pPr>
              <w:spacing w:line="276" w:lineRule="auto"/>
              <w:jc w:val="both"/>
              <w:rPr>
                <w:rFonts w:eastAsia="ITC Avant Garde" w:cs="ITC Avant Garde"/>
              </w:rPr>
            </w:pPr>
          </w:p>
          <w:p w14:paraId="2E939C8C" w14:textId="6B00B64E" w:rsidR="00CF4364" w:rsidRPr="00CF4364" w:rsidRDefault="007865E9" w:rsidP="00CF4364">
            <w:pPr>
              <w:spacing w:line="276" w:lineRule="auto"/>
              <w:jc w:val="both"/>
              <w:rPr>
                <w:rFonts w:eastAsia="ITC Avant Garde" w:cs="ITC Avant Garde"/>
              </w:rPr>
            </w:pPr>
            <w:r>
              <w:rPr>
                <w:rFonts w:eastAsia="ITC Avant Garde" w:cs="ITC Avant Garde"/>
              </w:rPr>
              <w:lastRenderedPageBreak/>
              <w:t>Como r</w:t>
            </w:r>
            <w:r w:rsidR="00CF4364">
              <w:rPr>
                <w:rFonts w:eastAsia="ITC Avant Garde" w:cs="ITC Avant Garde"/>
              </w:rPr>
              <w:t>esultado de dicha consulta pública</w:t>
            </w:r>
            <w:r w:rsidR="003F42FC">
              <w:rPr>
                <w:rFonts w:eastAsia="ITC Avant Garde" w:cs="ITC Avant Garde"/>
              </w:rPr>
              <w:t xml:space="preserve"> </w:t>
            </w:r>
            <w:r w:rsidR="00D6574C">
              <w:rPr>
                <w:rFonts w:eastAsia="ITC Avant Garde" w:cs="ITC Avant Garde"/>
              </w:rPr>
              <w:t>se recibieron</w:t>
            </w:r>
            <w:r w:rsidR="003F42FC" w:rsidRPr="003F42FC">
              <w:rPr>
                <w:rFonts w:eastAsia="ITC Avant Garde" w:cs="ITC Avant Garde"/>
              </w:rPr>
              <w:t xml:space="preserve"> diversos comentarios</w:t>
            </w:r>
            <w:r>
              <w:rPr>
                <w:rFonts w:eastAsia="ITC Avant Garde" w:cs="ITC Avant Garde"/>
              </w:rPr>
              <w:t xml:space="preserve"> de </w:t>
            </w:r>
            <w:r w:rsidRPr="00CF4364">
              <w:rPr>
                <w:rFonts w:eastAsia="ITC Avant Garde" w:cs="ITC Avant Garde"/>
              </w:rPr>
              <w:t>11 personas morales</w:t>
            </w:r>
            <w:r w:rsidR="003F42FC" w:rsidRPr="003F42FC">
              <w:rPr>
                <w:rFonts w:eastAsia="ITC Avant Garde" w:cs="ITC Avant Garde"/>
              </w:rPr>
              <w:t>, los cuales fueron valorados y, en su caso, integrados en la versión final del Anteproyecto</w:t>
            </w:r>
            <w:r w:rsidR="003F42FC">
              <w:rPr>
                <w:rFonts w:eastAsia="ITC Avant Garde" w:cs="ITC Avant Garde"/>
              </w:rPr>
              <w:t xml:space="preserve">. </w:t>
            </w:r>
            <w:r>
              <w:rPr>
                <w:rFonts w:eastAsia="ITC Avant Garde" w:cs="ITC Avant Garde"/>
              </w:rPr>
              <w:t>L</w:t>
            </w:r>
            <w:r w:rsidR="00CF4364" w:rsidRPr="00CF4364">
              <w:rPr>
                <w:rFonts w:eastAsia="ITC Avant Garde" w:cs="ITC Avant Garde"/>
              </w:rPr>
              <w:t>as cuales se listan a continuación:</w:t>
            </w:r>
          </w:p>
          <w:p w14:paraId="6FE98438" w14:textId="77777777" w:rsidR="00CF4364" w:rsidRDefault="00CF4364" w:rsidP="00CF4364">
            <w:pPr>
              <w:spacing w:line="276" w:lineRule="auto"/>
              <w:jc w:val="both"/>
              <w:rPr>
                <w:rFonts w:eastAsia="ITC Avant Garde" w:cs="ITC Avant Garde"/>
              </w:rPr>
            </w:pPr>
          </w:p>
          <w:tbl>
            <w:tblPr>
              <w:tblStyle w:val="Tabladecuadrcula5oscura-nfasis61"/>
              <w:tblW w:w="5000" w:type="pct"/>
              <w:tblLook w:val="04A0" w:firstRow="1" w:lastRow="0" w:firstColumn="1" w:lastColumn="0" w:noHBand="0" w:noVBand="1"/>
            </w:tblPr>
            <w:tblGrid>
              <w:gridCol w:w="1844"/>
              <w:gridCol w:w="5442"/>
              <w:gridCol w:w="1316"/>
            </w:tblGrid>
            <w:tr w:rsidR="00454C4D" w:rsidRPr="00CF4364" w14:paraId="4E6F39F0" w14:textId="77777777" w:rsidTr="00833D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vAlign w:val="center"/>
                </w:tcPr>
                <w:p w14:paraId="6C823E9E" w14:textId="77777777" w:rsidR="00454C4D" w:rsidRPr="00CF4364" w:rsidRDefault="00454C4D" w:rsidP="00454C4D">
                  <w:pPr>
                    <w:spacing w:line="276" w:lineRule="auto"/>
                    <w:jc w:val="center"/>
                    <w:rPr>
                      <w:rFonts w:eastAsia="ITC Avant Garde" w:cs="ITC Avant Garde"/>
                    </w:rPr>
                  </w:pPr>
                  <w:r w:rsidRPr="00CF4364">
                    <w:rPr>
                      <w:rFonts w:eastAsia="ITC Avant Garde" w:cs="ITC Avant Garde"/>
                    </w:rPr>
                    <w:t>Número Consecutivo</w:t>
                  </w:r>
                </w:p>
              </w:tc>
              <w:tc>
                <w:tcPr>
                  <w:tcW w:w="3100" w:type="pct"/>
                  <w:vAlign w:val="center"/>
                </w:tcPr>
                <w:p w14:paraId="5BA9315A" w14:textId="77777777" w:rsidR="00454C4D" w:rsidRPr="00CF4364" w:rsidRDefault="00454C4D" w:rsidP="00454C4D">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ITC Avant Garde" w:cs="ITC Avant Garde"/>
                    </w:rPr>
                  </w:pPr>
                  <w:r w:rsidRPr="00CF4364">
                    <w:rPr>
                      <w:rFonts w:eastAsia="ITC Avant Garde" w:cs="ITC Avant Garde"/>
                    </w:rPr>
                    <w:t>Nombre</w:t>
                  </w:r>
                </w:p>
              </w:tc>
              <w:tc>
                <w:tcPr>
                  <w:tcW w:w="750" w:type="pct"/>
                  <w:vAlign w:val="center"/>
                </w:tcPr>
                <w:p w14:paraId="04D73093" w14:textId="77777777" w:rsidR="00454C4D" w:rsidRPr="00CF4364" w:rsidRDefault="00454C4D" w:rsidP="00454C4D">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ITC Avant Garde" w:cs="ITC Avant Garde"/>
                    </w:rPr>
                  </w:pPr>
                  <w:r w:rsidRPr="00CF4364">
                    <w:rPr>
                      <w:rFonts w:eastAsia="ITC Avant Garde" w:cs="ITC Avant Garde"/>
                    </w:rPr>
                    <w:t>Régimen Fiscal</w:t>
                  </w:r>
                </w:p>
              </w:tc>
            </w:tr>
            <w:tr w:rsidR="00454C4D" w:rsidRPr="00CF4364" w14:paraId="7C3FF0A1" w14:textId="77777777" w:rsidTr="00833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vAlign w:val="center"/>
                </w:tcPr>
                <w:p w14:paraId="1C0E916B" w14:textId="77777777" w:rsidR="00454C4D" w:rsidRPr="00CF4364" w:rsidRDefault="00454C4D" w:rsidP="00454C4D">
                  <w:pPr>
                    <w:spacing w:line="276" w:lineRule="auto"/>
                    <w:jc w:val="center"/>
                    <w:rPr>
                      <w:rFonts w:eastAsia="ITC Avant Garde" w:cs="ITC Avant Garde"/>
                    </w:rPr>
                  </w:pPr>
                  <w:r w:rsidRPr="00CF4364">
                    <w:rPr>
                      <w:rFonts w:eastAsia="ITC Avant Garde" w:cs="ITC Avant Garde"/>
                    </w:rPr>
                    <w:t>1</w:t>
                  </w:r>
                </w:p>
              </w:tc>
              <w:tc>
                <w:tcPr>
                  <w:tcW w:w="3100" w:type="pct"/>
                  <w:vAlign w:val="center"/>
                </w:tcPr>
                <w:p w14:paraId="75ED788E" w14:textId="77777777" w:rsidR="00454C4D" w:rsidRPr="00CF4364" w:rsidRDefault="00454C4D" w:rsidP="00454C4D">
                  <w:pPr>
                    <w:spacing w:line="276" w:lineRule="auto"/>
                    <w:cnfStyle w:val="000000100000" w:firstRow="0" w:lastRow="0" w:firstColumn="0" w:lastColumn="0" w:oddVBand="0" w:evenVBand="0" w:oddHBand="1" w:evenHBand="0" w:firstRowFirstColumn="0" w:firstRowLastColumn="0" w:lastRowFirstColumn="0" w:lastRowLastColumn="0"/>
                    <w:rPr>
                      <w:rFonts w:eastAsia="ITC Avant Garde" w:cs="ITC Avant Garde"/>
                    </w:rPr>
                  </w:pPr>
                  <w:r w:rsidRPr="00CF4364">
                    <w:rPr>
                      <w:rFonts w:eastAsia="ITC Avant Garde" w:cs="ITC Avant Garde"/>
                    </w:rPr>
                    <w:t>Asociación Nacional de Telecomunicaciones, A.C. (ANATEL)</w:t>
                  </w:r>
                </w:p>
              </w:tc>
              <w:tc>
                <w:tcPr>
                  <w:tcW w:w="750" w:type="pct"/>
                  <w:vAlign w:val="center"/>
                </w:tcPr>
                <w:p w14:paraId="3236D2C0" w14:textId="77777777" w:rsidR="00454C4D" w:rsidRPr="00CF4364" w:rsidRDefault="00454C4D" w:rsidP="00454C4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ITC Avant Garde" w:cs="ITC Avant Garde"/>
                    </w:rPr>
                  </w:pPr>
                  <w:r w:rsidRPr="00CF4364">
                    <w:rPr>
                      <w:rFonts w:eastAsia="ITC Avant Garde" w:cs="ITC Avant Garde"/>
                    </w:rPr>
                    <w:t>Moral</w:t>
                  </w:r>
                </w:p>
              </w:tc>
            </w:tr>
            <w:tr w:rsidR="00454C4D" w:rsidRPr="00CF4364" w14:paraId="5CECD8A9" w14:textId="77777777" w:rsidTr="00833DC2">
              <w:tc>
                <w:tcPr>
                  <w:cnfStyle w:val="001000000000" w:firstRow="0" w:lastRow="0" w:firstColumn="1" w:lastColumn="0" w:oddVBand="0" w:evenVBand="0" w:oddHBand="0" w:evenHBand="0" w:firstRowFirstColumn="0" w:firstRowLastColumn="0" w:lastRowFirstColumn="0" w:lastRowLastColumn="0"/>
                  <w:tcW w:w="1050" w:type="pct"/>
                  <w:vAlign w:val="center"/>
                </w:tcPr>
                <w:p w14:paraId="3BFF4B5F" w14:textId="77777777" w:rsidR="00454C4D" w:rsidRPr="00CF4364" w:rsidRDefault="00454C4D" w:rsidP="00454C4D">
                  <w:pPr>
                    <w:spacing w:line="276" w:lineRule="auto"/>
                    <w:jc w:val="center"/>
                    <w:rPr>
                      <w:rFonts w:eastAsia="ITC Avant Garde" w:cs="ITC Avant Garde"/>
                    </w:rPr>
                  </w:pPr>
                  <w:r w:rsidRPr="00CF4364">
                    <w:rPr>
                      <w:rFonts w:eastAsia="ITC Avant Garde" w:cs="ITC Avant Garde"/>
                    </w:rPr>
                    <w:t>2</w:t>
                  </w:r>
                </w:p>
              </w:tc>
              <w:tc>
                <w:tcPr>
                  <w:tcW w:w="3100" w:type="pct"/>
                  <w:vAlign w:val="center"/>
                </w:tcPr>
                <w:p w14:paraId="4BFB5128" w14:textId="77777777" w:rsidR="00454C4D" w:rsidRPr="00CF4364" w:rsidRDefault="00454C4D" w:rsidP="00454C4D">
                  <w:pPr>
                    <w:spacing w:line="276" w:lineRule="auto"/>
                    <w:cnfStyle w:val="000000000000" w:firstRow="0" w:lastRow="0" w:firstColumn="0" w:lastColumn="0" w:oddVBand="0" w:evenVBand="0" w:oddHBand="0" w:evenHBand="0" w:firstRowFirstColumn="0" w:firstRowLastColumn="0" w:lastRowFirstColumn="0" w:lastRowLastColumn="0"/>
                    <w:rPr>
                      <w:rFonts w:eastAsia="ITC Avant Garde" w:cs="ITC Avant Garde"/>
                    </w:rPr>
                  </w:pPr>
                  <w:r w:rsidRPr="00CF4364">
                    <w:rPr>
                      <w:rFonts w:eastAsia="ITC Avant Garde" w:cs="ITC Avant Garde"/>
                    </w:rPr>
                    <w:t>Cámara Nacional de la Industria Electrónica, de Telecomunicaciones y Tecnologías de la Información (CANIETI)</w:t>
                  </w:r>
                </w:p>
              </w:tc>
              <w:tc>
                <w:tcPr>
                  <w:tcW w:w="750" w:type="pct"/>
                  <w:vAlign w:val="center"/>
                </w:tcPr>
                <w:p w14:paraId="0365369D" w14:textId="77777777" w:rsidR="00454C4D" w:rsidRPr="00CF4364" w:rsidRDefault="00454C4D" w:rsidP="00454C4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ITC Avant Garde" w:cs="ITC Avant Garde"/>
                    </w:rPr>
                  </w:pPr>
                  <w:r w:rsidRPr="00CF4364">
                    <w:rPr>
                      <w:rFonts w:eastAsia="ITC Avant Garde" w:cs="ITC Avant Garde"/>
                    </w:rPr>
                    <w:t>Moral</w:t>
                  </w:r>
                </w:p>
              </w:tc>
            </w:tr>
            <w:tr w:rsidR="00454C4D" w:rsidRPr="00CF4364" w14:paraId="6FEF7562" w14:textId="77777777" w:rsidTr="00833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vAlign w:val="center"/>
                </w:tcPr>
                <w:p w14:paraId="0540AB02" w14:textId="77777777" w:rsidR="00454C4D" w:rsidRPr="00CF4364" w:rsidRDefault="00454C4D" w:rsidP="00454C4D">
                  <w:pPr>
                    <w:spacing w:line="276" w:lineRule="auto"/>
                    <w:jc w:val="center"/>
                    <w:rPr>
                      <w:rFonts w:eastAsia="ITC Avant Garde" w:cs="ITC Avant Garde"/>
                    </w:rPr>
                  </w:pPr>
                  <w:r w:rsidRPr="00CF4364">
                    <w:rPr>
                      <w:rFonts w:eastAsia="ITC Avant Garde" w:cs="ITC Avant Garde"/>
                    </w:rPr>
                    <w:t>3</w:t>
                  </w:r>
                </w:p>
              </w:tc>
              <w:tc>
                <w:tcPr>
                  <w:tcW w:w="3100" w:type="pct"/>
                  <w:vAlign w:val="center"/>
                </w:tcPr>
                <w:p w14:paraId="1CED1683" w14:textId="77777777" w:rsidR="00454C4D" w:rsidRPr="00CF4364" w:rsidRDefault="00454C4D" w:rsidP="00454C4D">
                  <w:pPr>
                    <w:spacing w:line="276" w:lineRule="auto"/>
                    <w:cnfStyle w:val="000000100000" w:firstRow="0" w:lastRow="0" w:firstColumn="0" w:lastColumn="0" w:oddVBand="0" w:evenVBand="0" w:oddHBand="1" w:evenHBand="0" w:firstRowFirstColumn="0" w:firstRowLastColumn="0" w:lastRowFirstColumn="0" w:lastRowLastColumn="0"/>
                    <w:rPr>
                      <w:rFonts w:eastAsia="ITC Avant Garde" w:cs="ITC Avant Garde"/>
                    </w:rPr>
                  </w:pPr>
                  <w:r w:rsidRPr="00CF4364">
                    <w:rPr>
                      <w:rFonts w:eastAsia="ITC Avant Garde" w:cs="ITC Avant Garde"/>
                    </w:rPr>
                    <w:t>Televisora de Occidente, S.A. de C.V.</w:t>
                  </w:r>
                </w:p>
              </w:tc>
              <w:tc>
                <w:tcPr>
                  <w:tcW w:w="750" w:type="pct"/>
                  <w:vAlign w:val="center"/>
                </w:tcPr>
                <w:p w14:paraId="4E856E90" w14:textId="77777777" w:rsidR="00454C4D" w:rsidRPr="00CF4364" w:rsidRDefault="00454C4D" w:rsidP="00454C4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ITC Avant Garde" w:cs="ITC Avant Garde"/>
                    </w:rPr>
                  </w:pPr>
                  <w:r w:rsidRPr="00CF4364">
                    <w:rPr>
                      <w:rFonts w:eastAsia="ITC Avant Garde" w:cs="ITC Avant Garde"/>
                    </w:rPr>
                    <w:t>Moral</w:t>
                  </w:r>
                </w:p>
              </w:tc>
            </w:tr>
            <w:tr w:rsidR="00454C4D" w:rsidRPr="00CF4364" w14:paraId="08F24269" w14:textId="77777777" w:rsidTr="00833DC2">
              <w:tc>
                <w:tcPr>
                  <w:cnfStyle w:val="001000000000" w:firstRow="0" w:lastRow="0" w:firstColumn="1" w:lastColumn="0" w:oddVBand="0" w:evenVBand="0" w:oddHBand="0" w:evenHBand="0" w:firstRowFirstColumn="0" w:firstRowLastColumn="0" w:lastRowFirstColumn="0" w:lastRowLastColumn="0"/>
                  <w:tcW w:w="1050" w:type="pct"/>
                  <w:vAlign w:val="center"/>
                </w:tcPr>
                <w:p w14:paraId="50772018" w14:textId="77777777" w:rsidR="00454C4D" w:rsidRPr="00CF4364" w:rsidRDefault="00454C4D" w:rsidP="00454C4D">
                  <w:pPr>
                    <w:spacing w:line="276" w:lineRule="auto"/>
                    <w:jc w:val="center"/>
                    <w:rPr>
                      <w:rFonts w:eastAsia="ITC Avant Garde" w:cs="ITC Avant Garde"/>
                      <w:lang w:val="en-US"/>
                    </w:rPr>
                  </w:pPr>
                  <w:r w:rsidRPr="00CF4364">
                    <w:rPr>
                      <w:rFonts w:eastAsia="ITC Avant Garde" w:cs="ITC Avant Garde"/>
                      <w:lang w:val="en-US"/>
                    </w:rPr>
                    <w:t>4</w:t>
                  </w:r>
                </w:p>
              </w:tc>
              <w:tc>
                <w:tcPr>
                  <w:tcW w:w="3100" w:type="pct"/>
                  <w:vAlign w:val="center"/>
                </w:tcPr>
                <w:p w14:paraId="05171D5A" w14:textId="77777777" w:rsidR="00454C4D" w:rsidRPr="00CF4364" w:rsidRDefault="00454C4D" w:rsidP="00454C4D">
                  <w:pPr>
                    <w:spacing w:line="276" w:lineRule="auto"/>
                    <w:cnfStyle w:val="000000000000" w:firstRow="0" w:lastRow="0" w:firstColumn="0" w:lastColumn="0" w:oddVBand="0" w:evenVBand="0" w:oddHBand="0" w:evenHBand="0" w:firstRowFirstColumn="0" w:firstRowLastColumn="0" w:lastRowFirstColumn="0" w:lastRowLastColumn="0"/>
                    <w:rPr>
                      <w:rFonts w:eastAsia="ITC Avant Garde" w:cs="ITC Avant Garde"/>
                      <w:lang w:val="en-US"/>
                    </w:rPr>
                  </w:pPr>
                  <w:r w:rsidRPr="00CF4364">
                    <w:rPr>
                      <w:rFonts w:eastAsia="ITC Avant Garde" w:cs="ITC Avant Garde"/>
                      <w:lang w:val="en-US"/>
                    </w:rPr>
                    <w:t>MOBILE &amp; Wireless Forum (MWF)</w:t>
                  </w:r>
                </w:p>
              </w:tc>
              <w:tc>
                <w:tcPr>
                  <w:tcW w:w="750" w:type="pct"/>
                  <w:vAlign w:val="center"/>
                </w:tcPr>
                <w:p w14:paraId="62CDB6FF" w14:textId="77777777" w:rsidR="00454C4D" w:rsidRPr="00CF4364" w:rsidRDefault="00454C4D" w:rsidP="00454C4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ITC Avant Garde" w:cs="ITC Avant Garde"/>
                      <w:lang w:val="en-US"/>
                    </w:rPr>
                  </w:pPr>
                  <w:r w:rsidRPr="00CF4364">
                    <w:rPr>
                      <w:rFonts w:eastAsia="ITC Avant Garde" w:cs="ITC Avant Garde"/>
                      <w:lang w:val="en-US"/>
                    </w:rPr>
                    <w:t>Moral</w:t>
                  </w:r>
                </w:p>
              </w:tc>
            </w:tr>
            <w:tr w:rsidR="00454C4D" w:rsidRPr="00CF4364" w14:paraId="3E1F1E74" w14:textId="77777777" w:rsidTr="00833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vAlign w:val="center"/>
                </w:tcPr>
                <w:p w14:paraId="50EA6D97" w14:textId="77777777" w:rsidR="00454C4D" w:rsidRPr="00CF4364" w:rsidRDefault="00454C4D" w:rsidP="00454C4D">
                  <w:pPr>
                    <w:spacing w:line="276" w:lineRule="auto"/>
                    <w:jc w:val="center"/>
                    <w:rPr>
                      <w:rFonts w:eastAsia="ITC Avant Garde" w:cs="ITC Avant Garde"/>
                      <w:lang w:val="en-US"/>
                    </w:rPr>
                  </w:pPr>
                  <w:r w:rsidRPr="00CF4364">
                    <w:rPr>
                      <w:rFonts w:eastAsia="ITC Avant Garde" w:cs="ITC Avant Garde"/>
                      <w:lang w:val="en-US"/>
                    </w:rPr>
                    <w:t>5</w:t>
                  </w:r>
                </w:p>
              </w:tc>
              <w:tc>
                <w:tcPr>
                  <w:tcW w:w="3100" w:type="pct"/>
                  <w:vAlign w:val="center"/>
                </w:tcPr>
                <w:p w14:paraId="4C7B2394" w14:textId="77777777" w:rsidR="00454C4D" w:rsidRPr="00CF4364" w:rsidRDefault="00454C4D" w:rsidP="00454C4D">
                  <w:pPr>
                    <w:spacing w:line="276" w:lineRule="auto"/>
                    <w:cnfStyle w:val="000000100000" w:firstRow="0" w:lastRow="0" w:firstColumn="0" w:lastColumn="0" w:oddVBand="0" w:evenVBand="0" w:oddHBand="1" w:evenHBand="0" w:firstRowFirstColumn="0" w:firstRowLastColumn="0" w:lastRowFirstColumn="0" w:lastRowLastColumn="0"/>
                    <w:rPr>
                      <w:rFonts w:eastAsia="ITC Avant Garde" w:cs="ITC Avant Garde"/>
                      <w:lang w:val="en-US"/>
                    </w:rPr>
                  </w:pPr>
                  <w:r w:rsidRPr="00CF4364">
                    <w:rPr>
                      <w:rFonts w:eastAsia="ITC Avant Garde" w:cs="ITC Avant Garde"/>
                      <w:lang w:val="en-US"/>
                    </w:rPr>
                    <w:t>Cellraid Oy (CELLRAID)</w:t>
                  </w:r>
                </w:p>
              </w:tc>
              <w:tc>
                <w:tcPr>
                  <w:tcW w:w="750" w:type="pct"/>
                  <w:vAlign w:val="center"/>
                </w:tcPr>
                <w:p w14:paraId="2B10C9EC" w14:textId="77777777" w:rsidR="00454C4D" w:rsidRPr="00CF4364" w:rsidRDefault="00454C4D" w:rsidP="00454C4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ITC Avant Garde" w:cs="ITC Avant Garde"/>
                      <w:lang w:val="en-US"/>
                    </w:rPr>
                  </w:pPr>
                  <w:r w:rsidRPr="00CF4364">
                    <w:rPr>
                      <w:rFonts w:eastAsia="ITC Avant Garde" w:cs="ITC Avant Garde"/>
                      <w:lang w:val="en-US"/>
                    </w:rPr>
                    <w:t>Moral</w:t>
                  </w:r>
                </w:p>
              </w:tc>
            </w:tr>
            <w:tr w:rsidR="00454C4D" w:rsidRPr="00CF4364" w14:paraId="2481B560" w14:textId="77777777" w:rsidTr="00833DC2">
              <w:tc>
                <w:tcPr>
                  <w:cnfStyle w:val="001000000000" w:firstRow="0" w:lastRow="0" w:firstColumn="1" w:lastColumn="0" w:oddVBand="0" w:evenVBand="0" w:oddHBand="0" w:evenHBand="0" w:firstRowFirstColumn="0" w:firstRowLastColumn="0" w:lastRowFirstColumn="0" w:lastRowLastColumn="0"/>
                  <w:tcW w:w="1050" w:type="pct"/>
                  <w:vAlign w:val="center"/>
                </w:tcPr>
                <w:p w14:paraId="4AE01910" w14:textId="77777777" w:rsidR="00454C4D" w:rsidRPr="00CF4364" w:rsidRDefault="00454C4D" w:rsidP="00454C4D">
                  <w:pPr>
                    <w:spacing w:line="276" w:lineRule="auto"/>
                    <w:jc w:val="center"/>
                    <w:rPr>
                      <w:rFonts w:eastAsia="ITC Avant Garde" w:cs="ITC Avant Garde"/>
                    </w:rPr>
                  </w:pPr>
                  <w:r w:rsidRPr="00CF4364">
                    <w:rPr>
                      <w:rFonts w:eastAsia="ITC Avant Garde" w:cs="ITC Avant Garde"/>
                    </w:rPr>
                    <w:t>6</w:t>
                  </w:r>
                </w:p>
              </w:tc>
              <w:tc>
                <w:tcPr>
                  <w:tcW w:w="3100" w:type="pct"/>
                  <w:vAlign w:val="center"/>
                </w:tcPr>
                <w:p w14:paraId="122E5B40" w14:textId="77777777" w:rsidR="00454C4D" w:rsidRPr="00CF4364" w:rsidRDefault="00454C4D" w:rsidP="00454C4D">
                  <w:pPr>
                    <w:spacing w:line="276" w:lineRule="auto"/>
                    <w:cnfStyle w:val="000000000000" w:firstRow="0" w:lastRow="0" w:firstColumn="0" w:lastColumn="0" w:oddVBand="0" w:evenVBand="0" w:oddHBand="0" w:evenHBand="0" w:firstRowFirstColumn="0" w:firstRowLastColumn="0" w:lastRowFirstColumn="0" w:lastRowLastColumn="0"/>
                    <w:rPr>
                      <w:rFonts w:eastAsia="ITC Avant Garde" w:cs="ITC Avant Garde"/>
                    </w:rPr>
                  </w:pPr>
                  <w:r w:rsidRPr="00CF4364">
                    <w:rPr>
                      <w:rFonts w:eastAsia="ITC Avant Garde" w:cs="ITC Avant Garde"/>
                    </w:rPr>
                    <w:t>Zebra Technologies Corporation. (ZEBRA)</w:t>
                  </w:r>
                </w:p>
              </w:tc>
              <w:tc>
                <w:tcPr>
                  <w:tcW w:w="750" w:type="pct"/>
                  <w:vAlign w:val="center"/>
                </w:tcPr>
                <w:p w14:paraId="176F50F6" w14:textId="77777777" w:rsidR="00454C4D" w:rsidRPr="00CF4364" w:rsidRDefault="00454C4D" w:rsidP="00454C4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ITC Avant Garde" w:cs="ITC Avant Garde"/>
                    </w:rPr>
                  </w:pPr>
                  <w:r w:rsidRPr="00CF4364">
                    <w:rPr>
                      <w:rFonts w:eastAsia="ITC Avant Garde" w:cs="ITC Avant Garde"/>
                    </w:rPr>
                    <w:t>Moral</w:t>
                  </w:r>
                </w:p>
              </w:tc>
            </w:tr>
            <w:tr w:rsidR="00454C4D" w:rsidRPr="00CF4364" w14:paraId="75060A4B" w14:textId="77777777" w:rsidTr="00833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vAlign w:val="center"/>
                </w:tcPr>
                <w:p w14:paraId="1F17ECB5" w14:textId="77777777" w:rsidR="00454C4D" w:rsidRPr="00CF4364" w:rsidRDefault="00454C4D" w:rsidP="00454C4D">
                  <w:pPr>
                    <w:spacing w:line="276" w:lineRule="auto"/>
                    <w:jc w:val="center"/>
                    <w:rPr>
                      <w:rFonts w:eastAsia="ITC Avant Garde" w:cs="ITC Avant Garde"/>
                    </w:rPr>
                  </w:pPr>
                  <w:r w:rsidRPr="00CF4364">
                    <w:rPr>
                      <w:rFonts w:eastAsia="ITC Avant Garde" w:cs="ITC Avant Garde"/>
                    </w:rPr>
                    <w:t>7</w:t>
                  </w:r>
                </w:p>
              </w:tc>
              <w:tc>
                <w:tcPr>
                  <w:tcW w:w="3100" w:type="pct"/>
                  <w:vAlign w:val="center"/>
                </w:tcPr>
                <w:p w14:paraId="73E0A482" w14:textId="77777777" w:rsidR="00454C4D" w:rsidRPr="00CF4364" w:rsidRDefault="00454C4D" w:rsidP="00454C4D">
                  <w:pPr>
                    <w:spacing w:line="276" w:lineRule="auto"/>
                    <w:cnfStyle w:val="000000100000" w:firstRow="0" w:lastRow="0" w:firstColumn="0" w:lastColumn="0" w:oddVBand="0" w:evenVBand="0" w:oddHBand="1" w:evenHBand="0" w:firstRowFirstColumn="0" w:firstRowLastColumn="0" w:lastRowFirstColumn="0" w:lastRowLastColumn="0"/>
                    <w:rPr>
                      <w:rFonts w:eastAsia="ITC Avant Garde" w:cs="ITC Avant Garde"/>
                    </w:rPr>
                  </w:pPr>
                  <w:r w:rsidRPr="00CF4364">
                    <w:rPr>
                      <w:rFonts w:eastAsia="ITC Avant Garde" w:cs="ITC Avant Garde"/>
                    </w:rPr>
                    <w:t xml:space="preserve">Sony </w:t>
                  </w:r>
                  <w:r>
                    <w:rPr>
                      <w:rFonts w:eastAsia="ITC Avant Garde" w:cs="ITC Avant Garde"/>
                    </w:rPr>
                    <w:t>d</w:t>
                  </w:r>
                  <w:r w:rsidRPr="00CF4364">
                    <w:rPr>
                      <w:rFonts w:eastAsia="ITC Avant Garde" w:cs="ITC Avant Garde"/>
                    </w:rPr>
                    <w:t>e México S.A. de C.V. (SONY)</w:t>
                  </w:r>
                </w:p>
              </w:tc>
              <w:tc>
                <w:tcPr>
                  <w:tcW w:w="750" w:type="pct"/>
                  <w:vAlign w:val="center"/>
                </w:tcPr>
                <w:p w14:paraId="0C13F761" w14:textId="77777777" w:rsidR="00454C4D" w:rsidRPr="00CF4364" w:rsidRDefault="00454C4D" w:rsidP="00454C4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ITC Avant Garde" w:cs="ITC Avant Garde"/>
                    </w:rPr>
                  </w:pPr>
                  <w:r w:rsidRPr="00CF4364">
                    <w:rPr>
                      <w:rFonts w:eastAsia="ITC Avant Garde" w:cs="ITC Avant Garde"/>
                    </w:rPr>
                    <w:t>Moral</w:t>
                  </w:r>
                </w:p>
              </w:tc>
            </w:tr>
            <w:tr w:rsidR="00454C4D" w:rsidRPr="00CF4364" w14:paraId="539BA364" w14:textId="77777777" w:rsidTr="00833DC2">
              <w:tc>
                <w:tcPr>
                  <w:cnfStyle w:val="001000000000" w:firstRow="0" w:lastRow="0" w:firstColumn="1" w:lastColumn="0" w:oddVBand="0" w:evenVBand="0" w:oddHBand="0" w:evenHBand="0" w:firstRowFirstColumn="0" w:firstRowLastColumn="0" w:lastRowFirstColumn="0" w:lastRowLastColumn="0"/>
                  <w:tcW w:w="1050" w:type="pct"/>
                  <w:vAlign w:val="center"/>
                </w:tcPr>
                <w:p w14:paraId="03C5D915" w14:textId="77777777" w:rsidR="00454C4D" w:rsidRPr="00CF4364" w:rsidRDefault="00454C4D" w:rsidP="00454C4D">
                  <w:pPr>
                    <w:spacing w:line="276" w:lineRule="auto"/>
                    <w:jc w:val="center"/>
                    <w:rPr>
                      <w:rFonts w:eastAsia="ITC Avant Garde" w:cs="ITC Avant Garde"/>
                    </w:rPr>
                  </w:pPr>
                  <w:r w:rsidRPr="00CF4364">
                    <w:rPr>
                      <w:rFonts w:eastAsia="ITC Avant Garde" w:cs="ITC Avant Garde"/>
                    </w:rPr>
                    <w:t>8</w:t>
                  </w:r>
                </w:p>
              </w:tc>
              <w:tc>
                <w:tcPr>
                  <w:tcW w:w="3100" w:type="pct"/>
                  <w:vAlign w:val="center"/>
                </w:tcPr>
                <w:p w14:paraId="5825BB97" w14:textId="77777777" w:rsidR="00454C4D" w:rsidRPr="00CF4364" w:rsidRDefault="00454C4D" w:rsidP="00454C4D">
                  <w:pPr>
                    <w:spacing w:line="276" w:lineRule="auto"/>
                    <w:cnfStyle w:val="000000000000" w:firstRow="0" w:lastRow="0" w:firstColumn="0" w:lastColumn="0" w:oddVBand="0" w:evenVBand="0" w:oddHBand="0" w:evenHBand="0" w:firstRowFirstColumn="0" w:firstRowLastColumn="0" w:lastRowFirstColumn="0" w:lastRowLastColumn="0"/>
                    <w:rPr>
                      <w:rFonts w:eastAsia="ITC Avant Garde" w:cs="ITC Avant Garde"/>
                    </w:rPr>
                  </w:pPr>
                  <w:r w:rsidRPr="00CF4364">
                    <w:rPr>
                      <w:rFonts w:eastAsia="ITC Avant Garde" w:cs="ITC Avant Garde"/>
                    </w:rPr>
                    <w:t xml:space="preserve">Normalización </w:t>
                  </w:r>
                  <w:r>
                    <w:rPr>
                      <w:rFonts w:eastAsia="ITC Avant Garde" w:cs="ITC Avant Garde"/>
                    </w:rPr>
                    <w:t>y</w:t>
                  </w:r>
                  <w:r w:rsidRPr="00CF4364">
                    <w:rPr>
                      <w:rFonts w:eastAsia="ITC Avant Garde" w:cs="ITC Avant Garde"/>
                    </w:rPr>
                    <w:t xml:space="preserve"> Certificación Electrónica, SC (NYCE)</w:t>
                  </w:r>
                </w:p>
              </w:tc>
              <w:tc>
                <w:tcPr>
                  <w:tcW w:w="750" w:type="pct"/>
                  <w:vAlign w:val="center"/>
                </w:tcPr>
                <w:p w14:paraId="3A9A7C34" w14:textId="77777777" w:rsidR="00454C4D" w:rsidRPr="00CF4364" w:rsidRDefault="00454C4D" w:rsidP="00454C4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ITC Avant Garde" w:cs="ITC Avant Garde"/>
                    </w:rPr>
                  </w:pPr>
                  <w:r w:rsidRPr="00CF4364">
                    <w:rPr>
                      <w:rFonts w:eastAsia="ITC Avant Garde" w:cs="ITC Avant Garde"/>
                    </w:rPr>
                    <w:t>Moral</w:t>
                  </w:r>
                </w:p>
              </w:tc>
            </w:tr>
            <w:tr w:rsidR="00454C4D" w:rsidRPr="00CF4364" w14:paraId="679514AF" w14:textId="77777777" w:rsidTr="00833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vAlign w:val="center"/>
                </w:tcPr>
                <w:p w14:paraId="14D81EA1" w14:textId="77777777" w:rsidR="00454C4D" w:rsidRPr="00CF4364" w:rsidRDefault="00454C4D" w:rsidP="00454C4D">
                  <w:pPr>
                    <w:spacing w:line="276" w:lineRule="auto"/>
                    <w:jc w:val="center"/>
                    <w:rPr>
                      <w:rFonts w:eastAsia="ITC Avant Garde" w:cs="ITC Avant Garde"/>
                    </w:rPr>
                  </w:pPr>
                  <w:r w:rsidRPr="00CF4364">
                    <w:rPr>
                      <w:rFonts w:eastAsia="ITC Avant Garde" w:cs="ITC Avant Garde"/>
                    </w:rPr>
                    <w:t>9</w:t>
                  </w:r>
                </w:p>
              </w:tc>
              <w:tc>
                <w:tcPr>
                  <w:tcW w:w="3100" w:type="pct"/>
                  <w:vAlign w:val="center"/>
                </w:tcPr>
                <w:p w14:paraId="421BBE29" w14:textId="77777777" w:rsidR="00454C4D" w:rsidRPr="00CF4364" w:rsidRDefault="00454C4D" w:rsidP="00454C4D">
                  <w:pPr>
                    <w:spacing w:line="276" w:lineRule="auto"/>
                    <w:cnfStyle w:val="000000100000" w:firstRow="0" w:lastRow="0" w:firstColumn="0" w:lastColumn="0" w:oddVBand="0" w:evenVBand="0" w:oddHBand="1" w:evenHBand="0" w:firstRowFirstColumn="0" w:firstRowLastColumn="0" w:lastRowFirstColumn="0" w:lastRowLastColumn="0"/>
                    <w:rPr>
                      <w:rFonts w:eastAsia="ITC Avant Garde" w:cs="ITC Avant Garde"/>
                    </w:rPr>
                  </w:pPr>
                  <w:r>
                    <w:rPr>
                      <w:rFonts w:eastAsia="ITC Avant Garde" w:cs="ITC Avant Garde"/>
                    </w:rPr>
                    <w:t>Asociación d</w:t>
                  </w:r>
                  <w:r w:rsidRPr="00CF4364">
                    <w:rPr>
                      <w:rFonts w:eastAsia="ITC Avant Garde" w:cs="ITC Avant Garde"/>
                    </w:rPr>
                    <w:t xml:space="preserve">e Normalización </w:t>
                  </w:r>
                  <w:r>
                    <w:rPr>
                      <w:rFonts w:eastAsia="ITC Avant Garde" w:cs="ITC Avant Garde"/>
                    </w:rPr>
                    <w:t>y</w:t>
                  </w:r>
                  <w:r w:rsidRPr="00CF4364">
                    <w:rPr>
                      <w:rFonts w:eastAsia="ITC Avant Garde" w:cs="ITC Avant Garde"/>
                    </w:rPr>
                    <w:t xml:space="preserve"> Certificación, A.C. (ANCE)</w:t>
                  </w:r>
                </w:p>
              </w:tc>
              <w:tc>
                <w:tcPr>
                  <w:tcW w:w="750" w:type="pct"/>
                  <w:vAlign w:val="center"/>
                </w:tcPr>
                <w:p w14:paraId="3D5B0329" w14:textId="77777777" w:rsidR="00454C4D" w:rsidRPr="00CF4364" w:rsidRDefault="00454C4D" w:rsidP="00454C4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ITC Avant Garde" w:cs="ITC Avant Garde"/>
                    </w:rPr>
                  </w:pPr>
                  <w:r w:rsidRPr="00CF4364">
                    <w:rPr>
                      <w:rFonts w:eastAsia="ITC Avant Garde" w:cs="ITC Avant Garde"/>
                    </w:rPr>
                    <w:t>Moral</w:t>
                  </w:r>
                </w:p>
              </w:tc>
            </w:tr>
            <w:tr w:rsidR="00454C4D" w:rsidRPr="00CF4364" w14:paraId="057DEA05" w14:textId="77777777" w:rsidTr="00833DC2">
              <w:tc>
                <w:tcPr>
                  <w:cnfStyle w:val="001000000000" w:firstRow="0" w:lastRow="0" w:firstColumn="1" w:lastColumn="0" w:oddVBand="0" w:evenVBand="0" w:oddHBand="0" w:evenHBand="0" w:firstRowFirstColumn="0" w:firstRowLastColumn="0" w:lastRowFirstColumn="0" w:lastRowLastColumn="0"/>
                  <w:tcW w:w="1050" w:type="pct"/>
                  <w:vAlign w:val="center"/>
                </w:tcPr>
                <w:p w14:paraId="5D4760C7" w14:textId="77777777" w:rsidR="00454C4D" w:rsidRPr="00CF4364" w:rsidRDefault="00454C4D" w:rsidP="00454C4D">
                  <w:pPr>
                    <w:spacing w:line="276" w:lineRule="auto"/>
                    <w:jc w:val="center"/>
                    <w:rPr>
                      <w:rFonts w:eastAsia="ITC Avant Garde" w:cs="ITC Avant Garde"/>
                    </w:rPr>
                  </w:pPr>
                  <w:r w:rsidRPr="00CF4364">
                    <w:rPr>
                      <w:rFonts w:eastAsia="ITC Avant Garde" w:cs="ITC Avant Garde"/>
                    </w:rPr>
                    <w:t>10</w:t>
                  </w:r>
                </w:p>
              </w:tc>
              <w:tc>
                <w:tcPr>
                  <w:tcW w:w="3100" w:type="pct"/>
                  <w:vAlign w:val="center"/>
                </w:tcPr>
                <w:p w14:paraId="16589F04" w14:textId="77777777" w:rsidR="00454C4D" w:rsidRPr="00CF4364" w:rsidRDefault="00454C4D" w:rsidP="00454C4D">
                  <w:pPr>
                    <w:spacing w:line="276" w:lineRule="auto"/>
                    <w:cnfStyle w:val="000000000000" w:firstRow="0" w:lastRow="0" w:firstColumn="0" w:lastColumn="0" w:oddVBand="0" w:evenVBand="0" w:oddHBand="0" w:evenHBand="0" w:firstRowFirstColumn="0" w:firstRowLastColumn="0" w:lastRowFirstColumn="0" w:lastRowLastColumn="0"/>
                    <w:rPr>
                      <w:rFonts w:eastAsia="ITC Avant Garde" w:cs="ITC Avant Garde"/>
                    </w:rPr>
                  </w:pPr>
                  <w:r w:rsidRPr="00CF4364">
                    <w:rPr>
                      <w:rFonts w:eastAsia="ITC Avant Garde" w:cs="ITC Avant Garde"/>
                    </w:rPr>
                    <w:t>Asociación Nacional de Telecomunicaciones, A.C. (ANATEL)</w:t>
                  </w:r>
                </w:p>
              </w:tc>
              <w:tc>
                <w:tcPr>
                  <w:tcW w:w="750" w:type="pct"/>
                  <w:vAlign w:val="center"/>
                </w:tcPr>
                <w:p w14:paraId="60D9256E" w14:textId="77777777" w:rsidR="00454C4D" w:rsidRPr="00CF4364" w:rsidRDefault="00454C4D" w:rsidP="00454C4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ITC Avant Garde" w:cs="ITC Avant Garde"/>
                    </w:rPr>
                  </w:pPr>
                  <w:r w:rsidRPr="00CF4364">
                    <w:rPr>
                      <w:rFonts w:eastAsia="ITC Avant Garde" w:cs="ITC Avant Garde"/>
                    </w:rPr>
                    <w:t>Moral</w:t>
                  </w:r>
                </w:p>
              </w:tc>
            </w:tr>
            <w:tr w:rsidR="00454C4D" w:rsidRPr="00CF4364" w14:paraId="5A6B7E7D" w14:textId="77777777" w:rsidTr="00833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vAlign w:val="center"/>
                </w:tcPr>
                <w:p w14:paraId="4A877B5C" w14:textId="77777777" w:rsidR="00454C4D" w:rsidRPr="00CF4364" w:rsidRDefault="00454C4D" w:rsidP="00454C4D">
                  <w:pPr>
                    <w:spacing w:line="276" w:lineRule="auto"/>
                    <w:jc w:val="center"/>
                    <w:rPr>
                      <w:rFonts w:eastAsia="ITC Avant Garde" w:cs="ITC Avant Garde"/>
                    </w:rPr>
                  </w:pPr>
                  <w:r w:rsidRPr="00CF4364">
                    <w:rPr>
                      <w:rFonts w:eastAsia="ITC Avant Garde" w:cs="ITC Avant Garde"/>
                    </w:rPr>
                    <w:t>11</w:t>
                  </w:r>
                </w:p>
              </w:tc>
              <w:tc>
                <w:tcPr>
                  <w:tcW w:w="3100" w:type="pct"/>
                  <w:vAlign w:val="center"/>
                </w:tcPr>
                <w:p w14:paraId="4A946571" w14:textId="77777777" w:rsidR="00454C4D" w:rsidRPr="00CF4364" w:rsidRDefault="00454C4D" w:rsidP="00454C4D">
                  <w:pPr>
                    <w:spacing w:line="276" w:lineRule="auto"/>
                    <w:cnfStyle w:val="000000100000" w:firstRow="0" w:lastRow="0" w:firstColumn="0" w:lastColumn="0" w:oddVBand="0" w:evenVBand="0" w:oddHBand="1" w:evenHBand="0" w:firstRowFirstColumn="0" w:firstRowLastColumn="0" w:lastRowFirstColumn="0" w:lastRowLastColumn="0"/>
                    <w:rPr>
                      <w:rFonts w:eastAsia="ITC Avant Garde" w:cs="ITC Avant Garde"/>
                    </w:rPr>
                  </w:pPr>
                  <w:r w:rsidRPr="00CF4364">
                    <w:rPr>
                      <w:rFonts w:eastAsia="ITC Avant Garde" w:cs="ITC Avant Garde"/>
                    </w:rPr>
                    <w:t>Sociedad Mexicana para la Protección de la Radiación No Ionizante (SMPRI)</w:t>
                  </w:r>
                </w:p>
              </w:tc>
              <w:tc>
                <w:tcPr>
                  <w:tcW w:w="750" w:type="pct"/>
                  <w:vAlign w:val="center"/>
                </w:tcPr>
                <w:p w14:paraId="3A0484E8" w14:textId="77777777" w:rsidR="00454C4D" w:rsidRPr="00CF4364" w:rsidRDefault="00454C4D" w:rsidP="00454C4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ITC Avant Garde" w:cs="ITC Avant Garde"/>
                    </w:rPr>
                  </w:pPr>
                  <w:r w:rsidRPr="00CF4364">
                    <w:rPr>
                      <w:rFonts w:eastAsia="ITC Avant Garde" w:cs="ITC Avant Garde"/>
                    </w:rPr>
                    <w:t>Moral</w:t>
                  </w:r>
                </w:p>
              </w:tc>
            </w:tr>
          </w:tbl>
          <w:p w14:paraId="033BCADD" w14:textId="77777777" w:rsidR="00454C4D" w:rsidRPr="0087236C" w:rsidRDefault="00454C4D" w:rsidP="0087236C">
            <w:pPr>
              <w:spacing w:line="276" w:lineRule="auto"/>
              <w:jc w:val="both"/>
              <w:rPr>
                <w:rFonts w:eastAsia="ITC Avant Garde" w:cs="ITC Avant Garde"/>
              </w:rPr>
            </w:pPr>
          </w:p>
        </w:tc>
      </w:tr>
    </w:tbl>
    <w:p w14:paraId="2CB4A855" w14:textId="77777777" w:rsidR="0086684A" w:rsidRPr="006A010C" w:rsidRDefault="0086684A" w:rsidP="00147943">
      <w:pPr>
        <w:spacing w:line="276" w:lineRule="auto"/>
        <w:jc w:val="both"/>
      </w:pPr>
    </w:p>
    <w:p w14:paraId="29AA9D39" w14:textId="77777777" w:rsidR="00A73AD8" w:rsidRPr="006A010C" w:rsidRDefault="48ECE0BD" w:rsidP="0087236C">
      <w:pPr>
        <w:pStyle w:val="Ttulo1"/>
      </w:pPr>
      <w:r w:rsidRPr="006A010C">
        <w:t>VII. FUENTE</w:t>
      </w:r>
      <w:r w:rsidR="00F33B67">
        <w:t>S</w:t>
      </w:r>
      <w:r w:rsidRPr="006A010C">
        <w:t xml:space="preserve"> CONSULTADAS, ANEXOS O CUALQUIER OTRA DOCUMENTACIÓN DE INTERÉS.</w:t>
      </w:r>
    </w:p>
    <w:tbl>
      <w:tblPr>
        <w:tblStyle w:val="Tablaconcuadrcula"/>
        <w:tblW w:w="0" w:type="dxa"/>
        <w:tblLook w:val="04A0" w:firstRow="1" w:lastRow="0" w:firstColumn="1" w:lastColumn="0" w:noHBand="0" w:noVBand="1"/>
      </w:tblPr>
      <w:tblGrid>
        <w:gridCol w:w="8828"/>
      </w:tblGrid>
      <w:tr w:rsidR="00A73AD8" w:rsidRPr="00F54B21" w14:paraId="090BF722" w14:textId="77777777" w:rsidTr="26EF7CAD">
        <w:tc>
          <w:tcPr>
            <w:tcW w:w="8828" w:type="dxa"/>
          </w:tcPr>
          <w:p w14:paraId="115E4D1B" w14:textId="1ABFD7C4" w:rsidR="00B74C55" w:rsidRDefault="26EF7CAD" w:rsidP="00147943">
            <w:pPr>
              <w:spacing w:line="276" w:lineRule="auto"/>
              <w:rPr>
                <w:rFonts w:eastAsia="ITC Avant Garde" w:cs="ITC Avant Garde"/>
                <w:b/>
                <w:bCs/>
              </w:rPr>
            </w:pPr>
            <w:r w:rsidRPr="006A010C">
              <w:rPr>
                <w:rFonts w:eastAsia="ITC Avant Garde" w:cs="ITC Avant Garde"/>
                <w:b/>
                <w:bCs/>
              </w:rPr>
              <w:t xml:space="preserve">20.- Enliste los datos bibliográficos o las direcciones electrónicas consultadas para el diseño y redacción del </w:t>
            </w:r>
            <w:r w:rsidR="007E2E1A">
              <w:rPr>
                <w:rFonts w:eastAsia="ITC Avant Garde" w:cs="ITC Avant Garde"/>
                <w:b/>
                <w:bCs/>
              </w:rPr>
              <w:t>A</w:t>
            </w:r>
            <w:r w:rsidRPr="006A010C">
              <w:rPr>
                <w:rFonts w:eastAsia="ITC Avant Garde" w:cs="ITC Avant Garde"/>
                <w:b/>
                <w:bCs/>
              </w:rPr>
              <w:t>nteproyecto de regulación.</w:t>
            </w:r>
          </w:p>
          <w:p w14:paraId="69C0BD87" w14:textId="77777777" w:rsidR="00D9638E" w:rsidRPr="009E6DCD" w:rsidRDefault="00D9638E" w:rsidP="00147943">
            <w:pPr>
              <w:spacing w:line="276" w:lineRule="auto"/>
              <w:rPr>
                <w:sz w:val="20"/>
                <w:szCs w:val="20"/>
              </w:rPr>
            </w:pPr>
          </w:p>
          <w:p w14:paraId="2233D124" w14:textId="77777777" w:rsidR="00D9638E" w:rsidRPr="0087236C" w:rsidDel="00D26E08" w:rsidRDefault="00D9638E" w:rsidP="0062677D">
            <w:pPr>
              <w:pStyle w:val="Prrafodelista"/>
              <w:numPr>
                <w:ilvl w:val="0"/>
                <w:numId w:val="1"/>
              </w:numPr>
              <w:autoSpaceDE w:val="0"/>
              <w:autoSpaceDN w:val="0"/>
              <w:adjustRightInd w:val="0"/>
              <w:spacing w:line="360" w:lineRule="auto"/>
              <w:jc w:val="both"/>
              <w:rPr>
                <w:rFonts w:cs="Arial"/>
                <w:color w:val="000000"/>
                <w:lang w:val="en-GB"/>
              </w:rPr>
            </w:pPr>
            <w:r w:rsidRPr="0087236C" w:rsidDel="00D26E08">
              <w:rPr>
                <w:rFonts w:cs="Arial"/>
                <w:color w:val="000000"/>
                <w:lang w:val="en-GB"/>
              </w:rPr>
              <w:t xml:space="preserve">IEEE STANDARD, C95.1-2005 - IEEE Standard for Safety Levels with Respect to Human 5934 Exposure to Radio Frequency Electromagnetic Fields, 3 kHz to 300 GHz. </w:t>
            </w:r>
          </w:p>
          <w:p w14:paraId="38EB178A" w14:textId="77777777" w:rsidR="00D9638E" w:rsidRPr="0087236C" w:rsidRDefault="00D9638E" w:rsidP="0062677D">
            <w:pPr>
              <w:pStyle w:val="Prrafodelista"/>
              <w:numPr>
                <w:ilvl w:val="0"/>
                <w:numId w:val="1"/>
              </w:numPr>
              <w:autoSpaceDE w:val="0"/>
              <w:autoSpaceDN w:val="0"/>
              <w:adjustRightInd w:val="0"/>
              <w:spacing w:line="360" w:lineRule="auto"/>
              <w:jc w:val="both"/>
            </w:pPr>
            <w:r w:rsidRPr="0087236C">
              <w:rPr>
                <w:lang w:val="en-GB"/>
              </w:rPr>
              <w:t xml:space="preserve">DROSSOS, A., SANTOMAA, V. and KUSTER, N. The dependence of electromagnetic energy 5854 absorption upon human head tissue </w:t>
            </w:r>
            <w:r w:rsidRPr="0087236C">
              <w:rPr>
                <w:lang w:val="en-GB"/>
              </w:rPr>
              <w:lastRenderedPageBreak/>
              <w:t xml:space="preserve">composition in the frequency range of 300-3000 MHz. </w:t>
            </w:r>
            <w:r w:rsidRPr="0087236C">
              <w:t xml:space="preserve">IEEE Trans. 5855 Microwave Theory Tech., Nov. 2000, vol. 48, no. 11, pp. 1988-1995. </w:t>
            </w:r>
          </w:p>
          <w:p w14:paraId="2DF2CB39" w14:textId="77777777" w:rsidR="00D9638E" w:rsidRPr="0087236C" w:rsidRDefault="00D9638E" w:rsidP="0062677D">
            <w:pPr>
              <w:numPr>
                <w:ilvl w:val="0"/>
                <w:numId w:val="1"/>
              </w:numPr>
              <w:spacing w:line="360" w:lineRule="auto"/>
              <w:jc w:val="both"/>
              <w:rPr>
                <w:lang w:val="en-GB"/>
              </w:rPr>
            </w:pPr>
            <w:r w:rsidRPr="0087236C">
              <w:rPr>
                <w:lang w:val="en-GB"/>
              </w:rPr>
              <w:t xml:space="preserve">Gordon, C.C., Churchill, T., Clauser, C.E., Bradtmiller, B., McConville, J.T., Tebbets I. y Walker, R.A., 1988 Anthropometric Survey of U.S. Army Personnel: Methods and Summary Statistics. Reporte Técnico NATICK/TR-89/044, U.S. Army Natick Research, Centro de Desarrollo e Ingeniería, Massachusetts: Natick, Sept. 1989. URL: </w:t>
            </w:r>
            <w:hyperlink r:id="rId10" w:history="1">
              <w:r w:rsidRPr="0087236C">
                <w:rPr>
                  <w:rStyle w:val="Hipervnculo"/>
                  <w:lang w:val="en-GB"/>
                </w:rPr>
                <w:t>http://www.dtic.mil/docs/citations/ADA225094</w:t>
              </w:r>
            </w:hyperlink>
          </w:p>
          <w:p w14:paraId="566B0520" w14:textId="77777777" w:rsidR="00D9638E" w:rsidRPr="0087236C" w:rsidRDefault="00D9638E" w:rsidP="0062677D">
            <w:pPr>
              <w:pStyle w:val="Prrafodelista"/>
              <w:numPr>
                <w:ilvl w:val="0"/>
                <w:numId w:val="1"/>
              </w:numPr>
              <w:autoSpaceDE w:val="0"/>
              <w:autoSpaceDN w:val="0"/>
              <w:adjustRightInd w:val="0"/>
              <w:spacing w:line="360" w:lineRule="auto"/>
              <w:jc w:val="both"/>
              <w:rPr>
                <w:color w:val="000000"/>
                <w:lang w:val="en-GB"/>
              </w:rPr>
            </w:pPr>
            <w:r w:rsidRPr="0087236C">
              <w:rPr>
                <w:color w:val="000000"/>
                <w:lang w:val="en-GB"/>
              </w:rPr>
              <w:t xml:space="preserve">ICNIRP, “International Commission on Non-Ionizing Radiation Protection guidelines for limiting </w:t>
            </w:r>
            <w:r w:rsidRPr="0087236C">
              <w:rPr>
                <w:rFonts w:cs="Arial"/>
                <w:color w:val="000000"/>
                <w:lang w:val="en-GB"/>
              </w:rPr>
              <w:t xml:space="preserve">5931 </w:t>
            </w:r>
            <w:r w:rsidRPr="0087236C">
              <w:rPr>
                <w:color w:val="000000"/>
                <w:lang w:val="en-GB"/>
              </w:rPr>
              <w:t xml:space="preserve">exposure to time-varying electric, magnetic and electromagnetic fields (Up to 300 GHz),” Health Physics, </w:t>
            </w:r>
            <w:r w:rsidRPr="0087236C">
              <w:rPr>
                <w:rFonts w:cs="Arial"/>
                <w:color w:val="000000"/>
                <w:lang w:val="en-GB"/>
              </w:rPr>
              <w:t xml:space="preserve">5932 </w:t>
            </w:r>
            <w:r w:rsidRPr="0087236C">
              <w:rPr>
                <w:color w:val="000000"/>
                <w:lang w:val="en-GB"/>
              </w:rPr>
              <w:t xml:space="preserve">Vol. 74, No. 4, pp. 494–522, 1998. </w:t>
            </w:r>
          </w:p>
          <w:p w14:paraId="62B07809" w14:textId="77777777" w:rsidR="00D9638E" w:rsidRPr="0087236C" w:rsidRDefault="00D9638E" w:rsidP="0062677D">
            <w:pPr>
              <w:pStyle w:val="Prrafodelista"/>
              <w:numPr>
                <w:ilvl w:val="0"/>
                <w:numId w:val="1"/>
              </w:numPr>
              <w:spacing w:after="101" w:line="360" w:lineRule="auto"/>
              <w:jc w:val="both"/>
            </w:pPr>
            <w:r w:rsidRPr="0087236C">
              <w:rPr>
                <w:lang w:val="en-GB"/>
              </w:rPr>
              <w:t xml:space="preserve">IEC 62209-1: Measurement procedure for the assessment of specific absorption rate of human exposure to radio frequency fields from hand-held and body-mounted Wireless communication devices- Part1: Devices used next to the ear (Frequency range of 300 MHz to 6 GHz). </w:t>
            </w:r>
            <w:r w:rsidRPr="0087236C">
              <w:t>Ed.2.Agosto de 2016.</w:t>
            </w:r>
          </w:p>
          <w:p w14:paraId="26F9E230" w14:textId="77777777" w:rsidR="00D9638E" w:rsidRPr="009D2C18" w:rsidRDefault="00D9638E" w:rsidP="0062677D">
            <w:pPr>
              <w:pStyle w:val="Prrafodelista"/>
              <w:numPr>
                <w:ilvl w:val="0"/>
                <w:numId w:val="1"/>
              </w:numPr>
              <w:spacing w:after="101" w:line="360" w:lineRule="auto"/>
              <w:jc w:val="both"/>
              <w:rPr>
                <w:lang w:val="en-US"/>
              </w:rPr>
            </w:pPr>
            <w:r w:rsidRPr="0087236C">
              <w:rPr>
                <w:lang w:val="en-GB"/>
              </w:rPr>
              <w:t xml:space="preserve">IEC 62209-2: Human exposure to radio frequency fields from hand-held and body- mounted Wireless communication devices-Human models, </w:t>
            </w:r>
            <w:r w:rsidR="009D2C18" w:rsidRPr="0087236C">
              <w:rPr>
                <w:lang w:val="en-GB"/>
              </w:rPr>
              <w:t>instrumentation</w:t>
            </w:r>
            <w:r w:rsidRPr="0087236C">
              <w:rPr>
                <w:lang w:val="en-GB"/>
              </w:rPr>
              <w:t>, and procedures- Part. 2: Procedure to determine the specific absorption rat</w:t>
            </w:r>
            <w:r w:rsidR="009D2C18">
              <w:rPr>
                <w:lang w:val="en-GB"/>
              </w:rPr>
              <w:t>i</w:t>
            </w:r>
            <w:r w:rsidRPr="0087236C">
              <w:rPr>
                <w:lang w:val="en-GB"/>
              </w:rPr>
              <w:t xml:space="preserve">o (SAR) for Wireless communication devices used in close proximity to the human body (frequency range of 30 MHZ to 6 GHz). </w:t>
            </w:r>
            <w:r w:rsidRPr="009D2C18">
              <w:rPr>
                <w:lang w:val="en-US"/>
              </w:rPr>
              <w:t>Ed. 1. Marzo de 2010.</w:t>
            </w:r>
          </w:p>
          <w:p w14:paraId="5B671B03" w14:textId="77777777" w:rsidR="00D9638E" w:rsidRPr="0087236C" w:rsidRDefault="00D9638E" w:rsidP="0062677D">
            <w:pPr>
              <w:numPr>
                <w:ilvl w:val="0"/>
                <w:numId w:val="1"/>
              </w:numPr>
              <w:spacing w:line="360" w:lineRule="auto"/>
              <w:jc w:val="both"/>
            </w:pPr>
            <w:r w:rsidRPr="0087236C">
              <w:rPr>
                <w:lang w:val="en-GB"/>
              </w:rPr>
              <w:t xml:space="preserve">IEC 62311: Assessment of electronic and electrical equipment related to human exposure restrictions for electromagnetic fields (0 Hz - 300 GHz). </w:t>
            </w:r>
            <w:r w:rsidRPr="0087236C">
              <w:t>Ed. 1. Agosto de 2007.</w:t>
            </w:r>
          </w:p>
          <w:p w14:paraId="1D84182F" w14:textId="77777777" w:rsidR="00D9638E" w:rsidRPr="0087236C" w:rsidRDefault="00D9638E" w:rsidP="0062677D">
            <w:pPr>
              <w:pStyle w:val="Prrafodelista"/>
              <w:numPr>
                <w:ilvl w:val="0"/>
                <w:numId w:val="1"/>
              </w:numPr>
              <w:spacing w:after="101" w:line="360" w:lineRule="auto"/>
              <w:jc w:val="both"/>
              <w:rPr>
                <w:lang w:val="en-GB"/>
              </w:rPr>
            </w:pPr>
            <w:r w:rsidRPr="0087236C">
              <w:rPr>
                <w:lang w:val="en-GB"/>
              </w:rPr>
              <w:t xml:space="preserve">IEC, Human exposure to radio frequency fields from hand-held and body-mounted wireless communication devices-Human models, instrumentation, and procedures-Part1: Procedure to determine the </w:t>
            </w:r>
            <w:r w:rsidRPr="0087236C">
              <w:rPr>
                <w:lang w:val="en-GB"/>
              </w:rPr>
              <w:lastRenderedPageBreak/>
              <w:t>specific absorption rate (SAR) for hand-held devices used in close proximity to the ear (frequency range of 300 MHz to 3 GHz), International Standard IEC 62209-1.</w:t>
            </w:r>
          </w:p>
          <w:p w14:paraId="6FA09199" w14:textId="77777777" w:rsidR="00D9638E" w:rsidRPr="0087236C" w:rsidRDefault="00D9638E" w:rsidP="0062677D">
            <w:pPr>
              <w:pStyle w:val="Prrafodelista"/>
              <w:numPr>
                <w:ilvl w:val="0"/>
                <w:numId w:val="1"/>
              </w:numPr>
              <w:autoSpaceDE w:val="0"/>
              <w:autoSpaceDN w:val="0"/>
              <w:adjustRightInd w:val="0"/>
              <w:spacing w:line="360" w:lineRule="auto"/>
              <w:jc w:val="both"/>
              <w:rPr>
                <w:color w:val="000000"/>
              </w:rPr>
            </w:pPr>
            <w:r w:rsidRPr="0087236C">
              <w:rPr>
                <w:color w:val="000000"/>
                <w:lang w:val="en-GB"/>
              </w:rPr>
              <w:t xml:space="preserve">IEC/TR 62630, Guidance for evaluating exposure from multiple electromagnetic sources. </w:t>
            </w:r>
            <w:r w:rsidRPr="0087236C">
              <w:rPr>
                <w:color w:val="000000"/>
              </w:rPr>
              <w:t>Ed. 1. Marzo de 2010.</w:t>
            </w:r>
            <w:r w:rsidRPr="0087236C" w:rsidDel="00DB2D35">
              <w:rPr>
                <w:color w:val="000000"/>
              </w:rPr>
              <w:t xml:space="preserve">, 2010 </w:t>
            </w:r>
          </w:p>
          <w:p w14:paraId="7DFE8234" w14:textId="77777777" w:rsidR="00D9638E" w:rsidRPr="0087236C" w:rsidRDefault="00D9638E" w:rsidP="0062677D">
            <w:pPr>
              <w:pStyle w:val="Prrafodelista"/>
              <w:numPr>
                <w:ilvl w:val="0"/>
                <w:numId w:val="1"/>
              </w:numPr>
              <w:autoSpaceDE w:val="0"/>
              <w:autoSpaceDN w:val="0"/>
              <w:adjustRightInd w:val="0"/>
              <w:spacing w:line="360" w:lineRule="auto"/>
              <w:jc w:val="both"/>
              <w:rPr>
                <w:color w:val="000000"/>
                <w:lang w:val="en-GB"/>
              </w:rPr>
            </w:pPr>
            <w:r w:rsidRPr="0087236C">
              <w:rPr>
                <w:rFonts w:cs="Arial"/>
                <w:color w:val="000000"/>
                <w:lang w:val="en-GB"/>
              </w:rPr>
              <w:t>IEEE Recommended Practice for Determining the Peak Spatial-Average Specific Absorption Rate (SAR) in the Human Head from Wireless Communications Devices: Measurement Techniques," en IEEE Std 1528-2013 (Revisión de IEEE Std 1528-2003) , vol., no., pp.1-246, Septiembre de 2013</w:t>
            </w:r>
          </w:p>
          <w:p w14:paraId="27D60D30" w14:textId="77777777" w:rsidR="00D9638E" w:rsidRPr="0087236C" w:rsidRDefault="00D9638E" w:rsidP="0062677D">
            <w:pPr>
              <w:pStyle w:val="Prrafodelista"/>
              <w:numPr>
                <w:ilvl w:val="0"/>
                <w:numId w:val="1"/>
              </w:numPr>
              <w:autoSpaceDE w:val="0"/>
              <w:autoSpaceDN w:val="0"/>
              <w:adjustRightInd w:val="0"/>
              <w:spacing w:line="360" w:lineRule="auto"/>
              <w:jc w:val="both"/>
              <w:rPr>
                <w:color w:val="000000"/>
                <w:lang w:val="en-GB"/>
              </w:rPr>
            </w:pPr>
            <w:r w:rsidRPr="0087236C" w:rsidDel="005179CF">
              <w:rPr>
                <w:color w:val="000000"/>
                <w:lang w:val="en-GB"/>
              </w:rPr>
              <w:t xml:space="preserve">IEEE Std 1528, Recommended Practice for Determining the Peak Spatial-Average Specific Absorption </w:t>
            </w:r>
            <w:r w:rsidRPr="0087236C" w:rsidDel="005179CF">
              <w:rPr>
                <w:rFonts w:cs="Arial"/>
                <w:color w:val="000000"/>
                <w:lang w:val="en-GB"/>
              </w:rPr>
              <w:t xml:space="preserve">5936 </w:t>
            </w:r>
            <w:r w:rsidRPr="0087236C" w:rsidDel="005179CF">
              <w:rPr>
                <w:color w:val="000000"/>
                <w:lang w:val="en-GB"/>
              </w:rPr>
              <w:t xml:space="preserve">Rate (SAR) in the Human Head from Wireless Communications Devices: Measurement Techniques, New </w:t>
            </w:r>
            <w:r w:rsidRPr="0087236C" w:rsidDel="005179CF">
              <w:rPr>
                <w:rFonts w:cs="Arial"/>
                <w:color w:val="000000"/>
                <w:lang w:val="en-GB"/>
              </w:rPr>
              <w:t xml:space="preserve">5937 </w:t>
            </w:r>
            <w:r w:rsidRPr="0087236C" w:rsidDel="005179CF">
              <w:rPr>
                <w:color w:val="000000"/>
                <w:lang w:val="en-GB"/>
              </w:rPr>
              <w:t>York: Institute Electrical and Electronics Engineers, Sep. 2013</w:t>
            </w:r>
            <w:r w:rsidRPr="0087236C">
              <w:rPr>
                <w:color w:val="000000"/>
                <w:lang w:val="en-GB"/>
              </w:rPr>
              <w:t xml:space="preserve">. </w:t>
            </w:r>
          </w:p>
          <w:p w14:paraId="59C4AD7F" w14:textId="77777777" w:rsidR="00D9638E" w:rsidRPr="0087236C" w:rsidRDefault="00D9638E" w:rsidP="0062677D">
            <w:pPr>
              <w:pStyle w:val="Prrafodelista"/>
              <w:numPr>
                <w:ilvl w:val="0"/>
                <w:numId w:val="1"/>
              </w:numPr>
              <w:autoSpaceDE w:val="0"/>
              <w:autoSpaceDN w:val="0"/>
              <w:adjustRightInd w:val="0"/>
              <w:spacing w:line="360" w:lineRule="auto"/>
              <w:jc w:val="both"/>
              <w:rPr>
                <w:rFonts w:cs="Arial"/>
                <w:color w:val="000000"/>
                <w:lang w:val="en-GB"/>
              </w:rPr>
            </w:pPr>
            <w:r w:rsidRPr="0087236C">
              <w:rPr>
                <w:rFonts w:cs="Arial"/>
                <w:color w:val="000000"/>
                <w:lang w:val="en-GB"/>
              </w:rPr>
              <w:t>IEEE Standard for Safety Levels with Respect to Human Exposure to Radio Frequency Electromagnetic Fields, 3 kHz to 300 GHz, en IEEE Std C95.1-2005 (Revisión de IEEE Std C95.1-1991) , vol., no., pp.1-238, Abril de 2006</w:t>
            </w:r>
            <w:r w:rsidRPr="0087236C" w:rsidDel="00D26E08">
              <w:rPr>
                <w:rFonts w:cs="Arial"/>
                <w:color w:val="000000"/>
                <w:lang w:val="en-GB"/>
              </w:rPr>
              <w:t xml:space="preserve"> </w:t>
            </w:r>
            <w:hyperlink r:id="rId11" w:history="1">
              <w:r w:rsidR="000257AC" w:rsidRPr="00AB381A">
                <w:rPr>
                  <w:rStyle w:val="Hipervnculo"/>
                  <w:rFonts w:cs="Arial"/>
                  <w:lang w:val="en-GB"/>
                </w:rPr>
                <w:t>https://standards.ieee.org/findstds/standard/1528-2013.html</w:t>
              </w:r>
            </w:hyperlink>
            <w:r w:rsidR="000257AC">
              <w:rPr>
                <w:rFonts w:cs="Arial"/>
                <w:color w:val="000000"/>
                <w:lang w:val="en-GB"/>
              </w:rPr>
              <w:t xml:space="preserve"> </w:t>
            </w:r>
          </w:p>
          <w:p w14:paraId="6940D0C7" w14:textId="77777777" w:rsidR="00D9638E" w:rsidRPr="0087236C" w:rsidRDefault="00D9638E" w:rsidP="0062677D">
            <w:pPr>
              <w:numPr>
                <w:ilvl w:val="0"/>
                <w:numId w:val="1"/>
              </w:numPr>
              <w:spacing w:line="360" w:lineRule="auto"/>
              <w:jc w:val="both"/>
              <w:rPr>
                <w:lang w:val="en-GB"/>
              </w:rPr>
            </w:pPr>
            <w:r w:rsidRPr="0087236C">
              <w:rPr>
                <w:lang w:val="en-GB"/>
              </w:rPr>
              <w:t>Institute of Electrical and Electronics Engineers, “IEEE recommended practice for determining the peak spatial-average specific absorption rate (SAR) in the human head from wireless communications devices: measurement techniques”, IEEE Std 1528-2003.</w:t>
            </w:r>
          </w:p>
          <w:p w14:paraId="769654DB" w14:textId="77777777" w:rsidR="00D9638E" w:rsidRPr="0087236C" w:rsidRDefault="00D9638E" w:rsidP="0062677D">
            <w:pPr>
              <w:numPr>
                <w:ilvl w:val="0"/>
                <w:numId w:val="1"/>
              </w:numPr>
              <w:spacing w:line="360" w:lineRule="auto"/>
              <w:jc w:val="both"/>
              <w:rPr>
                <w:lang w:val="en-GB"/>
              </w:rPr>
            </w:pPr>
            <w:r w:rsidRPr="0087236C">
              <w:rPr>
                <w:lang w:val="en-GB"/>
              </w:rPr>
              <w:t>International Electrotechnical Commission, “Human exposure to radio frequency fields from hand-held and body-mounted wireless communication devices-Human models, instrumentation, and procedures-Part1: Procedure to determine the specific absorption rate (SAR) for hand-held devices used in close proximity to the ear (frequency range of 300 MHz to 3 GHz)”, International Standard IEC 62209-1, First Edition 2005-02, Geneve, Switzerland.</w:t>
            </w:r>
          </w:p>
          <w:p w14:paraId="00424B5A" w14:textId="77777777" w:rsidR="00D9638E" w:rsidRPr="0087236C" w:rsidRDefault="00D9638E" w:rsidP="0062677D">
            <w:pPr>
              <w:numPr>
                <w:ilvl w:val="0"/>
                <w:numId w:val="1"/>
              </w:numPr>
              <w:spacing w:line="360" w:lineRule="auto"/>
              <w:jc w:val="both"/>
            </w:pPr>
            <w:r w:rsidRPr="0087236C">
              <w:lastRenderedPageBreak/>
              <w:t>ISO 3534-1 [ISO 1993]</w:t>
            </w:r>
          </w:p>
          <w:p w14:paraId="0A515D7E" w14:textId="77777777" w:rsidR="00D9638E" w:rsidRPr="0087236C" w:rsidRDefault="00D9638E" w:rsidP="0062677D">
            <w:pPr>
              <w:numPr>
                <w:ilvl w:val="0"/>
                <w:numId w:val="1"/>
              </w:numPr>
              <w:spacing w:line="360" w:lineRule="auto"/>
              <w:jc w:val="both"/>
              <w:rPr>
                <w:lang w:val="en-GB"/>
              </w:rPr>
            </w:pPr>
            <w:r w:rsidRPr="0087236C">
              <w:rPr>
                <w:lang w:val="en-GB"/>
              </w:rPr>
              <w:t>Levin, V. V. y Podlovchenki, T. L.,”Dispersion of the dielectric permittivity of ethylene glycol,” Zhurnal Strukturnoi Khimii, vol. 11, pp. 766-767, 1970.</w:t>
            </w:r>
          </w:p>
          <w:p w14:paraId="6E7C5B2D" w14:textId="77777777" w:rsidR="00D9638E" w:rsidRPr="0087236C" w:rsidRDefault="00D9638E" w:rsidP="0062677D">
            <w:pPr>
              <w:numPr>
                <w:ilvl w:val="0"/>
                <w:numId w:val="1"/>
              </w:numPr>
              <w:spacing w:line="360" w:lineRule="auto"/>
              <w:jc w:val="both"/>
              <w:rPr>
                <w:lang w:val="en-GB"/>
              </w:rPr>
            </w:pPr>
            <w:r w:rsidRPr="0087236C">
              <w:rPr>
                <w:lang w:val="en-GB"/>
              </w:rPr>
              <w:t>Li Q., Gandhi O.P. y Kang G., “An open-ended waveguide system of SAR system validation and/or probe calibration for frequencies above 3 GHz,” Physics in Medicine and Biology, vol. 49, pp. 4173-4186, Septiembre de 2004.</w:t>
            </w:r>
          </w:p>
          <w:p w14:paraId="33C2C29A" w14:textId="77777777" w:rsidR="00D9638E" w:rsidRPr="0087236C" w:rsidRDefault="00D9638E" w:rsidP="0062677D">
            <w:pPr>
              <w:numPr>
                <w:ilvl w:val="0"/>
                <w:numId w:val="1"/>
              </w:numPr>
              <w:spacing w:line="360" w:lineRule="auto"/>
              <w:jc w:val="both"/>
            </w:pPr>
            <w:r w:rsidRPr="0087236C">
              <w:rPr>
                <w:lang w:val="en-GB"/>
              </w:rPr>
              <w:t xml:space="preserve">Loader B., “Computer Simulation of WR159 Waveguide </w:t>
            </w:r>
            <w:r w:rsidR="009D2C18" w:rsidRPr="0087236C">
              <w:rPr>
                <w:lang w:val="en-GB"/>
              </w:rPr>
              <w:t>against</w:t>
            </w:r>
            <w:r w:rsidRPr="0087236C">
              <w:rPr>
                <w:lang w:val="en-GB"/>
              </w:rPr>
              <w:t xml:space="preserve"> a Flat Dielectric Phantom at 5.2 GHz and 5.8 GHz,” NPL Report DEM EM 008. </w:t>
            </w:r>
            <w:r w:rsidRPr="0087236C">
              <w:t>Marzo de 2007.</w:t>
            </w:r>
          </w:p>
          <w:p w14:paraId="51B062D7" w14:textId="77777777" w:rsidR="00D9638E" w:rsidRPr="0087236C" w:rsidRDefault="00D9638E" w:rsidP="0062677D">
            <w:pPr>
              <w:numPr>
                <w:ilvl w:val="0"/>
                <w:numId w:val="1"/>
              </w:numPr>
              <w:spacing w:line="360" w:lineRule="auto"/>
              <w:jc w:val="both"/>
              <w:rPr>
                <w:lang w:val="en-GB"/>
              </w:rPr>
            </w:pPr>
            <w:r w:rsidRPr="0087236C">
              <w:rPr>
                <w:lang w:val="en-GB"/>
              </w:rPr>
              <w:t>M. Okoniewski, M. Stuchly, “A study of the handset antenna and human body interaction”, IEEE Transactions on Microwave Theory and Techniques, Vol. 44, No. 10, October 1996, pp. 1855-1864.</w:t>
            </w:r>
          </w:p>
          <w:p w14:paraId="76CCA439" w14:textId="77777777" w:rsidR="00D9638E" w:rsidRPr="0087236C" w:rsidRDefault="00D9638E" w:rsidP="0062677D">
            <w:pPr>
              <w:pStyle w:val="Prrafodelista"/>
              <w:numPr>
                <w:ilvl w:val="0"/>
                <w:numId w:val="1"/>
              </w:numPr>
              <w:spacing w:after="101" w:line="360" w:lineRule="auto"/>
              <w:jc w:val="both"/>
              <w:rPr>
                <w:lang w:val="en-GB"/>
              </w:rPr>
            </w:pPr>
            <w:r w:rsidRPr="0087236C">
              <w:rPr>
                <w:lang w:val="en-GB"/>
              </w:rPr>
              <w:t>P. Bernardi, M. Cavagnaro, S. Pisa, “Evaluation of the SAR distribution in the human head for cellular phones used in a partially closed environment”, IEEE Transactions on Electromagnetic Compatibility, Vol. 38, No. 3, August 1996, pp. 357-366</w:t>
            </w:r>
          </w:p>
          <w:p w14:paraId="23C521E9" w14:textId="77777777" w:rsidR="00D9638E" w:rsidRPr="0087236C" w:rsidRDefault="00D9638E" w:rsidP="0062677D">
            <w:pPr>
              <w:numPr>
                <w:ilvl w:val="0"/>
                <w:numId w:val="1"/>
              </w:numPr>
              <w:spacing w:line="360" w:lineRule="auto"/>
              <w:jc w:val="both"/>
              <w:rPr>
                <w:lang w:val="en-GB"/>
              </w:rPr>
            </w:pPr>
            <w:r w:rsidRPr="0087236C">
              <w:rPr>
                <w:lang w:val="en-GB"/>
              </w:rPr>
              <w:t>P. Bernardi, M. Cavagnaro, S. Pisa, “Evaluation of the SAR distribution in the human head for cellular phones used in partially closed environment”, IEEE Transactions on Electromagnetic Compatibility, Vol. 38, No. 3, August 1996.</w:t>
            </w:r>
          </w:p>
          <w:p w14:paraId="5CB29D38" w14:textId="77777777" w:rsidR="00D9638E" w:rsidRPr="0087236C" w:rsidRDefault="00D9638E" w:rsidP="0062677D">
            <w:pPr>
              <w:numPr>
                <w:ilvl w:val="0"/>
                <w:numId w:val="1"/>
              </w:numPr>
              <w:spacing w:line="360" w:lineRule="auto"/>
              <w:jc w:val="both"/>
            </w:pPr>
            <w:r w:rsidRPr="0087236C">
              <w:rPr>
                <w:lang w:val="en-GB"/>
              </w:rPr>
              <w:t xml:space="preserve">Porter S.J. y Manning M.I. “Method validates SAR measurement systems,” Microwaves and RF, vol. 44, no. 4, pp. 70-78. </w:t>
            </w:r>
            <w:r w:rsidRPr="0087236C">
              <w:t>Abril de 2005.</w:t>
            </w:r>
          </w:p>
          <w:p w14:paraId="4B464250" w14:textId="77777777" w:rsidR="00D9638E" w:rsidRPr="0087236C" w:rsidRDefault="00D9638E" w:rsidP="0062677D">
            <w:pPr>
              <w:numPr>
                <w:ilvl w:val="0"/>
                <w:numId w:val="1"/>
              </w:numPr>
              <w:spacing w:line="360" w:lineRule="auto"/>
              <w:jc w:val="both"/>
              <w:rPr>
                <w:lang w:val="en-GB"/>
              </w:rPr>
            </w:pPr>
            <w:r w:rsidRPr="0087236C">
              <w:rPr>
                <w:lang w:val="en-GB"/>
              </w:rPr>
              <w:t>Q. Balzano, O. Garay, T. Manning, “Electromagnetic energy exposure of simulated users of portable cellular telephones”, IEEE Transactions on Vehicular Technology, Vol. 44, No. 3, August 1995, pp. 390-403.</w:t>
            </w:r>
          </w:p>
          <w:p w14:paraId="616AD027" w14:textId="77777777" w:rsidR="00D9638E" w:rsidRPr="0087236C" w:rsidRDefault="00D9638E" w:rsidP="0062677D">
            <w:pPr>
              <w:numPr>
                <w:ilvl w:val="0"/>
                <w:numId w:val="1"/>
              </w:numPr>
              <w:spacing w:line="360" w:lineRule="auto"/>
              <w:jc w:val="both"/>
              <w:rPr>
                <w:lang w:val="en-GB"/>
              </w:rPr>
            </w:pPr>
            <w:r w:rsidRPr="0087236C">
              <w:rPr>
                <w:lang w:val="en-GB"/>
              </w:rPr>
              <w:t>S. Watanabe, M. Taki, T. Nojima, O. Fujiwara, “Characteristics of the SAR distribution in a head exposed to electromagnetic fields radiated by a hand-held portable radio”, IEEE Transactions on Microwave Theory and Techniques, Vol. 44, No. 10, October 1996, pp. 1874-1883.</w:t>
            </w:r>
          </w:p>
          <w:p w14:paraId="59C040E2" w14:textId="77777777" w:rsidR="00D9638E" w:rsidRPr="0087236C" w:rsidRDefault="00D9638E" w:rsidP="0062677D">
            <w:pPr>
              <w:numPr>
                <w:ilvl w:val="0"/>
                <w:numId w:val="1"/>
              </w:numPr>
              <w:spacing w:line="360" w:lineRule="auto"/>
              <w:jc w:val="both"/>
              <w:rPr>
                <w:lang w:val="en-GB"/>
              </w:rPr>
            </w:pPr>
            <w:r w:rsidRPr="0087236C">
              <w:rPr>
                <w:lang w:val="en-GB"/>
              </w:rPr>
              <w:lastRenderedPageBreak/>
              <w:t>U.S. Federal Communications Commission, Office of Engineering and Technology, “Evaluating compliance with FCC guidelines for human exposure to radiofrequency electromagnetic fields, additional information for evaluating compliance of mobile and portable devices with FCC limits for human exposure to radiofrequency emissions”, Supplement C to OET Bulletin 65, Edition 01-01, June 2001, Washington, D.C.</w:t>
            </w:r>
          </w:p>
          <w:p w14:paraId="3F85FA57" w14:textId="77777777" w:rsidR="00D9638E" w:rsidRPr="0087236C" w:rsidRDefault="00D9638E" w:rsidP="0062677D">
            <w:pPr>
              <w:numPr>
                <w:ilvl w:val="0"/>
                <w:numId w:val="1"/>
              </w:numPr>
              <w:spacing w:line="360" w:lineRule="auto"/>
              <w:jc w:val="both"/>
              <w:rPr>
                <w:lang w:val="en-GB"/>
              </w:rPr>
            </w:pPr>
            <w:r w:rsidRPr="0087236C">
              <w:rPr>
                <w:rFonts w:cs="Arial"/>
                <w:shd w:val="clear" w:color="auto" w:fill="FFFFFF"/>
                <w:lang w:val="en-GB"/>
              </w:rPr>
              <w:t>U.S. Federal Communications Commission, Office of Engineering and Technology, “Evaluating compliance with FCC guidelines for human exposure to radiofrequency electromagnetic fields, additional information for Radio and Television Broadcast Stations”, Supplement A to OET Bulletin 65, Edition 97-01, Washington, D.C.</w:t>
            </w:r>
          </w:p>
          <w:p w14:paraId="11E1A616" w14:textId="77777777" w:rsidR="00DF1453" w:rsidRPr="00F54B21" w:rsidRDefault="00D9638E" w:rsidP="0062677D">
            <w:pPr>
              <w:numPr>
                <w:ilvl w:val="0"/>
                <w:numId w:val="1"/>
              </w:numPr>
              <w:spacing w:line="360" w:lineRule="auto"/>
              <w:jc w:val="both"/>
              <w:rPr>
                <w:lang w:val="en-GB"/>
              </w:rPr>
            </w:pPr>
            <w:r w:rsidRPr="0087236C">
              <w:rPr>
                <w:lang w:val="en-GB"/>
              </w:rPr>
              <w:t xml:space="preserve">V. Hombach, K. Meier, M. Burkhardt, E. Kühn, N. Kuster, “The dependence of EM energy absorption upon human head </w:t>
            </w:r>
            <w:r w:rsidR="00DB5422" w:rsidRPr="0087236C">
              <w:rPr>
                <w:lang w:val="en-GB"/>
              </w:rPr>
              <w:t>modelling</w:t>
            </w:r>
            <w:r w:rsidRPr="0087236C">
              <w:rPr>
                <w:lang w:val="en-GB"/>
              </w:rPr>
              <w:t xml:space="preserve"> at 900 MHz”, IEEE Transactions on Microwave Theory and Techniques, Vol. 44, No. 10, October 1996, pp. 1865-1873.</w:t>
            </w:r>
          </w:p>
          <w:p w14:paraId="18AD629A" w14:textId="77777777" w:rsidR="00F54B21" w:rsidRPr="00F54B21" w:rsidRDefault="00F54B21" w:rsidP="0062677D">
            <w:pPr>
              <w:numPr>
                <w:ilvl w:val="0"/>
                <w:numId w:val="1"/>
              </w:numPr>
              <w:spacing w:line="360" w:lineRule="auto"/>
              <w:jc w:val="both"/>
            </w:pPr>
            <w:r w:rsidRPr="00F54B21">
              <w:t xml:space="preserve">Guía de la UIT sobre campos electromagnéticos CEM, </w:t>
            </w:r>
            <w:hyperlink r:id="rId12" w:history="1">
              <w:r w:rsidRPr="00AB381A">
                <w:rPr>
                  <w:rStyle w:val="Hipervnculo"/>
                </w:rPr>
                <w:t>http://emfguide.itu.int/emfguide.html</w:t>
              </w:r>
            </w:hyperlink>
            <w:r>
              <w:t xml:space="preserve"> </w:t>
            </w:r>
          </w:p>
          <w:p w14:paraId="4EAC61CC" w14:textId="77777777" w:rsidR="00F54B21" w:rsidRPr="00F54B21" w:rsidRDefault="00F54B21" w:rsidP="0062677D">
            <w:pPr>
              <w:numPr>
                <w:ilvl w:val="0"/>
                <w:numId w:val="1"/>
              </w:numPr>
              <w:spacing w:line="360" w:lineRule="auto"/>
              <w:jc w:val="both"/>
            </w:pPr>
            <w:r w:rsidRPr="00F54B21">
              <w:t>NOM-013-STPS-1993, D</w:t>
            </w:r>
            <w:r w:rsidR="00331E93">
              <w:t xml:space="preserve">iario </w:t>
            </w:r>
            <w:r w:rsidRPr="00F54B21">
              <w:t>O</w:t>
            </w:r>
            <w:r w:rsidR="00331E93">
              <w:t xml:space="preserve">ficial de la </w:t>
            </w:r>
            <w:r w:rsidRPr="00F54B21">
              <w:t>F</w:t>
            </w:r>
            <w:r w:rsidR="00331E93">
              <w:t>ederación</w:t>
            </w:r>
            <w:r w:rsidRPr="00F54B21">
              <w:t xml:space="preserve">, Publicada el 6 de diciembre de 1993 </w:t>
            </w:r>
            <w:hyperlink r:id="rId13" w:history="1">
              <w:r w:rsidRPr="00AB381A">
                <w:rPr>
                  <w:rStyle w:val="Hipervnculo"/>
                </w:rPr>
                <w:t>http://dof.gob.mx/nota_detalle.php?codigo=4809618&amp;fecha=06/12/1993</w:t>
              </w:r>
            </w:hyperlink>
            <w:r>
              <w:t xml:space="preserve"> </w:t>
            </w:r>
          </w:p>
          <w:p w14:paraId="46309D42" w14:textId="77777777" w:rsidR="00F54B21" w:rsidRPr="00F54B21" w:rsidRDefault="00F54B21" w:rsidP="0062677D">
            <w:pPr>
              <w:numPr>
                <w:ilvl w:val="0"/>
                <w:numId w:val="1"/>
              </w:numPr>
              <w:spacing w:line="360" w:lineRule="auto"/>
              <w:jc w:val="both"/>
              <w:rPr>
                <w:lang w:val="en-GB"/>
              </w:rPr>
            </w:pPr>
            <w:r w:rsidRPr="00F54B21">
              <w:rPr>
                <w:lang w:val="en-GB"/>
              </w:rPr>
              <w:t xml:space="preserve">FCC, CFR 47, 2.1091 - Radiofrequency radiation exposure evaluation: mobile devices. </w:t>
            </w:r>
            <w:hyperlink r:id="rId14" w:history="1">
              <w:r w:rsidRPr="00AB381A">
                <w:rPr>
                  <w:rStyle w:val="Hipervnculo"/>
                  <w:lang w:val="en-GB"/>
                </w:rPr>
                <w:t>https://www.law.cornell.edu/cfr/text/47/2.1091</w:t>
              </w:r>
            </w:hyperlink>
            <w:r>
              <w:rPr>
                <w:lang w:val="en-GB"/>
              </w:rPr>
              <w:t xml:space="preserve"> </w:t>
            </w:r>
          </w:p>
          <w:p w14:paraId="520DD820" w14:textId="77777777" w:rsidR="00F54B21" w:rsidRPr="00F54B21" w:rsidRDefault="00F54B21" w:rsidP="0062677D">
            <w:pPr>
              <w:numPr>
                <w:ilvl w:val="0"/>
                <w:numId w:val="1"/>
              </w:numPr>
              <w:spacing w:line="360" w:lineRule="auto"/>
              <w:jc w:val="both"/>
              <w:rPr>
                <w:lang w:val="en-GB"/>
              </w:rPr>
            </w:pPr>
            <w:r w:rsidRPr="00F54B21">
              <w:rPr>
                <w:lang w:val="en-GB"/>
              </w:rPr>
              <w:t xml:space="preserve">FCC Consumer and Governmental Affairs, Specific Absorption Rate (SAR) for Cellular Telephones, 2016. </w:t>
            </w:r>
            <w:hyperlink r:id="rId15" w:history="1">
              <w:r w:rsidRPr="00AB381A">
                <w:rPr>
                  <w:rStyle w:val="Hipervnculo"/>
                  <w:lang w:val="en-GB"/>
                </w:rPr>
                <w:t>https://www.fcc.gov/cgb/sar/</w:t>
              </w:r>
            </w:hyperlink>
            <w:r>
              <w:rPr>
                <w:lang w:val="en-GB"/>
              </w:rPr>
              <w:t xml:space="preserve"> </w:t>
            </w:r>
          </w:p>
          <w:p w14:paraId="782913B8" w14:textId="77777777" w:rsidR="00F54B21" w:rsidRPr="00F54B21" w:rsidRDefault="00F54B21" w:rsidP="0062677D">
            <w:pPr>
              <w:numPr>
                <w:ilvl w:val="0"/>
                <w:numId w:val="1"/>
              </w:numPr>
              <w:spacing w:line="360" w:lineRule="auto"/>
              <w:jc w:val="both"/>
              <w:rPr>
                <w:lang w:val="en-GB"/>
              </w:rPr>
            </w:pPr>
            <w:r w:rsidRPr="00F54B21">
              <w:rPr>
                <w:lang w:val="en-GB"/>
              </w:rPr>
              <w:t xml:space="preserve">Canada RSS-102 — Radio Frequency (RF) Exposure Compliance of Radiocommunication Apparatus (All Frequency Bands), 2015 </w:t>
            </w:r>
            <w:hyperlink r:id="rId16" w:history="1">
              <w:r w:rsidRPr="00AB381A">
                <w:rPr>
                  <w:rStyle w:val="Hipervnculo"/>
                  <w:lang w:val="en-GB"/>
                </w:rPr>
                <w:t>http://www.ic.gc.ca/eic/site/smt-gst.nsf/eng/sf01904.html</w:t>
              </w:r>
            </w:hyperlink>
            <w:r>
              <w:rPr>
                <w:lang w:val="en-GB"/>
              </w:rPr>
              <w:t xml:space="preserve"> </w:t>
            </w:r>
          </w:p>
          <w:p w14:paraId="5AE680B7" w14:textId="77777777" w:rsidR="00F54B21" w:rsidRPr="00F54B21" w:rsidRDefault="00F54B21" w:rsidP="0062677D">
            <w:pPr>
              <w:numPr>
                <w:ilvl w:val="0"/>
                <w:numId w:val="1"/>
              </w:numPr>
              <w:spacing w:line="360" w:lineRule="auto"/>
              <w:jc w:val="both"/>
              <w:rPr>
                <w:lang w:val="en-GB"/>
              </w:rPr>
            </w:pPr>
            <w:r w:rsidRPr="00F54B21">
              <w:rPr>
                <w:lang w:val="en-GB"/>
              </w:rPr>
              <w:t xml:space="preserve">Finland Radiation Act 27.3.1991/592 </w:t>
            </w:r>
            <w:hyperlink r:id="rId17" w:history="1">
              <w:r w:rsidRPr="00AB381A">
                <w:rPr>
                  <w:rStyle w:val="Hipervnculo"/>
                  <w:lang w:val="en-GB"/>
                </w:rPr>
                <w:t>https://www.stuklex.fi/en/haku/ls/19910592</w:t>
              </w:r>
            </w:hyperlink>
            <w:r>
              <w:rPr>
                <w:lang w:val="en-GB"/>
              </w:rPr>
              <w:t xml:space="preserve"> </w:t>
            </w:r>
          </w:p>
          <w:p w14:paraId="57E4C485" w14:textId="77777777" w:rsidR="00F54B21" w:rsidRPr="00F54B21" w:rsidRDefault="00F54B21" w:rsidP="0062677D">
            <w:pPr>
              <w:numPr>
                <w:ilvl w:val="0"/>
                <w:numId w:val="1"/>
              </w:numPr>
              <w:spacing w:line="360" w:lineRule="auto"/>
              <w:jc w:val="both"/>
              <w:rPr>
                <w:lang w:val="en-GB"/>
              </w:rPr>
            </w:pPr>
            <w:r w:rsidRPr="00F54B21">
              <w:rPr>
                <w:lang w:val="en-GB"/>
              </w:rPr>
              <w:lastRenderedPageBreak/>
              <w:t xml:space="preserve">Finland STUK, Measurements of mobile phone radiation, 2015 </w:t>
            </w:r>
            <w:hyperlink r:id="rId18" w:history="1">
              <w:r w:rsidRPr="00AB381A">
                <w:rPr>
                  <w:rStyle w:val="Hipervnculo"/>
                  <w:lang w:val="en-GB"/>
                </w:rPr>
                <w:t>http://www.stuk.fi/web/en/stuk-supervises/measurements-of-mobile-phone-radiation</w:t>
              </w:r>
            </w:hyperlink>
            <w:r>
              <w:rPr>
                <w:lang w:val="en-GB"/>
              </w:rPr>
              <w:t xml:space="preserve"> </w:t>
            </w:r>
          </w:p>
          <w:p w14:paraId="7E540C90" w14:textId="77777777" w:rsidR="00F54B21" w:rsidRPr="00F54B21" w:rsidRDefault="00F54B21" w:rsidP="0062677D">
            <w:pPr>
              <w:numPr>
                <w:ilvl w:val="0"/>
                <w:numId w:val="1"/>
              </w:numPr>
              <w:spacing w:line="360" w:lineRule="auto"/>
              <w:jc w:val="both"/>
            </w:pPr>
            <w:r w:rsidRPr="00F54B21">
              <w:t xml:space="preserve">Dictamen del Comité Económico y Social Europeo sobre la «Propuesta de Directiva del Parlamento Europeo y del Consejo sobre las disposiciones mínimas de salud y seguridad por lo que respecta a la exposición de los trabajadores a los riesgos derivados de agentes físicos (campos electromagnéticos) (XX Directiva específica a tenor del artículo 16, apartado 1, de la Directiva 89/391/CEE) </w:t>
            </w:r>
            <w:hyperlink r:id="rId19" w:history="1">
              <w:r w:rsidRPr="00AB381A">
                <w:rPr>
                  <w:rStyle w:val="Hipervnculo"/>
                </w:rPr>
                <w:t>http://eur-lex.europa.eu/legal-content/ES/TXT/?uri=CELEX:52011AE1855</w:t>
              </w:r>
            </w:hyperlink>
            <w:r>
              <w:t xml:space="preserve"> </w:t>
            </w:r>
          </w:p>
          <w:p w14:paraId="7972DFE1" w14:textId="77777777" w:rsidR="00F54B21" w:rsidRPr="00F54B21" w:rsidRDefault="00F54B21" w:rsidP="0062677D">
            <w:pPr>
              <w:numPr>
                <w:ilvl w:val="0"/>
                <w:numId w:val="1"/>
              </w:numPr>
              <w:spacing w:line="360" w:lineRule="auto"/>
              <w:jc w:val="both"/>
            </w:pPr>
            <w:r w:rsidRPr="00F54B21">
              <w:t xml:space="preserve">Directiva 2013/35/UE del Parlamento Europeo y del Consejo, de 26 de junio de 2013 , sobre las disposiciones mínimas de salud y seguridad relativas a la exposición de los trabajadores a los riesgos derivados de agentes físicos (campos electromagnéticos), 2013 </w:t>
            </w:r>
            <w:hyperlink r:id="rId20" w:history="1">
              <w:r w:rsidRPr="00AB381A">
                <w:rPr>
                  <w:rStyle w:val="Hipervnculo"/>
                </w:rPr>
                <w:t>http://eur-lex.europa.eu/legal-content/ES/TXT/?uri=CELEX:32013L0035</w:t>
              </w:r>
            </w:hyperlink>
            <w:r>
              <w:t xml:space="preserve"> </w:t>
            </w:r>
          </w:p>
          <w:p w14:paraId="4703A669" w14:textId="77777777" w:rsidR="00F54B21" w:rsidRPr="00F54B21" w:rsidRDefault="00F54B21" w:rsidP="0062677D">
            <w:pPr>
              <w:numPr>
                <w:ilvl w:val="0"/>
                <w:numId w:val="1"/>
              </w:numPr>
              <w:spacing w:line="360" w:lineRule="auto"/>
              <w:jc w:val="both"/>
              <w:rPr>
                <w:lang w:val="en-GB"/>
              </w:rPr>
            </w:pPr>
            <w:r w:rsidRPr="00F54B21">
              <w:rPr>
                <w:lang w:val="en-GB"/>
              </w:rPr>
              <w:t xml:space="preserve">Japan Telecommunications Technology Council Report: “Measurement of SAR from Mobile Phone Terminals and Other Terminals that are Intended for Use in Close Proximity to the Side of the Head”, 2000 </w:t>
            </w:r>
            <w:hyperlink r:id="rId21" w:history="1">
              <w:r w:rsidRPr="00AB381A">
                <w:rPr>
                  <w:rStyle w:val="Hipervnculo"/>
                  <w:lang w:val="en-GB"/>
                </w:rPr>
                <w:t>http://www.tele.soumu.go.jp/resource/e/ele/body/pdf/ttc.pdf</w:t>
              </w:r>
            </w:hyperlink>
            <w:r>
              <w:rPr>
                <w:lang w:val="en-GB"/>
              </w:rPr>
              <w:t xml:space="preserve"> </w:t>
            </w:r>
          </w:p>
          <w:p w14:paraId="7213E4BB" w14:textId="77777777" w:rsidR="00F54B21" w:rsidRPr="00F54B21" w:rsidRDefault="00F54B21" w:rsidP="0062677D">
            <w:pPr>
              <w:numPr>
                <w:ilvl w:val="0"/>
                <w:numId w:val="1"/>
              </w:numPr>
              <w:spacing w:line="360" w:lineRule="auto"/>
              <w:jc w:val="both"/>
              <w:rPr>
                <w:lang w:val="en-GB"/>
              </w:rPr>
            </w:pPr>
            <w:r w:rsidRPr="00F54B21">
              <w:rPr>
                <w:lang w:val="en-GB"/>
              </w:rPr>
              <w:t xml:space="preserve">Japan Association of Radio Industries and Businesses, “ARIB STD-T56 - Specific Absorption Rate (SAR) Estimation for Cellular Phone”, 2015 </w:t>
            </w:r>
            <w:hyperlink r:id="rId22" w:history="1">
              <w:r w:rsidRPr="00AB381A">
                <w:rPr>
                  <w:rStyle w:val="Hipervnculo"/>
                  <w:lang w:val="en-GB"/>
                </w:rPr>
                <w:t>https://www.arib.or.jp/english/std_tr/telecommunications/std-t56.html</w:t>
              </w:r>
            </w:hyperlink>
            <w:r>
              <w:rPr>
                <w:lang w:val="en-GB"/>
              </w:rPr>
              <w:t xml:space="preserve"> </w:t>
            </w:r>
          </w:p>
          <w:p w14:paraId="003ACAEE" w14:textId="77777777" w:rsidR="00F54B21" w:rsidRPr="00F54B21" w:rsidRDefault="00F54B21" w:rsidP="0062677D">
            <w:pPr>
              <w:numPr>
                <w:ilvl w:val="0"/>
                <w:numId w:val="1"/>
              </w:numPr>
              <w:spacing w:line="360" w:lineRule="auto"/>
              <w:jc w:val="both"/>
              <w:rPr>
                <w:lang w:val="en-GB"/>
              </w:rPr>
            </w:pPr>
            <w:r w:rsidRPr="00F54B21">
              <w:rPr>
                <w:lang w:val="en-GB"/>
              </w:rPr>
              <w:t xml:space="preserve">Japan Ministry of Internal Affairs and Communications, “Possible Health Effects on the Human Body from Radio Wave Exposure”, </w:t>
            </w:r>
            <w:hyperlink r:id="rId23" w:history="1">
              <w:r w:rsidRPr="00AB381A">
                <w:rPr>
                  <w:rStyle w:val="Hipervnculo"/>
                  <w:lang w:val="en-GB"/>
                </w:rPr>
                <w:t>http://www.tele.soumu.go.jp/e/sys/ele/body/index.htm</w:t>
              </w:r>
            </w:hyperlink>
            <w:r>
              <w:rPr>
                <w:lang w:val="en-GB"/>
              </w:rPr>
              <w:t xml:space="preserve"> </w:t>
            </w:r>
          </w:p>
          <w:p w14:paraId="6A87BCA3" w14:textId="77777777" w:rsidR="00F54B21" w:rsidRPr="00A26345" w:rsidRDefault="00F54B21" w:rsidP="0062677D">
            <w:pPr>
              <w:numPr>
                <w:ilvl w:val="0"/>
                <w:numId w:val="1"/>
              </w:numPr>
              <w:spacing w:line="360" w:lineRule="auto"/>
              <w:jc w:val="both"/>
            </w:pPr>
            <w:r w:rsidRPr="00F54B21">
              <w:rPr>
                <w:lang w:val="en-GB"/>
              </w:rPr>
              <w:t xml:space="preserve">Australian Radiation Protection and Nuclear Safety Agency, “Radiation Protection Standard for Maximum Exposure Levels to Radiofrequency Fields - 3 kHz to 300 GHz”, 2002. </w:t>
            </w:r>
            <w:hyperlink r:id="rId24" w:history="1">
              <w:r w:rsidRPr="00A26345">
                <w:rPr>
                  <w:rStyle w:val="Hipervnculo"/>
                </w:rPr>
                <w:t>https://www.arpansa.gov.au/regulation-and-</w:t>
              </w:r>
              <w:r w:rsidRPr="00A26345">
                <w:rPr>
                  <w:rStyle w:val="Hipervnculo"/>
                </w:rPr>
                <w:lastRenderedPageBreak/>
                <w:t>licensing/regulatory-publications/radiation-protection-series/codes-and-standards/rps3</w:t>
              </w:r>
            </w:hyperlink>
            <w:r w:rsidRPr="00A26345">
              <w:t xml:space="preserve"> </w:t>
            </w:r>
          </w:p>
          <w:p w14:paraId="745CB18C" w14:textId="77777777" w:rsidR="00F54B21" w:rsidRPr="00F54B21" w:rsidRDefault="00F54B21" w:rsidP="0062677D">
            <w:pPr>
              <w:numPr>
                <w:ilvl w:val="0"/>
                <w:numId w:val="1"/>
              </w:numPr>
              <w:spacing w:line="360" w:lineRule="auto"/>
              <w:jc w:val="both"/>
              <w:rPr>
                <w:lang w:val="en-GB"/>
              </w:rPr>
            </w:pPr>
            <w:r w:rsidRPr="00F54B21">
              <w:rPr>
                <w:lang w:val="en-GB"/>
              </w:rPr>
              <w:t xml:space="preserve">Australian Communications and Media Authority, “Radiocommunications (Electromagnetic Radiation — Human Exposure) Standard 2014” </w:t>
            </w:r>
            <w:hyperlink r:id="rId25" w:history="1">
              <w:r w:rsidRPr="00AB381A">
                <w:rPr>
                  <w:rStyle w:val="Hipervnculo"/>
                  <w:lang w:val="en-GB"/>
                </w:rPr>
                <w:t>https://www.legislation.gov.au/Details/F2014L00960</w:t>
              </w:r>
            </w:hyperlink>
            <w:r>
              <w:rPr>
                <w:lang w:val="en-GB"/>
              </w:rPr>
              <w:t xml:space="preserve"> </w:t>
            </w:r>
          </w:p>
          <w:p w14:paraId="23144B83" w14:textId="77777777" w:rsidR="00F54B21" w:rsidRPr="00F54B21" w:rsidRDefault="00F54B21" w:rsidP="0062677D">
            <w:pPr>
              <w:numPr>
                <w:ilvl w:val="0"/>
                <w:numId w:val="1"/>
              </w:numPr>
              <w:spacing w:line="360" w:lineRule="auto"/>
              <w:jc w:val="both"/>
            </w:pPr>
            <w:r w:rsidRPr="00F54B21">
              <w:t xml:space="preserve">Lei Nº 11.934, de 5 de Maio de 2009, “Dispõe sobre limites à exposição humana a campos elétricos, magnéticos e eletromagnéticos” </w:t>
            </w:r>
            <w:hyperlink r:id="rId26" w:history="1">
              <w:r w:rsidRPr="00AB381A">
                <w:rPr>
                  <w:rStyle w:val="Hipervnculo"/>
                </w:rPr>
                <w:t>https://www.planalto.gov.br/ccivil_03/_ato2007-2010/2009/lei/l11934.htm</w:t>
              </w:r>
            </w:hyperlink>
            <w:r>
              <w:t xml:space="preserve"> </w:t>
            </w:r>
          </w:p>
          <w:p w14:paraId="5CA1999C" w14:textId="77777777" w:rsidR="00F54B21" w:rsidRPr="00F54B21" w:rsidRDefault="00F54B21" w:rsidP="0062677D">
            <w:pPr>
              <w:numPr>
                <w:ilvl w:val="0"/>
                <w:numId w:val="1"/>
              </w:numPr>
              <w:spacing w:line="360" w:lineRule="auto"/>
              <w:jc w:val="both"/>
            </w:pPr>
            <w:r w:rsidRPr="00F54B21">
              <w:t xml:space="preserve">Chile, Ministerio de Transportes y Telecomunicaciones, “Resolución 1672 EXENTA”, 2002 </w:t>
            </w:r>
            <w:hyperlink r:id="rId27" w:history="1">
              <w:r w:rsidRPr="00AB381A">
                <w:rPr>
                  <w:rStyle w:val="Hipervnculo"/>
                </w:rPr>
                <w:t>https://www.leychile.cl/Navegar?idNorma=206184</w:t>
              </w:r>
            </w:hyperlink>
            <w:r>
              <w:t xml:space="preserve"> </w:t>
            </w:r>
          </w:p>
          <w:p w14:paraId="3E8ED847" w14:textId="77777777" w:rsidR="000A5F75" w:rsidRPr="00F54B21" w:rsidRDefault="000A5F75" w:rsidP="000A5F75">
            <w:pPr>
              <w:spacing w:line="360" w:lineRule="auto"/>
              <w:jc w:val="both"/>
            </w:pPr>
          </w:p>
        </w:tc>
      </w:tr>
    </w:tbl>
    <w:p w14:paraId="0CBCD957" w14:textId="77777777" w:rsidR="007865E9" w:rsidRPr="007865E9" w:rsidRDefault="007865E9" w:rsidP="00D04111">
      <w:pPr>
        <w:spacing w:line="276" w:lineRule="auto"/>
        <w:jc w:val="both"/>
        <w:rPr>
          <w:color w:val="D9D9D9" w:themeColor="background1" w:themeShade="D9"/>
          <w:sz w:val="16"/>
        </w:rPr>
      </w:pPr>
    </w:p>
    <w:sectPr w:rsidR="007865E9" w:rsidRPr="007865E9" w:rsidSect="008D792D">
      <w:headerReference w:type="default" r:id="rId28"/>
      <w:foot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95647" w14:textId="77777777" w:rsidR="00F54526" w:rsidRDefault="00F54526" w:rsidP="00501ADF">
      <w:pPr>
        <w:spacing w:after="0" w:line="240" w:lineRule="auto"/>
      </w:pPr>
      <w:r>
        <w:separator/>
      </w:r>
    </w:p>
  </w:endnote>
  <w:endnote w:type="continuationSeparator" w:id="0">
    <w:p w14:paraId="0958AF5C" w14:textId="77777777" w:rsidR="00F54526" w:rsidRDefault="00F54526" w:rsidP="00501ADF">
      <w:pPr>
        <w:spacing w:after="0" w:line="240" w:lineRule="auto"/>
      </w:pPr>
      <w:r>
        <w:continuationSeparator/>
      </w:r>
    </w:p>
  </w:endnote>
  <w:endnote w:type="continuationNotice" w:id="1">
    <w:p w14:paraId="4377F750" w14:textId="77777777" w:rsidR="00F54526" w:rsidRDefault="00F545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ITC Avant Garde,ITC Avant Garde">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299687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6385A29" w14:textId="145E9B5E" w:rsidR="0093726F" w:rsidRPr="008A431F" w:rsidRDefault="0093726F">
            <w:pPr>
              <w:pStyle w:val="Piedepgina"/>
              <w:jc w:val="right"/>
              <w:rPr>
                <w:sz w:val="20"/>
                <w:szCs w:val="20"/>
              </w:rPr>
            </w:pPr>
            <w:r w:rsidRPr="008A431F">
              <w:rPr>
                <w:sz w:val="20"/>
                <w:szCs w:val="20"/>
                <w:lang w:val="es-ES"/>
              </w:rPr>
              <w:t xml:space="preserve">Página </w:t>
            </w:r>
            <w:r w:rsidRPr="008A431F">
              <w:rPr>
                <w:b/>
                <w:bCs/>
                <w:sz w:val="20"/>
                <w:szCs w:val="20"/>
              </w:rPr>
              <w:fldChar w:fldCharType="begin"/>
            </w:r>
            <w:r w:rsidRPr="008A431F">
              <w:rPr>
                <w:b/>
                <w:bCs/>
                <w:sz w:val="20"/>
                <w:szCs w:val="20"/>
              </w:rPr>
              <w:instrText>PAGE</w:instrText>
            </w:r>
            <w:r w:rsidRPr="008A431F">
              <w:rPr>
                <w:b/>
                <w:bCs/>
                <w:sz w:val="20"/>
                <w:szCs w:val="20"/>
              </w:rPr>
              <w:fldChar w:fldCharType="separate"/>
            </w:r>
            <w:r w:rsidR="005B14EA">
              <w:rPr>
                <w:b/>
                <w:bCs/>
                <w:noProof/>
                <w:sz w:val="20"/>
                <w:szCs w:val="20"/>
              </w:rPr>
              <w:t>32</w:t>
            </w:r>
            <w:r w:rsidRPr="008A431F">
              <w:rPr>
                <w:b/>
                <w:bCs/>
                <w:sz w:val="20"/>
                <w:szCs w:val="20"/>
              </w:rPr>
              <w:fldChar w:fldCharType="end"/>
            </w:r>
            <w:r w:rsidRPr="008A431F">
              <w:rPr>
                <w:sz w:val="20"/>
                <w:szCs w:val="20"/>
                <w:lang w:val="es-ES"/>
              </w:rPr>
              <w:t xml:space="preserve"> de </w:t>
            </w:r>
            <w:r w:rsidRPr="008A431F">
              <w:rPr>
                <w:b/>
                <w:bCs/>
                <w:sz w:val="20"/>
                <w:szCs w:val="20"/>
              </w:rPr>
              <w:fldChar w:fldCharType="begin"/>
            </w:r>
            <w:r w:rsidRPr="008A431F">
              <w:rPr>
                <w:b/>
                <w:bCs/>
                <w:sz w:val="20"/>
                <w:szCs w:val="20"/>
              </w:rPr>
              <w:instrText>NUMPAGES</w:instrText>
            </w:r>
            <w:r w:rsidRPr="008A431F">
              <w:rPr>
                <w:b/>
                <w:bCs/>
                <w:sz w:val="20"/>
                <w:szCs w:val="20"/>
              </w:rPr>
              <w:fldChar w:fldCharType="separate"/>
            </w:r>
            <w:r w:rsidR="005B14EA">
              <w:rPr>
                <w:b/>
                <w:bCs/>
                <w:noProof/>
                <w:sz w:val="20"/>
                <w:szCs w:val="20"/>
              </w:rPr>
              <w:t>51</w:t>
            </w:r>
            <w:r w:rsidRPr="008A431F">
              <w:rPr>
                <w:b/>
                <w:bCs/>
                <w:sz w:val="20"/>
                <w:szCs w:val="20"/>
              </w:rPr>
              <w:fldChar w:fldCharType="end"/>
            </w:r>
          </w:p>
        </w:sdtContent>
      </w:sdt>
    </w:sdtContent>
  </w:sdt>
  <w:p w14:paraId="3AE78952" w14:textId="77777777" w:rsidR="0093726F" w:rsidRDefault="009372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95601" w14:textId="77777777" w:rsidR="00F54526" w:rsidRDefault="00F54526" w:rsidP="00501ADF">
      <w:pPr>
        <w:spacing w:after="0" w:line="240" w:lineRule="auto"/>
      </w:pPr>
      <w:r>
        <w:separator/>
      </w:r>
    </w:p>
  </w:footnote>
  <w:footnote w:type="continuationSeparator" w:id="0">
    <w:p w14:paraId="5FC9FB52" w14:textId="77777777" w:rsidR="00F54526" w:rsidRDefault="00F54526" w:rsidP="00501ADF">
      <w:pPr>
        <w:spacing w:after="0" w:line="240" w:lineRule="auto"/>
      </w:pPr>
      <w:r>
        <w:continuationSeparator/>
      </w:r>
    </w:p>
  </w:footnote>
  <w:footnote w:type="continuationNotice" w:id="1">
    <w:p w14:paraId="4A549A05" w14:textId="77777777" w:rsidR="00F54526" w:rsidRDefault="00F54526">
      <w:pPr>
        <w:spacing w:after="0" w:line="240" w:lineRule="auto"/>
      </w:pPr>
    </w:p>
  </w:footnote>
  <w:footnote w:id="2">
    <w:p w14:paraId="6E466346" w14:textId="77777777" w:rsidR="0093726F" w:rsidRPr="00655450" w:rsidRDefault="0093726F" w:rsidP="00C459BB">
      <w:pPr>
        <w:pStyle w:val="Textonotapie"/>
        <w:rPr>
          <w:sz w:val="18"/>
          <w:szCs w:val="18"/>
          <w:lang w:val="en-US"/>
        </w:rPr>
      </w:pPr>
      <w:r w:rsidRPr="00655450">
        <w:rPr>
          <w:rStyle w:val="Refdenotaalpie"/>
          <w:sz w:val="18"/>
          <w:szCs w:val="18"/>
        </w:rPr>
        <w:footnoteRef/>
      </w:r>
      <w:r w:rsidRPr="00655450">
        <w:rPr>
          <w:sz w:val="18"/>
          <w:szCs w:val="18"/>
          <w:lang w:val="en-US"/>
        </w:rPr>
        <w:t xml:space="preserve"> </w:t>
      </w:r>
      <w:r>
        <w:rPr>
          <w:sz w:val="18"/>
          <w:szCs w:val="18"/>
          <w:lang w:val="en-US"/>
        </w:rPr>
        <w:t>(</w:t>
      </w:r>
      <w:r w:rsidRPr="00655450">
        <w:rPr>
          <w:sz w:val="18"/>
          <w:szCs w:val="18"/>
          <w:lang w:val="en-US"/>
        </w:rPr>
        <w:t>International Commission on Non-Ionizing Radiation Protection, “Guidelines for limiting exposure to time-varying electric, magnetic and electromagnetic fields (up to 300 GHz”). HEALTH PHYSICS 74 (4):494</w:t>
      </w:r>
      <w:r w:rsidRPr="00655450">
        <w:rPr>
          <w:rFonts w:ascii="Cambria Math" w:hAnsi="Cambria Math" w:cs="Cambria Math"/>
          <w:sz w:val="18"/>
          <w:szCs w:val="18"/>
          <w:lang w:val="en-US"/>
        </w:rPr>
        <w:t>‐</w:t>
      </w:r>
      <w:r w:rsidRPr="00655450">
        <w:rPr>
          <w:sz w:val="18"/>
          <w:szCs w:val="18"/>
          <w:lang w:val="en-US"/>
        </w:rPr>
        <w:t>522; 1998</w:t>
      </w:r>
      <w:r>
        <w:rPr>
          <w:sz w:val="18"/>
          <w:szCs w:val="18"/>
          <w:lang w:val="en-US"/>
        </w:rPr>
        <w:t xml:space="preserve">) </w:t>
      </w:r>
      <w:hyperlink r:id="rId1" w:history="1">
        <w:r w:rsidRPr="004E6032">
          <w:rPr>
            <w:rStyle w:val="Hipervnculo"/>
            <w:sz w:val="18"/>
            <w:szCs w:val="18"/>
            <w:lang w:val="en-US"/>
          </w:rPr>
          <w:t>https://www.icnirp.org/cms/upload/publications/ICNIRPemfgdl.pdf</w:t>
        </w:r>
      </w:hyperlink>
      <w:r>
        <w:rPr>
          <w:sz w:val="18"/>
          <w:szCs w:val="18"/>
          <w:lang w:val="en-US"/>
        </w:rPr>
        <w:t xml:space="preserve"> </w:t>
      </w:r>
    </w:p>
  </w:footnote>
  <w:footnote w:id="3">
    <w:p w14:paraId="1D5B6101" w14:textId="77777777" w:rsidR="0093726F" w:rsidRPr="00C459BB" w:rsidRDefault="0093726F" w:rsidP="00E32395">
      <w:pPr>
        <w:pStyle w:val="Textonotapie"/>
        <w:rPr>
          <w:sz w:val="18"/>
          <w:szCs w:val="18"/>
          <w:lang w:val="en-US"/>
        </w:rPr>
      </w:pPr>
      <w:r w:rsidRPr="00655450">
        <w:rPr>
          <w:rStyle w:val="Refdenotaalpie"/>
          <w:sz w:val="18"/>
          <w:szCs w:val="18"/>
        </w:rPr>
        <w:footnoteRef/>
      </w:r>
      <w:r w:rsidRPr="00C459BB">
        <w:rPr>
          <w:sz w:val="18"/>
          <w:szCs w:val="18"/>
          <w:lang w:val="en-US"/>
        </w:rPr>
        <w:t xml:space="preserve"> </w:t>
      </w:r>
      <w:hyperlink r:id="rId2" w:history="1">
        <w:r w:rsidRPr="00C459BB">
          <w:rPr>
            <w:rStyle w:val="Hipervnculo"/>
            <w:sz w:val="18"/>
            <w:szCs w:val="18"/>
            <w:lang w:val="en-US"/>
          </w:rPr>
          <w:t>http://emfguide.itu.int/emfguide.html</w:t>
        </w:r>
      </w:hyperlink>
      <w:r w:rsidRPr="00C459BB">
        <w:rPr>
          <w:sz w:val="18"/>
          <w:szCs w:val="18"/>
          <w:lang w:val="en-US"/>
        </w:rPr>
        <w:t xml:space="preserve"> </w:t>
      </w:r>
    </w:p>
  </w:footnote>
  <w:footnote w:id="4">
    <w:p w14:paraId="55A51E7B" w14:textId="77777777" w:rsidR="0093726F" w:rsidRPr="004320F7" w:rsidRDefault="0093726F" w:rsidP="00C459BB">
      <w:pPr>
        <w:pStyle w:val="Textonotapie"/>
        <w:jc w:val="both"/>
        <w:rPr>
          <w:sz w:val="18"/>
          <w:szCs w:val="18"/>
          <w:lang w:val="en-US"/>
        </w:rPr>
      </w:pPr>
      <w:r w:rsidRPr="004320F7">
        <w:rPr>
          <w:rStyle w:val="Refdenotaalpie"/>
          <w:sz w:val="18"/>
          <w:szCs w:val="18"/>
        </w:rPr>
        <w:footnoteRef/>
      </w:r>
      <w:r w:rsidRPr="004320F7">
        <w:rPr>
          <w:sz w:val="18"/>
          <w:szCs w:val="18"/>
          <w:lang w:val="en-US"/>
        </w:rPr>
        <w:t xml:space="preserve"> IEC 62209-1:2016 “Measurement procedure for the assessment of specific absorption rate of human exposure to radio frequency fields from hand-held and body-mounted wireless communication devices - Part 1: Devices used next to the ear (Frequency range of 300 MHz to 6 GHz)”</w:t>
      </w:r>
    </w:p>
  </w:footnote>
  <w:footnote w:id="5">
    <w:p w14:paraId="3A8F3A96" w14:textId="77777777" w:rsidR="0093726F" w:rsidRPr="004320F7" w:rsidRDefault="0093726F" w:rsidP="00C459BB">
      <w:pPr>
        <w:pStyle w:val="Textonotapie"/>
        <w:jc w:val="both"/>
        <w:rPr>
          <w:sz w:val="18"/>
          <w:szCs w:val="18"/>
          <w:lang w:val="en-US"/>
        </w:rPr>
      </w:pPr>
      <w:r w:rsidRPr="004320F7">
        <w:rPr>
          <w:rStyle w:val="Refdenotaalpie"/>
          <w:sz w:val="18"/>
          <w:szCs w:val="18"/>
        </w:rPr>
        <w:footnoteRef/>
      </w:r>
      <w:r w:rsidRPr="004320F7">
        <w:rPr>
          <w:sz w:val="18"/>
          <w:szCs w:val="18"/>
          <w:lang w:val="en-US"/>
        </w:rPr>
        <w:t xml:space="preserve"> IEC 62209-2:2010 “Human exposure to radio frequency fields from hand-held and body-mounted wireless communication devices - Human models, instrumentation, and procedures - Part 2: Procedure to determine the specific absorption rate (SAR) for wireless communication devices used in close proximity to the human body (frequency range of 30 MHz to 6 GHz)”</w:t>
      </w:r>
    </w:p>
  </w:footnote>
  <w:footnote w:id="6">
    <w:p w14:paraId="23C76788" w14:textId="77777777" w:rsidR="0093726F" w:rsidRPr="004320F7" w:rsidRDefault="0093726F">
      <w:pPr>
        <w:pStyle w:val="Textonotapie"/>
        <w:rPr>
          <w:sz w:val="18"/>
          <w:szCs w:val="18"/>
        </w:rPr>
      </w:pPr>
      <w:r w:rsidRPr="004320F7">
        <w:rPr>
          <w:rStyle w:val="Refdenotaalpie"/>
          <w:sz w:val="18"/>
          <w:szCs w:val="18"/>
        </w:rPr>
        <w:footnoteRef/>
      </w:r>
      <w:r w:rsidRPr="004320F7">
        <w:rPr>
          <w:sz w:val="18"/>
          <w:szCs w:val="18"/>
        </w:rPr>
        <w:t xml:space="preserve"> (NOM-013-STPS-1993, DOF, Publicada el 6 de diciembre de 1993) </w:t>
      </w:r>
      <w:hyperlink r:id="rId3" w:history="1">
        <w:r w:rsidRPr="004320F7">
          <w:rPr>
            <w:rStyle w:val="Hipervnculo"/>
            <w:sz w:val="18"/>
            <w:szCs w:val="18"/>
          </w:rPr>
          <w:t>http://dof.gob.mx/nota_detalle.php?codigo=4809618&amp;fecha=06/12/1993</w:t>
        </w:r>
      </w:hyperlink>
      <w:r w:rsidRPr="004320F7">
        <w:rPr>
          <w:sz w:val="18"/>
          <w:szCs w:val="18"/>
        </w:rPr>
        <w:t xml:space="preserve"> </w:t>
      </w:r>
    </w:p>
  </w:footnote>
  <w:footnote w:id="7">
    <w:p w14:paraId="33DB9A7C" w14:textId="77777777" w:rsidR="0093726F" w:rsidRPr="004320F7" w:rsidRDefault="0093726F" w:rsidP="003D756F">
      <w:pPr>
        <w:pStyle w:val="Textonotapie"/>
        <w:rPr>
          <w:sz w:val="18"/>
          <w:szCs w:val="18"/>
        </w:rPr>
      </w:pPr>
      <w:r w:rsidRPr="004320F7">
        <w:rPr>
          <w:rStyle w:val="Refdenotaalpie"/>
          <w:sz w:val="18"/>
          <w:szCs w:val="18"/>
        </w:rPr>
        <w:footnoteRef/>
      </w:r>
      <w:r w:rsidRPr="004320F7">
        <w:rPr>
          <w:sz w:val="18"/>
          <w:szCs w:val="18"/>
        </w:rPr>
        <w:t xml:space="preserve"> </w:t>
      </w:r>
      <w:hyperlink r:id="rId4" w:history="1">
        <w:r w:rsidRPr="004320F7">
          <w:rPr>
            <w:rStyle w:val="Hipervnculo"/>
            <w:sz w:val="18"/>
            <w:szCs w:val="18"/>
          </w:rPr>
          <w:t>https://www.law.cornell.edu/cfr/text/47/2.1091</w:t>
        </w:r>
      </w:hyperlink>
      <w:r w:rsidRPr="004320F7">
        <w:rPr>
          <w:sz w:val="18"/>
          <w:szCs w:val="18"/>
        </w:rPr>
        <w:t xml:space="preserve"> </w:t>
      </w:r>
    </w:p>
  </w:footnote>
  <w:footnote w:id="8">
    <w:p w14:paraId="0AC244DE" w14:textId="77777777" w:rsidR="0093726F" w:rsidRPr="004320F7" w:rsidRDefault="0093726F">
      <w:pPr>
        <w:pStyle w:val="Textonotapie"/>
        <w:rPr>
          <w:sz w:val="18"/>
          <w:szCs w:val="18"/>
        </w:rPr>
      </w:pPr>
      <w:r w:rsidRPr="004320F7">
        <w:rPr>
          <w:rStyle w:val="Refdenotaalpie"/>
          <w:sz w:val="18"/>
          <w:szCs w:val="18"/>
        </w:rPr>
        <w:footnoteRef/>
      </w:r>
      <w:r w:rsidRPr="004320F7">
        <w:rPr>
          <w:sz w:val="18"/>
          <w:szCs w:val="18"/>
        </w:rPr>
        <w:t xml:space="preserve"> </w:t>
      </w:r>
      <w:hyperlink r:id="rId5" w:history="1">
        <w:r w:rsidRPr="004320F7">
          <w:rPr>
            <w:rStyle w:val="Hipervnculo"/>
            <w:color w:val="134B96"/>
            <w:sz w:val="18"/>
            <w:szCs w:val="18"/>
          </w:rPr>
          <w:t>https://www.fcc.gov/cgb/sar/</w:t>
        </w:r>
      </w:hyperlink>
    </w:p>
  </w:footnote>
  <w:footnote w:id="9">
    <w:p w14:paraId="59D8A681" w14:textId="77777777" w:rsidR="0093726F" w:rsidRPr="004320F7" w:rsidRDefault="0093726F">
      <w:pPr>
        <w:pStyle w:val="Textonotapie"/>
        <w:rPr>
          <w:sz w:val="18"/>
          <w:szCs w:val="18"/>
        </w:rPr>
      </w:pPr>
      <w:r w:rsidRPr="004320F7">
        <w:rPr>
          <w:rStyle w:val="Refdenotaalpie"/>
          <w:sz w:val="18"/>
          <w:szCs w:val="18"/>
        </w:rPr>
        <w:footnoteRef/>
      </w:r>
      <w:r w:rsidRPr="004320F7">
        <w:rPr>
          <w:sz w:val="18"/>
          <w:szCs w:val="18"/>
        </w:rPr>
        <w:t xml:space="preserve"> </w:t>
      </w:r>
      <w:hyperlink r:id="rId6" w:history="1">
        <w:r w:rsidRPr="004320F7">
          <w:rPr>
            <w:rStyle w:val="Hipervnculo"/>
            <w:sz w:val="18"/>
            <w:szCs w:val="18"/>
          </w:rPr>
          <w:t>https://standards.ieee.org/findstds/standard/1528-2013.html</w:t>
        </w:r>
      </w:hyperlink>
    </w:p>
  </w:footnote>
  <w:footnote w:id="10">
    <w:p w14:paraId="677882FF" w14:textId="77777777" w:rsidR="0093726F" w:rsidRPr="004320F7" w:rsidRDefault="0093726F">
      <w:pPr>
        <w:pStyle w:val="Textonotapie"/>
        <w:rPr>
          <w:sz w:val="18"/>
          <w:szCs w:val="18"/>
        </w:rPr>
      </w:pPr>
      <w:r w:rsidRPr="004320F7">
        <w:rPr>
          <w:rStyle w:val="Refdenotaalpie"/>
          <w:sz w:val="18"/>
          <w:szCs w:val="18"/>
        </w:rPr>
        <w:footnoteRef/>
      </w:r>
      <w:r w:rsidRPr="004320F7">
        <w:rPr>
          <w:sz w:val="18"/>
          <w:szCs w:val="18"/>
        </w:rPr>
        <w:t xml:space="preserve"> </w:t>
      </w:r>
      <w:hyperlink r:id="rId7" w:history="1">
        <w:r w:rsidRPr="004320F7">
          <w:rPr>
            <w:rStyle w:val="Hipervnculo"/>
            <w:sz w:val="18"/>
            <w:szCs w:val="18"/>
          </w:rPr>
          <w:t>http://www.ic.gc.ca/eic/site/smt-gst.nsf/eng/sf01904.html</w:t>
        </w:r>
      </w:hyperlink>
    </w:p>
  </w:footnote>
  <w:footnote w:id="11">
    <w:p w14:paraId="15464C34" w14:textId="77777777" w:rsidR="0093726F" w:rsidRPr="00143FDC" w:rsidRDefault="0093726F">
      <w:pPr>
        <w:pStyle w:val="Textonotapie"/>
      </w:pPr>
      <w:r w:rsidRPr="00143FDC">
        <w:rPr>
          <w:rStyle w:val="Refdenotaalpie"/>
          <w:sz w:val="18"/>
        </w:rPr>
        <w:footnoteRef/>
      </w:r>
      <w:r w:rsidRPr="00143FDC">
        <w:rPr>
          <w:sz w:val="18"/>
        </w:rPr>
        <w:t xml:space="preserve"> </w:t>
      </w:r>
      <w:hyperlink r:id="rId8" w:history="1">
        <w:r w:rsidRPr="004F0E3C">
          <w:rPr>
            <w:rStyle w:val="Hipervnculo"/>
            <w:sz w:val="18"/>
          </w:rPr>
          <w:t>https://standards.ieee.org/findstds/standard/C95.3-2002.html</w:t>
        </w:r>
      </w:hyperlink>
      <w:r>
        <w:rPr>
          <w:sz w:val="18"/>
        </w:rPr>
        <w:t xml:space="preserve"> </w:t>
      </w:r>
    </w:p>
  </w:footnote>
  <w:footnote w:id="12">
    <w:p w14:paraId="44E61905" w14:textId="77777777" w:rsidR="0093726F" w:rsidRDefault="0093726F">
      <w:pPr>
        <w:pStyle w:val="Textonotapie"/>
      </w:pPr>
      <w:r w:rsidRPr="004320F7">
        <w:rPr>
          <w:rStyle w:val="Refdenotaalpie"/>
          <w:sz w:val="18"/>
          <w:szCs w:val="18"/>
        </w:rPr>
        <w:footnoteRef/>
      </w:r>
      <w:r w:rsidRPr="004320F7">
        <w:rPr>
          <w:sz w:val="18"/>
          <w:szCs w:val="18"/>
        </w:rPr>
        <w:t xml:space="preserve"> </w:t>
      </w:r>
      <w:hyperlink r:id="rId9" w:history="1">
        <w:r w:rsidRPr="004320F7">
          <w:rPr>
            <w:rStyle w:val="Hipervnculo"/>
            <w:sz w:val="18"/>
            <w:szCs w:val="18"/>
          </w:rPr>
          <w:t>https://sms-sgs.ic.gc.ca/equipmentSearch/searchRadioEquipments</w:t>
        </w:r>
      </w:hyperlink>
    </w:p>
  </w:footnote>
  <w:footnote w:id="13">
    <w:p w14:paraId="4A5A9C26" w14:textId="77777777" w:rsidR="0093726F" w:rsidRPr="004320F7" w:rsidRDefault="0093726F">
      <w:pPr>
        <w:pStyle w:val="Textonotapie"/>
        <w:rPr>
          <w:sz w:val="18"/>
          <w:szCs w:val="18"/>
        </w:rPr>
      </w:pPr>
      <w:r w:rsidRPr="004320F7">
        <w:rPr>
          <w:rStyle w:val="Refdenotaalpie"/>
          <w:sz w:val="18"/>
          <w:szCs w:val="18"/>
        </w:rPr>
        <w:footnoteRef/>
      </w:r>
      <w:r w:rsidRPr="004320F7">
        <w:rPr>
          <w:sz w:val="18"/>
          <w:szCs w:val="18"/>
        </w:rPr>
        <w:t xml:space="preserve"> </w:t>
      </w:r>
      <w:hyperlink r:id="rId10" w:history="1">
        <w:r w:rsidRPr="004320F7">
          <w:rPr>
            <w:rStyle w:val="Hipervnculo"/>
            <w:sz w:val="18"/>
            <w:szCs w:val="18"/>
          </w:rPr>
          <w:t>https://www.stuklex.fi/en/haku/ls/19910592</w:t>
        </w:r>
      </w:hyperlink>
      <w:r w:rsidRPr="004320F7">
        <w:rPr>
          <w:sz w:val="18"/>
          <w:szCs w:val="18"/>
        </w:rPr>
        <w:t xml:space="preserve"> </w:t>
      </w:r>
    </w:p>
  </w:footnote>
  <w:footnote w:id="14">
    <w:p w14:paraId="112534A6" w14:textId="77777777" w:rsidR="0093726F" w:rsidRPr="004320F7" w:rsidRDefault="0093726F" w:rsidP="00EF6219">
      <w:pPr>
        <w:pStyle w:val="Textonotapie"/>
        <w:rPr>
          <w:sz w:val="18"/>
          <w:szCs w:val="18"/>
        </w:rPr>
      </w:pPr>
      <w:r w:rsidRPr="004320F7">
        <w:rPr>
          <w:rStyle w:val="Refdenotaalpie"/>
          <w:sz w:val="18"/>
          <w:szCs w:val="18"/>
        </w:rPr>
        <w:footnoteRef/>
      </w:r>
      <w:r w:rsidRPr="004320F7">
        <w:rPr>
          <w:sz w:val="18"/>
          <w:szCs w:val="18"/>
        </w:rPr>
        <w:t xml:space="preserve"> </w:t>
      </w:r>
      <w:hyperlink r:id="rId11" w:history="1">
        <w:r w:rsidRPr="004320F7">
          <w:rPr>
            <w:rStyle w:val="Hipervnculo"/>
            <w:sz w:val="18"/>
            <w:szCs w:val="18"/>
          </w:rPr>
          <w:t>http://eur-lex.europa.eu/legal-content/EN/TXT/?uri=CELEX%3A52011PC0348</w:t>
        </w:r>
      </w:hyperlink>
      <w:r w:rsidRPr="004320F7">
        <w:rPr>
          <w:sz w:val="18"/>
          <w:szCs w:val="18"/>
        </w:rPr>
        <w:t xml:space="preserve"> </w:t>
      </w:r>
    </w:p>
  </w:footnote>
  <w:footnote w:id="15">
    <w:p w14:paraId="5B618BC9" w14:textId="77777777" w:rsidR="0093726F" w:rsidRDefault="0093726F" w:rsidP="00EF6219">
      <w:pPr>
        <w:pStyle w:val="Textonotapie"/>
      </w:pPr>
      <w:r w:rsidRPr="004320F7">
        <w:rPr>
          <w:rStyle w:val="Refdenotaalpie"/>
          <w:sz w:val="18"/>
          <w:szCs w:val="18"/>
        </w:rPr>
        <w:footnoteRef/>
      </w:r>
      <w:r w:rsidRPr="004320F7">
        <w:rPr>
          <w:sz w:val="18"/>
          <w:szCs w:val="18"/>
        </w:rPr>
        <w:t xml:space="preserve"> </w:t>
      </w:r>
      <w:hyperlink r:id="rId12" w:history="1">
        <w:r w:rsidRPr="004320F7">
          <w:rPr>
            <w:rStyle w:val="Hipervnculo"/>
            <w:sz w:val="18"/>
            <w:szCs w:val="18"/>
          </w:rPr>
          <w:t>http://eur-lex.europa.eu/legal-content/EN/TXT/?uri=celex%3A32013L0035</w:t>
        </w:r>
      </w:hyperlink>
      <w:r w:rsidRPr="0087236C">
        <w:t xml:space="preserve"> </w:t>
      </w:r>
    </w:p>
  </w:footnote>
  <w:footnote w:id="16">
    <w:p w14:paraId="483C82CC" w14:textId="77777777" w:rsidR="0093726F" w:rsidRPr="004320F7" w:rsidRDefault="0093726F">
      <w:pPr>
        <w:pStyle w:val="Textonotapie"/>
        <w:rPr>
          <w:sz w:val="18"/>
          <w:szCs w:val="18"/>
        </w:rPr>
      </w:pPr>
      <w:r w:rsidRPr="004320F7">
        <w:rPr>
          <w:rStyle w:val="Refdenotaalpie"/>
          <w:sz w:val="18"/>
          <w:szCs w:val="18"/>
        </w:rPr>
        <w:footnoteRef/>
      </w:r>
      <w:r w:rsidRPr="004320F7">
        <w:rPr>
          <w:sz w:val="18"/>
          <w:szCs w:val="18"/>
        </w:rPr>
        <w:t xml:space="preserve"> </w:t>
      </w:r>
      <w:hyperlink r:id="rId13" w:history="1">
        <w:r w:rsidRPr="004320F7">
          <w:rPr>
            <w:rStyle w:val="Hipervnculo"/>
            <w:sz w:val="18"/>
            <w:szCs w:val="18"/>
          </w:rPr>
          <w:t>http://www.stuk.fi/web/en/stuk-supervises/measurements-of-mobile-phone-radiation</w:t>
        </w:r>
      </w:hyperlink>
      <w:r w:rsidRPr="004320F7">
        <w:rPr>
          <w:sz w:val="18"/>
          <w:szCs w:val="18"/>
        </w:rPr>
        <w:t xml:space="preserve"> </w:t>
      </w:r>
    </w:p>
  </w:footnote>
  <w:footnote w:id="17">
    <w:p w14:paraId="78D9307F" w14:textId="77777777" w:rsidR="0093726F" w:rsidRPr="0072449A" w:rsidRDefault="0093726F">
      <w:pPr>
        <w:pStyle w:val="Textonotapie"/>
        <w:rPr>
          <w:sz w:val="18"/>
          <w:szCs w:val="18"/>
        </w:rPr>
      </w:pPr>
      <w:r w:rsidRPr="004320F7">
        <w:rPr>
          <w:rStyle w:val="Refdenotaalpie"/>
          <w:sz w:val="18"/>
          <w:szCs w:val="18"/>
        </w:rPr>
        <w:footnoteRef/>
      </w:r>
      <w:r w:rsidRPr="0072449A">
        <w:rPr>
          <w:sz w:val="18"/>
          <w:szCs w:val="18"/>
        </w:rPr>
        <w:t xml:space="preserve"> </w:t>
      </w:r>
      <w:hyperlink r:id="rId14" w:history="1">
        <w:r w:rsidRPr="0072449A">
          <w:rPr>
            <w:rStyle w:val="Hipervnculo"/>
            <w:sz w:val="18"/>
            <w:szCs w:val="18"/>
          </w:rPr>
          <w:t>http://www.tele.soumu.go.jp/resource/e/ele/body/pdf/ttc.pdf</w:t>
        </w:r>
      </w:hyperlink>
      <w:r w:rsidRPr="0072449A">
        <w:rPr>
          <w:sz w:val="18"/>
          <w:szCs w:val="18"/>
        </w:rPr>
        <w:t xml:space="preserve"> </w:t>
      </w:r>
    </w:p>
  </w:footnote>
  <w:footnote w:id="18">
    <w:p w14:paraId="3F26812E" w14:textId="77777777" w:rsidR="0093726F" w:rsidRPr="0072449A" w:rsidRDefault="0093726F">
      <w:pPr>
        <w:pStyle w:val="Textonotapie"/>
        <w:rPr>
          <w:sz w:val="18"/>
          <w:szCs w:val="18"/>
        </w:rPr>
      </w:pPr>
      <w:r w:rsidRPr="004320F7">
        <w:rPr>
          <w:rStyle w:val="Refdenotaalpie"/>
          <w:sz w:val="18"/>
          <w:szCs w:val="18"/>
        </w:rPr>
        <w:footnoteRef/>
      </w:r>
      <w:r w:rsidRPr="0072449A">
        <w:rPr>
          <w:sz w:val="18"/>
          <w:szCs w:val="18"/>
        </w:rPr>
        <w:t xml:space="preserve"> </w:t>
      </w:r>
      <w:hyperlink r:id="rId15" w:history="1">
        <w:r w:rsidRPr="0072449A">
          <w:rPr>
            <w:rStyle w:val="Hipervnculo"/>
            <w:sz w:val="18"/>
            <w:szCs w:val="18"/>
          </w:rPr>
          <w:t>https://www.arib.or.jp/english/std_tr/telecommunications/std-t56.html</w:t>
        </w:r>
      </w:hyperlink>
      <w:r w:rsidRPr="0072449A">
        <w:rPr>
          <w:sz w:val="18"/>
          <w:szCs w:val="18"/>
        </w:rPr>
        <w:t xml:space="preserve"> </w:t>
      </w:r>
    </w:p>
  </w:footnote>
  <w:footnote w:id="19">
    <w:p w14:paraId="4336A418" w14:textId="77777777" w:rsidR="0093726F" w:rsidRPr="0072449A" w:rsidRDefault="0093726F">
      <w:pPr>
        <w:pStyle w:val="Textonotapie"/>
      </w:pPr>
      <w:r w:rsidRPr="004320F7">
        <w:rPr>
          <w:rStyle w:val="Refdenotaalpie"/>
          <w:sz w:val="18"/>
          <w:szCs w:val="18"/>
        </w:rPr>
        <w:footnoteRef/>
      </w:r>
      <w:r w:rsidRPr="0072449A">
        <w:rPr>
          <w:sz w:val="18"/>
          <w:szCs w:val="18"/>
        </w:rPr>
        <w:t xml:space="preserve"> </w:t>
      </w:r>
      <w:hyperlink r:id="rId16" w:history="1">
        <w:r w:rsidRPr="0072449A">
          <w:rPr>
            <w:rStyle w:val="Hipervnculo"/>
            <w:sz w:val="18"/>
            <w:szCs w:val="18"/>
          </w:rPr>
          <w:t>http://www.tele.soumu.go.jp/e/sys/ele/body/index.htm</w:t>
        </w:r>
      </w:hyperlink>
      <w:r w:rsidRPr="0072449A">
        <w:t xml:space="preserve"> </w:t>
      </w:r>
    </w:p>
  </w:footnote>
  <w:footnote w:id="20">
    <w:p w14:paraId="2241F327" w14:textId="77777777" w:rsidR="0093726F" w:rsidRPr="0072449A" w:rsidRDefault="0093726F">
      <w:pPr>
        <w:pStyle w:val="Textonotapie"/>
        <w:rPr>
          <w:sz w:val="18"/>
          <w:szCs w:val="18"/>
        </w:rPr>
      </w:pPr>
      <w:r w:rsidRPr="004320F7">
        <w:rPr>
          <w:rStyle w:val="Refdenotaalpie"/>
          <w:sz w:val="18"/>
          <w:szCs w:val="18"/>
        </w:rPr>
        <w:footnoteRef/>
      </w:r>
      <w:r w:rsidRPr="0072449A">
        <w:rPr>
          <w:sz w:val="18"/>
          <w:szCs w:val="18"/>
        </w:rPr>
        <w:t xml:space="preserve"> </w:t>
      </w:r>
      <w:hyperlink r:id="rId17" w:history="1">
        <w:r w:rsidRPr="0072449A">
          <w:rPr>
            <w:rStyle w:val="Hipervnculo"/>
            <w:sz w:val="18"/>
            <w:szCs w:val="18"/>
          </w:rPr>
          <w:t>https://www.arpansa.gov.au/regulation-and-licensing/regulatory-publications/radiation-protection-series/codes-and-standards/rps3</w:t>
        </w:r>
      </w:hyperlink>
      <w:r w:rsidRPr="0072449A">
        <w:rPr>
          <w:sz w:val="18"/>
          <w:szCs w:val="18"/>
        </w:rPr>
        <w:t xml:space="preserve"> </w:t>
      </w:r>
    </w:p>
  </w:footnote>
  <w:footnote w:id="21">
    <w:p w14:paraId="5719EF1E" w14:textId="77777777" w:rsidR="0093726F" w:rsidRPr="0072449A" w:rsidRDefault="0093726F">
      <w:pPr>
        <w:pStyle w:val="Textonotapie"/>
        <w:rPr>
          <w:sz w:val="18"/>
          <w:szCs w:val="18"/>
        </w:rPr>
      </w:pPr>
      <w:r w:rsidRPr="004320F7">
        <w:rPr>
          <w:rStyle w:val="Refdenotaalpie"/>
          <w:sz w:val="18"/>
          <w:szCs w:val="18"/>
        </w:rPr>
        <w:footnoteRef/>
      </w:r>
      <w:r w:rsidRPr="0072449A">
        <w:rPr>
          <w:sz w:val="18"/>
          <w:szCs w:val="18"/>
        </w:rPr>
        <w:t xml:space="preserve"> </w:t>
      </w:r>
      <w:hyperlink r:id="rId18" w:history="1">
        <w:r w:rsidRPr="0072449A">
          <w:rPr>
            <w:rStyle w:val="Hipervnculo"/>
            <w:sz w:val="18"/>
            <w:szCs w:val="18"/>
          </w:rPr>
          <w:t>https://www.legislation.gov.au/Details/F2014L00960</w:t>
        </w:r>
      </w:hyperlink>
      <w:r w:rsidRPr="0072449A">
        <w:rPr>
          <w:sz w:val="18"/>
          <w:szCs w:val="18"/>
        </w:rPr>
        <w:t xml:space="preserve"> </w:t>
      </w:r>
    </w:p>
  </w:footnote>
  <w:footnote w:id="22">
    <w:p w14:paraId="18F72479" w14:textId="77777777" w:rsidR="0093726F" w:rsidRPr="0072449A" w:rsidRDefault="0093726F">
      <w:pPr>
        <w:pStyle w:val="Textonotapie"/>
      </w:pPr>
      <w:r w:rsidRPr="004320F7">
        <w:rPr>
          <w:rStyle w:val="Refdenotaalpie"/>
          <w:sz w:val="18"/>
          <w:szCs w:val="18"/>
        </w:rPr>
        <w:footnoteRef/>
      </w:r>
      <w:r w:rsidRPr="0072449A">
        <w:rPr>
          <w:sz w:val="18"/>
          <w:szCs w:val="18"/>
        </w:rPr>
        <w:t xml:space="preserve"> </w:t>
      </w:r>
      <w:hyperlink r:id="rId19" w:history="1">
        <w:r w:rsidRPr="0072449A">
          <w:rPr>
            <w:rStyle w:val="Hipervnculo"/>
            <w:sz w:val="18"/>
            <w:szCs w:val="18"/>
          </w:rPr>
          <w:t>https://www.planalto.gov.br/ccivil_03/_ato2007-2010/2009/lei/l11934.htm</w:t>
        </w:r>
      </w:hyperlink>
      <w:r w:rsidRPr="0072449A">
        <w:t xml:space="preserve"> </w:t>
      </w:r>
    </w:p>
  </w:footnote>
  <w:footnote w:id="23">
    <w:p w14:paraId="5C3EEFE0" w14:textId="77777777" w:rsidR="0093726F" w:rsidRPr="00006CC2" w:rsidRDefault="0093726F">
      <w:pPr>
        <w:pStyle w:val="Textonotapie"/>
      </w:pPr>
      <w:r w:rsidRPr="00006CC2">
        <w:rPr>
          <w:rStyle w:val="Refdenotaalpie"/>
          <w:sz w:val="18"/>
        </w:rPr>
        <w:footnoteRef/>
      </w:r>
      <w:r w:rsidRPr="00006CC2">
        <w:rPr>
          <w:sz w:val="18"/>
        </w:rPr>
        <w:t xml:space="preserve"> </w:t>
      </w:r>
      <w:hyperlink r:id="rId20" w:history="1">
        <w:r w:rsidRPr="00006CC2">
          <w:rPr>
            <w:rStyle w:val="Hipervnculo"/>
            <w:sz w:val="18"/>
          </w:rPr>
          <w:t>https://www.leychile.cl/Navegar?idNorma=271021&amp;idParte=8974124&amp;idVersion=2008-05-08</w:t>
        </w:r>
      </w:hyperlink>
      <w:r w:rsidRPr="00006CC2">
        <w:rPr>
          <w:sz w:val="18"/>
        </w:rPr>
        <w:t xml:space="preserve"> </w:t>
      </w:r>
    </w:p>
  </w:footnote>
  <w:footnote w:id="24">
    <w:p w14:paraId="75854DDF" w14:textId="77777777" w:rsidR="0093726F" w:rsidRPr="00EF304A" w:rsidRDefault="0093726F" w:rsidP="0037478A">
      <w:pPr>
        <w:pStyle w:val="Textonotapie"/>
        <w:rPr>
          <w:lang w:val="en-US"/>
        </w:rPr>
      </w:pPr>
      <w:r w:rsidRPr="004320F7">
        <w:rPr>
          <w:rStyle w:val="Refdenotaalpie"/>
          <w:sz w:val="18"/>
        </w:rPr>
        <w:footnoteRef/>
      </w:r>
      <w:r w:rsidRPr="004320F7">
        <w:rPr>
          <w:sz w:val="18"/>
          <w:lang w:val="en-US"/>
        </w:rPr>
        <w:t xml:space="preserve"> IEC 62479:2010 </w:t>
      </w:r>
      <w:r w:rsidRPr="004320F7">
        <w:rPr>
          <w:i/>
          <w:sz w:val="18"/>
          <w:lang w:val="en-US"/>
        </w:rPr>
        <w:t>Assessment of the compliance of low power electronic and electrical equipment with the basic restrictions related to human exposure to electromagnetic fields (10 MHz to 300 GHz)</w:t>
      </w:r>
      <w:r w:rsidRPr="004320F7">
        <w:rPr>
          <w:sz w:val="18"/>
          <w:lang w:val="en-US"/>
        </w:rPr>
        <w:t>.</w:t>
      </w:r>
    </w:p>
  </w:footnote>
  <w:footnote w:id="25">
    <w:p w14:paraId="139C7A88" w14:textId="77777777" w:rsidR="0093726F" w:rsidRDefault="0093726F" w:rsidP="007A4DF9">
      <w:pPr>
        <w:pStyle w:val="Textonotapie"/>
      </w:pPr>
      <w:r>
        <w:rPr>
          <w:rStyle w:val="Refdenotaalpie"/>
        </w:rPr>
        <w:footnoteRef/>
      </w:r>
      <w:r>
        <w:t xml:space="preserve"> Población total de los Estados Unidos Mexicanos. </w:t>
      </w:r>
      <w:hyperlink r:id="rId21" w:history="1">
        <w:r w:rsidRPr="00216546">
          <w:rPr>
            <w:rStyle w:val="Hipervnculo"/>
          </w:rPr>
          <w:t>https://www.inegi.org.mx/app/tabulados/pxweb/inicio.html?rxid=d518b312-a32e-4d23-a8dd-08a64c187a6c&amp;db=Poblacion&amp;px=poblacion_01</w:t>
        </w:r>
      </w:hyperlink>
    </w:p>
  </w:footnote>
  <w:footnote w:id="26">
    <w:p w14:paraId="75157664" w14:textId="77777777" w:rsidR="0093726F" w:rsidRDefault="0093726F" w:rsidP="007A4DF9">
      <w:pPr>
        <w:pStyle w:val="Textonotapie"/>
      </w:pPr>
      <w:r>
        <w:rPr>
          <w:rStyle w:val="Refdenotaalpie"/>
        </w:rPr>
        <w:footnoteRef/>
      </w:r>
      <w:r>
        <w:t xml:space="preserve"> </w:t>
      </w:r>
      <w:r w:rsidRPr="0054600F">
        <w:t>Población de 5 años y más hablante de lengua indígena que no habla español por Entidad federativa, Año y Sexo</w:t>
      </w:r>
      <w:r>
        <w:t xml:space="preserve">. </w:t>
      </w:r>
      <w:hyperlink r:id="rId22" w:history="1">
        <w:r w:rsidRPr="00216546">
          <w:rPr>
            <w:rStyle w:val="Hipervnculo"/>
          </w:rPr>
          <w:t>https://www.inegi.org.mx/app/tabulados/pxweb/inicio.html?rxid=75ada3fe-1e52-41b3-bf27-4cda26e957a7&amp;db=LenguaIndigena&amp;px=Lengua_02</w:t>
        </w:r>
      </w:hyperlink>
    </w:p>
  </w:footnote>
  <w:footnote w:id="27">
    <w:p w14:paraId="16095AA0" w14:textId="77777777" w:rsidR="0093726F" w:rsidRPr="00A52605" w:rsidRDefault="0093726F">
      <w:pPr>
        <w:pStyle w:val="Textonotapie"/>
      </w:pPr>
      <w:r w:rsidRPr="000832CD">
        <w:rPr>
          <w:rStyle w:val="Refdenotaalpie"/>
          <w:sz w:val="18"/>
        </w:rPr>
        <w:footnoteRef/>
      </w:r>
      <w:r w:rsidRPr="00A52605">
        <w:rPr>
          <w:sz w:val="18"/>
        </w:rPr>
        <w:t xml:space="preserve"> </w:t>
      </w:r>
      <w:hyperlink r:id="rId23" w:history="1">
        <w:r w:rsidRPr="00A52605">
          <w:rPr>
            <w:rStyle w:val="Hipervnculo"/>
            <w:sz w:val="18"/>
          </w:rPr>
          <w:t>http://www.ift.org.mx/tramites/solicitud-de-certificado-de-homologacion-definitivo-de-un-equipo-previamente-certificado-por-un-0</w:t>
        </w:r>
      </w:hyperlink>
      <w:r w:rsidRPr="00A52605">
        <w:rPr>
          <w:sz w:val="18"/>
        </w:rPr>
        <w:t xml:space="preserve"> </w:t>
      </w:r>
    </w:p>
  </w:footnote>
  <w:footnote w:id="28">
    <w:p w14:paraId="7FE67447" w14:textId="77777777" w:rsidR="0093726F" w:rsidRPr="00495058" w:rsidRDefault="0093726F" w:rsidP="00495058">
      <w:pPr>
        <w:pStyle w:val="Textonotapie"/>
      </w:pPr>
      <w:r w:rsidRPr="00495058">
        <w:rPr>
          <w:rStyle w:val="Refdenotaalpie"/>
          <w:sz w:val="18"/>
        </w:rPr>
        <w:footnoteRef/>
      </w:r>
      <w:r w:rsidRPr="00495058">
        <w:rPr>
          <w:sz w:val="18"/>
        </w:rPr>
        <w:t xml:space="preserve"> (De acuerdo a lo establecido en los “Lineamientos para la acreditación, autorización, designación y reconocimiento de </w:t>
      </w:r>
      <w:r>
        <w:rPr>
          <w:sz w:val="18"/>
        </w:rPr>
        <w:t>L</w:t>
      </w:r>
      <w:r w:rsidRPr="00495058">
        <w:rPr>
          <w:sz w:val="18"/>
        </w:rPr>
        <w:t xml:space="preserve">aboratorios de </w:t>
      </w:r>
      <w:r>
        <w:rPr>
          <w:sz w:val="18"/>
        </w:rPr>
        <w:t>P</w:t>
      </w:r>
      <w:r w:rsidRPr="00495058">
        <w:rPr>
          <w:sz w:val="18"/>
        </w:rPr>
        <w:t xml:space="preserve">rueba” emitidos por el Instituto. DOF, 7 de marzo de 2016) </w:t>
      </w:r>
      <w:hyperlink r:id="rId24" w:history="1">
        <w:r w:rsidRPr="00495058">
          <w:rPr>
            <w:rStyle w:val="Hipervnculo"/>
            <w:sz w:val="18"/>
          </w:rPr>
          <w:t>http://dof.gob.mx/nota_detalle.php?codigo=5428881&amp;fecha=07/03/2016</w:t>
        </w:r>
      </w:hyperlink>
      <w:r w:rsidRPr="00495058">
        <w:rPr>
          <w:sz w:val="18"/>
        </w:rPr>
        <w:t xml:space="preserve"> </w:t>
      </w:r>
    </w:p>
  </w:footnote>
  <w:footnote w:id="29">
    <w:p w14:paraId="4707C4EC" w14:textId="77777777" w:rsidR="0093726F" w:rsidRPr="001A603F" w:rsidRDefault="0093726F">
      <w:pPr>
        <w:pStyle w:val="Textonotapie"/>
      </w:pPr>
      <w:r w:rsidRPr="001A603F">
        <w:rPr>
          <w:rStyle w:val="Refdenotaalpie"/>
          <w:sz w:val="18"/>
        </w:rPr>
        <w:footnoteRef/>
      </w:r>
      <w:r w:rsidRPr="001A603F">
        <w:rPr>
          <w:sz w:val="18"/>
        </w:rPr>
        <w:t xml:space="preserve"> </w:t>
      </w:r>
      <w:hyperlink r:id="rId25" w:history="1">
        <w:r w:rsidRPr="001A603F">
          <w:rPr>
            <w:rStyle w:val="Hipervnculo"/>
            <w:sz w:val="18"/>
          </w:rPr>
          <w:t>http://www.ift.org.mx/industria/consultas-publicas/consulta-publica-sobre-el-anteproyecto-de-disposicion-tecnica-ift-012-2016-especificaciones-para-el</w:t>
        </w:r>
      </w:hyperlink>
      <w:r w:rsidRPr="001A603F">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83BEB" w14:textId="77777777" w:rsidR="0093726F" w:rsidRPr="00E04B18" w:rsidRDefault="0093726F" w:rsidP="00501ADF">
    <w:pPr>
      <w:spacing w:line="240" w:lineRule="auto"/>
      <w:rPr>
        <w:rFonts w:ascii="Century Gothic" w:eastAsia="Times New Roman" w:hAnsi="Century Gothic" w:cs="Arial"/>
        <w:color w:val="222222"/>
        <w:sz w:val="24"/>
        <w:szCs w:val="24"/>
        <w:lang w:eastAsia="es-MX"/>
      </w:rPr>
    </w:pPr>
    <w:r w:rsidRPr="00E04B18">
      <w:rPr>
        <w:rFonts w:ascii="Century Gothic" w:eastAsia="Times New Roman" w:hAnsi="Century Gothic" w:cs="Arial"/>
        <w:noProof/>
        <w:color w:val="0000FF"/>
        <w:sz w:val="24"/>
        <w:szCs w:val="24"/>
        <w:lang w:eastAsia="es-MX"/>
      </w:rPr>
      <w:drawing>
        <wp:anchor distT="0" distB="0" distL="114300" distR="114300" simplePos="0" relativeHeight="251656704" behindDoc="1" locked="0" layoutInCell="1" allowOverlap="1" wp14:anchorId="32EDC49E" wp14:editId="669CB817">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F8DB2" w14:textId="77777777" w:rsidR="0093726F" w:rsidRDefault="0093726F" w:rsidP="00501ADF">
    <w:pPr>
      <w:pStyle w:val="Encabezado"/>
      <w:jc w:val="right"/>
      <w:rPr>
        <w:rFonts w:ascii="Century Gothic" w:hAnsi="Century Gothic"/>
      </w:rPr>
    </w:pPr>
    <w:r>
      <w:rPr>
        <w:rFonts w:ascii="Century Gothic" w:hAnsi="Century Gothic"/>
      </w:rPr>
      <w:t>ANEXO A.</w:t>
    </w:r>
  </w:p>
  <w:p w14:paraId="397BD203" w14:textId="77777777" w:rsidR="0093726F" w:rsidRPr="00E04B18" w:rsidRDefault="0093726F" w:rsidP="00501ADF">
    <w:pPr>
      <w:pStyle w:val="Encabezado"/>
      <w:jc w:val="right"/>
      <w:rPr>
        <w:rFonts w:ascii="Century Gothic" w:hAnsi="Century Gothic"/>
      </w:rPr>
    </w:pPr>
    <w:r w:rsidRPr="00E04B18">
      <w:rPr>
        <w:rFonts w:ascii="Century Gothic" w:hAnsi="Century Gothic"/>
      </w:rPr>
      <w:t>ANÁLISIS DE IMPACTO REGULATORIO</w:t>
    </w:r>
  </w:p>
  <w:p w14:paraId="5E348997" w14:textId="77777777" w:rsidR="0093726F" w:rsidRPr="00E04B18" w:rsidRDefault="0093726F">
    <w:pPr>
      <w:pStyle w:val="Encabezado"/>
      <w:rPr>
        <w:rFonts w:ascii="Century Gothic" w:hAnsi="Century Gothic"/>
      </w:rPr>
    </w:pPr>
    <w:r w:rsidRPr="00E04B18">
      <w:rPr>
        <w:rFonts w:ascii="Century Gothic" w:hAnsi="Century Gothic"/>
        <w:noProof/>
        <w:lang w:eastAsia="es-MX"/>
      </w:rPr>
      <mc:AlternateContent>
        <mc:Choice Requires="wps">
          <w:drawing>
            <wp:anchor distT="0" distB="0" distL="114300" distR="114300" simplePos="0" relativeHeight="251657728" behindDoc="0" locked="0" layoutInCell="1" allowOverlap="1" wp14:anchorId="254F2A44" wp14:editId="6915395C">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76405B8" id="Conector recto 2" o:spid="_x0000_s1026" style="position:absolute;flip:y;z-index:2516577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208F5128" w14:textId="77777777" w:rsidR="0093726F" w:rsidRPr="00E04B18" w:rsidRDefault="0093726F">
    <w:pPr>
      <w:pStyle w:val="Encabezado"/>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49E"/>
    <w:multiLevelType w:val="hybridMultilevel"/>
    <w:tmpl w:val="254AF9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C969AE"/>
    <w:multiLevelType w:val="hybridMultilevel"/>
    <w:tmpl w:val="BED46ACC"/>
    <w:lvl w:ilvl="0" w:tplc="080A0001">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A86605"/>
    <w:multiLevelType w:val="hybridMultilevel"/>
    <w:tmpl w:val="31A610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7461BA"/>
    <w:multiLevelType w:val="hybridMultilevel"/>
    <w:tmpl w:val="B5589656"/>
    <w:lvl w:ilvl="0" w:tplc="080A0017">
      <w:start w:val="1"/>
      <w:numFmt w:val="lowerLetter"/>
      <w:lvlText w:val="%1)"/>
      <w:lvlJc w:val="left"/>
      <w:pPr>
        <w:ind w:left="720" w:hanging="360"/>
      </w:pPr>
      <w:rPr>
        <w:b/>
      </w:rPr>
    </w:lvl>
    <w:lvl w:ilvl="1" w:tplc="080A0019">
      <w:start w:val="1"/>
      <w:numFmt w:val="lowerLetter"/>
      <w:lvlText w:val="%2."/>
      <w:lvlJc w:val="left"/>
      <w:pPr>
        <w:ind w:left="1440" w:hanging="360"/>
      </w:pPr>
    </w:lvl>
    <w:lvl w:ilvl="2" w:tplc="3B268CA6">
      <w:start w:val="1"/>
      <w:numFmt w:val="lowerRoman"/>
      <w:lvlText w:val="%3."/>
      <w:lvlJc w:val="right"/>
      <w:pPr>
        <w:ind w:left="2160" w:hanging="180"/>
      </w:pPr>
      <w:rPr>
        <w:b/>
      </w:rPr>
    </w:lvl>
    <w:lvl w:ilvl="3" w:tplc="080A000F">
      <w:start w:val="1"/>
      <w:numFmt w:val="decimal"/>
      <w:lvlText w:val="%4."/>
      <w:lvlJc w:val="left"/>
      <w:pPr>
        <w:ind w:left="2880" w:hanging="360"/>
      </w:pPr>
    </w:lvl>
    <w:lvl w:ilvl="4" w:tplc="D91216F4">
      <w:start w:val="1"/>
      <w:numFmt w:val="upperRoman"/>
      <w:lvlText w:val="%5."/>
      <w:lvlJc w:val="left"/>
      <w:pPr>
        <w:ind w:left="3960" w:hanging="720"/>
      </w:pPr>
      <w:rPr>
        <w:rFonts w:hint="default"/>
      </w:rPr>
    </w:lvl>
    <w:lvl w:ilvl="5" w:tplc="78CCAD22">
      <w:start w:val="1"/>
      <w:numFmt w:val="lowerLetter"/>
      <w:lvlText w:val="%6)"/>
      <w:lvlJc w:val="left"/>
      <w:pPr>
        <w:ind w:left="4500" w:hanging="360"/>
      </w:pPr>
      <w:rPr>
        <w:rFonts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E3065E"/>
    <w:multiLevelType w:val="hybridMultilevel"/>
    <w:tmpl w:val="D9B20F10"/>
    <w:lvl w:ilvl="0" w:tplc="7360B3E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5A5565"/>
    <w:multiLevelType w:val="hybridMultilevel"/>
    <w:tmpl w:val="8D7A075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CC3096"/>
    <w:multiLevelType w:val="hybridMultilevel"/>
    <w:tmpl w:val="5FEE8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5336DE"/>
    <w:multiLevelType w:val="hybridMultilevel"/>
    <w:tmpl w:val="3D2E8B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19558D"/>
    <w:multiLevelType w:val="hybridMultilevel"/>
    <w:tmpl w:val="B5589656"/>
    <w:lvl w:ilvl="0" w:tplc="080A0017">
      <w:start w:val="1"/>
      <w:numFmt w:val="lowerLetter"/>
      <w:lvlText w:val="%1)"/>
      <w:lvlJc w:val="left"/>
      <w:pPr>
        <w:ind w:left="720" w:hanging="360"/>
      </w:pPr>
      <w:rPr>
        <w:b/>
      </w:rPr>
    </w:lvl>
    <w:lvl w:ilvl="1" w:tplc="080A0019">
      <w:start w:val="1"/>
      <w:numFmt w:val="lowerLetter"/>
      <w:lvlText w:val="%2."/>
      <w:lvlJc w:val="left"/>
      <w:pPr>
        <w:ind w:left="1440" w:hanging="360"/>
      </w:pPr>
    </w:lvl>
    <w:lvl w:ilvl="2" w:tplc="3B268CA6">
      <w:start w:val="1"/>
      <w:numFmt w:val="lowerRoman"/>
      <w:lvlText w:val="%3."/>
      <w:lvlJc w:val="right"/>
      <w:pPr>
        <w:ind w:left="2160" w:hanging="180"/>
      </w:pPr>
      <w:rPr>
        <w:b/>
      </w:rPr>
    </w:lvl>
    <w:lvl w:ilvl="3" w:tplc="080A000F">
      <w:start w:val="1"/>
      <w:numFmt w:val="decimal"/>
      <w:lvlText w:val="%4."/>
      <w:lvlJc w:val="left"/>
      <w:pPr>
        <w:ind w:left="2880" w:hanging="360"/>
      </w:pPr>
    </w:lvl>
    <w:lvl w:ilvl="4" w:tplc="D91216F4">
      <w:start w:val="1"/>
      <w:numFmt w:val="upperRoman"/>
      <w:lvlText w:val="%5."/>
      <w:lvlJc w:val="left"/>
      <w:pPr>
        <w:ind w:left="3960" w:hanging="720"/>
      </w:pPr>
      <w:rPr>
        <w:rFonts w:hint="default"/>
      </w:rPr>
    </w:lvl>
    <w:lvl w:ilvl="5" w:tplc="78CCAD22">
      <w:start w:val="1"/>
      <w:numFmt w:val="lowerLetter"/>
      <w:lvlText w:val="%6)"/>
      <w:lvlJc w:val="left"/>
      <w:pPr>
        <w:ind w:left="4500" w:hanging="360"/>
      </w:pPr>
      <w:rPr>
        <w:rFonts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911679"/>
    <w:multiLevelType w:val="hybridMultilevel"/>
    <w:tmpl w:val="BCB883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0A2D5C"/>
    <w:multiLevelType w:val="hybridMultilevel"/>
    <w:tmpl w:val="9DFAFF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AC5D59"/>
    <w:multiLevelType w:val="hybridMultilevel"/>
    <w:tmpl w:val="C4CC7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D839FB"/>
    <w:multiLevelType w:val="hybridMultilevel"/>
    <w:tmpl w:val="191ED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2665CF3"/>
    <w:multiLevelType w:val="hybridMultilevel"/>
    <w:tmpl w:val="3D2E8B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E00CEA"/>
    <w:multiLevelType w:val="hybridMultilevel"/>
    <w:tmpl w:val="442A783C"/>
    <w:lvl w:ilvl="0" w:tplc="DD385EE8">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C66624"/>
    <w:multiLevelType w:val="hybridMultilevel"/>
    <w:tmpl w:val="3C9C9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DB11309"/>
    <w:multiLevelType w:val="hybridMultilevel"/>
    <w:tmpl w:val="31223B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164EEA"/>
    <w:multiLevelType w:val="hybridMultilevel"/>
    <w:tmpl w:val="68E0D896"/>
    <w:lvl w:ilvl="0" w:tplc="DD385EE8">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2E6F78"/>
    <w:multiLevelType w:val="hybridMultilevel"/>
    <w:tmpl w:val="1EF4F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65912CD"/>
    <w:multiLevelType w:val="hybridMultilevel"/>
    <w:tmpl w:val="83C808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8"/>
  </w:num>
  <w:num w:numId="3">
    <w:abstractNumId w:val="16"/>
  </w:num>
  <w:num w:numId="4">
    <w:abstractNumId w:val="11"/>
  </w:num>
  <w:num w:numId="5">
    <w:abstractNumId w:val="13"/>
  </w:num>
  <w:num w:numId="6">
    <w:abstractNumId w:val="12"/>
  </w:num>
  <w:num w:numId="7">
    <w:abstractNumId w:val="6"/>
  </w:num>
  <w:num w:numId="8">
    <w:abstractNumId w:val="4"/>
  </w:num>
  <w:num w:numId="9">
    <w:abstractNumId w:val="3"/>
  </w:num>
  <w:num w:numId="10">
    <w:abstractNumId w:val="0"/>
  </w:num>
  <w:num w:numId="11">
    <w:abstractNumId w:val="15"/>
  </w:num>
  <w:num w:numId="12">
    <w:abstractNumId w:val="17"/>
  </w:num>
  <w:num w:numId="13">
    <w:abstractNumId w:val="14"/>
  </w:num>
  <w:num w:numId="14">
    <w:abstractNumId w:val="18"/>
  </w:num>
  <w:num w:numId="15">
    <w:abstractNumId w:val="7"/>
  </w:num>
  <w:num w:numId="16">
    <w:abstractNumId w:val="5"/>
  </w:num>
  <w:num w:numId="17">
    <w:abstractNumId w:val="10"/>
  </w:num>
  <w:num w:numId="18">
    <w:abstractNumId w:val="2"/>
  </w:num>
  <w:num w:numId="19">
    <w:abstractNumId w:val="9"/>
  </w:num>
  <w:num w:numId="2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trackRevisions/>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0009"/>
    <w:rsid w:val="0000087A"/>
    <w:rsid w:val="00000CAE"/>
    <w:rsid w:val="000014FA"/>
    <w:rsid w:val="00002228"/>
    <w:rsid w:val="00003819"/>
    <w:rsid w:val="00004163"/>
    <w:rsid w:val="00004E6C"/>
    <w:rsid w:val="000058C3"/>
    <w:rsid w:val="00005AF6"/>
    <w:rsid w:val="00005FF8"/>
    <w:rsid w:val="0000644F"/>
    <w:rsid w:val="00006BEC"/>
    <w:rsid w:val="00006CC2"/>
    <w:rsid w:val="00007319"/>
    <w:rsid w:val="000073D2"/>
    <w:rsid w:val="00007B40"/>
    <w:rsid w:val="00010846"/>
    <w:rsid w:val="00010FB1"/>
    <w:rsid w:val="00011726"/>
    <w:rsid w:val="00012B8D"/>
    <w:rsid w:val="0001478E"/>
    <w:rsid w:val="00014E85"/>
    <w:rsid w:val="000156E6"/>
    <w:rsid w:val="00015980"/>
    <w:rsid w:val="00015D5A"/>
    <w:rsid w:val="000163E9"/>
    <w:rsid w:val="00016B8E"/>
    <w:rsid w:val="00016C71"/>
    <w:rsid w:val="0002075C"/>
    <w:rsid w:val="00020A23"/>
    <w:rsid w:val="000218B8"/>
    <w:rsid w:val="0002192B"/>
    <w:rsid w:val="00022451"/>
    <w:rsid w:val="00022BD8"/>
    <w:rsid w:val="000239DF"/>
    <w:rsid w:val="00023BE6"/>
    <w:rsid w:val="000257AC"/>
    <w:rsid w:val="0002602B"/>
    <w:rsid w:val="000262A6"/>
    <w:rsid w:val="00027121"/>
    <w:rsid w:val="000271A4"/>
    <w:rsid w:val="0002784F"/>
    <w:rsid w:val="00027AB3"/>
    <w:rsid w:val="00030275"/>
    <w:rsid w:val="00032265"/>
    <w:rsid w:val="00032656"/>
    <w:rsid w:val="00032E20"/>
    <w:rsid w:val="00033018"/>
    <w:rsid w:val="00033D00"/>
    <w:rsid w:val="00033F6E"/>
    <w:rsid w:val="00035535"/>
    <w:rsid w:val="00036017"/>
    <w:rsid w:val="00037A4D"/>
    <w:rsid w:val="00037C8D"/>
    <w:rsid w:val="00040441"/>
    <w:rsid w:val="00040FA3"/>
    <w:rsid w:val="0004377B"/>
    <w:rsid w:val="00043CF9"/>
    <w:rsid w:val="00044953"/>
    <w:rsid w:val="00045331"/>
    <w:rsid w:val="00046BF8"/>
    <w:rsid w:val="00046DBC"/>
    <w:rsid w:val="000472BB"/>
    <w:rsid w:val="0005051D"/>
    <w:rsid w:val="00051DD5"/>
    <w:rsid w:val="00052E14"/>
    <w:rsid w:val="000535A2"/>
    <w:rsid w:val="000551AA"/>
    <w:rsid w:val="0005560E"/>
    <w:rsid w:val="000576A4"/>
    <w:rsid w:val="000603C7"/>
    <w:rsid w:val="000609B6"/>
    <w:rsid w:val="00061806"/>
    <w:rsid w:val="00061F06"/>
    <w:rsid w:val="00062513"/>
    <w:rsid w:val="00063F8B"/>
    <w:rsid w:val="00064493"/>
    <w:rsid w:val="00064FCA"/>
    <w:rsid w:val="000655C4"/>
    <w:rsid w:val="000656D5"/>
    <w:rsid w:val="000658E8"/>
    <w:rsid w:val="00065C62"/>
    <w:rsid w:val="000662AA"/>
    <w:rsid w:val="00067B66"/>
    <w:rsid w:val="00070B1A"/>
    <w:rsid w:val="00070B8B"/>
    <w:rsid w:val="0007199A"/>
    <w:rsid w:val="00072AA6"/>
    <w:rsid w:val="0007315D"/>
    <w:rsid w:val="000737B6"/>
    <w:rsid w:val="00073E31"/>
    <w:rsid w:val="00074A1E"/>
    <w:rsid w:val="00074ABC"/>
    <w:rsid w:val="00074BBD"/>
    <w:rsid w:val="0007506C"/>
    <w:rsid w:val="00075CE8"/>
    <w:rsid w:val="00077494"/>
    <w:rsid w:val="000775FE"/>
    <w:rsid w:val="00077A0C"/>
    <w:rsid w:val="00080920"/>
    <w:rsid w:val="00080B1A"/>
    <w:rsid w:val="00082848"/>
    <w:rsid w:val="00082943"/>
    <w:rsid w:val="000832CD"/>
    <w:rsid w:val="00083EF4"/>
    <w:rsid w:val="0008407B"/>
    <w:rsid w:val="0008427E"/>
    <w:rsid w:val="00084A27"/>
    <w:rsid w:val="00085632"/>
    <w:rsid w:val="000857F5"/>
    <w:rsid w:val="00085C1E"/>
    <w:rsid w:val="00086166"/>
    <w:rsid w:val="00087858"/>
    <w:rsid w:val="000906CB"/>
    <w:rsid w:val="00092201"/>
    <w:rsid w:val="0009552F"/>
    <w:rsid w:val="00095FD1"/>
    <w:rsid w:val="000A058A"/>
    <w:rsid w:val="000A094B"/>
    <w:rsid w:val="000A0961"/>
    <w:rsid w:val="000A0FDE"/>
    <w:rsid w:val="000A1353"/>
    <w:rsid w:val="000A3E5B"/>
    <w:rsid w:val="000A4425"/>
    <w:rsid w:val="000A4F23"/>
    <w:rsid w:val="000A5B06"/>
    <w:rsid w:val="000A5F75"/>
    <w:rsid w:val="000A6291"/>
    <w:rsid w:val="000A63E5"/>
    <w:rsid w:val="000A683F"/>
    <w:rsid w:val="000A724E"/>
    <w:rsid w:val="000A7B90"/>
    <w:rsid w:val="000A7D10"/>
    <w:rsid w:val="000B002B"/>
    <w:rsid w:val="000B0611"/>
    <w:rsid w:val="000B1040"/>
    <w:rsid w:val="000B17BC"/>
    <w:rsid w:val="000B1BD7"/>
    <w:rsid w:val="000B267B"/>
    <w:rsid w:val="000B27DF"/>
    <w:rsid w:val="000B446C"/>
    <w:rsid w:val="000B5165"/>
    <w:rsid w:val="000B6686"/>
    <w:rsid w:val="000B7C1C"/>
    <w:rsid w:val="000B7C30"/>
    <w:rsid w:val="000C09B3"/>
    <w:rsid w:val="000C0A40"/>
    <w:rsid w:val="000C269A"/>
    <w:rsid w:val="000C2A18"/>
    <w:rsid w:val="000C2D00"/>
    <w:rsid w:val="000C2FF8"/>
    <w:rsid w:val="000C3CDE"/>
    <w:rsid w:val="000C4692"/>
    <w:rsid w:val="000C4E12"/>
    <w:rsid w:val="000C63D9"/>
    <w:rsid w:val="000C6C7C"/>
    <w:rsid w:val="000C75EB"/>
    <w:rsid w:val="000C7A88"/>
    <w:rsid w:val="000C7D3A"/>
    <w:rsid w:val="000C7D4A"/>
    <w:rsid w:val="000C7F89"/>
    <w:rsid w:val="000D0630"/>
    <w:rsid w:val="000D1053"/>
    <w:rsid w:val="000D12C5"/>
    <w:rsid w:val="000D13AC"/>
    <w:rsid w:val="000D1C9B"/>
    <w:rsid w:val="000D1D14"/>
    <w:rsid w:val="000D3AF7"/>
    <w:rsid w:val="000D4F05"/>
    <w:rsid w:val="000D5D70"/>
    <w:rsid w:val="000D7003"/>
    <w:rsid w:val="000E0832"/>
    <w:rsid w:val="000E1B39"/>
    <w:rsid w:val="000E20E9"/>
    <w:rsid w:val="000E2BC3"/>
    <w:rsid w:val="000E4A29"/>
    <w:rsid w:val="000E5C72"/>
    <w:rsid w:val="000E61C0"/>
    <w:rsid w:val="000E79A1"/>
    <w:rsid w:val="000E7A86"/>
    <w:rsid w:val="000E7BBF"/>
    <w:rsid w:val="000E7DC1"/>
    <w:rsid w:val="000F064C"/>
    <w:rsid w:val="000F06D4"/>
    <w:rsid w:val="000F1744"/>
    <w:rsid w:val="000F3DD8"/>
    <w:rsid w:val="000F4302"/>
    <w:rsid w:val="000F5382"/>
    <w:rsid w:val="000F5EF7"/>
    <w:rsid w:val="000F71F5"/>
    <w:rsid w:val="000F7C47"/>
    <w:rsid w:val="00100AFC"/>
    <w:rsid w:val="001012A1"/>
    <w:rsid w:val="00102705"/>
    <w:rsid w:val="0010361A"/>
    <w:rsid w:val="00103DCB"/>
    <w:rsid w:val="00103FF4"/>
    <w:rsid w:val="00104945"/>
    <w:rsid w:val="00105363"/>
    <w:rsid w:val="001064E6"/>
    <w:rsid w:val="001103C3"/>
    <w:rsid w:val="00110DC8"/>
    <w:rsid w:val="0011148F"/>
    <w:rsid w:val="0011190B"/>
    <w:rsid w:val="0011284E"/>
    <w:rsid w:val="00112AF6"/>
    <w:rsid w:val="00112D5D"/>
    <w:rsid w:val="001136D7"/>
    <w:rsid w:val="00113981"/>
    <w:rsid w:val="0011405D"/>
    <w:rsid w:val="00114429"/>
    <w:rsid w:val="00114A11"/>
    <w:rsid w:val="00114B5A"/>
    <w:rsid w:val="00114D57"/>
    <w:rsid w:val="00115A9F"/>
    <w:rsid w:val="001161FF"/>
    <w:rsid w:val="00117656"/>
    <w:rsid w:val="00122EF5"/>
    <w:rsid w:val="001235F5"/>
    <w:rsid w:val="0012433B"/>
    <w:rsid w:val="00124AC4"/>
    <w:rsid w:val="00124C1B"/>
    <w:rsid w:val="00125CD3"/>
    <w:rsid w:val="00125CF1"/>
    <w:rsid w:val="00126F0A"/>
    <w:rsid w:val="0012765F"/>
    <w:rsid w:val="00127872"/>
    <w:rsid w:val="0012793C"/>
    <w:rsid w:val="001307DF"/>
    <w:rsid w:val="001325F0"/>
    <w:rsid w:val="0013633E"/>
    <w:rsid w:val="00136EC6"/>
    <w:rsid w:val="00136F8B"/>
    <w:rsid w:val="001373C0"/>
    <w:rsid w:val="001379CC"/>
    <w:rsid w:val="001409E6"/>
    <w:rsid w:val="00140B78"/>
    <w:rsid w:val="001410AB"/>
    <w:rsid w:val="0014379B"/>
    <w:rsid w:val="00143FDC"/>
    <w:rsid w:val="00144319"/>
    <w:rsid w:val="00144C01"/>
    <w:rsid w:val="00145336"/>
    <w:rsid w:val="001464FC"/>
    <w:rsid w:val="00146D61"/>
    <w:rsid w:val="00147063"/>
    <w:rsid w:val="001471D4"/>
    <w:rsid w:val="00147943"/>
    <w:rsid w:val="00150561"/>
    <w:rsid w:val="00150DD1"/>
    <w:rsid w:val="001518BD"/>
    <w:rsid w:val="00152C68"/>
    <w:rsid w:val="00152F87"/>
    <w:rsid w:val="00153D35"/>
    <w:rsid w:val="001546CA"/>
    <w:rsid w:val="00155C3A"/>
    <w:rsid w:val="00155F55"/>
    <w:rsid w:val="00156013"/>
    <w:rsid w:val="00156BA5"/>
    <w:rsid w:val="00156E41"/>
    <w:rsid w:val="00157039"/>
    <w:rsid w:val="001572BE"/>
    <w:rsid w:val="00157B39"/>
    <w:rsid w:val="00160674"/>
    <w:rsid w:val="00162C0D"/>
    <w:rsid w:val="00163AEA"/>
    <w:rsid w:val="00164166"/>
    <w:rsid w:val="001646CD"/>
    <w:rsid w:val="00164975"/>
    <w:rsid w:val="00164C63"/>
    <w:rsid w:val="00164E9A"/>
    <w:rsid w:val="00165116"/>
    <w:rsid w:val="00165269"/>
    <w:rsid w:val="0016791E"/>
    <w:rsid w:val="001700A4"/>
    <w:rsid w:val="001700BC"/>
    <w:rsid w:val="0017032A"/>
    <w:rsid w:val="00170F52"/>
    <w:rsid w:val="00171507"/>
    <w:rsid w:val="00171AB1"/>
    <w:rsid w:val="00172278"/>
    <w:rsid w:val="00173944"/>
    <w:rsid w:val="00174312"/>
    <w:rsid w:val="00175BEA"/>
    <w:rsid w:val="001769D4"/>
    <w:rsid w:val="001779DC"/>
    <w:rsid w:val="00177D21"/>
    <w:rsid w:val="00180FAE"/>
    <w:rsid w:val="00181E44"/>
    <w:rsid w:val="00183739"/>
    <w:rsid w:val="00185021"/>
    <w:rsid w:val="0018575F"/>
    <w:rsid w:val="00185789"/>
    <w:rsid w:val="00185949"/>
    <w:rsid w:val="00185F97"/>
    <w:rsid w:val="00191E0A"/>
    <w:rsid w:val="00191FD4"/>
    <w:rsid w:val="00192292"/>
    <w:rsid w:val="00192494"/>
    <w:rsid w:val="00192D38"/>
    <w:rsid w:val="00192D61"/>
    <w:rsid w:val="0019321E"/>
    <w:rsid w:val="001932FC"/>
    <w:rsid w:val="00193607"/>
    <w:rsid w:val="00193B32"/>
    <w:rsid w:val="001946EE"/>
    <w:rsid w:val="00194943"/>
    <w:rsid w:val="00195BC7"/>
    <w:rsid w:val="00195EC7"/>
    <w:rsid w:val="001965FA"/>
    <w:rsid w:val="001970C5"/>
    <w:rsid w:val="00197CFC"/>
    <w:rsid w:val="001A06CA"/>
    <w:rsid w:val="001A133F"/>
    <w:rsid w:val="001A2423"/>
    <w:rsid w:val="001A3763"/>
    <w:rsid w:val="001A388E"/>
    <w:rsid w:val="001A41B1"/>
    <w:rsid w:val="001A603F"/>
    <w:rsid w:val="001A61DD"/>
    <w:rsid w:val="001A6D22"/>
    <w:rsid w:val="001A7BCD"/>
    <w:rsid w:val="001A7E6E"/>
    <w:rsid w:val="001B031D"/>
    <w:rsid w:val="001B0514"/>
    <w:rsid w:val="001B0722"/>
    <w:rsid w:val="001B07E9"/>
    <w:rsid w:val="001B081A"/>
    <w:rsid w:val="001B1251"/>
    <w:rsid w:val="001B1ECE"/>
    <w:rsid w:val="001B239D"/>
    <w:rsid w:val="001B3E7A"/>
    <w:rsid w:val="001B461C"/>
    <w:rsid w:val="001B46B9"/>
    <w:rsid w:val="001B5C5C"/>
    <w:rsid w:val="001B6A4C"/>
    <w:rsid w:val="001B7275"/>
    <w:rsid w:val="001C17B9"/>
    <w:rsid w:val="001C2D0C"/>
    <w:rsid w:val="001C3D0F"/>
    <w:rsid w:val="001C46F2"/>
    <w:rsid w:val="001C475E"/>
    <w:rsid w:val="001C4AD2"/>
    <w:rsid w:val="001C6774"/>
    <w:rsid w:val="001C6DCB"/>
    <w:rsid w:val="001C7E63"/>
    <w:rsid w:val="001D0B69"/>
    <w:rsid w:val="001D0D0D"/>
    <w:rsid w:val="001D1187"/>
    <w:rsid w:val="001D2360"/>
    <w:rsid w:val="001D4382"/>
    <w:rsid w:val="001D48CA"/>
    <w:rsid w:val="001D4A9E"/>
    <w:rsid w:val="001D671E"/>
    <w:rsid w:val="001D6D48"/>
    <w:rsid w:val="001D772A"/>
    <w:rsid w:val="001E04B1"/>
    <w:rsid w:val="001E080F"/>
    <w:rsid w:val="001E0B39"/>
    <w:rsid w:val="001E1EA5"/>
    <w:rsid w:val="001E21A9"/>
    <w:rsid w:val="001E26E0"/>
    <w:rsid w:val="001E2983"/>
    <w:rsid w:val="001E3343"/>
    <w:rsid w:val="001E3F8F"/>
    <w:rsid w:val="001E563D"/>
    <w:rsid w:val="001E577C"/>
    <w:rsid w:val="001E5C27"/>
    <w:rsid w:val="001E696E"/>
    <w:rsid w:val="001E6BB3"/>
    <w:rsid w:val="001E7333"/>
    <w:rsid w:val="001E79F6"/>
    <w:rsid w:val="001F00BA"/>
    <w:rsid w:val="001F05DE"/>
    <w:rsid w:val="001F0FB1"/>
    <w:rsid w:val="001F1587"/>
    <w:rsid w:val="001F22B2"/>
    <w:rsid w:val="001F3295"/>
    <w:rsid w:val="001F35A1"/>
    <w:rsid w:val="001F3A32"/>
    <w:rsid w:val="001F40C8"/>
    <w:rsid w:val="001F44A4"/>
    <w:rsid w:val="001F455E"/>
    <w:rsid w:val="001F4803"/>
    <w:rsid w:val="001F4A32"/>
    <w:rsid w:val="001F578C"/>
    <w:rsid w:val="001F5965"/>
    <w:rsid w:val="001F5D5F"/>
    <w:rsid w:val="001F5DB8"/>
    <w:rsid w:val="001F791F"/>
    <w:rsid w:val="00200D7C"/>
    <w:rsid w:val="002016FA"/>
    <w:rsid w:val="00201C17"/>
    <w:rsid w:val="00202E4E"/>
    <w:rsid w:val="00203D1A"/>
    <w:rsid w:val="00204174"/>
    <w:rsid w:val="00204D65"/>
    <w:rsid w:val="002052FC"/>
    <w:rsid w:val="002060A9"/>
    <w:rsid w:val="00206918"/>
    <w:rsid w:val="0020699D"/>
    <w:rsid w:val="00206B32"/>
    <w:rsid w:val="00210841"/>
    <w:rsid w:val="00210F0D"/>
    <w:rsid w:val="00210F15"/>
    <w:rsid w:val="00211BD1"/>
    <w:rsid w:val="00212583"/>
    <w:rsid w:val="00214F0E"/>
    <w:rsid w:val="002169A6"/>
    <w:rsid w:val="00217DD8"/>
    <w:rsid w:val="00220AE8"/>
    <w:rsid w:val="002213A4"/>
    <w:rsid w:val="00221448"/>
    <w:rsid w:val="00222C24"/>
    <w:rsid w:val="00223395"/>
    <w:rsid w:val="002242DF"/>
    <w:rsid w:val="0022453F"/>
    <w:rsid w:val="00224630"/>
    <w:rsid w:val="002250CE"/>
    <w:rsid w:val="00226008"/>
    <w:rsid w:val="00227D7E"/>
    <w:rsid w:val="00227DD5"/>
    <w:rsid w:val="00231761"/>
    <w:rsid w:val="00231B43"/>
    <w:rsid w:val="00233327"/>
    <w:rsid w:val="00234374"/>
    <w:rsid w:val="00235785"/>
    <w:rsid w:val="0023590E"/>
    <w:rsid w:val="00235CAE"/>
    <w:rsid w:val="002360CF"/>
    <w:rsid w:val="002372DD"/>
    <w:rsid w:val="00237524"/>
    <w:rsid w:val="00237A1C"/>
    <w:rsid w:val="00237B89"/>
    <w:rsid w:val="00237C62"/>
    <w:rsid w:val="00237F52"/>
    <w:rsid w:val="0024059B"/>
    <w:rsid w:val="00241380"/>
    <w:rsid w:val="0024161C"/>
    <w:rsid w:val="002430C9"/>
    <w:rsid w:val="00243634"/>
    <w:rsid w:val="00243E8A"/>
    <w:rsid w:val="00244662"/>
    <w:rsid w:val="00244736"/>
    <w:rsid w:val="00245089"/>
    <w:rsid w:val="002462CC"/>
    <w:rsid w:val="00246AD0"/>
    <w:rsid w:val="002475FE"/>
    <w:rsid w:val="00250D13"/>
    <w:rsid w:val="00250E40"/>
    <w:rsid w:val="0025170A"/>
    <w:rsid w:val="00251D3F"/>
    <w:rsid w:val="002526F9"/>
    <w:rsid w:val="00253216"/>
    <w:rsid w:val="002539CD"/>
    <w:rsid w:val="00253B37"/>
    <w:rsid w:val="00255157"/>
    <w:rsid w:val="0025B93D"/>
    <w:rsid w:val="00260161"/>
    <w:rsid w:val="00260269"/>
    <w:rsid w:val="00260FC8"/>
    <w:rsid w:val="00261415"/>
    <w:rsid w:val="00261F95"/>
    <w:rsid w:val="00262887"/>
    <w:rsid w:val="00262C42"/>
    <w:rsid w:val="00262F3F"/>
    <w:rsid w:val="00264ABB"/>
    <w:rsid w:val="00264B1F"/>
    <w:rsid w:val="00264D14"/>
    <w:rsid w:val="002666B1"/>
    <w:rsid w:val="00266A34"/>
    <w:rsid w:val="00266F38"/>
    <w:rsid w:val="00271CDD"/>
    <w:rsid w:val="00274CBC"/>
    <w:rsid w:val="002757E1"/>
    <w:rsid w:val="00275EBC"/>
    <w:rsid w:val="00275F06"/>
    <w:rsid w:val="00277694"/>
    <w:rsid w:val="00281D8B"/>
    <w:rsid w:val="00283CED"/>
    <w:rsid w:val="00284E4D"/>
    <w:rsid w:val="00285467"/>
    <w:rsid w:val="002866F5"/>
    <w:rsid w:val="002877B6"/>
    <w:rsid w:val="00290A6D"/>
    <w:rsid w:val="002912A3"/>
    <w:rsid w:val="00291B7F"/>
    <w:rsid w:val="00292B1A"/>
    <w:rsid w:val="00292D68"/>
    <w:rsid w:val="002947F6"/>
    <w:rsid w:val="002955FD"/>
    <w:rsid w:val="002958C1"/>
    <w:rsid w:val="00295E97"/>
    <w:rsid w:val="002962C2"/>
    <w:rsid w:val="002A0720"/>
    <w:rsid w:val="002A0A63"/>
    <w:rsid w:val="002A0CEB"/>
    <w:rsid w:val="002A1174"/>
    <w:rsid w:val="002A2869"/>
    <w:rsid w:val="002A29AC"/>
    <w:rsid w:val="002A2B10"/>
    <w:rsid w:val="002A5572"/>
    <w:rsid w:val="002A58AF"/>
    <w:rsid w:val="002A65F7"/>
    <w:rsid w:val="002A66A3"/>
    <w:rsid w:val="002A69BB"/>
    <w:rsid w:val="002A7BD5"/>
    <w:rsid w:val="002B0403"/>
    <w:rsid w:val="002B07E3"/>
    <w:rsid w:val="002B0A4E"/>
    <w:rsid w:val="002B25A1"/>
    <w:rsid w:val="002B4958"/>
    <w:rsid w:val="002B4DE1"/>
    <w:rsid w:val="002B5DF8"/>
    <w:rsid w:val="002B7B15"/>
    <w:rsid w:val="002C0E1A"/>
    <w:rsid w:val="002C11AC"/>
    <w:rsid w:val="002C1F47"/>
    <w:rsid w:val="002C2A16"/>
    <w:rsid w:val="002C48D8"/>
    <w:rsid w:val="002C57A4"/>
    <w:rsid w:val="002C6B7A"/>
    <w:rsid w:val="002C6D02"/>
    <w:rsid w:val="002C787E"/>
    <w:rsid w:val="002D0938"/>
    <w:rsid w:val="002D2BB2"/>
    <w:rsid w:val="002D41DB"/>
    <w:rsid w:val="002D4C23"/>
    <w:rsid w:val="002D4D0A"/>
    <w:rsid w:val="002D6BD2"/>
    <w:rsid w:val="002D7CE7"/>
    <w:rsid w:val="002E0CE5"/>
    <w:rsid w:val="002E0E21"/>
    <w:rsid w:val="002E2AE2"/>
    <w:rsid w:val="002E2E1D"/>
    <w:rsid w:val="002E3AEC"/>
    <w:rsid w:val="002E422D"/>
    <w:rsid w:val="002E49C6"/>
    <w:rsid w:val="002E4FD6"/>
    <w:rsid w:val="002F05B3"/>
    <w:rsid w:val="002F23BF"/>
    <w:rsid w:val="002F3025"/>
    <w:rsid w:val="002F3241"/>
    <w:rsid w:val="002F391F"/>
    <w:rsid w:val="002F4B9E"/>
    <w:rsid w:val="002F536D"/>
    <w:rsid w:val="002F538E"/>
    <w:rsid w:val="002F69DA"/>
    <w:rsid w:val="002F6F27"/>
    <w:rsid w:val="002F79E4"/>
    <w:rsid w:val="002F7AE9"/>
    <w:rsid w:val="002F7EF5"/>
    <w:rsid w:val="0030055F"/>
    <w:rsid w:val="00300E08"/>
    <w:rsid w:val="00300E70"/>
    <w:rsid w:val="00301578"/>
    <w:rsid w:val="003025ED"/>
    <w:rsid w:val="00302B70"/>
    <w:rsid w:val="00302C82"/>
    <w:rsid w:val="00303235"/>
    <w:rsid w:val="003039BF"/>
    <w:rsid w:val="00304A5C"/>
    <w:rsid w:val="00304CF4"/>
    <w:rsid w:val="003075A1"/>
    <w:rsid w:val="00307973"/>
    <w:rsid w:val="00307984"/>
    <w:rsid w:val="00307AE0"/>
    <w:rsid w:val="00310FC1"/>
    <w:rsid w:val="00311070"/>
    <w:rsid w:val="003145B0"/>
    <w:rsid w:val="00314C55"/>
    <w:rsid w:val="003150E3"/>
    <w:rsid w:val="0031725A"/>
    <w:rsid w:val="003207F4"/>
    <w:rsid w:val="00321280"/>
    <w:rsid w:val="00322B7F"/>
    <w:rsid w:val="00322E8A"/>
    <w:rsid w:val="003250AE"/>
    <w:rsid w:val="00325E58"/>
    <w:rsid w:val="00326697"/>
    <w:rsid w:val="00326A9A"/>
    <w:rsid w:val="00326C1E"/>
    <w:rsid w:val="00330075"/>
    <w:rsid w:val="00330583"/>
    <w:rsid w:val="00330B3D"/>
    <w:rsid w:val="00330DC2"/>
    <w:rsid w:val="00330F8A"/>
    <w:rsid w:val="00331E93"/>
    <w:rsid w:val="003330DA"/>
    <w:rsid w:val="003336A5"/>
    <w:rsid w:val="0033660D"/>
    <w:rsid w:val="00336A52"/>
    <w:rsid w:val="0033717F"/>
    <w:rsid w:val="00337902"/>
    <w:rsid w:val="00340E99"/>
    <w:rsid w:val="00341837"/>
    <w:rsid w:val="00342E45"/>
    <w:rsid w:val="00345713"/>
    <w:rsid w:val="003458C1"/>
    <w:rsid w:val="00347FD6"/>
    <w:rsid w:val="003505E7"/>
    <w:rsid w:val="003506B8"/>
    <w:rsid w:val="00350C3F"/>
    <w:rsid w:val="00352066"/>
    <w:rsid w:val="003524BA"/>
    <w:rsid w:val="00352915"/>
    <w:rsid w:val="00352D51"/>
    <w:rsid w:val="003546A0"/>
    <w:rsid w:val="003555D2"/>
    <w:rsid w:val="00356099"/>
    <w:rsid w:val="0035613D"/>
    <w:rsid w:val="003563E2"/>
    <w:rsid w:val="00357870"/>
    <w:rsid w:val="00357C12"/>
    <w:rsid w:val="003608ED"/>
    <w:rsid w:val="00360917"/>
    <w:rsid w:val="00360966"/>
    <w:rsid w:val="00360991"/>
    <w:rsid w:val="003629A3"/>
    <w:rsid w:val="0036315B"/>
    <w:rsid w:val="0036334C"/>
    <w:rsid w:val="00363EE9"/>
    <w:rsid w:val="00365750"/>
    <w:rsid w:val="00366233"/>
    <w:rsid w:val="003676D5"/>
    <w:rsid w:val="0036778F"/>
    <w:rsid w:val="00367AA5"/>
    <w:rsid w:val="003703C5"/>
    <w:rsid w:val="0037187D"/>
    <w:rsid w:val="00371B11"/>
    <w:rsid w:val="00372A2F"/>
    <w:rsid w:val="003733D0"/>
    <w:rsid w:val="00373747"/>
    <w:rsid w:val="0037394E"/>
    <w:rsid w:val="0037478A"/>
    <w:rsid w:val="00374A57"/>
    <w:rsid w:val="00374EAE"/>
    <w:rsid w:val="0037575A"/>
    <w:rsid w:val="00376820"/>
    <w:rsid w:val="00376E3B"/>
    <w:rsid w:val="00377FE0"/>
    <w:rsid w:val="00380BEF"/>
    <w:rsid w:val="003817D0"/>
    <w:rsid w:val="00382A33"/>
    <w:rsid w:val="00383931"/>
    <w:rsid w:val="00384353"/>
    <w:rsid w:val="00385172"/>
    <w:rsid w:val="00385293"/>
    <w:rsid w:val="00386AE0"/>
    <w:rsid w:val="003877FB"/>
    <w:rsid w:val="00387C4F"/>
    <w:rsid w:val="0039024A"/>
    <w:rsid w:val="00390BC9"/>
    <w:rsid w:val="00391082"/>
    <w:rsid w:val="00391602"/>
    <w:rsid w:val="00393E41"/>
    <w:rsid w:val="00393F10"/>
    <w:rsid w:val="00394794"/>
    <w:rsid w:val="00394A9E"/>
    <w:rsid w:val="00394C89"/>
    <w:rsid w:val="00396209"/>
    <w:rsid w:val="00396DA2"/>
    <w:rsid w:val="00397133"/>
    <w:rsid w:val="00397943"/>
    <w:rsid w:val="00397E1C"/>
    <w:rsid w:val="003A1BA9"/>
    <w:rsid w:val="003A1FC9"/>
    <w:rsid w:val="003A401F"/>
    <w:rsid w:val="003A4AA5"/>
    <w:rsid w:val="003A4C46"/>
    <w:rsid w:val="003A541F"/>
    <w:rsid w:val="003A5900"/>
    <w:rsid w:val="003A5AFE"/>
    <w:rsid w:val="003A6452"/>
    <w:rsid w:val="003A701D"/>
    <w:rsid w:val="003A7616"/>
    <w:rsid w:val="003B207A"/>
    <w:rsid w:val="003B321D"/>
    <w:rsid w:val="003B4FF4"/>
    <w:rsid w:val="003B63A7"/>
    <w:rsid w:val="003B74FD"/>
    <w:rsid w:val="003C104B"/>
    <w:rsid w:val="003C2076"/>
    <w:rsid w:val="003C344C"/>
    <w:rsid w:val="003C520A"/>
    <w:rsid w:val="003C6020"/>
    <w:rsid w:val="003C6253"/>
    <w:rsid w:val="003C64F7"/>
    <w:rsid w:val="003C77D5"/>
    <w:rsid w:val="003D1134"/>
    <w:rsid w:val="003D16EB"/>
    <w:rsid w:val="003D236D"/>
    <w:rsid w:val="003D3A32"/>
    <w:rsid w:val="003D4753"/>
    <w:rsid w:val="003D47F5"/>
    <w:rsid w:val="003D563D"/>
    <w:rsid w:val="003D5B9B"/>
    <w:rsid w:val="003D7018"/>
    <w:rsid w:val="003D756F"/>
    <w:rsid w:val="003D77D3"/>
    <w:rsid w:val="003D77EF"/>
    <w:rsid w:val="003D7E64"/>
    <w:rsid w:val="003E0B6D"/>
    <w:rsid w:val="003E0B8A"/>
    <w:rsid w:val="003E2798"/>
    <w:rsid w:val="003E2A0E"/>
    <w:rsid w:val="003E33A8"/>
    <w:rsid w:val="003E3E8B"/>
    <w:rsid w:val="003E4548"/>
    <w:rsid w:val="003E4DC2"/>
    <w:rsid w:val="003E50C2"/>
    <w:rsid w:val="003E5D1E"/>
    <w:rsid w:val="003E5EF8"/>
    <w:rsid w:val="003E6010"/>
    <w:rsid w:val="003E66BC"/>
    <w:rsid w:val="003E675B"/>
    <w:rsid w:val="003E677F"/>
    <w:rsid w:val="003E707D"/>
    <w:rsid w:val="003E7464"/>
    <w:rsid w:val="003E7E97"/>
    <w:rsid w:val="003F05E7"/>
    <w:rsid w:val="003F1A13"/>
    <w:rsid w:val="003F219B"/>
    <w:rsid w:val="003F246A"/>
    <w:rsid w:val="003F2A78"/>
    <w:rsid w:val="003F3A0B"/>
    <w:rsid w:val="003F4263"/>
    <w:rsid w:val="003F42FC"/>
    <w:rsid w:val="003F47EE"/>
    <w:rsid w:val="003F52C7"/>
    <w:rsid w:val="003F5988"/>
    <w:rsid w:val="003F76E8"/>
    <w:rsid w:val="004002CA"/>
    <w:rsid w:val="00400CCA"/>
    <w:rsid w:val="00402087"/>
    <w:rsid w:val="004028FC"/>
    <w:rsid w:val="00403026"/>
    <w:rsid w:val="0040407C"/>
    <w:rsid w:val="00405F27"/>
    <w:rsid w:val="004064FB"/>
    <w:rsid w:val="00407AAE"/>
    <w:rsid w:val="0041035B"/>
    <w:rsid w:val="00411027"/>
    <w:rsid w:val="00412452"/>
    <w:rsid w:val="00413602"/>
    <w:rsid w:val="00413896"/>
    <w:rsid w:val="00413905"/>
    <w:rsid w:val="00413ED5"/>
    <w:rsid w:val="00414E55"/>
    <w:rsid w:val="0041540D"/>
    <w:rsid w:val="004157E9"/>
    <w:rsid w:val="004168B3"/>
    <w:rsid w:val="00416B01"/>
    <w:rsid w:val="004170F3"/>
    <w:rsid w:val="004206BA"/>
    <w:rsid w:val="00420EDB"/>
    <w:rsid w:val="00422705"/>
    <w:rsid w:val="0042298D"/>
    <w:rsid w:val="004230A5"/>
    <w:rsid w:val="00423C16"/>
    <w:rsid w:val="00425772"/>
    <w:rsid w:val="00425E1A"/>
    <w:rsid w:val="004309A2"/>
    <w:rsid w:val="0043140A"/>
    <w:rsid w:val="00431BBD"/>
    <w:rsid w:val="00431DD5"/>
    <w:rsid w:val="00431EC4"/>
    <w:rsid w:val="004320F7"/>
    <w:rsid w:val="00432DC8"/>
    <w:rsid w:val="004331D9"/>
    <w:rsid w:val="00433B44"/>
    <w:rsid w:val="004344A2"/>
    <w:rsid w:val="00434700"/>
    <w:rsid w:val="00436E4A"/>
    <w:rsid w:val="00440C71"/>
    <w:rsid w:val="00441A0F"/>
    <w:rsid w:val="004466E8"/>
    <w:rsid w:val="004473B9"/>
    <w:rsid w:val="00447DE9"/>
    <w:rsid w:val="00450005"/>
    <w:rsid w:val="00450540"/>
    <w:rsid w:val="004506A3"/>
    <w:rsid w:val="00451651"/>
    <w:rsid w:val="00454C4D"/>
    <w:rsid w:val="0045611D"/>
    <w:rsid w:val="004566EC"/>
    <w:rsid w:val="004602B0"/>
    <w:rsid w:val="00460663"/>
    <w:rsid w:val="00460875"/>
    <w:rsid w:val="00461022"/>
    <w:rsid w:val="0046114B"/>
    <w:rsid w:val="00461E9E"/>
    <w:rsid w:val="00462D0C"/>
    <w:rsid w:val="00463C4C"/>
    <w:rsid w:val="004649CF"/>
    <w:rsid w:val="0046795B"/>
    <w:rsid w:val="00470D2C"/>
    <w:rsid w:val="0047121C"/>
    <w:rsid w:val="00471CD7"/>
    <w:rsid w:val="004728B1"/>
    <w:rsid w:val="00472927"/>
    <w:rsid w:val="0047434C"/>
    <w:rsid w:val="00474DCA"/>
    <w:rsid w:val="00475BD8"/>
    <w:rsid w:val="0047679C"/>
    <w:rsid w:val="00476C5E"/>
    <w:rsid w:val="00477060"/>
    <w:rsid w:val="004808D8"/>
    <w:rsid w:val="00481971"/>
    <w:rsid w:val="004823F3"/>
    <w:rsid w:val="00482C84"/>
    <w:rsid w:val="004832FA"/>
    <w:rsid w:val="00483810"/>
    <w:rsid w:val="00483E1B"/>
    <w:rsid w:val="0048456E"/>
    <w:rsid w:val="00485ECA"/>
    <w:rsid w:val="004861A2"/>
    <w:rsid w:val="004865AD"/>
    <w:rsid w:val="00486EFA"/>
    <w:rsid w:val="0048734B"/>
    <w:rsid w:val="004879F9"/>
    <w:rsid w:val="00490B44"/>
    <w:rsid w:val="00491B97"/>
    <w:rsid w:val="0049234C"/>
    <w:rsid w:val="00492607"/>
    <w:rsid w:val="004927A0"/>
    <w:rsid w:val="00494578"/>
    <w:rsid w:val="004946C7"/>
    <w:rsid w:val="00494E58"/>
    <w:rsid w:val="00494E99"/>
    <w:rsid w:val="00495058"/>
    <w:rsid w:val="0049564F"/>
    <w:rsid w:val="00497169"/>
    <w:rsid w:val="004971DE"/>
    <w:rsid w:val="00497B33"/>
    <w:rsid w:val="004A1148"/>
    <w:rsid w:val="004A11ED"/>
    <w:rsid w:val="004A1B43"/>
    <w:rsid w:val="004A1E89"/>
    <w:rsid w:val="004A24C7"/>
    <w:rsid w:val="004A2B1B"/>
    <w:rsid w:val="004A3ABB"/>
    <w:rsid w:val="004A442F"/>
    <w:rsid w:val="004A4BEA"/>
    <w:rsid w:val="004A5211"/>
    <w:rsid w:val="004A6147"/>
    <w:rsid w:val="004A691E"/>
    <w:rsid w:val="004A6EB6"/>
    <w:rsid w:val="004A7A32"/>
    <w:rsid w:val="004A7F28"/>
    <w:rsid w:val="004B0CAD"/>
    <w:rsid w:val="004B37C2"/>
    <w:rsid w:val="004B3EB1"/>
    <w:rsid w:val="004B5307"/>
    <w:rsid w:val="004B5A40"/>
    <w:rsid w:val="004B5BA9"/>
    <w:rsid w:val="004B5D5E"/>
    <w:rsid w:val="004B5E03"/>
    <w:rsid w:val="004B69F2"/>
    <w:rsid w:val="004B73F2"/>
    <w:rsid w:val="004C1122"/>
    <w:rsid w:val="004C1191"/>
    <w:rsid w:val="004C1656"/>
    <w:rsid w:val="004C1839"/>
    <w:rsid w:val="004C2400"/>
    <w:rsid w:val="004C3016"/>
    <w:rsid w:val="004C35AA"/>
    <w:rsid w:val="004C4198"/>
    <w:rsid w:val="004C456D"/>
    <w:rsid w:val="004C465B"/>
    <w:rsid w:val="004C4852"/>
    <w:rsid w:val="004C5E2A"/>
    <w:rsid w:val="004C65EE"/>
    <w:rsid w:val="004C6B57"/>
    <w:rsid w:val="004C7092"/>
    <w:rsid w:val="004C78E0"/>
    <w:rsid w:val="004D0D4F"/>
    <w:rsid w:val="004D0F1D"/>
    <w:rsid w:val="004D2446"/>
    <w:rsid w:val="004D3594"/>
    <w:rsid w:val="004D59D7"/>
    <w:rsid w:val="004D5CBF"/>
    <w:rsid w:val="004D7403"/>
    <w:rsid w:val="004D7B54"/>
    <w:rsid w:val="004D7EC2"/>
    <w:rsid w:val="004E01CB"/>
    <w:rsid w:val="004E0DA9"/>
    <w:rsid w:val="004E203B"/>
    <w:rsid w:val="004E2B84"/>
    <w:rsid w:val="004E33B6"/>
    <w:rsid w:val="004E3AA1"/>
    <w:rsid w:val="004E3E2D"/>
    <w:rsid w:val="004E422A"/>
    <w:rsid w:val="004E5074"/>
    <w:rsid w:val="004E5E60"/>
    <w:rsid w:val="004E7B63"/>
    <w:rsid w:val="004F0614"/>
    <w:rsid w:val="004F0E26"/>
    <w:rsid w:val="004F2B22"/>
    <w:rsid w:val="004F2CD5"/>
    <w:rsid w:val="004F6317"/>
    <w:rsid w:val="004F6EE8"/>
    <w:rsid w:val="00501ADF"/>
    <w:rsid w:val="00502BBF"/>
    <w:rsid w:val="005044AE"/>
    <w:rsid w:val="00504BA2"/>
    <w:rsid w:val="00506F03"/>
    <w:rsid w:val="00507AB5"/>
    <w:rsid w:val="00507CBC"/>
    <w:rsid w:val="00507EFE"/>
    <w:rsid w:val="0051008D"/>
    <w:rsid w:val="00510F0B"/>
    <w:rsid w:val="005114E5"/>
    <w:rsid w:val="00511D24"/>
    <w:rsid w:val="00511FB1"/>
    <w:rsid w:val="005125AF"/>
    <w:rsid w:val="005126B8"/>
    <w:rsid w:val="00514948"/>
    <w:rsid w:val="00514B59"/>
    <w:rsid w:val="00515CD3"/>
    <w:rsid w:val="00515DD0"/>
    <w:rsid w:val="0051617F"/>
    <w:rsid w:val="0051627B"/>
    <w:rsid w:val="00516364"/>
    <w:rsid w:val="00517C63"/>
    <w:rsid w:val="00520423"/>
    <w:rsid w:val="005204B1"/>
    <w:rsid w:val="00520555"/>
    <w:rsid w:val="00521572"/>
    <w:rsid w:val="00523CBF"/>
    <w:rsid w:val="0052417E"/>
    <w:rsid w:val="00525415"/>
    <w:rsid w:val="00526839"/>
    <w:rsid w:val="00527984"/>
    <w:rsid w:val="00530AB0"/>
    <w:rsid w:val="005318C7"/>
    <w:rsid w:val="00531BCF"/>
    <w:rsid w:val="00532066"/>
    <w:rsid w:val="00532282"/>
    <w:rsid w:val="005330C7"/>
    <w:rsid w:val="00533F9A"/>
    <w:rsid w:val="00534FAA"/>
    <w:rsid w:val="005355B3"/>
    <w:rsid w:val="0053576E"/>
    <w:rsid w:val="005359A7"/>
    <w:rsid w:val="00535A72"/>
    <w:rsid w:val="0053679E"/>
    <w:rsid w:val="00536F16"/>
    <w:rsid w:val="00541B1B"/>
    <w:rsid w:val="00541B86"/>
    <w:rsid w:val="005424A8"/>
    <w:rsid w:val="0054261A"/>
    <w:rsid w:val="005429E8"/>
    <w:rsid w:val="00543257"/>
    <w:rsid w:val="0054441A"/>
    <w:rsid w:val="00544E2F"/>
    <w:rsid w:val="00544EDF"/>
    <w:rsid w:val="0054600F"/>
    <w:rsid w:val="005502CF"/>
    <w:rsid w:val="005506FF"/>
    <w:rsid w:val="0055075B"/>
    <w:rsid w:val="00551753"/>
    <w:rsid w:val="005518AC"/>
    <w:rsid w:val="00552939"/>
    <w:rsid w:val="005529AB"/>
    <w:rsid w:val="00552D41"/>
    <w:rsid w:val="00553612"/>
    <w:rsid w:val="00554D86"/>
    <w:rsid w:val="0055717C"/>
    <w:rsid w:val="005601B6"/>
    <w:rsid w:val="005605B8"/>
    <w:rsid w:val="0056099A"/>
    <w:rsid w:val="005633F8"/>
    <w:rsid w:val="00563C09"/>
    <w:rsid w:val="0056443D"/>
    <w:rsid w:val="00564771"/>
    <w:rsid w:val="00565301"/>
    <w:rsid w:val="00565945"/>
    <w:rsid w:val="00566AC8"/>
    <w:rsid w:val="00567732"/>
    <w:rsid w:val="00567E8E"/>
    <w:rsid w:val="005701F2"/>
    <w:rsid w:val="00570CC2"/>
    <w:rsid w:val="00570DAA"/>
    <w:rsid w:val="0057125E"/>
    <w:rsid w:val="0057198D"/>
    <w:rsid w:val="00572052"/>
    <w:rsid w:val="00572C53"/>
    <w:rsid w:val="00573171"/>
    <w:rsid w:val="00573731"/>
    <w:rsid w:val="00573A21"/>
    <w:rsid w:val="00574204"/>
    <w:rsid w:val="00575542"/>
    <w:rsid w:val="005758E5"/>
    <w:rsid w:val="005768A3"/>
    <w:rsid w:val="00577BAB"/>
    <w:rsid w:val="00582B97"/>
    <w:rsid w:val="00582E17"/>
    <w:rsid w:val="0058329A"/>
    <w:rsid w:val="00583DE6"/>
    <w:rsid w:val="00583EBA"/>
    <w:rsid w:val="00584E94"/>
    <w:rsid w:val="00586252"/>
    <w:rsid w:val="005862C9"/>
    <w:rsid w:val="00586997"/>
    <w:rsid w:val="00587523"/>
    <w:rsid w:val="00587772"/>
    <w:rsid w:val="00590068"/>
    <w:rsid w:val="00590280"/>
    <w:rsid w:val="00591AB8"/>
    <w:rsid w:val="005936B0"/>
    <w:rsid w:val="005937D4"/>
    <w:rsid w:val="0059496E"/>
    <w:rsid w:val="00597B44"/>
    <w:rsid w:val="005A153B"/>
    <w:rsid w:val="005A3307"/>
    <w:rsid w:val="005A35BB"/>
    <w:rsid w:val="005A3D9A"/>
    <w:rsid w:val="005A40FB"/>
    <w:rsid w:val="005A4834"/>
    <w:rsid w:val="005A4D4E"/>
    <w:rsid w:val="005A7C62"/>
    <w:rsid w:val="005B0A1A"/>
    <w:rsid w:val="005B14EA"/>
    <w:rsid w:val="005B1E42"/>
    <w:rsid w:val="005B228A"/>
    <w:rsid w:val="005B34E9"/>
    <w:rsid w:val="005B3AE6"/>
    <w:rsid w:val="005B3D6C"/>
    <w:rsid w:val="005B4C9E"/>
    <w:rsid w:val="005B5223"/>
    <w:rsid w:val="005B59B3"/>
    <w:rsid w:val="005B75FA"/>
    <w:rsid w:val="005C0383"/>
    <w:rsid w:val="005C0DE1"/>
    <w:rsid w:val="005C10F8"/>
    <w:rsid w:val="005C3223"/>
    <w:rsid w:val="005C340B"/>
    <w:rsid w:val="005C383B"/>
    <w:rsid w:val="005C4C16"/>
    <w:rsid w:val="005C5AF6"/>
    <w:rsid w:val="005C61EA"/>
    <w:rsid w:val="005C65DB"/>
    <w:rsid w:val="005C660B"/>
    <w:rsid w:val="005C78B8"/>
    <w:rsid w:val="005C793B"/>
    <w:rsid w:val="005D1129"/>
    <w:rsid w:val="005D2ABE"/>
    <w:rsid w:val="005D2DE9"/>
    <w:rsid w:val="005D3A1F"/>
    <w:rsid w:val="005D4837"/>
    <w:rsid w:val="005D649E"/>
    <w:rsid w:val="005D78EC"/>
    <w:rsid w:val="005E0652"/>
    <w:rsid w:val="005E0BE2"/>
    <w:rsid w:val="005E203B"/>
    <w:rsid w:val="005E2995"/>
    <w:rsid w:val="005E2ECD"/>
    <w:rsid w:val="005E3A39"/>
    <w:rsid w:val="005E3B73"/>
    <w:rsid w:val="005E3D6C"/>
    <w:rsid w:val="005E3E0D"/>
    <w:rsid w:val="005E404B"/>
    <w:rsid w:val="005E4D29"/>
    <w:rsid w:val="005E5990"/>
    <w:rsid w:val="005E5E23"/>
    <w:rsid w:val="005E61F3"/>
    <w:rsid w:val="005F08DA"/>
    <w:rsid w:val="005F0B7B"/>
    <w:rsid w:val="005F168E"/>
    <w:rsid w:val="005F1B61"/>
    <w:rsid w:val="005F330D"/>
    <w:rsid w:val="005F4002"/>
    <w:rsid w:val="005F4F53"/>
    <w:rsid w:val="005F5082"/>
    <w:rsid w:val="005F5B48"/>
    <w:rsid w:val="005F79F5"/>
    <w:rsid w:val="005F7B5D"/>
    <w:rsid w:val="00600706"/>
    <w:rsid w:val="006016D3"/>
    <w:rsid w:val="00601C58"/>
    <w:rsid w:val="00601E03"/>
    <w:rsid w:val="00602607"/>
    <w:rsid w:val="006038E4"/>
    <w:rsid w:val="0060477E"/>
    <w:rsid w:val="00604C1E"/>
    <w:rsid w:val="00604C9C"/>
    <w:rsid w:val="00605010"/>
    <w:rsid w:val="006059D3"/>
    <w:rsid w:val="00606A52"/>
    <w:rsid w:val="006076D2"/>
    <w:rsid w:val="00610058"/>
    <w:rsid w:val="00610297"/>
    <w:rsid w:val="00610750"/>
    <w:rsid w:val="006108C8"/>
    <w:rsid w:val="00610A86"/>
    <w:rsid w:val="006115C4"/>
    <w:rsid w:val="00612073"/>
    <w:rsid w:val="00612168"/>
    <w:rsid w:val="00613487"/>
    <w:rsid w:val="00613F96"/>
    <w:rsid w:val="0061413C"/>
    <w:rsid w:val="00614C8A"/>
    <w:rsid w:val="00614E6E"/>
    <w:rsid w:val="0061525A"/>
    <w:rsid w:val="00615DC3"/>
    <w:rsid w:val="006166CA"/>
    <w:rsid w:val="00616E1B"/>
    <w:rsid w:val="006170C8"/>
    <w:rsid w:val="00617EB8"/>
    <w:rsid w:val="00621982"/>
    <w:rsid w:val="00621ED1"/>
    <w:rsid w:val="006223BE"/>
    <w:rsid w:val="006239F1"/>
    <w:rsid w:val="00624739"/>
    <w:rsid w:val="00625077"/>
    <w:rsid w:val="00625572"/>
    <w:rsid w:val="0062677D"/>
    <w:rsid w:val="00626F44"/>
    <w:rsid w:val="00627532"/>
    <w:rsid w:val="00627A8D"/>
    <w:rsid w:val="006306E4"/>
    <w:rsid w:val="0063090D"/>
    <w:rsid w:val="00630C99"/>
    <w:rsid w:val="00631218"/>
    <w:rsid w:val="00631AD6"/>
    <w:rsid w:val="00632172"/>
    <w:rsid w:val="00632B6E"/>
    <w:rsid w:val="00633052"/>
    <w:rsid w:val="00635436"/>
    <w:rsid w:val="0063680F"/>
    <w:rsid w:val="00636E8E"/>
    <w:rsid w:val="0063775A"/>
    <w:rsid w:val="00642AA8"/>
    <w:rsid w:val="0064464F"/>
    <w:rsid w:val="00644EB2"/>
    <w:rsid w:val="00646DA5"/>
    <w:rsid w:val="00647A34"/>
    <w:rsid w:val="00650078"/>
    <w:rsid w:val="00650492"/>
    <w:rsid w:val="006538B5"/>
    <w:rsid w:val="00655450"/>
    <w:rsid w:val="00655712"/>
    <w:rsid w:val="006565C4"/>
    <w:rsid w:val="00656F1F"/>
    <w:rsid w:val="006570B5"/>
    <w:rsid w:val="00657107"/>
    <w:rsid w:val="00660488"/>
    <w:rsid w:val="006607DA"/>
    <w:rsid w:val="006611B5"/>
    <w:rsid w:val="00662C10"/>
    <w:rsid w:val="00662CDB"/>
    <w:rsid w:val="00662FB0"/>
    <w:rsid w:val="00663F61"/>
    <w:rsid w:val="0066432C"/>
    <w:rsid w:val="00664515"/>
    <w:rsid w:val="00665784"/>
    <w:rsid w:val="006667D4"/>
    <w:rsid w:val="00666DD8"/>
    <w:rsid w:val="006671AC"/>
    <w:rsid w:val="00672BD8"/>
    <w:rsid w:val="00673485"/>
    <w:rsid w:val="006737AF"/>
    <w:rsid w:val="00673AF6"/>
    <w:rsid w:val="00674D7F"/>
    <w:rsid w:val="006756EF"/>
    <w:rsid w:val="00675C31"/>
    <w:rsid w:val="006761F2"/>
    <w:rsid w:val="00676557"/>
    <w:rsid w:val="00677362"/>
    <w:rsid w:val="006778BB"/>
    <w:rsid w:val="006802F2"/>
    <w:rsid w:val="006809C9"/>
    <w:rsid w:val="006817E7"/>
    <w:rsid w:val="00681805"/>
    <w:rsid w:val="00682DBB"/>
    <w:rsid w:val="0068307E"/>
    <w:rsid w:val="006832F1"/>
    <w:rsid w:val="00684DC5"/>
    <w:rsid w:val="006867F8"/>
    <w:rsid w:val="00690164"/>
    <w:rsid w:val="0069028F"/>
    <w:rsid w:val="00690633"/>
    <w:rsid w:val="00690EAE"/>
    <w:rsid w:val="00691918"/>
    <w:rsid w:val="006933C8"/>
    <w:rsid w:val="00693EFB"/>
    <w:rsid w:val="006946DE"/>
    <w:rsid w:val="00694C2C"/>
    <w:rsid w:val="00695A66"/>
    <w:rsid w:val="00697809"/>
    <w:rsid w:val="006A010C"/>
    <w:rsid w:val="006A08DF"/>
    <w:rsid w:val="006A1391"/>
    <w:rsid w:val="006A19A2"/>
    <w:rsid w:val="006A1E66"/>
    <w:rsid w:val="006A2707"/>
    <w:rsid w:val="006A2EBA"/>
    <w:rsid w:val="006A3359"/>
    <w:rsid w:val="006A428E"/>
    <w:rsid w:val="006A44B8"/>
    <w:rsid w:val="006A469C"/>
    <w:rsid w:val="006A5BFA"/>
    <w:rsid w:val="006A60CE"/>
    <w:rsid w:val="006A69F6"/>
    <w:rsid w:val="006A72B9"/>
    <w:rsid w:val="006B0411"/>
    <w:rsid w:val="006B0E7C"/>
    <w:rsid w:val="006B10E2"/>
    <w:rsid w:val="006B1D08"/>
    <w:rsid w:val="006B2524"/>
    <w:rsid w:val="006B3190"/>
    <w:rsid w:val="006B338A"/>
    <w:rsid w:val="006B34A7"/>
    <w:rsid w:val="006B375E"/>
    <w:rsid w:val="006B3ED2"/>
    <w:rsid w:val="006B41D9"/>
    <w:rsid w:val="006B48A6"/>
    <w:rsid w:val="006B4EE7"/>
    <w:rsid w:val="006B68FD"/>
    <w:rsid w:val="006B7084"/>
    <w:rsid w:val="006C1341"/>
    <w:rsid w:val="006C279E"/>
    <w:rsid w:val="006C4587"/>
    <w:rsid w:val="006C49C6"/>
    <w:rsid w:val="006C4A5B"/>
    <w:rsid w:val="006C4F1D"/>
    <w:rsid w:val="006C5769"/>
    <w:rsid w:val="006C5868"/>
    <w:rsid w:val="006C5F24"/>
    <w:rsid w:val="006C621F"/>
    <w:rsid w:val="006C66D9"/>
    <w:rsid w:val="006C6FCD"/>
    <w:rsid w:val="006C7159"/>
    <w:rsid w:val="006C7D6A"/>
    <w:rsid w:val="006C7E04"/>
    <w:rsid w:val="006C7E08"/>
    <w:rsid w:val="006D0099"/>
    <w:rsid w:val="006D0E78"/>
    <w:rsid w:val="006D2D20"/>
    <w:rsid w:val="006D456B"/>
    <w:rsid w:val="006D4DE5"/>
    <w:rsid w:val="006D5186"/>
    <w:rsid w:val="006D5B86"/>
    <w:rsid w:val="006D5B91"/>
    <w:rsid w:val="006D6989"/>
    <w:rsid w:val="006D6AAD"/>
    <w:rsid w:val="006D7A08"/>
    <w:rsid w:val="006E040E"/>
    <w:rsid w:val="006E0B60"/>
    <w:rsid w:val="006E2118"/>
    <w:rsid w:val="006E26CF"/>
    <w:rsid w:val="006E35DA"/>
    <w:rsid w:val="006E3989"/>
    <w:rsid w:val="006E43CB"/>
    <w:rsid w:val="006E4EEB"/>
    <w:rsid w:val="006E54A2"/>
    <w:rsid w:val="006E5956"/>
    <w:rsid w:val="006E6C35"/>
    <w:rsid w:val="006E6FB2"/>
    <w:rsid w:val="006E79E7"/>
    <w:rsid w:val="006F123D"/>
    <w:rsid w:val="006F21A6"/>
    <w:rsid w:val="006F2416"/>
    <w:rsid w:val="006F2CDF"/>
    <w:rsid w:val="006F306D"/>
    <w:rsid w:val="006F31AD"/>
    <w:rsid w:val="006F3B6A"/>
    <w:rsid w:val="006F4225"/>
    <w:rsid w:val="006F4826"/>
    <w:rsid w:val="006F4B9F"/>
    <w:rsid w:val="006F4D7C"/>
    <w:rsid w:val="006F4E85"/>
    <w:rsid w:val="006F59ED"/>
    <w:rsid w:val="006F5DB2"/>
    <w:rsid w:val="006F6EBE"/>
    <w:rsid w:val="006F6F4A"/>
    <w:rsid w:val="00700117"/>
    <w:rsid w:val="007002A2"/>
    <w:rsid w:val="00700AD5"/>
    <w:rsid w:val="00701AE4"/>
    <w:rsid w:val="00702126"/>
    <w:rsid w:val="00702326"/>
    <w:rsid w:val="00703535"/>
    <w:rsid w:val="00703F95"/>
    <w:rsid w:val="007042B4"/>
    <w:rsid w:val="00704978"/>
    <w:rsid w:val="00704D12"/>
    <w:rsid w:val="00706430"/>
    <w:rsid w:val="00707077"/>
    <w:rsid w:val="00710CDC"/>
    <w:rsid w:val="007123BD"/>
    <w:rsid w:val="00712BF7"/>
    <w:rsid w:val="007137DB"/>
    <w:rsid w:val="00713D0D"/>
    <w:rsid w:val="00714089"/>
    <w:rsid w:val="007141FE"/>
    <w:rsid w:val="00714400"/>
    <w:rsid w:val="00714685"/>
    <w:rsid w:val="007148FD"/>
    <w:rsid w:val="007169DE"/>
    <w:rsid w:val="00716C03"/>
    <w:rsid w:val="007206DD"/>
    <w:rsid w:val="0072076F"/>
    <w:rsid w:val="007211D3"/>
    <w:rsid w:val="0072186C"/>
    <w:rsid w:val="00722098"/>
    <w:rsid w:val="00723255"/>
    <w:rsid w:val="0072449A"/>
    <w:rsid w:val="00724D5F"/>
    <w:rsid w:val="00726821"/>
    <w:rsid w:val="00726D9B"/>
    <w:rsid w:val="00727121"/>
    <w:rsid w:val="00727C2A"/>
    <w:rsid w:val="00730E23"/>
    <w:rsid w:val="007335B4"/>
    <w:rsid w:val="00734717"/>
    <w:rsid w:val="00735004"/>
    <w:rsid w:val="00735A9E"/>
    <w:rsid w:val="00736746"/>
    <w:rsid w:val="00736F07"/>
    <w:rsid w:val="00736F46"/>
    <w:rsid w:val="00740494"/>
    <w:rsid w:val="00740E68"/>
    <w:rsid w:val="00742951"/>
    <w:rsid w:val="00742ECA"/>
    <w:rsid w:val="00742EDB"/>
    <w:rsid w:val="00743A4B"/>
    <w:rsid w:val="007442BA"/>
    <w:rsid w:val="00744310"/>
    <w:rsid w:val="00744734"/>
    <w:rsid w:val="007454EA"/>
    <w:rsid w:val="00747477"/>
    <w:rsid w:val="00750747"/>
    <w:rsid w:val="00751E08"/>
    <w:rsid w:val="00752B0F"/>
    <w:rsid w:val="00754C95"/>
    <w:rsid w:val="0075580F"/>
    <w:rsid w:val="007563EC"/>
    <w:rsid w:val="00756548"/>
    <w:rsid w:val="0075694F"/>
    <w:rsid w:val="00756AD7"/>
    <w:rsid w:val="00757E72"/>
    <w:rsid w:val="0076022A"/>
    <w:rsid w:val="0076049A"/>
    <w:rsid w:val="00760E64"/>
    <w:rsid w:val="00760F04"/>
    <w:rsid w:val="00761795"/>
    <w:rsid w:val="0076222F"/>
    <w:rsid w:val="00762AAC"/>
    <w:rsid w:val="00762CA1"/>
    <w:rsid w:val="007630B1"/>
    <w:rsid w:val="007638C2"/>
    <w:rsid w:val="0076453B"/>
    <w:rsid w:val="00764627"/>
    <w:rsid w:val="0076515A"/>
    <w:rsid w:val="007655E6"/>
    <w:rsid w:val="00766AC7"/>
    <w:rsid w:val="007677EF"/>
    <w:rsid w:val="007708D2"/>
    <w:rsid w:val="00770AD9"/>
    <w:rsid w:val="0077188C"/>
    <w:rsid w:val="0077266D"/>
    <w:rsid w:val="00772F06"/>
    <w:rsid w:val="0077328D"/>
    <w:rsid w:val="00773C49"/>
    <w:rsid w:val="00775A3C"/>
    <w:rsid w:val="0077641E"/>
    <w:rsid w:val="00780319"/>
    <w:rsid w:val="00780724"/>
    <w:rsid w:val="0078080C"/>
    <w:rsid w:val="00780B29"/>
    <w:rsid w:val="00780CA5"/>
    <w:rsid w:val="00781086"/>
    <w:rsid w:val="007818BF"/>
    <w:rsid w:val="007822F9"/>
    <w:rsid w:val="00782725"/>
    <w:rsid w:val="00782EF9"/>
    <w:rsid w:val="00782FDB"/>
    <w:rsid w:val="0078354D"/>
    <w:rsid w:val="00783BD3"/>
    <w:rsid w:val="00785414"/>
    <w:rsid w:val="00785F99"/>
    <w:rsid w:val="00786533"/>
    <w:rsid w:val="007865E9"/>
    <w:rsid w:val="00786B0D"/>
    <w:rsid w:val="00786C15"/>
    <w:rsid w:val="00786C43"/>
    <w:rsid w:val="00786CE2"/>
    <w:rsid w:val="007877EA"/>
    <w:rsid w:val="0079039A"/>
    <w:rsid w:val="00790C3C"/>
    <w:rsid w:val="00791485"/>
    <w:rsid w:val="007930C3"/>
    <w:rsid w:val="00793930"/>
    <w:rsid w:val="007947C9"/>
    <w:rsid w:val="007948E7"/>
    <w:rsid w:val="00795DE2"/>
    <w:rsid w:val="007960C8"/>
    <w:rsid w:val="007971F1"/>
    <w:rsid w:val="007977B7"/>
    <w:rsid w:val="007A1311"/>
    <w:rsid w:val="007A19BF"/>
    <w:rsid w:val="007A2129"/>
    <w:rsid w:val="007A25C7"/>
    <w:rsid w:val="007A3B54"/>
    <w:rsid w:val="007A3FDB"/>
    <w:rsid w:val="007A4932"/>
    <w:rsid w:val="007A4ABC"/>
    <w:rsid w:val="007A4B01"/>
    <w:rsid w:val="007A4DF9"/>
    <w:rsid w:val="007A4F67"/>
    <w:rsid w:val="007A5244"/>
    <w:rsid w:val="007A55AA"/>
    <w:rsid w:val="007A5FA3"/>
    <w:rsid w:val="007A7AB9"/>
    <w:rsid w:val="007A7CED"/>
    <w:rsid w:val="007B02E3"/>
    <w:rsid w:val="007B0875"/>
    <w:rsid w:val="007B08DF"/>
    <w:rsid w:val="007B16AA"/>
    <w:rsid w:val="007B23EA"/>
    <w:rsid w:val="007B2B5D"/>
    <w:rsid w:val="007B3229"/>
    <w:rsid w:val="007B4B98"/>
    <w:rsid w:val="007B5A44"/>
    <w:rsid w:val="007B6B2F"/>
    <w:rsid w:val="007B6B71"/>
    <w:rsid w:val="007B76D8"/>
    <w:rsid w:val="007C07FA"/>
    <w:rsid w:val="007C081A"/>
    <w:rsid w:val="007C12E8"/>
    <w:rsid w:val="007C17F1"/>
    <w:rsid w:val="007C1D3D"/>
    <w:rsid w:val="007C1E85"/>
    <w:rsid w:val="007C32D4"/>
    <w:rsid w:val="007C55B8"/>
    <w:rsid w:val="007C65C2"/>
    <w:rsid w:val="007C6BD8"/>
    <w:rsid w:val="007C6FEA"/>
    <w:rsid w:val="007C7144"/>
    <w:rsid w:val="007D021E"/>
    <w:rsid w:val="007D0474"/>
    <w:rsid w:val="007D1878"/>
    <w:rsid w:val="007D18A8"/>
    <w:rsid w:val="007D2CB0"/>
    <w:rsid w:val="007D2DD0"/>
    <w:rsid w:val="007D32F1"/>
    <w:rsid w:val="007D37DD"/>
    <w:rsid w:val="007D4663"/>
    <w:rsid w:val="007D54B9"/>
    <w:rsid w:val="007D5998"/>
    <w:rsid w:val="007D5AAA"/>
    <w:rsid w:val="007D7789"/>
    <w:rsid w:val="007E16DE"/>
    <w:rsid w:val="007E1DA2"/>
    <w:rsid w:val="007E1DE1"/>
    <w:rsid w:val="007E2113"/>
    <w:rsid w:val="007E2E1A"/>
    <w:rsid w:val="007E3118"/>
    <w:rsid w:val="007E43CE"/>
    <w:rsid w:val="007E4D9F"/>
    <w:rsid w:val="007E62F1"/>
    <w:rsid w:val="007E631A"/>
    <w:rsid w:val="007E6EEE"/>
    <w:rsid w:val="007F01D9"/>
    <w:rsid w:val="007F0338"/>
    <w:rsid w:val="007F04E1"/>
    <w:rsid w:val="007F0669"/>
    <w:rsid w:val="007F195C"/>
    <w:rsid w:val="007F21EF"/>
    <w:rsid w:val="007F2512"/>
    <w:rsid w:val="007F2855"/>
    <w:rsid w:val="007F31D4"/>
    <w:rsid w:val="007F322B"/>
    <w:rsid w:val="007F4B33"/>
    <w:rsid w:val="007F5A4B"/>
    <w:rsid w:val="007F5FD9"/>
    <w:rsid w:val="007F7C76"/>
    <w:rsid w:val="0080039C"/>
    <w:rsid w:val="0080090A"/>
    <w:rsid w:val="00801591"/>
    <w:rsid w:val="00801FED"/>
    <w:rsid w:val="008029D1"/>
    <w:rsid w:val="00803ECF"/>
    <w:rsid w:val="0080539F"/>
    <w:rsid w:val="008067A7"/>
    <w:rsid w:val="00807353"/>
    <w:rsid w:val="00807B0F"/>
    <w:rsid w:val="00810AF8"/>
    <w:rsid w:val="0081340A"/>
    <w:rsid w:val="00813673"/>
    <w:rsid w:val="00813EC1"/>
    <w:rsid w:val="008149EF"/>
    <w:rsid w:val="0081574F"/>
    <w:rsid w:val="00815A97"/>
    <w:rsid w:val="00815B83"/>
    <w:rsid w:val="00815F36"/>
    <w:rsid w:val="008171B0"/>
    <w:rsid w:val="00817309"/>
    <w:rsid w:val="00817D38"/>
    <w:rsid w:val="008236A6"/>
    <w:rsid w:val="00824635"/>
    <w:rsid w:val="008257C0"/>
    <w:rsid w:val="008260E8"/>
    <w:rsid w:val="00826312"/>
    <w:rsid w:val="00826C49"/>
    <w:rsid w:val="00827419"/>
    <w:rsid w:val="00827F28"/>
    <w:rsid w:val="00830AB8"/>
    <w:rsid w:val="00830BCC"/>
    <w:rsid w:val="0083230A"/>
    <w:rsid w:val="00832BA5"/>
    <w:rsid w:val="00832E96"/>
    <w:rsid w:val="0083345A"/>
    <w:rsid w:val="00833DC2"/>
    <w:rsid w:val="0083563E"/>
    <w:rsid w:val="008365C3"/>
    <w:rsid w:val="008366EA"/>
    <w:rsid w:val="00837C55"/>
    <w:rsid w:val="00840DA5"/>
    <w:rsid w:val="00840E8A"/>
    <w:rsid w:val="008411DE"/>
    <w:rsid w:val="00841233"/>
    <w:rsid w:val="008412EC"/>
    <w:rsid w:val="008416D7"/>
    <w:rsid w:val="0084181A"/>
    <w:rsid w:val="00841C73"/>
    <w:rsid w:val="00842944"/>
    <w:rsid w:val="0084387F"/>
    <w:rsid w:val="00845248"/>
    <w:rsid w:val="00845864"/>
    <w:rsid w:val="008466A4"/>
    <w:rsid w:val="00846B1B"/>
    <w:rsid w:val="0085068E"/>
    <w:rsid w:val="008516D0"/>
    <w:rsid w:val="00851C0C"/>
    <w:rsid w:val="008521CD"/>
    <w:rsid w:val="00852653"/>
    <w:rsid w:val="00852F69"/>
    <w:rsid w:val="00853599"/>
    <w:rsid w:val="00853D09"/>
    <w:rsid w:val="008541AD"/>
    <w:rsid w:val="008544D4"/>
    <w:rsid w:val="0085498F"/>
    <w:rsid w:val="008566C7"/>
    <w:rsid w:val="00856A73"/>
    <w:rsid w:val="00856D8F"/>
    <w:rsid w:val="0085745E"/>
    <w:rsid w:val="00857EE9"/>
    <w:rsid w:val="00861D73"/>
    <w:rsid w:val="00863802"/>
    <w:rsid w:val="008658BC"/>
    <w:rsid w:val="00865C4F"/>
    <w:rsid w:val="0086684A"/>
    <w:rsid w:val="00867F94"/>
    <w:rsid w:val="00870670"/>
    <w:rsid w:val="00870931"/>
    <w:rsid w:val="00870ECD"/>
    <w:rsid w:val="008713EF"/>
    <w:rsid w:val="008718B8"/>
    <w:rsid w:val="0087219A"/>
    <w:rsid w:val="0087236C"/>
    <w:rsid w:val="008738EC"/>
    <w:rsid w:val="0087414E"/>
    <w:rsid w:val="0087462D"/>
    <w:rsid w:val="00874977"/>
    <w:rsid w:val="00875288"/>
    <w:rsid w:val="00875794"/>
    <w:rsid w:val="00875AED"/>
    <w:rsid w:val="00875DA2"/>
    <w:rsid w:val="00876825"/>
    <w:rsid w:val="00876D05"/>
    <w:rsid w:val="008803B6"/>
    <w:rsid w:val="0088086C"/>
    <w:rsid w:val="00880BAE"/>
    <w:rsid w:val="00881768"/>
    <w:rsid w:val="00882518"/>
    <w:rsid w:val="008829B5"/>
    <w:rsid w:val="008843AB"/>
    <w:rsid w:val="00884963"/>
    <w:rsid w:val="00884C58"/>
    <w:rsid w:val="00886499"/>
    <w:rsid w:val="008865C3"/>
    <w:rsid w:val="00886E49"/>
    <w:rsid w:val="00887276"/>
    <w:rsid w:val="00887D5F"/>
    <w:rsid w:val="00890412"/>
    <w:rsid w:val="00890973"/>
    <w:rsid w:val="00890E2D"/>
    <w:rsid w:val="00890F49"/>
    <w:rsid w:val="0089169B"/>
    <w:rsid w:val="00891BC4"/>
    <w:rsid w:val="008939D1"/>
    <w:rsid w:val="00893DA6"/>
    <w:rsid w:val="00893F61"/>
    <w:rsid w:val="00895622"/>
    <w:rsid w:val="008958BF"/>
    <w:rsid w:val="00896723"/>
    <w:rsid w:val="00896F65"/>
    <w:rsid w:val="008973A4"/>
    <w:rsid w:val="008A11EF"/>
    <w:rsid w:val="008A1388"/>
    <w:rsid w:val="008A14CE"/>
    <w:rsid w:val="008A1BD4"/>
    <w:rsid w:val="008A22E9"/>
    <w:rsid w:val="008A253E"/>
    <w:rsid w:val="008A27B4"/>
    <w:rsid w:val="008A3701"/>
    <w:rsid w:val="008A3BEC"/>
    <w:rsid w:val="008A3E67"/>
    <w:rsid w:val="008A431F"/>
    <w:rsid w:val="008A48B0"/>
    <w:rsid w:val="008A53D9"/>
    <w:rsid w:val="008A60D6"/>
    <w:rsid w:val="008A638E"/>
    <w:rsid w:val="008A73D1"/>
    <w:rsid w:val="008A7568"/>
    <w:rsid w:val="008B00CA"/>
    <w:rsid w:val="008B119D"/>
    <w:rsid w:val="008B1D6F"/>
    <w:rsid w:val="008B2004"/>
    <w:rsid w:val="008B2A2B"/>
    <w:rsid w:val="008B30C0"/>
    <w:rsid w:val="008B3806"/>
    <w:rsid w:val="008B3C0C"/>
    <w:rsid w:val="008B453D"/>
    <w:rsid w:val="008B4CA0"/>
    <w:rsid w:val="008B5270"/>
    <w:rsid w:val="008B5738"/>
    <w:rsid w:val="008B61DD"/>
    <w:rsid w:val="008B780C"/>
    <w:rsid w:val="008C0D08"/>
    <w:rsid w:val="008C1B5F"/>
    <w:rsid w:val="008C1EBA"/>
    <w:rsid w:val="008C2064"/>
    <w:rsid w:val="008C29BB"/>
    <w:rsid w:val="008C2C45"/>
    <w:rsid w:val="008C3008"/>
    <w:rsid w:val="008C3120"/>
    <w:rsid w:val="008C426A"/>
    <w:rsid w:val="008C4CA7"/>
    <w:rsid w:val="008C4D5A"/>
    <w:rsid w:val="008C51B6"/>
    <w:rsid w:val="008C55A8"/>
    <w:rsid w:val="008C586B"/>
    <w:rsid w:val="008C5C89"/>
    <w:rsid w:val="008C60FA"/>
    <w:rsid w:val="008C6B8F"/>
    <w:rsid w:val="008C7423"/>
    <w:rsid w:val="008C76AF"/>
    <w:rsid w:val="008C7F1D"/>
    <w:rsid w:val="008D0745"/>
    <w:rsid w:val="008D1FE7"/>
    <w:rsid w:val="008D2625"/>
    <w:rsid w:val="008D3621"/>
    <w:rsid w:val="008D40E2"/>
    <w:rsid w:val="008D5003"/>
    <w:rsid w:val="008D5D76"/>
    <w:rsid w:val="008D6A18"/>
    <w:rsid w:val="008D792D"/>
    <w:rsid w:val="008E01E2"/>
    <w:rsid w:val="008E11CA"/>
    <w:rsid w:val="008E2B4F"/>
    <w:rsid w:val="008E367B"/>
    <w:rsid w:val="008E4442"/>
    <w:rsid w:val="008E5626"/>
    <w:rsid w:val="008E66FF"/>
    <w:rsid w:val="008E6B51"/>
    <w:rsid w:val="008E7065"/>
    <w:rsid w:val="008E734A"/>
    <w:rsid w:val="008F08E3"/>
    <w:rsid w:val="008F0C41"/>
    <w:rsid w:val="008F1430"/>
    <w:rsid w:val="008F1CFB"/>
    <w:rsid w:val="008F233C"/>
    <w:rsid w:val="008F2BF3"/>
    <w:rsid w:val="008F37A4"/>
    <w:rsid w:val="008F3836"/>
    <w:rsid w:val="008F3D76"/>
    <w:rsid w:val="008F400C"/>
    <w:rsid w:val="008F4B38"/>
    <w:rsid w:val="008F65E4"/>
    <w:rsid w:val="008F7AA9"/>
    <w:rsid w:val="009000BC"/>
    <w:rsid w:val="00900641"/>
    <w:rsid w:val="009015C1"/>
    <w:rsid w:val="0090291F"/>
    <w:rsid w:val="00904881"/>
    <w:rsid w:val="0090649D"/>
    <w:rsid w:val="009065EE"/>
    <w:rsid w:val="0090717F"/>
    <w:rsid w:val="009108E9"/>
    <w:rsid w:val="00911E15"/>
    <w:rsid w:val="009124BC"/>
    <w:rsid w:val="00913E4D"/>
    <w:rsid w:val="00915AE2"/>
    <w:rsid w:val="009165A0"/>
    <w:rsid w:val="00916FE9"/>
    <w:rsid w:val="00917885"/>
    <w:rsid w:val="00920ACD"/>
    <w:rsid w:val="0092255D"/>
    <w:rsid w:val="00922C8B"/>
    <w:rsid w:val="00922E96"/>
    <w:rsid w:val="00923563"/>
    <w:rsid w:val="009238A5"/>
    <w:rsid w:val="00924177"/>
    <w:rsid w:val="0092432B"/>
    <w:rsid w:val="00924EBC"/>
    <w:rsid w:val="00926EC8"/>
    <w:rsid w:val="009270D2"/>
    <w:rsid w:val="00927F13"/>
    <w:rsid w:val="009303A0"/>
    <w:rsid w:val="00930404"/>
    <w:rsid w:val="009309FE"/>
    <w:rsid w:val="00930AEB"/>
    <w:rsid w:val="0093133C"/>
    <w:rsid w:val="00931819"/>
    <w:rsid w:val="00931CCD"/>
    <w:rsid w:val="0093266E"/>
    <w:rsid w:val="00932739"/>
    <w:rsid w:val="00932D1E"/>
    <w:rsid w:val="00933B42"/>
    <w:rsid w:val="00933F29"/>
    <w:rsid w:val="0093453F"/>
    <w:rsid w:val="00934849"/>
    <w:rsid w:val="00936D9E"/>
    <w:rsid w:val="0093714A"/>
    <w:rsid w:val="0093726F"/>
    <w:rsid w:val="00937C70"/>
    <w:rsid w:val="009400FF"/>
    <w:rsid w:val="00944DE7"/>
    <w:rsid w:val="00944FE9"/>
    <w:rsid w:val="00945BD6"/>
    <w:rsid w:val="00950325"/>
    <w:rsid w:val="009508DD"/>
    <w:rsid w:val="009508FA"/>
    <w:rsid w:val="0095102B"/>
    <w:rsid w:val="00951AE0"/>
    <w:rsid w:val="00951EC0"/>
    <w:rsid w:val="009520AF"/>
    <w:rsid w:val="009529BA"/>
    <w:rsid w:val="00952A45"/>
    <w:rsid w:val="00952A6D"/>
    <w:rsid w:val="0095457D"/>
    <w:rsid w:val="00954904"/>
    <w:rsid w:val="0095528D"/>
    <w:rsid w:val="0095571E"/>
    <w:rsid w:val="00956459"/>
    <w:rsid w:val="00957261"/>
    <w:rsid w:val="00957FD1"/>
    <w:rsid w:val="0096070B"/>
    <w:rsid w:val="00961735"/>
    <w:rsid w:val="00961774"/>
    <w:rsid w:val="009619F8"/>
    <w:rsid w:val="00961A74"/>
    <w:rsid w:val="00961D29"/>
    <w:rsid w:val="00961E2D"/>
    <w:rsid w:val="009630E5"/>
    <w:rsid w:val="0096451B"/>
    <w:rsid w:val="00964BDC"/>
    <w:rsid w:val="00964C28"/>
    <w:rsid w:val="009651F7"/>
    <w:rsid w:val="00965D88"/>
    <w:rsid w:val="0096659A"/>
    <w:rsid w:val="00966C0F"/>
    <w:rsid w:val="0096700D"/>
    <w:rsid w:val="0097018F"/>
    <w:rsid w:val="009723FC"/>
    <w:rsid w:val="00973CAD"/>
    <w:rsid w:val="009744BC"/>
    <w:rsid w:val="00975241"/>
    <w:rsid w:val="00976E25"/>
    <w:rsid w:val="00977EB1"/>
    <w:rsid w:val="00977EC5"/>
    <w:rsid w:val="00981CAD"/>
    <w:rsid w:val="009826DD"/>
    <w:rsid w:val="009831CC"/>
    <w:rsid w:val="00983B2E"/>
    <w:rsid w:val="0098403A"/>
    <w:rsid w:val="00985522"/>
    <w:rsid w:val="009857D6"/>
    <w:rsid w:val="00985FCE"/>
    <w:rsid w:val="009862A5"/>
    <w:rsid w:val="009865D5"/>
    <w:rsid w:val="009872D0"/>
    <w:rsid w:val="00990A25"/>
    <w:rsid w:val="00991E01"/>
    <w:rsid w:val="0099208D"/>
    <w:rsid w:val="0099237D"/>
    <w:rsid w:val="009924C2"/>
    <w:rsid w:val="009926EE"/>
    <w:rsid w:val="00992BA6"/>
    <w:rsid w:val="00992C40"/>
    <w:rsid w:val="0099353B"/>
    <w:rsid w:val="009935A1"/>
    <w:rsid w:val="00993CDA"/>
    <w:rsid w:val="00993E13"/>
    <w:rsid w:val="0099572E"/>
    <w:rsid w:val="00995BF8"/>
    <w:rsid w:val="00995D10"/>
    <w:rsid w:val="009966C6"/>
    <w:rsid w:val="00997096"/>
    <w:rsid w:val="00997673"/>
    <w:rsid w:val="009A0D9F"/>
    <w:rsid w:val="009A151A"/>
    <w:rsid w:val="009A225C"/>
    <w:rsid w:val="009A37ED"/>
    <w:rsid w:val="009A4BDE"/>
    <w:rsid w:val="009A5009"/>
    <w:rsid w:val="009A5C2A"/>
    <w:rsid w:val="009A6A8A"/>
    <w:rsid w:val="009A6AD7"/>
    <w:rsid w:val="009A6FC4"/>
    <w:rsid w:val="009B08AC"/>
    <w:rsid w:val="009B0B64"/>
    <w:rsid w:val="009B0E56"/>
    <w:rsid w:val="009B3923"/>
    <w:rsid w:val="009B41B7"/>
    <w:rsid w:val="009B474D"/>
    <w:rsid w:val="009B4CF6"/>
    <w:rsid w:val="009B56A2"/>
    <w:rsid w:val="009B5B9A"/>
    <w:rsid w:val="009B7556"/>
    <w:rsid w:val="009C01AC"/>
    <w:rsid w:val="009C04E3"/>
    <w:rsid w:val="009C07BB"/>
    <w:rsid w:val="009C10A2"/>
    <w:rsid w:val="009C11B4"/>
    <w:rsid w:val="009C2768"/>
    <w:rsid w:val="009C2987"/>
    <w:rsid w:val="009C29DB"/>
    <w:rsid w:val="009C2D0A"/>
    <w:rsid w:val="009C3913"/>
    <w:rsid w:val="009C3BB6"/>
    <w:rsid w:val="009C488C"/>
    <w:rsid w:val="009C4EC3"/>
    <w:rsid w:val="009C52C7"/>
    <w:rsid w:val="009C54AC"/>
    <w:rsid w:val="009C65F7"/>
    <w:rsid w:val="009C67C6"/>
    <w:rsid w:val="009C790A"/>
    <w:rsid w:val="009C7CC6"/>
    <w:rsid w:val="009D0133"/>
    <w:rsid w:val="009D0D53"/>
    <w:rsid w:val="009D10AC"/>
    <w:rsid w:val="009D13CA"/>
    <w:rsid w:val="009D2C18"/>
    <w:rsid w:val="009D2C8A"/>
    <w:rsid w:val="009D59E6"/>
    <w:rsid w:val="009D5F35"/>
    <w:rsid w:val="009D6C11"/>
    <w:rsid w:val="009E1D1D"/>
    <w:rsid w:val="009E31BF"/>
    <w:rsid w:val="009E348B"/>
    <w:rsid w:val="009E500E"/>
    <w:rsid w:val="009E6032"/>
    <w:rsid w:val="009E6DCD"/>
    <w:rsid w:val="009E7FF2"/>
    <w:rsid w:val="009F07F4"/>
    <w:rsid w:val="009F08FF"/>
    <w:rsid w:val="009F0AFF"/>
    <w:rsid w:val="009F11CD"/>
    <w:rsid w:val="009F139F"/>
    <w:rsid w:val="009F1A75"/>
    <w:rsid w:val="009F2048"/>
    <w:rsid w:val="009F2C66"/>
    <w:rsid w:val="009F2FD3"/>
    <w:rsid w:val="009F3482"/>
    <w:rsid w:val="009F39E3"/>
    <w:rsid w:val="009F3F8E"/>
    <w:rsid w:val="009F4141"/>
    <w:rsid w:val="009F478D"/>
    <w:rsid w:val="009F4BE9"/>
    <w:rsid w:val="009F4C8F"/>
    <w:rsid w:val="009F7C83"/>
    <w:rsid w:val="009F7CE6"/>
    <w:rsid w:val="009F7E95"/>
    <w:rsid w:val="009F7F77"/>
    <w:rsid w:val="00A00130"/>
    <w:rsid w:val="00A001EF"/>
    <w:rsid w:val="00A00A6E"/>
    <w:rsid w:val="00A00B2E"/>
    <w:rsid w:val="00A012AB"/>
    <w:rsid w:val="00A0132B"/>
    <w:rsid w:val="00A01568"/>
    <w:rsid w:val="00A01585"/>
    <w:rsid w:val="00A01776"/>
    <w:rsid w:val="00A02AB7"/>
    <w:rsid w:val="00A02CE1"/>
    <w:rsid w:val="00A030B1"/>
    <w:rsid w:val="00A03E25"/>
    <w:rsid w:val="00A0537A"/>
    <w:rsid w:val="00A05C71"/>
    <w:rsid w:val="00A05F3C"/>
    <w:rsid w:val="00A07047"/>
    <w:rsid w:val="00A074AC"/>
    <w:rsid w:val="00A07DC6"/>
    <w:rsid w:val="00A10426"/>
    <w:rsid w:val="00A11910"/>
    <w:rsid w:val="00A11D5B"/>
    <w:rsid w:val="00A121F5"/>
    <w:rsid w:val="00A1296C"/>
    <w:rsid w:val="00A141A4"/>
    <w:rsid w:val="00A14FAE"/>
    <w:rsid w:val="00A1508C"/>
    <w:rsid w:val="00A15914"/>
    <w:rsid w:val="00A1622C"/>
    <w:rsid w:val="00A17CE6"/>
    <w:rsid w:val="00A2066E"/>
    <w:rsid w:val="00A216EA"/>
    <w:rsid w:val="00A22110"/>
    <w:rsid w:val="00A2309F"/>
    <w:rsid w:val="00A238EB"/>
    <w:rsid w:val="00A243D3"/>
    <w:rsid w:val="00A24829"/>
    <w:rsid w:val="00A249DD"/>
    <w:rsid w:val="00A25349"/>
    <w:rsid w:val="00A26345"/>
    <w:rsid w:val="00A26C95"/>
    <w:rsid w:val="00A27D1C"/>
    <w:rsid w:val="00A306CF"/>
    <w:rsid w:val="00A31180"/>
    <w:rsid w:val="00A32515"/>
    <w:rsid w:val="00A32781"/>
    <w:rsid w:val="00A328ED"/>
    <w:rsid w:val="00A32ABD"/>
    <w:rsid w:val="00A33AB8"/>
    <w:rsid w:val="00A407D0"/>
    <w:rsid w:val="00A40C7D"/>
    <w:rsid w:val="00A417D3"/>
    <w:rsid w:val="00A41F90"/>
    <w:rsid w:val="00A42310"/>
    <w:rsid w:val="00A429EA"/>
    <w:rsid w:val="00A4303F"/>
    <w:rsid w:val="00A44DA7"/>
    <w:rsid w:val="00A45308"/>
    <w:rsid w:val="00A45AB4"/>
    <w:rsid w:val="00A46580"/>
    <w:rsid w:val="00A47004"/>
    <w:rsid w:val="00A50643"/>
    <w:rsid w:val="00A5099A"/>
    <w:rsid w:val="00A512CB"/>
    <w:rsid w:val="00A5185C"/>
    <w:rsid w:val="00A51FE7"/>
    <w:rsid w:val="00A5234B"/>
    <w:rsid w:val="00A52605"/>
    <w:rsid w:val="00A54262"/>
    <w:rsid w:val="00A546EB"/>
    <w:rsid w:val="00A54F45"/>
    <w:rsid w:val="00A5501C"/>
    <w:rsid w:val="00A55BD6"/>
    <w:rsid w:val="00A5619F"/>
    <w:rsid w:val="00A574B0"/>
    <w:rsid w:val="00A57889"/>
    <w:rsid w:val="00A60466"/>
    <w:rsid w:val="00A60922"/>
    <w:rsid w:val="00A62FAC"/>
    <w:rsid w:val="00A63655"/>
    <w:rsid w:val="00A64065"/>
    <w:rsid w:val="00A64A6C"/>
    <w:rsid w:val="00A64B50"/>
    <w:rsid w:val="00A65BAD"/>
    <w:rsid w:val="00A65E92"/>
    <w:rsid w:val="00A65EED"/>
    <w:rsid w:val="00A67032"/>
    <w:rsid w:val="00A671B3"/>
    <w:rsid w:val="00A6731F"/>
    <w:rsid w:val="00A6761C"/>
    <w:rsid w:val="00A67F1A"/>
    <w:rsid w:val="00A70185"/>
    <w:rsid w:val="00A7026E"/>
    <w:rsid w:val="00A7031D"/>
    <w:rsid w:val="00A70500"/>
    <w:rsid w:val="00A7078E"/>
    <w:rsid w:val="00A70B32"/>
    <w:rsid w:val="00A72048"/>
    <w:rsid w:val="00A726F0"/>
    <w:rsid w:val="00A73AD8"/>
    <w:rsid w:val="00A7529B"/>
    <w:rsid w:val="00A752C0"/>
    <w:rsid w:val="00A8067A"/>
    <w:rsid w:val="00A80B39"/>
    <w:rsid w:val="00A80DAC"/>
    <w:rsid w:val="00A811E5"/>
    <w:rsid w:val="00A811E6"/>
    <w:rsid w:val="00A824DB"/>
    <w:rsid w:val="00A83633"/>
    <w:rsid w:val="00A83E78"/>
    <w:rsid w:val="00A843B9"/>
    <w:rsid w:val="00A8443F"/>
    <w:rsid w:val="00A853AE"/>
    <w:rsid w:val="00A860FD"/>
    <w:rsid w:val="00A86317"/>
    <w:rsid w:val="00A8653F"/>
    <w:rsid w:val="00A9009C"/>
    <w:rsid w:val="00A90D7B"/>
    <w:rsid w:val="00A91295"/>
    <w:rsid w:val="00A9137F"/>
    <w:rsid w:val="00A9148E"/>
    <w:rsid w:val="00A91CFB"/>
    <w:rsid w:val="00A91E7A"/>
    <w:rsid w:val="00A92A17"/>
    <w:rsid w:val="00A92B5F"/>
    <w:rsid w:val="00A92EC3"/>
    <w:rsid w:val="00A93204"/>
    <w:rsid w:val="00A936A3"/>
    <w:rsid w:val="00A9406D"/>
    <w:rsid w:val="00A94B5F"/>
    <w:rsid w:val="00A950E2"/>
    <w:rsid w:val="00A953A8"/>
    <w:rsid w:val="00A957F6"/>
    <w:rsid w:val="00A95988"/>
    <w:rsid w:val="00A95F29"/>
    <w:rsid w:val="00A97163"/>
    <w:rsid w:val="00A97446"/>
    <w:rsid w:val="00AA1763"/>
    <w:rsid w:val="00AA1788"/>
    <w:rsid w:val="00AA1D0C"/>
    <w:rsid w:val="00AA1F04"/>
    <w:rsid w:val="00AA22D1"/>
    <w:rsid w:val="00AA2BFA"/>
    <w:rsid w:val="00AA3D2A"/>
    <w:rsid w:val="00AA3E98"/>
    <w:rsid w:val="00AA3EB4"/>
    <w:rsid w:val="00AA4337"/>
    <w:rsid w:val="00AA5C49"/>
    <w:rsid w:val="00AA5F56"/>
    <w:rsid w:val="00AA65B2"/>
    <w:rsid w:val="00AA6DC7"/>
    <w:rsid w:val="00AA76AC"/>
    <w:rsid w:val="00AB0381"/>
    <w:rsid w:val="00AB1038"/>
    <w:rsid w:val="00AB2778"/>
    <w:rsid w:val="00AB3F24"/>
    <w:rsid w:val="00AB40A8"/>
    <w:rsid w:val="00AB433F"/>
    <w:rsid w:val="00AB44CE"/>
    <w:rsid w:val="00AB4DD8"/>
    <w:rsid w:val="00AB5282"/>
    <w:rsid w:val="00AB5512"/>
    <w:rsid w:val="00AB59B5"/>
    <w:rsid w:val="00AB6843"/>
    <w:rsid w:val="00AB6874"/>
    <w:rsid w:val="00AB7267"/>
    <w:rsid w:val="00AB73D5"/>
    <w:rsid w:val="00AB7EDD"/>
    <w:rsid w:val="00AC05C8"/>
    <w:rsid w:val="00AC07F6"/>
    <w:rsid w:val="00AC1FD3"/>
    <w:rsid w:val="00AC205C"/>
    <w:rsid w:val="00AC216F"/>
    <w:rsid w:val="00AC237A"/>
    <w:rsid w:val="00AC2E3B"/>
    <w:rsid w:val="00AC37C6"/>
    <w:rsid w:val="00AC45F8"/>
    <w:rsid w:val="00AC4F3F"/>
    <w:rsid w:val="00AC5404"/>
    <w:rsid w:val="00AD12C6"/>
    <w:rsid w:val="00AD1E82"/>
    <w:rsid w:val="00AD31DB"/>
    <w:rsid w:val="00AD3A7C"/>
    <w:rsid w:val="00AD3CAB"/>
    <w:rsid w:val="00AD44FC"/>
    <w:rsid w:val="00AD4ED2"/>
    <w:rsid w:val="00AD66B0"/>
    <w:rsid w:val="00AD6CC4"/>
    <w:rsid w:val="00AD7B22"/>
    <w:rsid w:val="00AE0990"/>
    <w:rsid w:val="00AE21EF"/>
    <w:rsid w:val="00AE302F"/>
    <w:rsid w:val="00AE5A0E"/>
    <w:rsid w:val="00AE6632"/>
    <w:rsid w:val="00AE6658"/>
    <w:rsid w:val="00AE71EC"/>
    <w:rsid w:val="00AE73A0"/>
    <w:rsid w:val="00AE771B"/>
    <w:rsid w:val="00AF0DAC"/>
    <w:rsid w:val="00AF1884"/>
    <w:rsid w:val="00AF2A4C"/>
    <w:rsid w:val="00AF2CA7"/>
    <w:rsid w:val="00AF3AF6"/>
    <w:rsid w:val="00AF4C5A"/>
    <w:rsid w:val="00AF607E"/>
    <w:rsid w:val="00AF6EFA"/>
    <w:rsid w:val="00AF7BDA"/>
    <w:rsid w:val="00B00285"/>
    <w:rsid w:val="00B04457"/>
    <w:rsid w:val="00B04D8D"/>
    <w:rsid w:val="00B0582C"/>
    <w:rsid w:val="00B05D5F"/>
    <w:rsid w:val="00B0665E"/>
    <w:rsid w:val="00B07429"/>
    <w:rsid w:val="00B07C24"/>
    <w:rsid w:val="00B0DC94"/>
    <w:rsid w:val="00B10763"/>
    <w:rsid w:val="00B11252"/>
    <w:rsid w:val="00B1130A"/>
    <w:rsid w:val="00B1295B"/>
    <w:rsid w:val="00B13F91"/>
    <w:rsid w:val="00B143E2"/>
    <w:rsid w:val="00B14994"/>
    <w:rsid w:val="00B14B71"/>
    <w:rsid w:val="00B165C0"/>
    <w:rsid w:val="00B17C6D"/>
    <w:rsid w:val="00B200E4"/>
    <w:rsid w:val="00B2011D"/>
    <w:rsid w:val="00B20851"/>
    <w:rsid w:val="00B20E49"/>
    <w:rsid w:val="00B22566"/>
    <w:rsid w:val="00B22900"/>
    <w:rsid w:val="00B22990"/>
    <w:rsid w:val="00B229CE"/>
    <w:rsid w:val="00B23A6F"/>
    <w:rsid w:val="00B244B8"/>
    <w:rsid w:val="00B24E0F"/>
    <w:rsid w:val="00B2558B"/>
    <w:rsid w:val="00B263F8"/>
    <w:rsid w:val="00B26CE9"/>
    <w:rsid w:val="00B27763"/>
    <w:rsid w:val="00B27AC0"/>
    <w:rsid w:val="00B31533"/>
    <w:rsid w:val="00B319B1"/>
    <w:rsid w:val="00B31CFB"/>
    <w:rsid w:val="00B32386"/>
    <w:rsid w:val="00B32CEF"/>
    <w:rsid w:val="00B33437"/>
    <w:rsid w:val="00B36567"/>
    <w:rsid w:val="00B37214"/>
    <w:rsid w:val="00B40748"/>
    <w:rsid w:val="00B4085F"/>
    <w:rsid w:val="00B4136D"/>
    <w:rsid w:val="00B41407"/>
    <w:rsid w:val="00B42517"/>
    <w:rsid w:val="00B42A5A"/>
    <w:rsid w:val="00B42C9B"/>
    <w:rsid w:val="00B43854"/>
    <w:rsid w:val="00B444F0"/>
    <w:rsid w:val="00B44945"/>
    <w:rsid w:val="00B44C48"/>
    <w:rsid w:val="00B462C7"/>
    <w:rsid w:val="00B46CB8"/>
    <w:rsid w:val="00B4FDB8"/>
    <w:rsid w:val="00B509CC"/>
    <w:rsid w:val="00B50A53"/>
    <w:rsid w:val="00B51A44"/>
    <w:rsid w:val="00B51D7D"/>
    <w:rsid w:val="00B5273B"/>
    <w:rsid w:val="00B533BC"/>
    <w:rsid w:val="00B53D4B"/>
    <w:rsid w:val="00B558A2"/>
    <w:rsid w:val="00B55D1A"/>
    <w:rsid w:val="00B55F19"/>
    <w:rsid w:val="00B576E1"/>
    <w:rsid w:val="00B60D5B"/>
    <w:rsid w:val="00B611CE"/>
    <w:rsid w:val="00B62457"/>
    <w:rsid w:val="00B62797"/>
    <w:rsid w:val="00B6368F"/>
    <w:rsid w:val="00B63C37"/>
    <w:rsid w:val="00B6461E"/>
    <w:rsid w:val="00B64740"/>
    <w:rsid w:val="00B64B72"/>
    <w:rsid w:val="00B659DD"/>
    <w:rsid w:val="00B65A83"/>
    <w:rsid w:val="00B666CA"/>
    <w:rsid w:val="00B66751"/>
    <w:rsid w:val="00B7006B"/>
    <w:rsid w:val="00B70906"/>
    <w:rsid w:val="00B70F0F"/>
    <w:rsid w:val="00B714FA"/>
    <w:rsid w:val="00B71891"/>
    <w:rsid w:val="00B71BC0"/>
    <w:rsid w:val="00B726FE"/>
    <w:rsid w:val="00B73565"/>
    <w:rsid w:val="00B739FD"/>
    <w:rsid w:val="00B73C1A"/>
    <w:rsid w:val="00B746BD"/>
    <w:rsid w:val="00B74C55"/>
    <w:rsid w:val="00B74FE0"/>
    <w:rsid w:val="00B75805"/>
    <w:rsid w:val="00B7624B"/>
    <w:rsid w:val="00B76A59"/>
    <w:rsid w:val="00B77C17"/>
    <w:rsid w:val="00B80069"/>
    <w:rsid w:val="00B80A38"/>
    <w:rsid w:val="00B81856"/>
    <w:rsid w:val="00B81991"/>
    <w:rsid w:val="00B83FB9"/>
    <w:rsid w:val="00B840E1"/>
    <w:rsid w:val="00B854F6"/>
    <w:rsid w:val="00B85BBC"/>
    <w:rsid w:val="00B862B1"/>
    <w:rsid w:val="00B90F42"/>
    <w:rsid w:val="00B9265C"/>
    <w:rsid w:val="00B92D65"/>
    <w:rsid w:val="00B92EC9"/>
    <w:rsid w:val="00B933FC"/>
    <w:rsid w:val="00B95A73"/>
    <w:rsid w:val="00B95FC4"/>
    <w:rsid w:val="00B96A51"/>
    <w:rsid w:val="00B96E74"/>
    <w:rsid w:val="00B96FE0"/>
    <w:rsid w:val="00B97325"/>
    <w:rsid w:val="00BA0EA0"/>
    <w:rsid w:val="00BA0F4B"/>
    <w:rsid w:val="00BA0FA9"/>
    <w:rsid w:val="00BA1040"/>
    <w:rsid w:val="00BA13D7"/>
    <w:rsid w:val="00BA26C6"/>
    <w:rsid w:val="00BA3308"/>
    <w:rsid w:val="00BA39F9"/>
    <w:rsid w:val="00BA3BC4"/>
    <w:rsid w:val="00BA4016"/>
    <w:rsid w:val="00BA4759"/>
    <w:rsid w:val="00BA4EDE"/>
    <w:rsid w:val="00BA6040"/>
    <w:rsid w:val="00BA620B"/>
    <w:rsid w:val="00BA658A"/>
    <w:rsid w:val="00BA682A"/>
    <w:rsid w:val="00BB0586"/>
    <w:rsid w:val="00BB127B"/>
    <w:rsid w:val="00BB1BEC"/>
    <w:rsid w:val="00BB1DF9"/>
    <w:rsid w:val="00BB2029"/>
    <w:rsid w:val="00BB20CD"/>
    <w:rsid w:val="00BB26E6"/>
    <w:rsid w:val="00BB3C15"/>
    <w:rsid w:val="00BB476A"/>
    <w:rsid w:val="00BB4909"/>
    <w:rsid w:val="00BB49F2"/>
    <w:rsid w:val="00BC1A55"/>
    <w:rsid w:val="00BC2321"/>
    <w:rsid w:val="00BC27E5"/>
    <w:rsid w:val="00BC2D9A"/>
    <w:rsid w:val="00BC4156"/>
    <w:rsid w:val="00BC4385"/>
    <w:rsid w:val="00BC4B9F"/>
    <w:rsid w:val="00BC4D3C"/>
    <w:rsid w:val="00BC680A"/>
    <w:rsid w:val="00BD05D1"/>
    <w:rsid w:val="00BD0735"/>
    <w:rsid w:val="00BD0A35"/>
    <w:rsid w:val="00BD1863"/>
    <w:rsid w:val="00BD1A29"/>
    <w:rsid w:val="00BD224D"/>
    <w:rsid w:val="00BD2421"/>
    <w:rsid w:val="00BD489D"/>
    <w:rsid w:val="00BD4E54"/>
    <w:rsid w:val="00BD55D1"/>
    <w:rsid w:val="00BD5776"/>
    <w:rsid w:val="00BD581F"/>
    <w:rsid w:val="00BD731E"/>
    <w:rsid w:val="00BE0C6E"/>
    <w:rsid w:val="00BE1479"/>
    <w:rsid w:val="00BE1E6F"/>
    <w:rsid w:val="00BE2574"/>
    <w:rsid w:val="00BE2AC9"/>
    <w:rsid w:val="00BE6665"/>
    <w:rsid w:val="00BE6CFA"/>
    <w:rsid w:val="00BE7123"/>
    <w:rsid w:val="00BF0188"/>
    <w:rsid w:val="00BF05A6"/>
    <w:rsid w:val="00BF06CE"/>
    <w:rsid w:val="00BF19BC"/>
    <w:rsid w:val="00BF1BFE"/>
    <w:rsid w:val="00BF1DD8"/>
    <w:rsid w:val="00BF1F36"/>
    <w:rsid w:val="00BF2634"/>
    <w:rsid w:val="00BF357D"/>
    <w:rsid w:val="00BF3ED6"/>
    <w:rsid w:val="00BF4194"/>
    <w:rsid w:val="00BF428E"/>
    <w:rsid w:val="00BF628D"/>
    <w:rsid w:val="00BF645B"/>
    <w:rsid w:val="00BF74CD"/>
    <w:rsid w:val="00BF7ABC"/>
    <w:rsid w:val="00C019BC"/>
    <w:rsid w:val="00C01EEE"/>
    <w:rsid w:val="00C034B5"/>
    <w:rsid w:val="00C04927"/>
    <w:rsid w:val="00C05523"/>
    <w:rsid w:val="00C05742"/>
    <w:rsid w:val="00C058BD"/>
    <w:rsid w:val="00C0694B"/>
    <w:rsid w:val="00C06EFB"/>
    <w:rsid w:val="00C0739F"/>
    <w:rsid w:val="00C077C6"/>
    <w:rsid w:val="00C078A4"/>
    <w:rsid w:val="00C1210F"/>
    <w:rsid w:val="00C132AB"/>
    <w:rsid w:val="00C13321"/>
    <w:rsid w:val="00C13941"/>
    <w:rsid w:val="00C140B7"/>
    <w:rsid w:val="00C1414A"/>
    <w:rsid w:val="00C14278"/>
    <w:rsid w:val="00C1448A"/>
    <w:rsid w:val="00C156DB"/>
    <w:rsid w:val="00C16017"/>
    <w:rsid w:val="00C162CC"/>
    <w:rsid w:val="00C171C9"/>
    <w:rsid w:val="00C2057C"/>
    <w:rsid w:val="00C209EA"/>
    <w:rsid w:val="00C21499"/>
    <w:rsid w:val="00C229C3"/>
    <w:rsid w:val="00C24914"/>
    <w:rsid w:val="00C25047"/>
    <w:rsid w:val="00C250C9"/>
    <w:rsid w:val="00C2520D"/>
    <w:rsid w:val="00C257C8"/>
    <w:rsid w:val="00C25D12"/>
    <w:rsid w:val="00C27011"/>
    <w:rsid w:val="00C27260"/>
    <w:rsid w:val="00C27433"/>
    <w:rsid w:val="00C27B07"/>
    <w:rsid w:val="00C27CC1"/>
    <w:rsid w:val="00C30E1C"/>
    <w:rsid w:val="00C31ECE"/>
    <w:rsid w:val="00C32E22"/>
    <w:rsid w:val="00C33B43"/>
    <w:rsid w:val="00C33B75"/>
    <w:rsid w:val="00C34162"/>
    <w:rsid w:val="00C3451F"/>
    <w:rsid w:val="00C3593D"/>
    <w:rsid w:val="00C35EA5"/>
    <w:rsid w:val="00C36890"/>
    <w:rsid w:val="00C3744C"/>
    <w:rsid w:val="00C41F18"/>
    <w:rsid w:val="00C433A6"/>
    <w:rsid w:val="00C43D61"/>
    <w:rsid w:val="00C43FEB"/>
    <w:rsid w:val="00C44102"/>
    <w:rsid w:val="00C446EC"/>
    <w:rsid w:val="00C4498B"/>
    <w:rsid w:val="00C453E7"/>
    <w:rsid w:val="00C459BB"/>
    <w:rsid w:val="00C45B81"/>
    <w:rsid w:val="00C462F8"/>
    <w:rsid w:val="00C47529"/>
    <w:rsid w:val="00C4764C"/>
    <w:rsid w:val="00C47668"/>
    <w:rsid w:val="00C5020B"/>
    <w:rsid w:val="00C50B59"/>
    <w:rsid w:val="00C518EB"/>
    <w:rsid w:val="00C51D5E"/>
    <w:rsid w:val="00C524F5"/>
    <w:rsid w:val="00C52C58"/>
    <w:rsid w:val="00C5360C"/>
    <w:rsid w:val="00C53F7D"/>
    <w:rsid w:val="00C5416A"/>
    <w:rsid w:val="00C54DBD"/>
    <w:rsid w:val="00C5527D"/>
    <w:rsid w:val="00C5540C"/>
    <w:rsid w:val="00C55ACA"/>
    <w:rsid w:val="00C56A89"/>
    <w:rsid w:val="00C5759B"/>
    <w:rsid w:val="00C60BE2"/>
    <w:rsid w:val="00C645DE"/>
    <w:rsid w:val="00C64C0E"/>
    <w:rsid w:val="00C64C7B"/>
    <w:rsid w:val="00C65A15"/>
    <w:rsid w:val="00C66F29"/>
    <w:rsid w:val="00C67544"/>
    <w:rsid w:val="00C67E49"/>
    <w:rsid w:val="00C704C0"/>
    <w:rsid w:val="00C7086B"/>
    <w:rsid w:val="00C723AA"/>
    <w:rsid w:val="00C73BDB"/>
    <w:rsid w:val="00C73D61"/>
    <w:rsid w:val="00C7414C"/>
    <w:rsid w:val="00C746AE"/>
    <w:rsid w:val="00C7476B"/>
    <w:rsid w:val="00C75156"/>
    <w:rsid w:val="00C75783"/>
    <w:rsid w:val="00C76A47"/>
    <w:rsid w:val="00C77114"/>
    <w:rsid w:val="00C77142"/>
    <w:rsid w:val="00C77CAB"/>
    <w:rsid w:val="00C77DBB"/>
    <w:rsid w:val="00C8005F"/>
    <w:rsid w:val="00C80828"/>
    <w:rsid w:val="00C82307"/>
    <w:rsid w:val="00C837F8"/>
    <w:rsid w:val="00C8382E"/>
    <w:rsid w:val="00C851AA"/>
    <w:rsid w:val="00C8583E"/>
    <w:rsid w:val="00C9115B"/>
    <w:rsid w:val="00C9155A"/>
    <w:rsid w:val="00C917FC"/>
    <w:rsid w:val="00C921D4"/>
    <w:rsid w:val="00C92C33"/>
    <w:rsid w:val="00C9307D"/>
    <w:rsid w:val="00C9374D"/>
    <w:rsid w:val="00C93DE1"/>
    <w:rsid w:val="00C9447A"/>
    <w:rsid w:val="00C945ED"/>
    <w:rsid w:val="00C94DAF"/>
    <w:rsid w:val="00C95232"/>
    <w:rsid w:val="00C96A82"/>
    <w:rsid w:val="00C96C59"/>
    <w:rsid w:val="00C979E8"/>
    <w:rsid w:val="00C97A6E"/>
    <w:rsid w:val="00CA0124"/>
    <w:rsid w:val="00CA026E"/>
    <w:rsid w:val="00CA0D76"/>
    <w:rsid w:val="00CA0FFD"/>
    <w:rsid w:val="00CA118E"/>
    <w:rsid w:val="00CA1767"/>
    <w:rsid w:val="00CA2273"/>
    <w:rsid w:val="00CA2E00"/>
    <w:rsid w:val="00CA302A"/>
    <w:rsid w:val="00CA32F9"/>
    <w:rsid w:val="00CA33FD"/>
    <w:rsid w:val="00CA3B2C"/>
    <w:rsid w:val="00CA418A"/>
    <w:rsid w:val="00CA4697"/>
    <w:rsid w:val="00CA4D2B"/>
    <w:rsid w:val="00CA4E6B"/>
    <w:rsid w:val="00CA55FA"/>
    <w:rsid w:val="00CA6A17"/>
    <w:rsid w:val="00CA7FDB"/>
    <w:rsid w:val="00CB002D"/>
    <w:rsid w:val="00CB140C"/>
    <w:rsid w:val="00CB16A8"/>
    <w:rsid w:val="00CB2402"/>
    <w:rsid w:val="00CB5015"/>
    <w:rsid w:val="00CB53F3"/>
    <w:rsid w:val="00CB6944"/>
    <w:rsid w:val="00CB6BF1"/>
    <w:rsid w:val="00CC04A0"/>
    <w:rsid w:val="00CC0ED2"/>
    <w:rsid w:val="00CC1044"/>
    <w:rsid w:val="00CC15DA"/>
    <w:rsid w:val="00CC1A05"/>
    <w:rsid w:val="00CC1C3E"/>
    <w:rsid w:val="00CC201D"/>
    <w:rsid w:val="00CC2B84"/>
    <w:rsid w:val="00CC5EBF"/>
    <w:rsid w:val="00CC63BC"/>
    <w:rsid w:val="00CC64FE"/>
    <w:rsid w:val="00CC7B66"/>
    <w:rsid w:val="00CC7E62"/>
    <w:rsid w:val="00CD05D9"/>
    <w:rsid w:val="00CD1006"/>
    <w:rsid w:val="00CD29B8"/>
    <w:rsid w:val="00CD2B62"/>
    <w:rsid w:val="00CD370C"/>
    <w:rsid w:val="00CD3AA9"/>
    <w:rsid w:val="00CD3E3F"/>
    <w:rsid w:val="00CD440E"/>
    <w:rsid w:val="00CD47B4"/>
    <w:rsid w:val="00CD4A9B"/>
    <w:rsid w:val="00CD4F50"/>
    <w:rsid w:val="00CD68BB"/>
    <w:rsid w:val="00CD71BC"/>
    <w:rsid w:val="00CE02BF"/>
    <w:rsid w:val="00CE07A5"/>
    <w:rsid w:val="00CE07EB"/>
    <w:rsid w:val="00CE0D77"/>
    <w:rsid w:val="00CE2624"/>
    <w:rsid w:val="00CE4620"/>
    <w:rsid w:val="00CE4642"/>
    <w:rsid w:val="00CE48C1"/>
    <w:rsid w:val="00CE5A8B"/>
    <w:rsid w:val="00CE5C73"/>
    <w:rsid w:val="00CE5F2C"/>
    <w:rsid w:val="00CE6E0B"/>
    <w:rsid w:val="00CE7A5F"/>
    <w:rsid w:val="00CE7B9C"/>
    <w:rsid w:val="00CF1F47"/>
    <w:rsid w:val="00CF229C"/>
    <w:rsid w:val="00CF27A2"/>
    <w:rsid w:val="00CF2A1B"/>
    <w:rsid w:val="00CF3309"/>
    <w:rsid w:val="00CF3C87"/>
    <w:rsid w:val="00CF3CB9"/>
    <w:rsid w:val="00CF4364"/>
    <w:rsid w:val="00CF4B84"/>
    <w:rsid w:val="00CF5647"/>
    <w:rsid w:val="00CF6140"/>
    <w:rsid w:val="00CF6CB1"/>
    <w:rsid w:val="00D00092"/>
    <w:rsid w:val="00D0080D"/>
    <w:rsid w:val="00D00A66"/>
    <w:rsid w:val="00D0184E"/>
    <w:rsid w:val="00D01862"/>
    <w:rsid w:val="00D02737"/>
    <w:rsid w:val="00D02B93"/>
    <w:rsid w:val="00D04111"/>
    <w:rsid w:val="00D04C18"/>
    <w:rsid w:val="00D04D09"/>
    <w:rsid w:val="00D07437"/>
    <w:rsid w:val="00D1047F"/>
    <w:rsid w:val="00D10984"/>
    <w:rsid w:val="00D10DCF"/>
    <w:rsid w:val="00D112CE"/>
    <w:rsid w:val="00D1142D"/>
    <w:rsid w:val="00D11868"/>
    <w:rsid w:val="00D11943"/>
    <w:rsid w:val="00D11D55"/>
    <w:rsid w:val="00D123EF"/>
    <w:rsid w:val="00D12822"/>
    <w:rsid w:val="00D12CED"/>
    <w:rsid w:val="00D134DF"/>
    <w:rsid w:val="00D13819"/>
    <w:rsid w:val="00D13979"/>
    <w:rsid w:val="00D13D6A"/>
    <w:rsid w:val="00D15200"/>
    <w:rsid w:val="00D1594E"/>
    <w:rsid w:val="00D16230"/>
    <w:rsid w:val="00D169BA"/>
    <w:rsid w:val="00D175DD"/>
    <w:rsid w:val="00D17F08"/>
    <w:rsid w:val="00D204A7"/>
    <w:rsid w:val="00D207AA"/>
    <w:rsid w:val="00D22EEC"/>
    <w:rsid w:val="00D23488"/>
    <w:rsid w:val="00D23B36"/>
    <w:rsid w:val="00D23CF3"/>
    <w:rsid w:val="00D25A2A"/>
    <w:rsid w:val="00D26700"/>
    <w:rsid w:val="00D2694E"/>
    <w:rsid w:val="00D277AD"/>
    <w:rsid w:val="00D302BB"/>
    <w:rsid w:val="00D3082B"/>
    <w:rsid w:val="00D310E2"/>
    <w:rsid w:val="00D3209B"/>
    <w:rsid w:val="00D33E4A"/>
    <w:rsid w:val="00D3412F"/>
    <w:rsid w:val="00D3432C"/>
    <w:rsid w:val="00D41491"/>
    <w:rsid w:val="00D41D9A"/>
    <w:rsid w:val="00D41DBB"/>
    <w:rsid w:val="00D42616"/>
    <w:rsid w:val="00D42B5A"/>
    <w:rsid w:val="00D42DB7"/>
    <w:rsid w:val="00D430A4"/>
    <w:rsid w:val="00D4415F"/>
    <w:rsid w:val="00D44DEF"/>
    <w:rsid w:val="00D44EA2"/>
    <w:rsid w:val="00D458A1"/>
    <w:rsid w:val="00D460F9"/>
    <w:rsid w:val="00D4649D"/>
    <w:rsid w:val="00D46853"/>
    <w:rsid w:val="00D47866"/>
    <w:rsid w:val="00D50AB8"/>
    <w:rsid w:val="00D5286D"/>
    <w:rsid w:val="00D52B57"/>
    <w:rsid w:val="00D5493B"/>
    <w:rsid w:val="00D5554F"/>
    <w:rsid w:val="00D56776"/>
    <w:rsid w:val="00D610F7"/>
    <w:rsid w:val="00D61D96"/>
    <w:rsid w:val="00D630C7"/>
    <w:rsid w:val="00D64193"/>
    <w:rsid w:val="00D642A6"/>
    <w:rsid w:val="00D6433B"/>
    <w:rsid w:val="00D645DB"/>
    <w:rsid w:val="00D649CD"/>
    <w:rsid w:val="00D64E9A"/>
    <w:rsid w:val="00D65178"/>
    <w:rsid w:val="00D654E0"/>
    <w:rsid w:val="00D6574C"/>
    <w:rsid w:val="00D670B4"/>
    <w:rsid w:val="00D67CF2"/>
    <w:rsid w:val="00D7022E"/>
    <w:rsid w:val="00D71E6C"/>
    <w:rsid w:val="00D72060"/>
    <w:rsid w:val="00D72903"/>
    <w:rsid w:val="00D72AAE"/>
    <w:rsid w:val="00D737B7"/>
    <w:rsid w:val="00D7522E"/>
    <w:rsid w:val="00D76269"/>
    <w:rsid w:val="00D76599"/>
    <w:rsid w:val="00D76A1C"/>
    <w:rsid w:val="00D76A20"/>
    <w:rsid w:val="00D76E91"/>
    <w:rsid w:val="00D774E9"/>
    <w:rsid w:val="00D80493"/>
    <w:rsid w:val="00D804F9"/>
    <w:rsid w:val="00D82268"/>
    <w:rsid w:val="00D82617"/>
    <w:rsid w:val="00D82853"/>
    <w:rsid w:val="00D83E2A"/>
    <w:rsid w:val="00D83FA3"/>
    <w:rsid w:val="00D8409D"/>
    <w:rsid w:val="00D84601"/>
    <w:rsid w:val="00D846E4"/>
    <w:rsid w:val="00D84995"/>
    <w:rsid w:val="00D84B22"/>
    <w:rsid w:val="00D851CB"/>
    <w:rsid w:val="00D85631"/>
    <w:rsid w:val="00D8708F"/>
    <w:rsid w:val="00D870BF"/>
    <w:rsid w:val="00D902D5"/>
    <w:rsid w:val="00D90633"/>
    <w:rsid w:val="00D91D24"/>
    <w:rsid w:val="00D9480D"/>
    <w:rsid w:val="00D95080"/>
    <w:rsid w:val="00D95E6D"/>
    <w:rsid w:val="00D9638E"/>
    <w:rsid w:val="00D97F1A"/>
    <w:rsid w:val="00DA14B4"/>
    <w:rsid w:val="00DA285A"/>
    <w:rsid w:val="00DA2B9F"/>
    <w:rsid w:val="00DA2CAB"/>
    <w:rsid w:val="00DA419D"/>
    <w:rsid w:val="00DA5542"/>
    <w:rsid w:val="00DA6863"/>
    <w:rsid w:val="00DA68B0"/>
    <w:rsid w:val="00DA6ABA"/>
    <w:rsid w:val="00DA6D97"/>
    <w:rsid w:val="00DA6DE3"/>
    <w:rsid w:val="00DA71C8"/>
    <w:rsid w:val="00DA75A1"/>
    <w:rsid w:val="00DA783F"/>
    <w:rsid w:val="00DA7F5D"/>
    <w:rsid w:val="00DB14C9"/>
    <w:rsid w:val="00DB16AE"/>
    <w:rsid w:val="00DB198E"/>
    <w:rsid w:val="00DB497A"/>
    <w:rsid w:val="00DB4C64"/>
    <w:rsid w:val="00DB5422"/>
    <w:rsid w:val="00DB5CA5"/>
    <w:rsid w:val="00DB602A"/>
    <w:rsid w:val="00DB6921"/>
    <w:rsid w:val="00DB73EB"/>
    <w:rsid w:val="00DC1235"/>
    <w:rsid w:val="00DC24B3"/>
    <w:rsid w:val="00DC24D6"/>
    <w:rsid w:val="00DC27CC"/>
    <w:rsid w:val="00DC3D04"/>
    <w:rsid w:val="00DC427C"/>
    <w:rsid w:val="00DC5871"/>
    <w:rsid w:val="00DC59CD"/>
    <w:rsid w:val="00DC5F9E"/>
    <w:rsid w:val="00DC69F4"/>
    <w:rsid w:val="00DC7434"/>
    <w:rsid w:val="00DD002C"/>
    <w:rsid w:val="00DD00D7"/>
    <w:rsid w:val="00DD120A"/>
    <w:rsid w:val="00DD1B28"/>
    <w:rsid w:val="00DD2707"/>
    <w:rsid w:val="00DD550D"/>
    <w:rsid w:val="00DD5805"/>
    <w:rsid w:val="00DD5CD5"/>
    <w:rsid w:val="00DD5E61"/>
    <w:rsid w:val="00DD62EE"/>
    <w:rsid w:val="00DD6F9D"/>
    <w:rsid w:val="00DD7029"/>
    <w:rsid w:val="00DD72DF"/>
    <w:rsid w:val="00DD748B"/>
    <w:rsid w:val="00DD7BE2"/>
    <w:rsid w:val="00DE0684"/>
    <w:rsid w:val="00DE0CEB"/>
    <w:rsid w:val="00DE1508"/>
    <w:rsid w:val="00DE161D"/>
    <w:rsid w:val="00DE180D"/>
    <w:rsid w:val="00DE1C99"/>
    <w:rsid w:val="00DE23CC"/>
    <w:rsid w:val="00DE3A80"/>
    <w:rsid w:val="00DE5572"/>
    <w:rsid w:val="00DE55A4"/>
    <w:rsid w:val="00DE5BFB"/>
    <w:rsid w:val="00DE6B59"/>
    <w:rsid w:val="00DE6F9F"/>
    <w:rsid w:val="00DE7089"/>
    <w:rsid w:val="00DF08ED"/>
    <w:rsid w:val="00DF08FA"/>
    <w:rsid w:val="00DF1453"/>
    <w:rsid w:val="00DF2184"/>
    <w:rsid w:val="00DF296E"/>
    <w:rsid w:val="00DF30CE"/>
    <w:rsid w:val="00DF41A8"/>
    <w:rsid w:val="00DF61FD"/>
    <w:rsid w:val="00DF6EB9"/>
    <w:rsid w:val="00E00129"/>
    <w:rsid w:val="00E00483"/>
    <w:rsid w:val="00E00A19"/>
    <w:rsid w:val="00E01577"/>
    <w:rsid w:val="00E01B7F"/>
    <w:rsid w:val="00E022BD"/>
    <w:rsid w:val="00E0252C"/>
    <w:rsid w:val="00E02629"/>
    <w:rsid w:val="00E02B04"/>
    <w:rsid w:val="00E03348"/>
    <w:rsid w:val="00E040F0"/>
    <w:rsid w:val="00E04227"/>
    <w:rsid w:val="00E0436C"/>
    <w:rsid w:val="00E04482"/>
    <w:rsid w:val="00E04B18"/>
    <w:rsid w:val="00E05C53"/>
    <w:rsid w:val="00E05E16"/>
    <w:rsid w:val="00E063EE"/>
    <w:rsid w:val="00E1149D"/>
    <w:rsid w:val="00E11D3B"/>
    <w:rsid w:val="00E12F84"/>
    <w:rsid w:val="00E13691"/>
    <w:rsid w:val="00E138FD"/>
    <w:rsid w:val="00E13A39"/>
    <w:rsid w:val="00E13D03"/>
    <w:rsid w:val="00E1422D"/>
    <w:rsid w:val="00E1543B"/>
    <w:rsid w:val="00E15AE3"/>
    <w:rsid w:val="00E161CD"/>
    <w:rsid w:val="00E1678F"/>
    <w:rsid w:val="00E17272"/>
    <w:rsid w:val="00E206EE"/>
    <w:rsid w:val="00E20A46"/>
    <w:rsid w:val="00E20CE4"/>
    <w:rsid w:val="00E20E3C"/>
    <w:rsid w:val="00E21930"/>
    <w:rsid w:val="00E21F88"/>
    <w:rsid w:val="00E22596"/>
    <w:rsid w:val="00E22CC0"/>
    <w:rsid w:val="00E23603"/>
    <w:rsid w:val="00E23B6D"/>
    <w:rsid w:val="00E23D35"/>
    <w:rsid w:val="00E24BD1"/>
    <w:rsid w:val="00E25047"/>
    <w:rsid w:val="00E25775"/>
    <w:rsid w:val="00E25855"/>
    <w:rsid w:val="00E26441"/>
    <w:rsid w:val="00E2644D"/>
    <w:rsid w:val="00E2659A"/>
    <w:rsid w:val="00E2663B"/>
    <w:rsid w:val="00E2713C"/>
    <w:rsid w:val="00E2726D"/>
    <w:rsid w:val="00E2763D"/>
    <w:rsid w:val="00E27972"/>
    <w:rsid w:val="00E30AB1"/>
    <w:rsid w:val="00E31F41"/>
    <w:rsid w:val="00E3232B"/>
    <w:rsid w:val="00E32395"/>
    <w:rsid w:val="00E3360E"/>
    <w:rsid w:val="00E33AD4"/>
    <w:rsid w:val="00E33E39"/>
    <w:rsid w:val="00E374F6"/>
    <w:rsid w:val="00E404BC"/>
    <w:rsid w:val="00E40A83"/>
    <w:rsid w:val="00E40E16"/>
    <w:rsid w:val="00E417B0"/>
    <w:rsid w:val="00E427EA"/>
    <w:rsid w:val="00E44CF4"/>
    <w:rsid w:val="00E455ED"/>
    <w:rsid w:val="00E45E54"/>
    <w:rsid w:val="00E46677"/>
    <w:rsid w:val="00E46ADB"/>
    <w:rsid w:val="00E47041"/>
    <w:rsid w:val="00E474A7"/>
    <w:rsid w:val="00E47A5E"/>
    <w:rsid w:val="00E47F53"/>
    <w:rsid w:val="00E47F92"/>
    <w:rsid w:val="00E51375"/>
    <w:rsid w:val="00E51E8B"/>
    <w:rsid w:val="00E52F80"/>
    <w:rsid w:val="00E533F4"/>
    <w:rsid w:val="00E545EB"/>
    <w:rsid w:val="00E55063"/>
    <w:rsid w:val="00E55676"/>
    <w:rsid w:val="00E56C48"/>
    <w:rsid w:val="00E56C5A"/>
    <w:rsid w:val="00E60250"/>
    <w:rsid w:val="00E602CC"/>
    <w:rsid w:val="00E6080B"/>
    <w:rsid w:val="00E62F10"/>
    <w:rsid w:val="00E63AAA"/>
    <w:rsid w:val="00E6423A"/>
    <w:rsid w:val="00E650D9"/>
    <w:rsid w:val="00E657BE"/>
    <w:rsid w:val="00E661D9"/>
    <w:rsid w:val="00E66563"/>
    <w:rsid w:val="00E6734D"/>
    <w:rsid w:val="00E708DE"/>
    <w:rsid w:val="00E7112E"/>
    <w:rsid w:val="00E73C5F"/>
    <w:rsid w:val="00E7603F"/>
    <w:rsid w:val="00E762E1"/>
    <w:rsid w:val="00E77204"/>
    <w:rsid w:val="00E77639"/>
    <w:rsid w:val="00E77E3E"/>
    <w:rsid w:val="00E77FC5"/>
    <w:rsid w:val="00E803D9"/>
    <w:rsid w:val="00E80943"/>
    <w:rsid w:val="00E8140F"/>
    <w:rsid w:val="00E83788"/>
    <w:rsid w:val="00E842DD"/>
    <w:rsid w:val="00E858F2"/>
    <w:rsid w:val="00E85BDA"/>
    <w:rsid w:val="00E86487"/>
    <w:rsid w:val="00E86703"/>
    <w:rsid w:val="00E86B08"/>
    <w:rsid w:val="00E86D85"/>
    <w:rsid w:val="00E86DC7"/>
    <w:rsid w:val="00E90490"/>
    <w:rsid w:val="00E90E21"/>
    <w:rsid w:val="00E91F98"/>
    <w:rsid w:val="00E921ED"/>
    <w:rsid w:val="00E92428"/>
    <w:rsid w:val="00E92F23"/>
    <w:rsid w:val="00E92F85"/>
    <w:rsid w:val="00E9398B"/>
    <w:rsid w:val="00E939F8"/>
    <w:rsid w:val="00E94042"/>
    <w:rsid w:val="00E9427D"/>
    <w:rsid w:val="00E942EB"/>
    <w:rsid w:val="00E943D1"/>
    <w:rsid w:val="00E95765"/>
    <w:rsid w:val="00E96C82"/>
    <w:rsid w:val="00E9751C"/>
    <w:rsid w:val="00E97B1D"/>
    <w:rsid w:val="00EA02C9"/>
    <w:rsid w:val="00EA1042"/>
    <w:rsid w:val="00EA207B"/>
    <w:rsid w:val="00EA59A6"/>
    <w:rsid w:val="00EA5CCE"/>
    <w:rsid w:val="00EA5DF9"/>
    <w:rsid w:val="00EA68CC"/>
    <w:rsid w:val="00EA7EE5"/>
    <w:rsid w:val="00EB0048"/>
    <w:rsid w:val="00EB0856"/>
    <w:rsid w:val="00EB091E"/>
    <w:rsid w:val="00EB1392"/>
    <w:rsid w:val="00EB26F9"/>
    <w:rsid w:val="00EB2D59"/>
    <w:rsid w:val="00EB3993"/>
    <w:rsid w:val="00EB3B13"/>
    <w:rsid w:val="00EB3EFC"/>
    <w:rsid w:val="00EB47C0"/>
    <w:rsid w:val="00EB61B6"/>
    <w:rsid w:val="00EB64B4"/>
    <w:rsid w:val="00EB7C2A"/>
    <w:rsid w:val="00EB7EFA"/>
    <w:rsid w:val="00EC10C8"/>
    <w:rsid w:val="00EC118A"/>
    <w:rsid w:val="00EC11A3"/>
    <w:rsid w:val="00EC171C"/>
    <w:rsid w:val="00EC1C12"/>
    <w:rsid w:val="00EC2671"/>
    <w:rsid w:val="00EC2BF8"/>
    <w:rsid w:val="00EC36F7"/>
    <w:rsid w:val="00EC4900"/>
    <w:rsid w:val="00EC4C39"/>
    <w:rsid w:val="00EC564A"/>
    <w:rsid w:val="00EC5956"/>
    <w:rsid w:val="00EC6324"/>
    <w:rsid w:val="00EC6A3D"/>
    <w:rsid w:val="00EC6C9E"/>
    <w:rsid w:val="00EC6CBB"/>
    <w:rsid w:val="00EC6E90"/>
    <w:rsid w:val="00EC7793"/>
    <w:rsid w:val="00ED1068"/>
    <w:rsid w:val="00ED1530"/>
    <w:rsid w:val="00ED2209"/>
    <w:rsid w:val="00ED3B45"/>
    <w:rsid w:val="00ED54E6"/>
    <w:rsid w:val="00ED63BE"/>
    <w:rsid w:val="00ED63E8"/>
    <w:rsid w:val="00ED67C0"/>
    <w:rsid w:val="00ED7C5D"/>
    <w:rsid w:val="00ED7CA6"/>
    <w:rsid w:val="00EE051C"/>
    <w:rsid w:val="00EE1459"/>
    <w:rsid w:val="00EE1BD2"/>
    <w:rsid w:val="00EE221C"/>
    <w:rsid w:val="00EE31B3"/>
    <w:rsid w:val="00EE34EF"/>
    <w:rsid w:val="00EE3BD0"/>
    <w:rsid w:val="00EE3EBA"/>
    <w:rsid w:val="00EE4A18"/>
    <w:rsid w:val="00EE5981"/>
    <w:rsid w:val="00EE69E1"/>
    <w:rsid w:val="00EE6F3B"/>
    <w:rsid w:val="00EE6F3D"/>
    <w:rsid w:val="00EE73BB"/>
    <w:rsid w:val="00EE7D45"/>
    <w:rsid w:val="00EE7ECD"/>
    <w:rsid w:val="00EF1E3E"/>
    <w:rsid w:val="00EF1FEE"/>
    <w:rsid w:val="00EF2729"/>
    <w:rsid w:val="00EF3DDC"/>
    <w:rsid w:val="00EF3F67"/>
    <w:rsid w:val="00EF4BC0"/>
    <w:rsid w:val="00EF4E95"/>
    <w:rsid w:val="00EF509A"/>
    <w:rsid w:val="00EF590A"/>
    <w:rsid w:val="00EF6219"/>
    <w:rsid w:val="00EF67AF"/>
    <w:rsid w:val="00EF77FC"/>
    <w:rsid w:val="00EF780F"/>
    <w:rsid w:val="00F009FE"/>
    <w:rsid w:val="00F00A98"/>
    <w:rsid w:val="00F00EF7"/>
    <w:rsid w:val="00F01A7E"/>
    <w:rsid w:val="00F025D8"/>
    <w:rsid w:val="00F02B0E"/>
    <w:rsid w:val="00F04636"/>
    <w:rsid w:val="00F04BA4"/>
    <w:rsid w:val="00F04C73"/>
    <w:rsid w:val="00F05F72"/>
    <w:rsid w:val="00F06E14"/>
    <w:rsid w:val="00F1065C"/>
    <w:rsid w:val="00F11519"/>
    <w:rsid w:val="00F11B9C"/>
    <w:rsid w:val="00F1247F"/>
    <w:rsid w:val="00F1264B"/>
    <w:rsid w:val="00F12CD9"/>
    <w:rsid w:val="00F13DE8"/>
    <w:rsid w:val="00F1445F"/>
    <w:rsid w:val="00F151D5"/>
    <w:rsid w:val="00F15D39"/>
    <w:rsid w:val="00F16349"/>
    <w:rsid w:val="00F16DE4"/>
    <w:rsid w:val="00F16FF5"/>
    <w:rsid w:val="00F17212"/>
    <w:rsid w:val="00F172F3"/>
    <w:rsid w:val="00F175D8"/>
    <w:rsid w:val="00F17A7F"/>
    <w:rsid w:val="00F206B2"/>
    <w:rsid w:val="00F20ECB"/>
    <w:rsid w:val="00F21C01"/>
    <w:rsid w:val="00F21F97"/>
    <w:rsid w:val="00F2212B"/>
    <w:rsid w:val="00F22B0F"/>
    <w:rsid w:val="00F23318"/>
    <w:rsid w:val="00F23E21"/>
    <w:rsid w:val="00F2418F"/>
    <w:rsid w:val="00F242DE"/>
    <w:rsid w:val="00F277A4"/>
    <w:rsid w:val="00F31E7B"/>
    <w:rsid w:val="00F31EC3"/>
    <w:rsid w:val="00F328F5"/>
    <w:rsid w:val="00F32F85"/>
    <w:rsid w:val="00F333BF"/>
    <w:rsid w:val="00F33B67"/>
    <w:rsid w:val="00F34546"/>
    <w:rsid w:val="00F34577"/>
    <w:rsid w:val="00F347CF"/>
    <w:rsid w:val="00F35252"/>
    <w:rsid w:val="00F355AB"/>
    <w:rsid w:val="00F35918"/>
    <w:rsid w:val="00F369D0"/>
    <w:rsid w:val="00F36DE1"/>
    <w:rsid w:val="00F40060"/>
    <w:rsid w:val="00F40350"/>
    <w:rsid w:val="00F40891"/>
    <w:rsid w:val="00F40FF7"/>
    <w:rsid w:val="00F41790"/>
    <w:rsid w:val="00F41E67"/>
    <w:rsid w:val="00F4208F"/>
    <w:rsid w:val="00F426BA"/>
    <w:rsid w:val="00F42CA7"/>
    <w:rsid w:val="00F42F92"/>
    <w:rsid w:val="00F4302D"/>
    <w:rsid w:val="00F444C7"/>
    <w:rsid w:val="00F44A0D"/>
    <w:rsid w:val="00F44E36"/>
    <w:rsid w:val="00F46080"/>
    <w:rsid w:val="00F46742"/>
    <w:rsid w:val="00F470BA"/>
    <w:rsid w:val="00F470F0"/>
    <w:rsid w:val="00F4710C"/>
    <w:rsid w:val="00F477E7"/>
    <w:rsid w:val="00F47E39"/>
    <w:rsid w:val="00F47EF3"/>
    <w:rsid w:val="00F50122"/>
    <w:rsid w:val="00F5063E"/>
    <w:rsid w:val="00F510B3"/>
    <w:rsid w:val="00F51849"/>
    <w:rsid w:val="00F529F9"/>
    <w:rsid w:val="00F53435"/>
    <w:rsid w:val="00F54526"/>
    <w:rsid w:val="00F54B21"/>
    <w:rsid w:val="00F54D2C"/>
    <w:rsid w:val="00F55A41"/>
    <w:rsid w:val="00F6010D"/>
    <w:rsid w:val="00F6075E"/>
    <w:rsid w:val="00F609FA"/>
    <w:rsid w:val="00F60CB7"/>
    <w:rsid w:val="00F611CD"/>
    <w:rsid w:val="00F61597"/>
    <w:rsid w:val="00F6171A"/>
    <w:rsid w:val="00F6239D"/>
    <w:rsid w:val="00F62B9F"/>
    <w:rsid w:val="00F62E5F"/>
    <w:rsid w:val="00F639FE"/>
    <w:rsid w:val="00F63FD9"/>
    <w:rsid w:val="00F6495F"/>
    <w:rsid w:val="00F655F6"/>
    <w:rsid w:val="00F66FC3"/>
    <w:rsid w:val="00F676C3"/>
    <w:rsid w:val="00F67CB6"/>
    <w:rsid w:val="00F712E2"/>
    <w:rsid w:val="00F7174D"/>
    <w:rsid w:val="00F71B57"/>
    <w:rsid w:val="00F72152"/>
    <w:rsid w:val="00F72820"/>
    <w:rsid w:val="00F74427"/>
    <w:rsid w:val="00F76640"/>
    <w:rsid w:val="00F82F99"/>
    <w:rsid w:val="00F83022"/>
    <w:rsid w:val="00F8307A"/>
    <w:rsid w:val="00F83667"/>
    <w:rsid w:val="00F8562F"/>
    <w:rsid w:val="00F86333"/>
    <w:rsid w:val="00F87711"/>
    <w:rsid w:val="00F87769"/>
    <w:rsid w:val="00F906FB"/>
    <w:rsid w:val="00F909D4"/>
    <w:rsid w:val="00F9149A"/>
    <w:rsid w:val="00F91583"/>
    <w:rsid w:val="00F920F0"/>
    <w:rsid w:val="00F95312"/>
    <w:rsid w:val="00F954CF"/>
    <w:rsid w:val="00F9606B"/>
    <w:rsid w:val="00F96B03"/>
    <w:rsid w:val="00FA06FA"/>
    <w:rsid w:val="00FA0715"/>
    <w:rsid w:val="00FA092B"/>
    <w:rsid w:val="00FA1624"/>
    <w:rsid w:val="00FA18E7"/>
    <w:rsid w:val="00FA1A76"/>
    <w:rsid w:val="00FA1AA7"/>
    <w:rsid w:val="00FA1AEE"/>
    <w:rsid w:val="00FA1FD4"/>
    <w:rsid w:val="00FA2574"/>
    <w:rsid w:val="00FA2B3A"/>
    <w:rsid w:val="00FA3194"/>
    <w:rsid w:val="00FA3F78"/>
    <w:rsid w:val="00FA601B"/>
    <w:rsid w:val="00FA65A6"/>
    <w:rsid w:val="00FA72C0"/>
    <w:rsid w:val="00FA795F"/>
    <w:rsid w:val="00FB097C"/>
    <w:rsid w:val="00FB1205"/>
    <w:rsid w:val="00FB1BD1"/>
    <w:rsid w:val="00FB1FEE"/>
    <w:rsid w:val="00FB2BD8"/>
    <w:rsid w:val="00FB2E12"/>
    <w:rsid w:val="00FB2EF6"/>
    <w:rsid w:val="00FB3011"/>
    <w:rsid w:val="00FB338A"/>
    <w:rsid w:val="00FB3D26"/>
    <w:rsid w:val="00FB3ED4"/>
    <w:rsid w:val="00FB4503"/>
    <w:rsid w:val="00FB5E2B"/>
    <w:rsid w:val="00FB6565"/>
    <w:rsid w:val="00FB6F47"/>
    <w:rsid w:val="00FC059E"/>
    <w:rsid w:val="00FC12B6"/>
    <w:rsid w:val="00FC4234"/>
    <w:rsid w:val="00FC46B7"/>
    <w:rsid w:val="00FC4D0E"/>
    <w:rsid w:val="00FC500A"/>
    <w:rsid w:val="00FC560A"/>
    <w:rsid w:val="00FC71FA"/>
    <w:rsid w:val="00FC7A74"/>
    <w:rsid w:val="00FC7AF4"/>
    <w:rsid w:val="00FD11F5"/>
    <w:rsid w:val="00FD165E"/>
    <w:rsid w:val="00FD1BE8"/>
    <w:rsid w:val="00FD2011"/>
    <w:rsid w:val="00FD2F55"/>
    <w:rsid w:val="00FD38F4"/>
    <w:rsid w:val="00FD4B59"/>
    <w:rsid w:val="00FD612F"/>
    <w:rsid w:val="00FD655A"/>
    <w:rsid w:val="00FD7643"/>
    <w:rsid w:val="00FD796C"/>
    <w:rsid w:val="00FD7F8E"/>
    <w:rsid w:val="00FE0647"/>
    <w:rsid w:val="00FE08F5"/>
    <w:rsid w:val="00FE1038"/>
    <w:rsid w:val="00FE4559"/>
    <w:rsid w:val="00FE4B6C"/>
    <w:rsid w:val="00FE4E08"/>
    <w:rsid w:val="00FE6894"/>
    <w:rsid w:val="00FE6C36"/>
    <w:rsid w:val="00FE6D21"/>
    <w:rsid w:val="00FE6E36"/>
    <w:rsid w:val="00FE79D5"/>
    <w:rsid w:val="00FF0C0F"/>
    <w:rsid w:val="00FF0D50"/>
    <w:rsid w:val="00FF0F07"/>
    <w:rsid w:val="00FF176D"/>
    <w:rsid w:val="00FF25CC"/>
    <w:rsid w:val="00FF3375"/>
    <w:rsid w:val="00FF5782"/>
    <w:rsid w:val="00FF5865"/>
    <w:rsid w:val="00FF5DC5"/>
    <w:rsid w:val="01001ACA"/>
    <w:rsid w:val="0101DD3F"/>
    <w:rsid w:val="011CF855"/>
    <w:rsid w:val="018A0098"/>
    <w:rsid w:val="01A5D18B"/>
    <w:rsid w:val="01BDD27C"/>
    <w:rsid w:val="021425FE"/>
    <w:rsid w:val="022BF3B4"/>
    <w:rsid w:val="026723FC"/>
    <w:rsid w:val="02895A26"/>
    <w:rsid w:val="02AE9CF3"/>
    <w:rsid w:val="02B4B622"/>
    <w:rsid w:val="0326CCAB"/>
    <w:rsid w:val="0335AC9F"/>
    <w:rsid w:val="034773FA"/>
    <w:rsid w:val="0372F5F9"/>
    <w:rsid w:val="03C8170A"/>
    <w:rsid w:val="03CAD574"/>
    <w:rsid w:val="03FCC1C5"/>
    <w:rsid w:val="03FF5A51"/>
    <w:rsid w:val="04192C05"/>
    <w:rsid w:val="041DFCB2"/>
    <w:rsid w:val="046538F8"/>
    <w:rsid w:val="047444A3"/>
    <w:rsid w:val="0493F1D5"/>
    <w:rsid w:val="04B7CB46"/>
    <w:rsid w:val="04C77F0F"/>
    <w:rsid w:val="04D355B4"/>
    <w:rsid w:val="0524E942"/>
    <w:rsid w:val="052F47BD"/>
    <w:rsid w:val="05358506"/>
    <w:rsid w:val="0536E3CA"/>
    <w:rsid w:val="053DFE71"/>
    <w:rsid w:val="056C2089"/>
    <w:rsid w:val="06121D5C"/>
    <w:rsid w:val="0621591E"/>
    <w:rsid w:val="06262353"/>
    <w:rsid w:val="06398ACE"/>
    <w:rsid w:val="069E0989"/>
    <w:rsid w:val="06AFDCF8"/>
    <w:rsid w:val="06E03C5C"/>
    <w:rsid w:val="07111461"/>
    <w:rsid w:val="0714325A"/>
    <w:rsid w:val="0727B6A5"/>
    <w:rsid w:val="0737817B"/>
    <w:rsid w:val="073F17A1"/>
    <w:rsid w:val="075B4DDD"/>
    <w:rsid w:val="07AFBFB6"/>
    <w:rsid w:val="07ED21CB"/>
    <w:rsid w:val="07F90A65"/>
    <w:rsid w:val="080BC20E"/>
    <w:rsid w:val="0828144E"/>
    <w:rsid w:val="083E13CF"/>
    <w:rsid w:val="08422B1C"/>
    <w:rsid w:val="084C8795"/>
    <w:rsid w:val="087F7964"/>
    <w:rsid w:val="0891B9CF"/>
    <w:rsid w:val="0934C6BF"/>
    <w:rsid w:val="0946958B"/>
    <w:rsid w:val="0948AF87"/>
    <w:rsid w:val="096DB504"/>
    <w:rsid w:val="097D6A46"/>
    <w:rsid w:val="0998F9F6"/>
    <w:rsid w:val="09B53380"/>
    <w:rsid w:val="09CFF9E2"/>
    <w:rsid w:val="0A06E265"/>
    <w:rsid w:val="0A167475"/>
    <w:rsid w:val="0A2B13E3"/>
    <w:rsid w:val="0A301071"/>
    <w:rsid w:val="0A4A3196"/>
    <w:rsid w:val="0A6DBF00"/>
    <w:rsid w:val="0AAABBF9"/>
    <w:rsid w:val="0AC4CE24"/>
    <w:rsid w:val="0ADEBBDC"/>
    <w:rsid w:val="0AE77445"/>
    <w:rsid w:val="0AF11543"/>
    <w:rsid w:val="0B663542"/>
    <w:rsid w:val="0B695B50"/>
    <w:rsid w:val="0BC3882A"/>
    <w:rsid w:val="0BCB8FF8"/>
    <w:rsid w:val="0BE620CF"/>
    <w:rsid w:val="0BF1D142"/>
    <w:rsid w:val="0BF931E8"/>
    <w:rsid w:val="0C05ED61"/>
    <w:rsid w:val="0C070A43"/>
    <w:rsid w:val="0C090066"/>
    <w:rsid w:val="0C1F5BA4"/>
    <w:rsid w:val="0C2FC8DB"/>
    <w:rsid w:val="0C3B1E4F"/>
    <w:rsid w:val="0C8D1CD5"/>
    <w:rsid w:val="0CA5788B"/>
    <w:rsid w:val="0CCEA0E5"/>
    <w:rsid w:val="0CD40703"/>
    <w:rsid w:val="0D0045CF"/>
    <w:rsid w:val="0D1D495F"/>
    <w:rsid w:val="0D1F841E"/>
    <w:rsid w:val="0D3F3328"/>
    <w:rsid w:val="0D4555CD"/>
    <w:rsid w:val="0D478FED"/>
    <w:rsid w:val="0D4E324A"/>
    <w:rsid w:val="0D52071B"/>
    <w:rsid w:val="0D541977"/>
    <w:rsid w:val="0D617287"/>
    <w:rsid w:val="0D724C35"/>
    <w:rsid w:val="0DBDF722"/>
    <w:rsid w:val="0DC4C66F"/>
    <w:rsid w:val="0DD2297D"/>
    <w:rsid w:val="0DD8DC56"/>
    <w:rsid w:val="0DEB2584"/>
    <w:rsid w:val="0DF1C3F1"/>
    <w:rsid w:val="0E0B49DB"/>
    <w:rsid w:val="0E3A14DF"/>
    <w:rsid w:val="0E485641"/>
    <w:rsid w:val="0E4E5A57"/>
    <w:rsid w:val="0E5EB17F"/>
    <w:rsid w:val="0E836867"/>
    <w:rsid w:val="0E93D8F5"/>
    <w:rsid w:val="0EA1796C"/>
    <w:rsid w:val="0ED9BD78"/>
    <w:rsid w:val="0F344CE6"/>
    <w:rsid w:val="0F47AF35"/>
    <w:rsid w:val="0F4ACEED"/>
    <w:rsid w:val="0F564038"/>
    <w:rsid w:val="0F5704A0"/>
    <w:rsid w:val="0F63CC19"/>
    <w:rsid w:val="0F6AF1B4"/>
    <w:rsid w:val="0F7EF842"/>
    <w:rsid w:val="0F9FF79E"/>
    <w:rsid w:val="0FAAA250"/>
    <w:rsid w:val="0FC4D1EA"/>
    <w:rsid w:val="0FD1BCDB"/>
    <w:rsid w:val="0FF8EB4C"/>
    <w:rsid w:val="1006A5E1"/>
    <w:rsid w:val="10258B41"/>
    <w:rsid w:val="106C7EE7"/>
    <w:rsid w:val="1089B208"/>
    <w:rsid w:val="10B84F21"/>
    <w:rsid w:val="10D69367"/>
    <w:rsid w:val="10E4ED52"/>
    <w:rsid w:val="10F66EC7"/>
    <w:rsid w:val="10F93E01"/>
    <w:rsid w:val="11269794"/>
    <w:rsid w:val="115372BE"/>
    <w:rsid w:val="1154FD52"/>
    <w:rsid w:val="11655355"/>
    <w:rsid w:val="11779746"/>
    <w:rsid w:val="11CA35DA"/>
    <w:rsid w:val="11D11610"/>
    <w:rsid w:val="11F71280"/>
    <w:rsid w:val="121FCFE5"/>
    <w:rsid w:val="12492F84"/>
    <w:rsid w:val="1267124A"/>
    <w:rsid w:val="126B593E"/>
    <w:rsid w:val="126FE525"/>
    <w:rsid w:val="1273DCD4"/>
    <w:rsid w:val="12853887"/>
    <w:rsid w:val="128F9947"/>
    <w:rsid w:val="13050B02"/>
    <w:rsid w:val="133249E0"/>
    <w:rsid w:val="133C9A83"/>
    <w:rsid w:val="137DEF72"/>
    <w:rsid w:val="13921993"/>
    <w:rsid w:val="13B83237"/>
    <w:rsid w:val="13D46CBC"/>
    <w:rsid w:val="13ED061E"/>
    <w:rsid w:val="13FBE5F6"/>
    <w:rsid w:val="1402AE77"/>
    <w:rsid w:val="1406CC0F"/>
    <w:rsid w:val="1407A864"/>
    <w:rsid w:val="144869F8"/>
    <w:rsid w:val="1466EF2A"/>
    <w:rsid w:val="14681D21"/>
    <w:rsid w:val="14BE7301"/>
    <w:rsid w:val="14D3027C"/>
    <w:rsid w:val="14DC73E9"/>
    <w:rsid w:val="14EB6671"/>
    <w:rsid w:val="1521B70F"/>
    <w:rsid w:val="1586158D"/>
    <w:rsid w:val="15B19EBF"/>
    <w:rsid w:val="15CAA4F1"/>
    <w:rsid w:val="15EE0C0D"/>
    <w:rsid w:val="1603C2C4"/>
    <w:rsid w:val="163477D2"/>
    <w:rsid w:val="16434614"/>
    <w:rsid w:val="168EE6A7"/>
    <w:rsid w:val="16A70752"/>
    <w:rsid w:val="16AE2D73"/>
    <w:rsid w:val="16AEFA44"/>
    <w:rsid w:val="16C75E66"/>
    <w:rsid w:val="17082877"/>
    <w:rsid w:val="1736EC61"/>
    <w:rsid w:val="176AAC96"/>
    <w:rsid w:val="176FAEC2"/>
    <w:rsid w:val="179864B1"/>
    <w:rsid w:val="17B2A85B"/>
    <w:rsid w:val="17D44B43"/>
    <w:rsid w:val="17F00F83"/>
    <w:rsid w:val="1826949D"/>
    <w:rsid w:val="1836FC95"/>
    <w:rsid w:val="184AC5BF"/>
    <w:rsid w:val="18C253CF"/>
    <w:rsid w:val="18E6AB95"/>
    <w:rsid w:val="18F405B4"/>
    <w:rsid w:val="190AD44E"/>
    <w:rsid w:val="191F4848"/>
    <w:rsid w:val="193BB99F"/>
    <w:rsid w:val="195438E9"/>
    <w:rsid w:val="1994A6AB"/>
    <w:rsid w:val="1995445B"/>
    <w:rsid w:val="19985343"/>
    <w:rsid w:val="19A8B939"/>
    <w:rsid w:val="19CFB376"/>
    <w:rsid w:val="19E00DF2"/>
    <w:rsid w:val="19F9FC06"/>
    <w:rsid w:val="1A03312A"/>
    <w:rsid w:val="1A2AC524"/>
    <w:rsid w:val="1A36F1E5"/>
    <w:rsid w:val="1A6F6A9A"/>
    <w:rsid w:val="1A700DB3"/>
    <w:rsid w:val="1AD770B1"/>
    <w:rsid w:val="1ADF7EFA"/>
    <w:rsid w:val="1AED022C"/>
    <w:rsid w:val="1B077758"/>
    <w:rsid w:val="1B1064E8"/>
    <w:rsid w:val="1B11960C"/>
    <w:rsid w:val="1B1D175E"/>
    <w:rsid w:val="1B37407D"/>
    <w:rsid w:val="1B64A28D"/>
    <w:rsid w:val="1B6BE289"/>
    <w:rsid w:val="1B7DD975"/>
    <w:rsid w:val="1B932B6C"/>
    <w:rsid w:val="1BAE029E"/>
    <w:rsid w:val="1BC0B5CE"/>
    <w:rsid w:val="1BE0313E"/>
    <w:rsid w:val="1BE19FF5"/>
    <w:rsid w:val="1BF13B78"/>
    <w:rsid w:val="1C115686"/>
    <w:rsid w:val="1C2719F0"/>
    <w:rsid w:val="1C48497C"/>
    <w:rsid w:val="1C4EEC75"/>
    <w:rsid w:val="1C66462E"/>
    <w:rsid w:val="1C6B00F3"/>
    <w:rsid w:val="1C8C1700"/>
    <w:rsid w:val="1C90F202"/>
    <w:rsid w:val="1C9580F7"/>
    <w:rsid w:val="1C993922"/>
    <w:rsid w:val="1CFE141B"/>
    <w:rsid w:val="1D23A0AD"/>
    <w:rsid w:val="1D2C1E35"/>
    <w:rsid w:val="1D34A333"/>
    <w:rsid w:val="1D4C02CA"/>
    <w:rsid w:val="1D4CD2EF"/>
    <w:rsid w:val="1D627299"/>
    <w:rsid w:val="1DC159B7"/>
    <w:rsid w:val="1E1DC36B"/>
    <w:rsid w:val="1E952EB6"/>
    <w:rsid w:val="1E9879E7"/>
    <w:rsid w:val="1EB53FF2"/>
    <w:rsid w:val="1F2702E7"/>
    <w:rsid w:val="1F477F61"/>
    <w:rsid w:val="1FB5864E"/>
    <w:rsid w:val="1FB6B2E0"/>
    <w:rsid w:val="20190299"/>
    <w:rsid w:val="202A669F"/>
    <w:rsid w:val="202ED4EA"/>
    <w:rsid w:val="206220C8"/>
    <w:rsid w:val="2065B2EE"/>
    <w:rsid w:val="207263F9"/>
    <w:rsid w:val="2074C514"/>
    <w:rsid w:val="20769D71"/>
    <w:rsid w:val="2099344F"/>
    <w:rsid w:val="20DE102D"/>
    <w:rsid w:val="20EE8EAC"/>
    <w:rsid w:val="20FDAA07"/>
    <w:rsid w:val="2118ED80"/>
    <w:rsid w:val="211CAE28"/>
    <w:rsid w:val="2133A65E"/>
    <w:rsid w:val="215427EB"/>
    <w:rsid w:val="2166F9DC"/>
    <w:rsid w:val="2171D02C"/>
    <w:rsid w:val="2191E9EB"/>
    <w:rsid w:val="21931696"/>
    <w:rsid w:val="21BFFECF"/>
    <w:rsid w:val="21C592FF"/>
    <w:rsid w:val="21D00220"/>
    <w:rsid w:val="2203C2B1"/>
    <w:rsid w:val="2209B76B"/>
    <w:rsid w:val="221EEC0C"/>
    <w:rsid w:val="2237AB2D"/>
    <w:rsid w:val="223E3AA5"/>
    <w:rsid w:val="223EB0BB"/>
    <w:rsid w:val="223FC563"/>
    <w:rsid w:val="226C8520"/>
    <w:rsid w:val="227A242F"/>
    <w:rsid w:val="228F62F8"/>
    <w:rsid w:val="229CA3B1"/>
    <w:rsid w:val="23135704"/>
    <w:rsid w:val="23229365"/>
    <w:rsid w:val="2361CA65"/>
    <w:rsid w:val="2387356B"/>
    <w:rsid w:val="239AFC4B"/>
    <w:rsid w:val="23C03DDF"/>
    <w:rsid w:val="23C4ACB0"/>
    <w:rsid w:val="23CEDE68"/>
    <w:rsid w:val="23CF0E55"/>
    <w:rsid w:val="23D7C80D"/>
    <w:rsid w:val="23F4EB7E"/>
    <w:rsid w:val="23FBC2C7"/>
    <w:rsid w:val="24217D3F"/>
    <w:rsid w:val="2479F03F"/>
    <w:rsid w:val="2490498C"/>
    <w:rsid w:val="24B53ED3"/>
    <w:rsid w:val="253BAA92"/>
    <w:rsid w:val="2545812C"/>
    <w:rsid w:val="254B3492"/>
    <w:rsid w:val="254B6049"/>
    <w:rsid w:val="25796065"/>
    <w:rsid w:val="25A78877"/>
    <w:rsid w:val="25B56EAA"/>
    <w:rsid w:val="2613839C"/>
    <w:rsid w:val="26749219"/>
    <w:rsid w:val="268A1910"/>
    <w:rsid w:val="269F36E7"/>
    <w:rsid w:val="26ADCA61"/>
    <w:rsid w:val="26BC208B"/>
    <w:rsid w:val="26BC450F"/>
    <w:rsid w:val="26D21128"/>
    <w:rsid w:val="26EF7CAD"/>
    <w:rsid w:val="270D116A"/>
    <w:rsid w:val="272554F3"/>
    <w:rsid w:val="2729A939"/>
    <w:rsid w:val="274496C0"/>
    <w:rsid w:val="275982A8"/>
    <w:rsid w:val="2759D464"/>
    <w:rsid w:val="2774175E"/>
    <w:rsid w:val="27869B94"/>
    <w:rsid w:val="27931667"/>
    <w:rsid w:val="27AC4EE1"/>
    <w:rsid w:val="27C1AA3A"/>
    <w:rsid w:val="27C42408"/>
    <w:rsid w:val="27C94CA9"/>
    <w:rsid w:val="27CB31A0"/>
    <w:rsid w:val="27CB6A23"/>
    <w:rsid w:val="27F90C13"/>
    <w:rsid w:val="283F4A1F"/>
    <w:rsid w:val="285B3408"/>
    <w:rsid w:val="2863218E"/>
    <w:rsid w:val="2894E26B"/>
    <w:rsid w:val="2899C210"/>
    <w:rsid w:val="28D3ADC3"/>
    <w:rsid w:val="28E0CBC8"/>
    <w:rsid w:val="291798E3"/>
    <w:rsid w:val="291E6AA7"/>
    <w:rsid w:val="297F25EC"/>
    <w:rsid w:val="29A64186"/>
    <w:rsid w:val="29B42991"/>
    <w:rsid w:val="29DDAC51"/>
    <w:rsid w:val="29DF3AD5"/>
    <w:rsid w:val="29ECCD31"/>
    <w:rsid w:val="2A0D6A3F"/>
    <w:rsid w:val="2A10C8FA"/>
    <w:rsid w:val="2A1BFEAF"/>
    <w:rsid w:val="2A1E18D5"/>
    <w:rsid w:val="2A3AE4C7"/>
    <w:rsid w:val="2AE7828F"/>
    <w:rsid w:val="2AEEDE52"/>
    <w:rsid w:val="2AEF1B1C"/>
    <w:rsid w:val="2AFB0614"/>
    <w:rsid w:val="2B02B65B"/>
    <w:rsid w:val="2B350A0D"/>
    <w:rsid w:val="2B3BC5E9"/>
    <w:rsid w:val="2B6D0738"/>
    <w:rsid w:val="2B93471F"/>
    <w:rsid w:val="2BA5AECB"/>
    <w:rsid w:val="2BAB1FC9"/>
    <w:rsid w:val="2BB07623"/>
    <w:rsid w:val="2BB4EAE9"/>
    <w:rsid w:val="2BBABB76"/>
    <w:rsid w:val="2BBBC8AD"/>
    <w:rsid w:val="2BDDF142"/>
    <w:rsid w:val="2C38E37F"/>
    <w:rsid w:val="2C537EB0"/>
    <w:rsid w:val="2C6AC11B"/>
    <w:rsid w:val="2C8B5F35"/>
    <w:rsid w:val="2CB01BBB"/>
    <w:rsid w:val="2CC76DE7"/>
    <w:rsid w:val="2CDF934B"/>
    <w:rsid w:val="2CFE7385"/>
    <w:rsid w:val="2D3B509A"/>
    <w:rsid w:val="2D404AFA"/>
    <w:rsid w:val="2D682D59"/>
    <w:rsid w:val="2D6C956C"/>
    <w:rsid w:val="2DA9A011"/>
    <w:rsid w:val="2DECB74B"/>
    <w:rsid w:val="2E0BF7B0"/>
    <w:rsid w:val="2E739FB4"/>
    <w:rsid w:val="2E7FBD21"/>
    <w:rsid w:val="2EAFE1D1"/>
    <w:rsid w:val="2EF3717F"/>
    <w:rsid w:val="2F0E7277"/>
    <w:rsid w:val="2F3558CE"/>
    <w:rsid w:val="2F47A5EF"/>
    <w:rsid w:val="2FDD4996"/>
    <w:rsid w:val="305C4C32"/>
    <w:rsid w:val="30612006"/>
    <w:rsid w:val="30616255"/>
    <w:rsid w:val="30644FCA"/>
    <w:rsid w:val="307F391B"/>
    <w:rsid w:val="30821848"/>
    <w:rsid w:val="3088AA45"/>
    <w:rsid w:val="30BB0915"/>
    <w:rsid w:val="30D91C91"/>
    <w:rsid w:val="30E420F6"/>
    <w:rsid w:val="310DC776"/>
    <w:rsid w:val="311EAFF7"/>
    <w:rsid w:val="3168B00E"/>
    <w:rsid w:val="317F96C4"/>
    <w:rsid w:val="3195437D"/>
    <w:rsid w:val="31BF3581"/>
    <w:rsid w:val="31E2AEA8"/>
    <w:rsid w:val="31FAEBFC"/>
    <w:rsid w:val="32178329"/>
    <w:rsid w:val="322298D6"/>
    <w:rsid w:val="324BD098"/>
    <w:rsid w:val="326229E5"/>
    <w:rsid w:val="326B078A"/>
    <w:rsid w:val="32990BDC"/>
    <w:rsid w:val="3299571D"/>
    <w:rsid w:val="32B27F1E"/>
    <w:rsid w:val="32B539A9"/>
    <w:rsid w:val="32DEAE3A"/>
    <w:rsid w:val="32FC9AFB"/>
    <w:rsid w:val="330EBABD"/>
    <w:rsid w:val="33425E65"/>
    <w:rsid w:val="33C5A402"/>
    <w:rsid w:val="33D1D53C"/>
    <w:rsid w:val="34409301"/>
    <w:rsid w:val="3460BCC4"/>
    <w:rsid w:val="3495DF27"/>
    <w:rsid w:val="34AF43C8"/>
    <w:rsid w:val="34DAB946"/>
    <w:rsid w:val="35535CC7"/>
    <w:rsid w:val="35566983"/>
    <w:rsid w:val="35677F7A"/>
    <w:rsid w:val="3581DDC3"/>
    <w:rsid w:val="358464E3"/>
    <w:rsid w:val="3594E755"/>
    <w:rsid w:val="35982AF9"/>
    <w:rsid w:val="35C60824"/>
    <w:rsid w:val="35D30CC3"/>
    <w:rsid w:val="35DC844F"/>
    <w:rsid w:val="362B2BD3"/>
    <w:rsid w:val="36359192"/>
    <w:rsid w:val="3635C9D2"/>
    <w:rsid w:val="36795468"/>
    <w:rsid w:val="367FAF60"/>
    <w:rsid w:val="368D1566"/>
    <w:rsid w:val="36B5028D"/>
    <w:rsid w:val="36B8312F"/>
    <w:rsid w:val="36BF91D5"/>
    <w:rsid w:val="36E07607"/>
    <w:rsid w:val="370315F0"/>
    <w:rsid w:val="376EAA53"/>
    <w:rsid w:val="37940648"/>
    <w:rsid w:val="37D9CE25"/>
    <w:rsid w:val="3805A85E"/>
    <w:rsid w:val="38177514"/>
    <w:rsid w:val="382382D1"/>
    <w:rsid w:val="38799A0C"/>
    <w:rsid w:val="38848BE2"/>
    <w:rsid w:val="38A7786F"/>
    <w:rsid w:val="38DDCA4B"/>
    <w:rsid w:val="38F15554"/>
    <w:rsid w:val="38FA6852"/>
    <w:rsid w:val="39025A62"/>
    <w:rsid w:val="390C94B0"/>
    <w:rsid w:val="390D23BC"/>
    <w:rsid w:val="3957E2FE"/>
    <w:rsid w:val="3978243E"/>
    <w:rsid w:val="39A5FF7A"/>
    <w:rsid w:val="39B72F8F"/>
    <w:rsid w:val="3A40D6B6"/>
    <w:rsid w:val="3A432F24"/>
    <w:rsid w:val="3A649704"/>
    <w:rsid w:val="3A885482"/>
    <w:rsid w:val="3AE6FC9F"/>
    <w:rsid w:val="3AFA0C10"/>
    <w:rsid w:val="3B0A4208"/>
    <w:rsid w:val="3B1546B0"/>
    <w:rsid w:val="3B4D4543"/>
    <w:rsid w:val="3B551B4F"/>
    <w:rsid w:val="3B7DF868"/>
    <w:rsid w:val="3B916F61"/>
    <w:rsid w:val="3B9B8EB4"/>
    <w:rsid w:val="3BDDC2D9"/>
    <w:rsid w:val="3BDEBB05"/>
    <w:rsid w:val="3BE635C9"/>
    <w:rsid w:val="3BE92DBD"/>
    <w:rsid w:val="3BEB61E8"/>
    <w:rsid w:val="3C0D74F1"/>
    <w:rsid w:val="3C0DF6F6"/>
    <w:rsid w:val="3C82B0B9"/>
    <w:rsid w:val="3C914447"/>
    <w:rsid w:val="3C996283"/>
    <w:rsid w:val="3CAC5FCF"/>
    <w:rsid w:val="3CB58DF2"/>
    <w:rsid w:val="3CC4E4C2"/>
    <w:rsid w:val="3CC5005F"/>
    <w:rsid w:val="3CC7136B"/>
    <w:rsid w:val="3CCAF291"/>
    <w:rsid w:val="3CCF48AF"/>
    <w:rsid w:val="3CD66E07"/>
    <w:rsid w:val="3D1B6563"/>
    <w:rsid w:val="3D20CB43"/>
    <w:rsid w:val="3D3300A4"/>
    <w:rsid w:val="3D35B5D6"/>
    <w:rsid w:val="3D35DC0B"/>
    <w:rsid w:val="3D43FE12"/>
    <w:rsid w:val="3D6C5796"/>
    <w:rsid w:val="3D7BE9A4"/>
    <w:rsid w:val="3DBEF9AB"/>
    <w:rsid w:val="3DD04868"/>
    <w:rsid w:val="3DD7C3C3"/>
    <w:rsid w:val="3DDF9599"/>
    <w:rsid w:val="3DDFD12A"/>
    <w:rsid w:val="3DE543E7"/>
    <w:rsid w:val="3E1B851D"/>
    <w:rsid w:val="3E231339"/>
    <w:rsid w:val="3E255AEE"/>
    <w:rsid w:val="3E2A4A86"/>
    <w:rsid w:val="3E31664D"/>
    <w:rsid w:val="3E373C91"/>
    <w:rsid w:val="3E88DC8F"/>
    <w:rsid w:val="3E8B87F5"/>
    <w:rsid w:val="3E9C8999"/>
    <w:rsid w:val="3F0E36E6"/>
    <w:rsid w:val="3F30639D"/>
    <w:rsid w:val="3F368DB3"/>
    <w:rsid w:val="3F550176"/>
    <w:rsid w:val="3F73F643"/>
    <w:rsid w:val="3F94DF74"/>
    <w:rsid w:val="3FA43F39"/>
    <w:rsid w:val="3FC4D94F"/>
    <w:rsid w:val="3FD486AB"/>
    <w:rsid w:val="3FDC94F4"/>
    <w:rsid w:val="4018B545"/>
    <w:rsid w:val="40283547"/>
    <w:rsid w:val="402A99A2"/>
    <w:rsid w:val="40307FFE"/>
    <w:rsid w:val="404C378B"/>
    <w:rsid w:val="405B2432"/>
    <w:rsid w:val="407FBD3B"/>
    <w:rsid w:val="40A84247"/>
    <w:rsid w:val="40B9F568"/>
    <w:rsid w:val="41030536"/>
    <w:rsid w:val="41432F28"/>
    <w:rsid w:val="41597465"/>
    <w:rsid w:val="41635134"/>
    <w:rsid w:val="416BDBA4"/>
    <w:rsid w:val="417997DF"/>
    <w:rsid w:val="41AB793C"/>
    <w:rsid w:val="41CA6A2F"/>
    <w:rsid w:val="41DAF346"/>
    <w:rsid w:val="4210A59A"/>
    <w:rsid w:val="4215B397"/>
    <w:rsid w:val="427EDEA0"/>
    <w:rsid w:val="42A15315"/>
    <w:rsid w:val="42CC4961"/>
    <w:rsid w:val="42E53ADE"/>
    <w:rsid w:val="42EC49E4"/>
    <w:rsid w:val="4334BA57"/>
    <w:rsid w:val="435CAABE"/>
    <w:rsid w:val="4361D4C2"/>
    <w:rsid w:val="437A3CD4"/>
    <w:rsid w:val="43946F98"/>
    <w:rsid w:val="43CAE665"/>
    <w:rsid w:val="4405EC72"/>
    <w:rsid w:val="440E2EEF"/>
    <w:rsid w:val="442F3413"/>
    <w:rsid w:val="44302634"/>
    <w:rsid w:val="443DDA1C"/>
    <w:rsid w:val="447064BC"/>
    <w:rsid w:val="4482EB53"/>
    <w:rsid w:val="4567E8DD"/>
    <w:rsid w:val="45887C78"/>
    <w:rsid w:val="458DBA1F"/>
    <w:rsid w:val="45DEC16C"/>
    <w:rsid w:val="45E9C5A7"/>
    <w:rsid w:val="45F185F5"/>
    <w:rsid w:val="46124C48"/>
    <w:rsid w:val="462E0CD8"/>
    <w:rsid w:val="462E71F1"/>
    <w:rsid w:val="464291BB"/>
    <w:rsid w:val="464F33CE"/>
    <w:rsid w:val="465E2A14"/>
    <w:rsid w:val="46672948"/>
    <w:rsid w:val="467F7941"/>
    <w:rsid w:val="467FBD25"/>
    <w:rsid w:val="4683B934"/>
    <w:rsid w:val="46E59C7C"/>
    <w:rsid w:val="46ED29A2"/>
    <w:rsid w:val="470B67F3"/>
    <w:rsid w:val="472E4545"/>
    <w:rsid w:val="474C18E1"/>
    <w:rsid w:val="478F00FA"/>
    <w:rsid w:val="47BCFA9B"/>
    <w:rsid w:val="47CF3974"/>
    <w:rsid w:val="47E1FBE2"/>
    <w:rsid w:val="48098D3B"/>
    <w:rsid w:val="481C1E83"/>
    <w:rsid w:val="48211D2C"/>
    <w:rsid w:val="4844776B"/>
    <w:rsid w:val="48B9000B"/>
    <w:rsid w:val="48B9EABB"/>
    <w:rsid w:val="48C68072"/>
    <w:rsid w:val="48ECE0BD"/>
    <w:rsid w:val="4910840C"/>
    <w:rsid w:val="49246ED6"/>
    <w:rsid w:val="49455566"/>
    <w:rsid w:val="494B5963"/>
    <w:rsid w:val="4955C693"/>
    <w:rsid w:val="496B3113"/>
    <w:rsid w:val="497A8697"/>
    <w:rsid w:val="49B93687"/>
    <w:rsid w:val="49C41702"/>
    <w:rsid w:val="49D5CAA9"/>
    <w:rsid w:val="49FCFD1E"/>
    <w:rsid w:val="4A02F0D1"/>
    <w:rsid w:val="4A06E742"/>
    <w:rsid w:val="4A0CA9B9"/>
    <w:rsid w:val="4A62F868"/>
    <w:rsid w:val="4A9D2882"/>
    <w:rsid w:val="4B0F2B68"/>
    <w:rsid w:val="4B240157"/>
    <w:rsid w:val="4B2CEE37"/>
    <w:rsid w:val="4B517763"/>
    <w:rsid w:val="4B654DB0"/>
    <w:rsid w:val="4B6F1E69"/>
    <w:rsid w:val="4B771575"/>
    <w:rsid w:val="4B81AC30"/>
    <w:rsid w:val="4B89A571"/>
    <w:rsid w:val="4B9EE4ED"/>
    <w:rsid w:val="4BC1450F"/>
    <w:rsid w:val="4BF3D495"/>
    <w:rsid w:val="4C22D803"/>
    <w:rsid w:val="4C36F207"/>
    <w:rsid w:val="4C437540"/>
    <w:rsid w:val="4C46BB13"/>
    <w:rsid w:val="4C780DAA"/>
    <w:rsid w:val="4C8F00CD"/>
    <w:rsid w:val="4CBB2710"/>
    <w:rsid w:val="4CBDCCF1"/>
    <w:rsid w:val="4D082730"/>
    <w:rsid w:val="4D17F9A1"/>
    <w:rsid w:val="4D343939"/>
    <w:rsid w:val="4D6631E6"/>
    <w:rsid w:val="4D81B117"/>
    <w:rsid w:val="4D866614"/>
    <w:rsid w:val="4DD0589B"/>
    <w:rsid w:val="4DD54595"/>
    <w:rsid w:val="4DDCB8E3"/>
    <w:rsid w:val="4DE547DA"/>
    <w:rsid w:val="4DE6BDAB"/>
    <w:rsid w:val="4DF61BAC"/>
    <w:rsid w:val="4E0CCAC1"/>
    <w:rsid w:val="4E1370CE"/>
    <w:rsid w:val="4E345960"/>
    <w:rsid w:val="4E3E293C"/>
    <w:rsid w:val="4E5073BC"/>
    <w:rsid w:val="4EC4A24D"/>
    <w:rsid w:val="4EE9B129"/>
    <w:rsid w:val="4EFD3E4D"/>
    <w:rsid w:val="4F1033F9"/>
    <w:rsid w:val="4F654262"/>
    <w:rsid w:val="4F6C8460"/>
    <w:rsid w:val="4F847144"/>
    <w:rsid w:val="4F857A99"/>
    <w:rsid w:val="4F859352"/>
    <w:rsid w:val="4F8B253D"/>
    <w:rsid w:val="500C3413"/>
    <w:rsid w:val="501FBFCF"/>
    <w:rsid w:val="507672E2"/>
    <w:rsid w:val="50894AC8"/>
    <w:rsid w:val="509199F8"/>
    <w:rsid w:val="50A90FFD"/>
    <w:rsid w:val="50BEBB3A"/>
    <w:rsid w:val="50D1FC6A"/>
    <w:rsid w:val="50E331D5"/>
    <w:rsid w:val="516ADEFF"/>
    <w:rsid w:val="516FCBF6"/>
    <w:rsid w:val="5189EBF9"/>
    <w:rsid w:val="51904966"/>
    <w:rsid w:val="51FD15D5"/>
    <w:rsid w:val="522504FE"/>
    <w:rsid w:val="522DAA63"/>
    <w:rsid w:val="523D91F0"/>
    <w:rsid w:val="52572D7F"/>
    <w:rsid w:val="52608461"/>
    <w:rsid w:val="52820EA9"/>
    <w:rsid w:val="5296137B"/>
    <w:rsid w:val="52C1DF29"/>
    <w:rsid w:val="52EBB678"/>
    <w:rsid w:val="52F63F3C"/>
    <w:rsid w:val="530B630B"/>
    <w:rsid w:val="5329E83D"/>
    <w:rsid w:val="5347B5A1"/>
    <w:rsid w:val="535BE66C"/>
    <w:rsid w:val="53624BEC"/>
    <w:rsid w:val="538F9C07"/>
    <w:rsid w:val="53BF8AC4"/>
    <w:rsid w:val="542DF9DB"/>
    <w:rsid w:val="542E9BEB"/>
    <w:rsid w:val="5464CB13"/>
    <w:rsid w:val="5470E381"/>
    <w:rsid w:val="54C31842"/>
    <w:rsid w:val="54CF0B8D"/>
    <w:rsid w:val="5537B12C"/>
    <w:rsid w:val="553EDAE4"/>
    <w:rsid w:val="55871362"/>
    <w:rsid w:val="55ABE2BA"/>
    <w:rsid w:val="55C3FDB3"/>
    <w:rsid w:val="55CD4CDC"/>
    <w:rsid w:val="560D4C7C"/>
    <w:rsid w:val="564959E2"/>
    <w:rsid w:val="56634D4C"/>
    <w:rsid w:val="567B7214"/>
    <w:rsid w:val="56A2CCDB"/>
    <w:rsid w:val="56C13BE2"/>
    <w:rsid w:val="56EA9682"/>
    <w:rsid w:val="575E11BE"/>
    <w:rsid w:val="576BEE4F"/>
    <w:rsid w:val="576C1871"/>
    <w:rsid w:val="57AE56D7"/>
    <w:rsid w:val="58093F45"/>
    <w:rsid w:val="58601CEA"/>
    <w:rsid w:val="58745E88"/>
    <w:rsid w:val="58B44110"/>
    <w:rsid w:val="58BBC279"/>
    <w:rsid w:val="58DDA95E"/>
    <w:rsid w:val="5902E1EF"/>
    <w:rsid w:val="590E707A"/>
    <w:rsid w:val="593D9D28"/>
    <w:rsid w:val="5952B9C6"/>
    <w:rsid w:val="5960412E"/>
    <w:rsid w:val="5971E108"/>
    <w:rsid w:val="59897ED1"/>
    <w:rsid w:val="59D1FCAF"/>
    <w:rsid w:val="59D9C877"/>
    <w:rsid w:val="5A1C915F"/>
    <w:rsid w:val="5A1F8658"/>
    <w:rsid w:val="5A2411A3"/>
    <w:rsid w:val="5A53F68C"/>
    <w:rsid w:val="5AEA016A"/>
    <w:rsid w:val="5AFBDF1A"/>
    <w:rsid w:val="5B1B3FA8"/>
    <w:rsid w:val="5B20D9E6"/>
    <w:rsid w:val="5B4365BF"/>
    <w:rsid w:val="5B43F29F"/>
    <w:rsid w:val="5B4D88EC"/>
    <w:rsid w:val="5B836803"/>
    <w:rsid w:val="5B9DB672"/>
    <w:rsid w:val="5BC3FBF2"/>
    <w:rsid w:val="5BD2EFF6"/>
    <w:rsid w:val="5BDA2DBE"/>
    <w:rsid w:val="5BE5BC49"/>
    <w:rsid w:val="5BF81123"/>
    <w:rsid w:val="5C1EF6F4"/>
    <w:rsid w:val="5C255F98"/>
    <w:rsid w:val="5C3574DE"/>
    <w:rsid w:val="5C458164"/>
    <w:rsid w:val="5C649612"/>
    <w:rsid w:val="5C847E81"/>
    <w:rsid w:val="5C9306C4"/>
    <w:rsid w:val="5CA78599"/>
    <w:rsid w:val="5CB45915"/>
    <w:rsid w:val="5CD3A11A"/>
    <w:rsid w:val="5CE6ED7E"/>
    <w:rsid w:val="5D1AF574"/>
    <w:rsid w:val="5D5285D7"/>
    <w:rsid w:val="5D6BC364"/>
    <w:rsid w:val="5D73E548"/>
    <w:rsid w:val="5D7B3C4C"/>
    <w:rsid w:val="5DA47B28"/>
    <w:rsid w:val="5DBFFCEC"/>
    <w:rsid w:val="5E0E2727"/>
    <w:rsid w:val="5E2069B0"/>
    <w:rsid w:val="5E329274"/>
    <w:rsid w:val="5E5BFC28"/>
    <w:rsid w:val="5E7B07A6"/>
    <w:rsid w:val="5E8BCDB9"/>
    <w:rsid w:val="5EAA8A46"/>
    <w:rsid w:val="5ED41314"/>
    <w:rsid w:val="5ED9E4AD"/>
    <w:rsid w:val="5EDC2561"/>
    <w:rsid w:val="5EEABAB3"/>
    <w:rsid w:val="5F08BAA5"/>
    <w:rsid w:val="5F1EF0A2"/>
    <w:rsid w:val="5F2CD933"/>
    <w:rsid w:val="5F43FF3B"/>
    <w:rsid w:val="5F4A3AEF"/>
    <w:rsid w:val="5F5C1AD0"/>
    <w:rsid w:val="5F77F985"/>
    <w:rsid w:val="5F94E9B8"/>
    <w:rsid w:val="5FCACA21"/>
    <w:rsid w:val="5FD70D0D"/>
    <w:rsid w:val="5FDD8922"/>
    <w:rsid w:val="5FE91AAA"/>
    <w:rsid w:val="6022C0FD"/>
    <w:rsid w:val="60265069"/>
    <w:rsid w:val="60325E58"/>
    <w:rsid w:val="60460713"/>
    <w:rsid w:val="6066E6A2"/>
    <w:rsid w:val="60A9D1B0"/>
    <w:rsid w:val="60CCB2B2"/>
    <w:rsid w:val="614456ED"/>
    <w:rsid w:val="614EA35A"/>
    <w:rsid w:val="6172E5EB"/>
    <w:rsid w:val="6172FF99"/>
    <w:rsid w:val="61B03CC9"/>
    <w:rsid w:val="6247C288"/>
    <w:rsid w:val="6253179D"/>
    <w:rsid w:val="62630D16"/>
    <w:rsid w:val="62726EB3"/>
    <w:rsid w:val="627C2CDD"/>
    <w:rsid w:val="62AA6645"/>
    <w:rsid w:val="62AF3D6D"/>
    <w:rsid w:val="62C2E129"/>
    <w:rsid w:val="633064E0"/>
    <w:rsid w:val="6333508E"/>
    <w:rsid w:val="63567DDD"/>
    <w:rsid w:val="638E01CB"/>
    <w:rsid w:val="63911C46"/>
    <w:rsid w:val="639400C9"/>
    <w:rsid w:val="6400A83F"/>
    <w:rsid w:val="6402D76B"/>
    <w:rsid w:val="64129ED4"/>
    <w:rsid w:val="642F9EFA"/>
    <w:rsid w:val="645DFF5D"/>
    <w:rsid w:val="6466F39A"/>
    <w:rsid w:val="646D5580"/>
    <w:rsid w:val="647C1D71"/>
    <w:rsid w:val="64D447D1"/>
    <w:rsid w:val="64FB89B3"/>
    <w:rsid w:val="65041C70"/>
    <w:rsid w:val="650DE344"/>
    <w:rsid w:val="65246094"/>
    <w:rsid w:val="6538F604"/>
    <w:rsid w:val="65632DDD"/>
    <w:rsid w:val="65839B5A"/>
    <w:rsid w:val="65A292C8"/>
    <w:rsid w:val="65A52F74"/>
    <w:rsid w:val="65A77DCE"/>
    <w:rsid w:val="65FFABC5"/>
    <w:rsid w:val="66041193"/>
    <w:rsid w:val="661A4B13"/>
    <w:rsid w:val="66336688"/>
    <w:rsid w:val="6647C3ED"/>
    <w:rsid w:val="664E5EDC"/>
    <w:rsid w:val="66633601"/>
    <w:rsid w:val="66CDDC74"/>
    <w:rsid w:val="66D27E16"/>
    <w:rsid w:val="66D9D329"/>
    <w:rsid w:val="66DC3F94"/>
    <w:rsid w:val="6703F610"/>
    <w:rsid w:val="67142991"/>
    <w:rsid w:val="67335EEE"/>
    <w:rsid w:val="673CB157"/>
    <w:rsid w:val="67482BA8"/>
    <w:rsid w:val="675A6364"/>
    <w:rsid w:val="67963E12"/>
    <w:rsid w:val="67D0FEE9"/>
    <w:rsid w:val="67F97137"/>
    <w:rsid w:val="6813850D"/>
    <w:rsid w:val="684C8D81"/>
    <w:rsid w:val="685A77EA"/>
    <w:rsid w:val="685D9A00"/>
    <w:rsid w:val="685F2CA1"/>
    <w:rsid w:val="6876224F"/>
    <w:rsid w:val="689D5BF7"/>
    <w:rsid w:val="68B25C75"/>
    <w:rsid w:val="68B45DCC"/>
    <w:rsid w:val="68D6F8B9"/>
    <w:rsid w:val="68DA65BC"/>
    <w:rsid w:val="68FECE36"/>
    <w:rsid w:val="69385F57"/>
    <w:rsid w:val="694367F2"/>
    <w:rsid w:val="69843126"/>
    <w:rsid w:val="69872166"/>
    <w:rsid w:val="69969AC3"/>
    <w:rsid w:val="69D87A72"/>
    <w:rsid w:val="6A2B2C63"/>
    <w:rsid w:val="6A313698"/>
    <w:rsid w:val="6A5481ED"/>
    <w:rsid w:val="6AB179BD"/>
    <w:rsid w:val="6ABD5E3A"/>
    <w:rsid w:val="6AC63C09"/>
    <w:rsid w:val="6AF8ACCE"/>
    <w:rsid w:val="6B275375"/>
    <w:rsid w:val="6B61AC68"/>
    <w:rsid w:val="6B656249"/>
    <w:rsid w:val="6BBDC25E"/>
    <w:rsid w:val="6BEC9CE0"/>
    <w:rsid w:val="6C2AB60B"/>
    <w:rsid w:val="6C74AF64"/>
    <w:rsid w:val="6C86D2A6"/>
    <w:rsid w:val="6C9A24D8"/>
    <w:rsid w:val="6C9C1D9C"/>
    <w:rsid w:val="6CBB8247"/>
    <w:rsid w:val="6CD808C0"/>
    <w:rsid w:val="6CF1A3DA"/>
    <w:rsid w:val="6D00E7DB"/>
    <w:rsid w:val="6D070E9A"/>
    <w:rsid w:val="6D9815BA"/>
    <w:rsid w:val="6DCAA75B"/>
    <w:rsid w:val="6DCE0D2B"/>
    <w:rsid w:val="6DD4C570"/>
    <w:rsid w:val="6E303C7D"/>
    <w:rsid w:val="6E332ED8"/>
    <w:rsid w:val="6E3A83EB"/>
    <w:rsid w:val="6EA8302F"/>
    <w:rsid w:val="6EC293BA"/>
    <w:rsid w:val="6ED0FFCC"/>
    <w:rsid w:val="6EF5AB21"/>
    <w:rsid w:val="6EF7E5E0"/>
    <w:rsid w:val="6F08106F"/>
    <w:rsid w:val="6F0CD6C7"/>
    <w:rsid w:val="6F0F2299"/>
    <w:rsid w:val="6F42BCF3"/>
    <w:rsid w:val="6F46777C"/>
    <w:rsid w:val="6F5B2221"/>
    <w:rsid w:val="6F70C6A0"/>
    <w:rsid w:val="6F820177"/>
    <w:rsid w:val="6F917F5E"/>
    <w:rsid w:val="6FA3B697"/>
    <w:rsid w:val="6FAA99CA"/>
    <w:rsid w:val="6FAB91CC"/>
    <w:rsid w:val="6FC388DB"/>
    <w:rsid w:val="6FDF4DE4"/>
    <w:rsid w:val="6FE1E2F0"/>
    <w:rsid w:val="6FE9A91F"/>
    <w:rsid w:val="700E0E75"/>
    <w:rsid w:val="701F9B21"/>
    <w:rsid w:val="702961E1"/>
    <w:rsid w:val="706F98D3"/>
    <w:rsid w:val="70765AE7"/>
    <w:rsid w:val="7078BE4C"/>
    <w:rsid w:val="7079A4DC"/>
    <w:rsid w:val="709E9B5F"/>
    <w:rsid w:val="70CCE75B"/>
    <w:rsid w:val="70E90E0E"/>
    <w:rsid w:val="70F05EAA"/>
    <w:rsid w:val="70F789FA"/>
    <w:rsid w:val="711D3C62"/>
    <w:rsid w:val="7122237D"/>
    <w:rsid w:val="71361763"/>
    <w:rsid w:val="714FD4C1"/>
    <w:rsid w:val="7183E1CC"/>
    <w:rsid w:val="722805A6"/>
    <w:rsid w:val="7235F2AD"/>
    <w:rsid w:val="7238E5A5"/>
    <w:rsid w:val="726EBB87"/>
    <w:rsid w:val="7271E747"/>
    <w:rsid w:val="72E44760"/>
    <w:rsid w:val="72E7A913"/>
    <w:rsid w:val="739035CC"/>
    <w:rsid w:val="7397D854"/>
    <w:rsid w:val="73B372DF"/>
    <w:rsid w:val="73C1A612"/>
    <w:rsid w:val="73E39359"/>
    <w:rsid w:val="741F82DD"/>
    <w:rsid w:val="742B018E"/>
    <w:rsid w:val="7434F947"/>
    <w:rsid w:val="748B3B00"/>
    <w:rsid w:val="7491735B"/>
    <w:rsid w:val="74936911"/>
    <w:rsid w:val="749F706C"/>
    <w:rsid w:val="74B6BC36"/>
    <w:rsid w:val="74B90A7F"/>
    <w:rsid w:val="74F5FAC5"/>
    <w:rsid w:val="7522226D"/>
    <w:rsid w:val="75238710"/>
    <w:rsid w:val="754C75F1"/>
    <w:rsid w:val="75927516"/>
    <w:rsid w:val="75992D31"/>
    <w:rsid w:val="75B4341E"/>
    <w:rsid w:val="75D2145C"/>
    <w:rsid w:val="75DD368C"/>
    <w:rsid w:val="75ED0411"/>
    <w:rsid w:val="75FFA956"/>
    <w:rsid w:val="76131DC4"/>
    <w:rsid w:val="762FB444"/>
    <w:rsid w:val="76369AB7"/>
    <w:rsid w:val="7644E995"/>
    <w:rsid w:val="7699F183"/>
    <w:rsid w:val="769B173E"/>
    <w:rsid w:val="77331667"/>
    <w:rsid w:val="773DD638"/>
    <w:rsid w:val="77BD3E2B"/>
    <w:rsid w:val="77CB3CA4"/>
    <w:rsid w:val="780E98E2"/>
    <w:rsid w:val="783E7535"/>
    <w:rsid w:val="78458247"/>
    <w:rsid w:val="784D80E0"/>
    <w:rsid w:val="787CC99A"/>
    <w:rsid w:val="7883DAC9"/>
    <w:rsid w:val="788A72D4"/>
    <w:rsid w:val="788C378B"/>
    <w:rsid w:val="788CB4BE"/>
    <w:rsid w:val="788ECB7A"/>
    <w:rsid w:val="78A305FE"/>
    <w:rsid w:val="78AD322E"/>
    <w:rsid w:val="78CB6FF9"/>
    <w:rsid w:val="78E5B753"/>
    <w:rsid w:val="78E784A3"/>
    <w:rsid w:val="78F54C6E"/>
    <w:rsid w:val="7952C030"/>
    <w:rsid w:val="79559843"/>
    <w:rsid w:val="797A51CC"/>
    <w:rsid w:val="79864517"/>
    <w:rsid w:val="798E4776"/>
    <w:rsid w:val="79A203E8"/>
    <w:rsid w:val="79A6C0C8"/>
    <w:rsid w:val="79ADD35F"/>
    <w:rsid w:val="79CE3E54"/>
    <w:rsid w:val="79EA1FA7"/>
    <w:rsid w:val="79EA733B"/>
    <w:rsid w:val="7A03B9A1"/>
    <w:rsid w:val="7A1CD40D"/>
    <w:rsid w:val="7A375F64"/>
    <w:rsid w:val="7A7E2F1D"/>
    <w:rsid w:val="7A87EBDF"/>
    <w:rsid w:val="7ABB8278"/>
    <w:rsid w:val="7AC3509E"/>
    <w:rsid w:val="7ADAF5F1"/>
    <w:rsid w:val="7B3C5423"/>
    <w:rsid w:val="7B3DD449"/>
    <w:rsid w:val="7B7AD0BC"/>
    <w:rsid w:val="7B7FC6E8"/>
    <w:rsid w:val="7B95605A"/>
    <w:rsid w:val="7B9F6D5C"/>
    <w:rsid w:val="7BA9DABE"/>
    <w:rsid w:val="7BB3897B"/>
    <w:rsid w:val="7BB40CCA"/>
    <w:rsid w:val="7BBB6794"/>
    <w:rsid w:val="7BDE6940"/>
    <w:rsid w:val="7BEF423B"/>
    <w:rsid w:val="7C0C1B4D"/>
    <w:rsid w:val="7C2267D1"/>
    <w:rsid w:val="7C36E71B"/>
    <w:rsid w:val="7C52939B"/>
    <w:rsid w:val="7C7B0FA4"/>
    <w:rsid w:val="7C7C9645"/>
    <w:rsid w:val="7C89A4DD"/>
    <w:rsid w:val="7CA62C33"/>
    <w:rsid w:val="7CAAAEEA"/>
    <w:rsid w:val="7CEDCB1E"/>
    <w:rsid w:val="7D173700"/>
    <w:rsid w:val="7D4E1BDB"/>
    <w:rsid w:val="7D78B0E5"/>
    <w:rsid w:val="7DA67196"/>
    <w:rsid w:val="7DB56E30"/>
    <w:rsid w:val="7DBA7F11"/>
    <w:rsid w:val="7E384369"/>
    <w:rsid w:val="7E41A919"/>
    <w:rsid w:val="7E86DEC0"/>
    <w:rsid w:val="7EA0CDE3"/>
    <w:rsid w:val="7EC34391"/>
    <w:rsid w:val="7ECCA70D"/>
    <w:rsid w:val="7EEA1797"/>
    <w:rsid w:val="7EEE4AF0"/>
    <w:rsid w:val="7F0C28FA"/>
    <w:rsid w:val="7F0E5409"/>
    <w:rsid w:val="7F3B1C5C"/>
    <w:rsid w:val="7F4EB513"/>
    <w:rsid w:val="7F568660"/>
    <w:rsid w:val="7F923161"/>
    <w:rsid w:val="7FAD5335"/>
    <w:rsid w:val="7FD64E89"/>
    <w:rsid w:val="7FEBD05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116A78"/>
  <w15:docId w15:val="{3C1DA474-B7F4-4883-B7B6-39A69EAA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2CC"/>
    <w:rPr>
      <w:rFonts w:ascii="ITC Avant Garde" w:hAnsi="ITC Avant Garde"/>
    </w:rPr>
  </w:style>
  <w:style w:type="paragraph" w:styleId="Ttulo1">
    <w:name w:val="heading 1"/>
    <w:basedOn w:val="Normal"/>
    <w:next w:val="Normal"/>
    <w:link w:val="Ttulo1Car"/>
    <w:uiPriority w:val="9"/>
    <w:qFormat/>
    <w:rsid w:val="00F33B67"/>
    <w:pPr>
      <w:shd w:val="clear" w:color="auto" w:fill="A8D08D" w:themeFill="accent6" w:themeFillTint="99"/>
      <w:spacing w:line="276" w:lineRule="auto"/>
      <w:jc w:val="both"/>
      <w:outlineLvl w:val="0"/>
    </w:pPr>
    <w:rPr>
      <w:rFonts w:eastAsia="ITC Avant Garde" w:cs="ITC Avant Garde"/>
      <w:b/>
    </w:rPr>
  </w:style>
  <w:style w:type="paragraph" w:styleId="Ttulo2">
    <w:name w:val="heading 2"/>
    <w:basedOn w:val="Normal"/>
    <w:next w:val="Normal"/>
    <w:link w:val="Ttulo2Car"/>
    <w:uiPriority w:val="9"/>
    <w:semiHidden/>
    <w:unhideWhenUsed/>
    <w:qFormat/>
    <w:rsid w:val="009F0A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825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rueba1,4 Viñ 1nivel,Numeración 1,Cuadrícula media 1 - Énfasis 2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independiente">
    <w:name w:val="Body Text"/>
    <w:basedOn w:val="Normal"/>
    <w:link w:val="TextoindependienteCar"/>
    <w:uiPriority w:val="1"/>
    <w:qFormat/>
    <w:rsid w:val="00E86487"/>
    <w:pPr>
      <w:widowControl w:val="0"/>
      <w:spacing w:after="0" w:line="240" w:lineRule="auto"/>
    </w:pPr>
    <w:rPr>
      <w:rFonts w:ascii="Arial" w:eastAsia="Arial" w:hAnsi="Arial" w:cs="Arial"/>
      <w:sz w:val="20"/>
      <w:szCs w:val="20"/>
      <w:lang w:val="en-US"/>
    </w:rPr>
  </w:style>
  <w:style w:type="character" w:customStyle="1" w:styleId="TextoindependienteCar">
    <w:name w:val="Texto independiente Car"/>
    <w:basedOn w:val="Fuentedeprrafopredeter"/>
    <w:link w:val="Textoindependiente"/>
    <w:uiPriority w:val="1"/>
    <w:rsid w:val="00E86487"/>
    <w:rPr>
      <w:rFonts w:ascii="Arial" w:eastAsia="Arial" w:hAnsi="Arial" w:cs="Arial"/>
      <w:sz w:val="20"/>
      <w:szCs w:val="20"/>
      <w:lang w:val="en-US"/>
    </w:rPr>
  </w:style>
  <w:style w:type="character" w:styleId="Textoennegrita">
    <w:name w:val="Strong"/>
    <w:basedOn w:val="Fuentedeprrafopredeter"/>
    <w:uiPriority w:val="22"/>
    <w:qFormat/>
    <w:rsid w:val="00474DCA"/>
    <w:rPr>
      <w:b/>
      <w:bCs/>
    </w:rPr>
  </w:style>
  <w:style w:type="paragraph" w:styleId="HTMLconformatoprevio">
    <w:name w:val="HTML Preformatted"/>
    <w:basedOn w:val="Normal"/>
    <w:link w:val="HTMLconformatoprevioCar"/>
    <w:uiPriority w:val="99"/>
    <w:semiHidden/>
    <w:unhideWhenUsed/>
    <w:rsid w:val="007C1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7C12E8"/>
    <w:rPr>
      <w:rFonts w:ascii="Courier New" w:eastAsia="Times New Roman" w:hAnsi="Courier New" w:cs="Courier New"/>
      <w:sz w:val="20"/>
      <w:szCs w:val="20"/>
      <w:lang w:eastAsia="es-MX"/>
    </w:rPr>
  </w:style>
  <w:style w:type="paragraph" w:styleId="Textonotapie">
    <w:name w:val="footnote text"/>
    <w:basedOn w:val="Normal"/>
    <w:link w:val="TextonotapieCar"/>
    <w:uiPriority w:val="99"/>
    <w:unhideWhenUsed/>
    <w:rsid w:val="007C12E8"/>
    <w:pPr>
      <w:spacing w:after="0" w:line="240" w:lineRule="auto"/>
    </w:pPr>
    <w:rPr>
      <w:sz w:val="20"/>
      <w:szCs w:val="20"/>
    </w:rPr>
  </w:style>
  <w:style w:type="character" w:customStyle="1" w:styleId="TextonotapieCar">
    <w:name w:val="Texto nota pie Car"/>
    <w:basedOn w:val="Fuentedeprrafopredeter"/>
    <w:link w:val="Textonotapie"/>
    <w:uiPriority w:val="99"/>
    <w:rsid w:val="007C12E8"/>
    <w:rPr>
      <w:sz w:val="20"/>
      <w:szCs w:val="20"/>
    </w:rPr>
  </w:style>
  <w:style w:type="character" w:styleId="Refdenotaalpie">
    <w:name w:val="footnote reference"/>
    <w:basedOn w:val="Fuentedeprrafopredeter"/>
    <w:uiPriority w:val="99"/>
    <w:semiHidden/>
    <w:unhideWhenUsed/>
    <w:rsid w:val="007C12E8"/>
    <w:rPr>
      <w:vertAlign w:val="superscript"/>
    </w:rPr>
  </w:style>
  <w:style w:type="table" w:customStyle="1" w:styleId="Tabladecuadrcula1clara-nfasis11">
    <w:name w:val="Tabla de cuadrícula 1 clara - Énfasis 11"/>
    <w:basedOn w:val="Tabla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F33B67"/>
    <w:rPr>
      <w:rFonts w:ascii="ITC Avant Garde" w:eastAsia="ITC Avant Garde" w:hAnsi="ITC Avant Garde" w:cs="ITC Avant Garde"/>
      <w:b/>
      <w:shd w:val="clear" w:color="auto" w:fill="A8D08D" w:themeFill="accent6" w:themeFillTint="99"/>
    </w:rPr>
  </w:style>
  <w:style w:type="table" w:customStyle="1" w:styleId="Tabladecuadrcula1clara1">
    <w:name w:val="Tabla de cuadrícula 1 clara1"/>
    <w:basedOn w:val="Tablanormal"/>
    <w:uiPriority w:val="46"/>
    <w:rsid w:val="000D5D7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2Car">
    <w:name w:val="Título 2 Car"/>
    <w:basedOn w:val="Fuentedeprrafopredeter"/>
    <w:link w:val="Ttulo2"/>
    <w:uiPriority w:val="9"/>
    <w:semiHidden/>
    <w:rsid w:val="009F0AFF"/>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5F5082"/>
    <w:rPr>
      <w:sz w:val="16"/>
      <w:szCs w:val="16"/>
    </w:rPr>
  </w:style>
  <w:style w:type="paragraph" w:styleId="Textocomentario">
    <w:name w:val="annotation text"/>
    <w:basedOn w:val="Normal"/>
    <w:link w:val="TextocomentarioCar"/>
    <w:uiPriority w:val="99"/>
    <w:unhideWhenUsed/>
    <w:rsid w:val="005F5082"/>
    <w:pPr>
      <w:spacing w:line="240" w:lineRule="auto"/>
    </w:pPr>
    <w:rPr>
      <w:sz w:val="20"/>
      <w:szCs w:val="20"/>
    </w:rPr>
  </w:style>
  <w:style w:type="character" w:customStyle="1" w:styleId="TextocomentarioCar">
    <w:name w:val="Texto comentario Car"/>
    <w:basedOn w:val="Fuentedeprrafopredeter"/>
    <w:link w:val="Textocomentario"/>
    <w:uiPriority w:val="99"/>
    <w:rsid w:val="005F5082"/>
    <w:rPr>
      <w:sz w:val="20"/>
      <w:szCs w:val="20"/>
    </w:rPr>
  </w:style>
  <w:style w:type="paragraph" w:styleId="Asuntodelcomentario">
    <w:name w:val="annotation subject"/>
    <w:basedOn w:val="Textocomentario"/>
    <w:next w:val="Textocomentario"/>
    <w:link w:val="AsuntodelcomentarioCar"/>
    <w:uiPriority w:val="99"/>
    <w:semiHidden/>
    <w:unhideWhenUsed/>
    <w:rsid w:val="005F5082"/>
    <w:rPr>
      <w:b/>
      <w:bCs/>
    </w:rPr>
  </w:style>
  <w:style w:type="character" w:customStyle="1" w:styleId="AsuntodelcomentarioCar">
    <w:name w:val="Asunto del comentario Car"/>
    <w:basedOn w:val="TextocomentarioCar"/>
    <w:link w:val="Asuntodelcomentario"/>
    <w:uiPriority w:val="99"/>
    <w:semiHidden/>
    <w:rsid w:val="005F5082"/>
    <w:rPr>
      <w:b/>
      <w:bCs/>
      <w:sz w:val="20"/>
      <w:szCs w:val="20"/>
    </w:rPr>
  </w:style>
  <w:style w:type="paragraph" w:styleId="Textodeglobo">
    <w:name w:val="Balloon Text"/>
    <w:basedOn w:val="Normal"/>
    <w:link w:val="TextodegloboCar"/>
    <w:uiPriority w:val="99"/>
    <w:semiHidden/>
    <w:unhideWhenUsed/>
    <w:rsid w:val="005F50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5082"/>
    <w:rPr>
      <w:rFonts w:ascii="Segoe UI" w:hAnsi="Segoe UI" w:cs="Segoe UI"/>
      <w:sz w:val="18"/>
      <w:szCs w:val="18"/>
    </w:rPr>
  </w:style>
  <w:style w:type="paragraph" w:styleId="Revisin">
    <w:name w:val="Revision"/>
    <w:hidden/>
    <w:uiPriority w:val="99"/>
    <w:semiHidden/>
    <w:rsid w:val="00261F95"/>
    <w:pPr>
      <w:spacing w:after="0" w:line="240" w:lineRule="auto"/>
    </w:pPr>
  </w:style>
  <w:style w:type="table" w:customStyle="1" w:styleId="Tabladecuadrcula4-nfasis61">
    <w:name w:val="Tabla de cuadrícula 4 - Énfasis 61"/>
    <w:basedOn w:val="Tablanormal"/>
    <w:uiPriority w:val="49"/>
    <w:rsid w:val="00507CB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5oscura-nfasis61">
    <w:name w:val="Tabla de cuadrícula 5 oscura - Énfasis 61"/>
    <w:basedOn w:val="Tablanormal"/>
    <w:uiPriority w:val="50"/>
    <w:rsid w:val="009B56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5oscura-nfasis11">
    <w:name w:val="Tabla de cuadrícula 5 oscura - Énfasis 11"/>
    <w:basedOn w:val="Tabla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nfasis">
    <w:name w:val="Emphasis"/>
    <w:basedOn w:val="Fuentedeprrafopredeter"/>
    <w:uiPriority w:val="20"/>
    <w:qFormat/>
    <w:rsid w:val="00945BD6"/>
    <w:rPr>
      <w:i/>
      <w:iCs/>
    </w:rPr>
  </w:style>
  <w:style w:type="character" w:customStyle="1" w:styleId="apple-converted-space">
    <w:name w:val="apple-converted-space"/>
    <w:basedOn w:val="Fuentedeprrafopredeter"/>
    <w:rsid w:val="00945BD6"/>
  </w:style>
  <w:style w:type="character" w:styleId="Hipervnculovisitado">
    <w:name w:val="FollowedHyperlink"/>
    <w:basedOn w:val="Fuentedeprrafopredeter"/>
    <w:uiPriority w:val="99"/>
    <w:semiHidden/>
    <w:unhideWhenUsed/>
    <w:rsid w:val="00625077"/>
    <w:rPr>
      <w:color w:val="954F72" w:themeColor="followedHyperlink"/>
      <w:u w:val="single"/>
    </w:rPr>
  </w:style>
  <w:style w:type="paragraph" w:customStyle="1" w:styleId="Normal1">
    <w:name w:val="Normal1"/>
    <w:rsid w:val="00157B39"/>
    <w:pPr>
      <w:spacing w:after="0" w:line="276" w:lineRule="auto"/>
    </w:pPr>
    <w:rPr>
      <w:rFonts w:ascii="Arial" w:eastAsia="Arial" w:hAnsi="Arial" w:cs="Arial"/>
      <w:color w:val="000000"/>
      <w:szCs w:val="24"/>
      <w:lang w:eastAsia="es-ES"/>
    </w:rPr>
  </w:style>
  <w:style w:type="paragraph" w:styleId="NormalWeb">
    <w:name w:val="Normal (Web)"/>
    <w:basedOn w:val="Normal"/>
    <w:uiPriority w:val="99"/>
    <w:unhideWhenUsed/>
    <w:rsid w:val="00322B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882518"/>
    <w:rPr>
      <w:rFonts w:asciiTheme="majorHAnsi" w:eastAsiaTheme="majorEastAsia" w:hAnsiTheme="majorHAnsi" w:cstheme="majorBidi"/>
      <w:color w:val="1F4D78" w:themeColor="accent1" w:themeShade="7F"/>
      <w:sz w:val="24"/>
      <w:szCs w:val="24"/>
    </w:rPr>
  </w:style>
  <w:style w:type="table" w:customStyle="1" w:styleId="Tabladecuadrcula6concolores-nfasis61">
    <w:name w:val="Tabla de cuadrícula 6 con colores - Énfasis 61"/>
    <w:basedOn w:val="Tablanormal"/>
    <w:uiPriority w:val="51"/>
    <w:rsid w:val="00D134D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rrafodelistaCar">
    <w:name w:val="Párrafo de lista Car"/>
    <w:aliases w:val="prueba1 Car,4 Viñ 1nivel Car,Numeración 1 Car,Cuadrícula media 1 - Énfasis 21 Car"/>
    <w:link w:val="Prrafodelista"/>
    <w:uiPriority w:val="34"/>
    <w:qFormat/>
    <w:rsid w:val="00764627"/>
  </w:style>
  <w:style w:type="character" w:customStyle="1" w:styleId="Mention">
    <w:name w:val="Mention"/>
    <w:basedOn w:val="Fuentedeprrafopredeter"/>
    <w:uiPriority w:val="99"/>
    <w:semiHidden/>
    <w:unhideWhenUsed/>
    <w:rsid w:val="00A1296C"/>
    <w:rPr>
      <w:color w:val="2B579A"/>
      <w:shd w:val="clear" w:color="auto" w:fill="E6E6E6"/>
    </w:rPr>
  </w:style>
  <w:style w:type="character" w:styleId="Textodelmarcadordeposicin">
    <w:name w:val="Placeholder Text"/>
    <w:basedOn w:val="Fuentedeprrafopredeter"/>
    <w:uiPriority w:val="99"/>
    <w:semiHidden/>
    <w:rsid w:val="000B1BD7"/>
    <w:rPr>
      <w:color w:val="808080"/>
    </w:rPr>
  </w:style>
  <w:style w:type="paragraph" w:styleId="Textonotaalfinal">
    <w:name w:val="endnote text"/>
    <w:basedOn w:val="Normal"/>
    <w:link w:val="TextonotaalfinalCar"/>
    <w:uiPriority w:val="99"/>
    <w:semiHidden/>
    <w:unhideWhenUsed/>
    <w:rsid w:val="00400CC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00CCA"/>
    <w:rPr>
      <w:sz w:val="20"/>
      <w:szCs w:val="20"/>
    </w:rPr>
  </w:style>
  <w:style w:type="character" w:styleId="Refdenotaalfinal">
    <w:name w:val="endnote reference"/>
    <w:basedOn w:val="Fuentedeprrafopredeter"/>
    <w:uiPriority w:val="99"/>
    <w:semiHidden/>
    <w:unhideWhenUsed/>
    <w:rsid w:val="00400CCA"/>
    <w:rPr>
      <w:vertAlign w:val="superscript"/>
    </w:rPr>
  </w:style>
  <w:style w:type="character" w:styleId="nfasisintenso">
    <w:name w:val="Intense Emphasis"/>
    <w:basedOn w:val="Fuentedeprrafopredeter"/>
    <w:uiPriority w:val="21"/>
    <w:qFormat/>
    <w:rsid w:val="00397133"/>
    <w:rPr>
      <w:rFonts w:ascii="ITC Avant Garde" w:hAnsi="ITC Avant Garde"/>
      <w:i/>
      <w:iCs/>
      <w:color w:val="385623" w:themeColor="accent6" w:themeShade="80"/>
    </w:rPr>
  </w:style>
  <w:style w:type="table" w:customStyle="1" w:styleId="Tabladelista3-nfasis61">
    <w:name w:val="Tabla de lista 3 - Énfasis 61"/>
    <w:basedOn w:val="Tablanormal"/>
    <w:uiPriority w:val="48"/>
    <w:rsid w:val="00FB1BD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1930">
      <w:bodyDiv w:val="1"/>
      <w:marLeft w:val="0"/>
      <w:marRight w:val="0"/>
      <w:marTop w:val="0"/>
      <w:marBottom w:val="0"/>
      <w:divBdr>
        <w:top w:val="none" w:sz="0" w:space="0" w:color="auto"/>
        <w:left w:val="none" w:sz="0" w:space="0" w:color="auto"/>
        <w:bottom w:val="none" w:sz="0" w:space="0" w:color="auto"/>
        <w:right w:val="none" w:sz="0" w:space="0" w:color="auto"/>
      </w:divBdr>
    </w:div>
    <w:div w:id="32929240">
      <w:bodyDiv w:val="1"/>
      <w:marLeft w:val="0"/>
      <w:marRight w:val="0"/>
      <w:marTop w:val="0"/>
      <w:marBottom w:val="0"/>
      <w:divBdr>
        <w:top w:val="none" w:sz="0" w:space="0" w:color="auto"/>
        <w:left w:val="none" w:sz="0" w:space="0" w:color="auto"/>
        <w:bottom w:val="none" w:sz="0" w:space="0" w:color="auto"/>
        <w:right w:val="none" w:sz="0" w:space="0" w:color="auto"/>
      </w:divBdr>
    </w:div>
    <w:div w:id="96873665">
      <w:bodyDiv w:val="1"/>
      <w:marLeft w:val="0"/>
      <w:marRight w:val="0"/>
      <w:marTop w:val="0"/>
      <w:marBottom w:val="0"/>
      <w:divBdr>
        <w:top w:val="none" w:sz="0" w:space="0" w:color="auto"/>
        <w:left w:val="none" w:sz="0" w:space="0" w:color="auto"/>
        <w:bottom w:val="none" w:sz="0" w:space="0" w:color="auto"/>
        <w:right w:val="none" w:sz="0" w:space="0" w:color="auto"/>
      </w:divBdr>
    </w:div>
    <w:div w:id="121384328">
      <w:bodyDiv w:val="1"/>
      <w:marLeft w:val="0"/>
      <w:marRight w:val="0"/>
      <w:marTop w:val="0"/>
      <w:marBottom w:val="0"/>
      <w:divBdr>
        <w:top w:val="none" w:sz="0" w:space="0" w:color="auto"/>
        <w:left w:val="none" w:sz="0" w:space="0" w:color="auto"/>
        <w:bottom w:val="none" w:sz="0" w:space="0" w:color="auto"/>
        <w:right w:val="none" w:sz="0" w:space="0" w:color="auto"/>
      </w:divBdr>
      <w:divsChild>
        <w:div w:id="1227496333">
          <w:marLeft w:val="0"/>
          <w:marRight w:val="0"/>
          <w:marTop w:val="0"/>
          <w:marBottom w:val="0"/>
          <w:divBdr>
            <w:top w:val="none" w:sz="0" w:space="0" w:color="auto"/>
            <w:left w:val="none" w:sz="0" w:space="0" w:color="auto"/>
            <w:bottom w:val="none" w:sz="0" w:space="0" w:color="auto"/>
            <w:right w:val="none" w:sz="0" w:space="0" w:color="auto"/>
          </w:divBdr>
          <w:divsChild>
            <w:div w:id="1676565839">
              <w:marLeft w:val="0"/>
              <w:marRight w:val="0"/>
              <w:marTop w:val="0"/>
              <w:marBottom w:val="0"/>
              <w:divBdr>
                <w:top w:val="none" w:sz="0" w:space="0" w:color="auto"/>
                <w:left w:val="none" w:sz="0" w:space="0" w:color="auto"/>
                <w:bottom w:val="none" w:sz="0" w:space="0" w:color="auto"/>
                <w:right w:val="none" w:sz="0" w:space="0" w:color="auto"/>
              </w:divBdr>
              <w:divsChild>
                <w:div w:id="236017816">
                  <w:marLeft w:val="0"/>
                  <w:marRight w:val="0"/>
                  <w:marTop w:val="0"/>
                  <w:marBottom w:val="0"/>
                  <w:divBdr>
                    <w:top w:val="none" w:sz="0" w:space="0" w:color="auto"/>
                    <w:left w:val="none" w:sz="0" w:space="0" w:color="auto"/>
                    <w:bottom w:val="none" w:sz="0" w:space="0" w:color="auto"/>
                    <w:right w:val="none" w:sz="0" w:space="0" w:color="auto"/>
                  </w:divBdr>
                  <w:divsChild>
                    <w:div w:id="280455799">
                      <w:marLeft w:val="0"/>
                      <w:marRight w:val="0"/>
                      <w:marTop w:val="0"/>
                      <w:marBottom w:val="0"/>
                      <w:divBdr>
                        <w:top w:val="none" w:sz="0" w:space="0" w:color="auto"/>
                        <w:left w:val="none" w:sz="0" w:space="0" w:color="auto"/>
                        <w:bottom w:val="none" w:sz="0" w:space="0" w:color="auto"/>
                        <w:right w:val="none" w:sz="0" w:space="0" w:color="auto"/>
                      </w:divBdr>
                      <w:divsChild>
                        <w:div w:id="309752634">
                          <w:marLeft w:val="0"/>
                          <w:marRight w:val="0"/>
                          <w:marTop w:val="0"/>
                          <w:marBottom w:val="0"/>
                          <w:divBdr>
                            <w:top w:val="none" w:sz="0" w:space="0" w:color="auto"/>
                            <w:left w:val="none" w:sz="0" w:space="0" w:color="auto"/>
                            <w:bottom w:val="none" w:sz="0" w:space="0" w:color="auto"/>
                            <w:right w:val="none" w:sz="0" w:space="0" w:color="auto"/>
                          </w:divBdr>
                          <w:divsChild>
                            <w:div w:id="2002468181">
                              <w:marLeft w:val="0"/>
                              <w:marRight w:val="0"/>
                              <w:marTop w:val="0"/>
                              <w:marBottom w:val="0"/>
                              <w:divBdr>
                                <w:top w:val="none" w:sz="0" w:space="0" w:color="auto"/>
                                <w:left w:val="none" w:sz="0" w:space="0" w:color="auto"/>
                                <w:bottom w:val="none" w:sz="0" w:space="0" w:color="auto"/>
                                <w:right w:val="none" w:sz="0" w:space="0" w:color="auto"/>
                              </w:divBdr>
                              <w:divsChild>
                                <w:div w:id="16269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58193">
      <w:bodyDiv w:val="1"/>
      <w:marLeft w:val="0"/>
      <w:marRight w:val="0"/>
      <w:marTop w:val="0"/>
      <w:marBottom w:val="0"/>
      <w:divBdr>
        <w:top w:val="none" w:sz="0" w:space="0" w:color="auto"/>
        <w:left w:val="none" w:sz="0" w:space="0" w:color="auto"/>
        <w:bottom w:val="none" w:sz="0" w:space="0" w:color="auto"/>
        <w:right w:val="none" w:sz="0" w:space="0" w:color="auto"/>
      </w:divBdr>
    </w:div>
    <w:div w:id="172768241">
      <w:bodyDiv w:val="1"/>
      <w:marLeft w:val="0"/>
      <w:marRight w:val="0"/>
      <w:marTop w:val="0"/>
      <w:marBottom w:val="0"/>
      <w:divBdr>
        <w:top w:val="none" w:sz="0" w:space="0" w:color="auto"/>
        <w:left w:val="none" w:sz="0" w:space="0" w:color="auto"/>
        <w:bottom w:val="none" w:sz="0" w:space="0" w:color="auto"/>
        <w:right w:val="none" w:sz="0" w:space="0" w:color="auto"/>
      </w:divBdr>
    </w:div>
    <w:div w:id="178664574">
      <w:bodyDiv w:val="1"/>
      <w:marLeft w:val="0"/>
      <w:marRight w:val="0"/>
      <w:marTop w:val="0"/>
      <w:marBottom w:val="0"/>
      <w:divBdr>
        <w:top w:val="none" w:sz="0" w:space="0" w:color="auto"/>
        <w:left w:val="none" w:sz="0" w:space="0" w:color="auto"/>
        <w:bottom w:val="none" w:sz="0" w:space="0" w:color="auto"/>
        <w:right w:val="none" w:sz="0" w:space="0" w:color="auto"/>
      </w:divBdr>
    </w:div>
    <w:div w:id="178783669">
      <w:bodyDiv w:val="1"/>
      <w:marLeft w:val="0"/>
      <w:marRight w:val="0"/>
      <w:marTop w:val="0"/>
      <w:marBottom w:val="0"/>
      <w:divBdr>
        <w:top w:val="none" w:sz="0" w:space="0" w:color="auto"/>
        <w:left w:val="none" w:sz="0" w:space="0" w:color="auto"/>
        <w:bottom w:val="none" w:sz="0" w:space="0" w:color="auto"/>
        <w:right w:val="none" w:sz="0" w:space="0" w:color="auto"/>
      </w:divBdr>
    </w:div>
    <w:div w:id="192235732">
      <w:bodyDiv w:val="1"/>
      <w:marLeft w:val="0"/>
      <w:marRight w:val="0"/>
      <w:marTop w:val="0"/>
      <w:marBottom w:val="0"/>
      <w:divBdr>
        <w:top w:val="none" w:sz="0" w:space="0" w:color="auto"/>
        <w:left w:val="none" w:sz="0" w:space="0" w:color="auto"/>
        <w:bottom w:val="none" w:sz="0" w:space="0" w:color="auto"/>
        <w:right w:val="none" w:sz="0" w:space="0" w:color="auto"/>
      </w:divBdr>
    </w:div>
    <w:div w:id="219168443">
      <w:bodyDiv w:val="1"/>
      <w:marLeft w:val="0"/>
      <w:marRight w:val="0"/>
      <w:marTop w:val="0"/>
      <w:marBottom w:val="0"/>
      <w:divBdr>
        <w:top w:val="none" w:sz="0" w:space="0" w:color="auto"/>
        <w:left w:val="none" w:sz="0" w:space="0" w:color="auto"/>
        <w:bottom w:val="none" w:sz="0" w:space="0" w:color="auto"/>
        <w:right w:val="none" w:sz="0" w:space="0" w:color="auto"/>
      </w:divBdr>
    </w:div>
    <w:div w:id="253903033">
      <w:bodyDiv w:val="1"/>
      <w:marLeft w:val="0"/>
      <w:marRight w:val="0"/>
      <w:marTop w:val="0"/>
      <w:marBottom w:val="0"/>
      <w:divBdr>
        <w:top w:val="none" w:sz="0" w:space="0" w:color="auto"/>
        <w:left w:val="none" w:sz="0" w:space="0" w:color="auto"/>
        <w:bottom w:val="none" w:sz="0" w:space="0" w:color="auto"/>
        <w:right w:val="none" w:sz="0" w:space="0" w:color="auto"/>
      </w:divBdr>
    </w:div>
    <w:div w:id="286276918">
      <w:bodyDiv w:val="1"/>
      <w:marLeft w:val="0"/>
      <w:marRight w:val="0"/>
      <w:marTop w:val="0"/>
      <w:marBottom w:val="0"/>
      <w:divBdr>
        <w:top w:val="none" w:sz="0" w:space="0" w:color="auto"/>
        <w:left w:val="none" w:sz="0" w:space="0" w:color="auto"/>
        <w:bottom w:val="none" w:sz="0" w:space="0" w:color="auto"/>
        <w:right w:val="none" w:sz="0" w:space="0" w:color="auto"/>
      </w:divBdr>
    </w:div>
    <w:div w:id="310792691">
      <w:bodyDiv w:val="1"/>
      <w:marLeft w:val="0"/>
      <w:marRight w:val="0"/>
      <w:marTop w:val="0"/>
      <w:marBottom w:val="0"/>
      <w:divBdr>
        <w:top w:val="none" w:sz="0" w:space="0" w:color="auto"/>
        <w:left w:val="none" w:sz="0" w:space="0" w:color="auto"/>
        <w:bottom w:val="none" w:sz="0" w:space="0" w:color="auto"/>
        <w:right w:val="none" w:sz="0" w:space="0" w:color="auto"/>
      </w:divBdr>
    </w:div>
    <w:div w:id="310864421">
      <w:bodyDiv w:val="1"/>
      <w:marLeft w:val="0"/>
      <w:marRight w:val="0"/>
      <w:marTop w:val="0"/>
      <w:marBottom w:val="0"/>
      <w:divBdr>
        <w:top w:val="none" w:sz="0" w:space="0" w:color="auto"/>
        <w:left w:val="none" w:sz="0" w:space="0" w:color="auto"/>
        <w:bottom w:val="none" w:sz="0" w:space="0" w:color="auto"/>
        <w:right w:val="none" w:sz="0" w:space="0" w:color="auto"/>
      </w:divBdr>
    </w:div>
    <w:div w:id="325013924">
      <w:bodyDiv w:val="1"/>
      <w:marLeft w:val="0"/>
      <w:marRight w:val="0"/>
      <w:marTop w:val="0"/>
      <w:marBottom w:val="0"/>
      <w:divBdr>
        <w:top w:val="none" w:sz="0" w:space="0" w:color="auto"/>
        <w:left w:val="none" w:sz="0" w:space="0" w:color="auto"/>
        <w:bottom w:val="none" w:sz="0" w:space="0" w:color="auto"/>
        <w:right w:val="none" w:sz="0" w:space="0" w:color="auto"/>
      </w:divBdr>
      <w:divsChild>
        <w:div w:id="483356279">
          <w:marLeft w:val="0"/>
          <w:marRight w:val="0"/>
          <w:marTop w:val="0"/>
          <w:marBottom w:val="66"/>
          <w:divBdr>
            <w:top w:val="none" w:sz="0" w:space="0" w:color="auto"/>
            <w:left w:val="none" w:sz="0" w:space="0" w:color="auto"/>
            <w:bottom w:val="none" w:sz="0" w:space="0" w:color="auto"/>
            <w:right w:val="none" w:sz="0" w:space="0" w:color="auto"/>
          </w:divBdr>
        </w:div>
        <w:div w:id="1047024926">
          <w:marLeft w:val="0"/>
          <w:marRight w:val="0"/>
          <w:marTop w:val="0"/>
          <w:marBottom w:val="66"/>
          <w:divBdr>
            <w:top w:val="none" w:sz="0" w:space="0" w:color="auto"/>
            <w:left w:val="none" w:sz="0" w:space="0" w:color="auto"/>
            <w:bottom w:val="none" w:sz="0" w:space="0" w:color="auto"/>
            <w:right w:val="none" w:sz="0" w:space="0" w:color="auto"/>
          </w:divBdr>
        </w:div>
        <w:div w:id="1853521862">
          <w:marLeft w:val="0"/>
          <w:marRight w:val="0"/>
          <w:marTop w:val="0"/>
          <w:marBottom w:val="66"/>
          <w:divBdr>
            <w:top w:val="none" w:sz="0" w:space="0" w:color="auto"/>
            <w:left w:val="none" w:sz="0" w:space="0" w:color="auto"/>
            <w:bottom w:val="none" w:sz="0" w:space="0" w:color="auto"/>
            <w:right w:val="none" w:sz="0" w:space="0" w:color="auto"/>
          </w:divBdr>
        </w:div>
        <w:div w:id="1856460477">
          <w:marLeft w:val="0"/>
          <w:marRight w:val="0"/>
          <w:marTop w:val="0"/>
          <w:marBottom w:val="66"/>
          <w:divBdr>
            <w:top w:val="none" w:sz="0" w:space="0" w:color="auto"/>
            <w:left w:val="none" w:sz="0" w:space="0" w:color="auto"/>
            <w:bottom w:val="none" w:sz="0" w:space="0" w:color="auto"/>
            <w:right w:val="none" w:sz="0" w:space="0" w:color="auto"/>
          </w:divBdr>
        </w:div>
      </w:divsChild>
    </w:div>
    <w:div w:id="358242803">
      <w:bodyDiv w:val="1"/>
      <w:marLeft w:val="0"/>
      <w:marRight w:val="0"/>
      <w:marTop w:val="0"/>
      <w:marBottom w:val="0"/>
      <w:divBdr>
        <w:top w:val="none" w:sz="0" w:space="0" w:color="auto"/>
        <w:left w:val="none" w:sz="0" w:space="0" w:color="auto"/>
        <w:bottom w:val="none" w:sz="0" w:space="0" w:color="auto"/>
        <w:right w:val="none" w:sz="0" w:space="0" w:color="auto"/>
      </w:divBdr>
    </w:div>
    <w:div w:id="446854449">
      <w:bodyDiv w:val="1"/>
      <w:marLeft w:val="0"/>
      <w:marRight w:val="0"/>
      <w:marTop w:val="0"/>
      <w:marBottom w:val="0"/>
      <w:divBdr>
        <w:top w:val="none" w:sz="0" w:space="0" w:color="auto"/>
        <w:left w:val="none" w:sz="0" w:space="0" w:color="auto"/>
        <w:bottom w:val="none" w:sz="0" w:space="0" w:color="auto"/>
        <w:right w:val="none" w:sz="0" w:space="0" w:color="auto"/>
      </w:divBdr>
    </w:div>
    <w:div w:id="456918583">
      <w:bodyDiv w:val="1"/>
      <w:marLeft w:val="0"/>
      <w:marRight w:val="0"/>
      <w:marTop w:val="0"/>
      <w:marBottom w:val="0"/>
      <w:divBdr>
        <w:top w:val="none" w:sz="0" w:space="0" w:color="auto"/>
        <w:left w:val="none" w:sz="0" w:space="0" w:color="auto"/>
        <w:bottom w:val="none" w:sz="0" w:space="0" w:color="auto"/>
        <w:right w:val="none" w:sz="0" w:space="0" w:color="auto"/>
      </w:divBdr>
    </w:div>
    <w:div w:id="457068492">
      <w:bodyDiv w:val="1"/>
      <w:marLeft w:val="0"/>
      <w:marRight w:val="0"/>
      <w:marTop w:val="0"/>
      <w:marBottom w:val="0"/>
      <w:divBdr>
        <w:top w:val="none" w:sz="0" w:space="0" w:color="auto"/>
        <w:left w:val="none" w:sz="0" w:space="0" w:color="auto"/>
        <w:bottom w:val="none" w:sz="0" w:space="0" w:color="auto"/>
        <w:right w:val="none" w:sz="0" w:space="0" w:color="auto"/>
      </w:divBdr>
    </w:div>
    <w:div w:id="463693016">
      <w:bodyDiv w:val="1"/>
      <w:marLeft w:val="0"/>
      <w:marRight w:val="0"/>
      <w:marTop w:val="0"/>
      <w:marBottom w:val="0"/>
      <w:divBdr>
        <w:top w:val="none" w:sz="0" w:space="0" w:color="auto"/>
        <w:left w:val="none" w:sz="0" w:space="0" w:color="auto"/>
        <w:bottom w:val="none" w:sz="0" w:space="0" w:color="auto"/>
        <w:right w:val="none" w:sz="0" w:space="0" w:color="auto"/>
      </w:divBdr>
    </w:div>
    <w:div w:id="478420885">
      <w:bodyDiv w:val="1"/>
      <w:marLeft w:val="0"/>
      <w:marRight w:val="0"/>
      <w:marTop w:val="0"/>
      <w:marBottom w:val="0"/>
      <w:divBdr>
        <w:top w:val="none" w:sz="0" w:space="0" w:color="auto"/>
        <w:left w:val="none" w:sz="0" w:space="0" w:color="auto"/>
        <w:bottom w:val="none" w:sz="0" w:space="0" w:color="auto"/>
        <w:right w:val="none" w:sz="0" w:space="0" w:color="auto"/>
      </w:divBdr>
    </w:div>
    <w:div w:id="489447655">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759503">
      <w:bodyDiv w:val="1"/>
      <w:marLeft w:val="0"/>
      <w:marRight w:val="0"/>
      <w:marTop w:val="0"/>
      <w:marBottom w:val="0"/>
      <w:divBdr>
        <w:top w:val="none" w:sz="0" w:space="0" w:color="auto"/>
        <w:left w:val="none" w:sz="0" w:space="0" w:color="auto"/>
        <w:bottom w:val="none" w:sz="0" w:space="0" w:color="auto"/>
        <w:right w:val="none" w:sz="0" w:space="0" w:color="auto"/>
      </w:divBdr>
    </w:div>
    <w:div w:id="525213466">
      <w:bodyDiv w:val="1"/>
      <w:marLeft w:val="0"/>
      <w:marRight w:val="0"/>
      <w:marTop w:val="0"/>
      <w:marBottom w:val="0"/>
      <w:divBdr>
        <w:top w:val="none" w:sz="0" w:space="0" w:color="auto"/>
        <w:left w:val="none" w:sz="0" w:space="0" w:color="auto"/>
        <w:bottom w:val="none" w:sz="0" w:space="0" w:color="auto"/>
        <w:right w:val="none" w:sz="0" w:space="0" w:color="auto"/>
      </w:divBdr>
    </w:div>
    <w:div w:id="607007686">
      <w:bodyDiv w:val="1"/>
      <w:marLeft w:val="0"/>
      <w:marRight w:val="0"/>
      <w:marTop w:val="0"/>
      <w:marBottom w:val="0"/>
      <w:divBdr>
        <w:top w:val="none" w:sz="0" w:space="0" w:color="auto"/>
        <w:left w:val="none" w:sz="0" w:space="0" w:color="auto"/>
        <w:bottom w:val="none" w:sz="0" w:space="0" w:color="auto"/>
        <w:right w:val="none" w:sz="0" w:space="0" w:color="auto"/>
      </w:divBdr>
    </w:div>
    <w:div w:id="636254994">
      <w:bodyDiv w:val="1"/>
      <w:marLeft w:val="0"/>
      <w:marRight w:val="0"/>
      <w:marTop w:val="0"/>
      <w:marBottom w:val="0"/>
      <w:divBdr>
        <w:top w:val="none" w:sz="0" w:space="0" w:color="auto"/>
        <w:left w:val="none" w:sz="0" w:space="0" w:color="auto"/>
        <w:bottom w:val="none" w:sz="0" w:space="0" w:color="auto"/>
        <w:right w:val="none" w:sz="0" w:space="0" w:color="auto"/>
      </w:divBdr>
    </w:div>
    <w:div w:id="656307599">
      <w:bodyDiv w:val="1"/>
      <w:marLeft w:val="0"/>
      <w:marRight w:val="0"/>
      <w:marTop w:val="0"/>
      <w:marBottom w:val="0"/>
      <w:divBdr>
        <w:top w:val="none" w:sz="0" w:space="0" w:color="auto"/>
        <w:left w:val="none" w:sz="0" w:space="0" w:color="auto"/>
        <w:bottom w:val="none" w:sz="0" w:space="0" w:color="auto"/>
        <w:right w:val="none" w:sz="0" w:space="0" w:color="auto"/>
      </w:divBdr>
    </w:div>
    <w:div w:id="657543081">
      <w:bodyDiv w:val="1"/>
      <w:marLeft w:val="0"/>
      <w:marRight w:val="0"/>
      <w:marTop w:val="0"/>
      <w:marBottom w:val="0"/>
      <w:divBdr>
        <w:top w:val="none" w:sz="0" w:space="0" w:color="auto"/>
        <w:left w:val="none" w:sz="0" w:space="0" w:color="auto"/>
        <w:bottom w:val="none" w:sz="0" w:space="0" w:color="auto"/>
        <w:right w:val="none" w:sz="0" w:space="0" w:color="auto"/>
      </w:divBdr>
    </w:div>
    <w:div w:id="684595996">
      <w:bodyDiv w:val="1"/>
      <w:marLeft w:val="0"/>
      <w:marRight w:val="0"/>
      <w:marTop w:val="0"/>
      <w:marBottom w:val="0"/>
      <w:divBdr>
        <w:top w:val="none" w:sz="0" w:space="0" w:color="auto"/>
        <w:left w:val="none" w:sz="0" w:space="0" w:color="auto"/>
        <w:bottom w:val="none" w:sz="0" w:space="0" w:color="auto"/>
        <w:right w:val="none" w:sz="0" w:space="0" w:color="auto"/>
      </w:divBdr>
    </w:div>
    <w:div w:id="718818586">
      <w:bodyDiv w:val="1"/>
      <w:marLeft w:val="0"/>
      <w:marRight w:val="0"/>
      <w:marTop w:val="0"/>
      <w:marBottom w:val="0"/>
      <w:divBdr>
        <w:top w:val="none" w:sz="0" w:space="0" w:color="auto"/>
        <w:left w:val="none" w:sz="0" w:space="0" w:color="auto"/>
        <w:bottom w:val="none" w:sz="0" w:space="0" w:color="auto"/>
        <w:right w:val="none" w:sz="0" w:space="0" w:color="auto"/>
      </w:divBdr>
    </w:div>
    <w:div w:id="718822446">
      <w:bodyDiv w:val="1"/>
      <w:marLeft w:val="0"/>
      <w:marRight w:val="0"/>
      <w:marTop w:val="0"/>
      <w:marBottom w:val="0"/>
      <w:divBdr>
        <w:top w:val="none" w:sz="0" w:space="0" w:color="auto"/>
        <w:left w:val="none" w:sz="0" w:space="0" w:color="auto"/>
        <w:bottom w:val="none" w:sz="0" w:space="0" w:color="auto"/>
        <w:right w:val="none" w:sz="0" w:space="0" w:color="auto"/>
      </w:divBdr>
    </w:div>
    <w:div w:id="729962923">
      <w:bodyDiv w:val="1"/>
      <w:marLeft w:val="0"/>
      <w:marRight w:val="0"/>
      <w:marTop w:val="0"/>
      <w:marBottom w:val="0"/>
      <w:divBdr>
        <w:top w:val="none" w:sz="0" w:space="0" w:color="auto"/>
        <w:left w:val="none" w:sz="0" w:space="0" w:color="auto"/>
        <w:bottom w:val="none" w:sz="0" w:space="0" w:color="auto"/>
        <w:right w:val="none" w:sz="0" w:space="0" w:color="auto"/>
      </w:divBdr>
    </w:div>
    <w:div w:id="730691603">
      <w:bodyDiv w:val="1"/>
      <w:marLeft w:val="0"/>
      <w:marRight w:val="0"/>
      <w:marTop w:val="0"/>
      <w:marBottom w:val="0"/>
      <w:divBdr>
        <w:top w:val="none" w:sz="0" w:space="0" w:color="auto"/>
        <w:left w:val="none" w:sz="0" w:space="0" w:color="auto"/>
        <w:bottom w:val="none" w:sz="0" w:space="0" w:color="auto"/>
        <w:right w:val="none" w:sz="0" w:space="0" w:color="auto"/>
      </w:divBdr>
    </w:div>
    <w:div w:id="760955799">
      <w:bodyDiv w:val="1"/>
      <w:marLeft w:val="0"/>
      <w:marRight w:val="0"/>
      <w:marTop w:val="0"/>
      <w:marBottom w:val="0"/>
      <w:divBdr>
        <w:top w:val="none" w:sz="0" w:space="0" w:color="auto"/>
        <w:left w:val="none" w:sz="0" w:space="0" w:color="auto"/>
        <w:bottom w:val="none" w:sz="0" w:space="0" w:color="auto"/>
        <w:right w:val="none" w:sz="0" w:space="0" w:color="auto"/>
      </w:divBdr>
      <w:divsChild>
        <w:div w:id="35012440">
          <w:marLeft w:val="0"/>
          <w:marRight w:val="0"/>
          <w:marTop w:val="0"/>
          <w:marBottom w:val="0"/>
          <w:divBdr>
            <w:top w:val="none" w:sz="0" w:space="0" w:color="auto"/>
            <w:left w:val="none" w:sz="0" w:space="0" w:color="auto"/>
            <w:bottom w:val="none" w:sz="0" w:space="0" w:color="auto"/>
            <w:right w:val="none" w:sz="0" w:space="0" w:color="auto"/>
          </w:divBdr>
        </w:div>
      </w:divsChild>
    </w:div>
    <w:div w:id="776677424">
      <w:bodyDiv w:val="1"/>
      <w:marLeft w:val="0"/>
      <w:marRight w:val="0"/>
      <w:marTop w:val="0"/>
      <w:marBottom w:val="0"/>
      <w:divBdr>
        <w:top w:val="none" w:sz="0" w:space="0" w:color="auto"/>
        <w:left w:val="none" w:sz="0" w:space="0" w:color="auto"/>
        <w:bottom w:val="none" w:sz="0" w:space="0" w:color="auto"/>
        <w:right w:val="none" w:sz="0" w:space="0" w:color="auto"/>
      </w:divBdr>
    </w:div>
    <w:div w:id="784663867">
      <w:bodyDiv w:val="1"/>
      <w:marLeft w:val="0"/>
      <w:marRight w:val="0"/>
      <w:marTop w:val="0"/>
      <w:marBottom w:val="0"/>
      <w:divBdr>
        <w:top w:val="none" w:sz="0" w:space="0" w:color="auto"/>
        <w:left w:val="none" w:sz="0" w:space="0" w:color="auto"/>
        <w:bottom w:val="none" w:sz="0" w:space="0" w:color="auto"/>
        <w:right w:val="none" w:sz="0" w:space="0" w:color="auto"/>
      </w:divBdr>
    </w:div>
    <w:div w:id="796487121">
      <w:bodyDiv w:val="1"/>
      <w:marLeft w:val="0"/>
      <w:marRight w:val="0"/>
      <w:marTop w:val="0"/>
      <w:marBottom w:val="0"/>
      <w:divBdr>
        <w:top w:val="none" w:sz="0" w:space="0" w:color="auto"/>
        <w:left w:val="none" w:sz="0" w:space="0" w:color="auto"/>
        <w:bottom w:val="none" w:sz="0" w:space="0" w:color="auto"/>
        <w:right w:val="none" w:sz="0" w:space="0" w:color="auto"/>
      </w:divBdr>
    </w:div>
    <w:div w:id="806817558">
      <w:bodyDiv w:val="1"/>
      <w:marLeft w:val="0"/>
      <w:marRight w:val="0"/>
      <w:marTop w:val="0"/>
      <w:marBottom w:val="0"/>
      <w:divBdr>
        <w:top w:val="none" w:sz="0" w:space="0" w:color="auto"/>
        <w:left w:val="none" w:sz="0" w:space="0" w:color="auto"/>
        <w:bottom w:val="none" w:sz="0" w:space="0" w:color="auto"/>
        <w:right w:val="none" w:sz="0" w:space="0" w:color="auto"/>
      </w:divBdr>
    </w:div>
    <w:div w:id="908348788">
      <w:bodyDiv w:val="1"/>
      <w:marLeft w:val="0"/>
      <w:marRight w:val="0"/>
      <w:marTop w:val="0"/>
      <w:marBottom w:val="0"/>
      <w:divBdr>
        <w:top w:val="none" w:sz="0" w:space="0" w:color="auto"/>
        <w:left w:val="none" w:sz="0" w:space="0" w:color="auto"/>
        <w:bottom w:val="none" w:sz="0" w:space="0" w:color="auto"/>
        <w:right w:val="none" w:sz="0" w:space="0" w:color="auto"/>
      </w:divBdr>
    </w:div>
    <w:div w:id="921715886">
      <w:bodyDiv w:val="1"/>
      <w:marLeft w:val="0"/>
      <w:marRight w:val="0"/>
      <w:marTop w:val="0"/>
      <w:marBottom w:val="0"/>
      <w:divBdr>
        <w:top w:val="none" w:sz="0" w:space="0" w:color="auto"/>
        <w:left w:val="none" w:sz="0" w:space="0" w:color="auto"/>
        <w:bottom w:val="none" w:sz="0" w:space="0" w:color="auto"/>
        <w:right w:val="none" w:sz="0" w:space="0" w:color="auto"/>
      </w:divBdr>
    </w:div>
    <w:div w:id="957372620">
      <w:bodyDiv w:val="1"/>
      <w:marLeft w:val="0"/>
      <w:marRight w:val="0"/>
      <w:marTop w:val="0"/>
      <w:marBottom w:val="0"/>
      <w:divBdr>
        <w:top w:val="none" w:sz="0" w:space="0" w:color="auto"/>
        <w:left w:val="none" w:sz="0" w:space="0" w:color="auto"/>
        <w:bottom w:val="none" w:sz="0" w:space="0" w:color="auto"/>
        <w:right w:val="none" w:sz="0" w:space="0" w:color="auto"/>
      </w:divBdr>
    </w:div>
    <w:div w:id="1009987790">
      <w:bodyDiv w:val="1"/>
      <w:marLeft w:val="0"/>
      <w:marRight w:val="0"/>
      <w:marTop w:val="0"/>
      <w:marBottom w:val="0"/>
      <w:divBdr>
        <w:top w:val="none" w:sz="0" w:space="0" w:color="auto"/>
        <w:left w:val="none" w:sz="0" w:space="0" w:color="auto"/>
        <w:bottom w:val="none" w:sz="0" w:space="0" w:color="auto"/>
        <w:right w:val="none" w:sz="0" w:space="0" w:color="auto"/>
      </w:divBdr>
    </w:div>
    <w:div w:id="1036546332">
      <w:bodyDiv w:val="1"/>
      <w:marLeft w:val="0"/>
      <w:marRight w:val="0"/>
      <w:marTop w:val="0"/>
      <w:marBottom w:val="0"/>
      <w:divBdr>
        <w:top w:val="none" w:sz="0" w:space="0" w:color="auto"/>
        <w:left w:val="none" w:sz="0" w:space="0" w:color="auto"/>
        <w:bottom w:val="none" w:sz="0" w:space="0" w:color="auto"/>
        <w:right w:val="none" w:sz="0" w:space="0" w:color="auto"/>
      </w:divBdr>
    </w:div>
    <w:div w:id="1075855438">
      <w:bodyDiv w:val="1"/>
      <w:marLeft w:val="0"/>
      <w:marRight w:val="0"/>
      <w:marTop w:val="0"/>
      <w:marBottom w:val="0"/>
      <w:divBdr>
        <w:top w:val="none" w:sz="0" w:space="0" w:color="auto"/>
        <w:left w:val="none" w:sz="0" w:space="0" w:color="auto"/>
        <w:bottom w:val="none" w:sz="0" w:space="0" w:color="auto"/>
        <w:right w:val="none" w:sz="0" w:space="0" w:color="auto"/>
      </w:divBdr>
    </w:div>
    <w:div w:id="1078021027">
      <w:bodyDiv w:val="1"/>
      <w:marLeft w:val="0"/>
      <w:marRight w:val="0"/>
      <w:marTop w:val="0"/>
      <w:marBottom w:val="0"/>
      <w:divBdr>
        <w:top w:val="none" w:sz="0" w:space="0" w:color="auto"/>
        <w:left w:val="none" w:sz="0" w:space="0" w:color="auto"/>
        <w:bottom w:val="none" w:sz="0" w:space="0" w:color="auto"/>
        <w:right w:val="none" w:sz="0" w:space="0" w:color="auto"/>
      </w:divBdr>
    </w:div>
    <w:div w:id="1101728623">
      <w:bodyDiv w:val="1"/>
      <w:marLeft w:val="0"/>
      <w:marRight w:val="0"/>
      <w:marTop w:val="0"/>
      <w:marBottom w:val="0"/>
      <w:divBdr>
        <w:top w:val="none" w:sz="0" w:space="0" w:color="auto"/>
        <w:left w:val="none" w:sz="0" w:space="0" w:color="auto"/>
        <w:bottom w:val="none" w:sz="0" w:space="0" w:color="auto"/>
        <w:right w:val="none" w:sz="0" w:space="0" w:color="auto"/>
      </w:divBdr>
    </w:div>
    <w:div w:id="1113212219">
      <w:bodyDiv w:val="1"/>
      <w:marLeft w:val="0"/>
      <w:marRight w:val="0"/>
      <w:marTop w:val="0"/>
      <w:marBottom w:val="0"/>
      <w:divBdr>
        <w:top w:val="none" w:sz="0" w:space="0" w:color="auto"/>
        <w:left w:val="none" w:sz="0" w:space="0" w:color="auto"/>
        <w:bottom w:val="none" w:sz="0" w:space="0" w:color="auto"/>
        <w:right w:val="none" w:sz="0" w:space="0" w:color="auto"/>
      </w:divBdr>
    </w:div>
    <w:div w:id="1127158872">
      <w:bodyDiv w:val="1"/>
      <w:marLeft w:val="0"/>
      <w:marRight w:val="0"/>
      <w:marTop w:val="0"/>
      <w:marBottom w:val="0"/>
      <w:divBdr>
        <w:top w:val="none" w:sz="0" w:space="0" w:color="auto"/>
        <w:left w:val="none" w:sz="0" w:space="0" w:color="auto"/>
        <w:bottom w:val="none" w:sz="0" w:space="0" w:color="auto"/>
        <w:right w:val="none" w:sz="0" w:space="0" w:color="auto"/>
      </w:divBdr>
    </w:div>
    <w:div w:id="1128864079">
      <w:bodyDiv w:val="1"/>
      <w:marLeft w:val="0"/>
      <w:marRight w:val="0"/>
      <w:marTop w:val="0"/>
      <w:marBottom w:val="0"/>
      <w:divBdr>
        <w:top w:val="none" w:sz="0" w:space="0" w:color="auto"/>
        <w:left w:val="none" w:sz="0" w:space="0" w:color="auto"/>
        <w:bottom w:val="none" w:sz="0" w:space="0" w:color="auto"/>
        <w:right w:val="none" w:sz="0" w:space="0" w:color="auto"/>
      </w:divBdr>
    </w:div>
    <w:div w:id="1140265528">
      <w:bodyDiv w:val="1"/>
      <w:marLeft w:val="0"/>
      <w:marRight w:val="0"/>
      <w:marTop w:val="0"/>
      <w:marBottom w:val="0"/>
      <w:divBdr>
        <w:top w:val="none" w:sz="0" w:space="0" w:color="auto"/>
        <w:left w:val="none" w:sz="0" w:space="0" w:color="auto"/>
        <w:bottom w:val="none" w:sz="0" w:space="0" w:color="auto"/>
        <w:right w:val="none" w:sz="0" w:space="0" w:color="auto"/>
      </w:divBdr>
    </w:div>
    <w:div w:id="1159007166">
      <w:bodyDiv w:val="1"/>
      <w:marLeft w:val="0"/>
      <w:marRight w:val="0"/>
      <w:marTop w:val="0"/>
      <w:marBottom w:val="0"/>
      <w:divBdr>
        <w:top w:val="none" w:sz="0" w:space="0" w:color="auto"/>
        <w:left w:val="none" w:sz="0" w:space="0" w:color="auto"/>
        <w:bottom w:val="none" w:sz="0" w:space="0" w:color="auto"/>
        <w:right w:val="none" w:sz="0" w:space="0" w:color="auto"/>
      </w:divBdr>
    </w:div>
    <w:div w:id="1185284842">
      <w:bodyDiv w:val="1"/>
      <w:marLeft w:val="0"/>
      <w:marRight w:val="0"/>
      <w:marTop w:val="0"/>
      <w:marBottom w:val="0"/>
      <w:divBdr>
        <w:top w:val="none" w:sz="0" w:space="0" w:color="auto"/>
        <w:left w:val="none" w:sz="0" w:space="0" w:color="auto"/>
        <w:bottom w:val="none" w:sz="0" w:space="0" w:color="auto"/>
        <w:right w:val="none" w:sz="0" w:space="0" w:color="auto"/>
      </w:divBdr>
    </w:div>
    <w:div w:id="1201936684">
      <w:bodyDiv w:val="1"/>
      <w:marLeft w:val="0"/>
      <w:marRight w:val="0"/>
      <w:marTop w:val="0"/>
      <w:marBottom w:val="0"/>
      <w:divBdr>
        <w:top w:val="none" w:sz="0" w:space="0" w:color="auto"/>
        <w:left w:val="none" w:sz="0" w:space="0" w:color="auto"/>
        <w:bottom w:val="none" w:sz="0" w:space="0" w:color="auto"/>
        <w:right w:val="none" w:sz="0" w:space="0" w:color="auto"/>
      </w:divBdr>
    </w:div>
    <w:div w:id="1214081595">
      <w:bodyDiv w:val="1"/>
      <w:marLeft w:val="0"/>
      <w:marRight w:val="0"/>
      <w:marTop w:val="0"/>
      <w:marBottom w:val="0"/>
      <w:divBdr>
        <w:top w:val="none" w:sz="0" w:space="0" w:color="auto"/>
        <w:left w:val="none" w:sz="0" w:space="0" w:color="auto"/>
        <w:bottom w:val="none" w:sz="0" w:space="0" w:color="auto"/>
        <w:right w:val="none" w:sz="0" w:space="0" w:color="auto"/>
      </w:divBdr>
      <w:divsChild>
        <w:div w:id="1165166217">
          <w:marLeft w:val="0"/>
          <w:marRight w:val="0"/>
          <w:marTop w:val="0"/>
          <w:marBottom w:val="0"/>
          <w:divBdr>
            <w:top w:val="none" w:sz="0" w:space="0" w:color="auto"/>
            <w:left w:val="none" w:sz="0" w:space="0" w:color="auto"/>
            <w:bottom w:val="none" w:sz="0" w:space="0" w:color="auto"/>
            <w:right w:val="none" w:sz="0" w:space="0" w:color="auto"/>
          </w:divBdr>
        </w:div>
      </w:divsChild>
    </w:div>
    <w:div w:id="1222256532">
      <w:bodyDiv w:val="1"/>
      <w:marLeft w:val="0"/>
      <w:marRight w:val="0"/>
      <w:marTop w:val="0"/>
      <w:marBottom w:val="0"/>
      <w:divBdr>
        <w:top w:val="none" w:sz="0" w:space="0" w:color="auto"/>
        <w:left w:val="none" w:sz="0" w:space="0" w:color="auto"/>
        <w:bottom w:val="none" w:sz="0" w:space="0" w:color="auto"/>
        <w:right w:val="none" w:sz="0" w:space="0" w:color="auto"/>
      </w:divBdr>
    </w:div>
    <w:div w:id="1234780328">
      <w:bodyDiv w:val="1"/>
      <w:marLeft w:val="0"/>
      <w:marRight w:val="0"/>
      <w:marTop w:val="0"/>
      <w:marBottom w:val="0"/>
      <w:divBdr>
        <w:top w:val="none" w:sz="0" w:space="0" w:color="auto"/>
        <w:left w:val="none" w:sz="0" w:space="0" w:color="auto"/>
        <w:bottom w:val="none" w:sz="0" w:space="0" w:color="auto"/>
        <w:right w:val="none" w:sz="0" w:space="0" w:color="auto"/>
      </w:divBdr>
    </w:div>
    <w:div w:id="1238323045">
      <w:bodyDiv w:val="1"/>
      <w:marLeft w:val="0"/>
      <w:marRight w:val="0"/>
      <w:marTop w:val="0"/>
      <w:marBottom w:val="0"/>
      <w:divBdr>
        <w:top w:val="none" w:sz="0" w:space="0" w:color="auto"/>
        <w:left w:val="none" w:sz="0" w:space="0" w:color="auto"/>
        <w:bottom w:val="none" w:sz="0" w:space="0" w:color="auto"/>
        <w:right w:val="none" w:sz="0" w:space="0" w:color="auto"/>
      </w:divBdr>
    </w:div>
    <w:div w:id="1244754387">
      <w:bodyDiv w:val="1"/>
      <w:marLeft w:val="0"/>
      <w:marRight w:val="0"/>
      <w:marTop w:val="0"/>
      <w:marBottom w:val="0"/>
      <w:divBdr>
        <w:top w:val="none" w:sz="0" w:space="0" w:color="auto"/>
        <w:left w:val="none" w:sz="0" w:space="0" w:color="auto"/>
        <w:bottom w:val="none" w:sz="0" w:space="0" w:color="auto"/>
        <w:right w:val="none" w:sz="0" w:space="0" w:color="auto"/>
      </w:divBdr>
    </w:div>
    <w:div w:id="1248147495">
      <w:bodyDiv w:val="1"/>
      <w:marLeft w:val="0"/>
      <w:marRight w:val="0"/>
      <w:marTop w:val="0"/>
      <w:marBottom w:val="0"/>
      <w:divBdr>
        <w:top w:val="none" w:sz="0" w:space="0" w:color="auto"/>
        <w:left w:val="none" w:sz="0" w:space="0" w:color="auto"/>
        <w:bottom w:val="none" w:sz="0" w:space="0" w:color="auto"/>
        <w:right w:val="none" w:sz="0" w:space="0" w:color="auto"/>
      </w:divBdr>
    </w:div>
    <w:div w:id="1365445027">
      <w:bodyDiv w:val="1"/>
      <w:marLeft w:val="0"/>
      <w:marRight w:val="0"/>
      <w:marTop w:val="0"/>
      <w:marBottom w:val="0"/>
      <w:divBdr>
        <w:top w:val="none" w:sz="0" w:space="0" w:color="auto"/>
        <w:left w:val="none" w:sz="0" w:space="0" w:color="auto"/>
        <w:bottom w:val="none" w:sz="0" w:space="0" w:color="auto"/>
        <w:right w:val="none" w:sz="0" w:space="0" w:color="auto"/>
      </w:divBdr>
    </w:div>
    <w:div w:id="1370571398">
      <w:bodyDiv w:val="1"/>
      <w:marLeft w:val="0"/>
      <w:marRight w:val="0"/>
      <w:marTop w:val="0"/>
      <w:marBottom w:val="0"/>
      <w:divBdr>
        <w:top w:val="none" w:sz="0" w:space="0" w:color="auto"/>
        <w:left w:val="none" w:sz="0" w:space="0" w:color="auto"/>
        <w:bottom w:val="none" w:sz="0" w:space="0" w:color="auto"/>
        <w:right w:val="none" w:sz="0" w:space="0" w:color="auto"/>
      </w:divBdr>
    </w:div>
    <w:div w:id="1375540198">
      <w:bodyDiv w:val="1"/>
      <w:marLeft w:val="0"/>
      <w:marRight w:val="0"/>
      <w:marTop w:val="0"/>
      <w:marBottom w:val="0"/>
      <w:divBdr>
        <w:top w:val="none" w:sz="0" w:space="0" w:color="auto"/>
        <w:left w:val="none" w:sz="0" w:space="0" w:color="auto"/>
        <w:bottom w:val="none" w:sz="0" w:space="0" w:color="auto"/>
        <w:right w:val="none" w:sz="0" w:space="0" w:color="auto"/>
      </w:divBdr>
    </w:div>
    <w:div w:id="1399206769">
      <w:bodyDiv w:val="1"/>
      <w:marLeft w:val="0"/>
      <w:marRight w:val="0"/>
      <w:marTop w:val="0"/>
      <w:marBottom w:val="0"/>
      <w:divBdr>
        <w:top w:val="none" w:sz="0" w:space="0" w:color="auto"/>
        <w:left w:val="none" w:sz="0" w:space="0" w:color="auto"/>
        <w:bottom w:val="none" w:sz="0" w:space="0" w:color="auto"/>
        <w:right w:val="none" w:sz="0" w:space="0" w:color="auto"/>
      </w:divBdr>
    </w:div>
    <w:div w:id="1406882151">
      <w:bodyDiv w:val="1"/>
      <w:marLeft w:val="0"/>
      <w:marRight w:val="0"/>
      <w:marTop w:val="0"/>
      <w:marBottom w:val="0"/>
      <w:divBdr>
        <w:top w:val="none" w:sz="0" w:space="0" w:color="auto"/>
        <w:left w:val="none" w:sz="0" w:space="0" w:color="auto"/>
        <w:bottom w:val="none" w:sz="0" w:space="0" w:color="auto"/>
        <w:right w:val="none" w:sz="0" w:space="0" w:color="auto"/>
      </w:divBdr>
    </w:div>
    <w:div w:id="1410299898">
      <w:bodyDiv w:val="1"/>
      <w:marLeft w:val="0"/>
      <w:marRight w:val="0"/>
      <w:marTop w:val="0"/>
      <w:marBottom w:val="0"/>
      <w:divBdr>
        <w:top w:val="none" w:sz="0" w:space="0" w:color="auto"/>
        <w:left w:val="none" w:sz="0" w:space="0" w:color="auto"/>
        <w:bottom w:val="none" w:sz="0" w:space="0" w:color="auto"/>
        <w:right w:val="none" w:sz="0" w:space="0" w:color="auto"/>
      </w:divBdr>
    </w:div>
    <w:div w:id="1429156389">
      <w:bodyDiv w:val="1"/>
      <w:marLeft w:val="0"/>
      <w:marRight w:val="0"/>
      <w:marTop w:val="0"/>
      <w:marBottom w:val="0"/>
      <w:divBdr>
        <w:top w:val="none" w:sz="0" w:space="0" w:color="auto"/>
        <w:left w:val="none" w:sz="0" w:space="0" w:color="auto"/>
        <w:bottom w:val="none" w:sz="0" w:space="0" w:color="auto"/>
        <w:right w:val="none" w:sz="0" w:space="0" w:color="auto"/>
      </w:divBdr>
    </w:div>
    <w:div w:id="1430198017">
      <w:bodyDiv w:val="1"/>
      <w:marLeft w:val="0"/>
      <w:marRight w:val="0"/>
      <w:marTop w:val="0"/>
      <w:marBottom w:val="0"/>
      <w:divBdr>
        <w:top w:val="none" w:sz="0" w:space="0" w:color="auto"/>
        <w:left w:val="none" w:sz="0" w:space="0" w:color="auto"/>
        <w:bottom w:val="none" w:sz="0" w:space="0" w:color="auto"/>
        <w:right w:val="none" w:sz="0" w:space="0" w:color="auto"/>
      </w:divBdr>
    </w:div>
    <w:div w:id="1431850712">
      <w:bodyDiv w:val="1"/>
      <w:marLeft w:val="0"/>
      <w:marRight w:val="0"/>
      <w:marTop w:val="0"/>
      <w:marBottom w:val="0"/>
      <w:divBdr>
        <w:top w:val="none" w:sz="0" w:space="0" w:color="auto"/>
        <w:left w:val="none" w:sz="0" w:space="0" w:color="auto"/>
        <w:bottom w:val="none" w:sz="0" w:space="0" w:color="auto"/>
        <w:right w:val="none" w:sz="0" w:space="0" w:color="auto"/>
      </w:divBdr>
    </w:div>
    <w:div w:id="1440178683">
      <w:bodyDiv w:val="1"/>
      <w:marLeft w:val="0"/>
      <w:marRight w:val="0"/>
      <w:marTop w:val="0"/>
      <w:marBottom w:val="0"/>
      <w:divBdr>
        <w:top w:val="none" w:sz="0" w:space="0" w:color="auto"/>
        <w:left w:val="none" w:sz="0" w:space="0" w:color="auto"/>
        <w:bottom w:val="none" w:sz="0" w:space="0" w:color="auto"/>
        <w:right w:val="none" w:sz="0" w:space="0" w:color="auto"/>
      </w:divBdr>
    </w:div>
    <w:div w:id="1453479118">
      <w:bodyDiv w:val="1"/>
      <w:marLeft w:val="0"/>
      <w:marRight w:val="0"/>
      <w:marTop w:val="0"/>
      <w:marBottom w:val="0"/>
      <w:divBdr>
        <w:top w:val="none" w:sz="0" w:space="0" w:color="auto"/>
        <w:left w:val="none" w:sz="0" w:space="0" w:color="auto"/>
        <w:bottom w:val="none" w:sz="0" w:space="0" w:color="auto"/>
        <w:right w:val="none" w:sz="0" w:space="0" w:color="auto"/>
      </w:divBdr>
    </w:div>
    <w:div w:id="1455126919">
      <w:bodyDiv w:val="1"/>
      <w:marLeft w:val="0"/>
      <w:marRight w:val="0"/>
      <w:marTop w:val="0"/>
      <w:marBottom w:val="0"/>
      <w:divBdr>
        <w:top w:val="none" w:sz="0" w:space="0" w:color="auto"/>
        <w:left w:val="none" w:sz="0" w:space="0" w:color="auto"/>
        <w:bottom w:val="none" w:sz="0" w:space="0" w:color="auto"/>
        <w:right w:val="none" w:sz="0" w:space="0" w:color="auto"/>
      </w:divBdr>
    </w:div>
    <w:div w:id="1470856851">
      <w:bodyDiv w:val="1"/>
      <w:marLeft w:val="0"/>
      <w:marRight w:val="0"/>
      <w:marTop w:val="0"/>
      <w:marBottom w:val="0"/>
      <w:divBdr>
        <w:top w:val="none" w:sz="0" w:space="0" w:color="auto"/>
        <w:left w:val="none" w:sz="0" w:space="0" w:color="auto"/>
        <w:bottom w:val="none" w:sz="0" w:space="0" w:color="auto"/>
        <w:right w:val="none" w:sz="0" w:space="0" w:color="auto"/>
      </w:divBdr>
    </w:div>
    <w:div w:id="1486626542">
      <w:bodyDiv w:val="1"/>
      <w:marLeft w:val="0"/>
      <w:marRight w:val="0"/>
      <w:marTop w:val="0"/>
      <w:marBottom w:val="0"/>
      <w:divBdr>
        <w:top w:val="none" w:sz="0" w:space="0" w:color="auto"/>
        <w:left w:val="none" w:sz="0" w:space="0" w:color="auto"/>
        <w:bottom w:val="none" w:sz="0" w:space="0" w:color="auto"/>
        <w:right w:val="none" w:sz="0" w:space="0" w:color="auto"/>
      </w:divBdr>
    </w:div>
    <w:div w:id="1487935016">
      <w:bodyDiv w:val="1"/>
      <w:marLeft w:val="0"/>
      <w:marRight w:val="0"/>
      <w:marTop w:val="0"/>
      <w:marBottom w:val="0"/>
      <w:divBdr>
        <w:top w:val="none" w:sz="0" w:space="0" w:color="auto"/>
        <w:left w:val="none" w:sz="0" w:space="0" w:color="auto"/>
        <w:bottom w:val="none" w:sz="0" w:space="0" w:color="auto"/>
        <w:right w:val="none" w:sz="0" w:space="0" w:color="auto"/>
      </w:divBdr>
    </w:div>
    <w:div w:id="1500198273">
      <w:bodyDiv w:val="1"/>
      <w:marLeft w:val="0"/>
      <w:marRight w:val="0"/>
      <w:marTop w:val="0"/>
      <w:marBottom w:val="0"/>
      <w:divBdr>
        <w:top w:val="none" w:sz="0" w:space="0" w:color="auto"/>
        <w:left w:val="none" w:sz="0" w:space="0" w:color="auto"/>
        <w:bottom w:val="none" w:sz="0" w:space="0" w:color="auto"/>
        <w:right w:val="none" w:sz="0" w:space="0" w:color="auto"/>
      </w:divBdr>
    </w:div>
    <w:div w:id="1518420967">
      <w:bodyDiv w:val="1"/>
      <w:marLeft w:val="0"/>
      <w:marRight w:val="0"/>
      <w:marTop w:val="0"/>
      <w:marBottom w:val="0"/>
      <w:divBdr>
        <w:top w:val="none" w:sz="0" w:space="0" w:color="auto"/>
        <w:left w:val="none" w:sz="0" w:space="0" w:color="auto"/>
        <w:bottom w:val="none" w:sz="0" w:space="0" w:color="auto"/>
        <w:right w:val="none" w:sz="0" w:space="0" w:color="auto"/>
      </w:divBdr>
    </w:div>
    <w:div w:id="1524592567">
      <w:bodyDiv w:val="1"/>
      <w:marLeft w:val="0"/>
      <w:marRight w:val="0"/>
      <w:marTop w:val="0"/>
      <w:marBottom w:val="0"/>
      <w:divBdr>
        <w:top w:val="none" w:sz="0" w:space="0" w:color="auto"/>
        <w:left w:val="none" w:sz="0" w:space="0" w:color="auto"/>
        <w:bottom w:val="none" w:sz="0" w:space="0" w:color="auto"/>
        <w:right w:val="none" w:sz="0" w:space="0" w:color="auto"/>
      </w:divBdr>
    </w:div>
    <w:div w:id="1571037427">
      <w:bodyDiv w:val="1"/>
      <w:marLeft w:val="0"/>
      <w:marRight w:val="0"/>
      <w:marTop w:val="0"/>
      <w:marBottom w:val="0"/>
      <w:divBdr>
        <w:top w:val="none" w:sz="0" w:space="0" w:color="auto"/>
        <w:left w:val="none" w:sz="0" w:space="0" w:color="auto"/>
        <w:bottom w:val="none" w:sz="0" w:space="0" w:color="auto"/>
        <w:right w:val="none" w:sz="0" w:space="0" w:color="auto"/>
      </w:divBdr>
    </w:div>
    <w:div w:id="1583100728">
      <w:bodyDiv w:val="1"/>
      <w:marLeft w:val="0"/>
      <w:marRight w:val="0"/>
      <w:marTop w:val="0"/>
      <w:marBottom w:val="0"/>
      <w:divBdr>
        <w:top w:val="none" w:sz="0" w:space="0" w:color="auto"/>
        <w:left w:val="none" w:sz="0" w:space="0" w:color="auto"/>
        <w:bottom w:val="none" w:sz="0" w:space="0" w:color="auto"/>
        <w:right w:val="none" w:sz="0" w:space="0" w:color="auto"/>
      </w:divBdr>
    </w:div>
    <w:div w:id="1653216332">
      <w:bodyDiv w:val="1"/>
      <w:marLeft w:val="0"/>
      <w:marRight w:val="0"/>
      <w:marTop w:val="0"/>
      <w:marBottom w:val="0"/>
      <w:divBdr>
        <w:top w:val="none" w:sz="0" w:space="0" w:color="auto"/>
        <w:left w:val="none" w:sz="0" w:space="0" w:color="auto"/>
        <w:bottom w:val="none" w:sz="0" w:space="0" w:color="auto"/>
        <w:right w:val="none" w:sz="0" w:space="0" w:color="auto"/>
      </w:divBdr>
    </w:div>
    <w:div w:id="1669677997">
      <w:bodyDiv w:val="1"/>
      <w:marLeft w:val="0"/>
      <w:marRight w:val="0"/>
      <w:marTop w:val="0"/>
      <w:marBottom w:val="0"/>
      <w:divBdr>
        <w:top w:val="none" w:sz="0" w:space="0" w:color="auto"/>
        <w:left w:val="none" w:sz="0" w:space="0" w:color="auto"/>
        <w:bottom w:val="none" w:sz="0" w:space="0" w:color="auto"/>
        <w:right w:val="none" w:sz="0" w:space="0" w:color="auto"/>
      </w:divBdr>
    </w:div>
    <w:div w:id="1695960863">
      <w:bodyDiv w:val="1"/>
      <w:marLeft w:val="0"/>
      <w:marRight w:val="0"/>
      <w:marTop w:val="0"/>
      <w:marBottom w:val="0"/>
      <w:divBdr>
        <w:top w:val="none" w:sz="0" w:space="0" w:color="auto"/>
        <w:left w:val="none" w:sz="0" w:space="0" w:color="auto"/>
        <w:bottom w:val="none" w:sz="0" w:space="0" w:color="auto"/>
        <w:right w:val="none" w:sz="0" w:space="0" w:color="auto"/>
      </w:divBdr>
    </w:div>
    <w:div w:id="1711608937">
      <w:bodyDiv w:val="1"/>
      <w:marLeft w:val="0"/>
      <w:marRight w:val="0"/>
      <w:marTop w:val="0"/>
      <w:marBottom w:val="0"/>
      <w:divBdr>
        <w:top w:val="none" w:sz="0" w:space="0" w:color="auto"/>
        <w:left w:val="none" w:sz="0" w:space="0" w:color="auto"/>
        <w:bottom w:val="none" w:sz="0" w:space="0" w:color="auto"/>
        <w:right w:val="none" w:sz="0" w:space="0" w:color="auto"/>
      </w:divBdr>
    </w:div>
    <w:div w:id="1719162647">
      <w:bodyDiv w:val="1"/>
      <w:marLeft w:val="0"/>
      <w:marRight w:val="0"/>
      <w:marTop w:val="0"/>
      <w:marBottom w:val="0"/>
      <w:divBdr>
        <w:top w:val="none" w:sz="0" w:space="0" w:color="auto"/>
        <w:left w:val="none" w:sz="0" w:space="0" w:color="auto"/>
        <w:bottom w:val="none" w:sz="0" w:space="0" w:color="auto"/>
        <w:right w:val="none" w:sz="0" w:space="0" w:color="auto"/>
      </w:divBdr>
    </w:div>
    <w:div w:id="1744067239">
      <w:bodyDiv w:val="1"/>
      <w:marLeft w:val="0"/>
      <w:marRight w:val="0"/>
      <w:marTop w:val="0"/>
      <w:marBottom w:val="0"/>
      <w:divBdr>
        <w:top w:val="none" w:sz="0" w:space="0" w:color="auto"/>
        <w:left w:val="none" w:sz="0" w:space="0" w:color="auto"/>
        <w:bottom w:val="none" w:sz="0" w:space="0" w:color="auto"/>
        <w:right w:val="none" w:sz="0" w:space="0" w:color="auto"/>
      </w:divBdr>
    </w:div>
    <w:div w:id="1763599839">
      <w:bodyDiv w:val="1"/>
      <w:marLeft w:val="0"/>
      <w:marRight w:val="0"/>
      <w:marTop w:val="0"/>
      <w:marBottom w:val="0"/>
      <w:divBdr>
        <w:top w:val="none" w:sz="0" w:space="0" w:color="auto"/>
        <w:left w:val="none" w:sz="0" w:space="0" w:color="auto"/>
        <w:bottom w:val="none" w:sz="0" w:space="0" w:color="auto"/>
        <w:right w:val="none" w:sz="0" w:space="0" w:color="auto"/>
      </w:divBdr>
    </w:div>
    <w:div w:id="1791704752">
      <w:bodyDiv w:val="1"/>
      <w:marLeft w:val="0"/>
      <w:marRight w:val="0"/>
      <w:marTop w:val="0"/>
      <w:marBottom w:val="0"/>
      <w:divBdr>
        <w:top w:val="none" w:sz="0" w:space="0" w:color="auto"/>
        <w:left w:val="none" w:sz="0" w:space="0" w:color="auto"/>
        <w:bottom w:val="none" w:sz="0" w:space="0" w:color="auto"/>
        <w:right w:val="none" w:sz="0" w:space="0" w:color="auto"/>
      </w:divBdr>
    </w:div>
    <w:div w:id="1793673903">
      <w:bodyDiv w:val="1"/>
      <w:marLeft w:val="0"/>
      <w:marRight w:val="0"/>
      <w:marTop w:val="0"/>
      <w:marBottom w:val="0"/>
      <w:divBdr>
        <w:top w:val="none" w:sz="0" w:space="0" w:color="auto"/>
        <w:left w:val="none" w:sz="0" w:space="0" w:color="auto"/>
        <w:bottom w:val="none" w:sz="0" w:space="0" w:color="auto"/>
        <w:right w:val="none" w:sz="0" w:space="0" w:color="auto"/>
      </w:divBdr>
    </w:div>
    <w:div w:id="1843861607">
      <w:bodyDiv w:val="1"/>
      <w:marLeft w:val="0"/>
      <w:marRight w:val="0"/>
      <w:marTop w:val="0"/>
      <w:marBottom w:val="0"/>
      <w:divBdr>
        <w:top w:val="none" w:sz="0" w:space="0" w:color="auto"/>
        <w:left w:val="none" w:sz="0" w:space="0" w:color="auto"/>
        <w:bottom w:val="none" w:sz="0" w:space="0" w:color="auto"/>
        <w:right w:val="none" w:sz="0" w:space="0" w:color="auto"/>
      </w:divBdr>
    </w:div>
    <w:div w:id="1881089996">
      <w:bodyDiv w:val="1"/>
      <w:marLeft w:val="0"/>
      <w:marRight w:val="0"/>
      <w:marTop w:val="0"/>
      <w:marBottom w:val="0"/>
      <w:divBdr>
        <w:top w:val="none" w:sz="0" w:space="0" w:color="auto"/>
        <w:left w:val="none" w:sz="0" w:space="0" w:color="auto"/>
        <w:bottom w:val="none" w:sz="0" w:space="0" w:color="auto"/>
        <w:right w:val="none" w:sz="0" w:space="0" w:color="auto"/>
      </w:divBdr>
    </w:div>
    <w:div w:id="1895043449">
      <w:bodyDiv w:val="1"/>
      <w:marLeft w:val="0"/>
      <w:marRight w:val="0"/>
      <w:marTop w:val="0"/>
      <w:marBottom w:val="0"/>
      <w:divBdr>
        <w:top w:val="none" w:sz="0" w:space="0" w:color="auto"/>
        <w:left w:val="none" w:sz="0" w:space="0" w:color="auto"/>
        <w:bottom w:val="none" w:sz="0" w:space="0" w:color="auto"/>
        <w:right w:val="none" w:sz="0" w:space="0" w:color="auto"/>
      </w:divBdr>
    </w:div>
    <w:div w:id="1916696683">
      <w:bodyDiv w:val="1"/>
      <w:marLeft w:val="0"/>
      <w:marRight w:val="0"/>
      <w:marTop w:val="0"/>
      <w:marBottom w:val="0"/>
      <w:divBdr>
        <w:top w:val="none" w:sz="0" w:space="0" w:color="auto"/>
        <w:left w:val="none" w:sz="0" w:space="0" w:color="auto"/>
        <w:bottom w:val="none" w:sz="0" w:space="0" w:color="auto"/>
        <w:right w:val="none" w:sz="0" w:space="0" w:color="auto"/>
      </w:divBdr>
    </w:div>
    <w:div w:id="1954894730">
      <w:bodyDiv w:val="1"/>
      <w:marLeft w:val="0"/>
      <w:marRight w:val="0"/>
      <w:marTop w:val="0"/>
      <w:marBottom w:val="0"/>
      <w:divBdr>
        <w:top w:val="none" w:sz="0" w:space="0" w:color="auto"/>
        <w:left w:val="none" w:sz="0" w:space="0" w:color="auto"/>
        <w:bottom w:val="none" w:sz="0" w:space="0" w:color="auto"/>
        <w:right w:val="none" w:sz="0" w:space="0" w:color="auto"/>
      </w:divBdr>
    </w:div>
    <w:div w:id="1979339526">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1902262">
      <w:bodyDiv w:val="1"/>
      <w:marLeft w:val="0"/>
      <w:marRight w:val="0"/>
      <w:marTop w:val="0"/>
      <w:marBottom w:val="0"/>
      <w:divBdr>
        <w:top w:val="none" w:sz="0" w:space="0" w:color="auto"/>
        <w:left w:val="none" w:sz="0" w:space="0" w:color="auto"/>
        <w:bottom w:val="none" w:sz="0" w:space="0" w:color="auto"/>
        <w:right w:val="none" w:sz="0" w:space="0" w:color="auto"/>
      </w:divBdr>
    </w:div>
    <w:div w:id="2009475082">
      <w:bodyDiv w:val="1"/>
      <w:marLeft w:val="0"/>
      <w:marRight w:val="0"/>
      <w:marTop w:val="0"/>
      <w:marBottom w:val="0"/>
      <w:divBdr>
        <w:top w:val="none" w:sz="0" w:space="0" w:color="auto"/>
        <w:left w:val="none" w:sz="0" w:space="0" w:color="auto"/>
        <w:bottom w:val="none" w:sz="0" w:space="0" w:color="auto"/>
        <w:right w:val="none" w:sz="0" w:space="0" w:color="auto"/>
      </w:divBdr>
    </w:div>
    <w:div w:id="2077391929">
      <w:bodyDiv w:val="1"/>
      <w:marLeft w:val="0"/>
      <w:marRight w:val="0"/>
      <w:marTop w:val="0"/>
      <w:marBottom w:val="0"/>
      <w:divBdr>
        <w:top w:val="none" w:sz="0" w:space="0" w:color="auto"/>
        <w:left w:val="none" w:sz="0" w:space="0" w:color="auto"/>
        <w:bottom w:val="none" w:sz="0" w:space="0" w:color="auto"/>
        <w:right w:val="none" w:sz="0" w:space="0" w:color="auto"/>
      </w:divBdr>
    </w:div>
    <w:div w:id="2089569995">
      <w:bodyDiv w:val="1"/>
      <w:marLeft w:val="0"/>
      <w:marRight w:val="0"/>
      <w:marTop w:val="0"/>
      <w:marBottom w:val="0"/>
      <w:divBdr>
        <w:top w:val="none" w:sz="0" w:space="0" w:color="auto"/>
        <w:left w:val="none" w:sz="0" w:space="0" w:color="auto"/>
        <w:bottom w:val="none" w:sz="0" w:space="0" w:color="auto"/>
        <w:right w:val="none" w:sz="0" w:space="0" w:color="auto"/>
      </w:divBdr>
    </w:div>
    <w:div w:id="2097435064">
      <w:bodyDiv w:val="1"/>
      <w:marLeft w:val="0"/>
      <w:marRight w:val="0"/>
      <w:marTop w:val="0"/>
      <w:marBottom w:val="0"/>
      <w:divBdr>
        <w:top w:val="none" w:sz="0" w:space="0" w:color="auto"/>
        <w:left w:val="none" w:sz="0" w:space="0" w:color="auto"/>
        <w:bottom w:val="none" w:sz="0" w:space="0" w:color="auto"/>
        <w:right w:val="none" w:sz="0" w:space="0" w:color="auto"/>
      </w:divBdr>
    </w:div>
    <w:div w:id="210541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f.gob.mx/nota_detalle.php?codigo=4809618&amp;fecha=06/12/1993" TargetMode="External"/><Relationship Id="rId18" Type="http://schemas.openxmlformats.org/officeDocument/2006/relationships/hyperlink" Target="http://www.stuk.fi/web/en/stuk-supervises/measurements-of-mobile-phone-radiation" TargetMode="External"/><Relationship Id="rId26" Type="http://schemas.openxmlformats.org/officeDocument/2006/relationships/hyperlink" Target="https://www.planalto.gov.br/ccivil_03/_ato2007-2010/2009/lei/l11934.htm" TargetMode="External"/><Relationship Id="rId3" Type="http://schemas.openxmlformats.org/officeDocument/2006/relationships/numbering" Target="numbering.xml"/><Relationship Id="rId21" Type="http://schemas.openxmlformats.org/officeDocument/2006/relationships/hyperlink" Target="http://www.tele.soumu.go.jp/resource/e/ele/body/pdf/ttc.pdf" TargetMode="External"/><Relationship Id="rId7" Type="http://schemas.openxmlformats.org/officeDocument/2006/relationships/footnotes" Target="footnotes.xml"/><Relationship Id="rId12" Type="http://schemas.openxmlformats.org/officeDocument/2006/relationships/hyperlink" Target="http://emfguide.itu.int/emfguide.html" TargetMode="External"/><Relationship Id="rId17" Type="http://schemas.openxmlformats.org/officeDocument/2006/relationships/hyperlink" Target="https://www.stuklex.fi/en/haku/ls/19910592" TargetMode="External"/><Relationship Id="rId25" Type="http://schemas.openxmlformats.org/officeDocument/2006/relationships/hyperlink" Target="https://www.legislation.gov.au/Details/F2014L00960" TargetMode="External"/><Relationship Id="rId2" Type="http://schemas.openxmlformats.org/officeDocument/2006/relationships/customXml" Target="../customXml/item2.xml"/><Relationship Id="rId16" Type="http://schemas.openxmlformats.org/officeDocument/2006/relationships/hyperlink" Target="http://www.ic.gc.ca/eic/site/smt-gst.nsf/eng/sf01904.html" TargetMode="External"/><Relationship Id="rId20" Type="http://schemas.openxmlformats.org/officeDocument/2006/relationships/hyperlink" Target="http://eur-lex.europa.eu/legal-content/ES/TXT/?uri=CELEX:32013L003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andards.ieee.org/findstds/standard/1528-2013.html" TargetMode="External"/><Relationship Id="rId24" Type="http://schemas.openxmlformats.org/officeDocument/2006/relationships/hyperlink" Target="https://www.arpansa.gov.au/regulation-and-licensing/regulatory-publications/radiation-protection-series/codes-and-standards/rps3" TargetMode="External"/><Relationship Id="rId5" Type="http://schemas.openxmlformats.org/officeDocument/2006/relationships/settings" Target="settings.xml"/><Relationship Id="rId15" Type="http://schemas.openxmlformats.org/officeDocument/2006/relationships/hyperlink" Target="https://www.fcc.gov/cgb/sar/" TargetMode="External"/><Relationship Id="rId23" Type="http://schemas.openxmlformats.org/officeDocument/2006/relationships/hyperlink" Target="http://www.tele.soumu.go.jp/e/sys/ele/body/index.htm" TargetMode="External"/><Relationship Id="rId28" Type="http://schemas.openxmlformats.org/officeDocument/2006/relationships/header" Target="header1.xml"/><Relationship Id="rId10" Type="http://schemas.openxmlformats.org/officeDocument/2006/relationships/hyperlink" Target="http://www.dtic.mil/docs/citations/ADA225094" TargetMode="External"/><Relationship Id="rId19" Type="http://schemas.openxmlformats.org/officeDocument/2006/relationships/hyperlink" Target="http://eur-lex.europa.eu/legal-content/ES/TXT/?uri=CELEX:52011AE1855"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horacio.villalobos@ift.org.mx" TargetMode="External"/><Relationship Id="rId14" Type="http://schemas.openxmlformats.org/officeDocument/2006/relationships/hyperlink" Target="https://www.law.cornell.edu/cfr/text/47/2.1091" TargetMode="External"/><Relationship Id="rId22" Type="http://schemas.openxmlformats.org/officeDocument/2006/relationships/hyperlink" Target="https://www.arib.or.jp/english/std_tr/telecommunications/std-t56.html" TargetMode="External"/><Relationship Id="rId27" Type="http://schemas.openxmlformats.org/officeDocument/2006/relationships/hyperlink" Target="https://www.leychile.cl/Navegar?idNorma=206184"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tandards.ieee.org/findstds/standard/C95.3-2002.html" TargetMode="External"/><Relationship Id="rId13" Type="http://schemas.openxmlformats.org/officeDocument/2006/relationships/hyperlink" Target="http://www.stuk.fi/web/en/stuk-supervises/measurements-of-mobile-phone-radiation" TargetMode="External"/><Relationship Id="rId18" Type="http://schemas.openxmlformats.org/officeDocument/2006/relationships/hyperlink" Target="https://www.legislation.gov.au/Details/F2014L00960" TargetMode="External"/><Relationship Id="rId3" Type="http://schemas.openxmlformats.org/officeDocument/2006/relationships/hyperlink" Target="http://dof.gob.mx/nota_detalle.php?codigo=4809618&amp;fecha=06/12/1993" TargetMode="External"/><Relationship Id="rId21" Type="http://schemas.openxmlformats.org/officeDocument/2006/relationships/hyperlink" Target="https://www.inegi.org.mx/app/tabulados/pxweb/inicio.html?rxid=d518b312-a32e-4d23-a8dd-08a64c187a6c&amp;db=Poblacion&amp;px=poblacion_01" TargetMode="External"/><Relationship Id="rId7" Type="http://schemas.openxmlformats.org/officeDocument/2006/relationships/hyperlink" Target="http://www.ic.gc.ca/eic/site/smt-gst.nsf/eng/sf01904.html" TargetMode="External"/><Relationship Id="rId12" Type="http://schemas.openxmlformats.org/officeDocument/2006/relationships/hyperlink" Target="http://eur-lex.europa.eu/legal-content/EN/TXT/?uri=celex%3A32013L0035" TargetMode="External"/><Relationship Id="rId17" Type="http://schemas.openxmlformats.org/officeDocument/2006/relationships/hyperlink" Target="https://www.arpansa.gov.au/regulation-and-licensing/regulatory-publications/radiation-protection-series/codes-and-standards/rps3" TargetMode="External"/><Relationship Id="rId25" Type="http://schemas.openxmlformats.org/officeDocument/2006/relationships/hyperlink" Target="http://www.ift.org.mx/industria/consultas-publicas/consulta-publica-sobre-el-anteproyecto-de-disposicion-tecnica-ift-012-2016-especificaciones-para-el" TargetMode="External"/><Relationship Id="rId2" Type="http://schemas.openxmlformats.org/officeDocument/2006/relationships/hyperlink" Target="http://emfguide.itu.int/emfguide.html" TargetMode="External"/><Relationship Id="rId16" Type="http://schemas.openxmlformats.org/officeDocument/2006/relationships/hyperlink" Target="http://www.tele.soumu.go.jp/e/sys/ele/body/index.htm" TargetMode="External"/><Relationship Id="rId20" Type="http://schemas.openxmlformats.org/officeDocument/2006/relationships/hyperlink" Target="https://www.leychile.cl/Navegar?idNorma=271021&amp;idParte=8974124&amp;idVersion=2008-05-08" TargetMode="External"/><Relationship Id="rId1" Type="http://schemas.openxmlformats.org/officeDocument/2006/relationships/hyperlink" Target="https://www.icnirp.org/cms/upload/publications/ICNIRPemfgdl.pdf" TargetMode="External"/><Relationship Id="rId6" Type="http://schemas.openxmlformats.org/officeDocument/2006/relationships/hyperlink" Target="https://standards.ieee.org/findstds/standard/1528-2013.html" TargetMode="External"/><Relationship Id="rId11" Type="http://schemas.openxmlformats.org/officeDocument/2006/relationships/hyperlink" Target="http://eur-lex.europa.eu/legal-content/EN/TXT/?uri=CELEX%3A52011PC0348" TargetMode="External"/><Relationship Id="rId24" Type="http://schemas.openxmlformats.org/officeDocument/2006/relationships/hyperlink" Target="http://dof.gob.mx/nota_detalle.php?codigo=5428881&amp;fecha=07/03/2016" TargetMode="External"/><Relationship Id="rId5" Type="http://schemas.openxmlformats.org/officeDocument/2006/relationships/hyperlink" Target="https://www.fcc.gov/cgb/sar/" TargetMode="External"/><Relationship Id="rId15" Type="http://schemas.openxmlformats.org/officeDocument/2006/relationships/hyperlink" Target="https://www.arib.or.jp/english/std_tr/telecommunications/std-t56.html" TargetMode="External"/><Relationship Id="rId23" Type="http://schemas.openxmlformats.org/officeDocument/2006/relationships/hyperlink" Target="http://www.ift.org.mx/tramites/solicitud-de-certificado-de-homologacion-definitivo-de-un-equipo-previamente-certificado-por-un-0" TargetMode="External"/><Relationship Id="rId10" Type="http://schemas.openxmlformats.org/officeDocument/2006/relationships/hyperlink" Target="https://www.stuklex.fi/en/haku/ls/19910592" TargetMode="External"/><Relationship Id="rId19" Type="http://schemas.openxmlformats.org/officeDocument/2006/relationships/hyperlink" Target="https://www.planalto.gov.br/ccivil_03/_ato2007-2010/2009/lei/l11934.htm" TargetMode="External"/><Relationship Id="rId4" Type="http://schemas.openxmlformats.org/officeDocument/2006/relationships/hyperlink" Target="https://www.law.cornell.edu/cfr/text/47/2.1091" TargetMode="External"/><Relationship Id="rId9" Type="http://schemas.openxmlformats.org/officeDocument/2006/relationships/hyperlink" Target="https://sms-sgs.ic.gc.ca/equipmentSearch/searchRadioEquipments" TargetMode="External"/><Relationship Id="rId14" Type="http://schemas.openxmlformats.org/officeDocument/2006/relationships/hyperlink" Target="http://www.tele.soumu.go.jp/resource/e/ele/body/pdf/ttc.pdf" TargetMode="External"/><Relationship Id="rId22" Type="http://schemas.openxmlformats.org/officeDocument/2006/relationships/hyperlink" Target="https://www.inegi.org.mx/app/tabulados/pxweb/inicio.html?rxid=75ada3fe-1e52-41b3-bf27-4cda26e957a7&amp;db=LenguaIndigena&amp;px=Lengua_0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showOrganigrama&amp;_idDependencia=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EE4542-7EE0-49E8-B08D-DCCAEDC8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13864</Words>
  <Characters>76252</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Nimbe Leonor Ewald Arostegui</dc:creator>
  <cp:keywords/>
  <dc:description/>
  <cp:lastModifiedBy>Horacio Villalobos Tlatempa</cp:lastModifiedBy>
  <cp:revision>2</cp:revision>
  <dcterms:created xsi:type="dcterms:W3CDTF">2019-11-13T16:35:00Z</dcterms:created>
  <dcterms:modified xsi:type="dcterms:W3CDTF">2019-11-13T16:35:00Z</dcterms:modified>
</cp:coreProperties>
</file>