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A871B" w14:textId="72421A07" w:rsidR="00014BB7" w:rsidRPr="00A1405F" w:rsidRDefault="001211C1" w:rsidP="00A1405F">
      <w:pPr>
        <w:tabs>
          <w:tab w:val="left" w:pos="720"/>
          <w:tab w:val="left" w:pos="1134"/>
        </w:tabs>
        <w:spacing w:line="276" w:lineRule="auto"/>
        <w:jc w:val="both"/>
        <w:rPr>
          <w:rFonts w:ascii="ITC Avant Garde" w:hAnsi="ITC Avant Garde"/>
          <w:b/>
          <w:sz w:val="22"/>
          <w:szCs w:val="22"/>
        </w:rPr>
      </w:pPr>
      <w:r w:rsidRPr="00A1405F">
        <w:rPr>
          <w:rFonts w:ascii="ITC Avant Garde" w:hAnsi="ITC Avant Garde" w:cs="Tahoma"/>
          <w:b/>
          <w:bCs/>
          <w:color w:val="000000"/>
          <w:sz w:val="22"/>
          <w:szCs w:val="22"/>
          <w:lang w:val="es-ES_tradnl" w:eastAsia="es-MX"/>
        </w:rPr>
        <w:t>ACUERDO MEDIANTE EL CUAL</w:t>
      </w:r>
      <w:r w:rsidR="00AD55DE" w:rsidRPr="00A1405F">
        <w:rPr>
          <w:rFonts w:ascii="ITC Avant Garde" w:hAnsi="ITC Avant Garde" w:cs="Tahoma"/>
          <w:b/>
          <w:bCs/>
          <w:color w:val="000000"/>
          <w:sz w:val="22"/>
          <w:szCs w:val="22"/>
          <w:lang w:val="es-ES_tradnl" w:eastAsia="es-MX"/>
        </w:rPr>
        <w:t xml:space="preserve"> EL PLENO DEL INSTITUTO FEDERAL DE TELECOMUNICACIONES </w:t>
      </w:r>
      <w:r w:rsidR="006659C0" w:rsidRPr="00A1405F">
        <w:rPr>
          <w:rFonts w:ascii="ITC Avant Garde" w:hAnsi="ITC Avant Garde" w:cs="Tahoma"/>
          <w:b/>
          <w:bCs/>
          <w:color w:val="000000"/>
          <w:sz w:val="22"/>
          <w:szCs w:val="22"/>
          <w:lang w:val="es-ES_tradnl" w:eastAsia="es-MX"/>
        </w:rPr>
        <w:t xml:space="preserve">DETERMINA </w:t>
      </w:r>
      <w:r w:rsidR="002C3AAE" w:rsidRPr="00A1405F">
        <w:rPr>
          <w:rFonts w:ascii="ITC Avant Garde" w:hAnsi="ITC Avant Garde" w:cs="Tahoma"/>
          <w:b/>
          <w:bCs/>
          <w:color w:val="000000"/>
          <w:sz w:val="22"/>
          <w:szCs w:val="22"/>
          <w:lang w:val="es-ES_tradnl" w:eastAsia="es-MX"/>
        </w:rPr>
        <w:t xml:space="preserve">SOMETER A CONSULTA PÚBLICA EL </w:t>
      </w:r>
      <w:r w:rsidR="006659C0" w:rsidRPr="00A1405F">
        <w:rPr>
          <w:rFonts w:ascii="ITC Avant Garde" w:hAnsi="ITC Avant Garde" w:cs="Tahoma"/>
          <w:b/>
          <w:bCs/>
          <w:color w:val="000000"/>
          <w:sz w:val="22"/>
          <w:szCs w:val="22"/>
          <w:lang w:val="es-ES_tradnl" w:eastAsia="es-MX"/>
        </w:rPr>
        <w:t>“</w:t>
      </w:r>
      <w:r w:rsidR="002C3AAE" w:rsidRPr="00A1405F">
        <w:rPr>
          <w:rFonts w:ascii="ITC Avant Garde" w:hAnsi="ITC Avant Garde" w:cs="Tahoma"/>
          <w:b/>
          <w:bCs/>
          <w:color w:val="000000"/>
          <w:sz w:val="22"/>
          <w:szCs w:val="22"/>
          <w:lang w:val="es-ES_tradnl" w:eastAsia="es-MX"/>
        </w:rPr>
        <w:t>ANTEPROYECTO</w:t>
      </w:r>
      <w:r w:rsidR="00014BB7" w:rsidRPr="00A1405F">
        <w:rPr>
          <w:rFonts w:ascii="ITC Avant Garde" w:hAnsi="ITC Avant Garde" w:cs="Tahoma"/>
          <w:b/>
          <w:bCs/>
          <w:color w:val="000000"/>
          <w:sz w:val="22"/>
          <w:szCs w:val="22"/>
          <w:lang w:val="es-ES_tradnl" w:eastAsia="es-MX"/>
        </w:rPr>
        <w:t xml:space="preserve"> </w:t>
      </w:r>
      <w:r w:rsidR="00AE1C02" w:rsidRPr="00A1405F">
        <w:rPr>
          <w:rFonts w:ascii="ITC Avant Garde" w:hAnsi="ITC Avant Garde" w:cs="Tahoma"/>
          <w:b/>
          <w:bCs/>
          <w:color w:val="000000"/>
          <w:sz w:val="22"/>
          <w:szCs w:val="22"/>
          <w:lang w:val="es-ES_tradnl" w:eastAsia="es-MX"/>
        </w:rPr>
        <w:t xml:space="preserve">DE </w:t>
      </w:r>
      <w:r w:rsidR="00B13FB0" w:rsidRPr="00A1405F">
        <w:rPr>
          <w:rFonts w:ascii="ITC Avant Garde" w:hAnsi="ITC Avant Garde" w:cs="Tahoma"/>
          <w:b/>
          <w:bCs/>
          <w:color w:val="000000"/>
          <w:sz w:val="22"/>
          <w:szCs w:val="22"/>
          <w:lang w:val="es-ES_tradnl" w:eastAsia="es-MX"/>
        </w:rPr>
        <w:t xml:space="preserve">DISPOSICIÓN TÉCNICA IFT-012-2016: </w:t>
      </w:r>
      <w:r w:rsidR="00AE1C02" w:rsidRPr="00A1405F">
        <w:rPr>
          <w:rFonts w:ascii="ITC Avant Garde" w:hAnsi="ITC Avant Garde" w:cs="Tahoma"/>
          <w:b/>
          <w:bCs/>
          <w:color w:val="000000"/>
          <w:sz w:val="22"/>
          <w:szCs w:val="22"/>
          <w:lang w:val="es-ES_tradnl" w:eastAsia="es-MX"/>
        </w:rPr>
        <w:t xml:space="preserve">ESPECIFICACIONES TÉCNICAS PARA EL CUMPLIMIENTO DE LOS LÍMITES MÁXIMOS DE </w:t>
      </w:r>
      <w:r w:rsidR="00D400E7" w:rsidRPr="00A1405F">
        <w:rPr>
          <w:rFonts w:ascii="ITC Avant Garde" w:hAnsi="ITC Avant Garde" w:cs="Tahoma"/>
          <w:b/>
          <w:bCs/>
          <w:color w:val="000000"/>
          <w:sz w:val="22"/>
          <w:szCs w:val="22"/>
          <w:lang w:val="es-ES_tradnl" w:eastAsia="es-MX"/>
        </w:rPr>
        <w:t>EMISIONES RADIOELÉCTRICAS</w:t>
      </w:r>
      <w:r w:rsidR="00AE1C02" w:rsidRPr="00A1405F">
        <w:rPr>
          <w:rFonts w:ascii="ITC Avant Garde" w:hAnsi="ITC Avant Garde" w:cs="Tahoma"/>
          <w:b/>
          <w:bCs/>
          <w:color w:val="000000"/>
          <w:sz w:val="22"/>
          <w:szCs w:val="22"/>
          <w:lang w:val="es-ES_tradnl" w:eastAsia="es-MX"/>
        </w:rPr>
        <w:t xml:space="preserve"> NO IONIZANTES DE LOS PRODUCTOS, EQUIPOS, DISPOSITIVOS O APARATOS DESTINADOS A TELECOMUNICACIONES QUE PUEDEN SER CONECTADOS A UNA RED DE TELECOMUNICACIONES </w:t>
      </w:r>
      <w:r w:rsidR="00B37C6F" w:rsidRPr="00A1405F">
        <w:rPr>
          <w:rFonts w:ascii="ITC Avant Garde" w:hAnsi="ITC Avant Garde" w:cs="Tahoma"/>
          <w:b/>
          <w:bCs/>
          <w:color w:val="000000"/>
          <w:sz w:val="22"/>
          <w:szCs w:val="22"/>
          <w:lang w:val="es-ES_tradnl" w:eastAsia="es-MX"/>
        </w:rPr>
        <w:t>Y/</w:t>
      </w:r>
      <w:r w:rsidR="00AE1C02" w:rsidRPr="00A1405F">
        <w:rPr>
          <w:rFonts w:ascii="ITC Avant Garde" w:hAnsi="ITC Avant Garde" w:cs="Tahoma"/>
          <w:b/>
          <w:bCs/>
          <w:color w:val="000000"/>
          <w:sz w:val="22"/>
          <w:szCs w:val="22"/>
          <w:lang w:val="es-ES_tradnl" w:eastAsia="es-MX"/>
        </w:rPr>
        <w:t>O HACER USO DEL ESPECTRO RADIOELÉCTRICO. ÍNDICE DE ABSORCIÓN ESPECÍFICA (SAR)</w:t>
      </w:r>
      <w:r w:rsidR="009E4A92" w:rsidRPr="00A1405F">
        <w:rPr>
          <w:rFonts w:ascii="ITC Avant Garde" w:hAnsi="ITC Avant Garde" w:cs="Tahoma"/>
          <w:b/>
          <w:bCs/>
          <w:color w:val="000000"/>
          <w:sz w:val="22"/>
          <w:szCs w:val="22"/>
          <w:lang w:val="es-ES_tradnl" w:eastAsia="es-MX"/>
        </w:rPr>
        <w:t>”</w:t>
      </w:r>
      <w:r w:rsidR="00AE1C02" w:rsidRPr="00A1405F">
        <w:rPr>
          <w:rFonts w:ascii="ITC Avant Garde" w:hAnsi="ITC Avant Garde" w:cs="Tahoma"/>
          <w:b/>
          <w:bCs/>
          <w:color w:val="000000"/>
          <w:sz w:val="22"/>
          <w:szCs w:val="22"/>
          <w:lang w:val="es-ES_tradnl" w:eastAsia="es-MX"/>
        </w:rPr>
        <w:t>.</w:t>
      </w:r>
    </w:p>
    <w:p w14:paraId="320DDD78" w14:textId="77777777" w:rsidR="00AD55DE" w:rsidRPr="00A1405F" w:rsidRDefault="00AD55DE" w:rsidP="00A1405F">
      <w:pPr>
        <w:spacing w:line="276" w:lineRule="auto"/>
        <w:jc w:val="both"/>
        <w:rPr>
          <w:rFonts w:ascii="ITC Avant Garde" w:hAnsi="ITC Avant Garde"/>
          <w:sz w:val="22"/>
          <w:szCs w:val="22"/>
        </w:rPr>
      </w:pPr>
    </w:p>
    <w:p w14:paraId="58F60315" w14:textId="77777777" w:rsidR="00AD55DE" w:rsidRPr="00A1405F" w:rsidRDefault="00AD55DE" w:rsidP="00A1405F">
      <w:pPr>
        <w:pStyle w:val="ANOTACION"/>
        <w:spacing w:line="276" w:lineRule="auto"/>
        <w:rPr>
          <w:rFonts w:ascii="ITC Avant Garde" w:hAnsi="ITC Avant Garde" w:cs="Arial"/>
          <w:bCs/>
          <w:sz w:val="22"/>
          <w:szCs w:val="22"/>
          <w:lang w:eastAsia="es-MX"/>
        </w:rPr>
      </w:pPr>
      <w:r w:rsidRPr="00A1405F">
        <w:rPr>
          <w:rFonts w:ascii="ITC Avant Garde" w:hAnsi="ITC Avant Garde" w:cs="Arial"/>
          <w:bCs/>
          <w:sz w:val="22"/>
          <w:szCs w:val="22"/>
          <w:lang w:eastAsia="es-MX"/>
        </w:rPr>
        <w:t>ANTECEDENTES</w:t>
      </w:r>
    </w:p>
    <w:p w14:paraId="70E12933" w14:textId="77777777" w:rsidR="00014BB7" w:rsidRPr="00A1405F" w:rsidRDefault="00014BB7" w:rsidP="00A1405F">
      <w:pPr>
        <w:pStyle w:val="ANOTACION"/>
        <w:spacing w:line="276" w:lineRule="auto"/>
        <w:rPr>
          <w:rFonts w:ascii="ITC Avant Garde" w:hAnsi="ITC Avant Garde" w:cs="Arial"/>
          <w:bCs/>
          <w:sz w:val="22"/>
          <w:szCs w:val="22"/>
          <w:lang w:eastAsia="es-MX"/>
        </w:rPr>
      </w:pPr>
    </w:p>
    <w:p w14:paraId="08F66AF0" w14:textId="77777777" w:rsidR="00E72CD9" w:rsidRPr="00A1405F" w:rsidRDefault="00D00E71" w:rsidP="00A1405F">
      <w:pPr>
        <w:pStyle w:val="Prrafodelista"/>
        <w:numPr>
          <w:ilvl w:val="0"/>
          <w:numId w:val="12"/>
        </w:numPr>
        <w:spacing w:line="276" w:lineRule="auto"/>
        <w:jc w:val="both"/>
        <w:rPr>
          <w:rFonts w:ascii="ITC Avant Garde" w:hAnsi="ITC Avant Garde"/>
          <w:sz w:val="22"/>
          <w:szCs w:val="22"/>
          <w:lang w:val="es-ES"/>
        </w:rPr>
      </w:pPr>
      <w:r w:rsidRPr="00A1405F">
        <w:rPr>
          <w:rFonts w:ascii="ITC Avant Garde" w:hAnsi="ITC Avant Garde"/>
          <w:sz w:val="22"/>
          <w:szCs w:val="22"/>
          <w:lang w:val="es-ES"/>
        </w:rPr>
        <w:t xml:space="preserve">El 11 de junio de 2013 se publicó en </w:t>
      </w:r>
      <w:r w:rsidR="008A5F01" w:rsidRPr="00A1405F">
        <w:rPr>
          <w:rFonts w:ascii="ITC Avant Garde" w:hAnsi="ITC Avant Garde"/>
          <w:sz w:val="22"/>
          <w:szCs w:val="22"/>
          <w:lang w:val="es-ES"/>
        </w:rPr>
        <w:t xml:space="preserve">el Diario Oficial de la Federación (en lo sucesivo, </w:t>
      </w:r>
      <w:r w:rsidRPr="00A1405F">
        <w:rPr>
          <w:rFonts w:ascii="ITC Avant Garde" w:hAnsi="ITC Avant Garde"/>
          <w:sz w:val="22"/>
          <w:szCs w:val="22"/>
          <w:lang w:val="es-ES"/>
        </w:rPr>
        <w:t xml:space="preserve">el </w:t>
      </w:r>
      <w:r w:rsidR="008A5F01" w:rsidRPr="00A1405F">
        <w:rPr>
          <w:rFonts w:ascii="ITC Avant Garde" w:hAnsi="ITC Avant Garde"/>
          <w:sz w:val="22"/>
          <w:szCs w:val="22"/>
          <w:lang w:val="es-ES"/>
        </w:rPr>
        <w:t>“</w:t>
      </w:r>
      <w:r w:rsidRPr="00A1405F">
        <w:rPr>
          <w:rFonts w:ascii="ITC Avant Garde" w:hAnsi="ITC Avant Garde"/>
          <w:sz w:val="22"/>
          <w:szCs w:val="22"/>
          <w:lang w:val="es-ES"/>
        </w:rPr>
        <w:t>DOF</w:t>
      </w:r>
      <w:r w:rsidR="008A5F01" w:rsidRPr="00A1405F">
        <w:rPr>
          <w:rFonts w:ascii="ITC Avant Garde" w:hAnsi="ITC Avant Garde"/>
          <w:sz w:val="22"/>
          <w:szCs w:val="22"/>
          <w:lang w:val="es-ES"/>
        </w:rPr>
        <w:t>”)</w:t>
      </w:r>
      <w:r w:rsidR="008D1966" w:rsidRPr="00A1405F">
        <w:rPr>
          <w:rFonts w:ascii="ITC Avant Garde" w:hAnsi="ITC Avant Garde"/>
          <w:sz w:val="22"/>
          <w:szCs w:val="22"/>
          <w:lang w:val="es-ES"/>
        </w:rPr>
        <w:t xml:space="preserve"> </w:t>
      </w:r>
      <w:r w:rsidRPr="00A1405F">
        <w:rPr>
          <w:rFonts w:ascii="ITC Avant Garde" w:hAnsi="ITC Avant Garde"/>
          <w:sz w:val="22"/>
          <w:szCs w:val="22"/>
          <w:lang w:val="es-ES"/>
        </w:rPr>
        <w:t>el "Decreto por el que se reforman y adicionan diversas disposiciones de los artículos 6o., 7o., 27, 28, 73, 78, 94 y 105 de la Constitución Política de los Estados Unidos Mexicanos, en materia de telecomunicaciones", (en lo sucesivo, el "Decreto Constitucional"), mediante el cual se creó el Instituto Federal de Telecomunicaciones (en lo sucesivo, el "Instituto"), como un órgano autónomo con personalidad jurídica y patrimonio propio.</w:t>
      </w:r>
    </w:p>
    <w:p w14:paraId="707131C1" w14:textId="77777777" w:rsidR="00E72CD9" w:rsidRPr="00A1405F" w:rsidRDefault="00E72CD9" w:rsidP="00A1405F">
      <w:pPr>
        <w:pStyle w:val="Prrafodelista"/>
        <w:spacing w:line="276" w:lineRule="auto"/>
        <w:ind w:left="1080"/>
        <w:jc w:val="both"/>
        <w:rPr>
          <w:rFonts w:ascii="ITC Avant Garde" w:hAnsi="ITC Avant Garde"/>
          <w:sz w:val="22"/>
          <w:szCs w:val="22"/>
          <w:lang w:val="es-ES"/>
        </w:rPr>
      </w:pPr>
    </w:p>
    <w:p w14:paraId="418EBEA3" w14:textId="77777777" w:rsidR="00E72CD9" w:rsidRPr="00A1405F" w:rsidRDefault="00D00E71" w:rsidP="00A1405F">
      <w:pPr>
        <w:pStyle w:val="Prrafodelista"/>
        <w:numPr>
          <w:ilvl w:val="0"/>
          <w:numId w:val="12"/>
        </w:numPr>
        <w:spacing w:line="276" w:lineRule="auto"/>
        <w:jc w:val="both"/>
        <w:rPr>
          <w:rFonts w:ascii="ITC Avant Garde" w:hAnsi="ITC Avant Garde"/>
          <w:bCs/>
          <w:sz w:val="22"/>
          <w:szCs w:val="22"/>
          <w:lang w:val="es-ES_tradnl" w:eastAsia="es-MX"/>
        </w:rPr>
      </w:pPr>
      <w:r w:rsidRPr="00A1405F">
        <w:rPr>
          <w:rFonts w:ascii="ITC Avant Garde" w:hAnsi="ITC Avant Garde"/>
          <w:sz w:val="22"/>
          <w:szCs w:val="22"/>
          <w:lang w:val="es-ES"/>
        </w:rPr>
        <w:t xml:space="preserve">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 lo sucesivo, el "Decreto de Ley"), el cual, en términos de lo dispuesto por su artículo Primero transitorio, entró en vigor </w:t>
      </w:r>
      <w:r w:rsidR="008A5F01" w:rsidRPr="00A1405F">
        <w:rPr>
          <w:rFonts w:ascii="ITC Avant Garde" w:hAnsi="ITC Avant Garde"/>
          <w:sz w:val="22"/>
          <w:szCs w:val="22"/>
          <w:lang w:val="es-ES"/>
        </w:rPr>
        <w:t xml:space="preserve">a los </w:t>
      </w:r>
      <w:r w:rsidRPr="00A1405F">
        <w:rPr>
          <w:rFonts w:ascii="ITC Avant Garde" w:hAnsi="ITC Avant Garde"/>
          <w:sz w:val="22"/>
          <w:szCs w:val="22"/>
          <w:lang w:val="es-ES"/>
        </w:rPr>
        <w:t xml:space="preserve">treinta días naturales siguientes a su publicación, esto es, el 13 de agosto de 2014. </w:t>
      </w:r>
    </w:p>
    <w:p w14:paraId="1C344111" w14:textId="77777777" w:rsidR="00E72CD9" w:rsidRPr="00A1405F" w:rsidRDefault="00E72CD9" w:rsidP="00A1405F">
      <w:pPr>
        <w:pStyle w:val="Prrafodelista"/>
        <w:spacing w:line="276" w:lineRule="auto"/>
        <w:rPr>
          <w:rFonts w:ascii="ITC Avant Garde" w:hAnsi="ITC Avant Garde"/>
          <w:bCs/>
          <w:sz w:val="22"/>
          <w:szCs w:val="22"/>
          <w:lang w:val="es-ES_tradnl" w:eastAsia="es-MX"/>
        </w:rPr>
      </w:pPr>
    </w:p>
    <w:p w14:paraId="1BB0F874" w14:textId="1140C7C7" w:rsidR="00D00E71" w:rsidRPr="00A1405F" w:rsidRDefault="00D00E71" w:rsidP="00A1405F">
      <w:pPr>
        <w:pStyle w:val="Prrafodelista"/>
        <w:numPr>
          <w:ilvl w:val="0"/>
          <w:numId w:val="12"/>
        </w:numPr>
        <w:spacing w:line="276" w:lineRule="auto"/>
        <w:jc w:val="both"/>
        <w:rPr>
          <w:rFonts w:ascii="ITC Avant Garde" w:hAnsi="ITC Avant Garde"/>
          <w:sz w:val="22"/>
          <w:szCs w:val="22"/>
          <w:lang w:val="es-ES"/>
        </w:rPr>
      </w:pPr>
      <w:r w:rsidRPr="00A1405F">
        <w:rPr>
          <w:rFonts w:ascii="ITC Avant Garde" w:hAnsi="ITC Avant Garde"/>
          <w:sz w:val="22"/>
          <w:szCs w:val="22"/>
          <w:lang w:val="es-ES"/>
        </w:rPr>
        <w:t>El 4 de septiembre de 2014, se publicó en el DOF el Estatuto Orgánico del Instituto Federal de Telecomunicaciones (en lo sucesivo, el "Estatuto Orgánico"), mismo que entró en vigor el día 26 del mismo mes y año, el cual se modificó a través del “Acuerdo por el que se modifica el Estatuto Orgánico del Instituto Federal de Telecomunicaciones”, publicado en el DOF el 17 de octubre de 2014</w:t>
      </w:r>
      <w:r w:rsidR="00A8239B" w:rsidRPr="00A1405F">
        <w:rPr>
          <w:rFonts w:ascii="ITC Avant Garde" w:hAnsi="ITC Avant Garde"/>
          <w:sz w:val="22"/>
          <w:szCs w:val="22"/>
          <w:lang w:val="es-ES"/>
        </w:rPr>
        <w:t xml:space="preserve"> y el 17 de octubre de 2016, respectivamente.</w:t>
      </w:r>
    </w:p>
    <w:p w14:paraId="6F38345B" w14:textId="77777777" w:rsidR="00E72CD9" w:rsidRPr="00A1405F" w:rsidRDefault="00E72CD9" w:rsidP="00A1405F">
      <w:pPr>
        <w:pStyle w:val="Prrafodelista"/>
        <w:spacing w:line="276" w:lineRule="auto"/>
        <w:rPr>
          <w:rFonts w:ascii="ITC Avant Garde" w:hAnsi="ITC Avant Garde"/>
          <w:sz w:val="22"/>
          <w:szCs w:val="22"/>
          <w:lang w:val="es-ES"/>
        </w:rPr>
      </w:pPr>
    </w:p>
    <w:p w14:paraId="5A3D8C6E" w14:textId="77777777" w:rsidR="00F529BA" w:rsidRPr="00A1405F" w:rsidRDefault="00E72CD9" w:rsidP="00A1405F">
      <w:pPr>
        <w:pStyle w:val="Prrafodelista"/>
        <w:numPr>
          <w:ilvl w:val="0"/>
          <w:numId w:val="12"/>
        </w:numPr>
        <w:spacing w:line="276" w:lineRule="auto"/>
        <w:jc w:val="both"/>
        <w:rPr>
          <w:rFonts w:ascii="ITC Avant Garde" w:hAnsi="ITC Avant Garde"/>
          <w:sz w:val="22"/>
          <w:szCs w:val="22"/>
          <w:lang w:val="es-ES"/>
        </w:rPr>
      </w:pPr>
      <w:r w:rsidRPr="00A1405F">
        <w:rPr>
          <w:rFonts w:ascii="ITC Avant Garde" w:hAnsi="ITC Avant Garde"/>
          <w:sz w:val="22"/>
          <w:szCs w:val="22"/>
          <w:lang w:val="es-ES"/>
        </w:rPr>
        <w:lastRenderedPageBreak/>
        <w:t xml:space="preserve">El 8 de julio de 2015, el Pleno del Instituto aprobó  por unanimidad de votos, en su XIV Sesión Ordinaria  </w:t>
      </w:r>
      <w:r w:rsidR="00F1280F" w:rsidRPr="00A1405F">
        <w:rPr>
          <w:rFonts w:ascii="ITC Avant Garde" w:hAnsi="ITC Avant Garde"/>
          <w:sz w:val="22"/>
          <w:szCs w:val="22"/>
          <w:lang w:val="es-ES"/>
        </w:rPr>
        <w:t xml:space="preserve">la consulta pública del </w:t>
      </w:r>
      <w:r w:rsidRPr="00A1405F">
        <w:rPr>
          <w:rFonts w:ascii="ITC Avant Garde" w:hAnsi="ITC Avant Garde"/>
          <w:sz w:val="22"/>
          <w:szCs w:val="22"/>
          <w:lang w:val="es-ES"/>
        </w:rPr>
        <w:t>“ACUERDO MEDIANTE EL CUAL EL PLENO DEL INSTITUTO FEDERAL DE TELECOMUNICACIONES DETERMINA SOMETER A CONSULTA PÚBLICA EL “ANTEPROYECTO DE ACUERDO MEDIANTE EL CUAL SE EXPIDE LA DISPOSICIÓN TÉCNICA IFT-007-2015: MEDIDAS DE OPERACIÓN PARA EL CUMPLIMIENTO DE LOS LÍMITES DE EXPOSICIÓN MÁXIMA PARA SERES HUMANOS A RADIACIONES ELECTROMAGNÉTICAS DE RADIOFRECUENCIA NO IONIZANTES EN EL INTERVALO DE 100 kHz A 300 GHz EN EL ENTORNO DE EMISORES DE RADIOCOMUNICACIONES”.</w:t>
      </w:r>
    </w:p>
    <w:p w14:paraId="06413E18" w14:textId="77777777" w:rsidR="00427E5C" w:rsidRPr="00A1405F" w:rsidRDefault="00427E5C" w:rsidP="00A1405F">
      <w:pPr>
        <w:pStyle w:val="Prrafodelista"/>
        <w:spacing w:line="276" w:lineRule="auto"/>
        <w:rPr>
          <w:rFonts w:ascii="ITC Avant Garde" w:hAnsi="ITC Avant Garde"/>
          <w:sz w:val="22"/>
          <w:szCs w:val="22"/>
          <w:lang w:val="es-ES"/>
        </w:rPr>
      </w:pPr>
    </w:p>
    <w:p w14:paraId="0FF7C1F0" w14:textId="7D3CC60D" w:rsidR="00427E5C" w:rsidRPr="00A1405F" w:rsidRDefault="00F1280F" w:rsidP="00A1405F">
      <w:pPr>
        <w:pStyle w:val="Prrafodelista"/>
        <w:numPr>
          <w:ilvl w:val="0"/>
          <w:numId w:val="12"/>
        </w:numPr>
        <w:spacing w:line="276" w:lineRule="auto"/>
        <w:jc w:val="both"/>
        <w:rPr>
          <w:rFonts w:ascii="ITC Avant Garde" w:hAnsi="ITC Avant Garde"/>
          <w:sz w:val="22"/>
          <w:szCs w:val="22"/>
          <w:lang w:val="es-ES"/>
        </w:rPr>
      </w:pPr>
      <w:r w:rsidRPr="00A1405F">
        <w:rPr>
          <w:rFonts w:ascii="ITC Avant Garde" w:hAnsi="ITC Avant Garde"/>
          <w:sz w:val="22"/>
          <w:szCs w:val="22"/>
          <w:lang w:val="es-ES"/>
        </w:rPr>
        <w:t xml:space="preserve">La consulta pública referida en el numeral anterior se llevó a cabo </w:t>
      </w:r>
      <w:r w:rsidR="00427E5C" w:rsidRPr="00A1405F">
        <w:rPr>
          <w:rFonts w:ascii="ITC Avant Garde" w:hAnsi="ITC Avant Garde"/>
          <w:sz w:val="22"/>
          <w:szCs w:val="22"/>
          <w:lang w:val="es-ES"/>
        </w:rPr>
        <w:t>del 10 al 17 de julio y del 3 al 20 de a</w:t>
      </w:r>
      <w:r w:rsidRPr="00A1405F">
        <w:rPr>
          <w:rFonts w:ascii="ITC Avant Garde" w:hAnsi="ITC Avant Garde"/>
          <w:sz w:val="22"/>
          <w:szCs w:val="22"/>
          <w:lang w:val="es-ES"/>
        </w:rPr>
        <w:t>gosto de 2015 (20 días hábiles); d</w:t>
      </w:r>
      <w:r w:rsidR="003E25F3" w:rsidRPr="00A1405F">
        <w:rPr>
          <w:rFonts w:ascii="ITC Avant Garde" w:hAnsi="ITC Avant Garde"/>
          <w:sz w:val="22"/>
          <w:szCs w:val="22"/>
          <w:lang w:val="es-ES"/>
        </w:rPr>
        <w:t xml:space="preserve">urante la cual, se recibieron diversos comentarios referentes a diferenciar </w:t>
      </w:r>
      <w:r w:rsidRPr="00A1405F">
        <w:rPr>
          <w:rFonts w:ascii="ITC Avant Garde" w:hAnsi="ITC Avant Garde"/>
          <w:sz w:val="22"/>
          <w:szCs w:val="22"/>
          <w:lang w:val="es-ES"/>
        </w:rPr>
        <w:t>inequívocamente</w:t>
      </w:r>
      <w:r w:rsidR="003E25F3" w:rsidRPr="00A1405F">
        <w:rPr>
          <w:rFonts w:ascii="ITC Avant Garde" w:hAnsi="ITC Avant Garde"/>
          <w:sz w:val="22"/>
          <w:szCs w:val="22"/>
          <w:lang w:val="es-ES"/>
        </w:rPr>
        <w:t xml:space="preserve"> las disposiciones relativas a estaciones de radiocomunicación de aquellas relativas a </w:t>
      </w:r>
      <w:r w:rsidR="00A8239B" w:rsidRPr="00A1405F">
        <w:rPr>
          <w:rFonts w:ascii="ITC Avant Garde" w:hAnsi="ITC Avant Garde"/>
          <w:sz w:val="22"/>
          <w:szCs w:val="22"/>
          <w:lang w:val="es-ES"/>
        </w:rPr>
        <w:t>dispositivos de comunicación inalámbrica</w:t>
      </w:r>
      <w:r w:rsidR="003E25F3" w:rsidRPr="00A1405F">
        <w:rPr>
          <w:rFonts w:ascii="ITC Avant Garde" w:hAnsi="ITC Avant Garde"/>
          <w:sz w:val="22"/>
          <w:szCs w:val="22"/>
          <w:lang w:val="es-ES"/>
        </w:rPr>
        <w:t>, así como a considerar diversas recomendaciones y normas internacionales y realizar precisiones respecto a la evaluación de la conformidad.</w:t>
      </w:r>
    </w:p>
    <w:p w14:paraId="55738E98" w14:textId="77777777" w:rsidR="00E72CD9" w:rsidRPr="00A1405F" w:rsidRDefault="00E72CD9" w:rsidP="00A1405F">
      <w:pPr>
        <w:pStyle w:val="Default"/>
        <w:tabs>
          <w:tab w:val="left" w:pos="0"/>
        </w:tabs>
        <w:spacing w:line="276" w:lineRule="auto"/>
        <w:rPr>
          <w:rFonts w:ascii="ITC Avant Garde" w:hAnsi="ITC Avant Garde"/>
          <w:bCs/>
          <w:sz w:val="22"/>
          <w:szCs w:val="22"/>
        </w:rPr>
      </w:pPr>
    </w:p>
    <w:p w14:paraId="4D324D9C" w14:textId="77777777" w:rsidR="001211C1" w:rsidRPr="00A1405F" w:rsidRDefault="00D00E71" w:rsidP="00A1405F">
      <w:pPr>
        <w:pStyle w:val="Default"/>
        <w:tabs>
          <w:tab w:val="left" w:pos="0"/>
        </w:tabs>
        <w:spacing w:line="276" w:lineRule="auto"/>
        <w:rPr>
          <w:rFonts w:ascii="ITC Avant Garde" w:eastAsia="Times New Roman" w:hAnsi="ITC Avant Garde"/>
          <w:color w:val="auto"/>
          <w:sz w:val="22"/>
          <w:szCs w:val="22"/>
          <w:lang w:val="es-ES" w:eastAsia="es-ES"/>
        </w:rPr>
      </w:pPr>
      <w:r w:rsidRPr="00A1405F">
        <w:rPr>
          <w:rFonts w:ascii="ITC Avant Garde" w:eastAsia="Times New Roman" w:hAnsi="ITC Avant Garde"/>
          <w:color w:val="auto"/>
          <w:sz w:val="22"/>
          <w:szCs w:val="22"/>
          <w:lang w:val="es-ES" w:eastAsia="es-ES"/>
        </w:rPr>
        <w:t xml:space="preserve">En atención a los </w:t>
      </w:r>
      <w:r w:rsidR="001211C1" w:rsidRPr="00A1405F">
        <w:rPr>
          <w:rFonts w:ascii="ITC Avant Garde" w:eastAsia="Times New Roman" w:hAnsi="ITC Avant Garde"/>
          <w:color w:val="auto"/>
          <w:sz w:val="22"/>
          <w:szCs w:val="22"/>
          <w:lang w:val="es-ES" w:eastAsia="es-ES"/>
        </w:rPr>
        <w:t xml:space="preserve">antecedentes anteriores y, </w:t>
      </w:r>
    </w:p>
    <w:p w14:paraId="1DD84532" w14:textId="77777777" w:rsidR="00F529BA" w:rsidRDefault="00F529BA" w:rsidP="00A1405F">
      <w:pPr>
        <w:pStyle w:val="ANOTACION"/>
        <w:spacing w:line="276" w:lineRule="auto"/>
        <w:rPr>
          <w:rFonts w:ascii="ITC Avant Garde" w:hAnsi="ITC Avant Garde"/>
          <w:bCs/>
          <w:sz w:val="22"/>
          <w:szCs w:val="22"/>
          <w:lang w:eastAsia="es-MX"/>
        </w:rPr>
      </w:pPr>
    </w:p>
    <w:p w14:paraId="57A4DE35" w14:textId="77777777" w:rsidR="00A1405F" w:rsidRPr="00A1405F" w:rsidRDefault="00A1405F" w:rsidP="00A1405F">
      <w:pPr>
        <w:pStyle w:val="ANOTACION"/>
        <w:spacing w:line="276" w:lineRule="auto"/>
        <w:rPr>
          <w:rFonts w:ascii="ITC Avant Garde" w:hAnsi="ITC Avant Garde"/>
          <w:bCs/>
          <w:sz w:val="22"/>
          <w:szCs w:val="22"/>
          <w:lang w:eastAsia="es-MX"/>
        </w:rPr>
      </w:pPr>
    </w:p>
    <w:p w14:paraId="0CE35BBF" w14:textId="77777777" w:rsidR="00924503" w:rsidRPr="00A1405F" w:rsidRDefault="00924503" w:rsidP="00A1405F">
      <w:pPr>
        <w:pStyle w:val="Default"/>
        <w:tabs>
          <w:tab w:val="left" w:pos="0"/>
        </w:tabs>
        <w:spacing w:line="276" w:lineRule="auto"/>
        <w:jc w:val="center"/>
        <w:rPr>
          <w:rFonts w:ascii="ITC Avant Garde" w:hAnsi="ITC Avant Garde"/>
          <w:b/>
          <w:bCs/>
          <w:sz w:val="22"/>
          <w:szCs w:val="22"/>
          <w:lang w:val="es-ES_tradnl"/>
        </w:rPr>
      </w:pPr>
      <w:r w:rsidRPr="00A1405F">
        <w:rPr>
          <w:rFonts w:ascii="ITC Avant Garde" w:hAnsi="ITC Avant Garde"/>
          <w:b/>
          <w:bCs/>
          <w:sz w:val="22"/>
          <w:szCs w:val="22"/>
          <w:lang w:val="es-ES_tradnl"/>
        </w:rPr>
        <w:t xml:space="preserve">C O N S I D E R A N D O </w:t>
      </w:r>
    </w:p>
    <w:p w14:paraId="094353EE" w14:textId="77777777" w:rsidR="00AD55DE" w:rsidRDefault="00AD55DE" w:rsidP="00A1405F">
      <w:pPr>
        <w:pStyle w:val="ANOTACION"/>
        <w:spacing w:line="276" w:lineRule="auto"/>
        <w:rPr>
          <w:rFonts w:ascii="ITC Avant Garde" w:hAnsi="ITC Avant Garde" w:cs="Arial"/>
          <w:bCs/>
          <w:sz w:val="22"/>
          <w:szCs w:val="22"/>
          <w:lang w:eastAsia="es-MX"/>
        </w:rPr>
      </w:pPr>
    </w:p>
    <w:p w14:paraId="6AED8865" w14:textId="77777777" w:rsidR="00A1405F" w:rsidRPr="00A1405F" w:rsidRDefault="00A1405F" w:rsidP="00A1405F">
      <w:pPr>
        <w:pStyle w:val="ANOTACION"/>
        <w:spacing w:line="276" w:lineRule="auto"/>
        <w:rPr>
          <w:rFonts w:ascii="ITC Avant Garde" w:hAnsi="ITC Avant Garde" w:cs="Arial"/>
          <w:bCs/>
          <w:sz w:val="22"/>
          <w:szCs w:val="22"/>
          <w:lang w:eastAsia="es-MX"/>
        </w:rPr>
      </w:pPr>
    </w:p>
    <w:p w14:paraId="76F78502" w14:textId="77777777" w:rsidR="00110A96" w:rsidRPr="00A1405F" w:rsidRDefault="00AD55DE" w:rsidP="00A1405F">
      <w:pPr>
        <w:spacing w:line="276" w:lineRule="auto"/>
        <w:jc w:val="both"/>
        <w:rPr>
          <w:rFonts w:ascii="ITC Avant Garde" w:hAnsi="ITC Avant Garde" w:cs="Arial"/>
          <w:sz w:val="22"/>
          <w:szCs w:val="22"/>
        </w:rPr>
      </w:pPr>
      <w:r w:rsidRPr="00A1405F">
        <w:rPr>
          <w:rFonts w:ascii="ITC Avant Garde" w:hAnsi="ITC Avant Garde"/>
          <w:b/>
          <w:bCs/>
          <w:sz w:val="22"/>
          <w:szCs w:val="22"/>
          <w:lang w:val="es-ES_tradnl" w:eastAsia="es-MX"/>
        </w:rPr>
        <w:t>P</w:t>
      </w:r>
      <w:r w:rsidR="00D803B2" w:rsidRPr="00A1405F">
        <w:rPr>
          <w:rFonts w:ascii="ITC Avant Garde" w:hAnsi="ITC Avant Garde"/>
          <w:b/>
          <w:bCs/>
          <w:sz w:val="22"/>
          <w:szCs w:val="22"/>
          <w:lang w:val="es-ES_tradnl" w:eastAsia="es-MX"/>
        </w:rPr>
        <w:t>rimero</w:t>
      </w:r>
      <w:r w:rsidRPr="00A1405F">
        <w:rPr>
          <w:rFonts w:ascii="ITC Avant Garde" w:hAnsi="ITC Avant Garde"/>
          <w:b/>
          <w:bCs/>
          <w:sz w:val="22"/>
          <w:szCs w:val="22"/>
          <w:lang w:val="es-ES_tradnl" w:eastAsia="es-MX"/>
        </w:rPr>
        <w:t xml:space="preserve">.- Competencia del Instituto. </w:t>
      </w:r>
      <w:r w:rsidR="00D00E71" w:rsidRPr="00A1405F">
        <w:rPr>
          <w:rFonts w:ascii="ITC Avant Garde" w:hAnsi="ITC Avant Garde" w:cs="Arial"/>
          <w:sz w:val="22"/>
          <w:szCs w:val="22"/>
        </w:rPr>
        <w:t>D</w:t>
      </w:r>
      <w:r w:rsidR="00110A96" w:rsidRPr="00A1405F">
        <w:rPr>
          <w:rFonts w:ascii="ITC Avant Garde" w:hAnsi="ITC Avant Garde" w:cs="Arial"/>
          <w:sz w:val="22"/>
          <w:szCs w:val="22"/>
        </w:rPr>
        <w:t xml:space="preserve">e conformidad con lo establecido en los artículos 28, párrafo décimo quinto de la Constitución Política de los Estados Unidos Mexicanos (en lo sucesivo, la “Constitución”), así como en los diversos 1, 2, 7 de la Ley Federal de Telecomunicaciones y Radiodifusión (en lo sucesivo, </w:t>
      </w:r>
      <w:r w:rsidR="0003078E" w:rsidRPr="00A1405F">
        <w:rPr>
          <w:rFonts w:ascii="ITC Avant Garde" w:hAnsi="ITC Avant Garde" w:cs="Arial"/>
          <w:sz w:val="22"/>
          <w:szCs w:val="22"/>
        </w:rPr>
        <w:t xml:space="preserve">la </w:t>
      </w:r>
      <w:r w:rsidR="00110A96" w:rsidRPr="00A1405F">
        <w:rPr>
          <w:rFonts w:ascii="ITC Avant Garde" w:hAnsi="ITC Avant Garde" w:cs="Arial"/>
          <w:sz w:val="22"/>
          <w:szCs w:val="22"/>
        </w:rPr>
        <w:t xml:space="preserve">“LFTR”), el Instituto en su carácter de órgano autónomo, tiene por objeto regular y promover la competencia y el desarrollo eficiente y la prestación de los servicios públicos de radiodifusión y telecomunicaciones mediante la regulación, promoción y supervisión del uso, aprovechamiento y explotación del espectro radioeléctrico y de las redes y el acceso a infraestructura activa, pasiva y otros insumos esenciales, a fin de garantizar lo establecido en los artículos 6o. y 7o. de la Constitución, </w:t>
      </w:r>
      <w:r w:rsidR="00110A96" w:rsidRPr="00A1405F">
        <w:rPr>
          <w:rFonts w:ascii="ITC Avant Garde" w:hAnsi="ITC Avant Garde" w:cs="Arial"/>
          <w:sz w:val="22"/>
          <w:szCs w:val="22"/>
        </w:rPr>
        <w:lastRenderedPageBreak/>
        <w:t xml:space="preserve">además de ser la autoridad en materia de competencia económica en los sectores antes aludidos. </w:t>
      </w:r>
    </w:p>
    <w:p w14:paraId="10B69CBC" w14:textId="77777777" w:rsidR="00110A96" w:rsidRPr="00A1405F" w:rsidRDefault="00110A96" w:rsidP="00A1405F">
      <w:pPr>
        <w:spacing w:line="276" w:lineRule="auto"/>
        <w:jc w:val="both"/>
        <w:rPr>
          <w:rFonts w:ascii="ITC Avant Garde" w:hAnsi="ITC Avant Garde" w:cs="Arial"/>
          <w:sz w:val="22"/>
          <w:szCs w:val="22"/>
        </w:rPr>
      </w:pPr>
    </w:p>
    <w:p w14:paraId="48A78747" w14:textId="1ED34CE0" w:rsidR="00110A96" w:rsidRPr="00A1405F" w:rsidRDefault="00110A96" w:rsidP="00A1405F">
      <w:pPr>
        <w:tabs>
          <w:tab w:val="left" w:pos="720"/>
          <w:tab w:val="left" w:pos="1134"/>
        </w:tabs>
        <w:spacing w:line="276" w:lineRule="auto"/>
        <w:jc w:val="both"/>
        <w:rPr>
          <w:rFonts w:ascii="ITC Avant Garde" w:hAnsi="ITC Avant Garde" w:cs="Tahoma"/>
          <w:b/>
          <w:bCs/>
          <w:color w:val="000000"/>
          <w:sz w:val="22"/>
          <w:szCs w:val="22"/>
          <w:lang w:eastAsia="es-MX"/>
        </w:rPr>
      </w:pPr>
      <w:r w:rsidRPr="00A1405F">
        <w:rPr>
          <w:rFonts w:ascii="ITC Avant Garde" w:hAnsi="ITC Avant Garde" w:cs="Arial"/>
          <w:sz w:val="22"/>
          <w:szCs w:val="22"/>
        </w:rPr>
        <w:t xml:space="preserve">Asimismo, el Instituto cuenta con facultades y atribuciones para emitir el presente Acuerdo y realizar una consulta pública respecto del “Anteproyecto </w:t>
      </w:r>
      <w:r w:rsidR="00C27136" w:rsidRPr="00A1405F">
        <w:rPr>
          <w:rFonts w:ascii="ITC Avant Garde" w:hAnsi="ITC Avant Garde" w:cs="Tahoma"/>
          <w:bCs/>
          <w:color w:val="000000"/>
          <w:sz w:val="22"/>
          <w:szCs w:val="22"/>
          <w:lang w:val="es-ES_tradnl" w:eastAsia="es-MX"/>
        </w:rPr>
        <w:t xml:space="preserve">de  </w:t>
      </w:r>
      <w:r w:rsidR="00FE29EA" w:rsidRPr="00A1405F">
        <w:rPr>
          <w:rFonts w:ascii="ITC Avant Garde" w:hAnsi="ITC Avant Garde" w:cs="Tahoma"/>
          <w:bCs/>
          <w:color w:val="000000"/>
          <w:sz w:val="22"/>
          <w:szCs w:val="22"/>
          <w:lang w:val="es-ES_tradnl" w:eastAsia="es-MX"/>
        </w:rPr>
        <w:t xml:space="preserve">DISPOSICIÓN TÉCNICA IFT-012-2016: </w:t>
      </w:r>
      <w:r w:rsidR="00AE1C02" w:rsidRPr="00A1405F">
        <w:rPr>
          <w:rFonts w:ascii="ITC Avant Garde" w:hAnsi="ITC Avant Garde" w:cs="Tahoma"/>
          <w:bCs/>
          <w:color w:val="000000"/>
          <w:sz w:val="22"/>
          <w:szCs w:val="22"/>
          <w:lang w:val="es-ES_tradnl" w:eastAsia="es-MX"/>
        </w:rPr>
        <w:t xml:space="preserve">ESPECIFICACIONES TÉCNICAS PARA EL CUMPLIMIENTO DE LOS LÍMITES MÁXIMOS DE </w:t>
      </w:r>
      <w:r w:rsidR="00AD7C49" w:rsidRPr="00A1405F">
        <w:rPr>
          <w:rFonts w:ascii="ITC Avant Garde" w:hAnsi="ITC Avant Garde" w:cs="Tahoma"/>
          <w:bCs/>
          <w:color w:val="000000"/>
          <w:sz w:val="22"/>
          <w:szCs w:val="22"/>
          <w:lang w:val="es-ES_tradnl" w:eastAsia="es-MX"/>
        </w:rPr>
        <w:t>EMISIONES RADIOELÉCTRICAS</w:t>
      </w:r>
      <w:r w:rsidR="00AE1C02" w:rsidRPr="00A1405F">
        <w:rPr>
          <w:rFonts w:ascii="ITC Avant Garde" w:hAnsi="ITC Avant Garde" w:cs="Tahoma"/>
          <w:bCs/>
          <w:color w:val="000000"/>
          <w:sz w:val="22"/>
          <w:szCs w:val="22"/>
          <w:lang w:val="es-ES_tradnl" w:eastAsia="es-MX"/>
        </w:rPr>
        <w:t xml:space="preserve"> NO IONIZANTES DE LOS PRODUCTOS, EQUIPOS, DISPOSITIVOS O APARATOS DESTINADOS A TELECOMUNICACIONES QUE PUEDEN SER CONECTADOS A UNA RED DE TELECOMUNICACIONES </w:t>
      </w:r>
      <w:r w:rsidR="00E05835" w:rsidRPr="00A1405F">
        <w:rPr>
          <w:rFonts w:ascii="ITC Avant Garde" w:hAnsi="ITC Avant Garde" w:cs="Tahoma"/>
          <w:bCs/>
          <w:color w:val="000000"/>
          <w:sz w:val="22"/>
          <w:szCs w:val="22"/>
          <w:lang w:val="es-ES_tradnl" w:eastAsia="es-MX"/>
        </w:rPr>
        <w:t>Y/</w:t>
      </w:r>
      <w:r w:rsidR="00AE1C02" w:rsidRPr="00A1405F">
        <w:rPr>
          <w:rFonts w:ascii="ITC Avant Garde" w:hAnsi="ITC Avant Garde" w:cs="Tahoma"/>
          <w:bCs/>
          <w:color w:val="000000"/>
          <w:sz w:val="22"/>
          <w:szCs w:val="22"/>
          <w:lang w:val="es-ES_tradnl" w:eastAsia="es-MX"/>
        </w:rPr>
        <w:t>O HACER USO DEL ESPECTRO RADIOELÉCTRICO. ÍNDICE DE ABSORCIÓN ESPECÍFICA (SAR).</w:t>
      </w:r>
      <w:r w:rsidR="00C27136" w:rsidRPr="00A1405F">
        <w:rPr>
          <w:rFonts w:ascii="ITC Avant Garde" w:hAnsi="ITC Avant Garde" w:cs="Tahoma"/>
          <w:bCs/>
          <w:color w:val="000000"/>
          <w:sz w:val="22"/>
          <w:szCs w:val="22"/>
          <w:lang w:eastAsia="es-MX"/>
        </w:rPr>
        <w:t>”</w:t>
      </w:r>
      <w:r w:rsidR="00D00E71" w:rsidRPr="00A1405F">
        <w:rPr>
          <w:rFonts w:ascii="ITC Avant Garde" w:hAnsi="ITC Avant Garde" w:cs="Arial"/>
          <w:sz w:val="22"/>
          <w:szCs w:val="22"/>
        </w:rPr>
        <w:t xml:space="preserve"> </w:t>
      </w:r>
      <w:r w:rsidRPr="00A1405F">
        <w:rPr>
          <w:rFonts w:ascii="ITC Avant Garde" w:hAnsi="ITC Avant Garde" w:cs="Arial"/>
          <w:sz w:val="22"/>
          <w:szCs w:val="22"/>
        </w:rPr>
        <w:t xml:space="preserve">(en lo sucesivo, el “Anteproyecto”), propuesto por la Unidad de Política Regulatoria, conforme las atribuciones conferidas </w:t>
      </w:r>
      <w:r w:rsidR="003A41B1" w:rsidRPr="00A1405F">
        <w:rPr>
          <w:rFonts w:ascii="ITC Avant Garde" w:hAnsi="ITC Avant Garde"/>
          <w:bCs/>
          <w:sz w:val="22"/>
          <w:szCs w:val="22"/>
        </w:rPr>
        <w:t xml:space="preserve"> en los artículos 21 y 23</w:t>
      </w:r>
      <w:r w:rsidR="00B21BDF" w:rsidRPr="00A1405F">
        <w:rPr>
          <w:rFonts w:ascii="ITC Avant Garde" w:hAnsi="ITC Avant Garde"/>
          <w:bCs/>
          <w:sz w:val="22"/>
          <w:szCs w:val="22"/>
        </w:rPr>
        <w:t xml:space="preserve"> </w:t>
      </w:r>
      <w:r w:rsidR="003A41B1" w:rsidRPr="00A1405F">
        <w:rPr>
          <w:rFonts w:ascii="ITC Avant Garde" w:hAnsi="ITC Avant Garde"/>
          <w:bCs/>
          <w:sz w:val="22"/>
          <w:szCs w:val="22"/>
        </w:rPr>
        <w:t>del</w:t>
      </w:r>
      <w:r w:rsidR="003A41B1" w:rsidRPr="00A1405F">
        <w:rPr>
          <w:rFonts w:ascii="ITC Avant Garde" w:hAnsi="ITC Avant Garde" w:cs="Arial"/>
          <w:sz w:val="22"/>
          <w:szCs w:val="22"/>
        </w:rPr>
        <w:t xml:space="preserve"> </w:t>
      </w:r>
      <w:r w:rsidRPr="00A1405F">
        <w:rPr>
          <w:rFonts w:ascii="ITC Avant Garde" w:hAnsi="ITC Avant Garde" w:cs="Arial"/>
          <w:sz w:val="22"/>
          <w:szCs w:val="22"/>
        </w:rPr>
        <w:t xml:space="preserve">Estatuto Orgánico del Instituto. </w:t>
      </w:r>
    </w:p>
    <w:p w14:paraId="5DFD845C" w14:textId="77777777" w:rsidR="00900463" w:rsidRPr="00A1405F" w:rsidRDefault="00900463" w:rsidP="00A1405F">
      <w:pPr>
        <w:spacing w:line="276" w:lineRule="auto"/>
        <w:jc w:val="both"/>
        <w:rPr>
          <w:rFonts w:ascii="ITC Avant Garde" w:hAnsi="ITC Avant Garde" w:cs="Arial"/>
          <w:sz w:val="22"/>
          <w:szCs w:val="22"/>
        </w:rPr>
      </w:pPr>
    </w:p>
    <w:p w14:paraId="61CBA7E5" w14:textId="77777777" w:rsidR="00900463" w:rsidRPr="00A1405F" w:rsidRDefault="00900463" w:rsidP="00A1405F">
      <w:pPr>
        <w:spacing w:line="276" w:lineRule="auto"/>
        <w:jc w:val="both"/>
        <w:rPr>
          <w:rFonts w:ascii="ITC Avant Garde" w:hAnsi="ITC Avant Garde" w:cs="Arial"/>
          <w:sz w:val="22"/>
          <w:szCs w:val="22"/>
        </w:rPr>
      </w:pPr>
      <w:r w:rsidRPr="00A1405F">
        <w:rPr>
          <w:rFonts w:ascii="ITC Avant Garde" w:hAnsi="ITC Avant Garde" w:cs="Arial"/>
          <w:sz w:val="22"/>
          <w:szCs w:val="22"/>
        </w:rPr>
        <w:t xml:space="preserve">Por su parte, de conformidad con el artículo 15, fracción I de la LFTR, el Instituto a través de su Órgano de Gobierno, resulta competente para conocer del presente asunto, al estar facultado para emitir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su función regulatoria en el sector de su competencia. </w:t>
      </w:r>
    </w:p>
    <w:p w14:paraId="5CF4DA4D" w14:textId="77777777" w:rsidR="00900463" w:rsidRPr="00A1405F" w:rsidRDefault="00900463" w:rsidP="00A1405F">
      <w:pPr>
        <w:pStyle w:val="Default"/>
        <w:tabs>
          <w:tab w:val="left" w:pos="0"/>
        </w:tabs>
        <w:spacing w:line="276" w:lineRule="auto"/>
        <w:jc w:val="both"/>
        <w:rPr>
          <w:rFonts w:ascii="ITC Avant Garde" w:eastAsia="Times New Roman" w:hAnsi="ITC Avant Garde" w:cs="Arial"/>
          <w:color w:val="auto"/>
          <w:sz w:val="22"/>
          <w:szCs w:val="22"/>
          <w:lang w:eastAsia="es-ES"/>
        </w:rPr>
      </w:pPr>
    </w:p>
    <w:p w14:paraId="38679B35" w14:textId="08C5FCC5" w:rsidR="00900463" w:rsidRPr="00A1405F" w:rsidRDefault="00900463" w:rsidP="00A1405F">
      <w:pPr>
        <w:pStyle w:val="Default"/>
        <w:tabs>
          <w:tab w:val="left" w:pos="0"/>
        </w:tabs>
        <w:spacing w:line="276" w:lineRule="auto"/>
        <w:jc w:val="both"/>
        <w:rPr>
          <w:rFonts w:ascii="ITC Avant Garde" w:hAnsi="ITC Avant Garde"/>
          <w:bCs/>
          <w:sz w:val="22"/>
          <w:szCs w:val="22"/>
          <w:lang w:val="es-ES_tradnl"/>
        </w:rPr>
      </w:pPr>
      <w:r w:rsidRPr="00A1405F">
        <w:rPr>
          <w:rFonts w:ascii="ITC Avant Garde" w:eastAsia="Times New Roman" w:hAnsi="ITC Avant Garde" w:cs="Arial"/>
          <w:color w:val="auto"/>
          <w:sz w:val="22"/>
          <w:szCs w:val="22"/>
          <w:lang w:eastAsia="es-ES"/>
        </w:rPr>
        <w:t>Aunado a lo anterior, conforme a lo dispuesto en el artículo 7, párrafos primero y cuarto de la LFTR, el Instituto es un órgano público autónomo, independiente en sus decisiones y funcionamiento, con personalidad jurídica y patrimonio propios,</w:t>
      </w:r>
      <w:r w:rsidRPr="00A1405F">
        <w:rPr>
          <w:rFonts w:ascii="ITC Avant Garde" w:hAnsi="ITC Avant Garde"/>
          <w:bCs/>
          <w:sz w:val="22"/>
          <w:szCs w:val="22"/>
          <w:lang w:val="es-ES_tradnl"/>
        </w:rPr>
        <w:t xml:space="preserve"> que tiene por objeto regular y promover la competencia y el desarrollo eficiente de las telecomunicaciones y la radiodifusión en el ámbito de las atribuciones que le confieren la Constitución y en los términos que fijan </w:t>
      </w:r>
      <w:r w:rsidR="0003078E" w:rsidRPr="00A1405F">
        <w:rPr>
          <w:rFonts w:ascii="ITC Avant Garde" w:hAnsi="ITC Avant Garde"/>
          <w:bCs/>
          <w:sz w:val="22"/>
          <w:szCs w:val="22"/>
          <w:lang w:val="es-ES_tradnl"/>
        </w:rPr>
        <w:t>la LFTR</w:t>
      </w:r>
      <w:r w:rsidRPr="00A1405F">
        <w:rPr>
          <w:rFonts w:ascii="ITC Avant Garde" w:hAnsi="ITC Avant Garde"/>
          <w:bCs/>
          <w:sz w:val="22"/>
          <w:szCs w:val="22"/>
          <w:lang w:val="es-ES_tradnl"/>
        </w:rPr>
        <w:t xml:space="preserve"> y demás disposiciones legales aplicables.</w:t>
      </w:r>
    </w:p>
    <w:p w14:paraId="05243757" w14:textId="77777777" w:rsidR="001211C1" w:rsidRDefault="001211C1" w:rsidP="00A1405F">
      <w:pPr>
        <w:spacing w:line="276" w:lineRule="auto"/>
        <w:jc w:val="both"/>
        <w:rPr>
          <w:rFonts w:ascii="ITC Avant Garde" w:hAnsi="ITC Avant Garde" w:cs="Arial"/>
          <w:sz w:val="22"/>
          <w:szCs w:val="22"/>
        </w:rPr>
      </w:pPr>
    </w:p>
    <w:p w14:paraId="35966F2C" w14:textId="77777777" w:rsidR="00A1405F" w:rsidRPr="00A1405F" w:rsidRDefault="00A1405F" w:rsidP="00A1405F">
      <w:pPr>
        <w:spacing w:line="276" w:lineRule="auto"/>
        <w:jc w:val="both"/>
        <w:rPr>
          <w:rFonts w:ascii="ITC Avant Garde" w:hAnsi="ITC Avant Garde" w:cs="Arial"/>
          <w:sz w:val="22"/>
          <w:szCs w:val="22"/>
        </w:rPr>
      </w:pPr>
    </w:p>
    <w:p w14:paraId="596BC006" w14:textId="77777777" w:rsidR="00F90030" w:rsidRPr="00A1405F" w:rsidRDefault="00D803B2" w:rsidP="00A1405F">
      <w:pPr>
        <w:spacing w:line="276" w:lineRule="auto"/>
        <w:jc w:val="both"/>
        <w:rPr>
          <w:rFonts w:ascii="ITC Avant Garde" w:hAnsi="ITC Avant Garde"/>
          <w:sz w:val="22"/>
          <w:szCs w:val="22"/>
        </w:rPr>
      </w:pPr>
      <w:r w:rsidRPr="00A1405F">
        <w:rPr>
          <w:rFonts w:ascii="ITC Avant Garde" w:hAnsi="ITC Avant Garde" w:cs="Arial"/>
          <w:b/>
          <w:sz w:val="22"/>
          <w:szCs w:val="22"/>
        </w:rPr>
        <w:t>Segundo</w:t>
      </w:r>
      <w:r w:rsidR="00C95170" w:rsidRPr="00A1405F">
        <w:rPr>
          <w:rFonts w:ascii="ITC Avant Garde" w:hAnsi="ITC Avant Garde" w:cs="Arial"/>
          <w:sz w:val="22"/>
          <w:szCs w:val="22"/>
        </w:rPr>
        <w:t>.-</w:t>
      </w:r>
      <w:r w:rsidR="00F90030" w:rsidRPr="00A1405F">
        <w:rPr>
          <w:rFonts w:ascii="ITC Avant Garde" w:hAnsi="ITC Avant Garde"/>
          <w:b/>
          <w:sz w:val="22"/>
          <w:szCs w:val="22"/>
        </w:rPr>
        <w:t xml:space="preserve"> Las telecomunicaciones y la radiodifusión como servicios públicos de interés general</w:t>
      </w:r>
      <w:r w:rsidR="00AD55DE" w:rsidRPr="00A1405F">
        <w:rPr>
          <w:rFonts w:ascii="ITC Avant Garde" w:hAnsi="ITC Avant Garde"/>
          <w:sz w:val="22"/>
          <w:szCs w:val="22"/>
        </w:rPr>
        <w:t xml:space="preserve">. </w:t>
      </w:r>
      <w:r w:rsidR="00F90030" w:rsidRPr="00A1405F">
        <w:rPr>
          <w:rFonts w:ascii="ITC Avant Garde" w:hAnsi="ITC Avant Garde"/>
          <w:sz w:val="22"/>
          <w:szCs w:val="22"/>
        </w:rPr>
        <w:t>Como lo ordena el artículo 28 de la Constitución, el Instituto tiene el mandato de garantizar lo establecido en los artículos 6o. y 7o. del mismo ordenamiento, los cuales prevén, entre otras cosas, el derecho</w:t>
      </w:r>
      <w:r w:rsidR="008D1966" w:rsidRPr="00A1405F">
        <w:rPr>
          <w:rFonts w:ascii="ITC Avant Garde" w:hAnsi="ITC Avant Garde"/>
          <w:sz w:val="22"/>
          <w:szCs w:val="22"/>
        </w:rPr>
        <w:t xml:space="preserve"> </w:t>
      </w:r>
      <w:r w:rsidR="00F90030" w:rsidRPr="00A1405F">
        <w:rPr>
          <w:rFonts w:ascii="ITC Avant Garde" w:hAnsi="ITC Avant Garde"/>
          <w:sz w:val="22"/>
          <w:szCs w:val="22"/>
        </w:rPr>
        <w:t xml:space="preserve">de acceso a las tecnologías de la información y comunicación, así como a los servicios de radiodifusión y telecomunicaciones y otorgan a dichos servicios la naturaleza de </w:t>
      </w:r>
      <w:r w:rsidR="00F90030" w:rsidRPr="00A1405F">
        <w:rPr>
          <w:rFonts w:ascii="ITC Avant Garde" w:hAnsi="ITC Avant Garde"/>
          <w:sz w:val="22"/>
          <w:szCs w:val="22"/>
        </w:rPr>
        <w:lastRenderedPageBreak/>
        <w:t>servicios públicos de interés general, respecto de los cuales el Estado señalará las condiciones de competencia efectiva para prestar los mismos. En ese orden de ideas, en términos de la fracción II del apartado B del artículo 6 de la Constitución y 2 de la LFTR, las telecomunicaciones son un servicio público de interés general, por lo que el Estado garantizará que sean prestadas en condiciones de competencia, calidad, pluralidad, cobertura universal, interconexión, convergencia, continuidad, acceso libre y sin injerencias arbitrarias.</w:t>
      </w:r>
    </w:p>
    <w:p w14:paraId="15B28198" w14:textId="77777777" w:rsidR="00F90030" w:rsidRPr="00A1405F" w:rsidRDefault="00F90030" w:rsidP="00A1405F">
      <w:pPr>
        <w:spacing w:line="276" w:lineRule="auto"/>
        <w:jc w:val="both"/>
        <w:rPr>
          <w:rFonts w:ascii="ITC Avant Garde" w:hAnsi="ITC Avant Garde"/>
          <w:sz w:val="22"/>
          <w:szCs w:val="22"/>
        </w:rPr>
      </w:pPr>
    </w:p>
    <w:p w14:paraId="7C226EC5" w14:textId="24472A41" w:rsidR="00F90030" w:rsidRPr="00A1405F" w:rsidRDefault="00F90030" w:rsidP="00A1405F">
      <w:pPr>
        <w:spacing w:line="276" w:lineRule="auto"/>
        <w:jc w:val="both"/>
        <w:rPr>
          <w:rFonts w:ascii="ITC Avant Garde" w:hAnsi="ITC Avant Garde"/>
          <w:sz w:val="22"/>
          <w:szCs w:val="22"/>
        </w:rPr>
      </w:pPr>
      <w:r w:rsidRPr="00A1405F">
        <w:rPr>
          <w:rFonts w:ascii="ITC Avant Garde" w:hAnsi="ITC Avant Garde"/>
          <w:sz w:val="22"/>
          <w:szCs w:val="22"/>
        </w:rPr>
        <w:t>Asimismo, de conformidad con la fracción III del apartado B del artículo 6 de la Constitución y 2 de la LFTR, la radiodifusión es un servicio público de interés general, por lo que el Estado garantizará que sea prestado en condiciones de competencia y calidad y</w:t>
      </w:r>
      <w:r w:rsidR="000E7862" w:rsidRPr="00A1405F">
        <w:rPr>
          <w:rFonts w:ascii="ITC Avant Garde" w:hAnsi="ITC Avant Garde"/>
          <w:sz w:val="22"/>
          <w:szCs w:val="22"/>
        </w:rPr>
        <w:t xml:space="preserve"> </w:t>
      </w:r>
      <w:r w:rsidRPr="00A1405F">
        <w:rPr>
          <w:rFonts w:ascii="ITC Avant Garde" w:hAnsi="ITC Avant Garde"/>
          <w:sz w:val="22"/>
          <w:szCs w:val="22"/>
        </w:rPr>
        <w:t xml:space="preserve"> brinde los beneficios de la cultura a toda la población, preservando la pluralidad y la veracidad de la información, así como el fomento de los valores de la identidad nacional, contribuyendo a los fines establecidos en el artículo 3o. de la Constitución. </w:t>
      </w:r>
    </w:p>
    <w:p w14:paraId="50007181" w14:textId="77777777" w:rsidR="00F90030" w:rsidRDefault="00F90030" w:rsidP="00A1405F">
      <w:pPr>
        <w:spacing w:line="276" w:lineRule="auto"/>
        <w:jc w:val="both"/>
        <w:rPr>
          <w:rFonts w:ascii="ITC Avant Garde" w:hAnsi="ITC Avant Garde"/>
          <w:sz w:val="22"/>
          <w:szCs w:val="22"/>
        </w:rPr>
      </w:pPr>
    </w:p>
    <w:p w14:paraId="6733B4C9" w14:textId="77777777" w:rsidR="00A1405F" w:rsidRPr="00A1405F" w:rsidRDefault="00A1405F" w:rsidP="00A1405F">
      <w:pPr>
        <w:spacing w:line="276" w:lineRule="auto"/>
        <w:jc w:val="both"/>
        <w:rPr>
          <w:rFonts w:ascii="ITC Avant Garde" w:hAnsi="ITC Avant Garde"/>
          <w:sz w:val="22"/>
          <w:szCs w:val="22"/>
        </w:rPr>
      </w:pPr>
    </w:p>
    <w:p w14:paraId="72C0D8B7" w14:textId="47A25AF3" w:rsidR="00812EA2" w:rsidRPr="00A1405F" w:rsidRDefault="00D803B2" w:rsidP="00A1405F">
      <w:pPr>
        <w:pStyle w:val="Textocomentario"/>
        <w:spacing w:line="276" w:lineRule="auto"/>
        <w:jc w:val="both"/>
        <w:rPr>
          <w:rFonts w:ascii="ITC Avant Garde" w:hAnsi="ITC Avant Garde"/>
          <w:sz w:val="22"/>
          <w:szCs w:val="22"/>
        </w:rPr>
      </w:pPr>
      <w:r w:rsidRPr="00A1405F">
        <w:rPr>
          <w:rFonts w:ascii="ITC Avant Garde" w:hAnsi="ITC Avant Garde"/>
          <w:b/>
          <w:sz w:val="22"/>
          <w:szCs w:val="22"/>
        </w:rPr>
        <w:t>Tercero</w:t>
      </w:r>
      <w:r w:rsidRPr="00A1405F">
        <w:rPr>
          <w:rFonts w:ascii="ITC Avant Garde" w:hAnsi="ITC Avant Garde"/>
          <w:sz w:val="22"/>
          <w:szCs w:val="22"/>
        </w:rPr>
        <w:t xml:space="preserve">.- </w:t>
      </w:r>
      <w:r w:rsidR="00B45F07" w:rsidRPr="00A1405F">
        <w:rPr>
          <w:rFonts w:ascii="ITC Avant Garde" w:hAnsi="ITC Avant Garde"/>
          <w:b/>
          <w:sz w:val="22"/>
          <w:szCs w:val="22"/>
        </w:rPr>
        <w:t>La supervisión de las emisiones radioeléctricas.</w:t>
      </w:r>
      <w:r w:rsidR="00B45F07" w:rsidRPr="00A1405F">
        <w:rPr>
          <w:rFonts w:ascii="ITC Avant Garde" w:hAnsi="ITC Avant Garde"/>
          <w:sz w:val="22"/>
          <w:szCs w:val="22"/>
        </w:rPr>
        <w:t xml:space="preserve"> </w:t>
      </w:r>
      <w:r w:rsidR="00E61FD5" w:rsidRPr="00A1405F">
        <w:rPr>
          <w:rFonts w:ascii="ITC Avant Garde" w:hAnsi="ITC Avant Garde"/>
          <w:sz w:val="22"/>
          <w:szCs w:val="22"/>
        </w:rPr>
        <w:t xml:space="preserve">Que </w:t>
      </w:r>
      <w:r w:rsidR="000E7862" w:rsidRPr="00A1405F">
        <w:rPr>
          <w:rFonts w:ascii="ITC Avant Garde" w:hAnsi="ITC Avant Garde"/>
          <w:sz w:val="22"/>
          <w:szCs w:val="22"/>
        </w:rPr>
        <w:t>con el objeto de contar con una disposición administrativa de carácter general que coadyuve a la supervisión de las emisiones radioeléctricas</w:t>
      </w:r>
      <w:r w:rsidR="009F3B83" w:rsidRPr="00A1405F">
        <w:rPr>
          <w:rFonts w:ascii="ITC Avant Garde" w:hAnsi="ITC Avant Garde"/>
          <w:sz w:val="22"/>
          <w:szCs w:val="22"/>
        </w:rPr>
        <w:t>,</w:t>
      </w:r>
      <w:r w:rsidR="000E7862" w:rsidRPr="00A1405F">
        <w:rPr>
          <w:rFonts w:ascii="ITC Avant Garde" w:hAnsi="ITC Avant Garde"/>
          <w:sz w:val="22"/>
          <w:szCs w:val="22"/>
        </w:rPr>
        <w:t xml:space="preserve"> </w:t>
      </w:r>
      <w:r w:rsidR="009F3B83" w:rsidRPr="00A1405F">
        <w:rPr>
          <w:rFonts w:ascii="ITC Avant Garde" w:hAnsi="ITC Avant Garde"/>
          <w:sz w:val="22"/>
          <w:szCs w:val="22"/>
        </w:rPr>
        <w:t xml:space="preserve">en función de que </w:t>
      </w:r>
      <w:r w:rsidR="000E7862" w:rsidRPr="00A1405F">
        <w:rPr>
          <w:rFonts w:ascii="ITC Avant Garde" w:hAnsi="ITC Avant Garde"/>
          <w:sz w:val="22"/>
          <w:szCs w:val="22"/>
        </w:rPr>
        <w:t xml:space="preserve">el Instituto al administrar el espectro, persigue entre otros objetivos generales, la seguridad de la vida, y la competencia efectiva en los mercados convergentes de los sectores de telecomunicaciones y radiodifusión en beneficio de los usuarios, </w:t>
      </w:r>
      <w:r w:rsidR="009F3B83" w:rsidRPr="00A1405F">
        <w:rPr>
          <w:rFonts w:ascii="ITC Avant Garde" w:hAnsi="ITC Avant Garde"/>
          <w:sz w:val="22"/>
          <w:szCs w:val="22"/>
        </w:rPr>
        <w:t xml:space="preserve">y </w:t>
      </w:r>
      <w:r w:rsidR="000E7862" w:rsidRPr="00A1405F">
        <w:rPr>
          <w:rFonts w:ascii="ITC Avant Garde" w:hAnsi="ITC Avant Garde"/>
          <w:sz w:val="22"/>
          <w:szCs w:val="22"/>
        </w:rPr>
        <w:t xml:space="preserve">de conformidad con lo dispuesto en </w:t>
      </w:r>
      <w:r w:rsidR="00E61FD5" w:rsidRPr="00A1405F">
        <w:rPr>
          <w:rFonts w:ascii="ITC Avant Garde" w:hAnsi="ITC Avant Garde"/>
          <w:sz w:val="22"/>
          <w:szCs w:val="22"/>
        </w:rPr>
        <w:t xml:space="preserve">el artículo 54 de la LFTR </w:t>
      </w:r>
      <w:r w:rsidR="000E7862" w:rsidRPr="00A1405F">
        <w:rPr>
          <w:rFonts w:ascii="ITC Avant Garde" w:hAnsi="ITC Avant Garde"/>
          <w:sz w:val="22"/>
          <w:szCs w:val="22"/>
        </w:rPr>
        <w:t xml:space="preserve">que </w:t>
      </w:r>
      <w:r w:rsidR="00812EA2" w:rsidRPr="00A1405F">
        <w:rPr>
          <w:rFonts w:ascii="ITC Avant Garde" w:hAnsi="ITC Avant Garde"/>
          <w:sz w:val="22"/>
          <w:szCs w:val="22"/>
        </w:rPr>
        <w:t>a la letra dice</w:t>
      </w:r>
      <w:r w:rsidR="00E61FD5" w:rsidRPr="00A1405F">
        <w:rPr>
          <w:rFonts w:ascii="ITC Avant Garde" w:hAnsi="ITC Avant Garde"/>
          <w:sz w:val="22"/>
          <w:szCs w:val="22"/>
        </w:rPr>
        <w:t xml:space="preserve">: </w:t>
      </w:r>
    </w:p>
    <w:p w14:paraId="2B499C81" w14:textId="77777777" w:rsidR="00960144" w:rsidRPr="00A1405F" w:rsidRDefault="00960144" w:rsidP="00A1405F">
      <w:pPr>
        <w:pStyle w:val="Textocomentario"/>
        <w:spacing w:line="276" w:lineRule="auto"/>
        <w:jc w:val="both"/>
        <w:rPr>
          <w:rFonts w:ascii="ITC Avant Garde" w:hAnsi="ITC Avant Garde"/>
          <w:szCs w:val="22"/>
        </w:rPr>
      </w:pPr>
    </w:p>
    <w:p w14:paraId="7EECAFE3" w14:textId="77777777" w:rsidR="009E4A92" w:rsidRPr="00A1405F" w:rsidRDefault="00E61FD5" w:rsidP="00A1405F">
      <w:pPr>
        <w:pStyle w:val="Textocomentario"/>
        <w:spacing w:line="276" w:lineRule="auto"/>
        <w:ind w:left="1416"/>
        <w:jc w:val="both"/>
        <w:rPr>
          <w:rFonts w:ascii="ITC Avant Garde" w:hAnsi="ITC Avant Garde"/>
          <w:i/>
          <w:szCs w:val="22"/>
        </w:rPr>
      </w:pPr>
      <w:r w:rsidRPr="00A1405F">
        <w:rPr>
          <w:rFonts w:ascii="ITC Avant Garde" w:hAnsi="ITC Avant Garde"/>
          <w:i/>
          <w:szCs w:val="22"/>
        </w:rPr>
        <w:t>“</w:t>
      </w:r>
      <w:r w:rsidR="00812EA2" w:rsidRPr="00A1405F">
        <w:rPr>
          <w:rFonts w:ascii="ITC Avant Garde" w:hAnsi="ITC Avant Garde"/>
          <w:i/>
          <w:szCs w:val="22"/>
        </w:rPr>
        <w:t>…</w:t>
      </w:r>
      <w:r w:rsidRPr="00A1405F">
        <w:rPr>
          <w:rFonts w:ascii="ITC Avant Garde" w:hAnsi="ITC Avant Garde"/>
          <w:i/>
          <w:szCs w:val="22"/>
        </w:rPr>
        <w:t>El espectro radioeléctrico y los recursos orbitales son bienes del dominio público de la Nación, cuya titularidad y administración corresponde al Estado</w:t>
      </w:r>
      <w:r w:rsidR="009E4A92" w:rsidRPr="00A1405F">
        <w:rPr>
          <w:rFonts w:ascii="ITC Avant Garde" w:hAnsi="ITC Avant Garde"/>
          <w:i/>
          <w:szCs w:val="22"/>
        </w:rPr>
        <w:t>.</w:t>
      </w:r>
    </w:p>
    <w:p w14:paraId="7E61B559" w14:textId="77777777" w:rsidR="009E4A92" w:rsidRPr="00A1405F" w:rsidRDefault="009E4A92" w:rsidP="00A1405F">
      <w:pPr>
        <w:pStyle w:val="Textocomentario"/>
        <w:spacing w:line="276" w:lineRule="auto"/>
        <w:ind w:left="1416"/>
        <w:jc w:val="both"/>
        <w:rPr>
          <w:rFonts w:ascii="ITC Avant Garde" w:hAnsi="ITC Avant Garde"/>
          <w:i/>
          <w:szCs w:val="22"/>
        </w:rPr>
      </w:pPr>
    </w:p>
    <w:p w14:paraId="1899ED62" w14:textId="0DC5ABE0" w:rsidR="00E61FD5" w:rsidRPr="00A1405F" w:rsidRDefault="009E4A92" w:rsidP="00A1405F">
      <w:pPr>
        <w:pStyle w:val="Textocomentario"/>
        <w:spacing w:line="276" w:lineRule="auto"/>
        <w:ind w:left="1416"/>
        <w:jc w:val="both"/>
        <w:rPr>
          <w:rFonts w:ascii="ITC Avant Garde" w:hAnsi="ITC Avant Garde"/>
          <w:i/>
          <w:szCs w:val="22"/>
        </w:rPr>
      </w:pPr>
      <w:r w:rsidRPr="00A1405F">
        <w:rPr>
          <w:rFonts w:ascii="ITC Avant Garde" w:hAnsi="ITC Avant Garde"/>
          <w:i/>
          <w:szCs w:val="22"/>
        </w:rPr>
        <w:t>D</w:t>
      </w:r>
      <w:r w:rsidR="00E61FD5" w:rsidRPr="00A1405F">
        <w:rPr>
          <w:rFonts w:ascii="ITC Avant Garde" w:hAnsi="ITC Avant Garde"/>
          <w:i/>
          <w:szCs w:val="22"/>
        </w:rPr>
        <w:t xml:space="preserve">icha administración se ejercerá por el Instituto en el ejercicio de sus funciones según lo dispuesto  por la Constitución, </w:t>
      </w:r>
      <w:r w:rsidR="00812EA2" w:rsidRPr="00A1405F">
        <w:rPr>
          <w:rFonts w:ascii="ITC Avant Garde" w:hAnsi="ITC Avant Garde"/>
          <w:i/>
          <w:szCs w:val="22"/>
        </w:rPr>
        <w:t xml:space="preserve"> en </w:t>
      </w:r>
      <w:r w:rsidRPr="00A1405F">
        <w:rPr>
          <w:rFonts w:ascii="ITC Avant Garde" w:hAnsi="ITC Avant Garde"/>
          <w:i/>
          <w:szCs w:val="22"/>
        </w:rPr>
        <w:t>esta Ley</w:t>
      </w:r>
      <w:r w:rsidR="00812EA2" w:rsidRPr="00A1405F">
        <w:rPr>
          <w:rFonts w:ascii="ITC Avant Garde" w:hAnsi="ITC Avant Garde"/>
          <w:i/>
          <w:szCs w:val="22"/>
        </w:rPr>
        <w:t>,</w:t>
      </w:r>
      <w:r w:rsidR="00E61FD5" w:rsidRPr="00A1405F">
        <w:rPr>
          <w:rFonts w:ascii="ITC Avant Garde" w:hAnsi="ITC Avant Garde"/>
          <w:i/>
          <w:szCs w:val="22"/>
        </w:rPr>
        <w:t xml:space="preserve"> en los tratados y acuerdos internacionales  firmados por México, y en lo aplicable, siguiendo  las recomendaciones  de la Unión Internacional de Telecomunicaciones  y otros organismos internacionales. </w:t>
      </w:r>
    </w:p>
    <w:p w14:paraId="69A579C2" w14:textId="77777777" w:rsidR="007143A7" w:rsidRPr="00A1405F" w:rsidRDefault="007143A7" w:rsidP="00A1405F">
      <w:pPr>
        <w:pStyle w:val="Textocomentario"/>
        <w:spacing w:line="276" w:lineRule="auto"/>
        <w:ind w:left="1416"/>
        <w:jc w:val="both"/>
        <w:rPr>
          <w:rFonts w:ascii="ITC Avant Garde" w:hAnsi="ITC Avant Garde"/>
          <w:i/>
          <w:szCs w:val="22"/>
        </w:rPr>
      </w:pPr>
    </w:p>
    <w:p w14:paraId="4B6B621D" w14:textId="735F7575" w:rsidR="00E61FD5" w:rsidRPr="00A1405F" w:rsidRDefault="00E61FD5" w:rsidP="00A1405F">
      <w:pPr>
        <w:pStyle w:val="Textocomentario"/>
        <w:spacing w:line="276" w:lineRule="auto"/>
        <w:ind w:left="1416"/>
        <w:jc w:val="both"/>
        <w:rPr>
          <w:rFonts w:ascii="ITC Avant Garde" w:hAnsi="ITC Avant Garde"/>
          <w:i/>
          <w:szCs w:val="22"/>
        </w:rPr>
      </w:pPr>
      <w:r w:rsidRPr="00A1405F">
        <w:rPr>
          <w:rFonts w:ascii="ITC Avant Garde" w:hAnsi="ITC Avant Garde"/>
          <w:i/>
          <w:szCs w:val="22"/>
        </w:rPr>
        <w:t xml:space="preserve">La </w:t>
      </w:r>
      <w:r w:rsidR="009E4A92" w:rsidRPr="00A1405F">
        <w:rPr>
          <w:rFonts w:ascii="ITC Avant Garde" w:hAnsi="ITC Avant Garde"/>
          <w:i/>
          <w:szCs w:val="22"/>
        </w:rPr>
        <w:t>a</w:t>
      </w:r>
      <w:r w:rsidRPr="00A1405F">
        <w:rPr>
          <w:rFonts w:ascii="ITC Avant Garde" w:hAnsi="ITC Avant Garde"/>
          <w:i/>
          <w:szCs w:val="22"/>
        </w:rPr>
        <w:t xml:space="preserve">dministración incluye la elaboración y aprobación  de planes  y programas  de uso, el establecimiento de las condiciones para la atribución de una banda de frecuencias, el otorgamiento de las concesiones, </w:t>
      </w:r>
      <w:r w:rsidRPr="00A1405F">
        <w:rPr>
          <w:rFonts w:ascii="ITC Avant Garde" w:hAnsi="ITC Avant Garde"/>
          <w:b/>
          <w:i/>
          <w:szCs w:val="22"/>
        </w:rPr>
        <w:t>la supervisión de las emisiones radioeléctricas</w:t>
      </w:r>
      <w:r w:rsidRPr="00A1405F">
        <w:rPr>
          <w:rFonts w:ascii="ITC Avant Garde" w:hAnsi="ITC Avant Garde"/>
          <w:i/>
          <w:szCs w:val="22"/>
        </w:rPr>
        <w:t xml:space="preserve">  y la aplicación del régimen de </w:t>
      </w:r>
      <w:r w:rsidRPr="00A1405F">
        <w:rPr>
          <w:rFonts w:ascii="ITC Avant Garde" w:hAnsi="ITC Avant Garde"/>
          <w:i/>
          <w:szCs w:val="22"/>
        </w:rPr>
        <w:lastRenderedPageBreak/>
        <w:t>sanciones, sin menoscabo  de las atribuciones  que correspondan al  Ejecutivo Federal.</w:t>
      </w:r>
    </w:p>
    <w:p w14:paraId="7102C3B4" w14:textId="77777777" w:rsidR="00E61FD5" w:rsidRPr="00A1405F" w:rsidRDefault="00E61FD5" w:rsidP="00A1405F">
      <w:pPr>
        <w:pStyle w:val="Textocomentario"/>
        <w:spacing w:line="276" w:lineRule="auto"/>
        <w:ind w:left="708"/>
        <w:jc w:val="both"/>
        <w:rPr>
          <w:rFonts w:ascii="ITC Avant Garde" w:hAnsi="ITC Avant Garde"/>
          <w:i/>
          <w:szCs w:val="22"/>
        </w:rPr>
      </w:pPr>
    </w:p>
    <w:p w14:paraId="121AD671" w14:textId="0A409E5F" w:rsidR="00E61FD5" w:rsidRPr="00A1405F" w:rsidRDefault="00E61FD5" w:rsidP="00A1405F">
      <w:pPr>
        <w:pStyle w:val="Textocomentario"/>
        <w:spacing w:line="276" w:lineRule="auto"/>
        <w:ind w:left="1416"/>
        <w:jc w:val="both"/>
        <w:rPr>
          <w:rFonts w:ascii="ITC Avant Garde" w:hAnsi="ITC Avant Garde"/>
          <w:i/>
          <w:szCs w:val="22"/>
        </w:rPr>
      </w:pPr>
      <w:r w:rsidRPr="00A1405F">
        <w:rPr>
          <w:rFonts w:ascii="ITC Avant Garde" w:hAnsi="ITC Avant Garde"/>
          <w:i/>
          <w:szCs w:val="22"/>
        </w:rPr>
        <w:t>Al administrar el espectro, el Instituto perseguirá  los siguientes objetivos generales  en beneficio de los usuarios:</w:t>
      </w:r>
    </w:p>
    <w:p w14:paraId="2B6BF3B1" w14:textId="15E33390" w:rsidR="00E61FD5" w:rsidRPr="00A1405F" w:rsidRDefault="00E61FD5" w:rsidP="00A1405F">
      <w:pPr>
        <w:pStyle w:val="Textocomentario"/>
        <w:spacing w:line="276" w:lineRule="auto"/>
        <w:ind w:left="1416"/>
        <w:jc w:val="both"/>
        <w:rPr>
          <w:rFonts w:ascii="ITC Avant Garde" w:hAnsi="ITC Avant Garde"/>
          <w:b/>
          <w:i/>
          <w:szCs w:val="22"/>
        </w:rPr>
      </w:pPr>
      <w:r w:rsidRPr="00A1405F">
        <w:rPr>
          <w:rFonts w:ascii="ITC Avant Garde" w:hAnsi="ITC Avant Garde"/>
          <w:b/>
          <w:i/>
          <w:szCs w:val="22"/>
        </w:rPr>
        <w:t xml:space="preserve">I. La seguridad de la vida; </w:t>
      </w:r>
    </w:p>
    <w:p w14:paraId="127A57C9" w14:textId="5EB759B9" w:rsidR="00812EA2" w:rsidRPr="00A1405F" w:rsidRDefault="00812EA2" w:rsidP="00A1405F">
      <w:pPr>
        <w:pStyle w:val="Textocomentario"/>
        <w:spacing w:line="276" w:lineRule="auto"/>
        <w:ind w:left="1416"/>
        <w:jc w:val="both"/>
        <w:rPr>
          <w:rFonts w:ascii="ITC Avant Garde" w:hAnsi="ITC Avant Garde"/>
          <w:i/>
          <w:szCs w:val="22"/>
        </w:rPr>
      </w:pPr>
      <w:r w:rsidRPr="00A1405F">
        <w:rPr>
          <w:rFonts w:ascii="ITC Avant Garde" w:hAnsi="ITC Avant Garde"/>
          <w:i/>
          <w:szCs w:val="22"/>
        </w:rPr>
        <w:t>II. La promoción de la cohesión social, regional o territorial;</w:t>
      </w:r>
    </w:p>
    <w:p w14:paraId="26ECD279" w14:textId="004B52D8" w:rsidR="00812EA2" w:rsidRPr="00A1405F" w:rsidRDefault="00812EA2" w:rsidP="00A1405F">
      <w:pPr>
        <w:pStyle w:val="Textocomentario"/>
        <w:spacing w:line="276" w:lineRule="auto"/>
        <w:ind w:left="1416"/>
        <w:jc w:val="both"/>
        <w:rPr>
          <w:rFonts w:ascii="ITC Avant Garde" w:hAnsi="ITC Avant Garde"/>
          <w:b/>
          <w:i/>
          <w:szCs w:val="22"/>
        </w:rPr>
      </w:pPr>
      <w:r w:rsidRPr="00A1405F">
        <w:rPr>
          <w:rFonts w:ascii="ITC Avant Garde" w:hAnsi="ITC Avant Garde"/>
          <w:b/>
          <w:i/>
          <w:szCs w:val="22"/>
        </w:rPr>
        <w:t>III. La competencia efectiva en los mercados convergentes de los sectores  de telecomunicaciones y radiodifusión;</w:t>
      </w:r>
    </w:p>
    <w:p w14:paraId="1D7C6EC0" w14:textId="395D435E" w:rsidR="00812EA2" w:rsidRPr="00A1405F" w:rsidRDefault="00812EA2" w:rsidP="00A1405F">
      <w:pPr>
        <w:pStyle w:val="Textocomentario"/>
        <w:spacing w:line="276" w:lineRule="auto"/>
        <w:ind w:left="1416"/>
        <w:jc w:val="both"/>
        <w:rPr>
          <w:rFonts w:ascii="ITC Avant Garde" w:hAnsi="ITC Avant Garde"/>
          <w:i/>
          <w:szCs w:val="22"/>
        </w:rPr>
      </w:pPr>
      <w:r w:rsidRPr="00A1405F">
        <w:rPr>
          <w:rFonts w:ascii="ITC Avant Garde" w:hAnsi="ITC Avant Garde"/>
          <w:i/>
          <w:szCs w:val="22"/>
        </w:rPr>
        <w:t xml:space="preserve">IV. El  uso eficaz  del espectro y su protección;  </w:t>
      </w:r>
    </w:p>
    <w:p w14:paraId="3DAA93F1" w14:textId="1D880C24" w:rsidR="00812EA2" w:rsidRPr="00A1405F" w:rsidRDefault="00812EA2" w:rsidP="00A1405F">
      <w:pPr>
        <w:pStyle w:val="Textocomentario"/>
        <w:spacing w:line="276" w:lineRule="auto"/>
        <w:ind w:left="1416"/>
        <w:jc w:val="both"/>
        <w:rPr>
          <w:rFonts w:ascii="ITC Avant Garde" w:hAnsi="ITC Avant Garde"/>
          <w:i/>
          <w:szCs w:val="22"/>
        </w:rPr>
      </w:pPr>
      <w:r w:rsidRPr="00A1405F">
        <w:rPr>
          <w:rFonts w:ascii="ITC Avant Garde" w:hAnsi="ITC Avant Garde"/>
          <w:i/>
          <w:szCs w:val="22"/>
        </w:rPr>
        <w:t>….”.</w:t>
      </w:r>
    </w:p>
    <w:p w14:paraId="034C3489" w14:textId="04BC6714" w:rsidR="00812EA2" w:rsidRPr="00A1405F" w:rsidRDefault="00812EA2" w:rsidP="00A1405F">
      <w:pPr>
        <w:pStyle w:val="Textocomentario"/>
        <w:spacing w:line="276" w:lineRule="auto"/>
        <w:jc w:val="right"/>
        <w:rPr>
          <w:rFonts w:ascii="ITC Avant Garde" w:hAnsi="ITC Avant Garde"/>
          <w:szCs w:val="22"/>
        </w:rPr>
      </w:pPr>
      <w:r w:rsidRPr="00A1405F">
        <w:rPr>
          <w:rFonts w:ascii="ITC Avant Garde" w:hAnsi="ITC Avant Garde"/>
          <w:szCs w:val="22"/>
        </w:rPr>
        <w:t>(</w:t>
      </w:r>
      <w:r w:rsidRPr="00A1405F">
        <w:rPr>
          <w:rFonts w:ascii="ITC Avant Garde" w:hAnsi="ITC Avant Garde"/>
          <w:b/>
          <w:szCs w:val="22"/>
        </w:rPr>
        <w:t>Énfasis añadido</w:t>
      </w:r>
      <w:r w:rsidRPr="00A1405F">
        <w:rPr>
          <w:rFonts w:ascii="ITC Avant Garde" w:hAnsi="ITC Avant Garde"/>
          <w:szCs w:val="22"/>
        </w:rPr>
        <w:t>)</w:t>
      </w:r>
    </w:p>
    <w:p w14:paraId="2EE84045" w14:textId="77777777" w:rsidR="00D803B2" w:rsidRPr="00A1405F" w:rsidRDefault="00D803B2" w:rsidP="00A1405F">
      <w:pPr>
        <w:pStyle w:val="Textocomentario"/>
        <w:spacing w:line="276" w:lineRule="auto"/>
        <w:jc w:val="both"/>
        <w:rPr>
          <w:rFonts w:ascii="ITC Avant Garde" w:hAnsi="ITC Avant Garde"/>
          <w:sz w:val="22"/>
          <w:szCs w:val="22"/>
          <w:lang w:val="es-ES_tradnl"/>
        </w:rPr>
      </w:pPr>
    </w:p>
    <w:p w14:paraId="45AB8000" w14:textId="77777777" w:rsidR="00A1405F" w:rsidRPr="00A1405F" w:rsidRDefault="00A1405F" w:rsidP="00A1405F">
      <w:pPr>
        <w:pStyle w:val="Textocomentario"/>
        <w:spacing w:line="276" w:lineRule="auto"/>
        <w:jc w:val="both"/>
        <w:rPr>
          <w:rFonts w:ascii="ITC Avant Garde" w:hAnsi="ITC Avant Garde"/>
          <w:sz w:val="22"/>
          <w:szCs w:val="22"/>
          <w:lang w:val="es-ES_tradnl"/>
        </w:rPr>
      </w:pPr>
    </w:p>
    <w:p w14:paraId="62BD6C8C" w14:textId="2D8A2B4A" w:rsidR="00E61E4C" w:rsidRPr="00A1405F" w:rsidRDefault="00D803B2" w:rsidP="00A1405F">
      <w:pPr>
        <w:pStyle w:val="Default"/>
        <w:tabs>
          <w:tab w:val="left" w:pos="0"/>
        </w:tabs>
        <w:spacing w:line="276" w:lineRule="auto"/>
        <w:jc w:val="both"/>
        <w:rPr>
          <w:rFonts w:ascii="ITC Avant Garde" w:eastAsia="Times New Roman" w:hAnsi="ITC Avant Garde"/>
          <w:color w:val="auto"/>
          <w:sz w:val="22"/>
          <w:szCs w:val="22"/>
          <w:lang w:val="es-ES" w:eastAsia="es-ES"/>
        </w:rPr>
      </w:pPr>
      <w:r w:rsidRPr="00A1405F">
        <w:rPr>
          <w:rFonts w:ascii="ITC Avant Garde" w:hAnsi="ITC Avant Garde"/>
          <w:b/>
          <w:bCs/>
          <w:color w:val="auto"/>
          <w:sz w:val="22"/>
          <w:szCs w:val="22"/>
          <w:lang w:val="es-ES_tradnl"/>
        </w:rPr>
        <w:t>Cuarto</w:t>
      </w:r>
      <w:r w:rsidRPr="00A1405F">
        <w:rPr>
          <w:rFonts w:ascii="ITC Avant Garde" w:eastAsia="Times New Roman" w:hAnsi="ITC Avant Garde"/>
          <w:color w:val="auto"/>
          <w:sz w:val="22"/>
          <w:szCs w:val="22"/>
          <w:lang w:val="es-ES" w:eastAsia="es-ES"/>
        </w:rPr>
        <w:t xml:space="preserve">.- </w:t>
      </w:r>
      <w:r w:rsidR="00B45F07" w:rsidRPr="00A1405F">
        <w:rPr>
          <w:rFonts w:ascii="ITC Avant Garde" w:eastAsia="Times New Roman" w:hAnsi="ITC Avant Garde"/>
          <w:b/>
          <w:color w:val="auto"/>
          <w:sz w:val="22"/>
          <w:szCs w:val="22"/>
          <w:lang w:val="es-ES" w:eastAsia="es-ES"/>
        </w:rPr>
        <w:t>De las normas internacionales sobre la exposición a emisiones radioeléctricas</w:t>
      </w:r>
      <w:r w:rsidR="00B45F07" w:rsidRPr="00A1405F">
        <w:rPr>
          <w:rFonts w:ascii="ITC Avant Garde" w:eastAsia="Times New Roman" w:hAnsi="ITC Avant Garde"/>
          <w:color w:val="auto"/>
          <w:sz w:val="22"/>
          <w:szCs w:val="22"/>
          <w:lang w:val="es-ES" w:eastAsia="es-ES"/>
        </w:rPr>
        <w:t xml:space="preserve">. </w:t>
      </w:r>
      <w:r w:rsidR="00156B95" w:rsidRPr="00A1405F">
        <w:rPr>
          <w:rFonts w:ascii="ITC Avant Garde" w:eastAsia="Times New Roman" w:hAnsi="ITC Avant Garde"/>
          <w:color w:val="auto"/>
          <w:sz w:val="22"/>
          <w:szCs w:val="22"/>
          <w:lang w:val="es-ES" w:eastAsia="es-ES"/>
        </w:rPr>
        <w:t>Que La Conferencia de Plenipotenciarios, el órgano supremo de aprobación de políticas en la UIT, aprobó la Resolución 176 Exposición de las personas a los campos electromagnéticos y su medición (</w:t>
      </w:r>
      <w:proofErr w:type="spellStart"/>
      <w:r w:rsidR="00156B95" w:rsidRPr="00A1405F">
        <w:rPr>
          <w:rFonts w:ascii="ITC Avant Garde" w:eastAsia="Times New Roman" w:hAnsi="ITC Avant Garde"/>
          <w:color w:val="auto"/>
          <w:sz w:val="22"/>
          <w:szCs w:val="22"/>
          <w:lang w:val="es-ES" w:eastAsia="es-ES"/>
        </w:rPr>
        <w:t>Busán</w:t>
      </w:r>
      <w:proofErr w:type="spellEnd"/>
      <w:r w:rsidR="00156B95" w:rsidRPr="00A1405F">
        <w:rPr>
          <w:rFonts w:ascii="ITC Avant Garde" w:eastAsia="Times New Roman" w:hAnsi="ITC Avant Garde"/>
          <w:color w:val="auto"/>
          <w:sz w:val="22"/>
          <w:szCs w:val="22"/>
          <w:lang w:val="es-ES" w:eastAsia="es-ES"/>
        </w:rPr>
        <w:t xml:space="preserve">, 2014),  la Comisión de Estudio 5 (CE 5) del Sector de Normalización de las Telecomunicaciones de la UIT (UIT-T) es la Comisión de Estudio rectora del UIT-T en lo que respecta a los aspectos ambientales de las TIC, los fenómenos electromagnéticos y el cambio climático y  el Grupo de Trabajo 2 de la CE 5 estudia asuntos relacionados con los Campos Electromagnéticos  (CEM) en el marco de la Cuestión 7/5: "Exposición humana a los campos electromagnéticos causados por sistemas de radiocomunicaciones y </w:t>
      </w:r>
      <w:r w:rsidR="00156B95" w:rsidRPr="00A1405F">
        <w:rPr>
          <w:rFonts w:ascii="ITC Avant Garde" w:eastAsia="Times New Roman" w:hAnsi="ITC Avant Garde"/>
          <w:b/>
          <w:color w:val="auto"/>
          <w:sz w:val="22"/>
          <w:szCs w:val="22"/>
          <w:lang w:val="es-ES" w:eastAsia="es-ES"/>
        </w:rPr>
        <w:t>equipos móviles</w:t>
      </w:r>
      <w:r w:rsidR="00156B95" w:rsidRPr="00A1405F">
        <w:rPr>
          <w:rFonts w:ascii="ITC Avant Garde" w:eastAsia="Times New Roman" w:hAnsi="ITC Avant Garde"/>
          <w:color w:val="auto"/>
          <w:sz w:val="22"/>
          <w:szCs w:val="22"/>
          <w:lang w:val="es-ES" w:eastAsia="es-ES"/>
        </w:rPr>
        <w:t>", en este sentido las normas internacionales (Recomendaciones del UIT-T) constituyen marcos de alto nivel para la gestión de la exposición de las personas a las emisiones radioeléctricas no ionizantes de los equipos de telecomunicaciones, y también ofrecen directrices para evaluar la exposición humana sobre la base de Recomendaciones del UIT-T y normas elaboradas por otras organizaciones de normalización.</w:t>
      </w:r>
    </w:p>
    <w:p w14:paraId="70CF6425" w14:textId="77777777" w:rsidR="00E61E4C" w:rsidRPr="00A1405F" w:rsidRDefault="00E61E4C" w:rsidP="00A1405F">
      <w:pPr>
        <w:pStyle w:val="Default"/>
        <w:tabs>
          <w:tab w:val="left" w:pos="0"/>
        </w:tabs>
        <w:spacing w:line="276" w:lineRule="auto"/>
        <w:jc w:val="both"/>
        <w:rPr>
          <w:rFonts w:ascii="ITC Avant Garde" w:eastAsia="Times New Roman" w:hAnsi="ITC Avant Garde"/>
          <w:color w:val="auto"/>
          <w:sz w:val="22"/>
          <w:szCs w:val="22"/>
          <w:lang w:val="es-ES" w:eastAsia="es-ES"/>
        </w:rPr>
      </w:pPr>
    </w:p>
    <w:p w14:paraId="5FD2F172" w14:textId="77777777" w:rsidR="0025760B" w:rsidRPr="00A1405F" w:rsidRDefault="0025760B" w:rsidP="00A1405F">
      <w:pPr>
        <w:pStyle w:val="Default"/>
        <w:tabs>
          <w:tab w:val="left" w:pos="0"/>
        </w:tabs>
        <w:spacing w:line="276" w:lineRule="auto"/>
        <w:jc w:val="both"/>
        <w:rPr>
          <w:rFonts w:ascii="ITC Avant Garde" w:eastAsia="Times New Roman" w:hAnsi="ITC Avant Garde"/>
          <w:color w:val="auto"/>
          <w:sz w:val="22"/>
          <w:szCs w:val="22"/>
          <w:lang w:val="es-ES" w:eastAsia="es-ES"/>
        </w:rPr>
      </w:pPr>
    </w:p>
    <w:p w14:paraId="21FF724B" w14:textId="5784CB96" w:rsidR="00B02CD2" w:rsidRPr="00A1405F" w:rsidRDefault="0025760B" w:rsidP="00A1405F">
      <w:pPr>
        <w:pStyle w:val="Default"/>
        <w:tabs>
          <w:tab w:val="left" w:pos="0"/>
        </w:tabs>
        <w:spacing w:line="276" w:lineRule="auto"/>
        <w:jc w:val="both"/>
        <w:rPr>
          <w:rFonts w:ascii="ITC Avant Garde" w:eastAsia="Times New Roman" w:hAnsi="ITC Avant Garde"/>
          <w:color w:val="auto"/>
          <w:sz w:val="22"/>
          <w:szCs w:val="22"/>
          <w:lang w:val="es-ES" w:eastAsia="es-ES"/>
        </w:rPr>
      </w:pPr>
      <w:r w:rsidRPr="00A1405F">
        <w:rPr>
          <w:rFonts w:ascii="ITC Avant Garde" w:eastAsia="Times New Roman" w:hAnsi="ITC Avant Garde"/>
          <w:b/>
          <w:color w:val="auto"/>
          <w:sz w:val="22"/>
          <w:szCs w:val="22"/>
          <w:lang w:val="es-ES" w:eastAsia="es-ES"/>
        </w:rPr>
        <w:t>Quinto.-</w:t>
      </w:r>
      <w:r w:rsidRPr="00A1405F">
        <w:rPr>
          <w:rFonts w:ascii="ITC Avant Garde" w:eastAsia="Times New Roman" w:hAnsi="ITC Avant Garde"/>
          <w:color w:val="auto"/>
          <w:sz w:val="22"/>
          <w:szCs w:val="22"/>
          <w:lang w:val="es-ES" w:eastAsia="es-ES"/>
        </w:rPr>
        <w:t xml:space="preserve"> </w:t>
      </w:r>
      <w:r w:rsidR="00B45F07" w:rsidRPr="00A1405F">
        <w:rPr>
          <w:rFonts w:ascii="ITC Avant Garde" w:eastAsia="Times New Roman" w:hAnsi="ITC Avant Garde"/>
          <w:b/>
          <w:color w:val="auto"/>
          <w:sz w:val="22"/>
          <w:szCs w:val="22"/>
          <w:lang w:val="es-ES" w:eastAsia="es-ES"/>
        </w:rPr>
        <w:t>Homologación.</w:t>
      </w:r>
      <w:r w:rsidR="00B45F07" w:rsidRPr="00A1405F">
        <w:rPr>
          <w:rFonts w:ascii="ITC Avant Garde" w:eastAsia="Times New Roman" w:hAnsi="ITC Avant Garde"/>
          <w:color w:val="auto"/>
          <w:sz w:val="22"/>
          <w:szCs w:val="22"/>
          <w:lang w:val="es-ES" w:eastAsia="es-ES"/>
        </w:rPr>
        <w:t xml:space="preserve"> </w:t>
      </w:r>
      <w:r w:rsidR="00D07C1E" w:rsidRPr="00A1405F">
        <w:rPr>
          <w:rFonts w:ascii="ITC Avant Garde" w:eastAsia="Times New Roman" w:hAnsi="ITC Avant Garde"/>
          <w:color w:val="auto"/>
          <w:sz w:val="22"/>
          <w:szCs w:val="22"/>
          <w:lang w:val="es-ES" w:eastAsia="es-ES"/>
        </w:rPr>
        <w:t>Que el artículo 289 de la LFTR establece que los productos, equipos, dispositivos o aparatos destinados a telecomunicaciones o radiodifusión que puedan ser conectados a una red de telecomunicaciones o hacer uso del espectro radioeléctrico deberán homologarse conforme a las normas o disposiciones técnicas aplicables de conformidad con lo establecido en la Ley Federal sobre Metrología y Normalización.</w:t>
      </w:r>
    </w:p>
    <w:p w14:paraId="26F8923B" w14:textId="77777777" w:rsidR="001211C1" w:rsidRDefault="001211C1" w:rsidP="00A1405F">
      <w:pPr>
        <w:pStyle w:val="Texto"/>
        <w:spacing w:after="0" w:line="276" w:lineRule="auto"/>
        <w:ind w:firstLine="0"/>
        <w:rPr>
          <w:rFonts w:ascii="ITC Avant Garde" w:hAnsi="ITC Avant Garde"/>
          <w:sz w:val="22"/>
          <w:szCs w:val="22"/>
        </w:rPr>
      </w:pPr>
    </w:p>
    <w:p w14:paraId="36AC3190" w14:textId="54BB196B" w:rsidR="00D07C1E" w:rsidRPr="00A1405F" w:rsidRDefault="00156B95" w:rsidP="00A1405F">
      <w:pPr>
        <w:tabs>
          <w:tab w:val="left" w:pos="720"/>
          <w:tab w:val="left" w:pos="1134"/>
        </w:tabs>
        <w:spacing w:line="276" w:lineRule="auto"/>
        <w:jc w:val="both"/>
        <w:rPr>
          <w:rFonts w:ascii="ITC Avant Garde" w:hAnsi="ITC Avant Garde"/>
          <w:sz w:val="22"/>
          <w:szCs w:val="22"/>
        </w:rPr>
      </w:pPr>
      <w:r w:rsidRPr="00A1405F">
        <w:rPr>
          <w:rFonts w:ascii="ITC Avant Garde" w:hAnsi="ITC Avant Garde"/>
          <w:b/>
          <w:sz w:val="22"/>
          <w:szCs w:val="22"/>
        </w:rPr>
        <w:lastRenderedPageBreak/>
        <w:t>Sexto</w:t>
      </w:r>
      <w:r w:rsidR="00AD55DE" w:rsidRPr="00A1405F">
        <w:rPr>
          <w:rFonts w:ascii="ITC Avant Garde" w:hAnsi="ITC Avant Garde"/>
          <w:sz w:val="22"/>
          <w:szCs w:val="22"/>
        </w:rPr>
        <w:t>.</w:t>
      </w:r>
      <w:r w:rsidR="00D07C1E" w:rsidRPr="00A1405F">
        <w:rPr>
          <w:rFonts w:ascii="ITC Avant Garde" w:hAnsi="ITC Avant Garde"/>
          <w:sz w:val="22"/>
          <w:szCs w:val="22"/>
        </w:rPr>
        <w:t>-</w:t>
      </w:r>
      <w:r w:rsidR="00B45F07" w:rsidRPr="00A1405F">
        <w:rPr>
          <w:rFonts w:ascii="ITC Avant Garde" w:hAnsi="ITC Avant Garde"/>
          <w:sz w:val="22"/>
          <w:szCs w:val="22"/>
        </w:rPr>
        <w:t xml:space="preserve"> </w:t>
      </w:r>
      <w:r w:rsidR="00B45F07" w:rsidRPr="00A1405F">
        <w:rPr>
          <w:rFonts w:ascii="ITC Avant Garde" w:hAnsi="ITC Avant Garde"/>
          <w:b/>
          <w:sz w:val="22"/>
          <w:szCs w:val="22"/>
        </w:rPr>
        <w:t>De las recomendaciones Internacionales</w:t>
      </w:r>
      <w:r w:rsidR="00B45F07" w:rsidRPr="00A1405F">
        <w:rPr>
          <w:rFonts w:ascii="ITC Avant Garde" w:hAnsi="ITC Avant Garde"/>
          <w:sz w:val="22"/>
          <w:szCs w:val="22"/>
        </w:rPr>
        <w:t xml:space="preserve">. </w:t>
      </w:r>
      <w:r w:rsidR="00411687" w:rsidRPr="00A1405F">
        <w:rPr>
          <w:rFonts w:ascii="ITC Avant Garde" w:hAnsi="ITC Avant Garde"/>
          <w:sz w:val="22"/>
          <w:szCs w:val="22"/>
        </w:rPr>
        <w:t xml:space="preserve">Que </w:t>
      </w:r>
      <w:r w:rsidR="00F32DB4" w:rsidRPr="00A1405F">
        <w:rPr>
          <w:rFonts w:ascii="ITC Avant Garde" w:hAnsi="ITC Avant Garde" w:cs="Tahoma"/>
          <w:bCs/>
          <w:color w:val="000000"/>
          <w:sz w:val="22"/>
          <w:szCs w:val="22"/>
          <w:lang w:eastAsia="es-MX"/>
        </w:rPr>
        <w:t xml:space="preserve">tomando como base </w:t>
      </w:r>
      <w:r w:rsidR="00D07C1E" w:rsidRPr="00A1405F">
        <w:rPr>
          <w:rFonts w:ascii="ITC Avant Garde" w:hAnsi="ITC Avant Garde" w:cs="Tahoma"/>
          <w:bCs/>
          <w:color w:val="000000"/>
          <w:sz w:val="22"/>
          <w:szCs w:val="22"/>
          <w:lang w:eastAsia="es-MX"/>
        </w:rPr>
        <w:t>los</w:t>
      </w:r>
      <w:r w:rsidR="00960144" w:rsidRPr="00A1405F">
        <w:rPr>
          <w:rFonts w:ascii="ITC Avant Garde" w:hAnsi="ITC Avant Garde" w:cs="Tahoma"/>
          <w:bCs/>
          <w:color w:val="000000"/>
          <w:sz w:val="22"/>
          <w:szCs w:val="22"/>
          <w:lang w:eastAsia="es-MX"/>
        </w:rPr>
        <w:t xml:space="preserve"> límites  máximos de </w:t>
      </w:r>
      <w:r w:rsidR="00AD7C49" w:rsidRPr="00A1405F">
        <w:rPr>
          <w:rFonts w:ascii="ITC Avant Garde" w:hAnsi="ITC Avant Garde" w:cs="Tahoma"/>
          <w:bCs/>
          <w:color w:val="000000"/>
          <w:sz w:val="22"/>
          <w:szCs w:val="22"/>
          <w:lang w:eastAsia="es-MX"/>
        </w:rPr>
        <w:t>emisiones radioeléctricas no</w:t>
      </w:r>
      <w:r w:rsidR="00960144" w:rsidRPr="00A1405F">
        <w:rPr>
          <w:rFonts w:ascii="ITC Avant Garde" w:hAnsi="ITC Avant Garde" w:cs="Tahoma"/>
          <w:bCs/>
          <w:color w:val="000000"/>
          <w:sz w:val="22"/>
          <w:szCs w:val="22"/>
          <w:lang w:eastAsia="es-MX"/>
        </w:rPr>
        <w:t xml:space="preserve"> ionizantes </w:t>
      </w:r>
      <w:r w:rsidR="00044ABC" w:rsidRPr="00A1405F">
        <w:rPr>
          <w:rFonts w:ascii="ITC Avant Garde" w:hAnsi="ITC Avant Garde" w:cs="Tahoma"/>
          <w:bCs/>
          <w:color w:val="000000"/>
          <w:sz w:val="22"/>
          <w:szCs w:val="22"/>
          <w:lang w:eastAsia="es-MX"/>
        </w:rPr>
        <w:t>establecidos por  la Comisión Internacional para la Protección contra las Radiaciones No Ionizantes (ICNIRP) organización científica independiente no gubernamental</w:t>
      </w:r>
      <w:r w:rsidR="00D07C1E" w:rsidRPr="00A1405F">
        <w:rPr>
          <w:rFonts w:ascii="ITC Avant Garde" w:hAnsi="ITC Avant Garde" w:cs="Tahoma"/>
          <w:bCs/>
          <w:color w:val="000000"/>
          <w:sz w:val="22"/>
          <w:szCs w:val="22"/>
          <w:lang w:eastAsia="es-MX"/>
        </w:rPr>
        <w:t>;</w:t>
      </w:r>
      <w:r w:rsidR="0037581D" w:rsidRPr="00A1405F">
        <w:rPr>
          <w:rFonts w:ascii="ITC Avant Garde" w:hAnsi="ITC Avant Garde" w:cs="Tahoma"/>
          <w:bCs/>
          <w:color w:val="000000"/>
          <w:sz w:val="22"/>
          <w:szCs w:val="22"/>
          <w:lang w:eastAsia="es-MX"/>
        </w:rPr>
        <w:t xml:space="preserve"> </w:t>
      </w:r>
      <w:r w:rsidR="00086332" w:rsidRPr="00A1405F">
        <w:rPr>
          <w:rFonts w:ascii="ITC Avant Garde" w:hAnsi="ITC Avant Garde" w:cs="Tahoma"/>
          <w:bCs/>
          <w:color w:val="000000"/>
          <w:sz w:val="22"/>
          <w:szCs w:val="22"/>
          <w:lang w:eastAsia="es-MX"/>
        </w:rPr>
        <w:t xml:space="preserve">éstos </w:t>
      </w:r>
      <w:r w:rsidR="00D07C1E" w:rsidRPr="00A1405F">
        <w:rPr>
          <w:rFonts w:ascii="ITC Avant Garde" w:hAnsi="ITC Avant Garde" w:cs="Tahoma"/>
          <w:bCs/>
          <w:color w:val="000000"/>
          <w:sz w:val="22"/>
          <w:szCs w:val="22"/>
          <w:lang w:eastAsia="es-MX"/>
        </w:rPr>
        <w:t>se han</w:t>
      </w:r>
      <w:r w:rsidR="00044ABC" w:rsidRPr="00A1405F">
        <w:rPr>
          <w:rFonts w:ascii="ITC Avant Garde" w:hAnsi="ITC Avant Garde" w:cs="Tahoma"/>
          <w:bCs/>
          <w:color w:val="000000"/>
          <w:sz w:val="22"/>
          <w:szCs w:val="22"/>
          <w:lang w:eastAsia="es-MX"/>
        </w:rPr>
        <w:t xml:space="preserve"> </w:t>
      </w:r>
      <w:r w:rsidR="00D07C1E" w:rsidRPr="00A1405F">
        <w:rPr>
          <w:rFonts w:ascii="ITC Avant Garde" w:hAnsi="ITC Avant Garde" w:cs="Tahoma"/>
          <w:bCs/>
          <w:color w:val="000000"/>
          <w:sz w:val="22"/>
          <w:szCs w:val="22"/>
          <w:lang w:eastAsia="es-MX"/>
        </w:rPr>
        <w:t xml:space="preserve">adoptado </w:t>
      </w:r>
      <w:r w:rsidR="00044ABC" w:rsidRPr="00A1405F">
        <w:rPr>
          <w:rFonts w:ascii="ITC Avant Garde" w:hAnsi="ITC Avant Garde" w:cs="Tahoma"/>
          <w:bCs/>
          <w:color w:val="000000"/>
          <w:sz w:val="22"/>
          <w:szCs w:val="22"/>
          <w:lang w:eastAsia="es-MX"/>
        </w:rPr>
        <w:t xml:space="preserve">en </w:t>
      </w:r>
      <w:r w:rsidR="00E04B9C" w:rsidRPr="00A1405F">
        <w:rPr>
          <w:rFonts w:ascii="ITC Avant Garde" w:hAnsi="ITC Avant Garde" w:cs="Tahoma"/>
          <w:bCs/>
          <w:color w:val="000000"/>
          <w:sz w:val="22"/>
          <w:szCs w:val="22"/>
          <w:lang w:eastAsia="es-MX"/>
        </w:rPr>
        <w:t>el Anteproyecto de l</w:t>
      </w:r>
      <w:r w:rsidR="00044ABC" w:rsidRPr="00A1405F">
        <w:rPr>
          <w:rFonts w:ascii="ITC Avant Garde" w:hAnsi="ITC Avant Garde" w:cs="Tahoma"/>
          <w:bCs/>
          <w:color w:val="000000"/>
          <w:sz w:val="22"/>
          <w:szCs w:val="22"/>
          <w:lang w:eastAsia="es-MX"/>
        </w:rPr>
        <w:t>a DT FT-007-2016</w:t>
      </w:r>
      <w:r w:rsidR="00011CF3" w:rsidRPr="00A1405F">
        <w:rPr>
          <w:rFonts w:ascii="ITC Avant Garde" w:hAnsi="ITC Avant Garde" w:cs="Tahoma"/>
          <w:bCs/>
          <w:color w:val="000000"/>
          <w:sz w:val="22"/>
          <w:szCs w:val="22"/>
          <w:lang w:eastAsia="es-MX"/>
        </w:rPr>
        <w:t>: “MEDIDAS DE OPERACIÓN PARA EL CUMPLIMIENTO DE LOS LÍMITES DE EXPOSICIÓN MÁXIMA PARA SERES HUMANOS A RADIACIONES ELECTROMAGNÉTICAS DE RADIOFRECUENCIA NO IONIZANTES EN EL INTERVALO DE 100 kHz A 300 GHz EN EL ENTORNO DE EMISORES DE  RADIOCOMUNICACIONES”</w:t>
      </w:r>
      <w:r w:rsidR="00D07C1E" w:rsidRPr="00A1405F">
        <w:rPr>
          <w:rFonts w:ascii="ITC Avant Garde" w:hAnsi="ITC Avant Garde" w:cs="Tahoma"/>
          <w:bCs/>
          <w:color w:val="000000"/>
          <w:sz w:val="22"/>
          <w:szCs w:val="22"/>
          <w:lang w:eastAsia="es-MX"/>
        </w:rPr>
        <w:t>.</w:t>
      </w:r>
      <w:r w:rsidR="00D07C1E" w:rsidRPr="00A1405F">
        <w:rPr>
          <w:rFonts w:ascii="ITC Avant Garde" w:hAnsi="ITC Avant Garde"/>
          <w:sz w:val="22"/>
          <w:szCs w:val="22"/>
        </w:rPr>
        <w:t xml:space="preserve"> </w:t>
      </w:r>
    </w:p>
    <w:p w14:paraId="2C28FCCB" w14:textId="77777777" w:rsidR="00D07C1E" w:rsidRDefault="00D07C1E" w:rsidP="00A1405F">
      <w:pPr>
        <w:tabs>
          <w:tab w:val="left" w:pos="720"/>
          <w:tab w:val="left" w:pos="1134"/>
        </w:tabs>
        <w:spacing w:line="276" w:lineRule="auto"/>
        <w:jc w:val="both"/>
        <w:rPr>
          <w:rFonts w:ascii="ITC Avant Garde" w:hAnsi="ITC Avant Garde"/>
          <w:sz w:val="22"/>
          <w:szCs w:val="22"/>
        </w:rPr>
      </w:pPr>
    </w:p>
    <w:p w14:paraId="2812E055" w14:textId="77777777" w:rsidR="00A1405F" w:rsidRPr="00A1405F" w:rsidRDefault="00A1405F" w:rsidP="00A1405F">
      <w:pPr>
        <w:tabs>
          <w:tab w:val="left" w:pos="720"/>
          <w:tab w:val="left" w:pos="1134"/>
        </w:tabs>
        <w:spacing w:line="276" w:lineRule="auto"/>
        <w:jc w:val="both"/>
        <w:rPr>
          <w:rFonts w:ascii="ITC Avant Garde" w:hAnsi="ITC Avant Garde"/>
          <w:sz w:val="22"/>
          <w:szCs w:val="22"/>
        </w:rPr>
      </w:pPr>
    </w:p>
    <w:p w14:paraId="26F8A779" w14:textId="17EC432F" w:rsidR="00F32DB4" w:rsidRPr="00A1405F" w:rsidRDefault="00D07C1E" w:rsidP="00A1405F">
      <w:pPr>
        <w:tabs>
          <w:tab w:val="left" w:pos="720"/>
          <w:tab w:val="left" w:pos="1134"/>
        </w:tabs>
        <w:spacing w:line="276" w:lineRule="auto"/>
        <w:jc w:val="both"/>
        <w:rPr>
          <w:rFonts w:ascii="ITC Avant Garde" w:hAnsi="ITC Avant Garde"/>
          <w:sz w:val="22"/>
          <w:szCs w:val="22"/>
        </w:rPr>
      </w:pPr>
      <w:r w:rsidRPr="00A1405F">
        <w:rPr>
          <w:rFonts w:ascii="ITC Avant Garde" w:hAnsi="ITC Avant Garde"/>
          <w:b/>
          <w:sz w:val="22"/>
          <w:szCs w:val="22"/>
        </w:rPr>
        <w:t xml:space="preserve">Séptimo.- </w:t>
      </w:r>
      <w:r w:rsidR="00B45F07" w:rsidRPr="00A1405F">
        <w:rPr>
          <w:rFonts w:ascii="ITC Avant Garde" w:hAnsi="ITC Avant Garde"/>
          <w:b/>
          <w:sz w:val="22"/>
          <w:szCs w:val="22"/>
        </w:rPr>
        <w:t xml:space="preserve">Supervisión de  las emisiones radioeléctricas a través de la homologación. </w:t>
      </w:r>
      <w:r w:rsidRPr="00A1405F">
        <w:rPr>
          <w:rFonts w:ascii="ITC Avant Garde" w:hAnsi="ITC Avant Garde"/>
          <w:sz w:val="22"/>
          <w:szCs w:val="22"/>
        </w:rPr>
        <w:t>Que lo  expuesto</w:t>
      </w:r>
      <w:r w:rsidRPr="00A1405F">
        <w:rPr>
          <w:rFonts w:ascii="ITC Avant Garde" w:hAnsi="ITC Avant Garde" w:cs="Tahoma"/>
          <w:bCs/>
          <w:color w:val="000000"/>
          <w:sz w:val="22"/>
          <w:szCs w:val="22"/>
          <w:lang w:eastAsia="es-MX"/>
        </w:rPr>
        <w:t xml:space="preserve"> ha motivado</w:t>
      </w:r>
      <w:r w:rsidR="00086332" w:rsidRPr="00A1405F">
        <w:rPr>
          <w:rFonts w:ascii="ITC Avant Garde" w:hAnsi="ITC Avant Garde" w:cs="Tahoma"/>
          <w:bCs/>
          <w:color w:val="000000"/>
          <w:sz w:val="22"/>
          <w:szCs w:val="22"/>
          <w:lang w:eastAsia="es-MX"/>
        </w:rPr>
        <w:t xml:space="preserve"> a</w:t>
      </w:r>
      <w:r w:rsidR="00044ABC" w:rsidRPr="00A1405F">
        <w:rPr>
          <w:rFonts w:ascii="ITC Avant Garde" w:hAnsi="ITC Avant Garde" w:cs="Tahoma"/>
          <w:bCs/>
          <w:color w:val="000000"/>
          <w:sz w:val="22"/>
          <w:szCs w:val="22"/>
          <w:lang w:eastAsia="es-MX"/>
        </w:rPr>
        <w:t xml:space="preserve"> </w:t>
      </w:r>
      <w:r w:rsidRPr="00A1405F">
        <w:rPr>
          <w:rFonts w:ascii="ITC Avant Garde" w:hAnsi="ITC Avant Garde" w:cs="Tahoma"/>
          <w:bCs/>
          <w:color w:val="000000"/>
          <w:sz w:val="22"/>
          <w:szCs w:val="22"/>
          <w:lang w:eastAsia="es-MX"/>
        </w:rPr>
        <w:t xml:space="preserve">la emisión de </w:t>
      </w:r>
      <w:r w:rsidR="00044ABC" w:rsidRPr="00A1405F">
        <w:rPr>
          <w:rFonts w:ascii="ITC Avant Garde" w:hAnsi="ITC Avant Garde" w:cs="Tahoma"/>
          <w:bCs/>
          <w:color w:val="000000"/>
          <w:sz w:val="22"/>
          <w:szCs w:val="22"/>
          <w:lang w:eastAsia="es-MX"/>
        </w:rPr>
        <w:t xml:space="preserve">las especificaciones técnicas para el cumplimiento </w:t>
      </w:r>
      <w:r w:rsidR="00004BE7" w:rsidRPr="00A1405F">
        <w:rPr>
          <w:rFonts w:ascii="ITC Avant Garde" w:hAnsi="ITC Avant Garde" w:cs="Tahoma"/>
          <w:bCs/>
          <w:color w:val="000000"/>
          <w:sz w:val="22"/>
          <w:szCs w:val="22"/>
          <w:lang w:eastAsia="es-MX"/>
        </w:rPr>
        <w:t>de los referidos limites</w:t>
      </w:r>
      <w:r w:rsidR="00DD765A" w:rsidRPr="00A1405F">
        <w:rPr>
          <w:rFonts w:ascii="ITC Avant Garde" w:hAnsi="ITC Avant Garde" w:cs="Tahoma"/>
          <w:bCs/>
          <w:color w:val="000000"/>
          <w:sz w:val="22"/>
          <w:szCs w:val="22"/>
          <w:lang w:eastAsia="es-MX"/>
        </w:rPr>
        <w:t xml:space="preserve">, </w:t>
      </w:r>
      <w:r w:rsidR="007143A7" w:rsidRPr="00A1405F">
        <w:rPr>
          <w:rFonts w:ascii="ITC Avant Garde" w:hAnsi="ITC Avant Garde" w:cs="Tahoma"/>
          <w:bCs/>
          <w:color w:val="000000"/>
          <w:sz w:val="22"/>
          <w:szCs w:val="22"/>
          <w:lang w:eastAsia="es-MX"/>
        </w:rPr>
        <w:t xml:space="preserve">y </w:t>
      </w:r>
      <w:r w:rsidR="006864AF" w:rsidRPr="00A1405F">
        <w:rPr>
          <w:rFonts w:ascii="ITC Avant Garde" w:hAnsi="ITC Avant Garde" w:cs="Tahoma"/>
          <w:bCs/>
          <w:color w:val="000000"/>
          <w:sz w:val="22"/>
          <w:szCs w:val="22"/>
          <w:lang w:eastAsia="es-MX"/>
        </w:rPr>
        <w:t xml:space="preserve">de esta manera coadyuvar </w:t>
      </w:r>
      <w:r w:rsidR="00086332" w:rsidRPr="00A1405F">
        <w:rPr>
          <w:rFonts w:ascii="ITC Avant Garde" w:hAnsi="ITC Avant Garde" w:cs="Tahoma"/>
          <w:bCs/>
          <w:color w:val="000000"/>
          <w:sz w:val="22"/>
          <w:szCs w:val="22"/>
          <w:lang w:eastAsia="es-MX"/>
        </w:rPr>
        <w:t xml:space="preserve">en </w:t>
      </w:r>
      <w:r w:rsidR="006864AF" w:rsidRPr="00A1405F">
        <w:rPr>
          <w:rFonts w:ascii="ITC Avant Garde" w:hAnsi="ITC Avant Garde" w:cs="Tahoma"/>
          <w:bCs/>
          <w:color w:val="000000"/>
          <w:sz w:val="22"/>
          <w:szCs w:val="22"/>
          <w:lang w:eastAsia="es-MX"/>
        </w:rPr>
        <w:t xml:space="preserve">materia de </w:t>
      </w:r>
      <w:r w:rsidR="00086332" w:rsidRPr="00A1405F">
        <w:rPr>
          <w:rFonts w:ascii="ITC Avant Garde" w:hAnsi="ITC Avant Garde" w:cs="Tahoma"/>
          <w:bCs/>
          <w:color w:val="000000"/>
          <w:sz w:val="22"/>
          <w:szCs w:val="22"/>
          <w:lang w:eastAsia="es-MX"/>
        </w:rPr>
        <w:t xml:space="preserve">supervisión </w:t>
      </w:r>
      <w:r w:rsidR="006864AF" w:rsidRPr="00A1405F">
        <w:rPr>
          <w:rFonts w:ascii="ITC Avant Garde" w:hAnsi="ITC Avant Garde" w:cs="Tahoma"/>
          <w:bCs/>
          <w:color w:val="000000"/>
          <w:sz w:val="22"/>
          <w:szCs w:val="22"/>
          <w:lang w:eastAsia="es-MX"/>
        </w:rPr>
        <w:t>con respecto a</w:t>
      </w:r>
      <w:r w:rsidR="00086332" w:rsidRPr="00A1405F">
        <w:rPr>
          <w:rFonts w:ascii="ITC Avant Garde" w:hAnsi="ITC Avant Garde" w:cs="Tahoma"/>
          <w:bCs/>
          <w:color w:val="000000"/>
          <w:sz w:val="22"/>
          <w:szCs w:val="22"/>
          <w:lang w:eastAsia="es-MX"/>
        </w:rPr>
        <w:t xml:space="preserve"> </w:t>
      </w:r>
      <w:r w:rsidR="00DD765A" w:rsidRPr="00A1405F">
        <w:rPr>
          <w:rFonts w:ascii="ITC Avant Garde" w:hAnsi="ITC Avant Garde" w:cs="Tahoma"/>
          <w:bCs/>
          <w:color w:val="000000"/>
          <w:sz w:val="22"/>
          <w:szCs w:val="22"/>
          <w:lang w:eastAsia="es-MX"/>
        </w:rPr>
        <w:t xml:space="preserve">las </w:t>
      </w:r>
      <w:r w:rsidR="00DD765A" w:rsidRPr="00A1405F">
        <w:rPr>
          <w:rFonts w:ascii="ITC Avant Garde" w:hAnsi="ITC Avant Garde" w:cs="Tahoma"/>
          <w:b/>
          <w:bCs/>
          <w:i/>
          <w:color w:val="000000"/>
          <w:sz w:val="22"/>
          <w:szCs w:val="22"/>
          <w:lang w:eastAsia="es-MX"/>
        </w:rPr>
        <w:t>emisiones radioeléctricas</w:t>
      </w:r>
      <w:r w:rsidR="006F0D0F" w:rsidRPr="00A1405F">
        <w:rPr>
          <w:rFonts w:ascii="ITC Avant Garde" w:hAnsi="ITC Avant Garde" w:cs="Tahoma"/>
          <w:bCs/>
          <w:color w:val="000000"/>
          <w:sz w:val="22"/>
          <w:szCs w:val="22"/>
          <w:lang w:eastAsia="es-MX"/>
        </w:rPr>
        <w:t xml:space="preserve"> </w:t>
      </w:r>
      <w:r w:rsidRPr="00A1405F">
        <w:rPr>
          <w:rFonts w:ascii="ITC Avant Garde" w:hAnsi="ITC Avant Garde" w:cs="Tahoma"/>
          <w:bCs/>
          <w:color w:val="000000"/>
          <w:sz w:val="22"/>
          <w:szCs w:val="22"/>
          <w:lang w:eastAsia="es-MX"/>
        </w:rPr>
        <w:t xml:space="preserve"> a través del procedimiento de homologación </w:t>
      </w:r>
      <w:r w:rsidR="00011CF3" w:rsidRPr="00A1405F">
        <w:rPr>
          <w:rFonts w:ascii="ITC Avant Garde" w:hAnsi="ITC Avant Garde" w:cs="Tahoma"/>
          <w:bCs/>
          <w:color w:val="000000"/>
          <w:sz w:val="22"/>
          <w:szCs w:val="22"/>
          <w:lang w:eastAsia="es-MX"/>
        </w:rPr>
        <w:t xml:space="preserve">de los productos, equipos, dispositivos o aparatos destinados a telecomunicaciones que </w:t>
      </w:r>
      <w:r w:rsidR="001C6AAC" w:rsidRPr="00A1405F">
        <w:rPr>
          <w:rFonts w:ascii="ITC Avant Garde" w:hAnsi="ITC Avant Garde" w:cs="Tahoma"/>
          <w:bCs/>
          <w:color w:val="000000"/>
          <w:sz w:val="22"/>
          <w:szCs w:val="22"/>
          <w:lang w:eastAsia="es-MX"/>
        </w:rPr>
        <w:t>hagan</w:t>
      </w:r>
      <w:r w:rsidR="00011CF3" w:rsidRPr="00A1405F">
        <w:rPr>
          <w:rFonts w:ascii="ITC Avant Garde" w:hAnsi="ITC Avant Garde" w:cs="Tahoma"/>
          <w:bCs/>
          <w:color w:val="000000"/>
          <w:sz w:val="22"/>
          <w:szCs w:val="22"/>
          <w:lang w:eastAsia="es-MX"/>
        </w:rPr>
        <w:t xml:space="preserve"> uso del espectro radioeléctrico, </w:t>
      </w:r>
      <w:r w:rsidR="006F0D0F" w:rsidRPr="00A1405F">
        <w:rPr>
          <w:rFonts w:ascii="ITC Avant Garde" w:hAnsi="ITC Avant Garde" w:cs="Tahoma"/>
          <w:bCs/>
          <w:color w:val="000000"/>
          <w:sz w:val="22"/>
          <w:szCs w:val="22"/>
          <w:lang w:eastAsia="es-MX"/>
        </w:rPr>
        <w:t xml:space="preserve">en apego a las facultades del Instituto </w:t>
      </w:r>
      <w:r w:rsidR="006864AF" w:rsidRPr="00A1405F">
        <w:rPr>
          <w:rFonts w:ascii="ITC Avant Garde" w:hAnsi="ITC Avant Garde" w:cs="Tahoma"/>
          <w:bCs/>
          <w:color w:val="000000"/>
          <w:sz w:val="22"/>
          <w:szCs w:val="22"/>
          <w:lang w:eastAsia="es-MX"/>
        </w:rPr>
        <w:t xml:space="preserve">referente a </w:t>
      </w:r>
      <w:r w:rsidR="00DD765A" w:rsidRPr="00A1405F">
        <w:rPr>
          <w:rFonts w:ascii="ITC Avant Garde" w:hAnsi="ITC Avant Garde" w:cs="Tahoma"/>
          <w:bCs/>
          <w:color w:val="000000"/>
          <w:sz w:val="22"/>
          <w:szCs w:val="22"/>
          <w:lang w:eastAsia="es-MX"/>
        </w:rPr>
        <w:t>la administración del espectro radioeléctrico</w:t>
      </w:r>
      <w:r w:rsidR="00011CF3" w:rsidRPr="00A1405F">
        <w:rPr>
          <w:rFonts w:ascii="ITC Avant Garde" w:hAnsi="ITC Avant Garde" w:cs="Tahoma"/>
          <w:bCs/>
          <w:color w:val="000000"/>
          <w:sz w:val="22"/>
          <w:szCs w:val="22"/>
          <w:lang w:eastAsia="es-MX"/>
        </w:rPr>
        <w:t xml:space="preserve"> en beneficio de la seguridad de la vida de los usuarios</w:t>
      </w:r>
      <w:r w:rsidR="007143A7" w:rsidRPr="00A1405F">
        <w:rPr>
          <w:rFonts w:ascii="ITC Avant Garde" w:hAnsi="ITC Avant Garde" w:cs="Tahoma"/>
          <w:bCs/>
          <w:color w:val="000000"/>
          <w:sz w:val="22"/>
          <w:szCs w:val="22"/>
          <w:lang w:eastAsia="es-MX"/>
        </w:rPr>
        <w:t xml:space="preserve"> y </w:t>
      </w:r>
      <w:r w:rsidR="006864AF" w:rsidRPr="00A1405F">
        <w:rPr>
          <w:rFonts w:ascii="ITC Avant Garde" w:hAnsi="ITC Avant Garde" w:cs="Tahoma"/>
          <w:bCs/>
          <w:color w:val="000000"/>
          <w:sz w:val="22"/>
          <w:szCs w:val="22"/>
          <w:lang w:eastAsia="es-MX"/>
        </w:rPr>
        <w:t xml:space="preserve">al </w:t>
      </w:r>
      <w:r w:rsidR="007143A7" w:rsidRPr="00A1405F">
        <w:rPr>
          <w:rFonts w:ascii="ITC Avant Garde" w:hAnsi="ITC Avant Garde" w:cs="Tahoma"/>
          <w:bCs/>
          <w:color w:val="000000"/>
          <w:sz w:val="22"/>
          <w:szCs w:val="22"/>
          <w:lang w:eastAsia="es-MX"/>
        </w:rPr>
        <w:t>foment</w:t>
      </w:r>
      <w:r w:rsidR="006864AF" w:rsidRPr="00A1405F">
        <w:rPr>
          <w:rFonts w:ascii="ITC Avant Garde" w:hAnsi="ITC Avant Garde" w:cs="Tahoma"/>
          <w:bCs/>
          <w:color w:val="000000"/>
          <w:sz w:val="22"/>
          <w:szCs w:val="22"/>
          <w:lang w:eastAsia="es-MX"/>
        </w:rPr>
        <w:t>o de</w:t>
      </w:r>
      <w:r w:rsidR="007143A7" w:rsidRPr="00A1405F">
        <w:rPr>
          <w:rFonts w:ascii="ITC Avant Garde" w:hAnsi="ITC Avant Garde" w:cs="Tahoma"/>
          <w:bCs/>
          <w:color w:val="000000"/>
          <w:sz w:val="22"/>
          <w:szCs w:val="22"/>
          <w:lang w:eastAsia="es-MX"/>
        </w:rPr>
        <w:t xml:space="preserve"> la competencia efectiva en los mercados convergentes de los sectores  de telecomunicaciones y radiodifusión</w:t>
      </w:r>
      <w:r w:rsidR="006864AF" w:rsidRPr="00A1405F">
        <w:rPr>
          <w:rFonts w:ascii="ITC Avant Garde" w:hAnsi="ITC Avant Garde" w:cs="Tahoma"/>
          <w:bCs/>
          <w:color w:val="000000"/>
          <w:sz w:val="22"/>
          <w:szCs w:val="22"/>
          <w:lang w:eastAsia="es-MX"/>
        </w:rPr>
        <w:t>.</w:t>
      </w:r>
    </w:p>
    <w:p w14:paraId="4C498335" w14:textId="77777777" w:rsidR="000D20A6" w:rsidRDefault="000D20A6" w:rsidP="00A1405F">
      <w:pPr>
        <w:autoSpaceDE w:val="0"/>
        <w:autoSpaceDN w:val="0"/>
        <w:adjustRightInd w:val="0"/>
        <w:spacing w:line="276" w:lineRule="auto"/>
        <w:jc w:val="both"/>
        <w:rPr>
          <w:rFonts w:ascii="ITC Avant Garde" w:hAnsi="ITC Avant Garde"/>
          <w:sz w:val="22"/>
          <w:szCs w:val="22"/>
        </w:rPr>
      </w:pPr>
    </w:p>
    <w:p w14:paraId="7734DAFE" w14:textId="77777777" w:rsidR="00A1405F" w:rsidRPr="00A1405F" w:rsidRDefault="00A1405F" w:rsidP="00A1405F">
      <w:pPr>
        <w:autoSpaceDE w:val="0"/>
        <w:autoSpaceDN w:val="0"/>
        <w:adjustRightInd w:val="0"/>
        <w:spacing w:line="276" w:lineRule="auto"/>
        <w:jc w:val="both"/>
        <w:rPr>
          <w:rFonts w:ascii="ITC Avant Garde" w:hAnsi="ITC Avant Garde"/>
          <w:sz w:val="22"/>
          <w:szCs w:val="22"/>
        </w:rPr>
      </w:pPr>
    </w:p>
    <w:p w14:paraId="0A2894C6" w14:textId="60A3BD3D" w:rsidR="006864AF" w:rsidRPr="00A1405F" w:rsidRDefault="006864AF" w:rsidP="00A1405F">
      <w:pPr>
        <w:autoSpaceDE w:val="0"/>
        <w:autoSpaceDN w:val="0"/>
        <w:adjustRightInd w:val="0"/>
        <w:spacing w:line="276" w:lineRule="auto"/>
        <w:jc w:val="both"/>
        <w:rPr>
          <w:rFonts w:ascii="ITC Avant Garde" w:hAnsi="ITC Avant Garde"/>
          <w:sz w:val="22"/>
          <w:szCs w:val="22"/>
          <w:lang w:val="es-ES_tradnl"/>
        </w:rPr>
      </w:pPr>
      <w:r w:rsidRPr="00A1405F">
        <w:rPr>
          <w:rFonts w:ascii="ITC Avant Garde" w:hAnsi="ITC Avant Garde"/>
          <w:b/>
          <w:sz w:val="22"/>
          <w:szCs w:val="22"/>
          <w:lang w:val="es-ES_tradnl"/>
        </w:rPr>
        <w:t>Octavo</w:t>
      </w:r>
      <w:r w:rsidR="000D20A6" w:rsidRPr="00A1405F">
        <w:rPr>
          <w:rFonts w:ascii="ITC Avant Garde" w:hAnsi="ITC Avant Garde"/>
          <w:b/>
          <w:sz w:val="22"/>
          <w:szCs w:val="22"/>
          <w:lang w:val="es-ES_tradnl"/>
        </w:rPr>
        <w:t xml:space="preserve">. </w:t>
      </w:r>
      <w:r w:rsidR="00A06EBB" w:rsidRPr="00A1405F">
        <w:rPr>
          <w:rFonts w:ascii="ITC Avant Garde" w:hAnsi="ITC Avant Garde"/>
          <w:b/>
          <w:sz w:val="22"/>
          <w:szCs w:val="22"/>
          <w:lang w:val="es-ES_tradnl"/>
        </w:rPr>
        <w:t>Consulta pública.</w:t>
      </w:r>
      <w:r w:rsidR="00A06EBB" w:rsidRPr="00A1405F">
        <w:rPr>
          <w:rFonts w:ascii="ITC Avant Garde" w:hAnsi="ITC Avant Garde"/>
          <w:sz w:val="22"/>
          <w:szCs w:val="22"/>
          <w:lang w:val="es-ES_tradnl"/>
        </w:rPr>
        <w:t xml:space="preserve"> Que</w:t>
      </w:r>
      <w:r w:rsidR="00EF7305" w:rsidRPr="00A1405F">
        <w:rPr>
          <w:rFonts w:ascii="ITC Avant Garde" w:hAnsi="ITC Avant Garde"/>
          <w:sz w:val="22"/>
          <w:szCs w:val="22"/>
          <w:lang w:val="es-ES_tradnl"/>
        </w:rPr>
        <w:t xml:space="preserve"> derivado del proceso de Consulta Pública al que fue sometido el “</w:t>
      </w:r>
      <w:r w:rsidR="00EF7305" w:rsidRPr="00A1405F">
        <w:rPr>
          <w:rFonts w:ascii="ITC Avant Garde" w:hAnsi="ITC Avant Garde" w:cs="Tahoma"/>
          <w:bCs/>
          <w:color w:val="000000"/>
          <w:sz w:val="22"/>
          <w:szCs w:val="22"/>
        </w:rPr>
        <w:t xml:space="preserve">ACUERDO MEDIANTE EL CUAL EL PLENO DEL INSTITUTO FEDERAL DE TELECOMUNICACIONES DETERMINA SOMETER A CONSULTA PÚBLICA EL </w:t>
      </w:r>
      <w:r w:rsidR="00EF7305" w:rsidRPr="00A1405F">
        <w:rPr>
          <w:rFonts w:ascii="ITC Avant Garde" w:hAnsi="ITC Avant Garde"/>
          <w:color w:val="000000"/>
          <w:sz w:val="22"/>
          <w:szCs w:val="22"/>
        </w:rPr>
        <w:t xml:space="preserve">“ANTEPROYECTO DE ACUERDO MEDIANTE EL CUAL SE EXPIDE LA DISPOSICIÓN TÉCNICA IFT-007-2015: MEDIDAS DE OPERACIÓN PARA EL CUMPLIMIENTO DE LOS LÍMITES DE EXPOSICIÓN MÁXIMA PARA SERES HUMANOS A RADIACIONES ELECTROMAGNÉTICAS DE RADIOFRECUENCIA NO IONIZANTES EN EL INTERVALO DE 100 kHz A 300 GHz EN EL ENTORNO DE EMISORES DE RADIOCOMUNICACIONES”, del 10 al 17 de julio y del 3 al 20 de agosto de 2015 (20 días hábiles), se recibieron diversos comentarios en el sentido de </w:t>
      </w:r>
      <w:r w:rsidR="003E25F3" w:rsidRPr="00A1405F">
        <w:rPr>
          <w:rFonts w:ascii="ITC Avant Garde" w:hAnsi="ITC Avant Garde"/>
          <w:color w:val="000000"/>
          <w:sz w:val="22"/>
          <w:szCs w:val="22"/>
        </w:rPr>
        <w:t xml:space="preserve">diferenciar </w:t>
      </w:r>
      <w:r w:rsidR="00F1280F" w:rsidRPr="00A1405F">
        <w:rPr>
          <w:rFonts w:ascii="ITC Avant Garde" w:hAnsi="ITC Avant Garde"/>
          <w:color w:val="000000"/>
          <w:sz w:val="22"/>
          <w:szCs w:val="22"/>
        </w:rPr>
        <w:t>inequívocamente</w:t>
      </w:r>
      <w:r w:rsidR="003E25F3" w:rsidRPr="00A1405F">
        <w:rPr>
          <w:rFonts w:ascii="ITC Avant Garde" w:hAnsi="ITC Avant Garde"/>
          <w:color w:val="000000"/>
          <w:sz w:val="22"/>
          <w:szCs w:val="22"/>
        </w:rPr>
        <w:t xml:space="preserve"> las disposiciones </w:t>
      </w:r>
      <w:r w:rsidRPr="00A1405F">
        <w:rPr>
          <w:rFonts w:ascii="ITC Avant Garde" w:hAnsi="ITC Avant Garde"/>
          <w:color w:val="000000"/>
          <w:sz w:val="22"/>
          <w:szCs w:val="22"/>
        </w:rPr>
        <w:t xml:space="preserve">de las </w:t>
      </w:r>
      <w:r w:rsidR="003E25F3" w:rsidRPr="00A1405F">
        <w:rPr>
          <w:rFonts w:ascii="ITC Avant Garde" w:hAnsi="ITC Avant Garde"/>
          <w:color w:val="000000"/>
          <w:sz w:val="22"/>
          <w:szCs w:val="22"/>
        </w:rPr>
        <w:t>estaciones de radiocomunicación de aquellas relativas a equipos terminales móviles</w:t>
      </w:r>
      <w:r w:rsidRPr="00A1405F">
        <w:rPr>
          <w:rFonts w:ascii="ITC Avant Garde" w:hAnsi="ITC Avant Garde"/>
          <w:color w:val="000000"/>
          <w:sz w:val="22"/>
          <w:szCs w:val="22"/>
        </w:rPr>
        <w:t>;</w:t>
      </w:r>
      <w:r w:rsidR="003E25F3" w:rsidRPr="00A1405F">
        <w:rPr>
          <w:rFonts w:ascii="ITC Avant Garde" w:hAnsi="ITC Avant Garde"/>
          <w:color w:val="000000"/>
          <w:sz w:val="22"/>
          <w:szCs w:val="22"/>
        </w:rPr>
        <w:t xml:space="preserve"> así como considerar </w:t>
      </w:r>
      <w:r w:rsidRPr="00A1405F">
        <w:rPr>
          <w:rFonts w:ascii="ITC Avant Garde" w:hAnsi="ITC Avant Garde"/>
          <w:color w:val="000000"/>
          <w:sz w:val="22"/>
          <w:szCs w:val="22"/>
        </w:rPr>
        <w:t xml:space="preserve">las actuales </w:t>
      </w:r>
      <w:r w:rsidR="003E25F3" w:rsidRPr="00A1405F">
        <w:rPr>
          <w:rFonts w:ascii="ITC Avant Garde" w:hAnsi="ITC Avant Garde"/>
          <w:color w:val="000000"/>
          <w:sz w:val="22"/>
          <w:szCs w:val="22"/>
        </w:rPr>
        <w:t>recomendaciones y normas internacionales y realizar precisiones respecto a la evaluación de la conformidad</w:t>
      </w:r>
      <w:r w:rsidR="003E25F3" w:rsidRPr="00A1405F">
        <w:rPr>
          <w:rFonts w:ascii="ITC Avant Garde" w:hAnsi="ITC Avant Garde"/>
          <w:sz w:val="22"/>
          <w:szCs w:val="22"/>
          <w:lang w:val="es-ES_tradnl"/>
        </w:rPr>
        <w:t>.</w:t>
      </w:r>
      <w:r w:rsidR="001F028B" w:rsidRPr="00A1405F">
        <w:rPr>
          <w:rFonts w:ascii="ITC Avant Garde" w:hAnsi="ITC Avant Garde"/>
          <w:sz w:val="22"/>
          <w:szCs w:val="22"/>
          <w:lang w:val="es-ES_tradnl"/>
        </w:rPr>
        <w:t xml:space="preserve"> </w:t>
      </w:r>
    </w:p>
    <w:p w14:paraId="1C98F707" w14:textId="77777777" w:rsidR="006864AF" w:rsidRPr="00A1405F" w:rsidRDefault="006864AF" w:rsidP="00A1405F">
      <w:pPr>
        <w:autoSpaceDE w:val="0"/>
        <w:autoSpaceDN w:val="0"/>
        <w:adjustRightInd w:val="0"/>
        <w:spacing w:line="276" w:lineRule="auto"/>
        <w:jc w:val="both"/>
        <w:rPr>
          <w:rFonts w:ascii="ITC Avant Garde" w:hAnsi="ITC Avant Garde"/>
          <w:sz w:val="22"/>
          <w:szCs w:val="22"/>
          <w:lang w:val="es-ES_tradnl"/>
        </w:rPr>
      </w:pPr>
    </w:p>
    <w:p w14:paraId="290EAF36" w14:textId="60AA7357" w:rsidR="00A06EBB" w:rsidRPr="00A1405F" w:rsidRDefault="003E25F3" w:rsidP="00A1405F">
      <w:pPr>
        <w:autoSpaceDE w:val="0"/>
        <w:autoSpaceDN w:val="0"/>
        <w:adjustRightInd w:val="0"/>
        <w:spacing w:line="276" w:lineRule="auto"/>
        <w:jc w:val="both"/>
        <w:rPr>
          <w:rFonts w:ascii="ITC Avant Garde" w:hAnsi="ITC Avant Garde"/>
          <w:sz w:val="22"/>
          <w:szCs w:val="22"/>
          <w:lang w:val="es-ES_tradnl"/>
        </w:rPr>
      </w:pPr>
      <w:r w:rsidRPr="00A1405F">
        <w:rPr>
          <w:rFonts w:ascii="ITC Avant Garde" w:hAnsi="ITC Avant Garde"/>
          <w:sz w:val="22"/>
          <w:szCs w:val="22"/>
          <w:lang w:val="es-ES_tradnl"/>
        </w:rPr>
        <w:t xml:space="preserve">Obedeciendo al principio de transparencia, </w:t>
      </w:r>
      <w:r w:rsidR="001F028B" w:rsidRPr="00A1405F">
        <w:rPr>
          <w:rFonts w:ascii="ITC Avant Garde" w:hAnsi="ITC Avant Garde"/>
          <w:sz w:val="22"/>
          <w:szCs w:val="22"/>
          <w:lang w:val="es-ES_tradnl"/>
        </w:rPr>
        <w:t xml:space="preserve">la </w:t>
      </w:r>
      <w:r w:rsidR="001F028B" w:rsidRPr="00A1405F">
        <w:rPr>
          <w:rFonts w:ascii="ITC Avant Garde" w:hAnsi="ITC Avant Garde"/>
          <w:sz w:val="22"/>
          <w:szCs w:val="22"/>
        </w:rPr>
        <w:t>Unidad de Política Regulatoria</w:t>
      </w:r>
      <w:r w:rsidR="00EF7305" w:rsidRPr="00A1405F">
        <w:rPr>
          <w:rFonts w:ascii="ITC Avant Garde" w:hAnsi="ITC Avant Garde"/>
          <w:sz w:val="22"/>
          <w:szCs w:val="22"/>
          <w:lang w:val="es-ES_tradnl"/>
        </w:rPr>
        <w:t xml:space="preserve"> </w:t>
      </w:r>
      <w:r w:rsidRPr="00A1405F">
        <w:rPr>
          <w:rFonts w:ascii="ITC Avant Garde" w:hAnsi="ITC Avant Garde"/>
          <w:sz w:val="22"/>
          <w:szCs w:val="22"/>
          <w:lang w:val="es-ES_tradnl"/>
        </w:rPr>
        <w:t>considera que las modificaciones realizadas a dicho Anteproyecto modifican considerablemente el contenido e impacto de</w:t>
      </w:r>
      <w:r w:rsidR="006864AF" w:rsidRPr="00A1405F">
        <w:rPr>
          <w:rFonts w:ascii="ITC Avant Garde" w:hAnsi="ITC Avant Garde"/>
          <w:sz w:val="22"/>
          <w:szCs w:val="22"/>
          <w:lang w:val="es-ES_tradnl"/>
        </w:rPr>
        <w:t xml:space="preserve"> </w:t>
      </w:r>
      <w:r w:rsidRPr="00A1405F">
        <w:rPr>
          <w:rFonts w:ascii="ITC Avant Garde" w:hAnsi="ITC Avant Garde"/>
          <w:sz w:val="22"/>
          <w:szCs w:val="22"/>
          <w:lang w:val="es-ES_tradnl"/>
        </w:rPr>
        <w:t>l</w:t>
      </w:r>
      <w:r w:rsidR="006864AF" w:rsidRPr="00A1405F">
        <w:rPr>
          <w:rFonts w:ascii="ITC Avant Garde" w:hAnsi="ITC Avant Garde"/>
          <w:sz w:val="22"/>
          <w:szCs w:val="22"/>
          <w:lang w:val="es-ES_tradnl"/>
        </w:rPr>
        <w:t xml:space="preserve">os </w:t>
      </w:r>
      <w:r w:rsidRPr="00A1405F">
        <w:rPr>
          <w:rFonts w:ascii="ITC Avant Garde" w:hAnsi="ITC Avant Garde"/>
          <w:sz w:val="22"/>
          <w:szCs w:val="22"/>
          <w:lang w:val="es-ES_tradnl"/>
        </w:rPr>
        <w:t>mismo</w:t>
      </w:r>
      <w:r w:rsidR="006864AF" w:rsidRPr="00A1405F">
        <w:rPr>
          <w:rFonts w:ascii="ITC Avant Garde" w:hAnsi="ITC Avant Garde"/>
          <w:sz w:val="22"/>
          <w:szCs w:val="22"/>
          <w:lang w:val="es-ES_tradnl"/>
        </w:rPr>
        <w:t>s</w:t>
      </w:r>
      <w:r w:rsidRPr="00A1405F">
        <w:rPr>
          <w:rFonts w:ascii="ITC Avant Garde" w:hAnsi="ITC Avant Garde"/>
          <w:sz w:val="22"/>
          <w:szCs w:val="22"/>
          <w:lang w:val="es-ES_tradnl"/>
        </w:rPr>
        <w:t xml:space="preserve">, por lo que </w:t>
      </w:r>
      <w:r w:rsidR="00AA4061" w:rsidRPr="00A1405F">
        <w:rPr>
          <w:rFonts w:ascii="ITC Avant Garde" w:hAnsi="ITC Avant Garde"/>
          <w:sz w:val="22"/>
          <w:szCs w:val="22"/>
          <w:lang w:val="es-ES_tradnl"/>
        </w:rPr>
        <w:t xml:space="preserve">a fin de seguir fortaleciendo </w:t>
      </w:r>
      <w:r w:rsidR="0060369B" w:rsidRPr="00A1405F">
        <w:rPr>
          <w:rFonts w:ascii="ITC Avant Garde" w:hAnsi="ITC Avant Garde"/>
          <w:sz w:val="22"/>
          <w:szCs w:val="22"/>
          <w:lang w:val="es-ES_tradnl"/>
        </w:rPr>
        <w:t>los principios de transparencia</w:t>
      </w:r>
      <w:r w:rsidR="00AA4061" w:rsidRPr="00A1405F">
        <w:rPr>
          <w:rFonts w:ascii="ITC Avant Garde" w:hAnsi="ITC Avant Garde"/>
          <w:sz w:val="22"/>
          <w:szCs w:val="22"/>
          <w:lang w:val="es-ES_tradnl"/>
        </w:rPr>
        <w:t xml:space="preserve"> y participación ciudadana en la emisión de disposiciones, se </w:t>
      </w:r>
      <w:r w:rsidRPr="00A1405F">
        <w:rPr>
          <w:rFonts w:ascii="ITC Avant Garde" w:hAnsi="ITC Avant Garde"/>
          <w:sz w:val="22"/>
          <w:szCs w:val="22"/>
          <w:lang w:val="es-ES_tradnl"/>
        </w:rPr>
        <w:t xml:space="preserve">propone someter </w:t>
      </w:r>
      <w:r w:rsidR="001F028B" w:rsidRPr="00A1405F">
        <w:rPr>
          <w:rFonts w:ascii="ITC Avant Garde" w:hAnsi="ITC Avant Garde"/>
          <w:sz w:val="22"/>
          <w:szCs w:val="22"/>
          <w:lang w:val="es-ES_tradnl"/>
        </w:rPr>
        <w:t>a consulta  pública</w:t>
      </w:r>
      <w:r w:rsidR="00A06EBB" w:rsidRPr="00A1405F">
        <w:rPr>
          <w:rFonts w:ascii="ITC Avant Garde" w:hAnsi="ITC Avant Garde"/>
          <w:sz w:val="22"/>
          <w:szCs w:val="22"/>
          <w:lang w:val="es-ES_tradnl"/>
        </w:rPr>
        <w:t xml:space="preserve"> </w:t>
      </w:r>
      <w:r w:rsidR="001F028B" w:rsidRPr="00A1405F">
        <w:rPr>
          <w:rFonts w:ascii="ITC Avant Garde" w:hAnsi="ITC Avant Garde"/>
          <w:sz w:val="22"/>
          <w:szCs w:val="22"/>
          <w:lang w:val="es-ES_tradnl"/>
        </w:rPr>
        <w:t xml:space="preserve">el </w:t>
      </w:r>
      <w:r w:rsidR="006864AF" w:rsidRPr="00A1405F">
        <w:rPr>
          <w:rFonts w:ascii="ITC Avant Garde" w:hAnsi="ITC Avant Garde"/>
          <w:sz w:val="22"/>
          <w:szCs w:val="22"/>
          <w:lang w:val="es-ES_tradnl"/>
        </w:rPr>
        <w:t xml:space="preserve">presente </w:t>
      </w:r>
      <w:r w:rsidR="00A06EBB" w:rsidRPr="00A1405F">
        <w:rPr>
          <w:rFonts w:ascii="ITC Avant Garde" w:hAnsi="ITC Avant Garde"/>
          <w:sz w:val="22"/>
          <w:szCs w:val="22"/>
          <w:lang w:val="es-ES_tradnl"/>
        </w:rPr>
        <w:t>Anteproyecto</w:t>
      </w:r>
      <w:r w:rsidR="0060369B" w:rsidRPr="00A1405F">
        <w:rPr>
          <w:rFonts w:ascii="ITC Avant Garde" w:hAnsi="ITC Avant Garde"/>
          <w:sz w:val="22"/>
          <w:szCs w:val="22"/>
          <w:lang w:val="es-ES_tradnl"/>
        </w:rPr>
        <w:t>. S</w:t>
      </w:r>
      <w:r w:rsidRPr="00A1405F">
        <w:rPr>
          <w:rFonts w:ascii="ITC Avant Garde" w:hAnsi="ITC Avant Garde"/>
          <w:sz w:val="22"/>
          <w:szCs w:val="22"/>
          <w:lang w:val="es-ES_tradnl"/>
        </w:rPr>
        <w:t xml:space="preserve">e prevé que con la nueva consulta pública </w:t>
      </w:r>
      <w:r w:rsidR="00A06EBB" w:rsidRPr="00A1405F">
        <w:rPr>
          <w:rFonts w:ascii="ITC Avant Garde" w:hAnsi="ITC Avant Garde"/>
          <w:sz w:val="22"/>
          <w:szCs w:val="22"/>
          <w:lang w:val="es-ES_tradnl"/>
        </w:rPr>
        <w:t>se alcan</w:t>
      </w:r>
      <w:r w:rsidR="001F028B" w:rsidRPr="00A1405F">
        <w:rPr>
          <w:rFonts w:ascii="ITC Avant Garde" w:hAnsi="ITC Avant Garde"/>
          <w:sz w:val="22"/>
          <w:szCs w:val="22"/>
          <w:lang w:val="es-ES_tradnl"/>
        </w:rPr>
        <w:t>cen</w:t>
      </w:r>
      <w:r w:rsidR="00A06EBB" w:rsidRPr="00A1405F">
        <w:rPr>
          <w:rFonts w:ascii="ITC Avant Garde" w:hAnsi="ITC Avant Garde"/>
          <w:sz w:val="22"/>
          <w:szCs w:val="22"/>
          <w:lang w:val="es-ES_tradnl"/>
        </w:rPr>
        <w:t xml:space="preserve"> los siguientes objetivos:</w:t>
      </w:r>
    </w:p>
    <w:p w14:paraId="274BA61C" w14:textId="77777777" w:rsidR="006864AF" w:rsidRPr="00A1405F" w:rsidRDefault="006864AF" w:rsidP="00A1405F">
      <w:pPr>
        <w:autoSpaceDE w:val="0"/>
        <w:autoSpaceDN w:val="0"/>
        <w:adjustRightInd w:val="0"/>
        <w:spacing w:line="276" w:lineRule="auto"/>
        <w:jc w:val="both"/>
        <w:rPr>
          <w:rFonts w:ascii="ITC Avant Garde" w:hAnsi="ITC Avant Garde"/>
          <w:sz w:val="22"/>
          <w:szCs w:val="22"/>
          <w:lang w:val="es-ES_tradnl"/>
        </w:rPr>
      </w:pPr>
    </w:p>
    <w:p w14:paraId="3C56AC02" w14:textId="7887B873" w:rsidR="006E2A57" w:rsidRPr="00A1405F" w:rsidRDefault="006E2A57" w:rsidP="00A1405F">
      <w:pPr>
        <w:autoSpaceDE w:val="0"/>
        <w:autoSpaceDN w:val="0"/>
        <w:adjustRightInd w:val="0"/>
        <w:spacing w:line="276" w:lineRule="auto"/>
        <w:ind w:left="993" w:hanging="426"/>
        <w:jc w:val="both"/>
        <w:rPr>
          <w:rFonts w:ascii="ITC Avant Garde" w:hAnsi="ITC Avant Garde"/>
          <w:sz w:val="22"/>
          <w:szCs w:val="22"/>
          <w:lang w:val="es-ES_tradnl"/>
        </w:rPr>
      </w:pPr>
      <w:r w:rsidRPr="00A1405F">
        <w:rPr>
          <w:rFonts w:ascii="ITC Avant Garde" w:hAnsi="ITC Avant Garde"/>
          <w:b/>
          <w:sz w:val="22"/>
          <w:szCs w:val="22"/>
          <w:lang w:val="es-ES_tradnl"/>
        </w:rPr>
        <w:t>a)</w:t>
      </w:r>
      <w:r w:rsidRPr="00A1405F">
        <w:rPr>
          <w:rFonts w:ascii="ITC Avant Garde" w:hAnsi="ITC Avant Garde"/>
          <w:sz w:val="22"/>
          <w:szCs w:val="22"/>
          <w:lang w:val="es-ES_tradnl"/>
        </w:rPr>
        <w:tab/>
        <w:t xml:space="preserve">Los productos, equipos, dispositivos o aparatos destinados a telecomunicaciones que pueden ser conectados a una red de telecomunicaciones o hacer uso del espectro radioeléctrico, y que se utilicen cerca de la cabeza, particularmente cerca del oído, cumplan con los límites básicos de exposición de </w:t>
      </w:r>
      <w:r w:rsidR="00AD7C49" w:rsidRPr="00A1405F">
        <w:rPr>
          <w:rFonts w:ascii="ITC Avant Garde" w:hAnsi="ITC Avant Garde"/>
          <w:sz w:val="22"/>
          <w:szCs w:val="22"/>
          <w:lang w:val="es-ES_tradnl"/>
        </w:rPr>
        <w:t>emisiones radioeléctricas</w:t>
      </w:r>
      <w:r w:rsidRPr="00A1405F">
        <w:rPr>
          <w:rFonts w:ascii="ITC Avant Garde" w:hAnsi="ITC Avant Garde"/>
          <w:sz w:val="22"/>
          <w:szCs w:val="22"/>
          <w:lang w:val="es-ES_tradnl"/>
        </w:rPr>
        <w:t xml:space="preserve"> no ionizantes en el intervalo de</w:t>
      </w:r>
      <w:r w:rsidR="00B01D2E" w:rsidRPr="00A1405F">
        <w:rPr>
          <w:rFonts w:ascii="ITC Avant Garde" w:hAnsi="ITC Avant Garde"/>
          <w:sz w:val="22"/>
          <w:szCs w:val="22"/>
          <w:lang w:val="es-ES_tradnl"/>
        </w:rPr>
        <w:t xml:space="preserve"> frecuencias de 300 MHz a 6 GHz</w:t>
      </w:r>
      <w:r w:rsidRPr="00A1405F">
        <w:rPr>
          <w:rFonts w:ascii="ITC Avant Garde" w:hAnsi="ITC Avant Garde"/>
          <w:sz w:val="22"/>
          <w:szCs w:val="22"/>
          <w:lang w:val="es-ES_tradnl"/>
        </w:rPr>
        <w:t>;</w:t>
      </w:r>
    </w:p>
    <w:p w14:paraId="36129956" w14:textId="77777777" w:rsidR="006864AF" w:rsidRPr="00A1405F" w:rsidRDefault="006864AF" w:rsidP="00A1405F">
      <w:pPr>
        <w:autoSpaceDE w:val="0"/>
        <w:autoSpaceDN w:val="0"/>
        <w:adjustRightInd w:val="0"/>
        <w:spacing w:line="276" w:lineRule="auto"/>
        <w:ind w:left="993" w:hanging="426"/>
        <w:jc w:val="both"/>
        <w:rPr>
          <w:rFonts w:ascii="ITC Avant Garde" w:hAnsi="ITC Avant Garde"/>
          <w:sz w:val="22"/>
          <w:szCs w:val="22"/>
          <w:lang w:val="es-ES_tradnl"/>
        </w:rPr>
      </w:pPr>
    </w:p>
    <w:p w14:paraId="1A492A9E" w14:textId="45D679C2" w:rsidR="00B01D2E" w:rsidRPr="00A1405F" w:rsidRDefault="006E2A57" w:rsidP="00A1405F">
      <w:pPr>
        <w:autoSpaceDE w:val="0"/>
        <w:autoSpaceDN w:val="0"/>
        <w:adjustRightInd w:val="0"/>
        <w:spacing w:line="276" w:lineRule="auto"/>
        <w:ind w:left="993" w:hanging="426"/>
        <w:jc w:val="both"/>
        <w:rPr>
          <w:rFonts w:ascii="ITC Avant Garde" w:hAnsi="ITC Avant Garde"/>
          <w:sz w:val="22"/>
          <w:szCs w:val="22"/>
          <w:lang w:val="es-ES_tradnl"/>
        </w:rPr>
      </w:pPr>
      <w:r w:rsidRPr="00A1405F">
        <w:rPr>
          <w:rFonts w:ascii="ITC Avant Garde" w:hAnsi="ITC Avant Garde"/>
          <w:b/>
          <w:sz w:val="22"/>
          <w:szCs w:val="22"/>
          <w:lang w:val="es-ES_tradnl"/>
        </w:rPr>
        <w:t>b)</w:t>
      </w:r>
      <w:r w:rsidRPr="00A1405F">
        <w:rPr>
          <w:rFonts w:ascii="ITC Avant Garde" w:hAnsi="ITC Avant Garde"/>
          <w:sz w:val="22"/>
          <w:szCs w:val="22"/>
          <w:lang w:val="es-ES_tradnl"/>
        </w:rPr>
        <w:tab/>
        <w:t>Los productos, equipos, dispositivos o aparatos destinados a telecomunicaciones que pueden ser conectados a una red de telecomunicaciones o hacer uso del espectro radioeléctrico, y que se utilicen a una distancia menor o igual a 200 mm del cuerpo humano, cum</w:t>
      </w:r>
      <w:r w:rsidR="00B01D2E" w:rsidRPr="00A1405F">
        <w:rPr>
          <w:rFonts w:ascii="ITC Avant Garde" w:hAnsi="ITC Avant Garde"/>
          <w:sz w:val="22"/>
          <w:szCs w:val="22"/>
          <w:lang w:val="es-ES_tradnl"/>
        </w:rPr>
        <w:t xml:space="preserve">plan con los límites básicos de </w:t>
      </w:r>
      <w:r w:rsidRPr="00A1405F">
        <w:rPr>
          <w:rFonts w:ascii="ITC Avant Garde" w:hAnsi="ITC Avant Garde"/>
          <w:sz w:val="22"/>
          <w:szCs w:val="22"/>
          <w:lang w:val="es-ES_tradnl"/>
        </w:rPr>
        <w:t xml:space="preserve">exposición de </w:t>
      </w:r>
      <w:r w:rsidR="00AD7C49" w:rsidRPr="00A1405F">
        <w:rPr>
          <w:rFonts w:ascii="ITC Avant Garde" w:hAnsi="ITC Avant Garde"/>
          <w:sz w:val="22"/>
          <w:szCs w:val="22"/>
          <w:lang w:val="es-ES_tradnl"/>
        </w:rPr>
        <w:t>emisiones radioeléctricas</w:t>
      </w:r>
      <w:r w:rsidRPr="00A1405F">
        <w:rPr>
          <w:rFonts w:ascii="ITC Avant Garde" w:hAnsi="ITC Avant Garde"/>
          <w:sz w:val="22"/>
          <w:szCs w:val="22"/>
          <w:lang w:val="es-ES_tradnl"/>
        </w:rPr>
        <w:t xml:space="preserve"> no ionizantes en el intervalo de frecuencias 30 MHz a 6 GHz.</w:t>
      </w:r>
    </w:p>
    <w:p w14:paraId="7E564967" w14:textId="77777777" w:rsidR="000143E7" w:rsidRPr="00A1405F" w:rsidRDefault="000143E7" w:rsidP="00A1405F">
      <w:pPr>
        <w:autoSpaceDE w:val="0"/>
        <w:autoSpaceDN w:val="0"/>
        <w:adjustRightInd w:val="0"/>
        <w:spacing w:line="276" w:lineRule="auto"/>
        <w:ind w:left="708"/>
        <w:jc w:val="both"/>
        <w:rPr>
          <w:rFonts w:ascii="ITC Avant Garde" w:hAnsi="ITC Avant Garde"/>
          <w:kern w:val="2"/>
          <w:sz w:val="22"/>
          <w:szCs w:val="22"/>
          <w:lang w:val="es-ES" w:eastAsia="ar-SA"/>
        </w:rPr>
      </w:pPr>
    </w:p>
    <w:p w14:paraId="51BD5937" w14:textId="77777777" w:rsidR="001E7E83" w:rsidRPr="00A1405F" w:rsidRDefault="002367EE" w:rsidP="00A1405F">
      <w:pPr>
        <w:autoSpaceDE w:val="0"/>
        <w:autoSpaceDN w:val="0"/>
        <w:adjustRightInd w:val="0"/>
        <w:spacing w:line="276" w:lineRule="auto"/>
        <w:jc w:val="both"/>
        <w:rPr>
          <w:rFonts w:ascii="ITC Avant Garde" w:hAnsi="ITC Avant Garde"/>
          <w:kern w:val="2"/>
          <w:sz w:val="22"/>
          <w:szCs w:val="22"/>
          <w:lang w:val="es-ES" w:eastAsia="ar-SA"/>
        </w:rPr>
      </w:pPr>
      <w:r w:rsidRPr="00A1405F">
        <w:rPr>
          <w:rFonts w:ascii="ITC Avant Garde" w:hAnsi="ITC Avant Garde"/>
          <w:kern w:val="2"/>
          <w:sz w:val="22"/>
          <w:szCs w:val="22"/>
          <w:lang w:val="es-ES" w:eastAsia="ar-SA"/>
        </w:rPr>
        <w:t xml:space="preserve">El artículo 51 de la LFTR establece que para la emisión y modificación de reglas, lineamientos, o disposiciones administrativas de carácter general, así como en cualquier caso que determine el Pleno, el Instituto deberá realizar consultas públicas bajo los </w:t>
      </w:r>
      <w:r w:rsidR="001E7E83" w:rsidRPr="00A1405F">
        <w:rPr>
          <w:rFonts w:ascii="ITC Avant Garde" w:hAnsi="ITC Avant Garde"/>
          <w:kern w:val="2"/>
          <w:sz w:val="22"/>
          <w:szCs w:val="22"/>
          <w:lang w:val="es-ES" w:eastAsia="ar-SA"/>
        </w:rPr>
        <w:t>principios de</w:t>
      </w:r>
      <w:r w:rsidRPr="00A1405F">
        <w:rPr>
          <w:rFonts w:ascii="ITC Avant Garde" w:hAnsi="ITC Avant Garde"/>
          <w:kern w:val="2"/>
          <w:sz w:val="22"/>
          <w:szCs w:val="22"/>
          <w:lang w:val="es-ES" w:eastAsia="ar-SA"/>
        </w:rPr>
        <w:t xml:space="preserve"> transparencia y participación ciudadana.</w:t>
      </w:r>
    </w:p>
    <w:p w14:paraId="68147A87" w14:textId="77777777" w:rsidR="001211C1" w:rsidRPr="00A1405F" w:rsidRDefault="002367EE" w:rsidP="00A1405F">
      <w:pPr>
        <w:autoSpaceDE w:val="0"/>
        <w:autoSpaceDN w:val="0"/>
        <w:adjustRightInd w:val="0"/>
        <w:spacing w:line="276" w:lineRule="auto"/>
        <w:jc w:val="both"/>
        <w:rPr>
          <w:rFonts w:ascii="ITC Avant Garde" w:hAnsi="ITC Avant Garde"/>
          <w:sz w:val="22"/>
          <w:szCs w:val="22"/>
        </w:rPr>
      </w:pPr>
      <w:r w:rsidRPr="00A1405F">
        <w:rPr>
          <w:rFonts w:ascii="ITC Avant Garde" w:hAnsi="ITC Avant Garde"/>
          <w:sz w:val="22"/>
          <w:szCs w:val="22"/>
        </w:rPr>
        <w:t xml:space="preserve"> </w:t>
      </w:r>
    </w:p>
    <w:p w14:paraId="74AD8E4B" w14:textId="1E5ADCBF" w:rsidR="00FD0F65" w:rsidRPr="00A1405F" w:rsidRDefault="002C3AAE" w:rsidP="00A1405F">
      <w:pPr>
        <w:tabs>
          <w:tab w:val="left" w:pos="720"/>
          <w:tab w:val="left" w:pos="1134"/>
        </w:tabs>
        <w:spacing w:line="276" w:lineRule="auto"/>
        <w:jc w:val="both"/>
        <w:rPr>
          <w:rFonts w:ascii="ITC Avant Garde" w:hAnsi="ITC Avant Garde" w:cs="Tahoma"/>
          <w:b/>
          <w:bCs/>
          <w:color w:val="000000"/>
          <w:sz w:val="22"/>
          <w:szCs w:val="22"/>
          <w:lang w:eastAsia="es-MX"/>
        </w:rPr>
      </w:pPr>
      <w:r w:rsidRPr="00A1405F">
        <w:rPr>
          <w:rFonts w:ascii="ITC Avant Garde" w:hAnsi="ITC Avant Garde"/>
          <w:sz w:val="22"/>
          <w:szCs w:val="22"/>
        </w:rPr>
        <w:t xml:space="preserve">En este sentido, el Pleno del Instituto estima conveniente someter </w:t>
      </w:r>
      <w:r w:rsidR="00F958D2" w:rsidRPr="00A1405F">
        <w:rPr>
          <w:rFonts w:ascii="ITC Avant Garde" w:hAnsi="ITC Avant Garde"/>
          <w:sz w:val="22"/>
          <w:szCs w:val="22"/>
        </w:rPr>
        <w:t xml:space="preserve">nuevamente </w:t>
      </w:r>
      <w:r w:rsidRPr="00A1405F">
        <w:rPr>
          <w:rFonts w:ascii="ITC Avant Garde" w:hAnsi="ITC Avant Garde"/>
          <w:sz w:val="22"/>
          <w:szCs w:val="22"/>
        </w:rPr>
        <w:t xml:space="preserve">a consulta pública el </w:t>
      </w:r>
      <w:r w:rsidR="00A06EBB" w:rsidRPr="00A1405F">
        <w:rPr>
          <w:rFonts w:ascii="ITC Avant Garde" w:hAnsi="ITC Avant Garde"/>
          <w:sz w:val="22"/>
          <w:szCs w:val="22"/>
        </w:rPr>
        <w:t>“</w:t>
      </w:r>
      <w:r w:rsidR="005F051C" w:rsidRPr="00A1405F">
        <w:rPr>
          <w:rFonts w:ascii="ITC Avant Garde" w:hAnsi="ITC Avant Garde"/>
          <w:sz w:val="22"/>
          <w:szCs w:val="22"/>
        </w:rPr>
        <w:t xml:space="preserve">Anteproyecto de </w:t>
      </w:r>
      <w:r w:rsidR="008D39C8" w:rsidRPr="00A1405F">
        <w:rPr>
          <w:rFonts w:ascii="ITC Avant Garde" w:hAnsi="ITC Avant Garde"/>
          <w:sz w:val="22"/>
          <w:szCs w:val="22"/>
        </w:rPr>
        <w:t>DISPOSICIÓN TÉCNICA IFT-012-2016:</w:t>
      </w:r>
      <w:r w:rsidR="008D39C8" w:rsidRPr="00A1405F">
        <w:rPr>
          <w:rFonts w:ascii="ITC Avant Garde" w:hAnsi="ITC Avant Garde"/>
          <w:b/>
          <w:sz w:val="22"/>
          <w:szCs w:val="22"/>
        </w:rPr>
        <w:t xml:space="preserve"> </w:t>
      </w:r>
      <w:r w:rsidR="00460B6B" w:rsidRPr="00A1405F">
        <w:rPr>
          <w:rFonts w:ascii="ITC Avant Garde" w:hAnsi="ITC Avant Garde"/>
          <w:sz w:val="22"/>
          <w:szCs w:val="22"/>
        </w:rPr>
        <w:t xml:space="preserve">ESPECIFICACIONES TÉCNICAS PARA EL CUMPLIMIENTO DE LOS LÍMITES MÁXIMOS DE </w:t>
      </w:r>
      <w:r w:rsidR="00AD7C49" w:rsidRPr="00A1405F">
        <w:rPr>
          <w:rFonts w:ascii="ITC Avant Garde" w:hAnsi="ITC Avant Garde"/>
          <w:sz w:val="22"/>
          <w:szCs w:val="22"/>
        </w:rPr>
        <w:t xml:space="preserve">EMISIONES RADIOELÉCTRICAS </w:t>
      </w:r>
      <w:r w:rsidR="00460B6B" w:rsidRPr="00A1405F">
        <w:rPr>
          <w:rFonts w:ascii="ITC Avant Garde" w:hAnsi="ITC Avant Garde"/>
          <w:sz w:val="22"/>
          <w:szCs w:val="22"/>
        </w:rPr>
        <w:t xml:space="preserve">NO IONIZANTES DE LOS PRODUCTOS, EQUIPOS, DISPOSITIVOS O APARATOS DESTINADOS A TELECOMUNICACIONES QUE PUEDEN SER CONECTADOS A UNA RED DE TELECOMUNICACIONES </w:t>
      </w:r>
      <w:r w:rsidR="00E05835" w:rsidRPr="00A1405F">
        <w:rPr>
          <w:rFonts w:ascii="ITC Avant Garde" w:hAnsi="ITC Avant Garde"/>
          <w:sz w:val="22"/>
          <w:szCs w:val="22"/>
        </w:rPr>
        <w:t>Y/</w:t>
      </w:r>
      <w:r w:rsidR="00460B6B" w:rsidRPr="00A1405F">
        <w:rPr>
          <w:rFonts w:ascii="ITC Avant Garde" w:hAnsi="ITC Avant Garde"/>
          <w:sz w:val="22"/>
          <w:szCs w:val="22"/>
        </w:rPr>
        <w:t>O HACER USO DEL ESPECTRO RADIOELÉCTRICO. ÍNDICE DE ABSORCIÓN ESPECÍFICA (SAR)</w:t>
      </w:r>
      <w:r w:rsidR="00A06EBB" w:rsidRPr="00A1405F">
        <w:rPr>
          <w:rFonts w:ascii="ITC Avant Garde" w:hAnsi="ITC Avant Garde"/>
          <w:b/>
          <w:sz w:val="22"/>
          <w:szCs w:val="22"/>
        </w:rPr>
        <w:t>”</w:t>
      </w:r>
      <w:r w:rsidR="00121FDF" w:rsidRPr="00A1405F">
        <w:rPr>
          <w:rFonts w:ascii="ITC Avant Garde" w:hAnsi="ITC Avant Garde"/>
          <w:b/>
          <w:sz w:val="22"/>
          <w:szCs w:val="22"/>
        </w:rPr>
        <w:t xml:space="preserve">, </w:t>
      </w:r>
      <w:r w:rsidR="00F958D2" w:rsidRPr="00A1405F">
        <w:rPr>
          <w:rFonts w:ascii="ITC Avant Garde" w:hAnsi="ITC Avant Garde"/>
          <w:sz w:val="22"/>
          <w:szCs w:val="22"/>
        </w:rPr>
        <w:t>anteproyecto</w:t>
      </w:r>
      <w:r w:rsidR="00F958D2" w:rsidRPr="00A1405F">
        <w:rPr>
          <w:rFonts w:ascii="ITC Avant Garde" w:hAnsi="ITC Avant Garde"/>
          <w:b/>
          <w:sz w:val="22"/>
          <w:szCs w:val="22"/>
        </w:rPr>
        <w:t xml:space="preserve"> </w:t>
      </w:r>
      <w:r w:rsidR="00121FDF" w:rsidRPr="00A1405F">
        <w:rPr>
          <w:rFonts w:ascii="ITC Avant Garde" w:hAnsi="ITC Avant Garde"/>
          <w:sz w:val="22"/>
          <w:szCs w:val="22"/>
        </w:rPr>
        <w:t xml:space="preserve">que a su vez le fue sometido a su consideración por la </w:t>
      </w:r>
      <w:r w:rsidR="001E7E83" w:rsidRPr="00A1405F">
        <w:rPr>
          <w:rFonts w:ascii="ITC Avant Garde" w:hAnsi="ITC Avant Garde"/>
          <w:sz w:val="22"/>
          <w:szCs w:val="22"/>
        </w:rPr>
        <w:t>Unidad de Política Regulatoria</w:t>
      </w:r>
      <w:r w:rsidR="006864AF" w:rsidRPr="00A1405F">
        <w:rPr>
          <w:rFonts w:ascii="ITC Avant Garde" w:hAnsi="ITC Avant Garde"/>
          <w:sz w:val="22"/>
          <w:szCs w:val="22"/>
        </w:rPr>
        <w:t xml:space="preserve">, el cual </w:t>
      </w:r>
      <w:r w:rsidR="00121FDF" w:rsidRPr="00A1405F">
        <w:rPr>
          <w:rFonts w:ascii="ITC Avant Garde" w:hAnsi="ITC Avant Garde"/>
          <w:sz w:val="22"/>
          <w:szCs w:val="22"/>
        </w:rPr>
        <w:t>se adjunta al presente Acuerdo como Anexo Único.</w:t>
      </w:r>
    </w:p>
    <w:p w14:paraId="4138B9C0" w14:textId="77777777" w:rsidR="00FD0F65" w:rsidRPr="00A1405F" w:rsidRDefault="00FD0F65" w:rsidP="00A1405F">
      <w:pPr>
        <w:autoSpaceDE w:val="0"/>
        <w:autoSpaceDN w:val="0"/>
        <w:adjustRightInd w:val="0"/>
        <w:spacing w:line="276" w:lineRule="auto"/>
        <w:jc w:val="both"/>
        <w:rPr>
          <w:rFonts w:ascii="ITC Avant Garde" w:hAnsi="ITC Avant Garde"/>
          <w:sz w:val="22"/>
          <w:szCs w:val="22"/>
        </w:rPr>
      </w:pPr>
    </w:p>
    <w:p w14:paraId="383AC0CF" w14:textId="77777777" w:rsidR="005E5830" w:rsidRPr="00A1405F" w:rsidRDefault="00FD0F65" w:rsidP="00A1405F">
      <w:pPr>
        <w:autoSpaceDE w:val="0"/>
        <w:autoSpaceDN w:val="0"/>
        <w:adjustRightInd w:val="0"/>
        <w:spacing w:line="276" w:lineRule="auto"/>
        <w:jc w:val="both"/>
        <w:rPr>
          <w:rFonts w:ascii="ITC Avant Garde" w:hAnsi="ITC Avant Garde" w:cs="Calibri"/>
          <w:b/>
          <w:sz w:val="22"/>
          <w:szCs w:val="22"/>
        </w:rPr>
      </w:pPr>
      <w:r w:rsidRPr="00A1405F">
        <w:rPr>
          <w:rFonts w:ascii="ITC Avant Garde" w:hAnsi="ITC Avant Garde"/>
          <w:sz w:val="22"/>
          <w:szCs w:val="22"/>
        </w:rPr>
        <w:t>Lo anterior sin perjuicio, de que, en su momento,</w:t>
      </w:r>
      <w:r w:rsidR="008D1966" w:rsidRPr="00A1405F">
        <w:rPr>
          <w:rFonts w:ascii="ITC Avant Garde" w:hAnsi="ITC Avant Garde"/>
          <w:sz w:val="22"/>
          <w:szCs w:val="22"/>
        </w:rPr>
        <w:t xml:space="preserve"> </w:t>
      </w:r>
      <w:r w:rsidRPr="00A1405F">
        <w:rPr>
          <w:rFonts w:ascii="ITC Avant Garde" w:hAnsi="ITC Avant Garde"/>
          <w:sz w:val="22"/>
          <w:szCs w:val="22"/>
        </w:rPr>
        <w:t>el Instituto realice y haga público el</w:t>
      </w:r>
      <w:r w:rsidR="008D1966" w:rsidRPr="00A1405F">
        <w:rPr>
          <w:rFonts w:ascii="ITC Avant Garde" w:hAnsi="ITC Avant Garde"/>
          <w:sz w:val="22"/>
          <w:szCs w:val="22"/>
        </w:rPr>
        <w:t xml:space="preserve"> </w:t>
      </w:r>
      <w:r w:rsidRPr="00A1405F">
        <w:rPr>
          <w:rFonts w:ascii="ITC Avant Garde" w:hAnsi="ITC Avant Garde"/>
          <w:sz w:val="22"/>
          <w:szCs w:val="22"/>
        </w:rPr>
        <w:t>correspondiente análisis de impacto regulatorio, conforme a lo dispuesto en el segundo párrafo del artículo</w:t>
      </w:r>
      <w:r w:rsidR="008D1966" w:rsidRPr="00A1405F">
        <w:rPr>
          <w:rFonts w:ascii="ITC Avant Garde" w:hAnsi="ITC Avant Garde"/>
          <w:sz w:val="22"/>
          <w:szCs w:val="22"/>
        </w:rPr>
        <w:t xml:space="preserve"> </w:t>
      </w:r>
      <w:r w:rsidRPr="00A1405F">
        <w:rPr>
          <w:rFonts w:ascii="ITC Avant Garde" w:hAnsi="ITC Avant Garde"/>
          <w:sz w:val="22"/>
          <w:szCs w:val="22"/>
        </w:rPr>
        <w:t xml:space="preserve">51 de la </w:t>
      </w:r>
      <w:r w:rsidR="007B578D" w:rsidRPr="00A1405F">
        <w:rPr>
          <w:rFonts w:ascii="ITC Avant Garde" w:hAnsi="ITC Avant Garde"/>
          <w:sz w:val="22"/>
          <w:szCs w:val="22"/>
        </w:rPr>
        <w:t>LFTR</w:t>
      </w:r>
      <w:r w:rsidRPr="00A1405F">
        <w:rPr>
          <w:rFonts w:ascii="ITC Avant Garde" w:hAnsi="ITC Avant Garde"/>
          <w:sz w:val="22"/>
          <w:szCs w:val="22"/>
        </w:rPr>
        <w:t xml:space="preserve">. </w:t>
      </w:r>
    </w:p>
    <w:p w14:paraId="410398AB" w14:textId="77777777" w:rsidR="005E5830" w:rsidRPr="00A1405F" w:rsidRDefault="005E5830" w:rsidP="00A1405F">
      <w:pPr>
        <w:autoSpaceDE w:val="0"/>
        <w:autoSpaceDN w:val="0"/>
        <w:adjustRightInd w:val="0"/>
        <w:spacing w:line="276" w:lineRule="auto"/>
        <w:jc w:val="both"/>
        <w:rPr>
          <w:rFonts w:ascii="ITC Avant Garde" w:hAnsi="ITC Avant Garde" w:cs="Calibri"/>
          <w:b/>
          <w:sz w:val="22"/>
          <w:szCs w:val="22"/>
        </w:rPr>
      </w:pPr>
    </w:p>
    <w:p w14:paraId="4204BF4C" w14:textId="56836CBF" w:rsidR="00900463" w:rsidRPr="00A1405F" w:rsidRDefault="00900463" w:rsidP="00A1405F">
      <w:pPr>
        <w:pStyle w:val="Default"/>
        <w:tabs>
          <w:tab w:val="left" w:pos="0"/>
        </w:tabs>
        <w:spacing w:line="276" w:lineRule="auto"/>
        <w:jc w:val="both"/>
        <w:rPr>
          <w:rFonts w:ascii="ITC Avant Garde" w:hAnsi="ITC Avant Garde"/>
          <w:bCs/>
          <w:color w:val="auto"/>
          <w:sz w:val="22"/>
          <w:szCs w:val="22"/>
          <w:lang w:val="es-ES_tradnl"/>
        </w:rPr>
      </w:pPr>
      <w:r w:rsidRPr="00A1405F">
        <w:rPr>
          <w:rFonts w:ascii="ITC Avant Garde" w:hAnsi="ITC Avant Garde"/>
          <w:bCs/>
          <w:sz w:val="22"/>
          <w:szCs w:val="22"/>
          <w:lang w:val="es-ES_tradnl"/>
        </w:rPr>
        <w:t xml:space="preserve">Por lo anterior, el Anteproyecto propuesto por la Unidad de Política Regulatoria debe estar sujeto a un proceso de consulta pública por un periodo de </w:t>
      </w:r>
      <w:r w:rsidR="006E2A57" w:rsidRPr="00A1405F">
        <w:rPr>
          <w:rFonts w:ascii="ITC Avant Garde" w:hAnsi="ITC Avant Garde"/>
          <w:bCs/>
          <w:sz w:val="22"/>
          <w:szCs w:val="22"/>
          <w:lang w:val="es-ES_tradnl"/>
        </w:rPr>
        <w:t xml:space="preserve">cuarenta </w:t>
      </w:r>
      <w:r w:rsidRPr="00A1405F">
        <w:rPr>
          <w:rFonts w:ascii="ITC Avant Garde" w:hAnsi="ITC Avant Garde"/>
          <w:bCs/>
          <w:sz w:val="22"/>
          <w:szCs w:val="22"/>
          <w:lang w:val="es-ES_tradnl"/>
        </w:rPr>
        <w:t>días hábiles</w:t>
      </w:r>
      <w:r w:rsidRPr="00A1405F">
        <w:rPr>
          <w:rFonts w:ascii="ITC Avant Garde" w:hAnsi="ITC Avant Garde"/>
          <w:b/>
          <w:bCs/>
          <w:sz w:val="22"/>
          <w:szCs w:val="22"/>
          <w:lang w:val="es-ES_tradnl"/>
        </w:rPr>
        <w:t xml:space="preserve"> </w:t>
      </w:r>
      <w:r w:rsidRPr="00A1405F">
        <w:rPr>
          <w:rFonts w:ascii="ITC Avant Garde" w:hAnsi="ITC Avant Garde"/>
          <w:bCs/>
          <w:sz w:val="22"/>
          <w:szCs w:val="22"/>
          <w:lang w:val="es-ES_tradnl"/>
        </w:rPr>
        <w:t xml:space="preserve">a fin de transparentar y promover la participación ciudadana en los procesos de emisión de disposiciones de carácter general que genere el Instituto, a efecto </w:t>
      </w:r>
      <w:r w:rsidRPr="00A1405F">
        <w:rPr>
          <w:rFonts w:ascii="ITC Avant Garde" w:hAnsi="ITC Avant Garde"/>
          <w:bCs/>
          <w:color w:val="auto"/>
          <w:sz w:val="22"/>
          <w:szCs w:val="22"/>
          <w:lang w:val="es-ES_tradnl"/>
        </w:rPr>
        <w:t xml:space="preserve">de dar cabal cumplimiento a lo establecido en el dispositivo legal señalado. </w:t>
      </w:r>
    </w:p>
    <w:p w14:paraId="6466858F" w14:textId="66380238" w:rsidR="00F529BA" w:rsidRPr="00A1405F" w:rsidRDefault="006E0437" w:rsidP="00A1405F">
      <w:pPr>
        <w:spacing w:line="276" w:lineRule="auto"/>
        <w:jc w:val="both"/>
        <w:rPr>
          <w:rFonts w:ascii="ITC Avant Garde" w:hAnsi="ITC Avant Garde"/>
          <w:kern w:val="2"/>
          <w:sz w:val="22"/>
          <w:szCs w:val="22"/>
          <w:lang w:val="es-ES" w:eastAsia="ar-SA"/>
        </w:rPr>
      </w:pPr>
      <w:r w:rsidRPr="00A1405F">
        <w:rPr>
          <w:rFonts w:ascii="ITC Avant Garde" w:hAnsi="ITC Avant Garde"/>
          <w:kern w:val="2"/>
          <w:sz w:val="22"/>
          <w:szCs w:val="22"/>
          <w:lang w:val="es-ES" w:eastAsia="ar-SA"/>
        </w:rPr>
        <w:t>Por lo anterior y con fundamento en los artículos 6o</w:t>
      </w:r>
      <w:r w:rsidR="00882E9E" w:rsidRPr="00A1405F">
        <w:rPr>
          <w:rFonts w:ascii="ITC Avant Garde" w:hAnsi="ITC Avant Garde"/>
          <w:kern w:val="2"/>
          <w:sz w:val="22"/>
          <w:szCs w:val="22"/>
          <w:lang w:val="es-ES" w:eastAsia="ar-SA"/>
        </w:rPr>
        <w:t>.</w:t>
      </w:r>
      <w:r w:rsidRPr="00A1405F">
        <w:rPr>
          <w:rFonts w:ascii="ITC Avant Garde" w:hAnsi="ITC Avant Garde"/>
          <w:kern w:val="2"/>
          <w:sz w:val="22"/>
          <w:szCs w:val="22"/>
          <w:lang w:val="es-ES" w:eastAsia="ar-SA"/>
        </w:rPr>
        <w:t xml:space="preserve"> y 28, párrafos décimo quinto y vigésimo, fracción IV, de la Constitución Política de los Estados Unidos Mexicanos; 1, 2, 7, 15, fracci</w:t>
      </w:r>
      <w:r w:rsidR="00BA7D20" w:rsidRPr="00A1405F">
        <w:rPr>
          <w:rFonts w:ascii="ITC Avant Garde" w:hAnsi="ITC Avant Garde"/>
          <w:kern w:val="2"/>
          <w:sz w:val="22"/>
          <w:szCs w:val="22"/>
          <w:lang w:val="es-ES" w:eastAsia="ar-SA"/>
        </w:rPr>
        <w:t xml:space="preserve">ón </w:t>
      </w:r>
      <w:r w:rsidRPr="00A1405F">
        <w:rPr>
          <w:rFonts w:ascii="ITC Avant Garde" w:hAnsi="ITC Avant Garde"/>
          <w:kern w:val="2"/>
          <w:sz w:val="22"/>
          <w:szCs w:val="22"/>
          <w:lang w:val="es-ES" w:eastAsia="ar-SA"/>
        </w:rPr>
        <w:t>I,</w:t>
      </w:r>
      <w:r w:rsidR="00935532" w:rsidRPr="00A1405F">
        <w:rPr>
          <w:rFonts w:ascii="ITC Avant Garde" w:hAnsi="ITC Avant Garde"/>
          <w:kern w:val="2"/>
          <w:sz w:val="22"/>
          <w:szCs w:val="22"/>
          <w:lang w:val="es-ES" w:eastAsia="ar-SA"/>
        </w:rPr>
        <w:t xml:space="preserve"> </w:t>
      </w:r>
      <w:r w:rsidRPr="00A1405F">
        <w:rPr>
          <w:rFonts w:ascii="ITC Avant Garde" w:hAnsi="ITC Avant Garde"/>
          <w:kern w:val="2"/>
          <w:sz w:val="22"/>
          <w:szCs w:val="22"/>
          <w:lang w:val="es-ES" w:eastAsia="ar-SA"/>
        </w:rPr>
        <w:t>51</w:t>
      </w:r>
      <w:r w:rsidR="008D39C8" w:rsidRPr="00A1405F">
        <w:rPr>
          <w:rFonts w:ascii="ITC Avant Garde" w:hAnsi="ITC Avant Garde"/>
          <w:kern w:val="2"/>
          <w:sz w:val="22"/>
          <w:szCs w:val="22"/>
          <w:lang w:val="es-ES" w:eastAsia="ar-SA"/>
        </w:rPr>
        <w:t>,</w:t>
      </w:r>
      <w:r w:rsidR="00BA7D20" w:rsidRPr="00A1405F">
        <w:rPr>
          <w:rFonts w:ascii="ITC Avant Garde" w:hAnsi="ITC Avant Garde"/>
          <w:kern w:val="2"/>
          <w:sz w:val="22"/>
          <w:szCs w:val="22"/>
          <w:lang w:val="es-ES" w:eastAsia="ar-SA"/>
        </w:rPr>
        <w:t xml:space="preserve"> </w:t>
      </w:r>
      <w:r w:rsidR="00494464" w:rsidRPr="00A1405F">
        <w:rPr>
          <w:rFonts w:ascii="ITC Avant Garde" w:hAnsi="ITC Avant Garde"/>
          <w:kern w:val="2"/>
          <w:sz w:val="22"/>
          <w:szCs w:val="22"/>
          <w:lang w:val="es-ES" w:eastAsia="ar-SA"/>
        </w:rPr>
        <w:t>54</w:t>
      </w:r>
      <w:r w:rsidR="006864AF" w:rsidRPr="00A1405F">
        <w:rPr>
          <w:rFonts w:ascii="ITC Avant Garde" w:hAnsi="ITC Avant Garde"/>
          <w:kern w:val="2"/>
          <w:sz w:val="22"/>
          <w:szCs w:val="22"/>
          <w:lang w:val="es-ES" w:eastAsia="ar-SA"/>
        </w:rPr>
        <w:t xml:space="preserve"> y 289</w:t>
      </w:r>
      <w:r w:rsidR="008D39C8" w:rsidRPr="00A1405F">
        <w:rPr>
          <w:rFonts w:ascii="ITC Avant Garde" w:hAnsi="ITC Avant Garde"/>
          <w:kern w:val="2"/>
          <w:sz w:val="22"/>
          <w:szCs w:val="22"/>
          <w:lang w:val="es-ES" w:eastAsia="ar-SA"/>
        </w:rPr>
        <w:t xml:space="preserve"> </w:t>
      </w:r>
      <w:r w:rsidRPr="00A1405F">
        <w:rPr>
          <w:rFonts w:ascii="ITC Avant Garde" w:hAnsi="ITC Avant Garde"/>
          <w:kern w:val="2"/>
          <w:sz w:val="22"/>
          <w:szCs w:val="22"/>
          <w:lang w:val="es-ES" w:eastAsia="ar-SA"/>
        </w:rPr>
        <w:t xml:space="preserve">de la </w:t>
      </w:r>
      <w:r w:rsidR="002367EE" w:rsidRPr="00A1405F">
        <w:rPr>
          <w:rFonts w:ascii="ITC Avant Garde" w:hAnsi="ITC Avant Garde"/>
          <w:kern w:val="2"/>
          <w:sz w:val="22"/>
          <w:szCs w:val="22"/>
          <w:lang w:val="es-ES" w:eastAsia="ar-SA"/>
        </w:rPr>
        <w:t>Ley Federal de Telecomunicaciones y Radiodifusión</w:t>
      </w:r>
      <w:r w:rsidR="003B1B1B" w:rsidRPr="00A1405F">
        <w:rPr>
          <w:rFonts w:ascii="ITC Avant Garde" w:hAnsi="ITC Avant Garde"/>
          <w:kern w:val="2"/>
          <w:sz w:val="22"/>
          <w:szCs w:val="22"/>
          <w:lang w:val="es-ES" w:eastAsia="ar-SA"/>
        </w:rPr>
        <w:t xml:space="preserve">, </w:t>
      </w:r>
      <w:r w:rsidR="00170158" w:rsidRPr="00A1405F">
        <w:rPr>
          <w:rFonts w:ascii="ITC Avant Garde" w:hAnsi="ITC Avant Garde" w:cs="Arial"/>
          <w:sz w:val="22"/>
          <w:szCs w:val="22"/>
        </w:rPr>
        <w:t xml:space="preserve">21, 22 fracción I y 23 del Estatuto Orgánico del Instituto, </w:t>
      </w:r>
      <w:r w:rsidRPr="00A1405F">
        <w:rPr>
          <w:rFonts w:ascii="ITC Avant Garde" w:hAnsi="ITC Avant Garde"/>
          <w:kern w:val="2"/>
          <w:sz w:val="22"/>
          <w:szCs w:val="22"/>
          <w:lang w:val="es-ES" w:eastAsia="ar-SA"/>
        </w:rPr>
        <w:t>el Pleno del Instituto</w:t>
      </w:r>
      <w:r w:rsidR="002367EE" w:rsidRPr="00A1405F">
        <w:rPr>
          <w:rFonts w:ascii="ITC Avant Garde" w:hAnsi="ITC Avant Garde"/>
          <w:kern w:val="2"/>
          <w:sz w:val="22"/>
          <w:szCs w:val="22"/>
          <w:lang w:val="es-ES" w:eastAsia="ar-SA"/>
        </w:rPr>
        <w:t xml:space="preserve"> Federal de Telecomunicaciones</w:t>
      </w:r>
      <w:r w:rsidRPr="00A1405F">
        <w:rPr>
          <w:rFonts w:ascii="ITC Avant Garde" w:hAnsi="ITC Avant Garde"/>
          <w:kern w:val="2"/>
          <w:sz w:val="22"/>
          <w:szCs w:val="22"/>
          <w:lang w:val="es-ES" w:eastAsia="ar-SA"/>
        </w:rPr>
        <w:t xml:space="preserve"> emite el siguiente:</w:t>
      </w:r>
    </w:p>
    <w:p w14:paraId="4C1EA97F" w14:textId="77777777" w:rsidR="001211C1" w:rsidRPr="00A1405F" w:rsidRDefault="001211C1" w:rsidP="00A1405F">
      <w:pPr>
        <w:spacing w:line="276" w:lineRule="auto"/>
        <w:jc w:val="both"/>
        <w:rPr>
          <w:rFonts w:ascii="ITC Avant Garde" w:hAnsi="ITC Avant Garde"/>
          <w:kern w:val="2"/>
          <w:sz w:val="22"/>
          <w:szCs w:val="22"/>
          <w:lang w:val="es-ES" w:eastAsia="ar-SA"/>
        </w:rPr>
      </w:pPr>
    </w:p>
    <w:p w14:paraId="4F595237" w14:textId="77777777" w:rsidR="001211C1" w:rsidRPr="00A1405F" w:rsidRDefault="001211C1" w:rsidP="00A1405F">
      <w:pPr>
        <w:spacing w:line="276" w:lineRule="auto"/>
        <w:jc w:val="both"/>
        <w:rPr>
          <w:rFonts w:ascii="ITC Avant Garde" w:hAnsi="ITC Avant Garde"/>
          <w:kern w:val="2"/>
          <w:sz w:val="22"/>
          <w:szCs w:val="22"/>
          <w:lang w:val="es-ES" w:eastAsia="ar-SA"/>
        </w:rPr>
      </w:pPr>
    </w:p>
    <w:p w14:paraId="30B3E318" w14:textId="77777777" w:rsidR="00AD55DE" w:rsidRPr="00A1405F" w:rsidRDefault="004475AB" w:rsidP="00A1405F">
      <w:pPr>
        <w:pStyle w:val="ANOTACION"/>
        <w:spacing w:after="0" w:line="276" w:lineRule="auto"/>
        <w:rPr>
          <w:rFonts w:ascii="ITC Avant Garde" w:hAnsi="ITC Avant Garde" w:cs="Arial"/>
          <w:sz w:val="22"/>
          <w:szCs w:val="22"/>
          <w:lang w:val="es-MX"/>
        </w:rPr>
      </w:pPr>
      <w:r w:rsidRPr="00A1405F">
        <w:rPr>
          <w:rFonts w:ascii="ITC Avant Garde" w:hAnsi="ITC Avant Garde" w:cs="Arial"/>
          <w:sz w:val="22"/>
          <w:szCs w:val="22"/>
          <w:lang w:val="es-MX"/>
        </w:rPr>
        <w:t>ACUERDO</w:t>
      </w:r>
    </w:p>
    <w:p w14:paraId="001BE4C4" w14:textId="77777777" w:rsidR="00AD55DE" w:rsidRPr="00A1405F" w:rsidRDefault="00AD55DE" w:rsidP="00A1405F">
      <w:pPr>
        <w:pStyle w:val="Texto"/>
        <w:spacing w:after="0" w:line="276" w:lineRule="auto"/>
        <w:ind w:firstLine="0"/>
        <w:rPr>
          <w:rFonts w:ascii="ITC Avant Garde" w:hAnsi="ITC Avant Garde"/>
          <w:sz w:val="22"/>
          <w:szCs w:val="22"/>
        </w:rPr>
      </w:pPr>
    </w:p>
    <w:p w14:paraId="4923ECE6" w14:textId="77777777" w:rsidR="001211C1" w:rsidRPr="00A1405F" w:rsidRDefault="001211C1" w:rsidP="00A1405F">
      <w:pPr>
        <w:pStyle w:val="Texto"/>
        <w:spacing w:after="0" w:line="276" w:lineRule="auto"/>
        <w:ind w:firstLine="0"/>
        <w:rPr>
          <w:rFonts w:ascii="ITC Avant Garde" w:hAnsi="ITC Avant Garde"/>
          <w:sz w:val="22"/>
          <w:szCs w:val="22"/>
        </w:rPr>
      </w:pPr>
    </w:p>
    <w:p w14:paraId="02440827" w14:textId="2B942F45" w:rsidR="002367EE" w:rsidRPr="00A1405F" w:rsidRDefault="00AD55DE" w:rsidP="00A1405F">
      <w:pPr>
        <w:tabs>
          <w:tab w:val="left" w:pos="720"/>
          <w:tab w:val="left" w:pos="1134"/>
        </w:tabs>
        <w:spacing w:line="276" w:lineRule="auto"/>
        <w:jc w:val="both"/>
        <w:rPr>
          <w:rFonts w:ascii="ITC Avant Garde" w:hAnsi="ITC Avant Garde" w:cs="Tahoma"/>
          <w:b/>
          <w:bCs/>
          <w:color w:val="000000"/>
          <w:sz w:val="22"/>
          <w:szCs w:val="22"/>
          <w:lang w:eastAsia="es-MX"/>
        </w:rPr>
      </w:pPr>
      <w:r w:rsidRPr="00A1405F">
        <w:rPr>
          <w:rFonts w:ascii="ITC Avant Garde" w:hAnsi="ITC Avant Garde"/>
          <w:b/>
          <w:sz w:val="22"/>
          <w:szCs w:val="22"/>
        </w:rPr>
        <w:t>PRIMERO</w:t>
      </w:r>
      <w:r w:rsidRPr="00A1405F">
        <w:rPr>
          <w:rFonts w:ascii="ITC Avant Garde" w:hAnsi="ITC Avant Garde"/>
          <w:sz w:val="22"/>
          <w:szCs w:val="22"/>
        </w:rPr>
        <w:t xml:space="preserve">.- Se </w:t>
      </w:r>
      <w:r w:rsidR="006909B8" w:rsidRPr="00A1405F">
        <w:rPr>
          <w:rFonts w:ascii="ITC Avant Garde" w:hAnsi="ITC Avant Garde"/>
          <w:sz w:val="22"/>
          <w:szCs w:val="22"/>
        </w:rPr>
        <w:t xml:space="preserve">determina </w:t>
      </w:r>
      <w:r w:rsidR="00FD0F65" w:rsidRPr="00A1405F">
        <w:rPr>
          <w:rFonts w:ascii="ITC Avant Garde" w:hAnsi="ITC Avant Garde"/>
          <w:sz w:val="22"/>
          <w:szCs w:val="22"/>
        </w:rPr>
        <w:t xml:space="preserve">someter a consulta </w:t>
      </w:r>
      <w:r w:rsidR="001E7E83" w:rsidRPr="00A1405F">
        <w:rPr>
          <w:rFonts w:ascii="ITC Avant Garde" w:hAnsi="ITC Avant Garde"/>
          <w:sz w:val="22"/>
          <w:szCs w:val="22"/>
        </w:rPr>
        <w:t>pública el</w:t>
      </w:r>
      <w:r w:rsidR="00FD0F65" w:rsidRPr="00A1405F">
        <w:rPr>
          <w:rFonts w:ascii="ITC Avant Garde" w:hAnsi="ITC Avant Garde"/>
          <w:sz w:val="22"/>
          <w:szCs w:val="22"/>
        </w:rPr>
        <w:t xml:space="preserve"> </w:t>
      </w:r>
      <w:r w:rsidR="006909B8" w:rsidRPr="00A1405F">
        <w:rPr>
          <w:rFonts w:ascii="ITC Avant Garde" w:hAnsi="ITC Avant Garde"/>
          <w:sz w:val="22"/>
          <w:szCs w:val="22"/>
        </w:rPr>
        <w:t>“</w:t>
      </w:r>
      <w:r w:rsidR="005F051C" w:rsidRPr="00A1405F">
        <w:rPr>
          <w:rFonts w:ascii="ITC Avant Garde" w:hAnsi="ITC Avant Garde"/>
          <w:sz w:val="22"/>
          <w:szCs w:val="22"/>
        </w:rPr>
        <w:t xml:space="preserve">Anteproyecto </w:t>
      </w:r>
      <w:r w:rsidR="008D39C8" w:rsidRPr="00A1405F">
        <w:rPr>
          <w:rFonts w:ascii="ITC Avant Garde" w:hAnsi="ITC Avant Garde"/>
          <w:sz w:val="22"/>
          <w:szCs w:val="22"/>
        </w:rPr>
        <w:t xml:space="preserve">DISPOSICIÓN TÉCNICA IFT-012-2016: </w:t>
      </w:r>
      <w:r w:rsidR="00494464" w:rsidRPr="00A1405F">
        <w:rPr>
          <w:rFonts w:ascii="ITC Avant Garde" w:hAnsi="ITC Avant Garde"/>
          <w:sz w:val="22"/>
          <w:szCs w:val="22"/>
        </w:rPr>
        <w:t xml:space="preserve">ESPECIFICACIONES TÉCNICAS PARA EL CUMPLIMIENTO DE LOS LÍMITES MÁXIMOS DE RADIACIONES NO IONIZANTES DE LOS PRODUCTOS, EQUIPOS, DISPOSITIVOS O APARATOS DESTINADOS A TELECOMUNICACIONES QUE PUEDEN SER CONECTADOS A UNA RED DE TELECOMUNICACIONES </w:t>
      </w:r>
      <w:r w:rsidR="00E05835" w:rsidRPr="00A1405F">
        <w:rPr>
          <w:rFonts w:ascii="ITC Avant Garde" w:hAnsi="ITC Avant Garde"/>
          <w:sz w:val="22"/>
          <w:szCs w:val="22"/>
        </w:rPr>
        <w:t>Y/</w:t>
      </w:r>
      <w:r w:rsidR="00494464" w:rsidRPr="00A1405F">
        <w:rPr>
          <w:rFonts w:ascii="ITC Avant Garde" w:hAnsi="ITC Avant Garde"/>
          <w:sz w:val="22"/>
          <w:szCs w:val="22"/>
        </w:rPr>
        <w:t>O HACER USO DEL ESPECTRO RADIOELÉCTRICO. ÍNDICE DE ABSORCIÓN ESPECÍFICA (SAR)</w:t>
      </w:r>
      <w:r w:rsidR="008D39C8" w:rsidRPr="00A1405F">
        <w:rPr>
          <w:rFonts w:ascii="ITC Avant Garde" w:hAnsi="ITC Avant Garde"/>
          <w:sz w:val="22"/>
          <w:szCs w:val="22"/>
        </w:rPr>
        <w:t>.</w:t>
      </w:r>
      <w:r w:rsidR="00C05ABA" w:rsidRPr="00A1405F">
        <w:rPr>
          <w:rFonts w:ascii="ITC Avant Garde" w:hAnsi="ITC Avant Garde" w:cs="Tahoma"/>
          <w:bCs/>
          <w:color w:val="000000"/>
          <w:sz w:val="22"/>
          <w:szCs w:val="22"/>
          <w:lang w:eastAsia="es-MX"/>
        </w:rPr>
        <w:t>”,</w:t>
      </w:r>
      <w:r w:rsidR="00C05ABA" w:rsidRPr="00A1405F">
        <w:rPr>
          <w:rFonts w:ascii="ITC Avant Garde" w:hAnsi="ITC Avant Garde" w:cs="Tahoma"/>
          <w:b/>
          <w:bCs/>
          <w:color w:val="000000"/>
          <w:sz w:val="22"/>
          <w:szCs w:val="22"/>
          <w:lang w:eastAsia="es-MX"/>
        </w:rPr>
        <w:t xml:space="preserve"> </w:t>
      </w:r>
      <w:r w:rsidR="002367EE" w:rsidRPr="00A1405F">
        <w:rPr>
          <w:rFonts w:ascii="ITC Avant Garde" w:hAnsi="ITC Avant Garde"/>
          <w:sz w:val="22"/>
          <w:szCs w:val="22"/>
        </w:rPr>
        <w:t xml:space="preserve">mismo que se encuentra como Anexo Único del presente Acuerdo. Dicha consulta pública se realizará durante </w:t>
      </w:r>
      <w:r w:rsidR="00573220" w:rsidRPr="00A1405F">
        <w:rPr>
          <w:rFonts w:ascii="ITC Avant Garde" w:hAnsi="ITC Avant Garde"/>
          <w:sz w:val="22"/>
          <w:szCs w:val="22"/>
        </w:rPr>
        <w:t xml:space="preserve">cuarenta </w:t>
      </w:r>
      <w:r w:rsidR="002367EE" w:rsidRPr="00A1405F">
        <w:rPr>
          <w:rFonts w:ascii="ITC Avant Garde" w:hAnsi="ITC Avant Garde"/>
          <w:sz w:val="22"/>
          <w:szCs w:val="22"/>
        </w:rPr>
        <w:t>días hábiles, contados a partir de su publicación en el portal de Internet del Instituto Federal de Telecomunicaciones.</w:t>
      </w:r>
      <w:r w:rsidR="002367EE" w:rsidRPr="00A1405F" w:rsidDel="009026F6">
        <w:rPr>
          <w:rFonts w:ascii="ITC Avant Garde" w:hAnsi="ITC Avant Garde"/>
          <w:sz w:val="22"/>
          <w:szCs w:val="22"/>
        </w:rPr>
        <w:t xml:space="preserve"> </w:t>
      </w:r>
    </w:p>
    <w:p w14:paraId="06F984CE" w14:textId="77777777" w:rsidR="00AD55DE" w:rsidRPr="00A1405F" w:rsidRDefault="00AD55DE" w:rsidP="00A1405F">
      <w:pPr>
        <w:pStyle w:val="Texto"/>
        <w:spacing w:after="0" w:line="276" w:lineRule="auto"/>
        <w:ind w:firstLine="0"/>
        <w:rPr>
          <w:rFonts w:ascii="ITC Avant Garde" w:hAnsi="ITC Avant Garde"/>
          <w:sz w:val="22"/>
          <w:szCs w:val="22"/>
        </w:rPr>
      </w:pPr>
    </w:p>
    <w:p w14:paraId="2D689500" w14:textId="77777777" w:rsidR="001211C1" w:rsidRPr="00A1405F" w:rsidRDefault="001211C1" w:rsidP="00A1405F">
      <w:pPr>
        <w:pStyle w:val="Texto"/>
        <w:spacing w:after="0" w:line="276" w:lineRule="auto"/>
        <w:ind w:firstLine="0"/>
        <w:rPr>
          <w:rFonts w:ascii="ITC Avant Garde" w:hAnsi="ITC Avant Garde"/>
          <w:sz w:val="22"/>
          <w:szCs w:val="22"/>
        </w:rPr>
      </w:pPr>
    </w:p>
    <w:p w14:paraId="2028FA62" w14:textId="77777777" w:rsidR="00F51400" w:rsidRPr="00A1405F" w:rsidRDefault="00A84A8A" w:rsidP="00A1405F">
      <w:pPr>
        <w:autoSpaceDE w:val="0"/>
        <w:autoSpaceDN w:val="0"/>
        <w:adjustRightInd w:val="0"/>
        <w:spacing w:line="276" w:lineRule="auto"/>
        <w:jc w:val="both"/>
        <w:rPr>
          <w:rFonts w:ascii="ITC Avant Garde" w:hAnsi="ITC Avant Garde" w:cs="Arial"/>
          <w:sz w:val="22"/>
          <w:szCs w:val="22"/>
        </w:rPr>
      </w:pPr>
      <w:r w:rsidRPr="00A1405F">
        <w:rPr>
          <w:rFonts w:ascii="ITC Avant Garde" w:hAnsi="ITC Avant Garde" w:cs="Arial"/>
          <w:b/>
          <w:sz w:val="22"/>
          <w:szCs w:val="22"/>
        </w:rPr>
        <w:t>SEGUNDO</w:t>
      </w:r>
      <w:r w:rsidR="00AD55DE" w:rsidRPr="00A1405F">
        <w:rPr>
          <w:rFonts w:ascii="ITC Avant Garde" w:hAnsi="ITC Avant Garde" w:cs="Arial"/>
          <w:sz w:val="22"/>
          <w:szCs w:val="22"/>
        </w:rPr>
        <w:t xml:space="preserve">.- </w:t>
      </w:r>
      <w:r w:rsidR="00F51400" w:rsidRPr="00A1405F">
        <w:rPr>
          <w:rFonts w:ascii="ITC Avant Garde" w:hAnsi="ITC Avant Garde" w:cs="Arial"/>
          <w:sz w:val="22"/>
          <w:szCs w:val="22"/>
        </w:rPr>
        <w:t xml:space="preserve">Se instruye a la Unidad de Política Regulatoria, por conducto de la Dirección General de Regulación </w:t>
      </w:r>
      <w:r w:rsidR="00EF3852" w:rsidRPr="00A1405F">
        <w:rPr>
          <w:rFonts w:ascii="ITC Avant Garde" w:hAnsi="ITC Avant Garde" w:cs="Arial"/>
          <w:sz w:val="22"/>
          <w:szCs w:val="22"/>
        </w:rPr>
        <w:t>Técnica,</w:t>
      </w:r>
      <w:r w:rsidR="00EB228E" w:rsidRPr="00A1405F">
        <w:rPr>
          <w:rFonts w:ascii="ITC Avant Garde" w:hAnsi="ITC Avant Garde" w:cs="Arial"/>
          <w:sz w:val="22"/>
          <w:szCs w:val="22"/>
        </w:rPr>
        <w:t xml:space="preserve"> </w:t>
      </w:r>
      <w:r w:rsidR="00EF3852" w:rsidRPr="00A1405F">
        <w:rPr>
          <w:rFonts w:ascii="ITC Avant Garde" w:hAnsi="ITC Avant Garde" w:cs="Arial"/>
          <w:sz w:val="22"/>
          <w:szCs w:val="22"/>
        </w:rPr>
        <w:t>en su calidad de área proponente, ejecute la con</w:t>
      </w:r>
      <w:r w:rsidR="00F529BA" w:rsidRPr="00A1405F">
        <w:rPr>
          <w:rFonts w:ascii="ITC Avant Garde" w:hAnsi="ITC Avant Garde" w:cs="Arial"/>
          <w:sz w:val="22"/>
          <w:szCs w:val="22"/>
        </w:rPr>
        <w:t>s</w:t>
      </w:r>
      <w:r w:rsidR="00EF3852" w:rsidRPr="00A1405F">
        <w:rPr>
          <w:rFonts w:ascii="ITC Avant Garde" w:hAnsi="ITC Avant Garde" w:cs="Arial"/>
          <w:sz w:val="22"/>
          <w:szCs w:val="22"/>
        </w:rPr>
        <w:t>ulta pública materia del presente Acuerdo, incluyendo</w:t>
      </w:r>
      <w:r w:rsidR="00F51400" w:rsidRPr="00A1405F">
        <w:rPr>
          <w:rFonts w:ascii="ITC Avant Garde" w:hAnsi="ITC Avant Garde" w:cs="Arial"/>
          <w:sz w:val="22"/>
          <w:szCs w:val="22"/>
        </w:rPr>
        <w:t xml:space="preserve"> </w:t>
      </w:r>
      <w:r w:rsidR="00EF3852" w:rsidRPr="00A1405F">
        <w:rPr>
          <w:rFonts w:ascii="ITC Avant Garde" w:hAnsi="ITC Avant Garde" w:cs="Arial"/>
          <w:sz w:val="22"/>
          <w:szCs w:val="22"/>
        </w:rPr>
        <w:t>l</w:t>
      </w:r>
      <w:r w:rsidR="00F51400" w:rsidRPr="00A1405F">
        <w:rPr>
          <w:rFonts w:ascii="ITC Avant Garde" w:hAnsi="ITC Avant Garde" w:cs="Arial"/>
          <w:sz w:val="22"/>
          <w:szCs w:val="22"/>
        </w:rPr>
        <w:t>a rec</w:t>
      </w:r>
      <w:r w:rsidR="00EF3852" w:rsidRPr="00A1405F">
        <w:rPr>
          <w:rFonts w:ascii="ITC Avant Garde" w:hAnsi="ITC Avant Garde" w:cs="Arial"/>
          <w:sz w:val="22"/>
          <w:szCs w:val="22"/>
        </w:rPr>
        <w:t>epción</w:t>
      </w:r>
      <w:r w:rsidR="00F51400" w:rsidRPr="00A1405F">
        <w:rPr>
          <w:rFonts w:ascii="ITC Avant Garde" w:hAnsi="ITC Avant Garde" w:cs="Arial"/>
          <w:sz w:val="22"/>
          <w:szCs w:val="22"/>
        </w:rPr>
        <w:t xml:space="preserve"> y</w:t>
      </w:r>
      <w:r w:rsidR="00EF3852" w:rsidRPr="00A1405F">
        <w:rPr>
          <w:rFonts w:ascii="ITC Avant Garde" w:hAnsi="ITC Avant Garde" w:cs="Arial"/>
          <w:sz w:val="22"/>
          <w:szCs w:val="22"/>
        </w:rPr>
        <w:t xml:space="preserve"> </w:t>
      </w:r>
      <w:r w:rsidR="00F51400" w:rsidRPr="00A1405F">
        <w:rPr>
          <w:rFonts w:ascii="ITC Avant Garde" w:hAnsi="ITC Avant Garde" w:cs="Arial"/>
          <w:sz w:val="22"/>
          <w:szCs w:val="22"/>
        </w:rPr>
        <w:t>la atención que corresponda a las opiniones que sean vertidas de la consulta pública materia del presente Acuerdo.</w:t>
      </w:r>
    </w:p>
    <w:p w14:paraId="5F1A4094" w14:textId="77777777" w:rsidR="00F51400" w:rsidRPr="00A1405F" w:rsidRDefault="00F51400" w:rsidP="00A1405F">
      <w:pPr>
        <w:autoSpaceDE w:val="0"/>
        <w:autoSpaceDN w:val="0"/>
        <w:adjustRightInd w:val="0"/>
        <w:spacing w:line="276" w:lineRule="auto"/>
        <w:jc w:val="both"/>
        <w:rPr>
          <w:rFonts w:ascii="ITC Avant Garde" w:hAnsi="ITC Avant Garde" w:cs="Arial"/>
          <w:sz w:val="22"/>
          <w:szCs w:val="22"/>
        </w:rPr>
      </w:pPr>
    </w:p>
    <w:p w14:paraId="77BC7BC1" w14:textId="77777777" w:rsidR="00AD55DE" w:rsidRPr="00A1405F" w:rsidRDefault="00F51400" w:rsidP="00A1405F">
      <w:pPr>
        <w:autoSpaceDE w:val="0"/>
        <w:autoSpaceDN w:val="0"/>
        <w:adjustRightInd w:val="0"/>
        <w:spacing w:line="276" w:lineRule="auto"/>
        <w:jc w:val="both"/>
        <w:rPr>
          <w:rFonts w:ascii="ITC Avant Garde" w:hAnsi="ITC Avant Garde" w:cs="Arial"/>
          <w:sz w:val="22"/>
          <w:szCs w:val="22"/>
        </w:rPr>
      </w:pPr>
      <w:r w:rsidRPr="00A1405F">
        <w:rPr>
          <w:rFonts w:ascii="ITC Avant Garde" w:hAnsi="ITC Avant Garde" w:cs="Arial"/>
          <w:b/>
          <w:sz w:val="22"/>
          <w:szCs w:val="22"/>
        </w:rPr>
        <w:t xml:space="preserve">TERCERO.- </w:t>
      </w:r>
      <w:r w:rsidR="00AD55DE" w:rsidRPr="00A1405F">
        <w:rPr>
          <w:rFonts w:ascii="ITC Avant Garde" w:hAnsi="ITC Avant Garde" w:cs="Arial"/>
          <w:sz w:val="22"/>
          <w:szCs w:val="22"/>
        </w:rPr>
        <w:t xml:space="preserve">Publíquese </w:t>
      </w:r>
      <w:r w:rsidR="002367EE" w:rsidRPr="00A1405F">
        <w:rPr>
          <w:rFonts w:ascii="ITC Avant Garde" w:hAnsi="ITC Avant Garde" w:cs="Arial"/>
          <w:sz w:val="22"/>
          <w:szCs w:val="22"/>
        </w:rPr>
        <w:t xml:space="preserve">en la página de Internet </w:t>
      </w:r>
      <w:r w:rsidRPr="00A1405F">
        <w:rPr>
          <w:rFonts w:ascii="ITC Avant Garde" w:hAnsi="ITC Avant Garde" w:cs="Arial"/>
          <w:sz w:val="22"/>
          <w:szCs w:val="22"/>
        </w:rPr>
        <w:t>del Instituto Federal de Telecomunicaciones.</w:t>
      </w:r>
    </w:p>
    <w:p w14:paraId="14E48C2F" w14:textId="77777777" w:rsidR="002517B0" w:rsidRPr="00A1405F" w:rsidRDefault="002517B0" w:rsidP="00A1405F">
      <w:pPr>
        <w:spacing w:line="276" w:lineRule="auto"/>
        <w:rPr>
          <w:rFonts w:ascii="ITC Avant Garde" w:hAnsi="ITC Avant Garde"/>
          <w:sz w:val="22"/>
          <w:szCs w:val="22"/>
        </w:rPr>
      </w:pPr>
    </w:p>
    <w:p w14:paraId="1EE29E4C" w14:textId="77777777" w:rsidR="001211C1" w:rsidRDefault="001211C1" w:rsidP="00A1405F">
      <w:pPr>
        <w:spacing w:line="276" w:lineRule="auto"/>
        <w:rPr>
          <w:rFonts w:ascii="ITC Avant Garde" w:hAnsi="ITC Avant Garde"/>
          <w:sz w:val="22"/>
          <w:szCs w:val="22"/>
        </w:rPr>
      </w:pPr>
    </w:p>
    <w:p w14:paraId="6C0C5CB3" w14:textId="77777777" w:rsidR="00A1405F" w:rsidRDefault="00A1405F" w:rsidP="00A1405F">
      <w:pPr>
        <w:spacing w:line="276" w:lineRule="auto"/>
        <w:rPr>
          <w:rFonts w:ascii="ITC Avant Garde" w:hAnsi="ITC Avant Garde"/>
          <w:sz w:val="22"/>
          <w:szCs w:val="22"/>
        </w:rPr>
      </w:pPr>
    </w:p>
    <w:p w14:paraId="314D2EBF" w14:textId="77777777" w:rsidR="00A1405F" w:rsidRDefault="00A1405F" w:rsidP="00A1405F">
      <w:pPr>
        <w:spacing w:line="276" w:lineRule="auto"/>
        <w:rPr>
          <w:rFonts w:ascii="ITC Avant Garde" w:hAnsi="ITC Avant Garde"/>
          <w:sz w:val="22"/>
          <w:szCs w:val="22"/>
        </w:rPr>
      </w:pPr>
    </w:p>
    <w:p w14:paraId="790728A1" w14:textId="77777777" w:rsidR="00A1405F" w:rsidRDefault="00A1405F" w:rsidP="00A1405F">
      <w:pPr>
        <w:spacing w:line="276" w:lineRule="auto"/>
        <w:rPr>
          <w:rFonts w:ascii="ITC Avant Garde" w:hAnsi="ITC Avant Garde"/>
          <w:sz w:val="22"/>
          <w:szCs w:val="22"/>
        </w:rPr>
      </w:pPr>
    </w:p>
    <w:p w14:paraId="22AEA120" w14:textId="77777777" w:rsidR="00A1405F" w:rsidRPr="00A1405F" w:rsidRDefault="00A1405F" w:rsidP="00A1405F">
      <w:pPr>
        <w:spacing w:line="276" w:lineRule="auto"/>
        <w:rPr>
          <w:rFonts w:ascii="ITC Avant Garde" w:hAnsi="ITC Avant Garde"/>
          <w:sz w:val="22"/>
          <w:szCs w:val="22"/>
        </w:rPr>
      </w:pPr>
    </w:p>
    <w:p w14:paraId="76DF9E6D" w14:textId="77777777" w:rsidR="00F529BA" w:rsidRPr="00A1405F" w:rsidRDefault="00F529BA" w:rsidP="00A1405F">
      <w:pPr>
        <w:spacing w:line="276" w:lineRule="auto"/>
        <w:rPr>
          <w:rFonts w:ascii="ITC Avant Garde" w:hAnsi="ITC Avant Garde"/>
          <w:sz w:val="22"/>
          <w:szCs w:val="22"/>
        </w:rPr>
      </w:pPr>
    </w:p>
    <w:p w14:paraId="7BCDAD1C" w14:textId="77777777" w:rsidR="001211C1" w:rsidRPr="00A1405F" w:rsidRDefault="001211C1" w:rsidP="00A1405F">
      <w:pPr>
        <w:jc w:val="center"/>
        <w:rPr>
          <w:rFonts w:ascii="ITC Avant Garde" w:eastAsia="Calibri" w:hAnsi="ITC Avant Garde" w:cs="Arial"/>
          <w:b/>
          <w:bCs/>
          <w:sz w:val="22"/>
          <w:szCs w:val="22"/>
          <w:lang w:eastAsia="en-US"/>
        </w:rPr>
      </w:pPr>
      <w:r w:rsidRPr="00A1405F">
        <w:rPr>
          <w:rFonts w:ascii="ITC Avant Garde" w:eastAsia="Calibri" w:hAnsi="ITC Avant Garde" w:cs="Arial"/>
          <w:b/>
          <w:bCs/>
          <w:sz w:val="22"/>
          <w:szCs w:val="22"/>
          <w:lang w:eastAsia="en-US"/>
        </w:rPr>
        <w:t>Gabriel Oswaldo Contreras Saldívar</w:t>
      </w:r>
    </w:p>
    <w:p w14:paraId="1C771292" w14:textId="77777777" w:rsidR="001211C1" w:rsidRPr="00A1405F" w:rsidRDefault="001211C1" w:rsidP="00A1405F">
      <w:pPr>
        <w:jc w:val="center"/>
        <w:rPr>
          <w:rFonts w:ascii="ITC Avant Garde" w:eastAsia="Calibri" w:hAnsi="ITC Avant Garde" w:cs="Arial"/>
          <w:b/>
          <w:bCs/>
          <w:sz w:val="22"/>
          <w:szCs w:val="22"/>
          <w:lang w:eastAsia="en-US"/>
        </w:rPr>
      </w:pPr>
      <w:r w:rsidRPr="00A1405F">
        <w:rPr>
          <w:rFonts w:ascii="ITC Avant Garde" w:eastAsia="Calibri" w:hAnsi="ITC Avant Garde" w:cs="Arial"/>
          <w:b/>
          <w:bCs/>
          <w:sz w:val="22"/>
          <w:szCs w:val="22"/>
          <w:lang w:eastAsia="en-US"/>
        </w:rPr>
        <w:t>Comisionado Presidente</w:t>
      </w:r>
    </w:p>
    <w:p w14:paraId="1F102735" w14:textId="77777777" w:rsidR="001211C1" w:rsidRPr="00A1405F" w:rsidRDefault="001211C1" w:rsidP="00A1405F">
      <w:pPr>
        <w:jc w:val="center"/>
        <w:rPr>
          <w:rFonts w:ascii="ITC Avant Garde" w:eastAsia="Calibri" w:hAnsi="ITC Avant Garde" w:cs="Arial"/>
          <w:b/>
          <w:bCs/>
          <w:sz w:val="22"/>
          <w:szCs w:val="22"/>
          <w:lang w:eastAsia="en-US"/>
        </w:rPr>
      </w:pPr>
    </w:p>
    <w:p w14:paraId="49BCF09F" w14:textId="77777777" w:rsidR="001211C1" w:rsidRPr="00A1405F" w:rsidRDefault="001211C1" w:rsidP="00A1405F">
      <w:pPr>
        <w:jc w:val="center"/>
        <w:rPr>
          <w:rFonts w:ascii="ITC Avant Garde" w:eastAsia="Calibri" w:hAnsi="ITC Avant Garde" w:cs="Arial"/>
          <w:b/>
          <w:bCs/>
          <w:sz w:val="22"/>
          <w:szCs w:val="22"/>
          <w:lang w:eastAsia="en-US"/>
        </w:rPr>
      </w:pPr>
    </w:p>
    <w:p w14:paraId="7067F1D4" w14:textId="77777777" w:rsidR="001211C1" w:rsidRDefault="001211C1" w:rsidP="00A1405F">
      <w:pPr>
        <w:jc w:val="center"/>
        <w:rPr>
          <w:rFonts w:ascii="ITC Avant Garde" w:eastAsia="Calibri" w:hAnsi="ITC Avant Garde" w:cs="Arial"/>
          <w:b/>
          <w:bCs/>
          <w:sz w:val="22"/>
          <w:szCs w:val="22"/>
          <w:lang w:eastAsia="en-US"/>
        </w:rPr>
      </w:pPr>
    </w:p>
    <w:p w14:paraId="5327660E" w14:textId="77777777" w:rsidR="00A1405F" w:rsidRPr="00A1405F" w:rsidRDefault="00A1405F" w:rsidP="00A1405F">
      <w:pPr>
        <w:jc w:val="center"/>
        <w:rPr>
          <w:rFonts w:ascii="ITC Avant Garde" w:eastAsia="Calibri" w:hAnsi="ITC Avant Garde" w:cs="Arial"/>
          <w:b/>
          <w:bCs/>
          <w:sz w:val="22"/>
          <w:szCs w:val="22"/>
          <w:lang w:eastAsia="en-US"/>
        </w:rPr>
      </w:pPr>
    </w:p>
    <w:p w14:paraId="5EB54BB3" w14:textId="77777777" w:rsidR="001211C1" w:rsidRPr="00A1405F" w:rsidRDefault="001211C1" w:rsidP="00A1405F">
      <w:pPr>
        <w:jc w:val="center"/>
        <w:rPr>
          <w:rFonts w:ascii="ITC Avant Garde" w:eastAsia="Calibri" w:hAnsi="ITC Avant Garde" w:cs="Arial"/>
          <w:b/>
          <w:bCs/>
          <w:sz w:val="22"/>
          <w:szCs w:val="22"/>
          <w:lang w:eastAsia="en-US"/>
        </w:rPr>
      </w:pPr>
    </w:p>
    <w:tbl>
      <w:tblPr>
        <w:tblW w:w="4849" w:type="pct"/>
        <w:tblInd w:w="142" w:type="dxa"/>
        <w:tblCellMar>
          <w:left w:w="70" w:type="dxa"/>
          <w:right w:w="70" w:type="dxa"/>
        </w:tblCellMar>
        <w:tblLook w:val="04A0" w:firstRow="1" w:lastRow="0" w:firstColumn="1" w:lastColumn="0" w:noHBand="0" w:noVBand="1"/>
      </w:tblPr>
      <w:tblGrid>
        <w:gridCol w:w="3819"/>
        <w:gridCol w:w="300"/>
        <w:gridCol w:w="4456"/>
      </w:tblGrid>
      <w:tr w:rsidR="001211C1" w:rsidRPr="00A1405F" w14:paraId="6EF9461D" w14:textId="77777777" w:rsidTr="00FE29EA">
        <w:trPr>
          <w:trHeight w:val="1355"/>
        </w:trPr>
        <w:tc>
          <w:tcPr>
            <w:tcW w:w="2227" w:type="pct"/>
            <w:hideMark/>
          </w:tcPr>
          <w:p w14:paraId="6C25EB44" w14:textId="77777777" w:rsidR="001211C1" w:rsidRPr="00A1405F" w:rsidRDefault="001211C1" w:rsidP="00A1405F">
            <w:pPr>
              <w:jc w:val="center"/>
              <w:rPr>
                <w:rFonts w:ascii="ITC Avant Garde" w:eastAsia="Calibri" w:hAnsi="ITC Avant Garde" w:cs="Arial"/>
                <w:b/>
                <w:bCs/>
                <w:sz w:val="22"/>
                <w:szCs w:val="22"/>
                <w:lang w:eastAsia="en-US"/>
              </w:rPr>
            </w:pPr>
            <w:r w:rsidRPr="00A1405F">
              <w:rPr>
                <w:rFonts w:ascii="ITC Avant Garde" w:eastAsia="Calibri" w:hAnsi="ITC Avant Garde" w:cs="Arial"/>
                <w:b/>
                <w:bCs/>
                <w:sz w:val="22"/>
                <w:szCs w:val="22"/>
                <w:lang w:eastAsia="en-US"/>
              </w:rPr>
              <w:t>Ernesto Estrada González</w:t>
            </w:r>
          </w:p>
          <w:p w14:paraId="05BF765C" w14:textId="77777777" w:rsidR="001211C1" w:rsidRPr="00A1405F" w:rsidRDefault="001211C1" w:rsidP="00A1405F">
            <w:pPr>
              <w:jc w:val="center"/>
              <w:rPr>
                <w:rFonts w:ascii="ITC Avant Garde" w:eastAsia="Calibri" w:hAnsi="ITC Avant Garde" w:cs="Arial"/>
                <w:b/>
                <w:bCs/>
                <w:sz w:val="22"/>
                <w:szCs w:val="22"/>
                <w:lang w:eastAsia="en-US"/>
              </w:rPr>
            </w:pPr>
            <w:r w:rsidRPr="00A1405F">
              <w:rPr>
                <w:rFonts w:ascii="ITC Avant Garde" w:eastAsia="Calibri" w:hAnsi="ITC Avant Garde" w:cs="Arial"/>
                <w:b/>
                <w:bCs/>
                <w:sz w:val="22"/>
                <w:szCs w:val="22"/>
                <w:lang w:eastAsia="en-US"/>
              </w:rPr>
              <w:t>Comisionado</w:t>
            </w:r>
          </w:p>
        </w:tc>
        <w:tc>
          <w:tcPr>
            <w:tcW w:w="175" w:type="pct"/>
          </w:tcPr>
          <w:p w14:paraId="1D2C5535" w14:textId="77777777" w:rsidR="001211C1" w:rsidRPr="00A1405F" w:rsidRDefault="001211C1" w:rsidP="00A1405F">
            <w:pPr>
              <w:spacing w:before="200"/>
              <w:jc w:val="center"/>
              <w:rPr>
                <w:rFonts w:ascii="ITC Avant Garde" w:eastAsia="Calibri" w:hAnsi="ITC Avant Garde" w:cs="Arial"/>
                <w:b/>
                <w:bCs/>
                <w:sz w:val="22"/>
                <w:szCs w:val="22"/>
                <w:lang w:eastAsia="en-US"/>
              </w:rPr>
            </w:pPr>
          </w:p>
        </w:tc>
        <w:tc>
          <w:tcPr>
            <w:tcW w:w="2598" w:type="pct"/>
          </w:tcPr>
          <w:p w14:paraId="48CD850E" w14:textId="77777777" w:rsidR="001211C1" w:rsidRPr="00A1405F" w:rsidRDefault="001211C1" w:rsidP="00A1405F">
            <w:pPr>
              <w:jc w:val="center"/>
              <w:rPr>
                <w:rFonts w:ascii="ITC Avant Garde" w:eastAsia="Calibri" w:hAnsi="ITC Avant Garde" w:cs="Arial"/>
                <w:b/>
                <w:bCs/>
                <w:sz w:val="22"/>
                <w:szCs w:val="22"/>
                <w:lang w:eastAsia="en-US"/>
              </w:rPr>
            </w:pPr>
            <w:r w:rsidRPr="00A1405F">
              <w:rPr>
                <w:rFonts w:ascii="ITC Avant Garde" w:eastAsia="Calibri" w:hAnsi="ITC Avant Garde" w:cs="Arial"/>
                <w:b/>
                <w:bCs/>
                <w:sz w:val="22"/>
                <w:szCs w:val="22"/>
                <w:lang w:eastAsia="en-US"/>
              </w:rPr>
              <w:t>Adriana Sofía Labardini Inzunza</w:t>
            </w:r>
          </w:p>
          <w:p w14:paraId="0F7649C6" w14:textId="77777777" w:rsidR="001211C1" w:rsidRPr="00A1405F" w:rsidRDefault="001211C1" w:rsidP="00A1405F">
            <w:pPr>
              <w:jc w:val="center"/>
              <w:rPr>
                <w:rFonts w:ascii="ITC Avant Garde" w:eastAsia="Calibri" w:hAnsi="ITC Avant Garde" w:cs="Arial"/>
                <w:b/>
                <w:bCs/>
                <w:sz w:val="22"/>
                <w:szCs w:val="22"/>
                <w:lang w:eastAsia="en-US"/>
              </w:rPr>
            </w:pPr>
            <w:r w:rsidRPr="00A1405F">
              <w:rPr>
                <w:rFonts w:ascii="ITC Avant Garde" w:eastAsia="Calibri" w:hAnsi="ITC Avant Garde" w:cs="Arial"/>
                <w:b/>
                <w:bCs/>
                <w:sz w:val="22"/>
                <w:szCs w:val="22"/>
                <w:lang w:eastAsia="en-US"/>
              </w:rPr>
              <w:t>Comisionada</w:t>
            </w:r>
          </w:p>
          <w:p w14:paraId="47F8E2AF" w14:textId="77777777" w:rsidR="001211C1" w:rsidRPr="00A1405F" w:rsidRDefault="001211C1" w:rsidP="00A1405F">
            <w:pPr>
              <w:jc w:val="center"/>
              <w:rPr>
                <w:rFonts w:ascii="ITC Avant Garde" w:eastAsia="Calibri" w:hAnsi="ITC Avant Garde" w:cs="Arial"/>
                <w:b/>
                <w:bCs/>
                <w:sz w:val="22"/>
                <w:szCs w:val="22"/>
                <w:lang w:eastAsia="en-US"/>
              </w:rPr>
            </w:pPr>
          </w:p>
          <w:p w14:paraId="321D1E6E" w14:textId="77777777" w:rsidR="001211C1" w:rsidRDefault="001211C1" w:rsidP="00A1405F">
            <w:pPr>
              <w:jc w:val="center"/>
              <w:rPr>
                <w:rFonts w:ascii="ITC Avant Garde" w:eastAsia="Calibri" w:hAnsi="ITC Avant Garde" w:cs="Arial"/>
                <w:b/>
                <w:bCs/>
                <w:sz w:val="22"/>
                <w:szCs w:val="22"/>
                <w:lang w:eastAsia="en-US"/>
              </w:rPr>
            </w:pPr>
          </w:p>
          <w:p w14:paraId="5CB4FE5C" w14:textId="77777777" w:rsidR="00A1405F" w:rsidRPr="00A1405F" w:rsidRDefault="00A1405F" w:rsidP="00A1405F">
            <w:pPr>
              <w:jc w:val="center"/>
              <w:rPr>
                <w:rFonts w:ascii="ITC Avant Garde" w:eastAsia="Calibri" w:hAnsi="ITC Avant Garde" w:cs="Arial"/>
                <w:b/>
                <w:bCs/>
                <w:sz w:val="22"/>
                <w:szCs w:val="22"/>
                <w:lang w:eastAsia="en-US"/>
              </w:rPr>
            </w:pPr>
          </w:p>
          <w:p w14:paraId="2225270C" w14:textId="77777777" w:rsidR="001211C1" w:rsidRPr="00A1405F" w:rsidRDefault="001211C1" w:rsidP="00A1405F">
            <w:pPr>
              <w:jc w:val="center"/>
              <w:rPr>
                <w:rFonts w:ascii="ITC Avant Garde" w:eastAsia="Calibri" w:hAnsi="ITC Avant Garde" w:cs="Arial"/>
                <w:b/>
                <w:bCs/>
                <w:sz w:val="22"/>
                <w:szCs w:val="22"/>
                <w:lang w:eastAsia="en-US"/>
              </w:rPr>
            </w:pPr>
          </w:p>
          <w:p w14:paraId="0657BCF9" w14:textId="77777777" w:rsidR="001211C1" w:rsidRPr="00A1405F" w:rsidRDefault="001211C1" w:rsidP="00A1405F">
            <w:pPr>
              <w:jc w:val="center"/>
              <w:rPr>
                <w:rFonts w:ascii="ITC Avant Garde" w:eastAsia="Calibri" w:hAnsi="ITC Avant Garde" w:cs="Arial"/>
                <w:b/>
                <w:bCs/>
                <w:sz w:val="22"/>
                <w:szCs w:val="22"/>
                <w:lang w:eastAsia="en-US"/>
              </w:rPr>
            </w:pPr>
          </w:p>
        </w:tc>
      </w:tr>
      <w:tr w:rsidR="001211C1" w:rsidRPr="00A1405F" w14:paraId="3173CF27" w14:textId="77777777" w:rsidTr="00FE29EA">
        <w:trPr>
          <w:trHeight w:val="1261"/>
        </w:trPr>
        <w:tc>
          <w:tcPr>
            <w:tcW w:w="2227" w:type="pct"/>
          </w:tcPr>
          <w:p w14:paraId="6C03C66F" w14:textId="77777777" w:rsidR="001211C1" w:rsidRPr="00A1405F" w:rsidRDefault="001211C1" w:rsidP="00A1405F">
            <w:pPr>
              <w:jc w:val="center"/>
              <w:rPr>
                <w:rFonts w:ascii="ITC Avant Garde" w:eastAsia="Calibri" w:hAnsi="ITC Avant Garde" w:cs="Arial"/>
                <w:b/>
                <w:bCs/>
                <w:sz w:val="22"/>
                <w:szCs w:val="22"/>
                <w:lang w:eastAsia="en-US"/>
              </w:rPr>
            </w:pPr>
            <w:r w:rsidRPr="00A1405F">
              <w:rPr>
                <w:rFonts w:ascii="ITC Avant Garde" w:eastAsia="Calibri" w:hAnsi="ITC Avant Garde" w:cs="Arial"/>
                <w:b/>
                <w:bCs/>
                <w:sz w:val="22"/>
                <w:szCs w:val="22"/>
                <w:lang w:eastAsia="en-US"/>
              </w:rPr>
              <w:t>María Elena Estavillo Flores</w:t>
            </w:r>
          </w:p>
          <w:p w14:paraId="67E092EC" w14:textId="77777777" w:rsidR="001211C1" w:rsidRPr="00A1405F" w:rsidRDefault="001211C1" w:rsidP="00A1405F">
            <w:pPr>
              <w:jc w:val="center"/>
              <w:rPr>
                <w:rFonts w:ascii="ITC Avant Garde" w:eastAsia="Calibri" w:hAnsi="ITC Avant Garde" w:cs="Arial"/>
                <w:b/>
                <w:bCs/>
                <w:sz w:val="22"/>
                <w:szCs w:val="22"/>
                <w:lang w:eastAsia="en-US"/>
              </w:rPr>
            </w:pPr>
            <w:r w:rsidRPr="00A1405F">
              <w:rPr>
                <w:rFonts w:ascii="ITC Avant Garde" w:eastAsia="Calibri" w:hAnsi="ITC Avant Garde" w:cs="Arial"/>
                <w:b/>
                <w:bCs/>
                <w:sz w:val="22"/>
                <w:szCs w:val="22"/>
                <w:lang w:eastAsia="en-US"/>
              </w:rPr>
              <w:t>Comisionada</w:t>
            </w:r>
          </w:p>
        </w:tc>
        <w:tc>
          <w:tcPr>
            <w:tcW w:w="175" w:type="pct"/>
          </w:tcPr>
          <w:p w14:paraId="2D7158A7" w14:textId="77777777" w:rsidR="001211C1" w:rsidRPr="00A1405F" w:rsidRDefault="001211C1" w:rsidP="00A1405F">
            <w:pPr>
              <w:spacing w:before="200"/>
              <w:jc w:val="center"/>
              <w:rPr>
                <w:rFonts w:ascii="ITC Avant Garde" w:eastAsia="Calibri" w:hAnsi="ITC Avant Garde" w:cs="Arial"/>
                <w:b/>
                <w:bCs/>
                <w:sz w:val="22"/>
                <w:szCs w:val="22"/>
                <w:lang w:eastAsia="en-US"/>
              </w:rPr>
            </w:pPr>
          </w:p>
        </w:tc>
        <w:tc>
          <w:tcPr>
            <w:tcW w:w="2598" w:type="pct"/>
          </w:tcPr>
          <w:p w14:paraId="7062CE3D" w14:textId="77777777" w:rsidR="001211C1" w:rsidRPr="00A1405F" w:rsidRDefault="001211C1" w:rsidP="00A1405F">
            <w:pPr>
              <w:jc w:val="center"/>
              <w:rPr>
                <w:rFonts w:ascii="ITC Avant Garde" w:eastAsia="Calibri" w:hAnsi="ITC Avant Garde" w:cs="Arial"/>
                <w:b/>
                <w:bCs/>
                <w:sz w:val="22"/>
                <w:szCs w:val="22"/>
                <w:lang w:eastAsia="en-US"/>
              </w:rPr>
            </w:pPr>
            <w:r w:rsidRPr="00A1405F">
              <w:rPr>
                <w:rFonts w:ascii="ITC Avant Garde" w:eastAsia="Calibri" w:hAnsi="ITC Avant Garde" w:cs="Arial"/>
                <w:b/>
                <w:bCs/>
                <w:sz w:val="22"/>
                <w:szCs w:val="22"/>
                <w:lang w:eastAsia="en-US"/>
              </w:rPr>
              <w:t>Mario Germán Fromow Rangel</w:t>
            </w:r>
          </w:p>
          <w:p w14:paraId="198EF69E" w14:textId="77777777" w:rsidR="001211C1" w:rsidRPr="00A1405F" w:rsidRDefault="001211C1" w:rsidP="00A1405F">
            <w:pPr>
              <w:jc w:val="center"/>
              <w:rPr>
                <w:rFonts w:ascii="ITC Avant Garde" w:eastAsia="Calibri" w:hAnsi="ITC Avant Garde" w:cs="Arial"/>
                <w:b/>
                <w:bCs/>
                <w:sz w:val="22"/>
                <w:szCs w:val="22"/>
                <w:lang w:eastAsia="en-US"/>
              </w:rPr>
            </w:pPr>
            <w:r w:rsidRPr="00A1405F">
              <w:rPr>
                <w:rFonts w:ascii="ITC Avant Garde" w:eastAsia="Calibri" w:hAnsi="ITC Avant Garde" w:cs="Arial"/>
                <w:b/>
                <w:bCs/>
                <w:sz w:val="22"/>
                <w:szCs w:val="22"/>
                <w:lang w:eastAsia="en-US"/>
              </w:rPr>
              <w:t>Comisionado</w:t>
            </w:r>
          </w:p>
          <w:p w14:paraId="1C97DA00" w14:textId="77777777" w:rsidR="001211C1" w:rsidRPr="00A1405F" w:rsidRDefault="001211C1" w:rsidP="00A1405F">
            <w:pPr>
              <w:jc w:val="center"/>
              <w:rPr>
                <w:rFonts w:ascii="ITC Avant Garde" w:eastAsia="Calibri" w:hAnsi="ITC Avant Garde" w:cs="Arial"/>
                <w:b/>
                <w:bCs/>
                <w:sz w:val="22"/>
                <w:szCs w:val="22"/>
                <w:lang w:eastAsia="en-US"/>
              </w:rPr>
            </w:pPr>
          </w:p>
          <w:p w14:paraId="0892FA3C" w14:textId="77777777" w:rsidR="001211C1" w:rsidRDefault="001211C1" w:rsidP="00A1405F">
            <w:pPr>
              <w:jc w:val="center"/>
              <w:rPr>
                <w:rFonts w:ascii="ITC Avant Garde" w:eastAsia="Calibri" w:hAnsi="ITC Avant Garde" w:cs="Arial"/>
                <w:b/>
                <w:bCs/>
                <w:sz w:val="22"/>
                <w:szCs w:val="22"/>
                <w:lang w:eastAsia="en-US"/>
              </w:rPr>
            </w:pPr>
          </w:p>
          <w:p w14:paraId="268EE657" w14:textId="77777777" w:rsidR="00A1405F" w:rsidRPr="00A1405F" w:rsidRDefault="00A1405F" w:rsidP="00A1405F">
            <w:pPr>
              <w:jc w:val="center"/>
              <w:rPr>
                <w:rFonts w:ascii="ITC Avant Garde" w:eastAsia="Calibri" w:hAnsi="ITC Avant Garde" w:cs="Arial"/>
                <w:b/>
                <w:bCs/>
                <w:sz w:val="22"/>
                <w:szCs w:val="22"/>
                <w:lang w:eastAsia="en-US"/>
              </w:rPr>
            </w:pPr>
          </w:p>
          <w:p w14:paraId="0996872C" w14:textId="77777777" w:rsidR="001211C1" w:rsidRPr="00A1405F" w:rsidRDefault="001211C1" w:rsidP="00A1405F">
            <w:pPr>
              <w:jc w:val="center"/>
              <w:rPr>
                <w:rFonts w:ascii="ITC Avant Garde" w:eastAsia="Calibri" w:hAnsi="ITC Avant Garde" w:cs="Arial"/>
                <w:b/>
                <w:bCs/>
                <w:sz w:val="22"/>
                <w:szCs w:val="22"/>
                <w:lang w:eastAsia="en-US"/>
              </w:rPr>
            </w:pPr>
          </w:p>
          <w:p w14:paraId="6ECC5F60" w14:textId="77777777" w:rsidR="001211C1" w:rsidRPr="00A1405F" w:rsidRDefault="001211C1" w:rsidP="00A1405F">
            <w:pPr>
              <w:spacing w:before="200"/>
              <w:jc w:val="center"/>
              <w:rPr>
                <w:rFonts w:ascii="ITC Avant Garde" w:eastAsia="Calibri" w:hAnsi="ITC Avant Garde" w:cs="Arial"/>
                <w:b/>
                <w:bCs/>
                <w:sz w:val="22"/>
                <w:szCs w:val="22"/>
                <w:lang w:eastAsia="en-US"/>
              </w:rPr>
            </w:pPr>
          </w:p>
        </w:tc>
      </w:tr>
      <w:tr w:rsidR="008D39C8" w:rsidRPr="00A1405F" w14:paraId="58FA3731" w14:textId="77777777" w:rsidTr="00FE29EA">
        <w:trPr>
          <w:trHeight w:val="1261"/>
        </w:trPr>
        <w:tc>
          <w:tcPr>
            <w:tcW w:w="2227" w:type="pct"/>
          </w:tcPr>
          <w:p w14:paraId="372A102E" w14:textId="77777777" w:rsidR="008D39C8" w:rsidRPr="00A1405F" w:rsidRDefault="008D39C8" w:rsidP="00A1405F">
            <w:pPr>
              <w:jc w:val="center"/>
              <w:rPr>
                <w:rFonts w:ascii="ITC Avant Garde" w:eastAsia="Calibri" w:hAnsi="ITC Avant Garde" w:cs="Arial"/>
                <w:b/>
                <w:bCs/>
                <w:sz w:val="22"/>
                <w:szCs w:val="22"/>
                <w:lang w:eastAsia="en-US"/>
              </w:rPr>
            </w:pPr>
            <w:r w:rsidRPr="00A1405F">
              <w:rPr>
                <w:rFonts w:ascii="ITC Avant Garde" w:eastAsia="Calibri" w:hAnsi="ITC Avant Garde" w:cs="Arial"/>
                <w:b/>
                <w:bCs/>
                <w:sz w:val="22"/>
                <w:szCs w:val="22"/>
                <w:lang w:eastAsia="en-US"/>
              </w:rPr>
              <w:t>Adolfo Cuevas Teja</w:t>
            </w:r>
          </w:p>
          <w:p w14:paraId="2F9C1E47" w14:textId="63BB8CC0" w:rsidR="008D39C8" w:rsidRPr="00A1405F" w:rsidRDefault="008D39C8" w:rsidP="00A1405F">
            <w:pPr>
              <w:jc w:val="center"/>
              <w:rPr>
                <w:rFonts w:ascii="ITC Avant Garde" w:eastAsia="Calibri" w:hAnsi="ITC Avant Garde" w:cs="Arial"/>
                <w:b/>
                <w:bCs/>
                <w:sz w:val="22"/>
                <w:szCs w:val="22"/>
                <w:lang w:eastAsia="en-US"/>
              </w:rPr>
            </w:pPr>
            <w:r w:rsidRPr="00A1405F">
              <w:rPr>
                <w:rFonts w:ascii="ITC Avant Garde" w:eastAsia="Calibri" w:hAnsi="ITC Avant Garde" w:cs="Arial"/>
                <w:b/>
                <w:bCs/>
                <w:sz w:val="22"/>
                <w:szCs w:val="22"/>
                <w:lang w:eastAsia="en-US"/>
              </w:rPr>
              <w:t>Comisionado</w:t>
            </w:r>
          </w:p>
        </w:tc>
        <w:tc>
          <w:tcPr>
            <w:tcW w:w="175" w:type="pct"/>
          </w:tcPr>
          <w:p w14:paraId="13425F70" w14:textId="77777777" w:rsidR="008D39C8" w:rsidRPr="00A1405F" w:rsidRDefault="008D39C8" w:rsidP="00A1405F">
            <w:pPr>
              <w:spacing w:before="200"/>
              <w:jc w:val="center"/>
              <w:rPr>
                <w:rFonts w:ascii="ITC Avant Garde" w:eastAsia="Calibri" w:hAnsi="ITC Avant Garde" w:cs="Arial"/>
                <w:b/>
                <w:bCs/>
                <w:sz w:val="22"/>
                <w:szCs w:val="22"/>
                <w:lang w:eastAsia="en-US"/>
              </w:rPr>
            </w:pPr>
          </w:p>
        </w:tc>
        <w:tc>
          <w:tcPr>
            <w:tcW w:w="2598" w:type="pct"/>
          </w:tcPr>
          <w:p w14:paraId="1B44A77D" w14:textId="77777777" w:rsidR="008D39C8" w:rsidRPr="00A1405F" w:rsidRDefault="008D39C8" w:rsidP="00A1405F">
            <w:pPr>
              <w:jc w:val="center"/>
              <w:rPr>
                <w:rFonts w:ascii="ITC Avant Garde" w:eastAsia="Calibri" w:hAnsi="ITC Avant Garde" w:cs="Arial"/>
                <w:b/>
                <w:bCs/>
                <w:sz w:val="22"/>
                <w:szCs w:val="22"/>
                <w:lang w:eastAsia="en-US"/>
              </w:rPr>
            </w:pPr>
            <w:r w:rsidRPr="00A1405F">
              <w:rPr>
                <w:rFonts w:ascii="ITC Avant Garde" w:eastAsia="Calibri" w:hAnsi="ITC Avant Garde" w:cs="Arial"/>
                <w:b/>
                <w:bCs/>
                <w:sz w:val="22"/>
                <w:szCs w:val="22"/>
                <w:lang w:eastAsia="en-US"/>
              </w:rPr>
              <w:t>Javier Juárez Mojica</w:t>
            </w:r>
          </w:p>
          <w:p w14:paraId="745416C3" w14:textId="33DA39F5" w:rsidR="008D39C8" w:rsidRPr="00A1405F" w:rsidRDefault="008D39C8" w:rsidP="00A1405F">
            <w:pPr>
              <w:jc w:val="center"/>
              <w:rPr>
                <w:rFonts w:ascii="ITC Avant Garde" w:eastAsia="Calibri" w:hAnsi="ITC Avant Garde" w:cs="Arial"/>
                <w:b/>
                <w:bCs/>
                <w:sz w:val="22"/>
                <w:szCs w:val="22"/>
                <w:lang w:eastAsia="en-US"/>
              </w:rPr>
            </w:pPr>
            <w:r w:rsidRPr="00A1405F">
              <w:rPr>
                <w:rFonts w:ascii="ITC Avant Garde" w:eastAsia="Calibri" w:hAnsi="ITC Avant Garde" w:cs="Arial"/>
                <w:b/>
                <w:bCs/>
                <w:sz w:val="22"/>
                <w:szCs w:val="22"/>
                <w:lang w:eastAsia="en-US"/>
              </w:rPr>
              <w:t>Comisionado</w:t>
            </w:r>
          </w:p>
        </w:tc>
      </w:tr>
    </w:tbl>
    <w:p w14:paraId="65101264" w14:textId="77777777" w:rsidR="00DD4071" w:rsidRPr="003D7079" w:rsidRDefault="00DD4071" w:rsidP="00A1405F">
      <w:pPr>
        <w:pStyle w:val="Sinespaciado"/>
        <w:spacing w:line="276" w:lineRule="auto"/>
        <w:jc w:val="both"/>
        <w:rPr>
          <w:rFonts w:ascii="ITC Avant Garde" w:hAnsi="ITC Avant Garde"/>
          <w:sz w:val="12"/>
        </w:rPr>
      </w:pPr>
    </w:p>
    <w:p w14:paraId="6B8C9B52" w14:textId="77777777" w:rsidR="003D7079" w:rsidRDefault="003D7079" w:rsidP="003D7079">
      <w:pPr>
        <w:pStyle w:val="Prrafodelista"/>
        <w:ind w:left="0"/>
        <w:jc w:val="both"/>
        <w:rPr>
          <w:rFonts w:ascii="ITC Avant Garde" w:hAnsi="ITC Avant Garde"/>
          <w:sz w:val="14"/>
        </w:rPr>
      </w:pPr>
    </w:p>
    <w:p w14:paraId="0C2F8F2E" w14:textId="77777777" w:rsidR="003D7079" w:rsidRDefault="003D7079" w:rsidP="003D7079">
      <w:pPr>
        <w:pStyle w:val="Prrafodelista"/>
        <w:ind w:left="0"/>
        <w:jc w:val="both"/>
        <w:rPr>
          <w:rFonts w:ascii="ITC Avant Garde" w:hAnsi="ITC Avant Garde"/>
          <w:sz w:val="14"/>
        </w:rPr>
      </w:pPr>
    </w:p>
    <w:p w14:paraId="10AD8323" w14:textId="77777777" w:rsidR="003D7079" w:rsidRPr="003D7079" w:rsidRDefault="003D7079" w:rsidP="003D7079">
      <w:pPr>
        <w:pStyle w:val="Prrafodelista"/>
        <w:ind w:left="0"/>
        <w:jc w:val="both"/>
        <w:rPr>
          <w:rFonts w:ascii="ITC Avant Garde" w:hAnsi="ITC Avant Garde"/>
          <w:bCs/>
          <w:sz w:val="10"/>
          <w:szCs w:val="20"/>
          <w:lang w:val="es-ES" w:eastAsia="es-MX"/>
        </w:rPr>
      </w:pPr>
      <w:bookmarkStart w:id="0" w:name="_GoBack"/>
      <w:bookmarkEnd w:id="0"/>
      <w:r w:rsidRPr="003D7079">
        <w:rPr>
          <w:rFonts w:ascii="ITC Avant Garde" w:hAnsi="ITC Avant Garde"/>
          <w:sz w:val="14"/>
        </w:rPr>
        <w:t xml:space="preserve">El presente Acuerdo fue aprobado por el Pleno del Instituto Federal de Telecomunicaciones en su XLIV Sesión Ordinaria celebrada el 8 de diciembre </w:t>
      </w:r>
      <w:r w:rsidRPr="003D7079">
        <w:rPr>
          <w:rFonts w:ascii="ITC Avant Garde" w:hAnsi="ITC Avant Garde"/>
          <w:sz w:val="14"/>
          <w:lang w:val="es-ES_tradnl"/>
        </w:rPr>
        <w:t xml:space="preserve">de 2016, por </w:t>
      </w:r>
      <w:r w:rsidRPr="003D7079">
        <w:rPr>
          <w:rFonts w:ascii="ITC Avant Garde" w:hAnsi="ITC Avant Garde"/>
          <w:bCs/>
          <w:sz w:val="14"/>
          <w:lang w:val="es-ES_tradnl"/>
        </w:rPr>
        <w:t>unanimidad</w:t>
      </w:r>
      <w:r w:rsidRPr="003D7079">
        <w:rPr>
          <w:rFonts w:ascii="ITC Avant Garde" w:hAnsi="ITC Avant Garde"/>
          <w:sz w:val="14"/>
          <w:lang w:val="es-ES_tradnl"/>
        </w:rPr>
        <w:t xml:space="preserve">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P/IFT/081216/709.</w:t>
      </w:r>
    </w:p>
    <w:p w14:paraId="349E6364" w14:textId="77777777" w:rsidR="0082434B" w:rsidRPr="00A1405F" w:rsidRDefault="0082434B" w:rsidP="00A1405F">
      <w:pPr>
        <w:spacing w:line="276" w:lineRule="auto"/>
        <w:rPr>
          <w:rFonts w:ascii="ITC Avant Garde" w:hAnsi="ITC Avant Garde"/>
          <w:sz w:val="22"/>
          <w:szCs w:val="22"/>
        </w:rPr>
      </w:pPr>
    </w:p>
    <w:sectPr w:rsidR="0082434B" w:rsidRPr="00A1405F" w:rsidSect="00A1405F">
      <w:footerReference w:type="default" r:id="rId8"/>
      <w:pgSz w:w="12240" w:h="15840"/>
      <w:pgMar w:top="2127" w:right="1699" w:bottom="1702" w:left="1699" w:header="706" w:footer="56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4B692" w14:textId="77777777" w:rsidR="00FF7E80" w:rsidRDefault="00FF7E80">
      <w:r>
        <w:separator/>
      </w:r>
    </w:p>
  </w:endnote>
  <w:endnote w:type="continuationSeparator" w:id="0">
    <w:p w14:paraId="7A4814F4" w14:textId="77777777" w:rsidR="00FF7E80" w:rsidRDefault="00FF7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 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8575456"/>
      <w:docPartObj>
        <w:docPartGallery w:val="Page Numbers (Bottom of Page)"/>
        <w:docPartUnique/>
      </w:docPartObj>
    </w:sdtPr>
    <w:sdtEndPr>
      <w:rPr>
        <w:rFonts w:ascii="ITC Avant Garde" w:hAnsi="ITC Avant Garde"/>
        <w:sz w:val="20"/>
        <w:szCs w:val="20"/>
      </w:rPr>
    </w:sdtEndPr>
    <w:sdtContent>
      <w:p w14:paraId="404D660E" w14:textId="77777777" w:rsidR="00F529BA" w:rsidRPr="00F529BA" w:rsidRDefault="00F529BA">
        <w:pPr>
          <w:pStyle w:val="Piedepgina"/>
          <w:jc w:val="center"/>
          <w:rPr>
            <w:rFonts w:ascii="ITC Avant Garde" w:hAnsi="ITC Avant Garde"/>
            <w:sz w:val="20"/>
            <w:szCs w:val="20"/>
          </w:rPr>
        </w:pPr>
        <w:r w:rsidRPr="00F529BA">
          <w:rPr>
            <w:rFonts w:ascii="ITC Avant Garde" w:hAnsi="ITC Avant Garde"/>
            <w:sz w:val="20"/>
            <w:szCs w:val="20"/>
          </w:rPr>
          <w:fldChar w:fldCharType="begin"/>
        </w:r>
        <w:r w:rsidRPr="00F529BA">
          <w:rPr>
            <w:rFonts w:ascii="ITC Avant Garde" w:hAnsi="ITC Avant Garde"/>
            <w:sz w:val="20"/>
            <w:szCs w:val="20"/>
          </w:rPr>
          <w:instrText>PAGE   \* MERGEFORMAT</w:instrText>
        </w:r>
        <w:r w:rsidRPr="00F529BA">
          <w:rPr>
            <w:rFonts w:ascii="ITC Avant Garde" w:hAnsi="ITC Avant Garde"/>
            <w:sz w:val="20"/>
            <w:szCs w:val="20"/>
          </w:rPr>
          <w:fldChar w:fldCharType="separate"/>
        </w:r>
        <w:r w:rsidR="00F63339" w:rsidRPr="00F63339">
          <w:rPr>
            <w:rFonts w:ascii="ITC Avant Garde" w:hAnsi="ITC Avant Garde"/>
            <w:noProof/>
            <w:sz w:val="20"/>
            <w:szCs w:val="20"/>
            <w:lang w:val="es-ES"/>
          </w:rPr>
          <w:t>8</w:t>
        </w:r>
        <w:r w:rsidRPr="00F529BA">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DD928" w14:textId="77777777" w:rsidR="00FF7E80" w:rsidRDefault="00FF7E80">
      <w:r>
        <w:separator/>
      </w:r>
    </w:p>
  </w:footnote>
  <w:footnote w:type="continuationSeparator" w:id="0">
    <w:p w14:paraId="68677B5B" w14:textId="77777777" w:rsidR="00FF7E80" w:rsidRDefault="00FF7E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13701"/>
    <w:multiLevelType w:val="hybridMultilevel"/>
    <w:tmpl w:val="8A1CF972"/>
    <w:lvl w:ilvl="0" w:tplc="4D4E41D0">
      <w:start w:val="1"/>
      <w:numFmt w:val="upperRoman"/>
      <w:lvlText w:val="%1."/>
      <w:lvlJc w:val="right"/>
      <w:pPr>
        <w:ind w:left="720" w:hanging="360"/>
      </w:pPr>
      <w:rPr>
        <w:rFonts w:ascii="ITC Avant Garde" w:hAnsi="ITC Avant Garde"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882630"/>
    <w:multiLevelType w:val="hybridMultilevel"/>
    <w:tmpl w:val="445CD3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D145DA"/>
    <w:multiLevelType w:val="hybridMultilevel"/>
    <w:tmpl w:val="7FC072CC"/>
    <w:lvl w:ilvl="0" w:tplc="8DBCFA14">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202F7314"/>
    <w:multiLevelType w:val="hybridMultilevel"/>
    <w:tmpl w:val="36862C0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8FC0198"/>
    <w:multiLevelType w:val="hybridMultilevel"/>
    <w:tmpl w:val="1CCE6D66"/>
    <w:lvl w:ilvl="0" w:tplc="D7764FF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463C3239"/>
    <w:multiLevelType w:val="hybridMultilevel"/>
    <w:tmpl w:val="8648DFD0"/>
    <w:lvl w:ilvl="0" w:tplc="080A0017">
      <w:start w:val="1"/>
      <w:numFmt w:val="lowerLetter"/>
      <w:lvlText w:val="%1)"/>
      <w:lvlJc w:val="left"/>
      <w:pPr>
        <w:ind w:left="720" w:hanging="360"/>
      </w:pPr>
      <w:rPr>
        <w:rFonts w:cs="Times New Roman" w:hint="default"/>
        <w:b w:val="0"/>
        <w:color w:val="auto"/>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9AC033A"/>
    <w:multiLevelType w:val="hybridMultilevel"/>
    <w:tmpl w:val="9E1E68C4"/>
    <w:lvl w:ilvl="0" w:tplc="91CCBE5C">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0232228"/>
    <w:multiLevelType w:val="hybridMultilevel"/>
    <w:tmpl w:val="3EE08464"/>
    <w:lvl w:ilvl="0" w:tplc="D39207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60A780C"/>
    <w:multiLevelType w:val="hybridMultilevel"/>
    <w:tmpl w:val="7B142B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17876BB"/>
    <w:multiLevelType w:val="hybridMultilevel"/>
    <w:tmpl w:val="ED545A9E"/>
    <w:lvl w:ilvl="0" w:tplc="F6D6191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71994FE2"/>
    <w:multiLevelType w:val="hybridMultilevel"/>
    <w:tmpl w:val="F01E2EB4"/>
    <w:lvl w:ilvl="0" w:tplc="22B28C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38E6E27"/>
    <w:multiLevelType w:val="hybridMultilevel"/>
    <w:tmpl w:val="0FAA73FC"/>
    <w:lvl w:ilvl="0" w:tplc="0310BB6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749D0125"/>
    <w:multiLevelType w:val="hybridMultilevel"/>
    <w:tmpl w:val="5058C3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10"/>
  </w:num>
  <w:num w:numId="5">
    <w:abstractNumId w:val="4"/>
  </w:num>
  <w:num w:numId="6">
    <w:abstractNumId w:val="11"/>
  </w:num>
  <w:num w:numId="7">
    <w:abstractNumId w:val="9"/>
  </w:num>
  <w:num w:numId="8">
    <w:abstractNumId w:val="8"/>
  </w:num>
  <w:num w:numId="9">
    <w:abstractNumId w:val="12"/>
  </w:num>
  <w:num w:numId="10">
    <w:abstractNumId w:val="0"/>
  </w:num>
  <w:num w:numId="11">
    <w:abstractNumId w:val="1"/>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BE"/>
    <w:rsid w:val="00001CC1"/>
    <w:rsid w:val="00004BE7"/>
    <w:rsid w:val="00004C94"/>
    <w:rsid w:val="00005B2B"/>
    <w:rsid w:val="00011CF3"/>
    <w:rsid w:val="000143E7"/>
    <w:rsid w:val="00014BB7"/>
    <w:rsid w:val="00020680"/>
    <w:rsid w:val="00025B73"/>
    <w:rsid w:val="000306EA"/>
    <w:rsid w:val="0003078E"/>
    <w:rsid w:val="00032CE8"/>
    <w:rsid w:val="00044ABC"/>
    <w:rsid w:val="00051C56"/>
    <w:rsid w:val="0005421F"/>
    <w:rsid w:val="000553EF"/>
    <w:rsid w:val="00085488"/>
    <w:rsid w:val="00086332"/>
    <w:rsid w:val="000B2E4B"/>
    <w:rsid w:val="000D20A6"/>
    <w:rsid w:val="000D51BE"/>
    <w:rsid w:val="000E45A5"/>
    <w:rsid w:val="000E7862"/>
    <w:rsid w:val="000F136B"/>
    <w:rsid w:val="000F6509"/>
    <w:rsid w:val="000F6AF4"/>
    <w:rsid w:val="000F70A1"/>
    <w:rsid w:val="000F7B64"/>
    <w:rsid w:val="00110A96"/>
    <w:rsid w:val="001211C1"/>
    <w:rsid w:val="00121FDF"/>
    <w:rsid w:val="00122663"/>
    <w:rsid w:val="00137D65"/>
    <w:rsid w:val="0014291C"/>
    <w:rsid w:val="00143654"/>
    <w:rsid w:val="00151463"/>
    <w:rsid w:val="00156B95"/>
    <w:rsid w:val="00161065"/>
    <w:rsid w:val="00170158"/>
    <w:rsid w:val="00175246"/>
    <w:rsid w:val="00183EBB"/>
    <w:rsid w:val="001A4ACD"/>
    <w:rsid w:val="001A5812"/>
    <w:rsid w:val="001A621F"/>
    <w:rsid w:val="001A6D56"/>
    <w:rsid w:val="001C31F6"/>
    <w:rsid w:val="001C6AAC"/>
    <w:rsid w:val="001D206B"/>
    <w:rsid w:val="001D3E86"/>
    <w:rsid w:val="001E26AF"/>
    <w:rsid w:val="001E272C"/>
    <w:rsid w:val="001E2765"/>
    <w:rsid w:val="001E446E"/>
    <w:rsid w:val="001E7E83"/>
    <w:rsid w:val="001F028B"/>
    <w:rsid w:val="001F18DD"/>
    <w:rsid w:val="00202B18"/>
    <w:rsid w:val="00220DA4"/>
    <w:rsid w:val="002367EE"/>
    <w:rsid w:val="00245EB0"/>
    <w:rsid w:val="002517B0"/>
    <w:rsid w:val="0025760B"/>
    <w:rsid w:val="00266B27"/>
    <w:rsid w:val="00272F2D"/>
    <w:rsid w:val="00282A20"/>
    <w:rsid w:val="00286C0F"/>
    <w:rsid w:val="0029702A"/>
    <w:rsid w:val="002B0CE5"/>
    <w:rsid w:val="002B1737"/>
    <w:rsid w:val="002B2594"/>
    <w:rsid w:val="002B336B"/>
    <w:rsid w:val="002B458F"/>
    <w:rsid w:val="002C3AAE"/>
    <w:rsid w:val="002C4704"/>
    <w:rsid w:val="00317CE8"/>
    <w:rsid w:val="00321952"/>
    <w:rsid w:val="003273B6"/>
    <w:rsid w:val="003274A9"/>
    <w:rsid w:val="003312F7"/>
    <w:rsid w:val="00340DDC"/>
    <w:rsid w:val="003605C6"/>
    <w:rsid w:val="0037581D"/>
    <w:rsid w:val="003A41B1"/>
    <w:rsid w:val="003A4E9C"/>
    <w:rsid w:val="003B05DC"/>
    <w:rsid w:val="003B1B1B"/>
    <w:rsid w:val="003B26EE"/>
    <w:rsid w:val="003C0915"/>
    <w:rsid w:val="003D7079"/>
    <w:rsid w:val="003D7511"/>
    <w:rsid w:val="003E25F3"/>
    <w:rsid w:val="003F0842"/>
    <w:rsid w:val="003F1808"/>
    <w:rsid w:val="00402396"/>
    <w:rsid w:val="00411687"/>
    <w:rsid w:val="00412C90"/>
    <w:rsid w:val="00427E5C"/>
    <w:rsid w:val="00437E5E"/>
    <w:rsid w:val="00443596"/>
    <w:rsid w:val="004475AB"/>
    <w:rsid w:val="00460B6B"/>
    <w:rsid w:val="004625B3"/>
    <w:rsid w:val="00471C79"/>
    <w:rsid w:val="004813C6"/>
    <w:rsid w:val="00494464"/>
    <w:rsid w:val="004978D9"/>
    <w:rsid w:val="004C2009"/>
    <w:rsid w:val="004D176E"/>
    <w:rsid w:val="0050709F"/>
    <w:rsid w:val="00531DEE"/>
    <w:rsid w:val="00535C9C"/>
    <w:rsid w:val="005416BE"/>
    <w:rsid w:val="00546892"/>
    <w:rsid w:val="0054691A"/>
    <w:rsid w:val="00553DC3"/>
    <w:rsid w:val="00562D98"/>
    <w:rsid w:val="00565825"/>
    <w:rsid w:val="00565E88"/>
    <w:rsid w:val="005710BE"/>
    <w:rsid w:val="00573220"/>
    <w:rsid w:val="005810AF"/>
    <w:rsid w:val="00587EC5"/>
    <w:rsid w:val="00592EE7"/>
    <w:rsid w:val="005A62AA"/>
    <w:rsid w:val="005B1D03"/>
    <w:rsid w:val="005B7A5C"/>
    <w:rsid w:val="005D387D"/>
    <w:rsid w:val="005D6E70"/>
    <w:rsid w:val="005E5830"/>
    <w:rsid w:val="005E7952"/>
    <w:rsid w:val="005E7BEB"/>
    <w:rsid w:val="005F051C"/>
    <w:rsid w:val="0060369B"/>
    <w:rsid w:val="00633649"/>
    <w:rsid w:val="0064104D"/>
    <w:rsid w:val="006422D2"/>
    <w:rsid w:val="00644117"/>
    <w:rsid w:val="006520A1"/>
    <w:rsid w:val="00660800"/>
    <w:rsid w:val="006659C0"/>
    <w:rsid w:val="006864AF"/>
    <w:rsid w:val="006909B8"/>
    <w:rsid w:val="006948E9"/>
    <w:rsid w:val="006C0C52"/>
    <w:rsid w:val="006C1BAE"/>
    <w:rsid w:val="006E0437"/>
    <w:rsid w:val="006E2A57"/>
    <w:rsid w:val="006E3AFF"/>
    <w:rsid w:val="006E7830"/>
    <w:rsid w:val="006F0D0F"/>
    <w:rsid w:val="006F7EDF"/>
    <w:rsid w:val="007143A7"/>
    <w:rsid w:val="00722C39"/>
    <w:rsid w:val="00744EC1"/>
    <w:rsid w:val="00751213"/>
    <w:rsid w:val="00752ABB"/>
    <w:rsid w:val="0077173D"/>
    <w:rsid w:val="007816F1"/>
    <w:rsid w:val="00784F2B"/>
    <w:rsid w:val="007B578D"/>
    <w:rsid w:val="007E04F7"/>
    <w:rsid w:val="00807195"/>
    <w:rsid w:val="00812EA2"/>
    <w:rsid w:val="008159A1"/>
    <w:rsid w:val="0082434B"/>
    <w:rsid w:val="00825E44"/>
    <w:rsid w:val="00852002"/>
    <w:rsid w:val="008620AC"/>
    <w:rsid w:val="0086699E"/>
    <w:rsid w:val="008808B5"/>
    <w:rsid w:val="00882E9E"/>
    <w:rsid w:val="00891385"/>
    <w:rsid w:val="008922FD"/>
    <w:rsid w:val="008A5F01"/>
    <w:rsid w:val="008B1A87"/>
    <w:rsid w:val="008B54F1"/>
    <w:rsid w:val="008B6CD1"/>
    <w:rsid w:val="008C1DB9"/>
    <w:rsid w:val="008C5493"/>
    <w:rsid w:val="008C5731"/>
    <w:rsid w:val="008C6C31"/>
    <w:rsid w:val="008C721F"/>
    <w:rsid w:val="008D1966"/>
    <w:rsid w:val="008D39C8"/>
    <w:rsid w:val="008F3232"/>
    <w:rsid w:val="008F3699"/>
    <w:rsid w:val="00900463"/>
    <w:rsid w:val="009026F6"/>
    <w:rsid w:val="0090463B"/>
    <w:rsid w:val="00910588"/>
    <w:rsid w:val="00924503"/>
    <w:rsid w:val="00935532"/>
    <w:rsid w:val="00960144"/>
    <w:rsid w:val="0096647C"/>
    <w:rsid w:val="00972180"/>
    <w:rsid w:val="00972901"/>
    <w:rsid w:val="0098741E"/>
    <w:rsid w:val="009C7F55"/>
    <w:rsid w:val="009D6690"/>
    <w:rsid w:val="009E4A92"/>
    <w:rsid w:val="009E74B3"/>
    <w:rsid w:val="009F3B83"/>
    <w:rsid w:val="009F53ED"/>
    <w:rsid w:val="00A06EBB"/>
    <w:rsid w:val="00A1405F"/>
    <w:rsid w:val="00A15D79"/>
    <w:rsid w:val="00A25594"/>
    <w:rsid w:val="00A27745"/>
    <w:rsid w:val="00A80479"/>
    <w:rsid w:val="00A808EF"/>
    <w:rsid w:val="00A809F7"/>
    <w:rsid w:val="00A8239B"/>
    <w:rsid w:val="00A84A8A"/>
    <w:rsid w:val="00A87DEB"/>
    <w:rsid w:val="00A9437E"/>
    <w:rsid w:val="00A9602A"/>
    <w:rsid w:val="00AA2481"/>
    <w:rsid w:val="00AA4061"/>
    <w:rsid w:val="00AC1CAC"/>
    <w:rsid w:val="00AC21A3"/>
    <w:rsid w:val="00AC56A0"/>
    <w:rsid w:val="00AD486C"/>
    <w:rsid w:val="00AD55DE"/>
    <w:rsid w:val="00AD676E"/>
    <w:rsid w:val="00AD7C49"/>
    <w:rsid w:val="00AE1C02"/>
    <w:rsid w:val="00AE1C09"/>
    <w:rsid w:val="00AF2625"/>
    <w:rsid w:val="00AF3ACD"/>
    <w:rsid w:val="00AF50FF"/>
    <w:rsid w:val="00B004CA"/>
    <w:rsid w:val="00B01D2E"/>
    <w:rsid w:val="00B02B73"/>
    <w:rsid w:val="00B02CD2"/>
    <w:rsid w:val="00B07204"/>
    <w:rsid w:val="00B12B31"/>
    <w:rsid w:val="00B13FB0"/>
    <w:rsid w:val="00B1430A"/>
    <w:rsid w:val="00B173DF"/>
    <w:rsid w:val="00B21BDF"/>
    <w:rsid w:val="00B36285"/>
    <w:rsid w:val="00B37C6F"/>
    <w:rsid w:val="00B41E4D"/>
    <w:rsid w:val="00B45F07"/>
    <w:rsid w:val="00B554C6"/>
    <w:rsid w:val="00B60197"/>
    <w:rsid w:val="00B76DDC"/>
    <w:rsid w:val="00BA7259"/>
    <w:rsid w:val="00BA7D20"/>
    <w:rsid w:val="00BC1BA3"/>
    <w:rsid w:val="00BC64C2"/>
    <w:rsid w:val="00BD1096"/>
    <w:rsid w:val="00BD4430"/>
    <w:rsid w:val="00BD5B2E"/>
    <w:rsid w:val="00BF2CD2"/>
    <w:rsid w:val="00BF4B40"/>
    <w:rsid w:val="00C05ABA"/>
    <w:rsid w:val="00C26F2C"/>
    <w:rsid w:val="00C27136"/>
    <w:rsid w:val="00C30790"/>
    <w:rsid w:val="00C35C3C"/>
    <w:rsid w:val="00C445DE"/>
    <w:rsid w:val="00C52E5B"/>
    <w:rsid w:val="00C67095"/>
    <w:rsid w:val="00C72DC1"/>
    <w:rsid w:val="00C75AEB"/>
    <w:rsid w:val="00C90116"/>
    <w:rsid w:val="00C933B7"/>
    <w:rsid w:val="00C95170"/>
    <w:rsid w:val="00CC6ED5"/>
    <w:rsid w:val="00CE0202"/>
    <w:rsid w:val="00CE1854"/>
    <w:rsid w:val="00CE52D1"/>
    <w:rsid w:val="00CF3F00"/>
    <w:rsid w:val="00CF4D2F"/>
    <w:rsid w:val="00D00E71"/>
    <w:rsid w:val="00D07C1E"/>
    <w:rsid w:val="00D259BD"/>
    <w:rsid w:val="00D32E38"/>
    <w:rsid w:val="00D400E7"/>
    <w:rsid w:val="00D54247"/>
    <w:rsid w:val="00D661D2"/>
    <w:rsid w:val="00D70302"/>
    <w:rsid w:val="00D803B2"/>
    <w:rsid w:val="00D9006E"/>
    <w:rsid w:val="00DA3470"/>
    <w:rsid w:val="00DA38A4"/>
    <w:rsid w:val="00DA5C47"/>
    <w:rsid w:val="00DA660C"/>
    <w:rsid w:val="00DA6931"/>
    <w:rsid w:val="00DD0FD4"/>
    <w:rsid w:val="00DD2AA8"/>
    <w:rsid w:val="00DD4071"/>
    <w:rsid w:val="00DD765A"/>
    <w:rsid w:val="00DE1315"/>
    <w:rsid w:val="00DF3236"/>
    <w:rsid w:val="00DF3748"/>
    <w:rsid w:val="00E04B9C"/>
    <w:rsid w:val="00E05835"/>
    <w:rsid w:val="00E11CB5"/>
    <w:rsid w:val="00E14990"/>
    <w:rsid w:val="00E3650A"/>
    <w:rsid w:val="00E42B4D"/>
    <w:rsid w:val="00E55F50"/>
    <w:rsid w:val="00E61E4C"/>
    <w:rsid w:val="00E61FD5"/>
    <w:rsid w:val="00E64777"/>
    <w:rsid w:val="00E729A4"/>
    <w:rsid w:val="00E72CD9"/>
    <w:rsid w:val="00E803F7"/>
    <w:rsid w:val="00E84CAC"/>
    <w:rsid w:val="00E924EE"/>
    <w:rsid w:val="00E92887"/>
    <w:rsid w:val="00E92F0A"/>
    <w:rsid w:val="00E966D5"/>
    <w:rsid w:val="00EB228E"/>
    <w:rsid w:val="00EC14B1"/>
    <w:rsid w:val="00EC6A45"/>
    <w:rsid w:val="00EC7633"/>
    <w:rsid w:val="00ED0332"/>
    <w:rsid w:val="00EF20E6"/>
    <w:rsid w:val="00EF3852"/>
    <w:rsid w:val="00EF7305"/>
    <w:rsid w:val="00F05404"/>
    <w:rsid w:val="00F05E93"/>
    <w:rsid w:val="00F1280F"/>
    <w:rsid w:val="00F17EE9"/>
    <w:rsid w:val="00F26F62"/>
    <w:rsid w:val="00F32DB4"/>
    <w:rsid w:val="00F33F91"/>
    <w:rsid w:val="00F4282C"/>
    <w:rsid w:val="00F51400"/>
    <w:rsid w:val="00F51A9F"/>
    <w:rsid w:val="00F529BA"/>
    <w:rsid w:val="00F63269"/>
    <w:rsid w:val="00F63339"/>
    <w:rsid w:val="00F669BE"/>
    <w:rsid w:val="00F71D0E"/>
    <w:rsid w:val="00F7525F"/>
    <w:rsid w:val="00F75521"/>
    <w:rsid w:val="00F80866"/>
    <w:rsid w:val="00F8432C"/>
    <w:rsid w:val="00F86A8E"/>
    <w:rsid w:val="00F90030"/>
    <w:rsid w:val="00F958D2"/>
    <w:rsid w:val="00F95C41"/>
    <w:rsid w:val="00F96725"/>
    <w:rsid w:val="00FA5900"/>
    <w:rsid w:val="00FD0F65"/>
    <w:rsid w:val="00FE29EA"/>
    <w:rsid w:val="00FF7E8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0EE2E33"/>
  <w15:docId w15:val="{939F2E60-7EBD-4720-8332-DF499BEA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5D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D55DE"/>
    <w:pPr>
      <w:spacing w:after="101" w:line="216" w:lineRule="exact"/>
      <w:ind w:firstLine="288"/>
      <w:jc w:val="both"/>
    </w:pPr>
    <w:rPr>
      <w:rFonts w:ascii="Arial" w:hAnsi="Arial" w:cs="Arial"/>
      <w:sz w:val="18"/>
      <w:szCs w:val="20"/>
    </w:rPr>
  </w:style>
  <w:style w:type="paragraph" w:customStyle="1" w:styleId="ROMANOS">
    <w:name w:val="ROMANOS"/>
    <w:basedOn w:val="Normal"/>
    <w:link w:val="ROMANOSCar"/>
    <w:rsid w:val="00AD55DE"/>
    <w:pPr>
      <w:tabs>
        <w:tab w:val="left" w:pos="720"/>
      </w:tabs>
      <w:spacing w:after="101" w:line="216" w:lineRule="exact"/>
      <w:ind w:left="720" w:hanging="432"/>
      <w:jc w:val="both"/>
    </w:pPr>
    <w:rPr>
      <w:rFonts w:ascii="Arial" w:hAnsi="Arial" w:cs="Arial"/>
      <w:sz w:val="18"/>
      <w:szCs w:val="18"/>
    </w:rPr>
  </w:style>
  <w:style w:type="paragraph" w:customStyle="1" w:styleId="ANOTACION">
    <w:name w:val="ANOTACION"/>
    <w:basedOn w:val="Normal"/>
    <w:link w:val="ANOTACIONCar"/>
    <w:rsid w:val="00AD55DE"/>
    <w:pPr>
      <w:spacing w:before="101" w:after="101" w:line="216" w:lineRule="atLeast"/>
      <w:jc w:val="center"/>
    </w:pPr>
    <w:rPr>
      <w:b/>
      <w:sz w:val="18"/>
      <w:szCs w:val="20"/>
      <w:lang w:val="es-ES_tradnl"/>
    </w:rPr>
  </w:style>
  <w:style w:type="character" w:customStyle="1" w:styleId="TextoCar">
    <w:name w:val="Texto Car"/>
    <w:link w:val="Texto"/>
    <w:locked/>
    <w:rsid w:val="00AD55DE"/>
    <w:rPr>
      <w:rFonts w:ascii="Arial" w:eastAsia="Times New Roman" w:hAnsi="Arial" w:cs="Arial"/>
      <w:sz w:val="18"/>
      <w:szCs w:val="20"/>
      <w:lang w:eastAsia="es-ES"/>
    </w:rPr>
  </w:style>
  <w:style w:type="character" w:customStyle="1" w:styleId="ROMANOSCar">
    <w:name w:val="ROMANOS Car"/>
    <w:link w:val="ROMANOS"/>
    <w:locked/>
    <w:rsid w:val="00AD55DE"/>
    <w:rPr>
      <w:rFonts w:ascii="Arial" w:eastAsia="Times New Roman" w:hAnsi="Arial" w:cs="Arial"/>
      <w:sz w:val="18"/>
      <w:szCs w:val="18"/>
      <w:lang w:eastAsia="es-ES"/>
    </w:rPr>
  </w:style>
  <w:style w:type="character" w:customStyle="1" w:styleId="ANOTACIONCar">
    <w:name w:val="ANOTACION Car"/>
    <w:link w:val="ANOTACION"/>
    <w:locked/>
    <w:rsid w:val="00AD55DE"/>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uiPriority w:val="99"/>
    <w:rsid w:val="00AD55DE"/>
    <w:pPr>
      <w:tabs>
        <w:tab w:val="center" w:pos="4419"/>
        <w:tab w:val="right" w:pos="8838"/>
      </w:tabs>
    </w:pPr>
  </w:style>
  <w:style w:type="character" w:customStyle="1" w:styleId="PiedepginaCar">
    <w:name w:val="Pie de página Car"/>
    <w:basedOn w:val="Fuentedeprrafopredeter"/>
    <w:link w:val="Piedepgina"/>
    <w:uiPriority w:val="99"/>
    <w:rsid w:val="00AD55DE"/>
    <w:rPr>
      <w:rFonts w:ascii="Times New Roman" w:eastAsia="Times New Roman" w:hAnsi="Times New Roman" w:cs="Times New Roman"/>
      <w:sz w:val="24"/>
      <w:szCs w:val="24"/>
      <w:lang w:eastAsia="es-ES"/>
    </w:rPr>
  </w:style>
  <w:style w:type="character" w:customStyle="1" w:styleId="Listavistosa-nfasis1Car">
    <w:name w:val="Lista vistosa - Énfasis 1 Car"/>
    <w:link w:val="Listavistosa-nfasis1"/>
    <w:uiPriority w:val="34"/>
    <w:locked/>
    <w:rsid w:val="00AD55DE"/>
    <w:rPr>
      <w:rFonts w:ascii="Arial" w:hAnsi="Arial" w:cs="Arial"/>
      <w:sz w:val="24"/>
      <w:lang w:val="es-MX" w:eastAsia="es-MX"/>
    </w:rPr>
  </w:style>
  <w:style w:type="paragraph" w:styleId="Prrafodelista">
    <w:name w:val="List Paragraph"/>
    <w:basedOn w:val="Normal"/>
    <w:link w:val="PrrafodelistaCar"/>
    <w:uiPriority w:val="34"/>
    <w:qFormat/>
    <w:rsid w:val="00AD55DE"/>
    <w:pPr>
      <w:ind w:left="708"/>
    </w:pPr>
  </w:style>
  <w:style w:type="table" w:styleId="Listavistosa-nfasis1">
    <w:name w:val="Colorful List Accent 1"/>
    <w:basedOn w:val="Tablanormal"/>
    <w:link w:val="Listavistosa-nfasis1Car"/>
    <w:uiPriority w:val="34"/>
    <w:semiHidden/>
    <w:unhideWhenUsed/>
    <w:rsid w:val="00AD55DE"/>
    <w:pPr>
      <w:spacing w:after="0" w:line="240" w:lineRule="auto"/>
    </w:pPr>
    <w:rPr>
      <w:rFonts w:ascii="Arial" w:hAnsi="Arial" w:cs="Arial"/>
      <w:sz w:val="24"/>
      <w:lang w:eastAsia="es-MX"/>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styleId="Refdecomentario">
    <w:name w:val="annotation reference"/>
    <w:basedOn w:val="Fuentedeprrafopredeter"/>
    <w:unhideWhenUsed/>
    <w:rsid w:val="00A809F7"/>
    <w:rPr>
      <w:sz w:val="16"/>
      <w:szCs w:val="16"/>
    </w:rPr>
  </w:style>
  <w:style w:type="paragraph" w:styleId="Textocomentario">
    <w:name w:val="annotation text"/>
    <w:basedOn w:val="Normal"/>
    <w:link w:val="TextocomentarioCar"/>
    <w:unhideWhenUsed/>
    <w:rsid w:val="00A809F7"/>
    <w:rPr>
      <w:sz w:val="20"/>
      <w:szCs w:val="20"/>
    </w:rPr>
  </w:style>
  <w:style w:type="character" w:customStyle="1" w:styleId="TextocomentarioCar">
    <w:name w:val="Texto comentario Car"/>
    <w:basedOn w:val="Fuentedeprrafopredeter"/>
    <w:link w:val="Textocomentario"/>
    <w:rsid w:val="00A809F7"/>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A809F7"/>
    <w:rPr>
      <w:b/>
      <w:bCs/>
    </w:rPr>
  </w:style>
  <w:style w:type="character" w:customStyle="1" w:styleId="AsuntodelcomentarioCar">
    <w:name w:val="Asunto del comentario Car"/>
    <w:basedOn w:val="TextocomentarioCar"/>
    <w:link w:val="Asuntodelcomentario"/>
    <w:uiPriority w:val="99"/>
    <w:semiHidden/>
    <w:rsid w:val="00A809F7"/>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A809F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09F7"/>
    <w:rPr>
      <w:rFonts w:ascii="Segoe UI" w:eastAsia="Times New Roman" w:hAnsi="Segoe UI" w:cs="Segoe UI"/>
      <w:sz w:val="18"/>
      <w:szCs w:val="18"/>
      <w:lang w:eastAsia="es-ES"/>
    </w:rPr>
  </w:style>
  <w:style w:type="paragraph" w:styleId="Revisin">
    <w:name w:val="Revision"/>
    <w:hidden/>
    <w:uiPriority w:val="99"/>
    <w:semiHidden/>
    <w:rsid w:val="00143654"/>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A06EBB"/>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paragraph" w:styleId="Encabezado">
    <w:name w:val="header"/>
    <w:basedOn w:val="Normal"/>
    <w:link w:val="EncabezadoCar"/>
    <w:uiPriority w:val="99"/>
    <w:unhideWhenUsed/>
    <w:rsid w:val="00F529BA"/>
    <w:pPr>
      <w:tabs>
        <w:tab w:val="center" w:pos="4419"/>
        <w:tab w:val="right" w:pos="8838"/>
      </w:tabs>
    </w:pPr>
  </w:style>
  <w:style w:type="character" w:customStyle="1" w:styleId="EncabezadoCar">
    <w:name w:val="Encabezado Car"/>
    <w:basedOn w:val="Fuentedeprrafopredeter"/>
    <w:link w:val="Encabezado"/>
    <w:uiPriority w:val="99"/>
    <w:rsid w:val="00F529BA"/>
    <w:rPr>
      <w:rFonts w:ascii="Times New Roman" w:eastAsia="Times New Roman" w:hAnsi="Times New Roman" w:cs="Times New Roman"/>
      <w:sz w:val="24"/>
      <w:szCs w:val="24"/>
      <w:lang w:eastAsia="es-ES"/>
    </w:rPr>
  </w:style>
  <w:style w:type="character" w:customStyle="1" w:styleId="SinespaciadoCar">
    <w:name w:val="Sin espaciado Car"/>
    <w:basedOn w:val="Fuentedeprrafopredeter"/>
    <w:link w:val="Sinespaciado"/>
    <w:uiPriority w:val="1"/>
    <w:locked/>
    <w:rsid w:val="00DD4071"/>
    <w:rPr>
      <w:rFonts w:ascii="Calibri" w:hAnsi="Calibri"/>
    </w:rPr>
  </w:style>
  <w:style w:type="paragraph" w:styleId="Sinespaciado">
    <w:name w:val="No Spacing"/>
    <w:basedOn w:val="Normal"/>
    <w:link w:val="SinespaciadoCar"/>
    <w:uiPriority w:val="1"/>
    <w:qFormat/>
    <w:rsid w:val="00DD4071"/>
    <w:rPr>
      <w:rFonts w:ascii="Calibri" w:eastAsiaTheme="minorHAnsi" w:hAnsi="Calibri" w:cstheme="minorBidi"/>
      <w:sz w:val="22"/>
      <w:szCs w:val="22"/>
      <w:lang w:eastAsia="en-US"/>
    </w:rPr>
  </w:style>
  <w:style w:type="paragraph" w:styleId="Textonotapie">
    <w:name w:val="footnote text"/>
    <w:basedOn w:val="Normal"/>
    <w:link w:val="TextonotapieCar"/>
    <w:uiPriority w:val="99"/>
    <w:semiHidden/>
    <w:unhideWhenUsed/>
    <w:rsid w:val="00812EA2"/>
    <w:rPr>
      <w:sz w:val="20"/>
      <w:szCs w:val="20"/>
    </w:rPr>
  </w:style>
  <w:style w:type="character" w:customStyle="1" w:styleId="TextonotapieCar">
    <w:name w:val="Texto nota pie Car"/>
    <w:basedOn w:val="Fuentedeprrafopredeter"/>
    <w:link w:val="Textonotapie"/>
    <w:uiPriority w:val="99"/>
    <w:semiHidden/>
    <w:rsid w:val="00812EA2"/>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812EA2"/>
    <w:rPr>
      <w:vertAlign w:val="superscript"/>
    </w:rPr>
  </w:style>
  <w:style w:type="character" w:customStyle="1" w:styleId="PrrafodelistaCar">
    <w:name w:val="Párrafo de lista Car"/>
    <w:basedOn w:val="Fuentedeprrafopredeter"/>
    <w:link w:val="Prrafodelista"/>
    <w:uiPriority w:val="34"/>
    <w:locked/>
    <w:rsid w:val="003D7079"/>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61319">
      <w:bodyDiv w:val="1"/>
      <w:marLeft w:val="0"/>
      <w:marRight w:val="0"/>
      <w:marTop w:val="0"/>
      <w:marBottom w:val="0"/>
      <w:divBdr>
        <w:top w:val="none" w:sz="0" w:space="0" w:color="auto"/>
        <w:left w:val="none" w:sz="0" w:space="0" w:color="auto"/>
        <w:bottom w:val="none" w:sz="0" w:space="0" w:color="auto"/>
        <w:right w:val="none" w:sz="0" w:space="0" w:color="auto"/>
      </w:divBdr>
    </w:div>
    <w:div w:id="522210871">
      <w:bodyDiv w:val="1"/>
      <w:marLeft w:val="0"/>
      <w:marRight w:val="0"/>
      <w:marTop w:val="0"/>
      <w:marBottom w:val="0"/>
      <w:divBdr>
        <w:top w:val="none" w:sz="0" w:space="0" w:color="auto"/>
        <w:left w:val="none" w:sz="0" w:space="0" w:color="auto"/>
        <w:bottom w:val="none" w:sz="0" w:space="0" w:color="auto"/>
        <w:right w:val="none" w:sz="0" w:space="0" w:color="auto"/>
      </w:divBdr>
    </w:div>
    <w:div w:id="740564189">
      <w:bodyDiv w:val="1"/>
      <w:marLeft w:val="0"/>
      <w:marRight w:val="0"/>
      <w:marTop w:val="0"/>
      <w:marBottom w:val="0"/>
      <w:divBdr>
        <w:top w:val="none" w:sz="0" w:space="0" w:color="auto"/>
        <w:left w:val="none" w:sz="0" w:space="0" w:color="auto"/>
        <w:bottom w:val="none" w:sz="0" w:space="0" w:color="auto"/>
        <w:right w:val="none" w:sz="0" w:space="0" w:color="auto"/>
      </w:divBdr>
    </w:div>
    <w:div w:id="746264293">
      <w:bodyDiv w:val="1"/>
      <w:marLeft w:val="0"/>
      <w:marRight w:val="0"/>
      <w:marTop w:val="0"/>
      <w:marBottom w:val="0"/>
      <w:divBdr>
        <w:top w:val="none" w:sz="0" w:space="0" w:color="auto"/>
        <w:left w:val="none" w:sz="0" w:space="0" w:color="auto"/>
        <w:bottom w:val="none" w:sz="0" w:space="0" w:color="auto"/>
        <w:right w:val="none" w:sz="0" w:space="0" w:color="auto"/>
      </w:divBdr>
      <w:divsChild>
        <w:div w:id="764422325">
          <w:marLeft w:val="1080"/>
          <w:marRight w:val="0"/>
          <w:marTop w:val="0"/>
          <w:marBottom w:val="90"/>
          <w:divBdr>
            <w:top w:val="none" w:sz="0" w:space="0" w:color="auto"/>
            <w:left w:val="none" w:sz="0" w:space="0" w:color="auto"/>
            <w:bottom w:val="none" w:sz="0" w:space="0" w:color="auto"/>
            <w:right w:val="none" w:sz="0" w:space="0" w:color="auto"/>
          </w:divBdr>
        </w:div>
        <w:div w:id="986781242">
          <w:marLeft w:val="1080"/>
          <w:marRight w:val="0"/>
          <w:marTop w:val="0"/>
          <w:marBottom w:val="90"/>
          <w:divBdr>
            <w:top w:val="none" w:sz="0" w:space="0" w:color="auto"/>
            <w:left w:val="none" w:sz="0" w:space="0" w:color="auto"/>
            <w:bottom w:val="none" w:sz="0" w:space="0" w:color="auto"/>
            <w:right w:val="none" w:sz="0" w:space="0" w:color="auto"/>
          </w:divBdr>
        </w:div>
      </w:divsChild>
    </w:div>
    <w:div w:id="865218465">
      <w:bodyDiv w:val="1"/>
      <w:marLeft w:val="0"/>
      <w:marRight w:val="0"/>
      <w:marTop w:val="0"/>
      <w:marBottom w:val="0"/>
      <w:divBdr>
        <w:top w:val="none" w:sz="0" w:space="0" w:color="auto"/>
        <w:left w:val="none" w:sz="0" w:space="0" w:color="auto"/>
        <w:bottom w:val="none" w:sz="0" w:space="0" w:color="auto"/>
        <w:right w:val="none" w:sz="0" w:space="0" w:color="auto"/>
      </w:divBdr>
    </w:div>
    <w:div w:id="1145001167">
      <w:bodyDiv w:val="1"/>
      <w:marLeft w:val="0"/>
      <w:marRight w:val="0"/>
      <w:marTop w:val="0"/>
      <w:marBottom w:val="0"/>
      <w:divBdr>
        <w:top w:val="none" w:sz="0" w:space="0" w:color="auto"/>
        <w:left w:val="none" w:sz="0" w:space="0" w:color="auto"/>
        <w:bottom w:val="none" w:sz="0" w:space="0" w:color="auto"/>
        <w:right w:val="none" w:sz="0" w:space="0" w:color="auto"/>
      </w:divBdr>
    </w:div>
    <w:div w:id="1445003718">
      <w:bodyDiv w:val="1"/>
      <w:marLeft w:val="0"/>
      <w:marRight w:val="0"/>
      <w:marTop w:val="0"/>
      <w:marBottom w:val="0"/>
      <w:divBdr>
        <w:top w:val="none" w:sz="0" w:space="0" w:color="auto"/>
        <w:left w:val="none" w:sz="0" w:space="0" w:color="auto"/>
        <w:bottom w:val="none" w:sz="0" w:space="0" w:color="auto"/>
        <w:right w:val="none" w:sz="0" w:space="0" w:color="auto"/>
      </w:divBdr>
    </w:div>
    <w:div w:id="1469012766">
      <w:bodyDiv w:val="1"/>
      <w:marLeft w:val="0"/>
      <w:marRight w:val="0"/>
      <w:marTop w:val="0"/>
      <w:marBottom w:val="0"/>
      <w:divBdr>
        <w:top w:val="none" w:sz="0" w:space="0" w:color="auto"/>
        <w:left w:val="none" w:sz="0" w:space="0" w:color="auto"/>
        <w:bottom w:val="none" w:sz="0" w:space="0" w:color="auto"/>
        <w:right w:val="none" w:sz="0" w:space="0" w:color="auto"/>
      </w:divBdr>
    </w:div>
    <w:div w:id="1897163082">
      <w:bodyDiv w:val="1"/>
      <w:marLeft w:val="0"/>
      <w:marRight w:val="0"/>
      <w:marTop w:val="0"/>
      <w:marBottom w:val="0"/>
      <w:divBdr>
        <w:top w:val="none" w:sz="0" w:space="0" w:color="auto"/>
        <w:left w:val="none" w:sz="0" w:space="0" w:color="auto"/>
        <w:bottom w:val="none" w:sz="0" w:space="0" w:color="auto"/>
        <w:right w:val="none" w:sz="0" w:space="0" w:color="auto"/>
      </w:divBdr>
      <w:divsChild>
        <w:div w:id="1261447349">
          <w:marLeft w:val="1080"/>
          <w:marRight w:val="0"/>
          <w:marTop w:val="0"/>
          <w:marBottom w:val="90"/>
          <w:divBdr>
            <w:top w:val="none" w:sz="0" w:space="0" w:color="auto"/>
            <w:left w:val="none" w:sz="0" w:space="0" w:color="auto"/>
            <w:bottom w:val="none" w:sz="0" w:space="0" w:color="auto"/>
            <w:right w:val="none" w:sz="0" w:space="0" w:color="auto"/>
          </w:divBdr>
        </w:div>
        <w:div w:id="1119834868">
          <w:marLeft w:val="1080"/>
          <w:marRight w:val="0"/>
          <w:marTop w:val="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en de título" Version="2003"/>
</file>

<file path=customXml/itemProps1.xml><?xml version="1.0" encoding="utf-8"?>
<ds:datastoreItem xmlns:ds="http://schemas.openxmlformats.org/officeDocument/2006/customXml" ds:itemID="{A8B16E60-49BE-44AE-B942-BFE29E502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2883</Words>
  <Characters>15860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Dirección de Normatividad Técnica</dc:creator>
  <cp:lastModifiedBy>Karen Beatriz Martinez Munguia</cp:lastModifiedBy>
  <cp:revision>6</cp:revision>
  <cp:lastPrinted>2016-03-01T20:06:00Z</cp:lastPrinted>
  <dcterms:created xsi:type="dcterms:W3CDTF">2016-12-09T17:41:00Z</dcterms:created>
  <dcterms:modified xsi:type="dcterms:W3CDTF">2016-12-12T17:29:00Z</dcterms:modified>
</cp:coreProperties>
</file>