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6B224" w14:textId="179422F5" w:rsidR="000655A2" w:rsidRPr="0052424C" w:rsidRDefault="00C35169" w:rsidP="000655A2">
      <w:pPr>
        <w:spacing w:after="0" w:line="240" w:lineRule="auto"/>
        <w:ind w:right="-57"/>
        <w:jc w:val="both"/>
        <w:rPr>
          <w:rFonts w:ascii="ITC Avant Garde" w:hAnsi="ITC Avant Garde"/>
          <w:b/>
        </w:rPr>
      </w:pPr>
      <w:r w:rsidRPr="0052424C">
        <w:rPr>
          <w:rFonts w:ascii="ITC Avant Garde" w:hAnsi="ITC Avant Garde" w:cs="Tahoma"/>
          <w:b/>
          <w:bCs/>
        </w:rPr>
        <w:t xml:space="preserve">ACUERDO MEDIANTE EL CUAL EL PLENO DEL INSTITUTO FEDERAL DE TELECOMUNICACIONES DETERMINA SOMETER A CONSULTA PÚBLICA EL </w:t>
      </w:r>
      <w:r w:rsidR="00A533D3" w:rsidRPr="0052424C">
        <w:rPr>
          <w:rFonts w:ascii="ITC Avant Garde" w:hAnsi="ITC Avant Garde" w:cs="Tahoma"/>
          <w:b/>
          <w:bCs/>
        </w:rPr>
        <w:t>ANTEPROYECTO</w:t>
      </w:r>
      <w:r w:rsidR="00E74BB3" w:rsidRPr="0052424C">
        <w:rPr>
          <w:rFonts w:ascii="ITC Avant Garde" w:hAnsi="ITC Avant Garde" w:cs="Tahoma"/>
          <w:b/>
          <w:bCs/>
        </w:rPr>
        <w:t xml:space="preserve"> DE </w:t>
      </w:r>
      <w:r w:rsidR="00FD30D9">
        <w:rPr>
          <w:rFonts w:ascii="ITC Avant Garde" w:hAnsi="ITC Avant Garde" w:cs="Tahoma"/>
          <w:b/>
          <w:bCs/>
        </w:rPr>
        <w:t>LINEAMIENTOS QUE ESTABLECEN LAS</w:t>
      </w:r>
      <w:r w:rsidR="00022C9B" w:rsidRPr="0052424C">
        <w:rPr>
          <w:rFonts w:ascii="ITC Avant Garde" w:hAnsi="ITC Avant Garde" w:cs="Tahoma"/>
          <w:b/>
          <w:bCs/>
        </w:rPr>
        <w:t xml:space="preserve"> ESPECIFICACIONES Y REQUERIMIENTOS MÍNIMOS PARA LA INSTALACIÓN Y OPERACIÓN DE ESTACIONES DE RADIODIFUSIÓN DE TELEVISIÓN DIGITAL TERRESTRE (TDT)</w:t>
      </w:r>
      <w:r w:rsidR="00FD30D9">
        <w:rPr>
          <w:rFonts w:ascii="ITC Avant Garde" w:hAnsi="ITC Avant Garde" w:cs="Tahoma"/>
          <w:b/>
          <w:bCs/>
        </w:rPr>
        <w:t xml:space="preserve"> Y FIJAN LOS </w:t>
      </w:r>
      <w:r w:rsidR="00022C9B" w:rsidRPr="0052424C">
        <w:rPr>
          <w:rFonts w:ascii="ITC Avant Garde" w:hAnsi="ITC Avant Garde" w:cs="Tahoma"/>
          <w:b/>
          <w:bCs/>
        </w:rPr>
        <w:t>ÍNDICES</w:t>
      </w:r>
      <w:r w:rsidR="00FD30D9">
        <w:rPr>
          <w:rFonts w:ascii="ITC Avant Garde" w:hAnsi="ITC Avant Garde" w:cs="Tahoma"/>
          <w:b/>
          <w:bCs/>
        </w:rPr>
        <w:t xml:space="preserve"> Y PARÁMETROS</w:t>
      </w:r>
      <w:r w:rsidR="00022C9B" w:rsidRPr="0052424C">
        <w:rPr>
          <w:rFonts w:ascii="ITC Avant Garde" w:hAnsi="ITC Avant Garde" w:cs="Tahoma"/>
          <w:b/>
          <w:bCs/>
        </w:rPr>
        <w:t xml:space="preserve"> DE CALIDAD </w:t>
      </w:r>
      <w:r w:rsidR="00FD30D9">
        <w:rPr>
          <w:rFonts w:ascii="ITC Avant Garde" w:hAnsi="ITC Avant Garde" w:cs="Tahoma"/>
          <w:b/>
          <w:bCs/>
        </w:rPr>
        <w:t xml:space="preserve">A QUE DEBERÁN SUJETARSE LOS CONCESIONARIOS </w:t>
      </w:r>
      <w:r w:rsidR="00FD30D9" w:rsidRPr="0052424C">
        <w:rPr>
          <w:rFonts w:ascii="ITC Avant Garde" w:hAnsi="ITC Avant Garde" w:cs="Tahoma"/>
          <w:b/>
          <w:bCs/>
        </w:rPr>
        <w:t>DEL SERVICIO</w:t>
      </w:r>
      <w:r w:rsidR="00FD30D9">
        <w:rPr>
          <w:rFonts w:ascii="ITC Avant Garde" w:hAnsi="ITC Avant Garde" w:cs="Tahoma"/>
          <w:b/>
          <w:bCs/>
        </w:rPr>
        <w:t xml:space="preserve"> DE RADIODIFUSIÓN DE TDT</w:t>
      </w:r>
    </w:p>
    <w:p w14:paraId="3A7B0F7E" w14:textId="728E1E33" w:rsidR="00C35169" w:rsidRPr="0052424C" w:rsidRDefault="00C35169" w:rsidP="00C35169">
      <w:pPr>
        <w:spacing w:after="0" w:line="240" w:lineRule="auto"/>
        <w:ind w:right="-57"/>
        <w:jc w:val="both"/>
        <w:rPr>
          <w:rFonts w:ascii="ITC Avant Garde" w:hAnsi="ITC Avant Garde"/>
          <w:b/>
        </w:rPr>
      </w:pPr>
    </w:p>
    <w:p w14:paraId="21D15DB2" w14:textId="77777777" w:rsidR="00C35169" w:rsidRPr="0052424C" w:rsidRDefault="00C35169" w:rsidP="00C35169">
      <w:pPr>
        <w:pStyle w:val="Default"/>
        <w:spacing w:line="360" w:lineRule="auto"/>
        <w:jc w:val="center"/>
        <w:rPr>
          <w:rFonts w:ascii="ITC Avant Garde" w:hAnsi="ITC Avant Garde"/>
          <w:b/>
          <w:bCs/>
          <w:color w:val="auto"/>
          <w:sz w:val="22"/>
          <w:szCs w:val="22"/>
          <w:lang w:val="es-ES_tradnl"/>
        </w:rPr>
      </w:pPr>
      <w:r w:rsidRPr="0052424C">
        <w:rPr>
          <w:rFonts w:ascii="ITC Avant Garde" w:hAnsi="ITC Avant Garde"/>
          <w:b/>
          <w:bCs/>
          <w:color w:val="auto"/>
          <w:sz w:val="22"/>
          <w:szCs w:val="22"/>
          <w:lang w:val="es-ES_tradnl"/>
        </w:rPr>
        <w:t>A N T E C E D E N T E S</w:t>
      </w:r>
    </w:p>
    <w:p w14:paraId="78042CA9" w14:textId="77777777" w:rsidR="00C35169" w:rsidRPr="0052424C" w:rsidRDefault="00C35169" w:rsidP="00C35169">
      <w:pPr>
        <w:pStyle w:val="Default"/>
        <w:spacing w:line="360" w:lineRule="auto"/>
        <w:jc w:val="center"/>
        <w:rPr>
          <w:rFonts w:ascii="ITC Avant Garde" w:hAnsi="ITC Avant Garde"/>
          <w:b/>
          <w:bCs/>
          <w:color w:val="auto"/>
          <w:sz w:val="22"/>
          <w:szCs w:val="22"/>
          <w:lang w:val="es-ES_tradnl"/>
        </w:rPr>
      </w:pPr>
    </w:p>
    <w:p w14:paraId="533235AC" w14:textId="77777777" w:rsidR="00C35169" w:rsidRPr="0052424C" w:rsidRDefault="00C35169" w:rsidP="00C35169">
      <w:pPr>
        <w:spacing w:after="0" w:line="360" w:lineRule="auto"/>
        <w:jc w:val="both"/>
        <w:rPr>
          <w:rFonts w:ascii="ITC Avant Garde" w:hAnsi="ITC Avant Garde"/>
        </w:rPr>
      </w:pPr>
      <w:r w:rsidRPr="0052424C">
        <w:rPr>
          <w:rFonts w:ascii="ITC Avant Garde" w:hAnsi="ITC Avant Garde"/>
          <w:b/>
        </w:rPr>
        <w:t>I.-</w:t>
      </w:r>
      <w:r w:rsidRPr="0052424C">
        <w:rPr>
          <w:rFonts w:ascii="ITC Avant Garde" w:hAnsi="ITC Avant Garde"/>
        </w:rPr>
        <w:t xml:space="preserve"> El 11 de junio de 2013, se creó el Instituto Federal de Telecomunicaciones (en lo sucesivo, el “Instituto”) como un órgano autónomo con personalidad jurídica y patrimonio propio, para regular, promover y supervisar el uso, aprovechamiento y explotación de los servicios de radiodifusión y telecomunicaciones, además de ser la autoridad en materia de competencia económica en los sectores de los servicios antes aludidos, conforme a lo dispuesto en el “Decreto por el que se reforman y adicionan diversas disposiciones de los artículos 6o., 7o., 27, 28, 73, 78, 94 y 105 de la Constitución Política de los Estados Unidos Mexicanos, en materia de telecomunicaciones” (en lo sucesivo, el “Decreto”) publicado en el Diario Oficial de la Federación (en lo sucesivo, DOF) en la fecha antes señalada y el cual entró en vigor al día siguiente de su publicación, es decir el día 12 de junio de 2013.</w:t>
      </w:r>
    </w:p>
    <w:p w14:paraId="4841DF13" w14:textId="77777777" w:rsidR="00C35169" w:rsidRPr="0052424C" w:rsidRDefault="00C35169" w:rsidP="00C35169">
      <w:pPr>
        <w:spacing w:after="0" w:line="360" w:lineRule="auto"/>
        <w:jc w:val="both"/>
        <w:rPr>
          <w:rFonts w:ascii="ITC Avant Garde" w:hAnsi="ITC Avant Garde"/>
        </w:rPr>
      </w:pPr>
    </w:p>
    <w:p w14:paraId="2217C2B5" w14:textId="77777777" w:rsidR="00C35169" w:rsidRPr="0052424C" w:rsidRDefault="00C35169" w:rsidP="00C35169">
      <w:pPr>
        <w:spacing w:after="0" w:line="360" w:lineRule="auto"/>
        <w:jc w:val="both"/>
        <w:rPr>
          <w:rFonts w:ascii="ITC Avant Garde" w:hAnsi="ITC Avant Garde"/>
        </w:rPr>
      </w:pPr>
      <w:r w:rsidRPr="0052424C">
        <w:rPr>
          <w:rFonts w:ascii="ITC Avant Garde" w:hAnsi="ITC Avant Garde"/>
          <w:b/>
        </w:rPr>
        <w:t>II.-</w:t>
      </w:r>
      <w:r w:rsidRPr="0052424C">
        <w:rPr>
          <w:rFonts w:ascii="ITC Avant Garde" w:hAnsi="ITC Avant Garde"/>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ordenamientos que entraron en vigor treinta días naturales siguientes a su publicación, es decir, el 13 de agosto de 2014.</w:t>
      </w:r>
    </w:p>
    <w:p w14:paraId="04955553" w14:textId="77777777" w:rsidR="00C35169" w:rsidRPr="0052424C" w:rsidRDefault="00C35169" w:rsidP="00C35169">
      <w:pPr>
        <w:spacing w:after="0" w:line="360" w:lineRule="auto"/>
        <w:jc w:val="both"/>
        <w:rPr>
          <w:rFonts w:ascii="ITC Avant Garde" w:hAnsi="ITC Avant Garde"/>
        </w:rPr>
      </w:pPr>
    </w:p>
    <w:p w14:paraId="74CC6B63" w14:textId="5B651846" w:rsidR="00C35169" w:rsidRPr="0052424C" w:rsidRDefault="00C35169" w:rsidP="00CA1323">
      <w:pPr>
        <w:spacing w:after="0" w:line="360" w:lineRule="auto"/>
        <w:jc w:val="both"/>
        <w:rPr>
          <w:rFonts w:ascii="ITC Avant Garde" w:hAnsi="ITC Avant Garde"/>
        </w:rPr>
      </w:pPr>
      <w:r w:rsidRPr="0052424C">
        <w:rPr>
          <w:rFonts w:ascii="ITC Avant Garde" w:hAnsi="ITC Avant Garde"/>
          <w:b/>
        </w:rPr>
        <w:t>III</w:t>
      </w:r>
      <w:r w:rsidRPr="0052424C">
        <w:rPr>
          <w:rFonts w:ascii="ITC Avant Garde" w:hAnsi="ITC Avant Garde"/>
        </w:rPr>
        <w:t>.- El 4 de septiembre de 2014, se publicó en el DOF el Estatuto Orgánico del Instituto (en lo sucesivo, el “Estatuto”), mismo que entró en vigor el 26 de septiembre de 2014</w:t>
      </w:r>
      <w:r w:rsidR="00A533D3" w:rsidRPr="0052424C">
        <w:rPr>
          <w:rFonts w:ascii="ITC Avant Garde" w:hAnsi="ITC Avant Garde"/>
        </w:rPr>
        <w:t xml:space="preserve"> y fue modificado el 17 de octubre de 2014</w:t>
      </w:r>
      <w:r w:rsidR="008E6E1C" w:rsidRPr="0052424C">
        <w:rPr>
          <w:rFonts w:ascii="ITC Avant Garde" w:hAnsi="ITC Avant Garde"/>
        </w:rPr>
        <w:t>.</w:t>
      </w:r>
    </w:p>
    <w:p w14:paraId="24A7BE64" w14:textId="77777777" w:rsidR="00E74BB3" w:rsidRPr="0052424C" w:rsidRDefault="00E74BB3" w:rsidP="00C35169">
      <w:pPr>
        <w:pStyle w:val="Default"/>
        <w:tabs>
          <w:tab w:val="left" w:pos="0"/>
        </w:tabs>
        <w:spacing w:line="360" w:lineRule="auto"/>
        <w:rPr>
          <w:rFonts w:ascii="ITC Avant Garde" w:hAnsi="ITC Avant Garde"/>
          <w:bCs/>
          <w:color w:val="auto"/>
          <w:sz w:val="22"/>
          <w:szCs w:val="22"/>
          <w:lang w:val="es-ES_tradnl"/>
        </w:rPr>
      </w:pPr>
    </w:p>
    <w:p w14:paraId="6140ABB9" w14:textId="77777777" w:rsidR="00C35169" w:rsidRPr="0052424C" w:rsidRDefault="00C35169" w:rsidP="00C35169">
      <w:pPr>
        <w:pStyle w:val="Default"/>
        <w:tabs>
          <w:tab w:val="left" w:pos="0"/>
        </w:tabs>
        <w:spacing w:line="360" w:lineRule="auto"/>
        <w:rPr>
          <w:rFonts w:ascii="ITC Avant Garde" w:hAnsi="ITC Avant Garde"/>
          <w:bCs/>
          <w:color w:val="auto"/>
          <w:sz w:val="22"/>
          <w:szCs w:val="22"/>
          <w:lang w:val="es-ES_tradnl"/>
        </w:rPr>
      </w:pPr>
      <w:r w:rsidRPr="0052424C">
        <w:rPr>
          <w:rFonts w:ascii="ITC Avant Garde" w:hAnsi="ITC Avant Garde"/>
          <w:bCs/>
          <w:color w:val="auto"/>
          <w:sz w:val="22"/>
          <w:szCs w:val="22"/>
          <w:lang w:val="es-ES_tradnl"/>
        </w:rPr>
        <w:t>Derivado de lo anterior y conforme a los siguientes:</w:t>
      </w:r>
    </w:p>
    <w:p w14:paraId="6F224DC8" w14:textId="071C9CCF" w:rsidR="00C35169" w:rsidRPr="0052424C" w:rsidRDefault="00C35169" w:rsidP="00C35169">
      <w:pPr>
        <w:pStyle w:val="Default"/>
        <w:tabs>
          <w:tab w:val="left" w:pos="0"/>
        </w:tabs>
        <w:spacing w:line="360" w:lineRule="auto"/>
        <w:jc w:val="center"/>
        <w:rPr>
          <w:rFonts w:ascii="ITC Avant Garde" w:hAnsi="ITC Avant Garde"/>
          <w:b/>
          <w:bCs/>
          <w:color w:val="auto"/>
          <w:sz w:val="22"/>
          <w:szCs w:val="22"/>
          <w:lang w:val="es-ES_tradnl"/>
        </w:rPr>
      </w:pPr>
      <w:r w:rsidRPr="0052424C">
        <w:rPr>
          <w:rFonts w:ascii="ITC Avant Garde" w:hAnsi="ITC Avant Garde"/>
          <w:b/>
          <w:bCs/>
          <w:color w:val="auto"/>
          <w:sz w:val="22"/>
          <w:szCs w:val="22"/>
          <w:lang w:val="es-ES_tradnl"/>
        </w:rPr>
        <w:lastRenderedPageBreak/>
        <w:t xml:space="preserve">C O N S I D E R A N D O </w:t>
      </w:r>
    </w:p>
    <w:p w14:paraId="120ED384" w14:textId="77777777" w:rsidR="00C35169" w:rsidRPr="0052424C" w:rsidRDefault="00C35169" w:rsidP="00C35169">
      <w:pPr>
        <w:pStyle w:val="Default"/>
        <w:tabs>
          <w:tab w:val="left" w:pos="0"/>
        </w:tabs>
        <w:spacing w:line="360" w:lineRule="auto"/>
        <w:jc w:val="center"/>
        <w:rPr>
          <w:rFonts w:ascii="ITC Avant Garde" w:hAnsi="ITC Avant Garde"/>
          <w:b/>
          <w:bCs/>
          <w:color w:val="auto"/>
          <w:sz w:val="22"/>
          <w:szCs w:val="22"/>
          <w:lang w:val="es-ES_tradnl"/>
        </w:rPr>
      </w:pPr>
    </w:p>
    <w:p w14:paraId="5DD52B1E" w14:textId="4D4A7C4C" w:rsidR="00C35169" w:rsidRPr="0052424C" w:rsidRDefault="00C35169" w:rsidP="00C35169">
      <w:pPr>
        <w:spacing w:after="0" w:line="360" w:lineRule="auto"/>
        <w:jc w:val="both"/>
        <w:rPr>
          <w:rFonts w:ascii="ITC Avant Garde" w:hAnsi="ITC Avant Garde"/>
        </w:rPr>
      </w:pPr>
      <w:r w:rsidRPr="0052424C">
        <w:rPr>
          <w:rFonts w:ascii="ITC Avant Garde" w:hAnsi="ITC Avant Garde"/>
          <w:b/>
        </w:rPr>
        <w:t>PRIMERO.-</w:t>
      </w:r>
      <w:r w:rsidR="00A533D3" w:rsidRPr="0052424C">
        <w:rPr>
          <w:rFonts w:ascii="ITC Avant Garde" w:hAnsi="ITC Avant Garde"/>
          <w:b/>
        </w:rPr>
        <w:t xml:space="preserve"> COMPETENCIA DEL INSTITUTO.</w:t>
      </w:r>
      <w:r w:rsidRPr="0052424C">
        <w:rPr>
          <w:rFonts w:ascii="ITC Avant Garde" w:hAnsi="ITC Avant Garde"/>
        </w:rPr>
        <w:t xml:space="preserve"> Que de conformidad con lo establecido en los artículos 28, párrafo décimo quinto de la Constitución Política de los Estados Unidos Mexicanos (en lo sucesivo, la “Constitución”), así como en los diversos 1, </w:t>
      </w:r>
      <w:r w:rsidRPr="0052424C">
        <w:rPr>
          <w:rFonts w:ascii="ITC Avant Garde" w:hAnsi="ITC Avant Garde"/>
          <w:bCs/>
        </w:rPr>
        <w:t xml:space="preserve">2, 7 </w:t>
      </w:r>
      <w:r w:rsidRPr="0052424C">
        <w:rPr>
          <w:rFonts w:ascii="ITC Avant Garde" w:hAnsi="ITC Avant Garde"/>
        </w:rPr>
        <w:t xml:space="preserve">de la Ley Federal de Telecomunicaciones y Radiodifusión (en lo sucesivo, “LFTR”),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además de ser la autoridad en materia de competencia económica en los sectores de los servicios antes aludidos. </w:t>
      </w:r>
    </w:p>
    <w:p w14:paraId="55E418A1" w14:textId="77777777" w:rsidR="00C35169" w:rsidRPr="0052424C" w:rsidRDefault="00C35169" w:rsidP="00C35169">
      <w:pPr>
        <w:spacing w:after="0" w:line="360" w:lineRule="auto"/>
        <w:jc w:val="both"/>
        <w:rPr>
          <w:rFonts w:ascii="ITC Avant Garde" w:hAnsi="ITC Avant Garde"/>
        </w:rPr>
      </w:pPr>
    </w:p>
    <w:p w14:paraId="357B2F45" w14:textId="2BD57F34" w:rsidR="00C35169" w:rsidRPr="0052424C" w:rsidRDefault="00C35169" w:rsidP="00C35169">
      <w:pPr>
        <w:spacing w:after="0" w:line="360" w:lineRule="auto"/>
        <w:jc w:val="both"/>
        <w:rPr>
          <w:rFonts w:ascii="ITC Avant Garde" w:hAnsi="ITC Avant Garde"/>
        </w:rPr>
      </w:pPr>
      <w:r w:rsidRPr="0052424C">
        <w:rPr>
          <w:rFonts w:ascii="ITC Avant Garde" w:hAnsi="ITC Avant Garde"/>
        </w:rPr>
        <w:t>Asimismo, el Instituto cuenta con facultades y atribuciones para emitir el presente Acuerdo y realizar una consulta pública respecto de</w:t>
      </w:r>
      <w:r w:rsidR="00A533D3" w:rsidRPr="0052424C">
        <w:rPr>
          <w:rFonts w:ascii="ITC Avant Garde" w:hAnsi="ITC Avant Garde"/>
        </w:rPr>
        <w:t xml:space="preserve">l </w:t>
      </w:r>
      <w:r w:rsidR="00FD30D9" w:rsidRPr="00FD30D9">
        <w:rPr>
          <w:rFonts w:ascii="ITC Avant Garde" w:hAnsi="ITC Avant Garde"/>
        </w:rPr>
        <w:t xml:space="preserve">ANTEPROYECTO DE LINEAMIENTOS QUE ESTABLECEN LAS ESPECIFICACIONES Y REQUERIMIENTOS MÍNIMOS PARA LA INSTALACIÓN Y OPERACIÓN DE ESTACIONES DE RADIODIFUSIÓN DE TELEVISIÓN DIGITAL TERRESTRE (TDT) Y FIJAN LOS ÍNDICES Y PARÁMETROS DE CALIDAD A QUE DEBERÁN SUJETARSE LOS CONCESIONARIOS DEL SERVICIO DE RADIODIFUSIÓN DE TDT </w:t>
      </w:r>
      <w:r w:rsidRPr="0052424C">
        <w:rPr>
          <w:rFonts w:ascii="ITC Avant Garde" w:hAnsi="ITC Avant Garde"/>
          <w:bCs/>
        </w:rPr>
        <w:t xml:space="preserve">(en lo sucesivo, el “Anteproyecto”), propuesto por la Unidad de Política Regulatoria, conforme las atribuciones conferidas en </w:t>
      </w:r>
      <w:r w:rsidR="00E9247F" w:rsidRPr="0052424C">
        <w:rPr>
          <w:rFonts w:ascii="ITC Avant Garde" w:hAnsi="ITC Avant Garde"/>
          <w:bCs/>
        </w:rPr>
        <w:t>los artículos</w:t>
      </w:r>
      <w:r w:rsidR="00A431F1" w:rsidRPr="0052424C">
        <w:rPr>
          <w:rFonts w:ascii="ITC Avant Garde" w:hAnsi="ITC Avant Garde"/>
          <w:bCs/>
        </w:rPr>
        <w:t xml:space="preserve"> </w:t>
      </w:r>
      <w:r w:rsidR="00E74BB3" w:rsidRPr="0052424C">
        <w:rPr>
          <w:rFonts w:ascii="ITC Avant Garde" w:hAnsi="ITC Avant Garde"/>
          <w:bCs/>
        </w:rPr>
        <w:t>15, fracciones I</w:t>
      </w:r>
      <w:r w:rsidR="001064EB" w:rsidRPr="0052424C">
        <w:rPr>
          <w:rFonts w:ascii="ITC Avant Garde" w:hAnsi="ITC Avant Garde"/>
          <w:bCs/>
        </w:rPr>
        <w:t>, XLVII y LIX</w:t>
      </w:r>
      <w:r w:rsidR="00E74BB3" w:rsidRPr="0052424C">
        <w:rPr>
          <w:rFonts w:ascii="ITC Avant Garde" w:hAnsi="ITC Avant Garde"/>
          <w:bCs/>
        </w:rPr>
        <w:t xml:space="preserve"> </w:t>
      </w:r>
      <w:r w:rsidR="006B6249">
        <w:rPr>
          <w:rFonts w:ascii="ITC Avant Garde" w:hAnsi="ITC Avant Garde"/>
          <w:bCs/>
        </w:rPr>
        <w:t xml:space="preserve">51, </w:t>
      </w:r>
      <w:r w:rsidR="00E9247F" w:rsidRPr="0052424C">
        <w:rPr>
          <w:rFonts w:ascii="ITC Avant Garde" w:hAnsi="ITC Avant Garde"/>
          <w:bCs/>
        </w:rPr>
        <w:t>52</w:t>
      </w:r>
      <w:r w:rsidR="006B6249">
        <w:rPr>
          <w:rFonts w:ascii="ITC Avant Garde" w:hAnsi="ITC Avant Garde"/>
          <w:bCs/>
        </w:rPr>
        <w:t xml:space="preserve"> y 155</w:t>
      </w:r>
      <w:r w:rsidR="00F63070" w:rsidRPr="0052424C">
        <w:rPr>
          <w:rFonts w:ascii="ITC Avant Garde" w:hAnsi="ITC Avant Garde"/>
          <w:bCs/>
        </w:rPr>
        <w:t xml:space="preserve"> de la LFTR,</w:t>
      </w:r>
      <w:r w:rsidR="00E9247F" w:rsidRPr="0052424C">
        <w:rPr>
          <w:rFonts w:ascii="ITC Avant Garde" w:hAnsi="ITC Avant Garde"/>
          <w:bCs/>
        </w:rPr>
        <w:t xml:space="preserve"> y los artículos</w:t>
      </w:r>
      <w:r w:rsidR="00A8140D" w:rsidRPr="0052424C">
        <w:rPr>
          <w:rFonts w:ascii="ITC Avant Garde" w:hAnsi="ITC Avant Garde"/>
          <w:bCs/>
        </w:rPr>
        <w:t xml:space="preserve"> </w:t>
      </w:r>
      <w:r w:rsidR="00F63070" w:rsidRPr="0052424C">
        <w:rPr>
          <w:rFonts w:ascii="ITC Avant Garde" w:hAnsi="ITC Avant Garde"/>
          <w:bCs/>
        </w:rPr>
        <w:t xml:space="preserve">22, fracción I y 23, fracciones III y XIII </w:t>
      </w:r>
      <w:r w:rsidR="00E9247F" w:rsidRPr="0052424C">
        <w:rPr>
          <w:rFonts w:ascii="ITC Avant Garde" w:hAnsi="ITC Avant Garde"/>
          <w:b/>
          <w:bCs/>
        </w:rPr>
        <w:t xml:space="preserve"> </w:t>
      </w:r>
      <w:r w:rsidR="00E9247F" w:rsidRPr="0052424C">
        <w:rPr>
          <w:rFonts w:ascii="ITC Avant Garde" w:hAnsi="ITC Avant Garde"/>
          <w:bCs/>
        </w:rPr>
        <w:t>del Estatuto Orgánico del Instituto.</w:t>
      </w:r>
      <w:r w:rsidRPr="0052424C">
        <w:rPr>
          <w:rFonts w:ascii="ITC Avant Garde" w:hAnsi="ITC Avant Garde"/>
        </w:rPr>
        <w:t xml:space="preserve"> </w:t>
      </w:r>
    </w:p>
    <w:p w14:paraId="22645B9A" w14:textId="77777777" w:rsidR="00FE66E1" w:rsidRPr="0052424C" w:rsidRDefault="00FE66E1" w:rsidP="00C35169">
      <w:pPr>
        <w:spacing w:after="0" w:line="360" w:lineRule="auto"/>
        <w:jc w:val="both"/>
        <w:rPr>
          <w:rFonts w:ascii="ITC Avant Garde" w:hAnsi="ITC Avant Garde"/>
        </w:rPr>
      </w:pPr>
    </w:p>
    <w:p w14:paraId="42A94BB1" w14:textId="7840C1DA" w:rsidR="00AD3993" w:rsidRDefault="00C35169" w:rsidP="00C35169">
      <w:pPr>
        <w:spacing w:after="0" w:line="360" w:lineRule="auto"/>
        <w:jc w:val="both"/>
        <w:rPr>
          <w:rFonts w:ascii="ITC Avant Garde" w:hAnsi="ITC Avant Garde"/>
        </w:rPr>
      </w:pPr>
      <w:r w:rsidRPr="0052424C">
        <w:rPr>
          <w:rFonts w:ascii="ITC Avant Garde" w:hAnsi="ITC Avant Garde"/>
        </w:rPr>
        <w:t xml:space="preserve">Por su parte, de conformidad con el artículo 15, fracción I de la LFTR, el Instituto a través de su Órgano de Gobierno, resulta competente para conocer del presente asunto, al estar facultado para emitir disposiciones administrativas de carácter general, planes técnicos fundamentales, lineamientos, modelos de costos, procedimientos de evaluación de la conformidad, procedimientos de homologación y certificación y </w:t>
      </w:r>
      <w:r w:rsidRPr="0052424C">
        <w:rPr>
          <w:rFonts w:ascii="ITC Avant Garde" w:hAnsi="ITC Avant Garde"/>
        </w:rPr>
        <w:lastRenderedPageBreak/>
        <w:t xml:space="preserve">ordenamientos técnicos en materia de telecomunicaciones y radiodifusión; así como demás disposiciones para el cumplimiento de su función regulatoria en el sector de su competencia. </w:t>
      </w:r>
      <w:r w:rsidR="00417EA9" w:rsidRPr="0052424C">
        <w:rPr>
          <w:rFonts w:ascii="ITC Avant Garde" w:hAnsi="ITC Avant Garde"/>
        </w:rPr>
        <w:t xml:space="preserve">Asimismo, el </w:t>
      </w:r>
      <w:r w:rsidR="00C01DE0" w:rsidRPr="0052424C">
        <w:rPr>
          <w:rFonts w:ascii="ITC Avant Garde" w:hAnsi="ITC Avant Garde"/>
        </w:rPr>
        <w:t>artículo</w:t>
      </w:r>
      <w:r w:rsidR="00417EA9" w:rsidRPr="0052424C">
        <w:rPr>
          <w:rFonts w:ascii="ITC Avant Garde" w:hAnsi="ITC Avant Garde"/>
        </w:rPr>
        <w:t xml:space="preserve"> 15 </w:t>
      </w:r>
      <w:proofErr w:type="gramStart"/>
      <w:r w:rsidR="0052424C" w:rsidRPr="0052424C">
        <w:rPr>
          <w:rFonts w:ascii="ITC Avant Garde" w:hAnsi="ITC Avant Garde"/>
        </w:rPr>
        <w:t>fracción</w:t>
      </w:r>
      <w:proofErr w:type="gramEnd"/>
      <w:r w:rsidR="00417EA9" w:rsidRPr="0052424C">
        <w:rPr>
          <w:rFonts w:ascii="ITC Avant Garde" w:hAnsi="ITC Avant Garde"/>
        </w:rPr>
        <w:t xml:space="preserve"> XLVII de la LFTR mandata al Instituto a fijar los índices de calidad por servicio a que deberán sujetarse los prestadores de los servicios de telecomunicaciones y radiodifusión, así como publicar trimestralmente los resultados de las verificaci</w:t>
      </w:r>
      <w:r w:rsidR="00AD3993">
        <w:rPr>
          <w:rFonts w:ascii="ITC Avant Garde" w:hAnsi="ITC Avant Garde"/>
        </w:rPr>
        <w:t>ones relativas a dichos índices.</w:t>
      </w:r>
    </w:p>
    <w:p w14:paraId="4C566A3C" w14:textId="77777777" w:rsidR="00AD3993" w:rsidRDefault="00AD3993" w:rsidP="00C35169">
      <w:pPr>
        <w:spacing w:after="0" w:line="360" w:lineRule="auto"/>
        <w:jc w:val="both"/>
        <w:rPr>
          <w:rFonts w:ascii="ITC Avant Garde" w:hAnsi="ITC Avant Garde"/>
        </w:rPr>
      </w:pPr>
    </w:p>
    <w:p w14:paraId="36B8C7BD" w14:textId="33C70AAA" w:rsidR="00AD3993" w:rsidRPr="00AD3993" w:rsidRDefault="00AD3993" w:rsidP="00AD3993">
      <w:pPr>
        <w:spacing w:after="0" w:line="360" w:lineRule="auto"/>
        <w:jc w:val="both"/>
        <w:rPr>
          <w:rFonts w:ascii="ITC Avant Garde" w:hAnsi="ITC Avant Garde"/>
          <w:lang w:val="es-ES"/>
        </w:rPr>
      </w:pPr>
      <w:r>
        <w:rPr>
          <w:rFonts w:ascii="ITC Avant Garde" w:hAnsi="ITC Avant Garde"/>
        </w:rPr>
        <w:t xml:space="preserve">Mientras que el </w:t>
      </w:r>
      <w:r w:rsidRPr="0052424C">
        <w:rPr>
          <w:rFonts w:ascii="ITC Avant Garde" w:hAnsi="ITC Avant Garde"/>
        </w:rPr>
        <w:t>artículo</w:t>
      </w:r>
      <w:r>
        <w:rPr>
          <w:rFonts w:ascii="ITC Avant Garde" w:hAnsi="ITC Avant Garde"/>
        </w:rPr>
        <w:t xml:space="preserve"> 155 de la LFTR establece que </w:t>
      </w:r>
      <w:r>
        <w:rPr>
          <w:rFonts w:ascii="ITC Avant Garde" w:hAnsi="ITC Avant Garde"/>
          <w:lang w:val="es-ES"/>
        </w:rPr>
        <w:t>l</w:t>
      </w:r>
      <w:r w:rsidRPr="00AD3993">
        <w:rPr>
          <w:rFonts w:ascii="ITC Avant Garde" w:hAnsi="ITC Avant Garde"/>
          <w:lang w:val="es-ES"/>
        </w:rPr>
        <w:t>as estaciones radiodifusoras y sus equipos complementarios se construirán, instalarán y operarán con sujeción a los requisitos técnicos que fije el Instituto</w:t>
      </w:r>
      <w:r>
        <w:rPr>
          <w:rFonts w:ascii="ITC Avant Garde" w:hAnsi="ITC Avant Garde"/>
          <w:lang w:val="es-ES"/>
        </w:rPr>
        <w:t xml:space="preserve">, así como que las modificaciones a dichas </w:t>
      </w:r>
      <w:r w:rsidRPr="00AD3993">
        <w:rPr>
          <w:rFonts w:ascii="ITC Avant Garde" w:hAnsi="ITC Avant Garde"/>
          <w:lang w:val="es-ES"/>
        </w:rPr>
        <w:t>características técnicas se someterán a la aprobación del Instituto.</w:t>
      </w:r>
    </w:p>
    <w:p w14:paraId="640FEDFC" w14:textId="77777777" w:rsidR="00C35169" w:rsidRPr="0052424C" w:rsidRDefault="00C35169" w:rsidP="00C35169">
      <w:pPr>
        <w:pStyle w:val="Default"/>
        <w:tabs>
          <w:tab w:val="left" w:pos="0"/>
        </w:tabs>
        <w:spacing w:line="360" w:lineRule="auto"/>
        <w:jc w:val="both"/>
        <w:rPr>
          <w:rFonts w:ascii="ITC Avant Garde" w:hAnsi="ITC Avant Garde"/>
          <w:b/>
          <w:bCs/>
          <w:color w:val="auto"/>
          <w:sz w:val="22"/>
          <w:szCs w:val="22"/>
          <w:lang w:val="es-ES_tradnl"/>
        </w:rPr>
      </w:pPr>
    </w:p>
    <w:p w14:paraId="5229D6E7" w14:textId="686B7CB5" w:rsidR="00C35169" w:rsidRPr="0052424C" w:rsidRDefault="00C35169" w:rsidP="00C35169">
      <w:pPr>
        <w:pStyle w:val="Default"/>
        <w:tabs>
          <w:tab w:val="left" w:pos="0"/>
        </w:tabs>
        <w:spacing w:line="360" w:lineRule="auto"/>
        <w:jc w:val="both"/>
        <w:rPr>
          <w:rFonts w:ascii="ITC Avant Garde" w:hAnsi="ITC Avant Garde"/>
          <w:b/>
          <w:bCs/>
          <w:color w:val="auto"/>
          <w:sz w:val="22"/>
          <w:szCs w:val="22"/>
          <w:lang w:val="es-ES_tradnl"/>
        </w:rPr>
      </w:pPr>
      <w:r w:rsidRPr="0052424C">
        <w:rPr>
          <w:rFonts w:ascii="ITC Avant Garde" w:hAnsi="ITC Avant Garde"/>
          <w:bCs/>
          <w:color w:val="auto"/>
          <w:sz w:val="22"/>
          <w:szCs w:val="22"/>
          <w:lang w:val="es-ES_tradnl"/>
        </w:rPr>
        <w:t>Aunado a lo anterior, conforme a lo dispuesto en el artículo 7 de la LFTR</w:t>
      </w:r>
      <w:r w:rsidR="00A533D3" w:rsidRPr="0052424C">
        <w:rPr>
          <w:rFonts w:ascii="ITC Avant Garde" w:hAnsi="ITC Avant Garde"/>
          <w:bCs/>
          <w:color w:val="auto"/>
          <w:sz w:val="22"/>
          <w:szCs w:val="22"/>
          <w:lang w:val="es-ES_tradnl"/>
        </w:rPr>
        <w:t xml:space="preserve">, el Instituto </w:t>
      </w:r>
      <w:r w:rsidR="008D2800" w:rsidRPr="0052424C">
        <w:rPr>
          <w:rFonts w:ascii="ITC Avant Garde" w:hAnsi="ITC Avant Garde"/>
          <w:bCs/>
          <w:color w:val="auto"/>
          <w:sz w:val="22"/>
          <w:szCs w:val="22"/>
          <w:lang w:val="es-ES_tradnl"/>
        </w:rPr>
        <w:t>es un organismo público autónomo, independiente en sus decisiones y funcionamiento, con personalidad jurídica y patrimonio propios, que tiene por objeto regular y promover la competencia y el desarrollo eficiente de las telecomunicaciones y la radiodifusión en el ámbito de las atribuciones que le confieren la Constitución y en los términos que fija la LFTR y demás disposiciones legales aplicables, por lo que resulta competente para someter a consulta pública el anteproyecto de lineamientos objeto del presente Acuerdo.</w:t>
      </w:r>
    </w:p>
    <w:p w14:paraId="2A264D83" w14:textId="77777777" w:rsidR="00C35169" w:rsidRPr="0052424C" w:rsidRDefault="00C35169" w:rsidP="00C35169">
      <w:pPr>
        <w:pStyle w:val="Default"/>
        <w:tabs>
          <w:tab w:val="left" w:pos="0"/>
        </w:tabs>
        <w:spacing w:line="360" w:lineRule="auto"/>
        <w:jc w:val="both"/>
        <w:rPr>
          <w:rFonts w:ascii="ITC Avant Garde" w:hAnsi="ITC Avant Garde"/>
          <w:bCs/>
          <w:color w:val="auto"/>
          <w:sz w:val="22"/>
          <w:szCs w:val="22"/>
          <w:lang w:val="es-ES_tradnl"/>
        </w:rPr>
      </w:pPr>
    </w:p>
    <w:p w14:paraId="388CB329" w14:textId="0F9CC905" w:rsidR="006E7FD5" w:rsidRPr="0052424C" w:rsidRDefault="00C35169" w:rsidP="006E7FD5">
      <w:pPr>
        <w:pStyle w:val="Default"/>
        <w:tabs>
          <w:tab w:val="left" w:pos="0"/>
        </w:tabs>
        <w:spacing w:line="360" w:lineRule="auto"/>
        <w:jc w:val="both"/>
        <w:rPr>
          <w:rFonts w:ascii="ITC Avant Garde" w:hAnsi="ITC Avant Garde"/>
          <w:bCs/>
          <w:sz w:val="22"/>
          <w:szCs w:val="22"/>
          <w:lang w:val="es-ES_tradnl"/>
        </w:rPr>
      </w:pPr>
      <w:r w:rsidRPr="0052424C">
        <w:rPr>
          <w:rFonts w:ascii="ITC Avant Garde" w:hAnsi="ITC Avant Garde"/>
          <w:b/>
          <w:bCs/>
          <w:color w:val="auto"/>
          <w:sz w:val="22"/>
          <w:szCs w:val="22"/>
          <w:lang w:val="es-ES_tradnl"/>
        </w:rPr>
        <w:t>SEGUNDO.-</w:t>
      </w:r>
      <w:r w:rsidR="004237D0" w:rsidRPr="0052424C">
        <w:rPr>
          <w:rFonts w:ascii="ITC Avant Garde" w:hAnsi="ITC Avant Garde"/>
          <w:b/>
          <w:bCs/>
          <w:color w:val="auto"/>
          <w:sz w:val="22"/>
          <w:szCs w:val="22"/>
          <w:lang w:val="es-ES_tradnl"/>
        </w:rPr>
        <w:t xml:space="preserve"> MOTIVACIÓN DE </w:t>
      </w:r>
      <w:r w:rsidR="00DE3935">
        <w:rPr>
          <w:rFonts w:ascii="ITC Avant Garde" w:hAnsi="ITC Avant Garde"/>
          <w:b/>
          <w:bCs/>
          <w:color w:val="auto"/>
          <w:sz w:val="22"/>
          <w:szCs w:val="22"/>
          <w:lang w:val="es-ES_tradnl"/>
        </w:rPr>
        <w:t>LOS LINEAMIENTOS</w:t>
      </w:r>
      <w:r w:rsidR="004237D0" w:rsidRPr="0052424C">
        <w:rPr>
          <w:rFonts w:ascii="ITC Avant Garde" w:hAnsi="ITC Avant Garde"/>
          <w:b/>
          <w:bCs/>
          <w:color w:val="auto"/>
          <w:sz w:val="22"/>
          <w:szCs w:val="22"/>
          <w:lang w:val="es-ES_tradnl"/>
        </w:rPr>
        <w:t>.</w:t>
      </w:r>
      <w:r w:rsidR="0080334A" w:rsidRPr="0052424C">
        <w:rPr>
          <w:rFonts w:ascii="ITC Avant Garde" w:hAnsi="ITC Avant Garde"/>
          <w:b/>
          <w:bCs/>
          <w:color w:val="auto"/>
          <w:sz w:val="22"/>
          <w:szCs w:val="22"/>
          <w:lang w:val="es-ES_tradnl"/>
        </w:rPr>
        <w:t xml:space="preserve"> </w:t>
      </w:r>
      <w:r w:rsidR="0080334A" w:rsidRPr="0052424C">
        <w:rPr>
          <w:rFonts w:ascii="ITC Avant Garde" w:hAnsi="ITC Avant Garde"/>
          <w:bCs/>
          <w:color w:val="auto"/>
          <w:sz w:val="22"/>
          <w:szCs w:val="22"/>
          <w:lang w:val="es-ES_tradnl"/>
        </w:rPr>
        <w:t xml:space="preserve">Que de conformidad con </w:t>
      </w:r>
      <w:r w:rsidR="00842E7C" w:rsidRPr="0052424C">
        <w:rPr>
          <w:rFonts w:ascii="ITC Avant Garde" w:hAnsi="ITC Avant Garde"/>
          <w:bCs/>
          <w:color w:val="auto"/>
          <w:sz w:val="22"/>
          <w:szCs w:val="22"/>
          <w:lang w:val="es-ES_tradnl"/>
        </w:rPr>
        <w:t>el</w:t>
      </w:r>
      <w:r w:rsidR="00F71B25" w:rsidRPr="0052424C">
        <w:rPr>
          <w:rFonts w:ascii="ITC Avant Garde" w:hAnsi="ITC Avant Garde"/>
          <w:bCs/>
          <w:color w:val="auto"/>
          <w:sz w:val="22"/>
          <w:szCs w:val="22"/>
          <w:lang w:val="es-ES_tradnl"/>
        </w:rPr>
        <w:t xml:space="preserve"> Acuerdo Primero del “</w:t>
      </w:r>
      <w:r w:rsidR="00F71B25" w:rsidRPr="0052424C">
        <w:rPr>
          <w:rFonts w:ascii="ITC Avant Garde" w:hAnsi="ITC Avant Garde"/>
          <w:bCs/>
          <w:sz w:val="22"/>
          <w:szCs w:val="22"/>
          <w:lang w:val="es-ES_tradnl"/>
        </w:rPr>
        <w:t xml:space="preserve">Acuerdo por el que el Pleno del Instituto Federal de Telecomunicaciones modifica el diverso por el que emite la </w:t>
      </w:r>
      <w:r w:rsidR="0052424C" w:rsidRPr="0052424C">
        <w:rPr>
          <w:rFonts w:ascii="ITC Avant Garde" w:hAnsi="ITC Avant Garde"/>
          <w:bCs/>
          <w:sz w:val="22"/>
          <w:szCs w:val="22"/>
          <w:lang w:val="es-ES_tradnl"/>
        </w:rPr>
        <w:t>Disposición</w:t>
      </w:r>
      <w:r w:rsidR="00F71B25" w:rsidRPr="0052424C">
        <w:rPr>
          <w:rFonts w:ascii="ITC Avant Garde" w:hAnsi="ITC Avant Garde"/>
          <w:bCs/>
          <w:sz w:val="22"/>
          <w:szCs w:val="22"/>
          <w:lang w:val="es-ES_tradnl"/>
        </w:rPr>
        <w:t xml:space="preserve"> </w:t>
      </w:r>
      <w:r w:rsidR="0052424C" w:rsidRPr="0052424C">
        <w:rPr>
          <w:rFonts w:ascii="ITC Avant Garde" w:hAnsi="ITC Avant Garde"/>
          <w:bCs/>
          <w:sz w:val="22"/>
          <w:szCs w:val="22"/>
          <w:lang w:val="es-ES_tradnl"/>
        </w:rPr>
        <w:t>Técnica</w:t>
      </w:r>
      <w:r w:rsidR="00F71B25" w:rsidRPr="0052424C">
        <w:rPr>
          <w:rFonts w:ascii="ITC Avant Garde" w:hAnsi="ITC Avant Garde"/>
          <w:bCs/>
          <w:sz w:val="22"/>
          <w:szCs w:val="22"/>
          <w:lang w:val="es-ES_tradnl"/>
        </w:rPr>
        <w:t xml:space="preserve"> IFT-</w:t>
      </w:r>
      <w:r w:rsidR="00F71B25" w:rsidRPr="0052424C">
        <w:rPr>
          <w:rFonts w:ascii="ITC Avant Garde" w:hAnsi="ITC Avant Garde"/>
          <w:bCs/>
          <w:sz w:val="22"/>
          <w:szCs w:val="22"/>
          <w:lang w:val="es-ES_tradnl"/>
        </w:rPr>
        <w:softHyphen/>
        <w:t>003-</w:t>
      </w:r>
      <w:r w:rsidR="00F71B25" w:rsidRPr="0052424C">
        <w:rPr>
          <w:rFonts w:ascii="ITC Avant Garde" w:hAnsi="ITC Avant Garde"/>
          <w:bCs/>
          <w:sz w:val="22"/>
          <w:szCs w:val="22"/>
          <w:lang w:val="es-ES_tradnl"/>
        </w:rPr>
        <w:softHyphen/>
        <w:t xml:space="preserve">2014: Especificaciones y requerimientos </w:t>
      </w:r>
      <w:r w:rsidR="0052424C" w:rsidRPr="0052424C">
        <w:rPr>
          <w:rFonts w:ascii="ITC Avant Garde" w:hAnsi="ITC Avant Garde"/>
          <w:bCs/>
          <w:sz w:val="22"/>
          <w:szCs w:val="22"/>
          <w:lang w:val="es-ES_tradnl"/>
        </w:rPr>
        <w:t>mínimos</w:t>
      </w:r>
      <w:r w:rsidR="00F71B25" w:rsidRPr="0052424C">
        <w:rPr>
          <w:rFonts w:ascii="ITC Avant Garde" w:hAnsi="ITC Avant Garde"/>
          <w:bCs/>
          <w:sz w:val="22"/>
          <w:szCs w:val="22"/>
          <w:lang w:val="es-ES_tradnl"/>
        </w:rPr>
        <w:t xml:space="preserve"> para la </w:t>
      </w:r>
      <w:r w:rsidR="0052424C" w:rsidRPr="0052424C">
        <w:rPr>
          <w:rFonts w:ascii="ITC Avant Garde" w:hAnsi="ITC Avant Garde"/>
          <w:bCs/>
          <w:sz w:val="22"/>
          <w:szCs w:val="22"/>
          <w:lang w:val="es-ES_tradnl"/>
        </w:rPr>
        <w:t>instalación</w:t>
      </w:r>
      <w:r w:rsidR="00F71B25" w:rsidRPr="0052424C">
        <w:rPr>
          <w:rFonts w:ascii="ITC Avant Garde" w:hAnsi="ITC Avant Garde"/>
          <w:bCs/>
          <w:sz w:val="22"/>
          <w:szCs w:val="22"/>
          <w:lang w:val="es-ES_tradnl"/>
        </w:rPr>
        <w:t xml:space="preserve"> y </w:t>
      </w:r>
      <w:r w:rsidR="0052424C" w:rsidRPr="0052424C">
        <w:rPr>
          <w:rFonts w:ascii="ITC Avant Garde" w:hAnsi="ITC Avant Garde"/>
          <w:bCs/>
          <w:sz w:val="22"/>
          <w:szCs w:val="22"/>
          <w:lang w:val="es-ES_tradnl"/>
        </w:rPr>
        <w:t>operación</w:t>
      </w:r>
      <w:r w:rsidR="00F71B25" w:rsidRPr="0052424C">
        <w:rPr>
          <w:rFonts w:ascii="ITC Avant Garde" w:hAnsi="ITC Avant Garde"/>
          <w:bCs/>
          <w:sz w:val="22"/>
          <w:szCs w:val="22"/>
          <w:lang w:val="es-ES_tradnl"/>
        </w:rPr>
        <w:t xml:space="preserve"> de las estaciones de </w:t>
      </w:r>
      <w:r w:rsidR="0052424C" w:rsidRPr="0052424C">
        <w:rPr>
          <w:rFonts w:ascii="ITC Avant Garde" w:hAnsi="ITC Avant Garde"/>
          <w:bCs/>
          <w:sz w:val="22"/>
          <w:szCs w:val="22"/>
          <w:lang w:val="es-ES_tradnl"/>
        </w:rPr>
        <w:t>radiodifusión</w:t>
      </w:r>
      <w:r w:rsidR="00F71B25" w:rsidRPr="0052424C">
        <w:rPr>
          <w:rFonts w:ascii="ITC Avant Garde" w:hAnsi="ITC Avant Garde"/>
          <w:bCs/>
          <w:sz w:val="22"/>
          <w:szCs w:val="22"/>
          <w:lang w:val="es-ES_tradnl"/>
        </w:rPr>
        <w:t xml:space="preserve"> de </w:t>
      </w:r>
      <w:r w:rsidR="0052424C" w:rsidRPr="0052424C">
        <w:rPr>
          <w:rFonts w:ascii="ITC Avant Garde" w:hAnsi="ITC Avant Garde"/>
          <w:bCs/>
          <w:sz w:val="22"/>
          <w:szCs w:val="22"/>
          <w:lang w:val="es-ES_tradnl"/>
        </w:rPr>
        <w:t>televisión</w:t>
      </w:r>
      <w:r w:rsidR="00F71B25" w:rsidRPr="0052424C">
        <w:rPr>
          <w:rFonts w:ascii="ITC Avant Garde" w:hAnsi="ITC Avant Garde"/>
          <w:bCs/>
          <w:sz w:val="22"/>
          <w:szCs w:val="22"/>
          <w:lang w:val="es-ES_tradnl"/>
        </w:rPr>
        <w:t xml:space="preserve"> </w:t>
      </w:r>
      <w:r w:rsidR="0052424C" w:rsidRPr="0052424C">
        <w:rPr>
          <w:rFonts w:ascii="ITC Avant Garde" w:hAnsi="ITC Avant Garde"/>
          <w:bCs/>
          <w:sz w:val="22"/>
          <w:szCs w:val="22"/>
          <w:lang w:val="es-ES_tradnl"/>
        </w:rPr>
        <w:t>analógica</w:t>
      </w:r>
      <w:r w:rsidR="00E172A2">
        <w:rPr>
          <w:rFonts w:ascii="ITC Avant Garde" w:hAnsi="ITC Avant Garde"/>
          <w:bCs/>
          <w:sz w:val="22"/>
          <w:szCs w:val="22"/>
          <w:lang w:val="es-ES_tradnl"/>
        </w:rPr>
        <w:t xml:space="preserve"> (Bandas VHF y UHF)</w:t>
      </w:r>
      <w:proofErr w:type="gramStart"/>
      <w:r w:rsidR="00E172A2">
        <w:rPr>
          <w:rFonts w:ascii="ITC Avant Garde" w:hAnsi="ITC Avant Garde"/>
          <w:bCs/>
          <w:sz w:val="22"/>
          <w:szCs w:val="22"/>
          <w:lang w:val="es-ES_tradnl"/>
        </w:rPr>
        <w:t>.</w:t>
      </w:r>
      <w:r w:rsidR="00F71B25" w:rsidRPr="0052424C">
        <w:rPr>
          <w:rFonts w:ascii="ITC Avant Garde" w:hAnsi="ITC Avant Garde"/>
          <w:bCs/>
          <w:sz w:val="22"/>
          <w:szCs w:val="22"/>
          <w:lang w:val="es-ES_tradnl"/>
        </w:rPr>
        <w:t>“</w:t>
      </w:r>
      <w:proofErr w:type="gramEnd"/>
      <w:r w:rsidR="00F71B25" w:rsidRPr="0052424C">
        <w:rPr>
          <w:rFonts w:ascii="ITC Avant Garde" w:hAnsi="ITC Avant Garde"/>
          <w:bCs/>
          <w:sz w:val="22"/>
          <w:szCs w:val="22"/>
          <w:lang w:val="es-ES_tradnl"/>
        </w:rPr>
        <w:t>,</w:t>
      </w:r>
      <w:r w:rsidR="006E7FD5" w:rsidRPr="0052424C">
        <w:rPr>
          <w:rFonts w:ascii="ITC Avant Garde" w:hAnsi="ITC Avant Garde"/>
          <w:bCs/>
          <w:sz w:val="22"/>
          <w:szCs w:val="22"/>
          <w:lang w:val="es-ES_tradnl"/>
        </w:rPr>
        <w:t xml:space="preserve"> la </w:t>
      </w:r>
      <w:r w:rsidR="0052424C" w:rsidRPr="0052424C">
        <w:rPr>
          <w:rFonts w:ascii="ITC Avant Garde" w:hAnsi="ITC Avant Garde"/>
          <w:bCs/>
          <w:sz w:val="22"/>
          <w:szCs w:val="22"/>
          <w:lang w:val="es-ES_tradnl"/>
        </w:rPr>
        <w:t>Disposición</w:t>
      </w:r>
      <w:r w:rsidR="006E7FD5" w:rsidRPr="0052424C">
        <w:rPr>
          <w:rFonts w:ascii="ITC Avant Garde" w:hAnsi="ITC Avant Garde"/>
          <w:bCs/>
          <w:sz w:val="22"/>
          <w:szCs w:val="22"/>
          <w:lang w:val="es-ES_tradnl"/>
        </w:rPr>
        <w:t xml:space="preserve"> </w:t>
      </w:r>
      <w:r w:rsidR="0052424C" w:rsidRPr="0052424C">
        <w:rPr>
          <w:rFonts w:ascii="ITC Avant Garde" w:hAnsi="ITC Avant Garde"/>
          <w:bCs/>
          <w:sz w:val="22"/>
          <w:szCs w:val="22"/>
          <w:lang w:val="es-ES_tradnl"/>
        </w:rPr>
        <w:t>Técnica</w:t>
      </w:r>
      <w:r w:rsidR="006E7FD5" w:rsidRPr="0052424C">
        <w:rPr>
          <w:rFonts w:ascii="ITC Avant Garde" w:hAnsi="ITC Avant Garde"/>
          <w:bCs/>
          <w:sz w:val="22"/>
          <w:szCs w:val="22"/>
          <w:lang w:val="es-ES_tradnl"/>
        </w:rPr>
        <w:t xml:space="preserve"> IFT-</w:t>
      </w:r>
      <w:r w:rsidR="006E7FD5" w:rsidRPr="0052424C">
        <w:rPr>
          <w:rFonts w:ascii="ITC Avant Garde" w:hAnsi="ITC Avant Garde"/>
          <w:bCs/>
          <w:sz w:val="22"/>
          <w:szCs w:val="22"/>
          <w:lang w:val="es-ES_tradnl"/>
        </w:rPr>
        <w:softHyphen/>
        <w:t>003-</w:t>
      </w:r>
      <w:r w:rsidR="006E7FD5" w:rsidRPr="0052424C">
        <w:rPr>
          <w:rFonts w:ascii="ITC Avant Garde" w:hAnsi="ITC Avant Garde"/>
          <w:bCs/>
          <w:sz w:val="22"/>
          <w:szCs w:val="22"/>
          <w:lang w:val="es-ES_tradnl"/>
        </w:rPr>
        <w:softHyphen/>
        <w:t xml:space="preserve">2014 </w:t>
      </w:r>
      <w:r w:rsidR="0052424C" w:rsidRPr="0052424C">
        <w:rPr>
          <w:rFonts w:ascii="ITC Avant Garde" w:hAnsi="ITC Avant Garde"/>
          <w:bCs/>
          <w:sz w:val="22"/>
          <w:szCs w:val="22"/>
          <w:lang w:val="es-ES_tradnl"/>
        </w:rPr>
        <w:t>tendrá</w:t>
      </w:r>
      <w:r w:rsidR="006E7FD5" w:rsidRPr="0052424C">
        <w:rPr>
          <w:rFonts w:ascii="ITC Avant Garde" w:hAnsi="ITC Avant Garde"/>
          <w:bCs/>
          <w:sz w:val="22"/>
          <w:szCs w:val="22"/>
          <w:lang w:val="es-ES_tradnl"/>
        </w:rPr>
        <w:t xml:space="preserve">́ vigencia hasta la </w:t>
      </w:r>
      <w:r w:rsidR="0052424C" w:rsidRPr="0052424C">
        <w:rPr>
          <w:rFonts w:ascii="ITC Avant Garde" w:hAnsi="ITC Avant Garde"/>
          <w:bCs/>
          <w:sz w:val="22"/>
          <w:szCs w:val="22"/>
          <w:lang w:val="es-ES_tradnl"/>
        </w:rPr>
        <w:t>terminación</w:t>
      </w:r>
      <w:r w:rsidR="006E7FD5" w:rsidRPr="0052424C">
        <w:rPr>
          <w:rFonts w:ascii="ITC Avant Garde" w:hAnsi="ITC Avant Garde"/>
          <w:bCs/>
          <w:sz w:val="22"/>
          <w:szCs w:val="22"/>
          <w:lang w:val="es-ES_tradnl"/>
        </w:rPr>
        <w:t xml:space="preserve"> de las transmisiones </w:t>
      </w:r>
      <w:r w:rsidR="0052424C" w:rsidRPr="0052424C">
        <w:rPr>
          <w:rFonts w:ascii="ITC Avant Garde" w:hAnsi="ITC Avant Garde"/>
          <w:bCs/>
          <w:sz w:val="22"/>
          <w:szCs w:val="22"/>
          <w:lang w:val="es-ES_tradnl"/>
        </w:rPr>
        <w:t>analógicas</w:t>
      </w:r>
      <w:r w:rsidR="006E7FD5" w:rsidRPr="0052424C">
        <w:rPr>
          <w:rFonts w:ascii="ITC Avant Garde" w:hAnsi="ITC Avant Garde"/>
          <w:bCs/>
          <w:sz w:val="22"/>
          <w:szCs w:val="22"/>
          <w:lang w:val="es-ES_tradnl"/>
        </w:rPr>
        <w:t xml:space="preserve"> conforme a las disposiciones aplicables. Al cesar </w:t>
      </w:r>
      <w:r w:rsidR="00082383" w:rsidRPr="0052424C">
        <w:rPr>
          <w:rFonts w:ascii="ITC Avant Garde" w:hAnsi="ITC Avant Garde"/>
          <w:bCs/>
          <w:sz w:val="22"/>
          <w:szCs w:val="22"/>
          <w:lang w:val="es-ES_tradnl"/>
        </w:rPr>
        <w:t>la</w:t>
      </w:r>
      <w:r w:rsidR="006E7FD5" w:rsidRPr="0052424C">
        <w:rPr>
          <w:rFonts w:ascii="ITC Avant Garde" w:hAnsi="ITC Avant Garde"/>
          <w:bCs/>
          <w:sz w:val="22"/>
          <w:szCs w:val="22"/>
          <w:lang w:val="es-ES_tradnl"/>
        </w:rPr>
        <w:t xml:space="preserve"> vigencia </w:t>
      </w:r>
      <w:r w:rsidR="00DE3935">
        <w:rPr>
          <w:rFonts w:ascii="ITC Avant Garde" w:hAnsi="ITC Avant Garde"/>
          <w:bCs/>
          <w:sz w:val="22"/>
          <w:szCs w:val="22"/>
          <w:lang w:val="es-ES_tradnl"/>
        </w:rPr>
        <w:t>de dicha Disposición Técnica, es necesario contar con un instrumento regulatorio que e</w:t>
      </w:r>
      <w:r w:rsidR="006E7FD5" w:rsidRPr="0052424C">
        <w:rPr>
          <w:rFonts w:ascii="ITC Avant Garde" w:hAnsi="ITC Avant Garde"/>
          <w:bCs/>
          <w:sz w:val="22"/>
          <w:szCs w:val="22"/>
          <w:lang w:val="es-ES_tradnl"/>
        </w:rPr>
        <w:t xml:space="preserve">stablezca las especificaciones y requerimientos mínimos de carácter técnico que deben cumplir las estaciones de </w:t>
      </w:r>
      <w:r w:rsidR="006E7FD5" w:rsidRPr="0052424C">
        <w:rPr>
          <w:rFonts w:ascii="ITC Avant Garde" w:hAnsi="ITC Avant Garde"/>
          <w:bCs/>
          <w:sz w:val="22"/>
          <w:szCs w:val="22"/>
          <w:lang w:val="es-ES_tradnl"/>
        </w:rPr>
        <w:lastRenderedPageBreak/>
        <w:t>radiodifusión de televisión digital terrestre, que operen en los canales del 2 al 36 y sus equipos complementarios, a fin de que proporcionen un servicio eficiente y de calidad. Lo anterior</w:t>
      </w:r>
      <w:r w:rsidR="00B73F75">
        <w:rPr>
          <w:rFonts w:ascii="ITC Avant Garde" w:hAnsi="ITC Avant Garde"/>
          <w:bCs/>
          <w:sz w:val="22"/>
          <w:szCs w:val="22"/>
          <w:lang w:val="es-ES_tradnl"/>
        </w:rPr>
        <w:t xml:space="preserve">, en concordancia con lo establecido en el </w:t>
      </w:r>
      <w:r w:rsidR="00B73F75" w:rsidRPr="0052424C">
        <w:rPr>
          <w:rFonts w:ascii="ITC Avant Garde" w:hAnsi="ITC Avant Garde"/>
          <w:bCs/>
          <w:color w:val="auto"/>
          <w:sz w:val="22"/>
          <w:szCs w:val="22"/>
          <w:lang w:val="es-ES_tradnl"/>
        </w:rPr>
        <w:t>artículo</w:t>
      </w:r>
      <w:r w:rsidR="00B73F75">
        <w:rPr>
          <w:rFonts w:ascii="ITC Avant Garde" w:hAnsi="ITC Avant Garde"/>
          <w:bCs/>
          <w:color w:val="auto"/>
          <w:sz w:val="22"/>
          <w:szCs w:val="22"/>
          <w:lang w:val="es-ES_tradnl"/>
        </w:rPr>
        <w:t xml:space="preserve"> 155 de la LFTR.</w:t>
      </w:r>
      <w:r w:rsidR="00B73F75">
        <w:rPr>
          <w:rFonts w:ascii="ITC Avant Garde" w:hAnsi="ITC Avant Garde"/>
          <w:bCs/>
          <w:sz w:val="22"/>
          <w:szCs w:val="22"/>
          <w:lang w:val="es-ES_tradnl"/>
        </w:rPr>
        <w:t xml:space="preserve"> Así mismo, en cumplimiento a lo mandatado en el </w:t>
      </w:r>
      <w:r w:rsidR="00B73F75" w:rsidRPr="0052424C">
        <w:rPr>
          <w:rFonts w:ascii="ITC Avant Garde" w:hAnsi="ITC Avant Garde"/>
          <w:bCs/>
          <w:color w:val="auto"/>
          <w:sz w:val="22"/>
          <w:szCs w:val="22"/>
          <w:lang w:val="es-ES_tradnl"/>
        </w:rPr>
        <w:t>artículo</w:t>
      </w:r>
      <w:r w:rsidR="00B73F75">
        <w:rPr>
          <w:rFonts w:ascii="ITC Avant Garde" w:hAnsi="ITC Avant Garde"/>
          <w:bCs/>
          <w:color w:val="auto"/>
          <w:sz w:val="22"/>
          <w:szCs w:val="22"/>
          <w:lang w:val="es-ES_tradnl"/>
        </w:rPr>
        <w:t xml:space="preserve"> 15 </w:t>
      </w:r>
      <w:proofErr w:type="gramStart"/>
      <w:r w:rsidR="00C01DE0">
        <w:rPr>
          <w:rFonts w:ascii="ITC Avant Garde" w:hAnsi="ITC Avant Garde"/>
          <w:bCs/>
          <w:color w:val="auto"/>
          <w:sz w:val="22"/>
          <w:szCs w:val="22"/>
          <w:lang w:val="es-ES_tradnl"/>
        </w:rPr>
        <w:t>fracción</w:t>
      </w:r>
      <w:proofErr w:type="gramEnd"/>
      <w:r w:rsidR="00B73F75">
        <w:rPr>
          <w:rFonts w:ascii="ITC Avant Garde" w:hAnsi="ITC Avant Garde"/>
          <w:bCs/>
          <w:color w:val="auto"/>
          <w:sz w:val="22"/>
          <w:szCs w:val="22"/>
          <w:lang w:val="es-ES_tradnl"/>
        </w:rPr>
        <w:t xml:space="preserve"> XLVII</w:t>
      </w:r>
      <w:r w:rsidR="00B73F75">
        <w:rPr>
          <w:rFonts w:ascii="ITC Avant Garde" w:hAnsi="ITC Avant Garde"/>
          <w:bCs/>
          <w:sz w:val="22"/>
          <w:szCs w:val="22"/>
          <w:lang w:val="es-ES_tradnl"/>
        </w:rPr>
        <w:t xml:space="preserve"> se fijan</w:t>
      </w:r>
      <w:r w:rsidR="006E7FD5" w:rsidRPr="0052424C">
        <w:rPr>
          <w:rFonts w:ascii="ITC Avant Garde" w:hAnsi="ITC Avant Garde"/>
          <w:bCs/>
          <w:sz w:val="22"/>
          <w:szCs w:val="22"/>
          <w:lang w:val="es-ES_tradnl"/>
        </w:rPr>
        <w:t xml:space="preserve"> los índices </w:t>
      </w:r>
      <w:r w:rsidR="00DE3935">
        <w:rPr>
          <w:rFonts w:ascii="ITC Avant Garde" w:hAnsi="ITC Avant Garde"/>
          <w:bCs/>
          <w:sz w:val="22"/>
          <w:szCs w:val="22"/>
          <w:lang w:val="es-ES_tradnl"/>
        </w:rPr>
        <w:t xml:space="preserve">y parámetros </w:t>
      </w:r>
      <w:r w:rsidR="006E7FD5" w:rsidRPr="0052424C">
        <w:rPr>
          <w:rFonts w:ascii="ITC Avant Garde" w:hAnsi="ITC Avant Garde"/>
          <w:bCs/>
          <w:sz w:val="22"/>
          <w:szCs w:val="22"/>
          <w:lang w:val="es-ES_tradnl"/>
        </w:rPr>
        <w:t>de calidad a que deberán sujetarse los prestadores del servicio de radiodifusión de televisión digital terrestre.</w:t>
      </w:r>
    </w:p>
    <w:p w14:paraId="7868CD18" w14:textId="77777777" w:rsidR="008D7FB0" w:rsidRPr="0052424C" w:rsidRDefault="008D7FB0" w:rsidP="00C35169">
      <w:pPr>
        <w:pStyle w:val="Default"/>
        <w:tabs>
          <w:tab w:val="left" w:pos="0"/>
        </w:tabs>
        <w:spacing w:line="360" w:lineRule="auto"/>
        <w:jc w:val="both"/>
        <w:rPr>
          <w:rFonts w:ascii="ITC Avant Garde" w:hAnsi="ITC Avant Garde"/>
          <w:bCs/>
          <w:color w:val="auto"/>
          <w:sz w:val="22"/>
          <w:szCs w:val="22"/>
          <w:lang w:val="es-ES_tradnl"/>
        </w:rPr>
      </w:pPr>
    </w:p>
    <w:p w14:paraId="4134E24A" w14:textId="4EFEC7BC" w:rsidR="00AC1759" w:rsidRPr="0052424C" w:rsidRDefault="00C35169" w:rsidP="00E4457A">
      <w:pPr>
        <w:pStyle w:val="Default"/>
        <w:tabs>
          <w:tab w:val="left" w:pos="0"/>
        </w:tabs>
        <w:spacing w:line="360" w:lineRule="auto"/>
        <w:jc w:val="both"/>
        <w:rPr>
          <w:rFonts w:ascii="ITC Avant Garde" w:hAnsi="ITC Avant Garde"/>
          <w:color w:val="auto"/>
          <w:sz w:val="22"/>
          <w:szCs w:val="22"/>
          <w:lang w:val="es-ES_tradnl"/>
        </w:rPr>
      </w:pPr>
      <w:r w:rsidRPr="0052424C">
        <w:rPr>
          <w:rFonts w:ascii="ITC Avant Garde" w:hAnsi="ITC Avant Garde"/>
          <w:b/>
          <w:bCs/>
          <w:color w:val="auto"/>
          <w:sz w:val="22"/>
          <w:szCs w:val="22"/>
          <w:lang w:val="es-ES_tradnl"/>
        </w:rPr>
        <w:t xml:space="preserve">TERCERO.- </w:t>
      </w:r>
      <w:r w:rsidRPr="0052424C">
        <w:rPr>
          <w:rFonts w:ascii="ITC Avant Garde" w:hAnsi="ITC Avant Garde"/>
          <w:b/>
          <w:color w:val="auto"/>
          <w:sz w:val="22"/>
          <w:szCs w:val="22"/>
          <w:lang w:val="es-ES_tradnl"/>
        </w:rPr>
        <w:t>CONSULTA PÚBLICA.</w:t>
      </w:r>
      <w:r w:rsidRPr="0052424C">
        <w:rPr>
          <w:rFonts w:ascii="ITC Avant Garde" w:hAnsi="ITC Avant Garde"/>
          <w:color w:val="auto"/>
          <w:sz w:val="22"/>
          <w:szCs w:val="22"/>
          <w:lang w:val="es-ES_tradnl"/>
        </w:rPr>
        <w:t xml:space="preserve"> </w:t>
      </w:r>
      <w:r w:rsidR="008D7FB0" w:rsidRPr="0052424C">
        <w:rPr>
          <w:rFonts w:ascii="ITC Avant Garde" w:hAnsi="ITC Avant Garde"/>
          <w:color w:val="auto"/>
          <w:sz w:val="22"/>
          <w:szCs w:val="22"/>
          <w:lang w:val="es-ES_tradnl"/>
        </w:rPr>
        <w:t>Que, adicionalmente a lo señalado en el considerando anterior, con la emisión de la consulta pública del Anteproyecto se alcanzan los siguientes objetivos:</w:t>
      </w:r>
    </w:p>
    <w:p w14:paraId="5A841C44" w14:textId="072A0E81" w:rsidR="00AC1759" w:rsidRPr="0052424C" w:rsidRDefault="00AC1759" w:rsidP="00AC1759">
      <w:pPr>
        <w:pStyle w:val="Default"/>
        <w:numPr>
          <w:ilvl w:val="0"/>
          <w:numId w:val="1"/>
        </w:numPr>
        <w:tabs>
          <w:tab w:val="left" w:pos="0"/>
        </w:tabs>
        <w:spacing w:line="360" w:lineRule="auto"/>
        <w:ind w:left="851" w:hanging="425"/>
        <w:jc w:val="both"/>
        <w:rPr>
          <w:rFonts w:ascii="ITC Avant Garde" w:hAnsi="ITC Avant Garde"/>
          <w:sz w:val="22"/>
          <w:szCs w:val="22"/>
          <w:lang w:val="es-ES_tradnl"/>
        </w:rPr>
      </w:pPr>
      <w:r w:rsidRPr="0052424C">
        <w:rPr>
          <w:rFonts w:ascii="ITC Avant Garde" w:hAnsi="ITC Avant Garde"/>
          <w:sz w:val="22"/>
          <w:szCs w:val="22"/>
          <w:lang w:val="es-ES_tradnl"/>
        </w:rPr>
        <w:t xml:space="preserve">Fortalecer el principio de transparencia en la emisión de </w:t>
      </w:r>
      <w:r w:rsidR="003860C1" w:rsidRPr="0052424C">
        <w:rPr>
          <w:rFonts w:ascii="ITC Avant Garde" w:hAnsi="ITC Avant Garde"/>
          <w:sz w:val="22"/>
          <w:szCs w:val="22"/>
          <w:lang w:val="es-ES_tradnl"/>
        </w:rPr>
        <w:t xml:space="preserve">disposiciones </w:t>
      </w:r>
      <w:r w:rsidRPr="0052424C">
        <w:rPr>
          <w:rFonts w:ascii="ITC Avant Garde" w:hAnsi="ITC Avant Garde"/>
          <w:sz w:val="22"/>
          <w:szCs w:val="22"/>
          <w:lang w:val="es-ES_tradnl"/>
        </w:rPr>
        <w:t>que pueden impactar</w:t>
      </w:r>
      <w:r w:rsidR="003860C1" w:rsidRPr="0052424C">
        <w:rPr>
          <w:rFonts w:ascii="ITC Avant Garde" w:hAnsi="ITC Avant Garde"/>
          <w:sz w:val="22"/>
          <w:szCs w:val="22"/>
          <w:lang w:val="es-ES_tradnl"/>
        </w:rPr>
        <w:t xml:space="preserve"> al servicio de radiodifusión de televisión digital terrestre.</w:t>
      </w:r>
    </w:p>
    <w:p w14:paraId="193D5424" w14:textId="77777777" w:rsidR="00AC1759" w:rsidRPr="0052424C" w:rsidRDefault="00AC1759" w:rsidP="00AC1759">
      <w:pPr>
        <w:pStyle w:val="Default"/>
        <w:numPr>
          <w:ilvl w:val="0"/>
          <w:numId w:val="1"/>
        </w:numPr>
        <w:tabs>
          <w:tab w:val="left" w:pos="0"/>
        </w:tabs>
        <w:spacing w:line="360" w:lineRule="auto"/>
        <w:jc w:val="both"/>
        <w:rPr>
          <w:rFonts w:ascii="ITC Avant Garde" w:hAnsi="ITC Avant Garde"/>
          <w:sz w:val="22"/>
          <w:szCs w:val="22"/>
          <w:lang w:val="es-ES_tradnl"/>
        </w:rPr>
      </w:pPr>
      <w:r w:rsidRPr="0052424C">
        <w:rPr>
          <w:rFonts w:ascii="ITC Avant Garde" w:hAnsi="ITC Avant Garde"/>
          <w:sz w:val="22"/>
          <w:szCs w:val="22"/>
          <w:lang w:val="es-ES_tradnl"/>
        </w:rPr>
        <w:t xml:space="preserve">Fortalecer los planteamientos expuestos en el Anteproyecto mediante la participación ciudadana, generando así un documento más robusto y eficiente que busque brindar una cobertura óptima a las necesidades y sugerencias en beneficio de todo el sector. </w:t>
      </w:r>
    </w:p>
    <w:p w14:paraId="60D1B115" w14:textId="77777777" w:rsidR="00AC1759" w:rsidRPr="0052424C" w:rsidRDefault="00AC1759" w:rsidP="00AC1759">
      <w:pPr>
        <w:pStyle w:val="Default"/>
        <w:tabs>
          <w:tab w:val="left" w:pos="0"/>
        </w:tabs>
        <w:spacing w:line="360" w:lineRule="auto"/>
        <w:jc w:val="both"/>
        <w:rPr>
          <w:rFonts w:ascii="ITC Avant Garde" w:hAnsi="ITC Avant Garde"/>
          <w:sz w:val="22"/>
          <w:szCs w:val="22"/>
          <w:lang w:val="es-ES_tradnl"/>
        </w:rPr>
      </w:pPr>
    </w:p>
    <w:p w14:paraId="678361D2" w14:textId="77777777" w:rsidR="00AC1759" w:rsidRPr="0052424C" w:rsidRDefault="00AC1759" w:rsidP="00AC1759">
      <w:pPr>
        <w:pStyle w:val="Default"/>
        <w:tabs>
          <w:tab w:val="left" w:pos="0"/>
        </w:tabs>
        <w:spacing w:line="360" w:lineRule="auto"/>
        <w:jc w:val="both"/>
        <w:rPr>
          <w:rFonts w:ascii="ITC Avant Garde" w:hAnsi="ITC Avant Garde"/>
          <w:bCs/>
          <w:sz w:val="22"/>
          <w:szCs w:val="22"/>
          <w:lang w:val="es-ES_tradnl"/>
        </w:rPr>
      </w:pPr>
      <w:r w:rsidRPr="0052424C">
        <w:rPr>
          <w:rFonts w:ascii="ITC Avant Garde" w:hAnsi="ITC Avant Garde"/>
          <w:bCs/>
          <w:sz w:val="22"/>
          <w:szCs w:val="22"/>
          <w:lang w:val="es-ES_tradnl"/>
        </w:rPr>
        <w:t>Que el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w:t>
      </w:r>
    </w:p>
    <w:p w14:paraId="364CA469" w14:textId="77777777" w:rsidR="00AC1759" w:rsidRPr="0052424C" w:rsidRDefault="00AC1759" w:rsidP="00AC1759">
      <w:pPr>
        <w:pStyle w:val="Default"/>
        <w:tabs>
          <w:tab w:val="left" w:pos="0"/>
        </w:tabs>
        <w:spacing w:line="360" w:lineRule="auto"/>
        <w:jc w:val="both"/>
        <w:rPr>
          <w:rFonts w:ascii="ITC Avant Garde" w:hAnsi="ITC Avant Garde"/>
          <w:bCs/>
          <w:sz w:val="22"/>
          <w:szCs w:val="22"/>
          <w:lang w:val="es-ES_tradnl"/>
        </w:rPr>
      </w:pPr>
    </w:p>
    <w:p w14:paraId="354C11EF" w14:textId="77777777" w:rsidR="00AC1759" w:rsidRPr="0052424C" w:rsidRDefault="00AC1759" w:rsidP="00AC1759">
      <w:pPr>
        <w:pStyle w:val="Default"/>
        <w:tabs>
          <w:tab w:val="left" w:pos="0"/>
        </w:tabs>
        <w:spacing w:line="360" w:lineRule="auto"/>
        <w:jc w:val="both"/>
        <w:rPr>
          <w:rFonts w:ascii="ITC Avant Garde" w:hAnsi="ITC Avant Garde"/>
          <w:bCs/>
          <w:sz w:val="22"/>
          <w:szCs w:val="22"/>
          <w:lang w:val="es-ES_tradnl"/>
        </w:rPr>
      </w:pPr>
      <w:r w:rsidRPr="0052424C">
        <w:rPr>
          <w:rFonts w:ascii="ITC Avant Garde" w:hAnsi="ITC Avant Garde"/>
          <w:bCs/>
          <w:sz w:val="22"/>
          <w:szCs w:val="22"/>
          <w:lang w:val="es-ES_tradnl"/>
        </w:rPr>
        <w:t xml:space="preserve">En este sentido, el Pleno del Instituto estima conveniente someter a consulta pública el Anteproyecto que a su vez le fue propuesto por la Unidad de Política Regulatoria, el cual se adjunta al presente Acuerdo como Anexo Único y forma parte integral de éste; al efecto, una vez concluido el plazo de consulta respectivo, se publicarán en el portal de Internet del Instituto todos y cada uno de los comentarios, opiniones y propuestas recibidas. </w:t>
      </w:r>
    </w:p>
    <w:p w14:paraId="4258C3BC" w14:textId="77777777" w:rsidR="00AC1759" w:rsidRPr="0052424C" w:rsidRDefault="00AC1759" w:rsidP="00AC1759">
      <w:pPr>
        <w:pStyle w:val="Default"/>
        <w:tabs>
          <w:tab w:val="left" w:pos="0"/>
        </w:tabs>
        <w:spacing w:line="360" w:lineRule="auto"/>
        <w:jc w:val="both"/>
        <w:rPr>
          <w:rFonts w:ascii="ITC Avant Garde" w:hAnsi="ITC Avant Garde"/>
          <w:b/>
          <w:bCs/>
          <w:color w:val="auto"/>
          <w:sz w:val="22"/>
          <w:szCs w:val="22"/>
          <w:lang w:val="es-ES_tradnl"/>
        </w:rPr>
      </w:pPr>
    </w:p>
    <w:p w14:paraId="6259C8D4" w14:textId="77777777" w:rsidR="00AC1759" w:rsidRPr="0052424C" w:rsidRDefault="00AC1759" w:rsidP="00AC1759">
      <w:pPr>
        <w:pStyle w:val="Default"/>
        <w:tabs>
          <w:tab w:val="left" w:pos="0"/>
        </w:tabs>
        <w:spacing w:line="360" w:lineRule="auto"/>
        <w:jc w:val="both"/>
        <w:rPr>
          <w:rFonts w:ascii="ITC Avant Garde" w:hAnsi="ITC Avant Garde"/>
          <w:bCs/>
          <w:color w:val="auto"/>
          <w:sz w:val="22"/>
          <w:szCs w:val="22"/>
          <w:lang w:val="es-ES_tradnl"/>
        </w:rPr>
      </w:pPr>
      <w:r w:rsidRPr="0052424C">
        <w:rPr>
          <w:rFonts w:ascii="ITC Avant Garde" w:hAnsi="ITC Avant Garde"/>
          <w:bCs/>
          <w:color w:val="auto"/>
          <w:sz w:val="22"/>
          <w:szCs w:val="22"/>
          <w:lang w:val="es-ES_tradnl"/>
        </w:rPr>
        <w:lastRenderedPageBreak/>
        <w:t>Lo anterior sin perjuicio de que, en su momento, el Instituto realice y haga público el correspondiente análisis de impacto regulatorio, conforme a lo dispuesto por el segundo párrafo del artículo 51 de la LFTR.</w:t>
      </w:r>
    </w:p>
    <w:p w14:paraId="51030A0E" w14:textId="77777777" w:rsidR="008D7FB0" w:rsidRPr="0052424C" w:rsidRDefault="008D7FB0" w:rsidP="00E4457A">
      <w:pPr>
        <w:pStyle w:val="Default"/>
        <w:tabs>
          <w:tab w:val="left" w:pos="0"/>
        </w:tabs>
        <w:spacing w:line="360" w:lineRule="auto"/>
        <w:jc w:val="both"/>
        <w:rPr>
          <w:rFonts w:ascii="ITC Avant Garde" w:hAnsi="ITC Avant Garde"/>
          <w:color w:val="auto"/>
          <w:sz w:val="22"/>
          <w:szCs w:val="22"/>
          <w:lang w:val="es-ES_tradnl"/>
        </w:rPr>
      </w:pPr>
    </w:p>
    <w:p w14:paraId="36E26AF8" w14:textId="35D22D34" w:rsidR="00C35169" w:rsidRPr="0052424C" w:rsidRDefault="00C35169" w:rsidP="00C35169">
      <w:pPr>
        <w:pStyle w:val="Default"/>
        <w:tabs>
          <w:tab w:val="left" w:pos="0"/>
        </w:tabs>
        <w:spacing w:line="360" w:lineRule="auto"/>
        <w:jc w:val="both"/>
        <w:rPr>
          <w:rFonts w:ascii="ITC Avant Garde" w:hAnsi="ITC Avant Garde"/>
          <w:bCs/>
          <w:color w:val="auto"/>
          <w:sz w:val="22"/>
          <w:szCs w:val="22"/>
          <w:lang w:val="es-ES_tradnl"/>
        </w:rPr>
      </w:pPr>
      <w:r w:rsidRPr="0052424C">
        <w:rPr>
          <w:rFonts w:ascii="ITC Avant Garde" w:hAnsi="ITC Avant Garde"/>
          <w:bCs/>
          <w:color w:val="auto"/>
          <w:sz w:val="22"/>
          <w:szCs w:val="22"/>
          <w:lang w:val="es-ES_tradnl"/>
        </w:rPr>
        <w:t xml:space="preserve">Por lo anterior, </w:t>
      </w:r>
      <w:r w:rsidR="00DB5D34" w:rsidRPr="0052424C">
        <w:rPr>
          <w:rFonts w:ascii="ITC Avant Garde" w:hAnsi="ITC Avant Garde"/>
          <w:bCs/>
          <w:color w:val="auto"/>
          <w:sz w:val="22"/>
          <w:szCs w:val="22"/>
          <w:lang w:val="es-ES_tradnl"/>
        </w:rPr>
        <w:t xml:space="preserve">el Pleno del Instituto determina que </w:t>
      </w:r>
      <w:r w:rsidR="00E74BB3" w:rsidRPr="0052424C">
        <w:rPr>
          <w:rFonts w:ascii="ITC Avant Garde" w:hAnsi="ITC Avant Garde"/>
          <w:bCs/>
          <w:color w:val="auto"/>
          <w:sz w:val="22"/>
          <w:szCs w:val="22"/>
          <w:lang w:val="es-ES_tradnl"/>
        </w:rPr>
        <w:t>el Anteproyecto</w:t>
      </w:r>
      <w:r w:rsidRPr="0052424C">
        <w:rPr>
          <w:rFonts w:ascii="ITC Avant Garde" w:hAnsi="ITC Avant Garde"/>
          <w:bCs/>
          <w:color w:val="auto"/>
          <w:sz w:val="22"/>
          <w:szCs w:val="22"/>
          <w:lang w:val="es-ES_tradnl"/>
        </w:rPr>
        <w:t xml:space="preserve"> </w:t>
      </w:r>
      <w:r w:rsidR="00E74BB3" w:rsidRPr="0052424C">
        <w:rPr>
          <w:rFonts w:ascii="ITC Avant Garde" w:hAnsi="ITC Avant Garde"/>
          <w:bCs/>
          <w:color w:val="auto"/>
          <w:sz w:val="22"/>
          <w:szCs w:val="22"/>
          <w:lang w:val="es-ES_tradnl"/>
        </w:rPr>
        <w:t>propuesto</w:t>
      </w:r>
      <w:r w:rsidRPr="0052424C">
        <w:rPr>
          <w:rFonts w:ascii="ITC Avant Garde" w:hAnsi="ITC Avant Garde"/>
          <w:bCs/>
          <w:color w:val="auto"/>
          <w:sz w:val="22"/>
          <w:szCs w:val="22"/>
          <w:lang w:val="es-ES_tradnl"/>
        </w:rPr>
        <w:t xml:space="preserve"> por la Unidad de Políti</w:t>
      </w:r>
      <w:r w:rsidR="00E11DC3" w:rsidRPr="0052424C">
        <w:rPr>
          <w:rFonts w:ascii="ITC Avant Garde" w:hAnsi="ITC Avant Garde"/>
          <w:bCs/>
          <w:color w:val="auto"/>
          <w:sz w:val="22"/>
          <w:szCs w:val="22"/>
          <w:lang w:val="es-ES_tradnl"/>
        </w:rPr>
        <w:t>ca Regulatoria debe estar sujeta</w:t>
      </w:r>
      <w:r w:rsidRPr="0052424C">
        <w:rPr>
          <w:rFonts w:ascii="ITC Avant Garde" w:hAnsi="ITC Avant Garde"/>
          <w:bCs/>
          <w:color w:val="auto"/>
          <w:sz w:val="22"/>
          <w:szCs w:val="22"/>
          <w:lang w:val="es-ES_tradnl"/>
        </w:rPr>
        <w:t xml:space="preserve"> a un proceso de consulta pública por un periodo de </w:t>
      </w:r>
      <w:r w:rsidR="006425F8">
        <w:rPr>
          <w:rFonts w:ascii="ITC Avant Garde" w:hAnsi="ITC Avant Garde"/>
          <w:bCs/>
          <w:color w:val="auto"/>
          <w:sz w:val="22"/>
          <w:szCs w:val="22"/>
          <w:lang w:val="es-ES_tradnl"/>
        </w:rPr>
        <w:t>quince</w:t>
      </w:r>
      <w:r w:rsidR="00DB5D34" w:rsidRPr="0052424C">
        <w:rPr>
          <w:rFonts w:ascii="ITC Avant Garde" w:hAnsi="ITC Avant Garde"/>
          <w:bCs/>
          <w:color w:val="auto"/>
          <w:sz w:val="22"/>
          <w:szCs w:val="22"/>
          <w:lang w:val="es-ES_tradnl"/>
        </w:rPr>
        <w:t xml:space="preserve"> días</w:t>
      </w:r>
      <w:r w:rsidRPr="0052424C">
        <w:rPr>
          <w:rFonts w:ascii="ITC Avant Garde" w:hAnsi="ITC Avant Garde"/>
          <w:b/>
          <w:bCs/>
          <w:color w:val="auto"/>
          <w:sz w:val="22"/>
          <w:szCs w:val="22"/>
          <w:lang w:val="es-ES_tradnl"/>
        </w:rPr>
        <w:t xml:space="preserve"> </w:t>
      </w:r>
      <w:r w:rsidR="00DB5D34" w:rsidRPr="0052424C">
        <w:rPr>
          <w:rFonts w:ascii="ITC Avant Garde" w:hAnsi="ITC Avant Garde"/>
          <w:bCs/>
          <w:color w:val="auto"/>
          <w:sz w:val="22"/>
          <w:szCs w:val="22"/>
          <w:lang w:val="es-ES_tradnl"/>
        </w:rPr>
        <w:t xml:space="preserve">hábiles </w:t>
      </w:r>
      <w:r w:rsidRPr="0052424C">
        <w:rPr>
          <w:rFonts w:ascii="ITC Avant Garde" w:hAnsi="ITC Avant Garde"/>
          <w:bCs/>
          <w:color w:val="auto"/>
          <w:sz w:val="22"/>
          <w:szCs w:val="22"/>
          <w:lang w:val="es-ES_tradnl"/>
        </w:rPr>
        <w:t xml:space="preserve">a fin de transparentar y promover la participación ciudadana en los procesos de emisión de disposiciones de carácter general que genere el Instituto, a efecto de dar cabal cumplimiento a lo establecido en el dispositivo legal señalado. </w:t>
      </w:r>
    </w:p>
    <w:p w14:paraId="5658650D" w14:textId="77777777" w:rsidR="00AE1270" w:rsidRPr="0052424C" w:rsidRDefault="00AE1270" w:rsidP="00C35169">
      <w:pPr>
        <w:pStyle w:val="Default"/>
        <w:tabs>
          <w:tab w:val="left" w:pos="0"/>
        </w:tabs>
        <w:spacing w:line="360" w:lineRule="auto"/>
        <w:jc w:val="both"/>
        <w:rPr>
          <w:rFonts w:ascii="ITC Avant Garde" w:hAnsi="ITC Avant Garde"/>
          <w:bCs/>
          <w:color w:val="auto"/>
          <w:sz w:val="22"/>
          <w:szCs w:val="22"/>
          <w:lang w:val="es-ES_tradnl"/>
        </w:rPr>
      </w:pPr>
    </w:p>
    <w:p w14:paraId="3FBDC905" w14:textId="4501A767" w:rsidR="00C35169" w:rsidRPr="0052424C" w:rsidRDefault="00C35169" w:rsidP="00C35169">
      <w:pPr>
        <w:pStyle w:val="Default"/>
        <w:tabs>
          <w:tab w:val="left" w:pos="0"/>
        </w:tabs>
        <w:spacing w:line="360" w:lineRule="auto"/>
        <w:jc w:val="both"/>
        <w:rPr>
          <w:rFonts w:ascii="ITC Avant Garde" w:hAnsi="ITC Avant Garde"/>
          <w:bCs/>
          <w:color w:val="auto"/>
          <w:sz w:val="22"/>
          <w:szCs w:val="22"/>
          <w:lang w:val="es-ES_tradnl"/>
        </w:rPr>
      </w:pPr>
      <w:r w:rsidRPr="0052424C">
        <w:rPr>
          <w:rFonts w:ascii="ITC Avant Garde" w:hAnsi="ITC Avant Garde"/>
          <w:bCs/>
          <w:color w:val="auto"/>
          <w:sz w:val="22"/>
          <w:szCs w:val="22"/>
          <w:lang w:val="es-ES_tradnl"/>
        </w:rPr>
        <w:t>Por las razones antes expuestas, con fundamento en lo dispuesto por los artículos 28, párrafo vigésimo, fracción IV, de la Constitución Política de los Es</w:t>
      </w:r>
      <w:r w:rsidR="002822C7" w:rsidRPr="0052424C">
        <w:rPr>
          <w:rFonts w:ascii="ITC Avant Garde" w:hAnsi="ITC Avant Garde"/>
          <w:bCs/>
          <w:color w:val="auto"/>
          <w:sz w:val="22"/>
          <w:szCs w:val="22"/>
          <w:lang w:val="es-ES_tradnl"/>
        </w:rPr>
        <w:t xml:space="preserve">tados Unidos Mexicanos; </w:t>
      </w:r>
      <w:r w:rsidR="00E74BB3" w:rsidRPr="0052424C">
        <w:rPr>
          <w:rFonts w:ascii="ITC Avant Garde" w:hAnsi="ITC Avant Garde"/>
          <w:bCs/>
          <w:color w:val="auto"/>
          <w:sz w:val="22"/>
          <w:szCs w:val="22"/>
          <w:lang w:val="es-ES_tradnl"/>
        </w:rPr>
        <w:t>artículos 15, fracciones</w:t>
      </w:r>
      <w:r w:rsidR="00E9247F" w:rsidRPr="0052424C">
        <w:rPr>
          <w:rFonts w:ascii="ITC Avant Garde" w:hAnsi="ITC Avant Garde"/>
          <w:bCs/>
          <w:color w:val="auto"/>
          <w:sz w:val="22"/>
          <w:szCs w:val="22"/>
          <w:lang w:val="es-ES_tradnl"/>
        </w:rPr>
        <w:t xml:space="preserve"> I</w:t>
      </w:r>
      <w:r w:rsidR="00B73F75">
        <w:rPr>
          <w:rFonts w:ascii="ITC Avant Garde" w:hAnsi="ITC Avant Garde"/>
          <w:bCs/>
          <w:color w:val="auto"/>
          <w:sz w:val="22"/>
          <w:szCs w:val="22"/>
          <w:lang w:val="es-ES_tradnl"/>
        </w:rPr>
        <w:t xml:space="preserve"> y XLVII, 51, </w:t>
      </w:r>
      <w:r w:rsidR="00E9247F" w:rsidRPr="0052424C">
        <w:rPr>
          <w:rFonts w:ascii="ITC Avant Garde" w:hAnsi="ITC Avant Garde"/>
          <w:bCs/>
          <w:color w:val="auto"/>
          <w:sz w:val="22"/>
          <w:szCs w:val="22"/>
          <w:lang w:val="es-ES_tradnl"/>
        </w:rPr>
        <w:t>52</w:t>
      </w:r>
      <w:r w:rsidR="00E74BB3" w:rsidRPr="0052424C">
        <w:rPr>
          <w:rFonts w:ascii="ITC Avant Garde" w:hAnsi="ITC Avant Garde"/>
          <w:bCs/>
          <w:color w:val="auto"/>
          <w:sz w:val="22"/>
          <w:szCs w:val="22"/>
          <w:lang w:val="es-ES_tradnl"/>
        </w:rPr>
        <w:t xml:space="preserve"> </w:t>
      </w:r>
      <w:r w:rsidR="00B73F75">
        <w:rPr>
          <w:rFonts w:ascii="ITC Avant Garde" w:hAnsi="ITC Avant Garde"/>
          <w:bCs/>
          <w:color w:val="auto"/>
          <w:sz w:val="22"/>
          <w:szCs w:val="22"/>
          <w:lang w:val="es-ES_tradnl"/>
        </w:rPr>
        <w:t xml:space="preserve">y 155 </w:t>
      </w:r>
      <w:r w:rsidR="00E9247F" w:rsidRPr="0052424C">
        <w:rPr>
          <w:rFonts w:ascii="ITC Avant Garde" w:hAnsi="ITC Avant Garde"/>
          <w:bCs/>
          <w:color w:val="auto"/>
          <w:sz w:val="22"/>
          <w:szCs w:val="22"/>
          <w:lang w:val="es-ES_tradnl"/>
        </w:rPr>
        <w:t xml:space="preserve">de la LFTR, y los artículos 22, fracción I y 23, fracción </w:t>
      </w:r>
      <w:r w:rsidR="00997A87" w:rsidRPr="0052424C">
        <w:rPr>
          <w:rFonts w:ascii="ITC Avant Garde" w:hAnsi="ITC Avant Garde"/>
          <w:bCs/>
          <w:color w:val="auto"/>
          <w:sz w:val="22"/>
          <w:szCs w:val="22"/>
          <w:lang w:val="es-ES_tradnl"/>
        </w:rPr>
        <w:t>XV</w:t>
      </w:r>
      <w:r w:rsidR="00E9247F" w:rsidRPr="0052424C">
        <w:rPr>
          <w:rFonts w:ascii="ITC Avant Garde" w:hAnsi="ITC Avant Garde"/>
          <w:bCs/>
          <w:color w:val="auto"/>
          <w:sz w:val="22"/>
          <w:szCs w:val="22"/>
          <w:lang w:val="es-ES_tradnl"/>
        </w:rPr>
        <w:t xml:space="preserve"> del Estatuto Orgánico del Instituto, el Pleno del Instituto expide el siguiente</w:t>
      </w:r>
      <w:r w:rsidRPr="0052424C">
        <w:rPr>
          <w:rFonts w:ascii="ITC Avant Garde" w:hAnsi="ITC Avant Garde"/>
          <w:bCs/>
          <w:color w:val="auto"/>
          <w:sz w:val="22"/>
          <w:szCs w:val="22"/>
          <w:lang w:val="es-ES_tradnl"/>
        </w:rPr>
        <w:t>:</w:t>
      </w:r>
    </w:p>
    <w:p w14:paraId="651FBB3E" w14:textId="77777777" w:rsidR="00571F54" w:rsidRDefault="00571F54" w:rsidP="00C35169">
      <w:pPr>
        <w:autoSpaceDE w:val="0"/>
        <w:autoSpaceDN w:val="0"/>
        <w:adjustRightInd w:val="0"/>
        <w:spacing w:after="0" w:line="360" w:lineRule="auto"/>
        <w:jc w:val="center"/>
        <w:rPr>
          <w:rFonts w:ascii="ITC Avant Garde" w:hAnsi="ITC Avant Garde" w:cs="Tahoma"/>
          <w:b/>
          <w:bCs/>
          <w:lang w:eastAsia="es-MX"/>
        </w:rPr>
      </w:pPr>
    </w:p>
    <w:p w14:paraId="15DAF1B2" w14:textId="77777777" w:rsidR="00C35169" w:rsidRPr="0052424C" w:rsidRDefault="00C35169" w:rsidP="00C35169">
      <w:pPr>
        <w:autoSpaceDE w:val="0"/>
        <w:autoSpaceDN w:val="0"/>
        <w:adjustRightInd w:val="0"/>
        <w:spacing w:after="0" w:line="360" w:lineRule="auto"/>
        <w:jc w:val="center"/>
        <w:rPr>
          <w:rFonts w:ascii="ITC Avant Garde" w:hAnsi="ITC Avant Garde" w:cs="Tahoma"/>
          <w:b/>
          <w:bCs/>
          <w:lang w:eastAsia="es-MX"/>
        </w:rPr>
      </w:pPr>
      <w:r w:rsidRPr="0052424C">
        <w:rPr>
          <w:rFonts w:ascii="ITC Avant Garde" w:hAnsi="ITC Avant Garde" w:cs="Tahoma"/>
          <w:b/>
          <w:bCs/>
          <w:lang w:eastAsia="es-MX"/>
        </w:rPr>
        <w:t>ACUERDO</w:t>
      </w:r>
    </w:p>
    <w:p w14:paraId="0B76F4C9" w14:textId="77777777" w:rsidR="00C35169" w:rsidRPr="0052424C" w:rsidRDefault="00C35169" w:rsidP="00C35169">
      <w:pPr>
        <w:autoSpaceDE w:val="0"/>
        <w:autoSpaceDN w:val="0"/>
        <w:adjustRightInd w:val="0"/>
        <w:spacing w:after="0" w:line="360" w:lineRule="auto"/>
        <w:jc w:val="both"/>
        <w:rPr>
          <w:rFonts w:ascii="ITC Avant Garde" w:hAnsi="ITC Avant Garde" w:cs="Tahoma"/>
          <w:bCs/>
          <w:lang w:eastAsia="es-MX"/>
        </w:rPr>
      </w:pPr>
    </w:p>
    <w:p w14:paraId="6D99828E" w14:textId="7FBADD92" w:rsidR="00C35169" w:rsidRPr="0052424C" w:rsidRDefault="00C35169" w:rsidP="00C35169">
      <w:pPr>
        <w:autoSpaceDE w:val="0"/>
        <w:autoSpaceDN w:val="0"/>
        <w:adjustRightInd w:val="0"/>
        <w:spacing w:after="0" w:line="360" w:lineRule="auto"/>
        <w:jc w:val="both"/>
        <w:rPr>
          <w:rFonts w:ascii="ITC Avant Garde" w:hAnsi="ITC Avant Garde"/>
          <w:bCs/>
        </w:rPr>
      </w:pPr>
      <w:r w:rsidRPr="0052424C">
        <w:rPr>
          <w:rFonts w:ascii="ITC Avant Garde" w:hAnsi="ITC Avant Garde" w:cs="Tahoma"/>
          <w:b/>
          <w:bCs/>
          <w:lang w:eastAsia="es-MX"/>
        </w:rPr>
        <w:t>PRIMERO</w:t>
      </w:r>
      <w:r w:rsidRPr="0052424C">
        <w:rPr>
          <w:rFonts w:ascii="ITC Avant Garde" w:hAnsi="ITC Avant Garde" w:cs="Tahoma"/>
          <w:bCs/>
          <w:lang w:eastAsia="es-MX"/>
        </w:rPr>
        <w:t>.- Se determina someter a consulta pública el</w:t>
      </w:r>
      <w:r w:rsidR="002822C7" w:rsidRPr="0052424C">
        <w:rPr>
          <w:rFonts w:ascii="ITC Avant Garde" w:hAnsi="ITC Avant Garde" w:cs="Tahoma"/>
          <w:bCs/>
          <w:lang w:eastAsia="es-MX"/>
        </w:rPr>
        <w:t xml:space="preserve"> </w:t>
      </w:r>
      <w:r w:rsidR="009B5F5D" w:rsidRPr="009B5F5D">
        <w:rPr>
          <w:rFonts w:ascii="ITC Avant Garde" w:hAnsi="ITC Avant Garde" w:cs="Tahoma"/>
          <w:bCs/>
        </w:rPr>
        <w:t>ANTEPROYECTO DE LINEAMIENTOS QUE ESTABLECEN LAS ESPECIFICACIONES Y REQUERIMIENTOS MÍNIMOS PARA LA INSTALACIÓN Y OPERACIÓN DE ESTACIONES DE RADIODIFUSIÓN DE TELEVISIÓN DIGITAL TERRESTRE (TDT) Y FIJAN LOS ÍNDICES Y PARÁMETROS DE CALIDAD A QUE DEBERÁN SUJETARSE LOS CONCESIONARIOS DEL SERVICIO DE RADIODIFUSIÓN DE TDT</w:t>
      </w:r>
      <w:r w:rsidRPr="0052424C">
        <w:rPr>
          <w:rFonts w:ascii="ITC Avant Garde" w:hAnsi="ITC Avant Garde" w:cs="Tahoma"/>
          <w:bCs/>
          <w:lang w:eastAsia="es-MX"/>
        </w:rPr>
        <w:t xml:space="preserve">, el cual se adjunta al presente como Anexo Único. Dicha consulta pública se realizará durante </w:t>
      </w:r>
      <w:r w:rsidR="006425F8">
        <w:rPr>
          <w:rFonts w:ascii="ITC Avant Garde" w:hAnsi="ITC Avant Garde" w:cs="Tahoma"/>
          <w:bCs/>
          <w:lang w:eastAsia="es-MX"/>
        </w:rPr>
        <w:t>quince</w:t>
      </w:r>
      <w:r w:rsidR="002822C7" w:rsidRPr="0052424C">
        <w:rPr>
          <w:rFonts w:ascii="ITC Avant Garde" w:hAnsi="ITC Avant Garde" w:cs="Tahoma"/>
          <w:bCs/>
          <w:lang w:eastAsia="es-MX"/>
        </w:rPr>
        <w:t xml:space="preserve"> días hábiles</w:t>
      </w:r>
      <w:r w:rsidRPr="0052424C">
        <w:rPr>
          <w:rFonts w:ascii="ITC Avant Garde" w:hAnsi="ITC Avant Garde" w:cs="Tahoma"/>
          <w:bCs/>
          <w:lang w:eastAsia="es-MX"/>
        </w:rPr>
        <w:t xml:space="preserve"> a partir de su publicación en el portal</w:t>
      </w:r>
      <w:r w:rsidR="002822C7" w:rsidRPr="0052424C">
        <w:rPr>
          <w:rFonts w:ascii="ITC Avant Garde" w:hAnsi="ITC Avant Garde" w:cs="Tahoma"/>
          <w:bCs/>
          <w:lang w:eastAsia="es-MX"/>
        </w:rPr>
        <w:t xml:space="preserve"> de I</w:t>
      </w:r>
      <w:r w:rsidRPr="0052424C">
        <w:rPr>
          <w:rFonts w:ascii="ITC Avant Garde" w:hAnsi="ITC Avant Garde" w:cs="Tahoma"/>
          <w:bCs/>
          <w:lang w:eastAsia="es-MX"/>
        </w:rPr>
        <w:t>nternet</w:t>
      </w:r>
      <w:r w:rsidRPr="0052424C">
        <w:rPr>
          <w:rFonts w:ascii="ITC Avant Garde" w:hAnsi="ITC Avant Garde"/>
          <w:bCs/>
        </w:rPr>
        <w:t xml:space="preserve"> del Instituto Federal de Telecomunicaciones.</w:t>
      </w:r>
    </w:p>
    <w:p w14:paraId="3BCD869E" w14:textId="77777777" w:rsidR="00E4457A" w:rsidRPr="0052424C" w:rsidRDefault="00E4457A" w:rsidP="00C35169">
      <w:pPr>
        <w:autoSpaceDE w:val="0"/>
        <w:autoSpaceDN w:val="0"/>
        <w:adjustRightInd w:val="0"/>
        <w:spacing w:after="0" w:line="360" w:lineRule="auto"/>
        <w:jc w:val="both"/>
        <w:rPr>
          <w:rFonts w:ascii="ITC Avant Garde" w:hAnsi="ITC Avant Garde" w:cs="Tahoma"/>
          <w:bCs/>
          <w:lang w:eastAsia="es-MX"/>
        </w:rPr>
      </w:pPr>
    </w:p>
    <w:p w14:paraId="106E149A" w14:textId="1B5FC408" w:rsidR="00C35169" w:rsidRPr="0052424C" w:rsidRDefault="00C35169" w:rsidP="00C35169">
      <w:pPr>
        <w:autoSpaceDE w:val="0"/>
        <w:autoSpaceDN w:val="0"/>
        <w:adjustRightInd w:val="0"/>
        <w:spacing w:after="0" w:line="360" w:lineRule="auto"/>
        <w:jc w:val="both"/>
        <w:rPr>
          <w:rFonts w:ascii="ITC Avant Garde" w:hAnsi="ITC Avant Garde" w:cs="Tahoma"/>
          <w:bCs/>
          <w:lang w:eastAsia="es-MX"/>
        </w:rPr>
      </w:pPr>
      <w:r w:rsidRPr="0052424C">
        <w:rPr>
          <w:rFonts w:ascii="ITC Avant Garde" w:hAnsi="ITC Avant Garde" w:cs="Tahoma"/>
          <w:b/>
          <w:bCs/>
          <w:lang w:eastAsia="es-MX"/>
        </w:rPr>
        <w:t>SEGUNDO</w:t>
      </w:r>
      <w:r w:rsidRPr="0052424C">
        <w:rPr>
          <w:rFonts w:ascii="ITC Avant Garde" w:hAnsi="ITC Avant Garde" w:cs="Tahoma"/>
          <w:bCs/>
          <w:lang w:eastAsia="es-MX"/>
        </w:rPr>
        <w:t>.- Se instruye a la Unidad de Política Regulatoria, por conducto de la</w:t>
      </w:r>
      <w:r w:rsidR="002822C7" w:rsidRPr="0052424C">
        <w:rPr>
          <w:rFonts w:ascii="ITC Avant Garde" w:hAnsi="ITC Avant Garde" w:cs="Tahoma"/>
          <w:bCs/>
          <w:lang w:eastAsia="es-MX"/>
        </w:rPr>
        <w:t xml:space="preserve"> Dirección General de Regulación Técnica</w:t>
      </w:r>
      <w:r w:rsidR="008663BE" w:rsidRPr="0052424C">
        <w:rPr>
          <w:rFonts w:ascii="ITC Avant Garde" w:hAnsi="ITC Avant Garde" w:cs="Tahoma"/>
          <w:bCs/>
          <w:lang w:eastAsia="es-MX"/>
        </w:rPr>
        <w:t>,</w:t>
      </w:r>
      <w:r w:rsidRPr="0052424C">
        <w:rPr>
          <w:rFonts w:ascii="ITC Avant Garde" w:hAnsi="ITC Avant Garde" w:cs="Tahoma"/>
          <w:bCs/>
          <w:lang w:eastAsia="es-MX"/>
        </w:rPr>
        <w:t xml:space="preserve"> en su calidad de área proponente, ejecute la consulta </w:t>
      </w:r>
      <w:r w:rsidRPr="0052424C">
        <w:rPr>
          <w:rFonts w:ascii="ITC Avant Garde" w:hAnsi="ITC Avant Garde" w:cs="Tahoma"/>
          <w:bCs/>
          <w:lang w:eastAsia="es-MX"/>
        </w:rPr>
        <w:lastRenderedPageBreak/>
        <w:t xml:space="preserve">pública materia del presente Acuerdo, incluyendo la recepción y atención que corresponda a las opiniones que sean vertidas con motivo de la misma. </w:t>
      </w:r>
    </w:p>
    <w:p w14:paraId="6A1901D4" w14:textId="77777777" w:rsidR="00C35169" w:rsidRPr="0052424C" w:rsidRDefault="00C35169" w:rsidP="00C35169">
      <w:pPr>
        <w:autoSpaceDE w:val="0"/>
        <w:autoSpaceDN w:val="0"/>
        <w:adjustRightInd w:val="0"/>
        <w:spacing w:after="0" w:line="360" w:lineRule="auto"/>
        <w:jc w:val="both"/>
        <w:rPr>
          <w:rFonts w:ascii="ITC Avant Garde" w:hAnsi="ITC Avant Garde" w:cs="Tahoma"/>
          <w:bCs/>
          <w:lang w:eastAsia="es-MX"/>
        </w:rPr>
      </w:pPr>
    </w:p>
    <w:p w14:paraId="5C681075" w14:textId="77777777" w:rsidR="00C35169" w:rsidRDefault="00C35169" w:rsidP="00C35169">
      <w:pPr>
        <w:autoSpaceDE w:val="0"/>
        <w:autoSpaceDN w:val="0"/>
        <w:adjustRightInd w:val="0"/>
        <w:spacing w:after="0" w:line="360" w:lineRule="auto"/>
        <w:jc w:val="both"/>
        <w:rPr>
          <w:rFonts w:ascii="ITC Avant Garde" w:hAnsi="ITC Avant Garde" w:cs="Tahoma"/>
          <w:bCs/>
          <w:lang w:eastAsia="es-MX"/>
        </w:rPr>
      </w:pPr>
      <w:r w:rsidRPr="0052424C">
        <w:rPr>
          <w:rFonts w:ascii="ITC Avant Garde" w:hAnsi="ITC Avant Garde" w:cs="Tahoma"/>
          <w:bCs/>
          <w:lang w:eastAsia="es-MX"/>
        </w:rPr>
        <w:t>T</w:t>
      </w:r>
      <w:r w:rsidRPr="0052424C">
        <w:rPr>
          <w:rFonts w:ascii="ITC Avant Garde" w:hAnsi="ITC Avant Garde" w:cs="Tahoma"/>
          <w:b/>
          <w:bCs/>
          <w:lang w:eastAsia="es-MX"/>
        </w:rPr>
        <w:t>ERCERO.-</w:t>
      </w:r>
      <w:r w:rsidRPr="0052424C">
        <w:rPr>
          <w:rFonts w:ascii="ITC Avant Garde" w:hAnsi="ITC Avant Garde" w:cs="Tahoma"/>
          <w:bCs/>
          <w:lang w:eastAsia="es-MX"/>
        </w:rPr>
        <w:t xml:space="preserve"> Publíquese en el portal de Internet del Instituto Federal de Telecomunicaciones.  </w:t>
      </w:r>
    </w:p>
    <w:p w14:paraId="6C13FDE2" w14:textId="77777777" w:rsidR="00E2146B" w:rsidRDefault="00E2146B" w:rsidP="00C35169">
      <w:pPr>
        <w:autoSpaceDE w:val="0"/>
        <w:autoSpaceDN w:val="0"/>
        <w:adjustRightInd w:val="0"/>
        <w:spacing w:after="0" w:line="360" w:lineRule="auto"/>
        <w:jc w:val="both"/>
        <w:rPr>
          <w:rFonts w:ascii="ITC Avant Garde" w:hAnsi="ITC Avant Garde" w:cs="Tahoma"/>
          <w:bCs/>
          <w:lang w:eastAsia="es-MX"/>
        </w:rPr>
      </w:pPr>
    </w:p>
    <w:p w14:paraId="55FFB6D2" w14:textId="77777777" w:rsidR="00E2146B" w:rsidRDefault="00E2146B" w:rsidP="00C35169">
      <w:pPr>
        <w:autoSpaceDE w:val="0"/>
        <w:autoSpaceDN w:val="0"/>
        <w:adjustRightInd w:val="0"/>
        <w:spacing w:after="0" w:line="360" w:lineRule="auto"/>
        <w:jc w:val="both"/>
        <w:rPr>
          <w:rFonts w:ascii="ITC Avant Garde" w:hAnsi="ITC Avant Garde" w:cs="Tahoma"/>
          <w:bCs/>
          <w:lang w:eastAsia="es-MX"/>
        </w:rPr>
      </w:pPr>
    </w:p>
    <w:p w14:paraId="4E156989" w14:textId="77777777" w:rsidR="00E2146B" w:rsidRDefault="00E2146B" w:rsidP="00C35169">
      <w:pPr>
        <w:autoSpaceDE w:val="0"/>
        <w:autoSpaceDN w:val="0"/>
        <w:adjustRightInd w:val="0"/>
        <w:spacing w:after="0" w:line="360" w:lineRule="auto"/>
        <w:jc w:val="both"/>
        <w:rPr>
          <w:rFonts w:ascii="ITC Avant Garde" w:hAnsi="ITC Avant Garde" w:cs="Tahoma"/>
          <w:bCs/>
          <w:lang w:eastAsia="es-MX"/>
        </w:rPr>
      </w:pPr>
    </w:p>
    <w:p w14:paraId="267E7F0B" w14:textId="77777777" w:rsidR="00E2146B" w:rsidRDefault="00E2146B" w:rsidP="00C35169">
      <w:pPr>
        <w:autoSpaceDE w:val="0"/>
        <w:autoSpaceDN w:val="0"/>
        <w:adjustRightInd w:val="0"/>
        <w:spacing w:after="0" w:line="360" w:lineRule="auto"/>
        <w:jc w:val="both"/>
        <w:rPr>
          <w:rFonts w:ascii="ITC Avant Garde" w:hAnsi="ITC Avant Garde" w:cs="Tahoma"/>
          <w:bCs/>
          <w:lang w:eastAsia="es-MX"/>
        </w:rPr>
      </w:pPr>
    </w:p>
    <w:p w14:paraId="5DDC8D67" w14:textId="77777777" w:rsidR="00E2146B" w:rsidRPr="0052424C" w:rsidRDefault="00E2146B" w:rsidP="00C35169">
      <w:pPr>
        <w:autoSpaceDE w:val="0"/>
        <w:autoSpaceDN w:val="0"/>
        <w:adjustRightInd w:val="0"/>
        <w:spacing w:after="0" w:line="360" w:lineRule="auto"/>
        <w:jc w:val="both"/>
        <w:rPr>
          <w:rFonts w:ascii="ITC Avant Garde" w:hAnsi="ITC Avant Garde" w:cs="Tahoma"/>
          <w:bCs/>
          <w:lang w:eastAsia="es-MX"/>
        </w:rPr>
      </w:pPr>
    </w:p>
    <w:p w14:paraId="624FAD72" w14:textId="77777777" w:rsidR="00E2146B" w:rsidRPr="00DD2037" w:rsidRDefault="00E2146B" w:rsidP="00E2146B">
      <w:pPr>
        <w:spacing w:after="0" w:line="276" w:lineRule="auto"/>
        <w:jc w:val="center"/>
        <w:rPr>
          <w:rFonts w:ascii="ITC Avant Garde" w:hAnsi="ITC Avant Garde" w:cs="Arial"/>
          <w:b/>
          <w:bCs/>
        </w:rPr>
      </w:pPr>
      <w:r w:rsidRPr="00DD2037">
        <w:rPr>
          <w:rFonts w:ascii="ITC Avant Garde" w:hAnsi="ITC Avant Garde" w:cs="Arial"/>
          <w:b/>
          <w:bCs/>
        </w:rPr>
        <w:t>Gabriel Oswaldo Contreras Saldívar</w:t>
      </w:r>
    </w:p>
    <w:p w14:paraId="25BDE2EE" w14:textId="77777777" w:rsidR="00E2146B" w:rsidRPr="00DD2037" w:rsidRDefault="00E2146B" w:rsidP="00E2146B">
      <w:pPr>
        <w:spacing w:after="0" w:line="276" w:lineRule="auto"/>
        <w:jc w:val="center"/>
        <w:rPr>
          <w:rFonts w:ascii="ITC Avant Garde" w:hAnsi="ITC Avant Garde" w:cs="Arial"/>
          <w:b/>
          <w:bCs/>
        </w:rPr>
      </w:pPr>
      <w:r>
        <w:rPr>
          <w:rFonts w:ascii="ITC Avant Garde" w:hAnsi="ITC Avant Garde" w:cs="Arial"/>
          <w:b/>
          <w:bCs/>
        </w:rPr>
        <w:t xml:space="preserve">Comisionado </w:t>
      </w:r>
      <w:r w:rsidRPr="00DD2037">
        <w:rPr>
          <w:rFonts w:ascii="ITC Avant Garde" w:hAnsi="ITC Avant Garde" w:cs="Arial"/>
          <w:b/>
          <w:bCs/>
        </w:rPr>
        <w:t>Presidente</w:t>
      </w:r>
    </w:p>
    <w:p w14:paraId="00B78940" w14:textId="77777777" w:rsidR="00E2146B" w:rsidRPr="00DD2037" w:rsidRDefault="00E2146B" w:rsidP="00E2146B">
      <w:pPr>
        <w:spacing w:after="0" w:line="276" w:lineRule="auto"/>
        <w:jc w:val="center"/>
        <w:rPr>
          <w:rFonts w:ascii="ITC Avant Garde" w:hAnsi="ITC Avant Garde" w:cs="Arial"/>
          <w:b/>
          <w:bCs/>
        </w:rPr>
      </w:pPr>
    </w:p>
    <w:p w14:paraId="1C1905FD" w14:textId="77777777" w:rsidR="00E2146B" w:rsidRPr="00DD2037" w:rsidRDefault="00E2146B" w:rsidP="00E2146B">
      <w:pPr>
        <w:spacing w:after="0" w:line="276" w:lineRule="auto"/>
        <w:jc w:val="center"/>
        <w:rPr>
          <w:rFonts w:ascii="ITC Avant Garde" w:hAnsi="ITC Avant Garde" w:cs="Arial"/>
          <w:b/>
          <w:bCs/>
        </w:rPr>
      </w:pPr>
    </w:p>
    <w:p w14:paraId="0707750F" w14:textId="77777777" w:rsidR="00E2146B" w:rsidRPr="00DD2037" w:rsidRDefault="00E2146B" w:rsidP="00E2146B">
      <w:pPr>
        <w:spacing w:after="0" w:line="276" w:lineRule="auto"/>
        <w:jc w:val="center"/>
        <w:rPr>
          <w:rFonts w:ascii="ITC Avant Garde" w:hAnsi="ITC Avant Garde" w:cs="Arial"/>
          <w:b/>
          <w:bCs/>
        </w:rPr>
      </w:pPr>
    </w:p>
    <w:p w14:paraId="44227DA1" w14:textId="77777777" w:rsidR="00E2146B" w:rsidRPr="00DD2037" w:rsidRDefault="00E2146B" w:rsidP="00E2146B">
      <w:pPr>
        <w:spacing w:after="0" w:line="276" w:lineRule="auto"/>
        <w:jc w:val="center"/>
        <w:rPr>
          <w:rFonts w:ascii="ITC Avant Garde" w:hAnsi="ITC Avant Garde" w:cs="Arial"/>
          <w:b/>
          <w:bCs/>
        </w:rPr>
      </w:pPr>
    </w:p>
    <w:tbl>
      <w:tblPr>
        <w:tblW w:w="4993" w:type="pct"/>
        <w:tblCellMar>
          <w:left w:w="70" w:type="dxa"/>
          <w:right w:w="70" w:type="dxa"/>
        </w:tblCellMar>
        <w:tblLook w:val="04A0" w:firstRow="1" w:lastRow="0" w:firstColumn="1" w:lastColumn="0" w:noHBand="0" w:noVBand="1"/>
      </w:tblPr>
      <w:tblGrid>
        <w:gridCol w:w="4041"/>
        <w:gridCol w:w="318"/>
        <w:gridCol w:w="4983"/>
      </w:tblGrid>
      <w:tr w:rsidR="00E2146B" w:rsidRPr="00DD2037" w14:paraId="30863DC5" w14:textId="77777777" w:rsidTr="00CA6461">
        <w:trPr>
          <w:trHeight w:val="1653"/>
        </w:trPr>
        <w:tc>
          <w:tcPr>
            <w:tcW w:w="2163" w:type="pct"/>
            <w:hideMark/>
          </w:tcPr>
          <w:p w14:paraId="7A3A5C05" w14:textId="77777777" w:rsidR="00E2146B" w:rsidRDefault="00E2146B" w:rsidP="00CA6461">
            <w:pPr>
              <w:spacing w:after="0" w:line="276" w:lineRule="auto"/>
              <w:jc w:val="center"/>
              <w:rPr>
                <w:rFonts w:ascii="ITC Avant Garde" w:hAnsi="ITC Avant Garde" w:cs="Arial"/>
                <w:b/>
                <w:bCs/>
              </w:rPr>
            </w:pPr>
            <w:r>
              <w:rPr>
                <w:rFonts w:ascii="ITC Avant Garde" w:hAnsi="ITC Avant Garde" w:cs="Arial"/>
                <w:b/>
                <w:bCs/>
              </w:rPr>
              <w:t>Ernesto Estrada González</w:t>
            </w:r>
          </w:p>
          <w:p w14:paraId="2BE91BC3" w14:textId="77777777" w:rsidR="00E2146B" w:rsidRPr="00DD2037" w:rsidRDefault="00E2146B" w:rsidP="00CA6461">
            <w:pPr>
              <w:spacing w:after="0" w:line="276" w:lineRule="auto"/>
              <w:jc w:val="center"/>
              <w:rPr>
                <w:rFonts w:ascii="ITC Avant Garde" w:hAnsi="ITC Avant Garde" w:cs="Arial"/>
                <w:b/>
                <w:bCs/>
              </w:rPr>
            </w:pPr>
            <w:r>
              <w:rPr>
                <w:rFonts w:ascii="ITC Avant Garde" w:hAnsi="ITC Avant Garde" w:cs="Arial"/>
                <w:b/>
                <w:bCs/>
              </w:rPr>
              <w:t>Comisionado</w:t>
            </w:r>
          </w:p>
          <w:p w14:paraId="28DAC9B4" w14:textId="77777777" w:rsidR="00E2146B" w:rsidRPr="00DD2037" w:rsidRDefault="00E2146B" w:rsidP="00CA6461">
            <w:pPr>
              <w:spacing w:after="0" w:line="276" w:lineRule="auto"/>
              <w:jc w:val="center"/>
              <w:rPr>
                <w:rFonts w:ascii="ITC Avant Garde" w:hAnsi="ITC Avant Garde" w:cs="Arial"/>
                <w:b/>
                <w:bCs/>
              </w:rPr>
            </w:pPr>
          </w:p>
        </w:tc>
        <w:tc>
          <w:tcPr>
            <w:tcW w:w="170" w:type="pct"/>
          </w:tcPr>
          <w:p w14:paraId="6C78CB44" w14:textId="77777777" w:rsidR="00E2146B" w:rsidRPr="00DD2037" w:rsidRDefault="00E2146B" w:rsidP="00CA6461">
            <w:pPr>
              <w:spacing w:after="0" w:line="276" w:lineRule="auto"/>
              <w:jc w:val="center"/>
              <w:rPr>
                <w:rFonts w:ascii="ITC Avant Garde" w:hAnsi="ITC Avant Garde" w:cs="Arial"/>
                <w:b/>
                <w:bCs/>
              </w:rPr>
            </w:pPr>
          </w:p>
        </w:tc>
        <w:tc>
          <w:tcPr>
            <w:tcW w:w="2667" w:type="pct"/>
          </w:tcPr>
          <w:p w14:paraId="711AD77A" w14:textId="77777777" w:rsidR="00E2146B" w:rsidRDefault="00E2146B" w:rsidP="00CA6461">
            <w:pPr>
              <w:spacing w:after="0" w:line="276" w:lineRule="auto"/>
              <w:jc w:val="center"/>
              <w:rPr>
                <w:rFonts w:ascii="ITC Avant Garde" w:hAnsi="ITC Avant Garde" w:cs="Arial"/>
                <w:b/>
                <w:bCs/>
              </w:rPr>
            </w:pPr>
            <w:r w:rsidRPr="00DD2037">
              <w:rPr>
                <w:rFonts w:ascii="ITC Avant Garde" w:hAnsi="ITC Avant Garde" w:cs="Arial"/>
                <w:b/>
                <w:bCs/>
              </w:rPr>
              <w:t>Adriana Sofía Labardini</w:t>
            </w:r>
            <w:r>
              <w:rPr>
                <w:rFonts w:ascii="ITC Avant Garde" w:hAnsi="ITC Avant Garde" w:cs="Arial"/>
                <w:b/>
                <w:bCs/>
              </w:rPr>
              <w:t xml:space="preserve"> </w:t>
            </w:r>
            <w:r w:rsidRPr="00DD2037">
              <w:rPr>
                <w:rFonts w:ascii="ITC Avant Garde" w:hAnsi="ITC Avant Garde" w:cs="Arial"/>
                <w:b/>
                <w:bCs/>
              </w:rPr>
              <w:t xml:space="preserve">Inzunza </w:t>
            </w:r>
          </w:p>
          <w:p w14:paraId="2DC95331" w14:textId="77777777" w:rsidR="00E2146B" w:rsidRPr="00DD2037" w:rsidRDefault="00E2146B" w:rsidP="00CA6461">
            <w:pPr>
              <w:spacing w:after="0" w:line="276" w:lineRule="auto"/>
              <w:jc w:val="center"/>
              <w:rPr>
                <w:rFonts w:ascii="ITC Avant Garde" w:hAnsi="ITC Avant Garde" w:cs="Arial"/>
                <w:b/>
                <w:bCs/>
              </w:rPr>
            </w:pPr>
            <w:r w:rsidRPr="00DD2037">
              <w:rPr>
                <w:rFonts w:ascii="ITC Avant Garde" w:hAnsi="ITC Avant Garde" w:cs="Arial"/>
                <w:b/>
                <w:bCs/>
              </w:rPr>
              <w:t>Comisionad</w:t>
            </w:r>
            <w:r>
              <w:rPr>
                <w:rFonts w:ascii="ITC Avant Garde" w:hAnsi="ITC Avant Garde" w:cs="Arial"/>
                <w:b/>
                <w:bCs/>
              </w:rPr>
              <w:t>a</w:t>
            </w:r>
          </w:p>
          <w:p w14:paraId="1F89399F" w14:textId="77777777" w:rsidR="00E2146B" w:rsidRDefault="00E2146B" w:rsidP="00CA6461">
            <w:pPr>
              <w:spacing w:after="0" w:line="276" w:lineRule="auto"/>
              <w:jc w:val="center"/>
              <w:rPr>
                <w:rFonts w:ascii="ITC Avant Garde" w:hAnsi="ITC Avant Garde" w:cs="Arial"/>
                <w:b/>
                <w:bCs/>
              </w:rPr>
            </w:pPr>
          </w:p>
          <w:p w14:paraId="6E7452CA" w14:textId="77777777" w:rsidR="00E2146B" w:rsidRDefault="00E2146B" w:rsidP="00CA6461">
            <w:pPr>
              <w:spacing w:after="0" w:line="276" w:lineRule="auto"/>
              <w:jc w:val="center"/>
              <w:rPr>
                <w:rFonts w:ascii="ITC Avant Garde" w:hAnsi="ITC Avant Garde" w:cs="Arial"/>
                <w:b/>
                <w:bCs/>
              </w:rPr>
            </w:pPr>
          </w:p>
          <w:p w14:paraId="7F98FAE7" w14:textId="77777777" w:rsidR="00E2146B" w:rsidRPr="00DD2037" w:rsidRDefault="00E2146B" w:rsidP="00CA6461">
            <w:pPr>
              <w:spacing w:after="0" w:line="276" w:lineRule="auto"/>
              <w:jc w:val="center"/>
              <w:rPr>
                <w:rFonts w:ascii="ITC Avant Garde" w:hAnsi="ITC Avant Garde" w:cs="Arial"/>
                <w:b/>
                <w:bCs/>
              </w:rPr>
            </w:pPr>
          </w:p>
          <w:p w14:paraId="2ADE62EF" w14:textId="77777777" w:rsidR="00E2146B" w:rsidRPr="00DD2037" w:rsidRDefault="00E2146B" w:rsidP="00CA6461">
            <w:pPr>
              <w:spacing w:after="0" w:line="276" w:lineRule="auto"/>
              <w:jc w:val="center"/>
              <w:rPr>
                <w:rFonts w:ascii="ITC Avant Garde" w:hAnsi="ITC Avant Garde" w:cs="Arial"/>
                <w:b/>
                <w:bCs/>
              </w:rPr>
            </w:pPr>
          </w:p>
        </w:tc>
      </w:tr>
      <w:tr w:rsidR="00E2146B" w:rsidRPr="00DD2037" w14:paraId="6B5ED625" w14:textId="77777777" w:rsidTr="00CA6461">
        <w:trPr>
          <w:trHeight w:val="1425"/>
        </w:trPr>
        <w:tc>
          <w:tcPr>
            <w:tcW w:w="2163" w:type="pct"/>
          </w:tcPr>
          <w:p w14:paraId="28FC8B54" w14:textId="77777777" w:rsidR="00E2146B" w:rsidRPr="00DD2037" w:rsidRDefault="00E2146B" w:rsidP="00CA6461">
            <w:pPr>
              <w:spacing w:after="0" w:line="276" w:lineRule="auto"/>
              <w:jc w:val="center"/>
              <w:rPr>
                <w:rFonts w:ascii="ITC Avant Garde" w:hAnsi="ITC Avant Garde" w:cs="Arial"/>
                <w:b/>
                <w:bCs/>
              </w:rPr>
            </w:pPr>
            <w:r>
              <w:rPr>
                <w:rFonts w:ascii="ITC Avant Garde" w:hAnsi="ITC Avant Garde" w:cs="Arial"/>
                <w:b/>
                <w:bCs/>
              </w:rPr>
              <w:t>María Elena Estavillo Flores</w:t>
            </w:r>
            <w:r w:rsidRPr="00DD2037">
              <w:rPr>
                <w:rFonts w:ascii="ITC Avant Garde" w:hAnsi="ITC Avant Garde" w:cs="Arial"/>
                <w:b/>
                <w:bCs/>
              </w:rPr>
              <w:t xml:space="preserve"> Comisionada</w:t>
            </w:r>
          </w:p>
          <w:p w14:paraId="7B79EA68" w14:textId="77777777" w:rsidR="00E2146B" w:rsidRPr="00DD2037" w:rsidRDefault="00E2146B" w:rsidP="00CA6461">
            <w:pPr>
              <w:spacing w:after="0" w:line="276" w:lineRule="auto"/>
              <w:jc w:val="center"/>
              <w:rPr>
                <w:rFonts w:ascii="ITC Avant Garde" w:hAnsi="ITC Avant Garde" w:cs="Arial"/>
                <w:b/>
                <w:bCs/>
              </w:rPr>
            </w:pPr>
          </w:p>
        </w:tc>
        <w:tc>
          <w:tcPr>
            <w:tcW w:w="170" w:type="pct"/>
          </w:tcPr>
          <w:p w14:paraId="0F229045" w14:textId="77777777" w:rsidR="00E2146B" w:rsidRPr="00DD2037" w:rsidRDefault="00E2146B" w:rsidP="00CA6461">
            <w:pPr>
              <w:spacing w:after="0" w:line="276" w:lineRule="auto"/>
              <w:jc w:val="center"/>
              <w:rPr>
                <w:rFonts w:ascii="ITC Avant Garde" w:hAnsi="ITC Avant Garde" w:cs="Arial"/>
                <w:b/>
                <w:bCs/>
              </w:rPr>
            </w:pPr>
          </w:p>
        </w:tc>
        <w:tc>
          <w:tcPr>
            <w:tcW w:w="2667" w:type="pct"/>
          </w:tcPr>
          <w:p w14:paraId="3C055D8A" w14:textId="77777777" w:rsidR="00E2146B" w:rsidRDefault="00E2146B" w:rsidP="00CA6461">
            <w:pPr>
              <w:spacing w:after="0" w:line="276" w:lineRule="auto"/>
              <w:jc w:val="center"/>
              <w:rPr>
                <w:rFonts w:ascii="ITC Avant Garde" w:hAnsi="ITC Avant Garde" w:cs="Arial"/>
                <w:b/>
                <w:bCs/>
              </w:rPr>
            </w:pPr>
            <w:r w:rsidRPr="00DD2037">
              <w:rPr>
                <w:rFonts w:ascii="ITC Avant Garde" w:hAnsi="ITC Avant Garde" w:cs="Arial"/>
                <w:b/>
                <w:bCs/>
              </w:rPr>
              <w:t xml:space="preserve">Mario Germán Fromow Rangel </w:t>
            </w:r>
          </w:p>
          <w:p w14:paraId="34E252FF" w14:textId="77777777" w:rsidR="00E2146B" w:rsidRPr="00DD2037" w:rsidRDefault="00E2146B" w:rsidP="00CA6461">
            <w:pPr>
              <w:spacing w:after="0" w:line="276" w:lineRule="auto"/>
              <w:jc w:val="center"/>
              <w:rPr>
                <w:rFonts w:ascii="ITC Avant Garde" w:hAnsi="ITC Avant Garde" w:cs="Arial"/>
                <w:b/>
                <w:bCs/>
              </w:rPr>
            </w:pPr>
            <w:r w:rsidRPr="00DD2037">
              <w:rPr>
                <w:rFonts w:ascii="ITC Avant Garde" w:hAnsi="ITC Avant Garde" w:cs="Arial"/>
                <w:b/>
                <w:bCs/>
              </w:rPr>
              <w:t>Comisionad</w:t>
            </w:r>
            <w:r>
              <w:rPr>
                <w:rFonts w:ascii="ITC Avant Garde" w:hAnsi="ITC Avant Garde" w:cs="Arial"/>
                <w:b/>
                <w:bCs/>
              </w:rPr>
              <w:t>o</w:t>
            </w:r>
          </w:p>
          <w:p w14:paraId="6996CEA3" w14:textId="77777777" w:rsidR="00E2146B" w:rsidRDefault="00E2146B" w:rsidP="00CA6461">
            <w:pPr>
              <w:spacing w:after="0" w:line="276" w:lineRule="auto"/>
              <w:jc w:val="center"/>
              <w:rPr>
                <w:rFonts w:ascii="ITC Avant Garde" w:hAnsi="ITC Avant Garde" w:cs="Arial"/>
                <w:b/>
                <w:bCs/>
              </w:rPr>
            </w:pPr>
          </w:p>
          <w:p w14:paraId="5982206D" w14:textId="77777777" w:rsidR="00E2146B" w:rsidRDefault="00E2146B" w:rsidP="00CA6461">
            <w:pPr>
              <w:spacing w:after="0" w:line="276" w:lineRule="auto"/>
              <w:jc w:val="center"/>
              <w:rPr>
                <w:rFonts w:ascii="ITC Avant Garde" w:hAnsi="ITC Avant Garde" w:cs="Arial"/>
                <w:b/>
                <w:bCs/>
              </w:rPr>
            </w:pPr>
          </w:p>
          <w:p w14:paraId="7022CDEF" w14:textId="77777777" w:rsidR="00E2146B" w:rsidRPr="00DD2037" w:rsidRDefault="00E2146B" w:rsidP="00CA6461">
            <w:pPr>
              <w:spacing w:after="0" w:line="276" w:lineRule="auto"/>
              <w:jc w:val="center"/>
              <w:rPr>
                <w:rFonts w:ascii="ITC Avant Garde" w:hAnsi="ITC Avant Garde" w:cs="Arial"/>
                <w:b/>
                <w:bCs/>
              </w:rPr>
            </w:pPr>
          </w:p>
          <w:p w14:paraId="02434FF3" w14:textId="77777777" w:rsidR="00E2146B" w:rsidRPr="00DD2037" w:rsidRDefault="00E2146B" w:rsidP="00CA6461">
            <w:pPr>
              <w:spacing w:after="0" w:line="276" w:lineRule="auto"/>
              <w:jc w:val="center"/>
              <w:rPr>
                <w:rFonts w:ascii="ITC Avant Garde" w:hAnsi="ITC Avant Garde" w:cs="Arial"/>
                <w:b/>
                <w:bCs/>
              </w:rPr>
            </w:pPr>
          </w:p>
        </w:tc>
      </w:tr>
      <w:tr w:rsidR="00E2146B" w:rsidRPr="0010620E" w14:paraId="095063DE" w14:textId="77777777" w:rsidTr="00CA6461">
        <w:trPr>
          <w:trHeight w:val="470"/>
        </w:trPr>
        <w:tc>
          <w:tcPr>
            <w:tcW w:w="2163" w:type="pct"/>
            <w:hideMark/>
          </w:tcPr>
          <w:p w14:paraId="304A447A" w14:textId="77777777" w:rsidR="00E2146B" w:rsidRDefault="00E2146B" w:rsidP="00CA6461">
            <w:pPr>
              <w:spacing w:after="0" w:line="276" w:lineRule="auto"/>
              <w:jc w:val="center"/>
              <w:rPr>
                <w:rFonts w:ascii="ITC Avant Garde" w:hAnsi="ITC Avant Garde" w:cs="Arial"/>
                <w:b/>
                <w:bCs/>
              </w:rPr>
            </w:pPr>
            <w:r>
              <w:rPr>
                <w:rFonts w:ascii="ITC Avant Garde" w:hAnsi="ITC Avant Garde" w:cs="Arial"/>
                <w:b/>
                <w:bCs/>
              </w:rPr>
              <w:t>Adolfo Cuevas Teja</w:t>
            </w:r>
          </w:p>
          <w:p w14:paraId="2C31D09E" w14:textId="77777777" w:rsidR="00E2146B" w:rsidRPr="00DD2037" w:rsidRDefault="00E2146B" w:rsidP="00CA6461">
            <w:pPr>
              <w:spacing w:after="0" w:line="276" w:lineRule="auto"/>
              <w:jc w:val="center"/>
              <w:rPr>
                <w:rFonts w:ascii="ITC Avant Garde" w:hAnsi="ITC Avant Garde" w:cs="Arial"/>
                <w:b/>
                <w:bCs/>
              </w:rPr>
            </w:pPr>
            <w:r w:rsidRPr="00DD2037">
              <w:rPr>
                <w:rFonts w:ascii="ITC Avant Garde" w:hAnsi="ITC Avant Garde" w:cs="Arial"/>
                <w:b/>
                <w:bCs/>
              </w:rPr>
              <w:t>Comisionado</w:t>
            </w:r>
          </w:p>
        </w:tc>
        <w:tc>
          <w:tcPr>
            <w:tcW w:w="170" w:type="pct"/>
          </w:tcPr>
          <w:p w14:paraId="0E1CFE24" w14:textId="77777777" w:rsidR="00E2146B" w:rsidRPr="00DD2037" w:rsidRDefault="00E2146B" w:rsidP="00CA6461">
            <w:pPr>
              <w:spacing w:after="0" w:line="276" w:lineRule="auto"/>
              <w:jc w:val="center"/>
              <w:rPr>
                <w:rFonts w:ascii="ITC Avant Garde" w:hAnsi="ITC Avant Garde" w:cs="Arial"/>
                <w:b/>
                <w:bCs/>
              </w:rPr>
            </w:pPr>
          </w:p>
        </w:tc>
        <w:tc>
          <w:tcPr>
            <w:tcW w:w="2667" w:type="pct"/>
            <w:hideMark/>
          </w:tcPr>
          <w:p w14:paraId="094E5C29" w14:textId="77777777" w:rsidR="00E2146B" w:rsidRDefault="00E2146B" w:rsidP="00CA6461">
            <w:pPr>
              <w:spacing w:after="0" w:line="276" w:lineRule="auto"/>
              <w:jc w:val="center"/>
              <w:rPr>
                <w:rFonts w:ascii="ITC Avant Garde" w:hAnsi="ITC Avant Garde" w:cs="Arial"/>
                <w:b/>
                <w:bCs/>
              </w:rPr>
            </w:pPr>
            <w:r>
              <w:rPr>
                <w:rFonts w:ascii="ITC Avant Garde" w:hAnsi="ITC Avant Garde" w:cs="Arial"/>
                <w:b/>
                <w:bCs/>
              </w:rPr>
              <w:t>Javier Juárez Mojica</w:t>
            </w:r>
          </w:p>
          <w:p w14:paraId="1E324366" w14:textId="77777777" w:rsidR="00E2146B" w:rsidRPr="0010620E" w:rsidRDefault="00E2146B" w:rsidP="00CA6461">
            <w:pPr>
              <w:spacing w:after="0" w:line="276" w:lineRule="auto"/>
              <w:jc w:val="center"/>
              <w:rPr>
                <w:rFonts w:ascii="ITC Avant Garde" w:hAnsi="ITC Avant Garde" w:cs="Arial"/>
                <w:b/>
                <w:bCs/>
              </w:rPr>
            </w:pPr>
            <w:r w:rsidRPr="00DD2037">
              <w:rPr>
                <w:rFonts w:ascii="ITC Avant Garde" w:hAnsi="ITC Avant Garde" w:cs="Arial"/>
                <w:b/>
                <w:bCs/>
              </w:rPr>
              <w:t>Comisionado</w:t>
            </w:r>
          </w:p>
        </w:tc>
      </w:tr>
    </w:tbl>
    <w:p w14:paraId="374258C0" w14:textId="77777777" w:rsidR="001623AF" w:rsidRDefault="001623AF"/>
    <w:p w14:paraId="4DBA0E9B" w14:textId="77777777" w:rsidR="005A5047" w:rsidRDefault="005A5047" w:rsidP="005A5047">
      <w:pPr>
        <w:pStyle w:val="Prrafodelista"/>
        <w:spacing w:after="0" w:line="240" w:lineRule="auto"/>
        <w:ind w:left="0"/>
        <w:jc w:val="both"/>
        <w:rPr>
          <w:rFonts w:ascii="ITC Avant Garde" w:hAnsi="ITC Avant Garde"/>
          <w:sz w:val="14"/>
        </w:rPr>
      </w:pPr>
    </w:p>
    <w:p w14:paraId="1150397C" w14:textId="77777777" w:rsidR="005A5047" w:rsidRPr="005A5047" w:rsidRDefault="005A5047" w:rsidP="005A5047">
      <w:pPr>
        <w:pStyle w:val="Prrafodelista"/>
        <w:spacing w:after="0" w:line="240" w:lineRule="auto"/>
        <w:ind w:left="0"/>
        <w:jc w:val="both"/>
        <w:rPr>
          <w:rFonts w:ascii="ITC Avant Garde" w:hAnsi="ITC Avant Garde"/>
          <w:sz w:val="14"/>
          <w:lang w:val="es-ES_tradnl"/>
        </w:rPr>
      </w:pPr>
      <w:r w:rsidRPr="005A5047">
        <w:rPr>
          <w:rFonts w:ascii="ITC Avant Garde" w:hAnsi="ITC Avant Garde"/>
          <w:sz w:val="14"/>
        </w:rPr>
        <w:t xml:space="preserve">El presente Acuerdo fue aprobado por el Pleno del Instituto Federal de Telecomunicaciones en su XXXVI Sesión Ordinaria celebrada el 27 </w:t>
      </w:r>
      <w:r w:rsidRPr="005A5047">
        <w:rPr>
          <w:rFonts w:ascii="ITC Avant Garde" w:hAnsi="ITC Avant Garde"/>
          <w:sz w:val="14"/>
          <w:lang w:val="es-ES_tradnl"/>
        </w:rPr>
        <w:t xml:space="preserve">de octubre de 2016, por </w:t>
      </w:r>
      <w:r w:rsidRPr="005A5047">
        <w:rPr>
          <w:rFonts w:ascii="ITC Avant Garde" w:hAnsi="ITC Avant Garde"/>
          <w:bCs/>
          <w:sz w:val="14"/>
          <w:lang w:val="es-ES_tradnl"/>
        </w:rPr>
        <w:t>unanimidad</w:t>
      </w:r>
      <w:r w:rsidRPr="005A5047">
        <w:rPr>
          <w:rFonts w:ascii="ITC Avant Garde" w:hAnsi="ITC Avant Garde"/>
          <w:sz w:val="14"/>
          <w:lang w:val="es-ES_tradnl"/>
        </w:rPr>
        <w:t xml:space="preserve"> de votos de los Comisionados presentes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P/IFT/271016/594. </w:t>
      </w:r>
    </w:p>
    <w:p w14:paraId="6ED16C10" w14:textId="77777777" w:rsidR="005A5047" w:rsidRPr="0052424C" w:rsidRDefault="005A5047">
      <w:bookmarkStart w:id="0" w:name="_GoBack"/>
      <w:bookmarkEnd w:id="0"/>
    </w:p>
    <w:sectPr w:rsidR="005A5047" w:rsidRPr="0052424C" w:rsidSect="00E2146B">
      <w:footerReference w:type="default" r:id="rId10"/>
      <w:pgSz w:w="12240" w:h="15840"/>
      <w:pgMar w:top="2127" w:right="1467" w:bottom="1135" w:left="1418" w:header="709" w:footer="98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2C927" w14:textId="77777777" w:rsidR="001A6F09" w:rsidRDefault="001A6F09" w:rsidP="00C35169">
      <w:pPr>
        <w:spacing w:after="0" w:line="240" w:lineRule="auto"/>
      </w:pPr>
      <w:r>
        <w:separator/>
      </w:r>
    </w:p>
  </w:endnote>
  <w:endnote w:type="continuationSeparator" w:id="0">
    <w:p w14:paraId="6E184EAE" w14:textId="77777777" w:rsidR="001A6F09" w:rsidRDefault="001A6F09" w:rsidP="00C3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868262"/>
      <w:docPartObj>
        <w:docPartGallery w:val="Page Numbers (Bottom of Page)"/>
        <w:docPartUnique/>
      </w:docPartObj>
    </w:sdtPr>
    <w:sdtEndPr>
      <w:rPr>
        <w:rFonts w:ascii="ITC Avant Garde" w:hAnsi="ITC Avant Garde"/>
        <w:sz w:val="20"/>
      </w:rPr>
    </w:sdtEndPr>
    <w:sdtContent>
      <w:p w14:paraId="1A8C37E0" w14:textId="412204B5" w:rsidR="00E2146B" w:rsidRPr="00E2146B" w:rsidRDefault="00E2146B">
        <w:pPr>
          <w:pStyle w:val="Piedepgina"/>
          <w:jc w:val="right"/>
          <w:rPr>
            <w:rFonts w:ascii="ITC Avant Garde" w:hAnsi="ITC Avant Garde"/>
            <w:sz w:val="20"/>
          </w:rPr>
        </w:pPr>
        <w:r w:rsidRPr="00E2146B">
          <w:rPr>
            <w:rFonts w:ascii="ITC Avant Garde" w:hAnsi="ITC Avant Garde"/>
            <w:sz w:val="20"/>
          </w:rPr>
          <w:fldChar w:fldCharType="begin"/>
        </w:r>
        <w:r w:rsidRPr="00E2146B">
          <w:rPr>
            <w:rFonts w:ascii="ITC Avant Garde" w:hAnsi="ITC Avant Garde"/>
            <w:sz w:val="20"/>
          </w:rPr>
          <w:instrText>PAGE   \* MERGEFORMAT</w:instrText>
        </w:r>
        <w:r w:rsidRPr="00E2146B">
          <w:rPr>
            <w:rFonts w:ascii="ITC Avant Garde" w:hAnsi="ITC Avant Garde"/>
            <w:sz w:val="20"/>
          </w:rPr>
          <w:fldChar w:fldCharType="separate"/>
        </w:r>
        <w:r w:rsidR="005A5047" w:rsidRPr="005A5047">
          <w:rPr>
            <w:rFonts w:ascii="ITC Avant Garde" w:hAnsi="ITC Avant Garde"/>
            <w:noProof/>
            <w:sz w:val="20"/>
            <w:lang w:val="es-ES"/>
          </w:rPr>
          <w:t>4</w:t>
        </w:r>
        <w:r w:rsidRPr="00E2146B">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2B91C" w14:textId="77777777" w:rsidR="001A6F09" w:rsidRDefault="001A6F09" w:rsidP="00C35169">
      <w:pPr>
        <w:spacing w:after="0" w:line="240" w:lineRule="auto"/>
      </w:pPr>
      <w:r>
        <w:separator/>
      </w:r>
    </w:p>
  </w:footnote>
  <w:footnote w:type="continuationSeparator" w:id="0">
    <w:p w14:paraId="192D6067" w14:textId="77777777" w:rsidR="001A6F09" w:rsidRDefault="001A6F09" w:rsidP="00C35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6E5C01"/>
    <w:multiLevelType w:val="hybridMultilevel"/>
    <w:tmpl w:val="C832E24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C11643"/>
    <w:multiLevelType w:val="hybridMultilevel"/>
    <w:tmpl w:val="7FC05940"/>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7BD561C"/>
    <w:multiLevelType w:val="hybridMultilevel"/>
    <w:tmpl w:val="90987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4A04CC"/>
    <w:multiLevelType w:val="hybridMultilevel"/>
    <w:tmpl w:val="89B20F78"/>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69"/>
    <w:rsid w:val="000019BA"/>
    <w:rsid w:val="00010AA5"/>
    <w:rsid w:val="00022C2F"/>
    <w:rsid w:val="00022C9B"/>
    <w:rsid w:val="00034127"/>
    <w:rsid w:val="000655A2"/>
    <w:rsid w:val="00082383"/>
    <w:rsid w:val="000C072C"/>
    <w:rsid w:val="000C106A"/>
    <w:rsid w:val="000F39FB"/>
    <w:rsid w:val="001064EB"/>
    <w:rsid w:val="00132E9B"/>
    <w:rsid w:val="001623AF"/>
    <w:rsid w:val="001A1958"/>
    <w:rsid w:val="001A6F09"/>
    <w:rsid w:val="001B3F3F"/>
    <w:rsid w:val="001F416C"/>
    <w:rsid w:val="00236779"/>
    <w:rsid w:val="0025732A"/>
    <w:rsid w:val="00265BB7"/>
    <w:rsid w:val="002822C7"/>
    <w:rsid w:val="00296180"/>
    <w:rsid w:val="002A186E"/>
    <w:rsid w:val="002B0341"/>
    <w:rsid w:val="00310B50"/>
    <w:rsid w:val="003301B4"/>
    <w:rsid w:val="003541EE"/>
    <w:rsid w:val="003662DC"/>
    <w:rsid w:val="00384D84"/>
    <w:rsid w:val="003860C1"/>
    <w:rsid w:val="003B338C"/>
    <w:rsid w:val="00402ECE"/>
    <w:rsid w:val="00417EA9"/>
    <w:rsid w:val="004237D0"/>
    <w:rsid w:val="0045409F"/>
    <w:rsid w:val="00480E04"/>
    <w:rsid w:val="004A5B60"/>
    <w:rsid w:val="0051406E"/>
    <w:rsid w:val="0052424C"/>
    <w:rsid w:val="00544A17"/>
    <w:rsid w:val="00571F54"/>
    <w:rsid w:val="005A5047"/>
    <w:rsid w:val="005A7B78"/>
    <w:rsid w:val="005F5744"/>
    <w:rsid w:val="00616789"/>
    <w:rsid w:val="006425F8"/>
    <w:rsid w:val="00662AF4"/>
    <w:rsid w:val="006A00CA"/>
    <w:rsid w:val="006A112D"/>
    <w:rsid w:val="006B6249"/>
    <w:rsid w:val="006B6DB0"/>
    <w:rsid w:val="006C2E2B"/>
    <w:rsid w:val="006E7FD5"/>
    <w:rsid w:val="006F42F8"/>
    <w:rsid w:val="00780D95"/>
    <w:rsid w:val="007B56B2"/>
    <w:rsid w:val="007C00A2"/>
    <w:rsid w:val="0080334A"/>
    <w:rsid w:val="00842E7C"/>
    <w:rsid w:val="00850A55"/>
    <w:rsid w:val="008663BE"/>
    <w:rsid w:val="008D09CC"/>
    <w:rsid w:val="008D2800"/>
    <w:rsid w:val="008D7FB0"/>
    <w:rsid w:val="008E6E1C"/>
    <w:rsid w:val="0096760D"/>
    <w:rsid w:val="0098697E"/>
    <w:rsid w:val="00997A87"/>
    <w:rsid w:val="009A513A"/>
    <w:rsid w:val="009B5F5D"/>
    <w:rsid w:val="00A3381D"/>
    <w:rsid w:val="00A431F1"/>
    <w:rsid w:val="00A533D3"/>
    <w:rsid w:val="00A8140D"/>
    <w:rsid w:val="00A906CB"/>
    <w:rsid w:val="00AB5784"/>
    <w:rsid w:val="00AC0CB3"/>
    <w:rsid w:val="00AC1759"/>
    <w:rsid w:val="00AD3993"/>
    <w:rsid w:val="00AE1270"/>
    <w:rsid w:val="00B14304"/>
    <w:rsid w:val="00B557E3"/>
    <w:rsid w:val="00B73F75"/>
    <w:rsid w:val="00BA2BB8"/>
    <w:rsid w:val="00BB4452"/>
    <w:rsid w:val="00BC1CE4"/>
    <w:rsid w:val="00BE1556"/>
    <w:rsid w:val="00BE616C"/>
    <w:rsid w:val="00C01DE0"/>
    <w:rsid w:val="00C3186B"/>
    <w:rsid w:val="00C3508F"/>
    <w:rsid w:val="00C35169"/>
    <w:rsid w:val="00CA1323"/>
    <w:rsid w:val="00CB260D"/>
    <w:rsid w:val="00CB5F0E"/>
    <w:rsid w:val="00CF2416"/>
    <w:rsid w:val="00CF6F40"/>
    <w:rsid w:val="00D43453"/>
    <w:rsid w:val="00D535E0"/>
    <w:rsid w:val="00D672D7"/>
    <w:rsid w:val="00D819EA"/>
    <w:rsid w:val="00D910DD"/>
    <w:rsid w:val="00DB5D34"/>
    <w:rsid w:val="00DD01E1"/>
    <w:rsid w:val="00DD7695"/>
    <w:rsid w:val="00DD771C"/>
    <w:rsid w:val="00DE3935"/>
    <w:rsid w:val="00E11DC3"/>
    <w:rsid w:val="00E172A2"/>
    <w:rsid w:val="00E2146B"/>
    <w:rsid w:val="00E4457A"/>
    <w:rsid w:val="00E53DF4"/>
    <w:rsid w:val="00E74BB3"/>
    <w:rsid w:val="00E9247F"/>
    <w:rsid w:val="00E932E3"/>
    <w:rsid w:val="00ED50E0"/>
    <w:rsid w:val="00F620D1"/>
    <w:rsid w:val="00F63070"/>
    <w:rsid w:val="00F71B25"/>
    <w:rsid w:val="00F8465B"/>
    <w:rsid w:val="00FD30D9"/>
    <w:rsid w:val="00FE66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86348A"/>
  <w15:docId w15:val="{688DF003-A3D9-48E9-AB0F-2FE55358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169"/>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35169"/>
    <w:pPr>
      <w:tabs>
        <w:tab w:val="center" w:pos="4419"/>
        <w:tab w:val="right" w:pos="8838"/>
      </w:tabs>
      <w:spacing w:after="0" w:line="240" w:lineRule="auto"/>
    </w:pPr>
    <w:rPr>
      <w:rFonts w:ascii="Times New Roman" w:eastAsia="Times New Roman" w:hAnsi="Times New Roman" w:cs="Times New Roman"/>
      <w:sz w:val="24"/>
      <w:szCs w:val="20"/>
      <w:lang w:eastAsia="es-MX"/>
    </w:rPr>
  </w:style>
  <w:style w:type="character" w:customStyle="1" w:styleId="PiedepginaCar">
    <w:name w:val="Pie de página Car"/>
    <w:basedOn w:val="Fuentedeprrafopredeter"/>
    <w:link w:val="Piedepgina"/>
    <w:uiPriority w:val="99"/>
    <w:rsid w:val="00C35169"/>
    <w:rPr>
      <w:rFonts w:ascii="Times New Roman" w:eastAsia="Times New Roman" w:hAnsi="Times New Roman" w:cs="Times New Roman"/>
      <w:sz w:val="24"/>
      <w:szCs w:val="20"/>
      <w:lang w:val="es-ES_tradnl" w:eastAsia="es-MX"/>
    </w:rPr>
  </w:style>
  <w:style w:type="paragraph" w:customStyle="1" w:styleId="Default">
    <w:name w:val="Default"/>
    <w:rsid w:val="00C35169"/>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rsid w:val="00C35169"/>
    <w:rPr>
      <w:sz w:val="16"/>
      <w:szCs w:val="16"/>
    </w:rPr>
  </w:style>
  <w:style w:type="paragraph" w:styleId="Textocomentario">
    <w:name w:val="annotation text"/>
    <w:basedOn w:val="Normal"/>
    <w:link w:val="TextocomentarioCar"/>
    <w:rsid w:val="00C35169"/>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rsid w:val="00C35169"/>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C351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5169"/>
    <w:rPr>
      <w:rFonts w:ascii="Segoe UI" w:hAnsi="Segoe UI" w:cs="Segoe UI"/>
      <w:sz w:val="18"/>
      <w:szCs w:val="18"/>
      <w:lang w:val="es-ES_tradnl"/>
    </w:rPr>
  </w:style>
  <w:style w:type="paragraph" w:styleId="Encabezado">
    <w:name w:val="header"/>
    <w:basedOn w:val="Normal"/>
    <w:link w:val="EncabezadoCar"/>
    <w:uiPriority w:val="99"/>
    <w:unhideWhenUsed/>
    <w:rsid w:val="00C351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5169"/>
    <w:rPr>
      <w:lang w:val="es-ES_tradnl"/>
    </w:rPr>
  </w:style>
  <w:style w:type="paragraph" w:styleId="Asuntodelcomentario">
    <w:name w:val="annotation subject"/>
    <w:basedOn w:val="Textocomentario"/>
    <w:next w:val="Textocomentario"/>
    <w:link w:val="AsuntodelcomentarioCar"/>
    <w:uiPriority w:val="99"/>
    <w:semiHidden/>
    <w:unhideWhenUsed/>
    <w:rsid w:val="00C35169"/>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C35169"/>
    <w:rPr>
      <w:rFonts w:ascii="Times New Roman" w:eastAsia="Times New Roman" w:hAnsi="Times New Roman" w:cs="Times New Roman"/>
      <w:b/>
      <w:bCs/>
      <w:sz w:val="20"/>
      <w:szCs w:val="20"/>
      <w:lang w:val="es-ES_tradnl" w:eastAsia="es-MX"/>
    </w:rPr>
  </w:style>
  <w:style w:type="paragraph" w:styleId="Prrafodelista">
    <w:name w:val="List Paragraph"/>
    <w:basedOn w:val="Normal"/>
    <w:link w:val="PrrafodelistaCar"/>
    <w:uiPriority w:val="34"/>
    <w:qFormat/>
    <w:rsid w:val="000655A2"/>
    <w:pPr>
      <w:ind w:left="720"/>
      <w:contextualSpacing/>
    </w:pPr>
    <w:rPr>
      <w:rFonts w:ascii="Calibri" w:eastAsia="Calibri" w:hAnsi="Calibri" w:cs="Times New Roman"/>
      <w:lang w:val="es-MX"/>
    </w:rPr>
  </w:style>
  <w:style w:type="paragraph" w:styleId="NormalWeb">
    <w:name w:val="Normal (Web)"/>
    <w:basedOn w:val="Normal"/>
    <w:uiPriority w:val="99"/>
    <w:semiHidden/>
    <w:unhideWhenUsed/>
    <w:rsid w:val="00F71B25"/>
    <w:rPr>
      <w:rFonts w:ascii="Times New Roman" w:hAnsi="Times New Roman" w:cs="Times New Roman"/>
      <w:sz w:val="24"/>
      <w:szCs w:val="24"/>
    </w:rPr>
  </w:style>
  <w:style w:type="character" w:customStyle="1" w:styleId="PrrafodelistaCar">
    <w:name w:val="Párrafo de lista Car"/>
    <w:basedOn w:val="Fuentedeprrafopredeter"/>
    <w:link w:val="Prrafodelista"/>
    <w:uiPriority w:val="34"/>
    <w:locked/>
    <w:rsid w:val="005A504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1533">
      <w:bodyDiv w:val="1"/>
      <w:marLeft w:val="0"/>
      <w:marRight w:val="0"/>
      <w:marTop w:val="0"/>
      <w:marBottom w:val="0"/>
      <w:divBdr>
        <w:top w:val="none" w:sz="0" w:space="0" w:color="auto"/>
        <w:left w:val="none" w:sz="0" w:space="0" w:color="auto"/>
        <w:bottom w:val="none" w:sz="0" w:space="0" w:color="auto"/>
        <w:right w:val="none" w:sz="0" w:space="0" w:color="auto"/>
      </w:divBdr>
      <w:divsChild>
        <w:div w:id="2009745366">
          <w:marLeft w:val="0"/>
          <w:marRight w:val="0"/>
          <w:marTop w:val="0"/>
          <w:marBottom w:val="0"/>
          <w:divBdr>
            <w:top w:val="none" w:sz="0" w:space="0" w:color="auto"/>
            <w:left w:val="none" w:sz="0" w:space="0" w:color="auto"/>
            <w:bottom w:val="none" w:sz="0" w:space="0" w:color="auto"/>
            <w:right w:val="none" w:sz="0" w:space="0" w:color="auto"/>
          </w:divBdr>
          <w:divsChild>
            <w:div w:id="704604040">
              <w:marLeft w:val="0"/>
              <w:marRight w:val="0"/>
              <w:marTop w:val="0"/>
              <w:marBottom w:val="0"/>
              <w:divBdr>
                <w:top w:val="none" w:sz="0" w:space="0" w:color="auto"/>
                <w:left w:val="none" w:sz="0" w:space="0" w:color="auto"/>
                <w:bottom w:val="none" w:sz="0" w:space="0" w:color="auto"/>
                <w:right w:val="none" w:sz="0" w:space="0" w:color="auto"/>
              </w:divBdr>
              <w:divsChild>
                <w:div w:id="1351177733">
                  <w:marLeft w:val="0"/>
                  <w:marRight w:val="0"/>
                  <w:marTop w:val="0"/>
                  <w:marBottom w:val="0"/>
                  <w:divBdr>
                    <w:top w:val="none" w:sz="0" w:space="0" w:color="auto"/>
                    <w:left w:val="none" w:sz="0" w:space="0" w:color="auto"/>
                    <w:bottom w:val="none" w:sz="0" w:space="0" w:color="auto"/>
                    <w:right w:val="none" w:sz="0" w:space="0" w:color="auto"/>
                  </w:divBdr>
                  <w:divsChild>
                    <w:div w:id="988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77314">
      <w:bodyDiv w:val="1"/>
      <w:marLeft w:val="0"/>
      <w:marRight w:val="0"/>
      <w:marTop w:val="0"/>
      <w:marBottom w:val="0"/>
      <w:divBdr>
        <w:top w:val="none" w:sz="0" w:space="0" w:color="auto"/>
        <w:left w:val="none" w:sz="0" w:space="0" w:color="auto"/>
        <w:bottom w:val="none" w:sz="0" w:space="0" w:color="auto"/>
        <w:right w:val="none" w:sz="0" w:space="0" w:color="auto"/>
      </w:divBdr>
    </w:div>
    <w:div w:id="1272013786">
      <w:bodyDiv w:val="1"/>
      <w:marLeft w:val="0"/>
      <w:marRight w:val="0"/>
      <w:marTop w:val="0"/>
      <w:marBottom w:val="0"/>
      <w:divBdr>
        <w:top w:val="none" w:sz="0" w:space="0" w:color="auto"/>
        <w:left w:val="none" w:sz="0" w:space="0" w:color="auto"/>
        <w:bottom w:val="none" w:sz="0" w:space="0" w:color="auto"/>
        <w:right w:val="none" w:sz="0" w:space="0" w:color="auto"/>
      </w:divBdr>
      <w:divsChild>
        <w:div w:id="135148299">
          <w:marLeft w:val="0"/>
          <w:marRight w:val="0"/>
          <w:marTop w:val="0"/>
          <w:marBottom w:val="0"/>
          <w:divBdr>
            <w:top w:val="none" w:sz="0" w:space="0" w:color="auto"/>
            <w:left w:val="none" w:sz="0" w:space="0" w:color="auto"/>
            <w:bottom w:val="none" w:sz="0" w:space="0" w:color="auto"/>
            <w:right w:val="none" w:sz="0" w:space="0" w:color="auto"/>
          </w:divBdr>
          <w:divsChild>
            <w:div w:id="672299113">
              <w:marLeft w:val="0"/>
              <w:marRight w:val="0"/>
              <w:marTop w:val="0"/>
              <w:marBottom w:val="0"/>
              <w:divBdr>
                <w:top w:val="none" w:sz="0" w:space="0" w:color="auto"/>
                <w:left w:val="none" w:sz="0" w:space="0" w:color="auto"/>
                <w:bottom w:val="none" w:sz="0" w:space="0" w:color="auto"/>
                <w:right w:val="none" w:sz="0" w:space="0" w:color="auto"/>
              </w:divBdr>
              <w:divsChild>
                <w:div w:id="2083796273">
                  <w:marLeft w:val="0"/>
                  <w:marRight w:val="0"/>
                  <w:marTop w:val="0"/>
                  <w:marBottom w:val="0"/>
                  <w:divBdr>
                    <w:top w:val="none" w:sz="0" w:space="0" w:color="auto"/>
                    <w:left w:val="none" w:sz="0" w:space="0" w:color="auto"/>
                    <w:bottom w:val="none" w:sz="0" w:space="0" w:color="auto"/>
                    <w:right w:val="none" w:sz="0" w:space="0" w:color="auto"/>
                  </w:divBdr>
                  <w:divsChild>
                    <w:div w:id="10849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64383">
      <w:bodyDiv w:val="1"/>
      <w:marLeft w:val="0"/>
      <w:marRight w:val="0"/>
      <w:marTop w:val="0"/>
      <w:marBottom w:val="0"/>
      <w:divBdr>
        <w:top w:val="none" w:sz="0" w:space="0" w:color="auto"/>
        <w:left w:val="none" w:sz="0" w:space="0" w:color="auto"/>
        <w:bottom w:val="none" w:sz="0" w:space="0" w:color="auto"/>
        <w:right w:val="none" w:sz="0" w:space="0" w:color="auto"/>
      </w:divBdr>
      <w:divsChild>
        <w:div w:id="835805407">
          <w:marLeft w:val="0"/>
          <w:marRight w:val="0"/>
          <w:marTop w:val="0"/>
          <w:marBottom w:val="0"/>
          <w:divBdr>
            <w:top w:val="none" w:sz="0" w:space="0" w:color="auto"/>
            <w:left w:val="none" w:sz="0" w:space="0" w:color="auto"/>
            <w:bottom w:val="none" w:sz="0" w:space="0" w:color="auto"/>
            <w:right w:val="none" w:sz="0" w:space="0" w:color="auto"/>
          </w:divBdr>
          <w:divsChild>
            <w:div w:id="2016685174">
              <w:marLeft w:val="0"/>
              <w:marRight w:val="0"/>
              <w:marTop w:val="0"/>
              <w:marBottom w:val="0"/>
              <w:divBdr>
                <w:top w:val="none" w:sz="0" w:space="0" w:color="auto"/>
                <w:left w:val="none" w:sz="0" w:space="0" w:color="auto"/>
                <w:bottom w:val="none" w:sz="0" w:space="0" w:color="auto"/>
                <w:right w:val="none" w:sz="0" w:space="0" w:color="auto"/>
              </w:divBdr>
              <w:divsChild>
                <w:div w:id="972903059">
                  <w:marLeft w:val="0"/>
                  <w:marRight w:val="0"/>
                  <w:marTop w:val="0"/>
                  <w:marBottom w:val="0"/>
                  <w:divBdr>
                    <w:top w:val="none" w:sz="0" w:space="0" w:color="auto"/>
                    <w:left w:val="none" w:sz="0" w:space="0" w:color="auto"/>
                    <w:bottom w:val="none" w:sz="0" w:space="0" w:color="auto"/>
                    <w:right w:val="none" w:sz="0" w:space="0" w:color="auto"/>
                  </w:divBdr>
                  <w:divsChild>
                    <w:div w:id="389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88543">
      <w:bodyDiv w:val="1"/>
      <w:marLeft w:val="0"/>
      <w:marRight w:val="0"/>
      <w:marTop w:val="0"/>
      <w:marBottom w:val="0"/>
      <w:divBdr>
        <w:top w:val="none" w:sz="0" w:space="0" w:color="auto"/>
        <w:left w:val="none" w:sz="0" w:space="0" w:color="auto"/>
        <w:bottom w:val="none" w:sz="0" w:space="0" w:color="auto"/>
        <w:right w:val="none" w:sz="0" w:space="0" w:color="auto"/>
      </w:divBdr>
      <w:divsChild>
        <w:div w:id="96370580">
          <w:marLeft w:val="0"/>
          <w:marRight w:val="0"/>
          <w:marTop w:val="0"/>
          <w:marBottom w:val="0"/>
          <w:divBdr>
            <w:top w:val="none" w:sz="0" w:space="0" w:color="auto"/>
            <w:left w:val="none" w:sz="0" w:space="0" w:color="auto"/>
            <w:bottom w:val="none" w:sz="0" w:space="0" w:color="auto"/>
            <w:right w:val="none" w:sz="0" w:space="0" w:color="auto"/>
          </w:divBdr>
          <w:divsChild>
            <w:div w:id="1294940564">
              <w:marLeft w:val="0"/>
              <w:marRight w:val="0"/>
              <w:marTop w:val="0"/>
              <w:marBottom w:val="0"/>
              <w:divBdr>
                <w:top w:val="none" w:sz="0" w:space="0" w:color="auto"/>
                <w:left w:val="none" w:sz="0" w:space="0" w:color="auto"/>
                <w:bottom w:val="none" w:sz="0" w:space="0" w:color="auto"/>
                <w:right w:val="none" w:sz="0" w:space="0" w:color="auto"/>
              </w:divBdr>
              <w:divsChild>
                <w:div w:id="879973437">
                  <w:marLeft w:val="0"/>
                  <w:marRight w:val="0"/>
                  <w:marTop w:val="0"/>
                  <w:marBottom w:val="0"/>
                  <w:divBdr>
                    <w:top w:val="none" w:sz="0" w:space="0" w:color="auto"/>
                    <w:left w:val="none" w:sz="0" w:space="0" w:color="auto"/>
                    <w:bottom w:val="none" w:sz="0" w:space="0" w:color="auto"/>
                    <w:right w:val="none" w:sz="0" w:space="0" w:color="auto"/>
                  </w:divBdr>
                  <w:divsChild>
                    <w:div w:id="18269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4BE9CD8A0E19A469A471EA07DA8CBCF" ma:contentTypeVersion="0" ma:contentTypeDescription="Crear nuevo documento." ma:contentTypeScope="" ma:versionID="8c74e284bdeba64892dc6667458e0d8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2339F-AFEE-47B0-B89E-9BE034BEE432}">
  <ds:schemaRefs>
    <ds:schemaRef ds:uri="http://schemas.microsoft.com/sharepoint/v3/contenttype/forms"/>
  </ds:schemaRefs>
</ds:datastoreItem>
</file>

<file path=customXml/itemProps2.xml><?xml version="1.0" encoding="utf-8"?>
<ds:datastoreItem xmlns:ds="http://schemas.openxmlformats.org/officeDocument/2006/customXml" ds:itemID="{56111E98-DC66-4910-AF24-24B6C305CBFB}">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DBCF888-EDF6-4843-9174-C359C5ACB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1745</Words>
  <Characters>9598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Villa Trapala</dc:creator>
  <cp:keywords/>
  <dc:description/>
  <cp:lastModifiedBy>Karen Beatriz Martinez Munguia</cp:lastModifiedBy>
  <cp:revision>3</cp:revision>
  <dcterms:created xsi:type="dcterms:W3CDTF">2016-11-18T17:54:00Z</dcterms:created>
  <dcterms:modified xsi:type="dcterms:W3CDTF">2016-11-18T22:02:00Z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0x010100A4BE9CD8A0E19A469A471EA07DA8CBCF</vt:lpwstr>
  </property>
</Properties>
</file>